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AA5" w:rsidRDefault="000B0AA5" w:rsidP="00CA0F9D">
      <w:pPr>
        <w:tabs>
          <w:tab w:val="center" w:pos="4680"/>
          <w:tab w:val="right" w:pos="9360"/>
        </w:tabs>
        <w:rPr>
          <w:szCs w:val="26"/>
        </w:rPr>
      </w:pPr>
      <w:bookmarkStart w:id="0" w:name="_GoBack"/>
      <w:bookmarkEnd w:id="0"/>
      <w:r>
        <w:t>COM/</w:t>
      </w:r>
      <w:r w:rsidR="009A6925">
        <w:t>LR1</w:t>
      </w:r>
      <w:r w:rsidR="001A33B3">
        <w:t>/</w:t>
      </w:r>
      <w:r w:rsidR="00A96AD8">
        <w:t>lil</w:t>
      </w:r>
      <w:r w:rsidR="00CA0F9D">
        <w:tab/>
      </w:r>
      <w:r w:rsidR="008E443F" w:rsidRPr="00243B49">
        <w:rPr>
          <w:rFonts w:ascii="Helvetica" w:hAnsi="Helvetica"/>
          <w:b/>
          <w:sz w:val="28"/>
          <w:szCs w:val="28"/>
        </w:rPr>
        <w:t>PROPOSED DECISION</w:t>
      </w:r>
      <w:r w:rsidR="00CA0F9D">
        <w:rPr>
          <w:rFonts w:ascii="Helvetica" w:hAnsi="Helvetica"/>
          <w:b/>
          <w:sz w:val="28"/>
          <w:szCs w:val="28"/>
        </w:rPr>
        <w:t xml:space="preserve"> </w:t>
      </w:r>
      <w:r w:rsidR="00CA0F9D">
        <w:rPr>
          <w:rFonts w:ascii="Helvetica" w:hAnsi="Helvetica"/>
          <w:b/>
          <w:sz w:val="28"/>
          <w:szCs w:val="28"/>
        </w:rPr>
        <w:tab/>
      </w:r>
      <w:r w:rsidR="00352098">
        <w:t>Agenda ID #14425</w:t>
      </w:r>
      <w:r w:rsidR="0098198B">
        <w:t xml:space="preserve">  (Rev. 1)</w:t>
      </w:r>
    </w:p>
    <w:p w:rsidR="000B0AA5" w:rsidRPr="00F715F5" w:rsidRDefault="00CA0F9D" w:rsidP="00F715F5">
      <w:pPr>
        <w:suppressAutoHyphens/>
        <w:jc w:val="both"/>
      </w:pPr>
      <w:r>
        <w:tab/>
      </w:r>
      <w:r>
        <w:tab/>
      </w:r>
      <w:r>
        <w:tab/>
      </w:r>
      <w:r>
        <w:tab/>
      </w:r>
      <w:r>
        <w:tab/>
      </w:r>
      <w:r>
        <w:tab/>
      </w:r>
      <w:r>
        <w:tab/>
      </w:r>
      <w:r>
        <w:tab/>
      </w:r>
      <w:r>
        <w:tab/>
      </w:r>
      <w:r>
        <w:tab/>
      </w:r>
      <w:r w:rsidR="00EF3A4F">
        <w:t xml:space="preserve">   </w:t>
      </w:r>
      <w:r>
        <w:t>Quasi-legislative</w:t>
      </w:r>
    </w:p>
    <w:p w:rsidR="000B0AA5" w:rsidRDefault="000B0AA5" w:rsidP="00F715F5">
      <w:pPr>
        <w:suppressAutoHyphens/>
        <w:jc w:val="both"/>
      </w:pPr>
    </w:p>
    <w:p w:rsidR="00E30E20" w:rsidRDefault="00E30E20" w:rsidP="00F715F5">
      <w:pPr>
        <w:suppressAutoHyphens/>
        <w:jc w:val="both"/>
      </w:pPr>
    </w:p>
    <w:p w:rsidR="001A33B3" w:rsidRPr="00E30E20" w:rsidRDefault="008E443F" w:rsidP="00E30E20">
      <w:pPr>
        <w:pStyle w:val="standard"/>
        <w:spacing w:line="240" w:lineRule="auto"/>
        <w:ind w:left="1080" w:hanging="1080"/>
      </w:pPr>
      <w:r>
        <w:t xml:space="preserve">Decision </w:t>
      </w:r>
      <w:r w:rsidR="00E30E20">
        <w:rPr>
          <w:b/>
          <w:u w:val="single"/>
        </w:rPr>
        <w:t>PROPOSED DECISION OF COMMISSIONER RANDOLPH</w:t>
      </w:r>
      <w:r w:rsidR="00E30E20" w:rsidRPr="00E30E20">
        <w:t xml:space="preserve">  </w:t>
      </w:r>
      <w:r w:rsidR="00E30E20">
        <w:br/>
      </w:r>
      <w:r w:rsidR="00E30E20" w:rsidRPr="00E30E20">
        <w:t>(Mailed</w:t>
      </w:r>
      <w:r w:rsidR="00352098">
        <w:t xml:space="preserve"> 10/30/2015</w:t>
      </w:r>
      <w:r w:rsidR="00E30E20" w:rsidRPr="00E30E20">
        <w:t>)</w:t>
      </w:r>
    </w:p>
    <w:p w:rsidR="008E443F" w:rsidRPr="00E30E20" w:rsidRDefault="008E443F">
      <w:pPr>
        <w:rPr>
          <w:rFonts w:ascii="Helvetica" w:hAnsi="Helvetica"/>
          <w:b/>
          <w:bCs/>
          <w:sz w:val="24"/>
        </w:rPr>
      </w:pPr>
    </w:p>
    <w:p w:rsidR="000B0AA5" w:rsidRDefault="000B0AA5">
      <w:pPr>
        <w:rPr>
          <w:rFonts w:ascii="Helvetica" w:hAnsi="Helvetica"/>
          <w:b/>
          <w:bCs/>
          <w:sz w:val="24"/>
        </w:rPr>
      </w:pPr>
      <w:r>
        <w:rPr>
          <w:rFonts w:ascii="Helvetica" w:hAnsi="Helvetica"/>
          <w:b/>
          <w:bCs/>
          <w:sz w:val="24"/>
        </w:rPr>
        <w:t>BEFORE THE PUBLIC UTILITIES COMMISSION OF THE STATE OF CALIFORNIA</w:t>
      </w:r>
    </w:p>
    <w:tbl>
      <w:tblPr>
        <w:tblW w:w="0" w:type="auto"/>
        <w:tblLayout w:type="fixed"/>
        <w:tblLook w:val="0000" w:firstRow="0" w:lastRow="0" w:firstColumn="0" w:lastColumn="0" w:noHBand="0" w:noVBand="0"/>
      </w:tblPr>
      <w:tblGrid>
        <w:gridCol w:w="4968"/>
        <w:gridCol w:w="4590"/>
      </w:tblGrid>
      <w:tr w:rsidR="00436729" w:rsidTr="00FE5D52">
        <w:tc>
          <w:tcPr>
            <w:tcW w:w="4968" w:type="dxa"/>
            <w:tcBorders>
              <w:bottom w:val="single" w:sz="6" w:space="0" w:color="auto"/>
              <w:right w:val="single" w:sz="6" w:space="0" w:color="auto"/>
            </w:tcBorders>
            <w:vAlign w:val="center"/>
          </w:tcPr>
          <w:p w:rsidR="001A33B3" w:rsidRDefault="001A33B3" w:rsidP="00D05E36"/>
          <w:p w:rsidR="001A33B3" w:rsidRDefault="00273936" w:rsidP="00FE5D52">
            <w:pPr>
              <w:spacing w:after="120"/>
            </w:pPr>
            <w:r>
              <w:t xml:space="preserve">Order Instituting Rulemaking </w:t>
            </w:r>
            <w:r w:rsidR="00D05E36">
              <w:t>Regarding</w:t>
            </w:r>
            <w:r w:rsidR="00EC5349">
              <w:t xml:space="preserve"> </w:t>
            </w:r>
            <w:r w:rsidR="00D05E36">
              <w:t xml:space="preserve">the Applicability of </w:t>
            </w:r>
            <w:r>
              <w:t>the Commission’s Right</w:t>
            </w:r>
            <w:r w:rsidR="004D6BBB">
              <w:t>-</w:t>
            </w:r>
            <w:r w:rsidR="00FE5D52">
              <w:t>o</w:t>
            </w:r>
            <w:r w:rsidR="008A4AEF">
              <w:t>f</w:t>
            </w:r>
            <w:r w:rsidR="004D6BBB">
              <w:t>-</w:t>
            </w:r>
            <w:r>
              <w:t xml:space="preserve">Way Rules to Commercial Mobile Radio Service </w:t>
            </w:r>
            <w:r w:rsidR="00B26C9E">
              <w:t>Carriers</w:t>
            </w:r>
            <w:r>
              <w:t>.</w:t>
            </w:r>
            <w:r w:rsidR="00FE5D52">
              <w:t xml:space="preserve"> </w:t>
            </w:r>
          </w:p>
        </w:tc>
        <w:tc>
          <w:tcPr>
            <w:tcW w:w="4590" w:type="dxa"/>
            <w:tcBorders>
              <w:left w:val="nil"/>
            </w:tcBorders>
          </w:tcPr>
          <w:p w:rsidR="00A14671" w:rsidRDefault="00A14671" w:rsidP="001A33B3">
            <w:pPr>
              <w:jc w:val="center"/>
            </w:pPr>
          </w:p>
          <w:p w:rsidR="00A14671" w:rsidRDefault="00A14671" w:rsidP="001A33B3">
            <w:pPr>
              <w:jc w:val="center"/>
            </w:pPr>
          </w:p>
          <w:p w:rsidR="00076B4A" w:rsidRDefault="00076B4A" w:rsidP="00A14671">
            <w:pPr>
              <w:jc w:val="center"/>
            </w:pPr>
            <w:r>
              <w:t>R</w:t>
            </w:r>
            <w:r w:rsidR="00A14671">
              <w:t>ulemaking</w:t>
            </w:r>
            <w:r>
              <w:t xml:space="preserve"> 14-05-001</w:t>
            </w:r>
          </w:p>
          <w:p w:rsidR="00A14671" w:rsidRDefault="00A14671" w:rsidP="00A14671">
            <w:pPr>
              <w:jc w:val="center"/>
            </w:pPr>
            <w:r>
              <w:t>(Filed May 1, 2014)</w:t>
            </w:r>
          </w:p>
        </w:tc>
      </w:tr>
    </w:tbl>
    <w:p w:rsidR="000B0AA5" w:rsidRDefault="000B0AA5">
      <w:pPr>
        <w:suppressAutoHyphens/>
        <w:jc w:val="both"/>
      </w:pPr>
    </w:p>
    <w:p w:rsidR="000B0AA5" w:rsidRDefault="000B0AA5">
      <w:pPr>
        <w:jc w:val="both"/>
      </w:pPr>
    </w:p>
    <w:p w:rsidR="000B0AA5" w:rsidRDefault="000B0AA5">
      <w:pPr>
        <w:jc w:val="both"/>
      </w:pPr>
    </w:p>
    <w:p w:rsidR="000B0AA5" w:rsidRDefault="00B21A83" w:rsidP="00076B4A">
      <w:pPr>
        <w:pStyle w:val="main"/>
        <w:tabs>
          <w:tab w:val="right" w:pos="9360"/>
        </w:tabs>
      </w:pPr>
      <w:bookmarkStart w:id="1" w:name="_Toc424321882"/>
      <w:bookmarkStart w:id="2" w:name="_Toc436647306"/>
      <w:r>
        <w:t xml:space="preserve">DECISION </w:t>
      </w:r>
      <w:r w:rsidR="00D05E36">
        <w:t xml:space="preserve">REGARDING THE APPLICABILITY OF </w:t>
      </w:r>
      <w:r w:rsidR="00EC5349">
        <w:t>THE</w:t>
      </w:r>
      <w:r w:rsidR="00B26C9E">
        <w:rPr>
          <w:rFonts w:cs="Helvetica"/>
        </w:rPr>
        <w:t> </w:t>
      </w:r>
      <w:r w:rsidR="00B26C9E">
        <w:t>COMMISSION’S</w:t>
      </w:r>
      <w:r w:rsidR="00B26C9E">
        <w:rPr>
          <w:rFonts w:cs="Helvetica"/>
        </w:rPr>
        <w:t> </w:t>
      </w:r>
      <w:r w:rsidR="00B26C9E">
        <w:t>RIGHT</w:t>
      </w:r>
      <w:r w:rsidR="004D6BBB">
        <w:t>-</w:t>
      </w:r>
      <w:r w:rsidR="00B26C9E">
        <w:t>OF</w:t>
      </w:r>
      <w:r w:rsidR="004D6BBB">
        <w:t>-</w:t>
      </w:r>
      <w:r w:rsidR="00B26C9E">
        <w:t>WAY RULES TO</w:t>
      </w:r>
      <w:r w:rsidR="00D05E36">
        <w:rPr>
          <w:rFonts w:cs="Helvetica"/>
        </w:rPr>
        <w:t> </w:t>
      </w:r>
      <w:r w:rsidR="00B26C9E">
        <w:t>COMMERCIAL</w:t>
      </w:r>
      <w:r w:rsidR="00B26C9E">
        <w:rPr>
          <w:rFonts w:cs="Helvetica"/>
        </w:rPr>
        <w:t> </w:t>
      </w:r>
      <w:r w:rsidR="00B26C9E">
        <w:t>MOBILE</w:t>
      </w:r>
      <w:r w:rsidR="00B26C9E">
        <w:rPr>
          <w:rFonts w:cs="Helvetica"/>
        </w:rPr>
        <w:t> </w:t>
      </w:r>
      <w:r w:rsidR="00B26C9E">
        <w:t>RADIO</w:t>
      </w:r>
      <w:r w:rsidR="00B26C9E">
        <w:rPr>
          <w:rFonts w:cs="Helvetica"/>
        </w:rPr>
        <w:t> </w:t>
      </w:r>
      <w:r w:rsidR="00B26C9E">
        <w:t>SERVICE</w:t>
      </w:r>
      <w:r w:rsidR="00B26C9E">
        <w:rPr>
          <w:rFonts w:cs="Helvetica"/>
        </w:rPr>
        <w:t> </w:t>
      </w:r>
      <w:r w:rsidR="00B26C9E">
        <w:t>CARRIERS</w:t>
      </w:r>
      <w:bookmarkEnd w:id="1"/>
      <w:bookmarkEnd w:id="2"/>
      <w:r w:rsidR="00B26C9E">
        <w:t xml:space="preserve"> </w:t>
      </w:r>
    </w:p>
    <w:p w:rsidR="000B0AA5" w:rsidRDefault="000B0AA5">
      <w:pPr>
        <w:pStyle w:val="standard"/>
      </w:pPr>
    </w:p>
    <w:p w:rsidR="000B0AA5" w:rsidRPr="009A4E87" w:rsidRDefault="000B0AA5" w:rsidP="009A4E87">
      <w:pPr>
        <w:pStyle w:val="standard"/>
      </w:pPr>
    </w:p>
    <w:p w:rsidR="000B0AA5" w:rsidRDefault="000B0AA5">
      <w:pPr>
        <w:pStyle w:val="standard"/>
        <w:spacing w:line="240" w:lineRule="auto"/>
        <w:sectPr w:rsidR="000B0AA5" w:rsidSect="008A0045">
          <w:headerReference w:type="even" r:id="rId8"/>
          <w:headerReference w:type="default" r:id="rId9"/>
          <w:footerReference w:type="even" r:id="rId10"/>
          <w:footerReference w:type="default" r:id="rId11"/>
          <w:headerReference w:type="first" r:id="rId12"/>
          <w:footerReference w:type="first" r:id="rId13"/>
          <w:pgSz w:w="12240" w:h="15840" w:code="1"/>
          <w:pgMar w:top="1152" w:right="1440" w:bottom="1440" w:left="1440" w:header="720" w:footer="720" w:gutter="0"/>
          <w:pgNumType w:start="1"/>
          <w:cols w:space="720"/>
          <w:titlePg/>
        </w:sectPr>
      </w:pPr>
    </w:p>
    <w:p w:rsidR="000B0AA5" w:rsidRPr="001E3AF9" w:rsidRDefault="000B0AA5" w:rsidP="00FE5D52">
      <w:pPr>
        <w:pStyle w:val="TOC1"/>
        <w:keepNext w:val="0"/>
        <w:widowControl w:val="0"/>
        <w:tabs>
          <w:tab w:val="clear" w:pos="520"/>
        </w:tabs>
        <w:spacing w:before="0" w:after="0" w:line="360" w:lineRule="auto"/>
        <w:ind w:right="0"/>
        <w:jc w:val="center"/>
        <w:rPr>
          <w:b/>
        </w:rPr>
      </w:pPr>
      <w:r w:rsidRPr="001E3AF9">
        <w:rPr>
          <w:b/>
        </w:rPr>
        <w:lastRenderedPageBreak/>
        <w:t>TABLE OF CONTENTS</w:t>
      </w:r>
    </w:p>
    <w:p w:rsidR="000B0AA5" w:rsidRDefault="000B0AA5" w:rsidP="006606A3">
      <w:pPr>
        <w:tabs>
          <w:tab w:val="center" w:pos="4680"/>
          <w:tab w:val="right" w:pos="9360"/>
        </w:tabs>
        <w:spacing w:after="180"/>
      </w:pPr>
      <w:r w:rsidRPr="009159C1">
        <w:rPr>
          <w:rStyle w:val="standardChar"/>
          <w:b/>
        </w:rPr>
        <w:t>Title</w:t>
      </w:r>
      <w:r>
        <w:t xml:space="preserve"> </w:t>
      </w:r>
      <w:r>
        <w:tab/>
      </w:r>
      <w:r>
        <w:tab/>
      </w:r>
      <w:r w:rsidRPr="009159C1">
        <w:rPr>
          <w:rStyle w:val="standardChar"/>
          <w:b/>
        </w:rPr>
        <w:t>Page</w:t>
      </w:r>
    </w:p>
    <w:p w:rsidR="00042C7A" w:rsidRDefault="0079108A">
      <w:pPr>
        <w:pStyle w:val="TOC1"/>
        <w:rPr>
          <w:rFonts w:asciiTheme="minorHAnsi" w:eastAsiaTheme="minorEastAsia" w:hAnsiTheme="minorHAnsi" w:cstheme="minorBidi"/>
          <w:sz w:val="22"/>
          <w:szCs w:val="22"/>
        </w:rPr>
      </w:pPr>
      <w:r>
        <w:fldChar w:fldCharType="begin"/>
      </w:r>
      <w:r>
        <w:instrText xml:space="preserve"> TOC \o "1-1" \t "Heading 2,2,Heading 3,3,Heading 4,4,Heading 5,5,Heading 8,8,Heading 9,1,main,1,mainex,1,Header,1,dummy,1,Appendix Page Headers,2,List Paragraph,1,Level 2,2,Level 3,3,Subtitle,2" </w:instrText>
      </w:r>
      <w:r>
        <w:fldChar w:fldCharType="separate"/>
      </w:r>
      <w:r w:rsidR="00042C7A">
        <w:t>DECISION REGARDING THE APPLICABILITY OF THE</w:t>
      </w:r>
      <w:r w:rsidR="00042C7A" w:rsidRPr="00694756">
        <w:rPr>
          <w:rFonts w:cs="Helvetica"/>
        </w:rPr>
        <w:t> </w:t>
      </w:r>
      <w:r w:rsidR="00042C7A">
        <w:t>COMMISSION’S</w:t>
      </w:r>
      <w:r w:rsidR="00042C7A" w:rsidRPr="00694756">
        <w:rPr>
          <w:rFonts w:cs="Helvetica"/>
        </w:rPr>
        <w:t> </w:t>
      </w:r>
      <w:r w:rsidR="00042C7A">
        <w:t>RIGHT-OF-WAY RULES TO</w:t>
      </w:r>
      <w:r w:rsidR="00042C7A" w:rsidRPr="00694756">
        <w:rPr>
          <w:rFonts w:cs="Helvetica"/>
        </w:rPr>
        <w:t> </w:t>
      </w:r>
      <w:r w:rsidR="00042C7A">
        <w:t>COMMERCIAL</w:t>
      </w:r>
      <w:r w:rsidR="00042C7A" w:rsidRPr="00694756">
        <w:rPr>
          <w:rFonts w:cs="Helvetica"/>
        </w:rPr>
        <w:t> </w:t>
      </w:r>
      <w:r w:rsidR="00042C7A">
        <w:t>MOBILE</w:t>
      </w:r>
      <w:r w:rsidR="00042C7A" w:rsidRPr="00694756">
        <w:rPr>
          <w:rFonts w:cs="Helvetica"/>
        </w:rPr>
        <w:t> </w:t>
      </w:r>
      <w:r w:rsidR="00042C7A">
        <w:t>RADIO</w:t>
      </w:r>
      <w:r w:rsidR="00042C7A" w:rsidRPr="00694756">
        <w:rPr>
          <w:rFonts w:cs="Helvetica"/>
        </w:rPr>
        <w:t> </w:t>
      </w:r>
      <w:r w:rsidR="00042C7A">
        <w:t>SERVICE</w:t>
      </w:r>
      <w:r w:rsidR="00042C7A" w:rsidRPr="00694756">
        <w:rPr>
          <w:rFonts w:cs="Helvetica"/>
        </w:rPr>
        <w:t> </w:t>
      </w:r>
      <w:r w:rsidR="00042C7A">
        <w:t>CARRIERS</w:t>
      </w:r>
      <w:r w:rsidR="00042C7A">
        <w:tab/>
      </w:r>
      <w:r w:rsidR="00042C7A">
        <w:fldChar w:fldCharType="begin"/>
      </w:r>
      <w:r w:rsidR="00042C7A">
        <w:instrText xml:space="preserve"> PAGEREF _Toc436647306 \h </w:instrText>
      </w:r>
      <w:r w:rsidR="00042C7A">
        <w:fldChar w:fldCharType="separate"/>
      </w:r>
      <w:r w:rsidR="00F94EB1">
        <w:t>1</w:t>
      </w:r>
      <w:r w:rsidR="00042C7A">
        <w:fldChar w:fldCharType="end"/>
      </w:r>
    </w:p>
    <w:p w:rsidR="00042C7A" w:rsidRDefault="00042C7A">
      <w:pPr>
        <w:pStyle w:val="TOC1"/>
        <w:rPr>
          <w:rFonts w:asciiTheme="minorHAnsi" w:eastAsiaTheme="minorEastAsia" w:hAnsiTheme="minorHAnsi" w:cstheme="minorBidi"/>
          <w:sz w:val="22"/>
          <w:szCs w:val="22"/>
        </w:rPr>
      </w:pPr>
      <w:r>
        <w:t>1.</w:t>
      </w:r>
      <w:r>
        <w:rPr>
          <w:rFonts w:asciiTheme="minorHAnsi" w:eastAsiaTheme="minorEastAsia" w:hAnsiTheme="minorHAnsi" w:cstheme="minorBidi"/>
          <w:sz w:val="22"/>
          <w:szCs w:val="22"/>
        </w:rPr>
        <w:tab/>
      </w:r>
      <w:r>
        <w:t>Summary</w:t>
      </w:r>
      <w:r>
        <w:tab/>
      </w:r>
      <w:r>
        <w:fldChar w:fldCharType="begin"/>
      </w:r>
      <w:r>
        <w:instrText xml:space="preserve"> PAGEREF _Toc436647307 \h </w:instrText>
      </w:r>
      <w:r>
        <w:fldChar w:fldCharType="separate"/>
      </w:r>
      <w:r w:rsidR="00F94EB1">
        <w:t>2</w:t>
      </w:r>
      <w:r>
        <w:fldChar w:fldCharType="end"/>
      </w:r>
    </w:p>
    <w:p w:rsidR="00042C7A" w:rsidRDefault="00042C7A">
      <w:pPr>
        <w:pStyle w:val="TOC1"/>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Background</w:t>
      </w:r>
      <w:r>
        <w:tab/>
      </w:r>
      <w:r>
        <w:fldChar w:fldCharType="begin"/>
      </w:r>
      <w:r>
        <w:instrText xml:space="preserve"> PAGEREF _Toc436647308 \h </w:instrText>
      </w:r>
      <w:r>
        <w:fldChar w:fldCharType="separate"/>
      </w:r>
      <w:r w:rsidR="00F94EB1">
        <w:t>4</w:t>
      </w:r>
      <w:r>
        <w:fldChar w:fldCharType="end"/>
      </w:r>
    </w:p>
    <w:p w:rsidR="00042C7A" w:rsidRDefault="00042C7A">
      <w:pPr>
        <w:pStyle w:val="TOC2"/>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Federal Laws and Regulations</w:t>
      </w:r>
      <w:r>
        <w:tab/>
      </w:r>
      <w:r>
        <w:fldChar w:fldCharType="begin"/>
      </w:r>
      <w:r>
        <w:instrText xml:space="preserve"> PAGEREF _Toc436647309 \h </w:instrText>
      </w:r>
      <w:r>
        <w:fldChar w:fldCharType="separate"/>
      </w:r>
      <w:r w:rsidR="00F94EB1">
        <w:t>4</w:t>
      </w:r>
      <w:r>
        <w:fldChar w:fldCharType="end"/>
      </w:r>
    </w:p>
    <w:p w:rsidR="00042C7A" w:rsidRDefault="00042C7A">
      <w:pPr>
        <w:pStyle w:val="TOC2"/>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Decision 98-10-058 and the ROW Rules</w:t>
      </w:r>
      <w:r>
        <w:tab/>
      </w:r>
      <w:r>
        <w:fldChar w:fldCharType="begin"/>
      </w:r>
      <w:r>
        <w:instrText xml:space="preserve"> PAGEREF _Toc436647310 \h </w:instrText>
      </w:r>
      <w:r>
        <w:fldChar w:fldCharType="separate"/>
      </w:r>
      <w:r w:rsidR="00F94EB1">
        <w:t>6</w:t>
      </w:r>
      <w:r>
        <w:fldChar w:fldCharType="end"/>
      </w:r>
    </w:p>
    <w:p w:rsidR="00042C7A" w:rsidRDefault="00042C7A">
      <w:pPr>
        <w:pStyle w:val="TOC2"/>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Scope of the Proceeding</w:t>
      </w:r>
      <w:r>
        <w:tab/>
      </w:r>
      <w:r>
        <w:fldChar w:fldCharType="begin"/>
      </w:r>
      <w:r>
        <w:instrText xml:space="preserve"> PAGEREF _Toc436647311 \h </w:instrText>
      </w:r>
      <w:r>
        <w:fldChar w:fldCharType="separate"/>
      </w:r>
      <w:r w:rsidR="00F94EB1">
        <w:t>8</w:t>
      </w:r>
      <w:r>
        <w:fldChar w:fldCharType="end"/>
      </w:r>
    </w:p>
    <w:p w:rsidR="00042C7A" w:rsidRDefault="00042C7A">
      <w:pPr>
        <w:pStyle w:val="TOC2"/>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Procedural Background</w:t>
      </w:r>
      <w:r>
        <w:tab/>
      </w:r>
      <w:r>
        <w:fldChar w:fldCharType="begin"/>
      </w:r>
      <w:r>
        <w:instrText xml:space="preserve"> PAGEREF _Toc436647312 \h </w:instrText>
      </w:r>
      <w:r>
        <w:fldChar w:fldCharType="separate"/>
      </w:r>
      <w:r w:rsidR="00F94EB1">
        <w:t>9</w:t>
      </w:r>
      <w:r>
        <w:fldChar w:fldCharType="end"/>
      </w:r>
    </w:p>
    <w:p w:rsidR="00042C7A" w:rsidRDefault="00042C7A">
      <w:pPr>
        <w:pStyle w:val="TOC1"/>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Issues</w:t>
      </w:r>
      <w:r>
        <w:tab/>
      </w:r>
      <w:r>
        <w:fldChar w:fldCharType="begin"/>
      </w:r>
      <w:r>
        <w:instrText xml:space="preserve"> PAGEREF _Toc436647313 \h </w:instrText>
      </w:r>
      <w:r>
        <w:fldChar w:fldCharType="separate"/>
      </w:r>
      <w:r w:rsidR="00F94EB1">
        <w:t>12</w:t>
      </w:r>
      <w:r>
        <w:fldChar w:fldCharType="end"/>
      </w:r>
    </w:p>
    <w:p w:rsidR="00042C7A" w:rsidRDefault="00042C7A">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Extending the ROW Rules to CMRS Carriers</w:t>
      </w:r>
      <w:r>
        <w:tab/>
      </w:r>
      <w:r>
        <w:fldChar w:fldCharType="begin"/>
      </w:r>
      <w:r>
        <w:instrText xml:space="preserve"> PAGEREF _Toc436647314 \h </w:instrText>
      </w:r>
      <w:r>
        <w:fldChar w:fldCharType="separate"/>
      </w:r>
      <w:r w:rsidR="00F94EB1">
        <w:t>12</w:t>
      </w:r>
      <w:r>
        <w:fldChar w:fldCharType="end"/>
      </w:r>
    </w:p>
    <w:p w:rsidR="00042C7A" w:rsidRDefault="00042C7A">
      <w:pPr>
        <w:pStyle w:val="TOC3"/>
        <w:rPr>
          <w:rFonts w:asciiTheme="minorHAnsi" w:eastAsiaTheme="minorEastAsia" w:hAnsiTheme="minorHAnsi" w:cstheme="minorBidi"/>
          <w:sz w:val="22"/>
          <w:szCs w:val="22"/>
        </w:rPr>
      </w:pPr>
      <w:r>
        <w:t>3.1.1.</w:t>
      </w:r>
      <w:r>
        <w:rPr>
          <w:rFonts w:asciiTheme="minorHAnsi" w:eastAsiaTheme="minorEastAsia" w:hAnsiTheme="minorHAnsi" w:cstheme="minorBidi"/>
          <w:sz w:val="22"/>
          <w:szCs w:val="22"/>
        </w:rPr>
        <w:tab/>
      </w:r>
      <w:r>
        <w:t>Positions of the Parties</w:t>
      </w:r>
      <w:r>
        <w:tab/>
      </w:r>
      <w:r>
        <w:fldChar w:fldCharType="begin"/>
      </w:r>
      <w:r>
        <w:instrText xml:space="preserve"> PAGEREF _Toc436647315 \h </w:instrText>
      </w:r>
      <w:r>
        <w:fldChar w:fldCharType="separate"/>
      </w:r>
      <w:r w:rsidR="00F94EB1">
        <w:t>12</w:t>
      </w:r>
      <w:r>
        <w:fldChar w:fldCharType="end"/>
      </w:r>
    </w:p>
    <w:p w:rsidR="00042C7A" w:rsidRDefault="00042C7A">
      <w:pPr>
        <w:pStyle w:val="TOC3"/>
        <w:rPr>
          <w:rFonts w:asciiTheme="minorHAnsi" w:eastAsiaTheme="minorEastAsia" w:hAnsiTheme="minorHAnsi" w:cstheme="minorBidi"/>
          <w:sz w:val="22"/>
          <w:szCs w:val="22"/>
        </w:rPr>
      </w:pPr>
      <w:r>
        <w:t>3.1.2.</w:t>
      </w:r>
      <w:r>
        <w:rPr>
          <w:rFonts w:asciiTheme="minorHAnsi" w:eastAsiaTheme="minorEastAsia" w:hAnsiTheme="minorHAnsi" w:cstheme="minorBidi"/>
          <w:sz w:val="22"/>
          <w:szCs w:val="22"/>
        </w:rPr>
        <w:tab/>
      </w:r>
      <w:r>
        <w:t>Discussion</w:t>
      </w:r>
      <w:r>
        <w:tab/>
      </w:r>
      <w:r>
        <w:fldChar w:fldCharType="begin"/>
      </w:r>
      <w:r>
        <w:instrText xml:space="preserve"> PAGEREF _Toc436647316 \h </w:instrText>
      </w:r>
      <w:r>
        <w:fldChar w:fldCharType="separate"/>
      </w:r>
      <w:r w:rsidR="00F94EB1">
        <w:t>13</w:t>
      </w:r>
      <w:r>
        <w:fldChar w:fldCharType="end"/>
      </w:r>
    </w:p>
    <w:p w:rsidR="00042C7A" w:rsidRDefault="00042C7A">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Fees and Charges for CMRS Attachments</w:t>
      </w:r>
      <w:r>
        <w:tab/>
      </w:r>
      <w:r>
        <w:fldChar w:fldCharType="begin"/>
      </w:r>
      <w:r>
        <w:instrText xml:space="preserve"> PAGEREF _Toc436647317 \h </w:instrText>
      </w:r>
      <w:r>
        <w:fldChar w:fldCharType="separate"/>
      </w:r>
      <w:r w:rsidR="00F94EB1">
        <w:t>16</w:t>
      </w:r>
      <w:r>
        <w:fldChar w:fldCharType="end"/>
      </w:r>
    </w:p>
    <w:p w:rsidR="00042C7A" w:rsidRDefault="00042C7A">
      <w:pPr>
        <w:pStyle w:val="TOC3"/>
        <w:rPr>
          <w:rFonts w:asciiTheme="minorHAnsi" w:eastAsiaTheme="minorEastAsia" w:hAnsiTheme="minorHAnsi" w:cstheme="minorBidi"/>
          <w:sz w:val="22"/>
          <w:szCs w:val="22"/>
        </w:rPr>
      </w:pPr>
      <w:r>
        <w:t>3.2.1.</w:t>
      </w:r>
      <w:r>
        <w:rPr>
          <w:rFonts w:asciiTheme="minorHAnsi" w:eastAsiaTheme="minorEastAsia" w:hAnsiTheme="minorHAnsi" w:cstheme="minorBidi"/>
          <w:sz w:val="22"/>
          <w:szCs w:val="22"/>
        </w:rPr>
        <w:tab/>
      </w:r>
      <w:r>
        <w:t>Background</w:t>
      </w:r>
      <w:r>
        <w:tab/>
      </w:r>
      <w:r>
        <w:fldChar w:fldCharType="begin"/>
      </w:r>
      <w:r>
        <w:instrText xml:space="preserve"> PAGEREF _Toc436647318 \h </w:instrText>
      </w:r>
      <w:r>
        <w:fldChar w:fldCharType="separate"/>
      </w:r>
      <w:r w:rsidR="00F94EB1">
        <w:t>16</w:t>
      </w:r>
      <w:r>
        <w:fldChar w:fldCharType="end"/>
      </w:r>
    </w:p>
    <w:p w:rsidR="00042C7A" w:rsidRDefault="00042C7A">
      <w:pPr>
        <w:pStyle w:val="TOC3"/>
        <w:rPr>
          <w:rFonts w:asciiTheme="minorHAnsi" w:eastAsiaTheme="minorEastAsia" w:hAnsiTheme="minorHAnsi" w:cstheme="minorBidi"/>
          <w:sz w:val="22"/>
          <w:szCs w:val="22"/>
        </w:rPr>
      </w:pPr>
      <w:r>
        <w:t>3.2.2.</w:t>
      </w:r>
      <w:r>
        <w:rPr>
          <w:rFonts w:asciiTheme="minorHAnsi" w:eastAsiaTheme="minorEastAsia" w:hAnsiTheme="minorHAnsi" w:cstheme="minorBidi"/>
          <w:sz w:val="22"/>
          <w:szCs w:val="22"/>
        </w:rPr>
        <w:tab/>
      </w:r>
      <w:r>
        <w:t>Positions of the Parties</w:t>
      </w:r>
      <w:r>
        <w:tab/>
      </w:r>
      <w:r>
        <w:fldChar w:fldCharType="begin"/>
      </w:r>
      <w:r>
        <w:instrText xml:space="preserve"> PAGEREF _Toc436647319 \h </w:instrText>
      </w:r>
      <w:r>
        <w:fldChar w:fldCharType="separate"/>
      </w:r>
      <w:r w:rsidR="00F94EB1">
        <w:t>18</w:t>
      </w:r>
      <w:r>
        <w:fldChar w:fldCharType="end"/>
      </w:r>
    </w:p>
    <w:p w:rsidR="00042C7A" w:rsidRDefault="00042C7A">
      <w:pPr>
        <w:pStyle w:val="TOC3"/>
        <w:rPr>
          <w:rFonts w:asciiTheme="minorHAnsi" w:eastAsiaTheme="minorEastAsia" w:hAnsiTheme="minorHAnsi" w:cstheme="minorBidi"/>
          <w:sz w:val="22"/>
          <w:szCs w:val="22"/>
        </w:rPr>
      </w:pPr>
      <w:r>
        <w:t>3.2.3.</w:t>
      </w:r>
      <w:r>
        <w:rPr>
          <w:rFonts w:asciiTheme="minorHAnsi" w:eastAsiaTheme="minorEastAsia" w:hAnsiTheme="minorHAnsi" w:cstheme="minorBidi"/>
          <w:sz w:val="22"/>
          <w:szCs w:val="22"/>
        </w:rPr>
        <w:tab/>
      </w:r>
      <w:r>
        <w:t>Discussion</w:t>
      </w:r>
      <w:r>
        <w:tab/>
      </w:r>
      <w:r>
        <w:fldChar w:fldCharType="begin"/>
      </w:r>
      <w:r>
        <w:instrText xml:space="preserve"> PAGEREF _Toc436647320 \h </w:instrText>
      </w:r>
      <w:r>
        <w:fldChar w:fldCharType="separate"/>
      </w:r>
      <w:r w:rsidR="00F94EB1">
        <w:t>24</w:t>
      </w:r>
      <w:r>
        <w:fldChar w:fldCharType="end"/>
      </w:r>
    </w:p>
    <w:p w:rsidR="00042C7A" w:rsidRDefault="00042C7A" w:rsidP="006D0B73">
      <w:pPr>
        <w:pStyle w:val="TOC4"/>
        <w:tabs>
          <w:tab w:val="clear" w:pos="3600"/>
        </w:tabs>
        <w:ind w:left="3240"/>
        <w:rPr>
          <w:rFonts w:asciiTheme="minorHAnsi" w:eastAsiaTheme="minorEastAsia" w:hAnsiTheme="minorHAnsi" w:cstheme="minorBidi"/>
          <w:sz w:val="22"/>
          <w:szCs w:val="22"/>
        </w:rPr>
      </w:pPr>
      <w:r>
        <w:t>3.2.3.1</w:t>
      </w:r>
      <w:r>
        <w:rPr>
          <w:rFonts w:asciiTheme="minorHAnsi" w:eastAsiaTheme="minorEastAsia" w:hAnsiTheme="minorHAnsi" w:cstheme="minorBidi"/>
          <w:sz w:val="22"/>
          <w:szCs w:val="22"/>
        </w:rPr>
        <w:tab/>
      </w:r>
      <w:r>
        <w:t>Pole Space Subject to the 7.4% Fee</w:t>
      </w:r>
      <w:r>
        <w:tab/>
      </w:r>
      <w:r>
        <w:fldChar w:fldCharType="begin"/>
      </w:r>
      <w:r>
        <w:instrText xml:space="preserve"> PAGEREF _Toc436647321 \h </w:instrText>
      </w:r>
      <w:r>
        <w:fldChar w:fldCharType="separate"/>
      </w:r>
      <w:r w:rsidR="00F94EB1">
        <w:t>31</w:t>
      </w:r>
      <w:r>
        <w:fldChar w:fldCharType="end"/>
      </w:r>
    </w:p>
    <w:p w:rsidR="00042C7A" w:rsidRDefault="00042C7A" w:rsidP="006D0B73">
      <w:pPr>
        <w:pStyle w:val="TOC4"/>
        <w:tabs>
          <w:tab w:val="clear" w:pos="3600"/>
        </w:tabs>
        <w:ind w:left="3240"/>
        <w:rPr>
          <w:rFonts w:asciiTheme="minorHAnsi" w:eastAsiaTheme="minorEastAsia" w:hAnsiTheme="minorHAnsi" w:cstheme="minorBidi"/>
          <w:sz w:val="22"/>
          <w:szCs w:val="22"/>
        </w:rPr>
      </w:pPr>
      <w:r>
        <w:t>3.2.3.2</w:t>
      </w:r>
      <w:r>
        <w:rPr>
          <w:rFonts w:asciiTheme="minorHAnsi" w:eastAsiaTheme="minorEastAsia" w:hAnsiTheme="minorHAnsi" w:cstheme="minorBidi"/>
          <w:sz w:val="22"/>
          <w:szCs w:val="22"/>
        </w:rPr>
        <w:tab/>
      </w:r>
      <w:r>
        <w:t>Rounding and Minimum Fee</w:t>
      </w:r>
      <w:r>
        <w:tab/>
      </w:r>
      <w:r>
        <w:fldChar w:fldCharType="begin"/>
      </w:r>
      <w:r>
        <w:instrText xml:space="preserve"> PAGEREF _Toc436647322 \h </w:instrText>
      </w:r>
      <w:r>
        <w:fldChar w:fldCharType="separate"/>
      </w:r>
      <w:r w:rsidR="00F94EB1">
        <w:t>34</w:t>
      </w:r>
      <w:r>
        <w:fldChar w:fldCharType="end"/>
      </w:r>
    </w:p>
    <w:p w:rsidR="00042C7A" w:rsidRDefault="00042C7A" w:rsidP="006D0B73">
      <w:pPr>
        <w:pStyle w:val="TOC4"/>
        <w:tabs>
          <w:tab w:val="clear" w:pos="3600"/>
        </w:tabs>
        <w:ind w:left="3240"/>
        <w:rPr>
          <w:rFonts w:asciiTheme="minorHAnsi" w:eastAsiaTheme="minorEastAsia" w:hAnsiTheme="minorHAnsi" w:cstheme="minorBidi"/>
          <w:sz w:val="22"/>
          <w:szCs w:val="22"/>
        </w:rPr>
      </w:pPr>
      <w:r>
        <w:t>3.2.3.3</w:t>
      </w:r>
      <w:r>
        <w:rPr>
          <w:rFonts w:asciiTheme="minorHAnsi" w:eastAsiaTheme="minorEastAsia" w:hAnsiTheme="minorHAnsi" w:cstheme="minorBidi"/>
          <w:sz w:val="22"/>
          <w:szCs w:val="22"/>
        </w:rPr>
        <w:tab/>
      </w:r>
      <w:r>
        <w:t>Pole</w:t>
      </w:r>
      <w:r>
        <w:noBreakHyphen/>
        <w:t>Top Antennas</w:t>
      </w:r>
      <w:r>
        <w:tab/>
      </w:r>
      <w:r>
        <w:fldChar w:fldCharType="begin"/>
      </w:r>
      <w:r>
        <w:instrText xml:space="preserve"> PAGEREF _Toc436647323 \h </w:instrText>
      </w:r>
      <w:r>
        <w:fldChar w:fldCharType="separate"/>
      </w:r>
      <w:r w:rsidR="00F94EB1">
        <w:t>35</w:t>
      </w:r>
      <w:r>
        <w:fldChar w:fldCharType="end"/>
      </w:r>
    </w:p>
    <w:p w:rsidR="00042C7A" w:rsidRDefault="00042C7A" w:rsidP="006D0B73">
      <w:pPr>
        <w:pStyle w:val="TOC4"/>
        <w:tabs>
          <w:tab w:val="clear" w:pos="3600"/>
        </w:tabs>
        <w:ind w:left="3240"/>
        <w:rPr>
          <w:rFonts w:asciiTheme="minorHAnsi" w:eastAsiaTheme="minorEastAsia" w:hAnsiTheme="minorHAnsi" w:cstheme="minorBidi"/>
          <w:sz w:val="22"/>
          <w:szCs w:val="22"/>
        </w:rPr>
      </w:pPr>
      <w:r>
        <w:t>3.2.3.4</w:t>
      </w:r>
      <w:r>
        <w:rPr>
          <w:rFonts w:asciiTheme="minorHAnsi" w:eastAsiaTheme="minorEastAsia" w:hAnsiTheme="minorHAnsi" w:cstheme="minorBidi"/>
          <w:sz w:val="22"/>
          <w:szCs w:val="22"/>
        </w:rPr>
        <w:tab/>
      </w:r>
      <w:r>
        <w:t>Shared Pole Space</w:t>
      </w:r>
      <w:r>
        <w:tab/>
      </w:r>
      <w:r>
        <w:fldChar w:fldCharType="begin"/>
      </w:r>
      <w:r>
        <w:instrText xml:space="preserve"> PAGEREF _Toc436647324 \h </w:instrText>
      </w:r>
      <w:r>
        <w:fldChar w:fldCharType="separate"/>
      </w:r>
      <w:r w:rsidR="00F94EB1">
        <w:t>37</w:t>
      </w:r>
      <w:r>
        <w:fldChar w:fldCharType="end"/>
      </w:r>
    </w:p>
    <w:p w:rsidR="00042C7A" w:rsidRDefault="00042C7A" w:rsidP="006D0B73">
      <w:pPr>
        <w:pStyle w:val="TOC4"/>
        <w:tabs>
          <w:tab w:val="clear" w:pos="3600"/>
        </w:tabs>
        <w:ind w:left="3240"/>
        <w:rPr>
          <w:rFonts w:asciiTheme="minorHAnsi" w:eastAsiaTheme="minorEastAsia" w:hAnsiTheme="minorHAnsi" w:cstheme="minorBidi"/>
          <w:sz w:val="22"/>
          <w:szCs w:val="22"/>
        </w:rPr>
      </w:pPr>
      <w:r>
        <w:t>3.2.3.5</w:t>
      </w:r>
      <w:r>
        <w:rPr>
          <w:rFonts w:asciiTheme="minorHAnsi" w:eastAsiaTheme="minorEastAsia" w:hAnsiTheme="minorHAnsi" w:cstheme="minorBidi"/>
          <w:sz w:val="22"/>
          <w:szCs w:val="22"/>
        </w:rPr>
        <w:tab/>
      </w:r>
      <w:r>
        <w:t>Common Space</w:t>
      </w:r>
      <w:r>
        <w:tab/>
      </w:r>
      <w:r>
        <w:fldChar w:fldCharType="begin"/>
      </w:r>
      <w:r>
        <w:instrText xml:space="preserve"> PAGEREF _Toc436647325 \h </w:instrText>
      </w:r>
      <w:r>
        <w:fldChar w:fldCharType="separate"/>
      </w:r>
      <w:r w:rsidR="00F94EB1">
        <w:t>38</w:t>
      </w:r>
      <w:r>
        <w:fldChar w:fldCharType="end"/>
      </w:r>
    </w:p>
    <w:p w:rsidR="00042C7A" w:rsidRDefault="00042C7A" w:rsidP="006D0B73">
      <w:pPr>
        <w:pStyle w:val="TOC4"/>
        <w:tabs>
          <w:tab w:val="clear" w:pos="3600"/>
        </w:tabs>
        <w:ind w:left="3240"/>
        <w:rPr>
          <w:rFonts w:asciiTheme="minorHAnsi" w:eastAsiaTheme="minorEastAsia" w:hAnsiTheme="minorHAnsi" w:cstheme="minorBidi"/>
          <w:sz w:val="22"/>
          <w:szCs w:val="22"/>
        </w:rPr>
      </w:pPr>
      <w:r>
        <w:t>3.2.3.6</w:t>
      </w:r>
      <w:r>
        <w:rPr>
          <w:rFonts w:asciiTheme="minorHAnsi" w:eastAsiaTheme="minorEastAsia" w:hAnsiTheme="minorHAnsi" w:cstheme="minorBidi"/>
          <w:sz w:val="22"/>
          <w:szCs w:val="22"/>
        </w:rPr>
        <w:tab/>
      </w:r>
      <w:r>
        <w:t>Pole-Attachment Fees in Excess of 100%</w:t>
      </w:r>
      <w:r>
        <w:tab/>
      </w:r>
      <w:r>
        <w:fldChar w:fldCharType="begin"/>
      </w:r>
      <w:r>
        <w:instrText xml:space="preserve"> PAGEREF _Toc436647326 \h </w:instrText>
      </w:r>
      <w:r>
        <w:fldChar w:fldCharType="separate"/>
      </w:r>
      <w:r w:rsidR="00F94EB1">
        <w:t>40</w:t>
      </w:r>
      <w:r>
        <w:fldChar w:fldCharType="end"/>
      </w:r>
    </w:p>
    <w:p w:rsidR="00042C7A" w:rsidRDefault="00042C7A" w:rsidP="006D0B73">
      <w:pPr>
        <w:pStyle w:val="TOC4"/>
        <w:tabs>
          <w:tab w:val="clear" w:pos="3600"/>
        </w:tabs>
        <w:ind w:left="3240"/>
        <w:rPr>
          <w:rFonts w:asciiTheme="minorHAnsi" w:eastAsiaTheme="minorEastAsia" w:hAnsiTheme="minorHAnsi" w:cstheme="minorBidi"/>
          <w:sz w:val="22"/>
          <w:szCs w:val="22"/>
        </w:rPr>
      </w:pPr>
      <w:r>
        <w:t>3.2.3.7</w:t>
      </w:r>
      <w:r>
        <w:rPr>
          <w:rFonts w:asciiTheme="minorHAnsi" w:eastAsiaTheme="minorEastAsia" w:hAnsiTheme="minorHAnsi" w:cstheme="minorBidi"/>
          <w:sz w:val="22"/>
          <w:szCs w:val="22"/>
        </w:rPr>
        <w:tab/>
      </w:r>
      <w:r>
        <w:t>Conduits, Risers, and Electric Meters</w:t>
      </w:r>
      <w:r>
        <w:tab/>
      </w:r>
      <w:r>
        <w:fldChar w:fldCharType="begin"/>
      </w:r>
      <w:r>
        <w:instrText xml:space="preserve"> PAGEREF _Toc436647327 \h </w:instrText>
      </w:r>
      <w:r>
        <w:fldChar w:fldCharType="separate"/>
      </w:r>
      <w:r w:rsidR="00F94EB1">
        <w:t>42</w:t>
      </w:r>
      <w:r>
        <w:fldChar w:fldCharType="end"/>
      </w:r>
    </w:p>
    <w:p w:rsidR="00042C7A" w:rsidRDefault="00042C7A" w:rsidP="006D0B73">
      <w:pPr>
        <w:pStyle w:val="TOC4"/>
        <w:tabs>
          <w:tab w:val="clear" w:pos="3600"/>
        </w:tabs>
        <w:ind w:left="3240"/>
        <w:rPr>
          <w:rFonts w:asciiTheme="minorHAnsi" w:eastAsiaTheme="minorEastAsia" w:hAnsiTheme="minorHAnsi" w:cstheme="minorBidi"/>
          <w:sz w:val="22"/>
          <w:szCs w:val="22"/>
        </w:rPr>
      </w:pPr>
      <w:r>
        <w:t>3.2.3.8</w:t>
      </w:r>
      <w:r>
        <w:rPr>
          <w:rFonts w:asciiTheme="minorHAnsi" w:eastAsiaTheme="minorEastAsia" w:hAnsiTheme="minorHAnsi" w:cstheme="minorBidi"/>
          <w:sz w:val="22"/>
          <w:szCs w:val="22"/>
        </w:rPr>
        <w:tab/>
      </w:r>
      <w:r>
        <w:t>No Changes to Charges and Fees for CLEC and CATV Attachments</w:t>
      </w:r>
      <w:r>
        <w:tab/>
      </w:r>
      <w:r>
        <w:fldChar w:fldCharType="begin"/>
      </w:r>
      <w:r>
        <w:instrText xml:space="preserve"> PAGEREF _Toc436647328 \h </w:instrText>
      </w:r>
      <w:r>
        <w:fldChar w:fldCharType="separate"/>
      </w:r>
      <w:r w:rsidR="00F94EB1">
        <w:t>43</w:t>
      </w:r>
      <w:r>
        <w:fldChar w:fldCharType="end"/>
      </w:r>
    </w:p>
    <w:p w:rsidR="00042C7A" w:rsidRDefault="00042C7A">
      <w:pPr>
        <w:pStyle w:val="TOC2"/>
        <w:rPr>
          <w:rFonts w:asciiTheme="minorHAnsi" w:eastAsiaTheme="minorEastAsia" w:hAnsiTheme="minorHAnsi" w:cstheme="minorBidi"/>
          <w:sz w:val="22"/>
          <w:szCs w:val="22"/>
        </w:rPr>
      </w:pPr>
      <w:r>
        <w:t>3.3.</w:t>
      </w:r>
      <w:r>
        <w:rPr>
          <w:rFonts w:asciiTheme="minorHAnsi" w:eastAsiaTheme="minorEastAsia" w:hAnsiTheme="minorHAnsi" w:cstheme="minorBidi"/>
          <w:sz w:val="22"/>
          <w:szCs w:val="22"/>
        </w:rPr>
        <w:tab/>
      </w:r>
      <w:r>
        <w:t>Adopted Changes to the Text of the ROW Rules</w:t>
      </w:r>
      <w:r>
        <w:tab/>
      </w:r>
      <w:r>
        <w:fldChar w:fldCharType="begin"/>
      </w:r>
      <w:r>
        <w:instrText xml:space="preserve"> PAGEREF _Toc436647330 \h </w:instrText>
      </w:r>
      <w:r>
        <w:fldChar w:fldCharType="separate"/>
      </w:r>
      <w:r w:rsidR="00F94EB1">
        <w:t>44</w:t>
      </w:r>
      <w:r>
        <w:fldChar w:fldCharType="end"/>
      </w:r>
    </w:p>
    <w:p w:rsidR="00042C7A" w:rsidRDefault="00042C7A">
      <w:pPr>
        <w:pStyle w:val="TOC2"/>
        <w:rPr>
          <w:rFonts w:asciiTheme="minorHAnsi" w:eastAsiaTheme="minorEastAsia" w:hAnsiTheme="minorHAnsi" w:cstheme="minorBidi"/>
          <w:sz w:val="22"/>
          <w:szCs w:val="22"/>
        </w:rPr>
      </w:pPr>
      <w:r>
        <w:t>3.4.</w:t>
      </w:r>
      <w:r>
        <w:rPr>
          <w:rFonts w:asciiTheme="minorHAnsi" w:eastAsiaTheme="minorEastAsia" w:hAnsiTheme="minorHAnsi" w:cstheme="minorBidi"/>
          <w:sz w:val="22"/>
          <w:szCs w:val="22"/>
        </w:rPr>
        <w:tab/>
      </w:r>
      <w:r>
        <w:t>No Tariffs for CMRS Attachments</w:t>
      </w:r>
      <w:r>
        <w:tab/>
      </w:r>
      <w:r>
        <w:fldChar w:fldCharType="begin"/>
      </w:r>
      <w:r>
        <w:instrText xml:space="preserve"> PAGEREF _Toc436647331 \h </w:instrText>
      </w:r>
      <w:r>
        <w:fldChar w:fldCharType="separate"/>
      </w:r>
      <w:r w:rsidR="00F94EB1">
        <w:t>45</w:t>
      </w:r>
      <w:r>
        <w:fldChar w:fldCharType="end"/>
      </w:r>
    </w:p>
    <w:p w:rsidR="00042C7A" w:rsidRDefault="00042C7A">
      <w:pPr>
        <w:pStyle w:val="TOC2"/>
        <w:rPr>
          <w:rFonts w:asciiTheme="minorHAnsi" w:eastAsiaTheme="minorEastAsia" w:hAnsiTheme="minorHAnsi" w:cstheme="minorBidi"/>
          <w:sz w:val="22"/>
          <w:szCs w:val="22"/>
        </w:rPr>
      </w:pPr>
      <w:r>
        <w:t>3.5.</w:t>
      </w:r>
      <w:r>
        <w:rPr>
          <w:rFonts w:asciiTheme="minorHAnsi" w:eastAsiaTheme="minorEastAsia" w:hAnsiTheme="minorHAnsi" w:cstheme="minorBidi"/>
          <w:sz w:val="22"/>
          <w:szCs w:val="22"/>
        </w:rPr>
        <w:tab/>
      </w:r>
      <w:r>
        <w:t>Accounting and Ratemaking for CMRS Attachments</w:t>
      </w:r>
      <w:r>
        <w:tab/>
      </w:r>
      <w:r>
        <w:fldChar w:fldCharType="begin"/>
      </w:r>
      <w:r>
        <w:instrText xml:space="preserve"> PAGEREF _Toc436647332 \h </w:instrText>
      </w:r>
      <w:r>
        <w:fldChar w:fldCharType="separate"/>
      </w:r>
      <w:r w:rsidR="00F94EB1">
        <w:t>46</w:t>
      </w:r>
      <w:r>
        <w:fldChar w:fldCharType="end"/>
      </w:r>
    </w:p>
    <w:p w:rsidR="00042C7A" w:rsidRDefault="00042C7A">
      <w:pPr>
        <w:pStyle w:val="TOC2"/>
        <w:rPr>
          <w:rFonts w:asciiTheme="minorHAnsi" w:eastAsiaTheme="minorEastAsia" w:hAnsiTheme="minorHAnsi" w:cstheme="minorBidi"/>
          <w:sz w:val="22"/>
          <w:szCs w:val="22"/>
        </w:rPr>
      </w:pPr>
      <w:r>
        <w:t>3.6.</w:t>
      </w:r>
      <w:r>
        <w:rPr>
          <w:rFonts w:asciiTheme="minorHAnsi" w:eastAsiaTheme="minorEastAsia" w:hAnsiTheme="minorHAnsi" w:cstheme="minorBidi"/>
          <w:sz w:val="22"/>
          <w:szCs w:val="22"/>
        </w:rPr>
        <w:tab/>
      </w:r>
      <w:r>
        <w:t xml:space="preserve">Certification of Compliance with </w:t>
      </w:r>
      <w:r w:rsidRPr="00694756">
        <w:t>47 U.S.C. </w:t>
      </w:r>
      <w:r>
        <w:t>§§ 224(c)</w:t>
      </w:r>
      <w:r>
        <w:tab/>
      </w:r>
      <w:r>
        <w:fldChar w:fldCharType="begin"/>
      </w:r>
      <w:r>
        <w:instrText xml:space="preserve"> PAGEREF _Toc436647333 \h </w:instrText>
      </w:r>
      <w:r>
        <w:fldChar w:fldCharType="separate"/>
      </w:r>
      <w:r w:rsidR="00F94EB1">
        <w:t>47</w:t>
      </w:r>
      <w:r>
        <w:fldChar w:fldCharType="end"/>
      </w:r>
    </w:p>
    <w:p w:rsidR="00042C7A" w:rsidRDefault="00042C7A">
      <w:pPr>
        <w:pStyle w:val="TOC2"/>
        <w:rPr>
          <w:rFonts w:asciiTheme="minorHAnsi" w:eastAsiaTheme="minorEastAsia" w:hAnsiTheme="minorHAnsi" w:cstheme="minorBidi"/>
          <w:sz w:val="22"/>
          <w:szCs w:val="22"/>
        </w:rPr>
      </w:pPr>
      <w:r>
        <w:t>3.7.</w:t>
      </w:r>
      <w:r>
        <w:rPr>
          <w:rFonts w:asciiTheme="minorHAnsi" w:eastAsiaTheme="minorEastAsia" w:hAnsiTheme="minorHAnsi" w:cstheme="minorBidi"/>
          <w:sz w:val="22"/>
          <w:szCs w:val="22"/>
        </w:rPr>
        <w:tab/>
      </w:r>
      <w:r>
        <w:t>Implementation of Revised ROW Rules</w:t>
      </w:r>
      <w:r>
        <w:tab/>
      </w:r>
      <w:r>
        <w:fldChar w:fldCharType="begin"/>
      </w:r>
      <w:r>
        <w:instrText xml:space="preserve"> PAGEREF _Toc436647334 \h </w:instrText>
      </w:r>
      <w:r>
        <w:fldChar w:fldCharType="separate"/>
      </w:r>
      <w:r w:rsidR="00F94EB1">
        <w:t>47</w:t>
      </w:r>
      <w:r>
        <w:fldChar w:fldCharType="end"/>
      </w:r>
    </w:p>
    <w:p w:rsidR="00042C7A" w:rsidRDefault="00042C7A">
      <w:pPr>
        <w:pStyle w:val="TOC2"/>
        <w:rPr>
          <w:rFonts w:asciiTheme="minorHAnsi" w:eastAsiaTheme="minorEastAsia" w:hAnsiTheme="minorHAnsi" w:cstheme="minorBidi"/>
          <w:sz w:val="22"/>
          <w:szCs w:val="22"/>
        </w:rPr>
      </w:pPr>
      <w:r>
        <w:t>3.8.</w:t>
      </w:r>
      <w:r>
        <w:rPr>
          <w:rFonts w:asciiTheme="minorHAnsi" w:eastAsiaTheme="minorEastAsia" w:hAnsiTheme="minorHAnsi" w:cstheme="minorBidi"/>
          <w:sz w:val="22"/>
          <w:szCs w:val="22"/>
        </w:rPr>
        <w:tab/>
      </w:r>
      <w:r>
        <w:t>New Safety Regulations for CMRS Pole Attachments</w:t>
      </w:r>
      <w:r>
        <w:tab/>
      </w:r>
      <w:r>
        <w:fldChar w:fldCharType="begin"/>
      </w:r>
      <w:r>
        <w:instrText xml:space="preserve"> PAGEREF _Toc436647335 \h </w:instrText>
      </w:r>
      <w:r>
        <w:fldChar w:fldCharType="separate"/>
      </w:r>
      <w:r w:rsidR="00F94EB1">
        <w:t>47</w:t>
      </w:r>
      <w:r>
        <w:fldChar w:fldCharType="end"/>
      </w:r>
    </w:p>
    <w:p w:rsidR="00042C7A" w:rsidRDefault="00042C7A">
      <w:pPr>
        <w:pStyle w:val="TOC3"/>
        <w:rPr>
          <w:rFonts w:asciiTheme="minorHAnsi" w:eastAsiaTheme="minorEastAsia" w:hAnsiTheme="minorHAnsi" w:cstheme="minorBidi"/>
          <w:sz w:val="22"/>
          <w:szCs w:val="22"/>
        </w:rPr>
      </w:pPr>
      <w:r>
        <w:t>3.8.1.</w:t>
      </w:r>
      <w:r>
        <w:rPr>
          <w:rFonts w:asciiTheme="minorHAnsi" w:eastAsiaTheme="minorEastAsia" w:hAnsiTheme="minorHAnsi" w:cstheme="minorBidi"/>
          <w:sz w:val="22"/>
          <w:szCs w:val="22"/>
        </w:rPr>
        <w:tab/>
      </w:r>
      <w:r>
        <w:t>Proposed Revisions to Rules 21.0</w:t>
      </w:r>
      <w:r>
        <w:noBreakHyphen/>
        <w:t>D and 87.7</w:t>
      </w:r>
      <w:r>
        <w:noBreakHyphen/>
        <w:t>B (Guard Arms)</w:t>
      </w:r>
      <w:r>
        <w:tab/>
      </w:r>
      <w:r>
        <w:fldChar w:fldCharType="begin"/>
      </w:r>
      <w:r>
        <w:instrText xml:space="preserve"> PAGEREF _Toc436647336 \h </w:instrText>
      </w:r>
      <w:r>
        <w:fldChar w:fldCharType="separate"/>
      </w:r>
      <w:r w:rsidR="00F94EB1">
        <w:t>48</w:t>
      </w:r>
      <w:r>
        <w:fldChar w:fldCharType="end"/>
      </w:r>
    </w:p>
    <w:p w:rsidR="00042C7A" w:rsidRDefault="00042C7A" w:rsidP="006D0B73">
      <w:pPr>
        <w:pStyle w:val="TOC4"/>
        <w:tabs>
          <w:tab w:val="clear" w:pos="3600"/>
        </w:tabs>
        <w:ind w:left="3240"/>
        <w:rPr>
          <w:rFonts w:asciiTheme="minorHAnsi" w:eastAsiaTheme="minorEastAsia" w:hAnsiTheme="minorHAnsi" w:cstheme="minorBidi"/>
          <w:sz w:val="22"/>
          <w:szCs w:val="22"/>
        </w:rPr>
      </w:pPr>
      <w:r>
        <w:t>3.8.1.1</w:t>
      </w:r>
      <w:r>
        <w:rPr>
          <w:rFonts w:asciiTheme="minorHAnsi" w:eastAsiaTheme="minorEastAsia" w:hAnsiTheme="minorHAnsi" w:cstheme="minorBidi"/>
          <w:sz w:val="22"/>
          <w:szCs w:val="22"/>
        </w:rPr>
        <w:tab/>
      </w:r>
      <w:r>
        <w:t>Summary of the Proposals</w:t>
      </w:r>
      <w:r>
        <w:tab/>
      </w:r>
      <w:r>
        <w:fldChar w:fldCharType="begin"/>
      </w:r>
      <w:r>
        <w:instrText xml:space="preserve"> PAGEREF _Toc436647337 \h </w:instrText>
      </w:r>
      <w:r>
        <w:fldChar w:fldCharType="separate"/>
      </w:r>
      <w:r w:rsidR="00F94EB1">
        <w:t>48</w:t>
      </w:r>
      <w:r>
        <w:fldChar w:fldCharType="end"/>
      </w:r>
    </w:p>
    <w:p w:rsidR="00042C7A" w:rsidRDefault="00042C7A" w:rsidP="006D0B73">
      <w:pPr>
        <w:pStyle w:val="TOC4"/>
        <w:tabs>
          <w:tab w:val="clear" w:pos="3600"/>
        </w:tabs>
        <w:ind w:left="3240"/>
        <w:rPr>
          <w:rFonts w:asciiTheme="minorHAnsi" w:eastAsiaTheme="minorEastAsia" w:hAnsiTheme="minorHAnsi" w:cstheme="minorBidi"/>
          <w:sz w:val="22"/>
          <w:szCs w:val="22"/>
        </w:rPr>
      </w:pPr>
      <w:r>
        <w:t>3.8.1.2</w:t>
      </w:r>
      <w:r>
        <w:rPr>
          <w:rFonts w:asciiTheme="minorHAnsi" w:eastAsiaTheme="minorEastAsia" w:hAnsiTheme="minorHAnsi" w:cstheme="minorBidi"/>
          <w:sz w:val="22"/>
          <w:szCs w:val="22"/>
        </w:rPr>
        <w:tab/>
      </w:r>
      <w:r>
        <w:t>Positions of the Parties</w:t>
      </w:r>
      <w:r>
        <w:tab/>
      </w:r>
      <w:r>
        <w:fldChar w:fldCharType="begin"/>
      </w:r>
      <w:r>
        <w:instrText xml:space="preserve"> PAGEREF _Toc436647338 \h </w:instrText>
      </w:r>
      <w:r>
        <w:fldChar w:fldCharType="separate"/>
      </w:r>
      <w:r w:rsidR="00F94EB1">
        <w:t>49</w:t>
      </w:r>
      <w:r>
        <w:fldChar w:fldCharType="end"/>
      </w:r>
    </w:p>
    <w:p w:rsidR="00042C7A" w:rsidRDefault="00042C7A" w:rsidP="006D0B73">
      <w:pPr>
        <w:pStyle w:val="TOC4"/>
        <w:tabs>
          <w:tab w:val="clear" w:pos="3600"/>
        </w:tabs>
        <w:ind w:left="3240"/>
        <w:rPr>
          <w:rFonts w:asciiTheme="minorHAnsi" w:eastAsiaTheme="minorEastAsia" w:hAnsiTheme="minorHAnsi" w:cstheme="minorBidi"/>
          <w:sz w:val="22"/>
          <w:szCs w:val="22"/>
        </w:rPr>
      </w:pPr>
      <w:r>
        <w:lastRenderedPageBreak/>
        <w:t>3.8.1.3</w:t>
      </w:r>
      <w:r>
        <w:rPr>
          <w:rFonts w:asciiTheme="minorHAnsi" w:eastAsiaTheme="minorEastAsia" w:hAnsiTheme="minorHAnsi" w:cstheme="minorBidi"/>
          <w:sz w:val="22"/>
          <w:szCs w:val="22"/>
        </w:rPr>
        <w:tab/>
      </w:r>
      <w:r>
        <w:t>Discussion</w:t>
      </w:r>
      <w:r>
        <w:tab/>
      </w:r>
      <w:r>
        <w:fldChar w:fldCharType="begin"/>
      </w:r>
      <w:r>
        <w:instrText xml:space="preserve"> PAGEREF _Toc436647339 \h </w:instrText>
      </w:r>
      <w:r>
        <w:fldChar w:fldCharType="separate"/>
      </w:r>
      <w:r w:rsidR="00F94EB1">
        <w:t>49</w:t>
      </w:r>
      <w:r>
        <w:fldChar w:fldCharType="end"/>
      </w:r>
    </w:p>
    <w:p w:rsidR="00042C7A" w:rsidRDefault="00042C7A">
      <w:pPr>
        <w:pStyle w:val="TOC3"/>
        <w:rPr>
          <w:rFonts w:asciiTheme="minorHAnsi" w:eastAsiaTheme="minorEastAsia" w:hAnsiTheme="minorHAnsi" w:cstheme="minorBidi"/>
          <w:sz w:val="22"/>
          <w:szCs w:val="22"/>
        </w:rPr>
      </w:pPr>
      <w:r>
        <w:t>3.8.2.</w:t>
      </w:r>
      <w:r>
        <w:rPr>
          <w:rFonts w:asciiTheme="minorHAnsi" w:eastAsiaTheme="minorEastAsia" w:hAnsiTheme="minorHAnsi" w:cstheme="minorBidi"/>
          <w:sz w:val="22"/>
          <w:szCs w:val="22"/>
        </w:rPr>
        <w:tab/>
      </w:r>
      <w:r>
        <w:t>Proposed New Rule 94.3</w:t>
      </w:r>
      <w:r>
        <w:noBreakHyphen/>
        <w:t>D (Load Calculation)</w:t>
      </w:r>
      <w:r>
        <w:tab/>
      </w:r>
      <w:r>
        <w:fldChar w:fldCharType="begin"/>
      </w:r>
      <w:r>
        <w:instrText xml:space="preserve"> PAGEREF _Toc436647340 \h </w:instrText>
      </w:r>
      <w:r>
        <w:fldChar w:fldCharType="separate"/>
      </w:r>
      <w:r w:rsidR="00F94EB1">
        <w:t>50</w:t>
      </w:r>
      <w:r>
        <w:fldChar w:fldCharType="end"/>
      </w:r>
    </w:p>
    <w:p w:rsidR="00042C7A" w:rsidRDefault="00042C7A" w:rsidP="006D0B73">
      <w:pPr>
        <w:pStyle w:val="TOC4"/>
        <w:tabs>
          <w:tab w:val="clear" w:pos="3600"/>
        </w:tabs>
        <w:ind w:left="3240"/>
        <w:rPr>
          <w:rFonts w:asciiTheme="minorHAnsi" w:eastAsiaTheme="minorEastAsia" w:hAnsiTheme="minorHAnsi" w:cstheme="minorBidi"/>
          <w:sz w:val="22"/>
          <w:szCs w:val="22"/>
        </w:rPr>
      </w:pPr>
      <w:r>
        <w:t>3.8.2.1</w:t>
      </w:r>
      <w:r>
        <w:rPr>
          <w:rFonts w:asciiTheme="minorHAnsi" w:eastAsiaTheme="minorEastAsia" w:hAnsiTheme="minorHAnsi" w:cstheme="minorBidi"/>
          <w:sz w:val="22"/>
          <w:szCs w:val="22"/>
        </w:rPr>
        <w:tab/>
      </w:r>
      <w:r>
        <w:t>Summary of the Proposal</w:t>
      </w:r>
      <w:r>
        <w:tab/>
      </w:r>
      <w:r>
        <w:fldChar w:fldCharType="begin"/>
      </w:r>
      <w:r>
        <w:instrText xml:space="preserve"> PAGEREF _Toc436647341 \h </w:instrText>
      </w:r>
      <w:r>
        <w:fldChar w:fldCharType="separate"/>
      </w:r>
      <w:r w:rsidR="00F94EB1">
        <w:t>50</w:t>
      </w:r>
      <w:r>
        <w:fldChar w:fldCharType="end"/>
      </w:r>
    </w:p>
    <w:p w:rsidR="00042C7A" w:rsidRDefault="00042C7A" w:rsidP="006D0B73">
      <w:pPr>
        <w:pStyle w:val="TOC4"/>
        <w:tabs>
          <w:tab w:val="clear" w:pos="3600"/>
        </w:tabs>
        <w:ind w:left="3240"/>
        <w:rPr>
          <w:rFonts w:asciiTheme="minorHAnsi" w:eastAsiaTheme="minorEastAsia" w:hAnsiTheme="minorHAnsi" w:cstheme="minorBidi"/>
          <w:sz w:val="22"/>
          <w:szCs w:val="22"/>
        </w:rPr>
      </w:pPr>
      <w:r>
        <w:t>3.8.2.2</w:t>
      </w:r>
      <w:r>
        <w:rPr>
          <w:rFonts w:asciiTheme="minorHAnsi" w:eastAsiaTheme="minorEastAsia" w:hAnsiTheme="minorHAnsi" w:cstheme="minorBidi"/>
          <w:sz w:val="22"/>
          <w:szCs w:val="22"/>
        </w:rPr>
        <w:tab/>
      </w:r>
      <w:r>
        <w:t>Positions of the Parties</w:t>
      </w:r>
      <w:r>
        <w:tab/>
      </w:r>
      <w:r>
        <w:fldChar w:fldCharType="begin"/>
      </w:r>
      <w:r>
        <w:instrText xml:space="preserve"> PAGEREF _Toc436647342 \h </w:instrText>
      </w:r>
      <w:r>
        <w:fldChar w:fldCharType="separate"/>
      </w:r>
      <w:r w:rsidR="00F94EB1">
        <w:t>51</w:t>
      </w:r>
      <w:r>
        <w:fldChar w:fldCharType="end"/>
      </w:r>
    </w:p>
    <w:p w:rsidR="00042C7A" w:rsidRDefault="00042C7A" w:rsidP="006D0B73">
      <w:pPr>
        <w:pStyle w:val="TOC4"/>
        <w:tabs>
          <w:tab w:val="clear" w:pos="3600"/>
        </w:tabs>
        <w:ind w:left="3240"/>
        <w:rPr>
          <w:rFonts w:asciiTheme="minorHAnsi" w:eastAsiaTheme="minorEastAsia" w:hAnsiTheme="minorHAnsi" w:cstheme="minorBidi"/>
          <w:sz w:val="22"/>
          <w:szCs w:val="22"/>
        </w:rPr>
      </w:pPr>
      <w:r>
        <w:t>3.8.2.3</w:t>
      </w:r>
      <w:r>
        <w:rPr>
          <w:rFonts w:asciiTheme="minorHAnsi" w:eastAsiaTheme="minorEastAsia" w:hAnsiTheme="minorHAnsi" w:cstheme="minorBidi"/>
          <w:sz w:val="22"/>
          <w:szCs w:val="22"/>
        </w:rPr>
        <w:tab/>
      </w:r>
      <w:r>
        <w:t>Discussion</w:t>
      </w:r>
      <w:r>
        <w:tab/>
      </w:r>
      <w:r>
        <w:fldChar w:fldCharType="begin"/>
      </w:r>
      <w:r>
        <w:instrText xml:space="preserve"> PAGEREF _Toc436647343 \h </w:instrText>
      </w:r>
      <w:r>
        <w:fldChar w:fldCharType="separate"/>
      </w:r>
      <w:r w:rsidR="00F94EB1">
        <w:t>53</w:t>
      </w:r>
      <w:r>
        <w:fldChar w:fldCharType="end"/>
      </w:r>
    </w:p>
    <w:p w:rsidR="00042C7A" w:rsidRDefault="00042C7A">
      <w:pPr>
        <w:pStyle w:val="TOC3"/>
        <w:rPr>
          <w:rFonts w:asciiTheme="minorHAnsi" w:eastAsiaTheme="minorEastAsia" w:hAnsiTheme="minorHAnsi" w:cstheme="minorBidi"/>
          <w:sz w:val="22"/>
          <w:szCs w:val="22"/>
        </w:rPr>
      </w:pPr>
      <w:r>
        <w:t>3.8.3.</w:t>
      </w:r>
      <w:r>
        <w:rPr>
          <w:rFonts w:asciiTheme="minorHAnsi" w:eastAsiaTheme="minorEastAsia" w:hAnsiTheme="minorHAnsi" w:cstheme="minorBidi"/>
          <w:sz w:val="22"/>
          <w:szCs w:val="22"/>
        </w:rPr>
        <w:tab/>
      </w:r>
      <w:r>
        <w:t>Proposed Revisions to Rule 94.5-A (Marking)</w:t>
      </w:r>
      <w:r>
        <w:tab/>
      </w:r>
      <w:r>
        <w:fldChar w:fldCharType="begin"/>
      </w:r>
      <w:r>
        <w:instrText xml:space="preserve"> PAGEREF _Toc436647344 \h </w:instrText>
      </w:r>
      <w:r>
        <w:fldChar w:fldCharType="separate"/>
      </w:r>
      <w:r w:rsidR="00F94EB1">
        <w:t>60</w:t>
      </w:r>
      <w:r>
        <w:fldChar w:fldCharType="end"/>
      </w:r>
    </w:p>
    <w:p w:rsidR="00042C7A" w:rsidRDefault="00042C7A" w:rsidP="006D0B73">
      <w:pPr>
        <w:pStyle w:val="TOC4"/>
        <w:tabs>
          <w:tab w:val="clear" w:pos="3600"/>
        </w:tabs>
        <w:ind w:left="3240"/>
        <w:rPr>
          <w:rFonts w:asciiTheme="minorHAnsi" w:eastAsiaTheme="minorEastAsia" w:hAnsiTheme="minorHAnsi" w:cstheme="minorBidi"/>
          <w:sz w:val="22"/>
          <w:szCs w:val="22"/>
        </w:rPr>
      </w:pPr>
      <w:r>
        <w:t>3.8.3.1</w:t>
      </w:r>
      <w:r>
        <w:rPr>
          <w:rFonts w:asciiTheme="minorHAnsi" w:eastAsiaTheme="minorEastAsia" w:hAnsiTheme="minorHAnsi" w:cstheme="minorBidi"/>
          <w:sz w:val="22"/>
          <w:szCs w:val="22"/>
        </w:rPr>
        <w:tab/>
      </w:r>
      <w:r>
        <w:t>Summary of the Proposal</w:t>
      </w:r>
      <w:r>
        <w:tab/>
      </w:r>
      <w:r>
        <w:fldChar w:fldCharType="begin"/>
      </w:r>
      <w:r>
        <w:instrText xml:space="preserve"> PAGEREF _Toc436647345 \h </w:instrText>
      </w:r>
      <w:r>
        <w:fldChar w:fldCharType="separate"/>
      </w:r>
      <w:r w:rsidR="00F94EB1">
        <w:t>60</w:t>
      </w:r>
      <w:r>
        <w:fldChar w:fldCharType="end"/>
      </w:r>
    </w:p>
    <w:p w:rsidR="00042C7A" w:rsidRDefault="00042C7A" w:rsidP="006D0B73">
      <w:pPr>
        <w:pStyle w:val="TOC4"/>
        <w:tabs>
          <w:tab w:val="clear" w:pos="3600"/>
        </w:tabs>
        <w:ind w:left="3240"/>
        <w:rPr>
          <w:rFonts w:asciiTheme="minorHAnsi" w:eastAsiaTheme="minorEastAsia" w:hAnsiTheme="minorHAnsi" w:cstheme="minorBidi"/>
          <w:sz w:val="22"/>
          <w:szCs w:val="22"/>
        </w:rPr>
      </w:pPr>
      <w:r>
        <w:t>3.8.3.2</w:t>
      </w:r>
      <w:r>
        <w:rPr>
          <w:rFonts w:asciiTheme="minorHAnsi" w:eastAsiaTheme="minorEastAsia" w:hAnsiTheme="minorHAnsi" w:cstheme="minorBidi"/>
          <w:sz w:val="22"/>
          <w:szCs w:val="22"/>
        </w:rPr>
        <w:tab/>
      </w:r>
      <w:r>
        <w:t>Positions of the Parties</w:t>
      </w:r>
      <w:r>
        <w:tab/>
      </w:r>
      <w:r>
        <w:fldChar w:fldCharType="begin"/>
      </w:r>
      <w:r>
        <w:instrText xml:space="preserve"> PAGEREF _Toc436647346 \h </w:instrText>
      </w:r>
      <w:r>
        <w:fldChar w:fldCharType="separate"/>
      </w:r>
      <w:r w:rsidR="00F94EB1">
        <w:t>60</w:t>
      </w:r>
      <w:r>
        <w:fldChar w:fldCharType="end"/>
      </w:r>
    </w:p>
    <w:p w:rsidR="00042C7A" w:rsidRDefault="00042C7A" w:rsidP="006D0B73">
      <w:pPr>
        <w:pStyle w:val="TOC4"/>
        <w:tabs>
          <w:tab w:val="clear" w:pos="3600"/>
        </w:tabs>
        <w:ind w:left="3240"/>
        <w:rPr>
          <w:rFonts w:asciiTheme="minorHAnsi" w:eastAsiaTheme="minorEastAsia" w:hAnsiTheme="minorHAnsi" w:cstheme="minorBidi"/>
          <w:sz w:val="22"/>
          <w:szCs w:val="22"/>
        </w:rPr>
      </w:pPr>
      <w:r>
        <w:t>3.8.3.3</w:t>
      </w:r>
      <w:r>
        <w:rPr>
          <w:rFonts w:asciiTheme="minorHAnsi" w:eastAsiaTheme="minorEastAsia" w:hAnsiTheme="minorHAnsi" w:cstheme="minorBidi"/>
          <w:sz w:val="22"/>
          <w:szCs w:val="22"/>
        </w:rPr>
        <w:tab/>
      </w:r>
      <w:r>
        <w:t>Discussion</w:t>
      </w:r>
      <w:r>
        <w:tab/>
      </w:r>
      <w:r>
        <w:fldChar w:fldCharType="begin"/>
      </w:r>
      <w:r>
        <w:instrText xml:space="preserve"> PAGEREF _Toc436647347 \h </w:instrText>
      </w:r>
      <w:r>
        <w:fldChar w:fldCharType="separate"/>
      </w:r>
      <w:r w:rsidR="00F94EB1">
        <w:t>63</w:t>
      </w:r>
      <w:r>
        <w:fldChar w:fldCharType="end"/>
      </w:r>
    </w:p>
    <w:p w:rsidR="00042C7A" w:rsidRDefault="00042C7A">
      <w:pPr>
        <w:pStyle w:val="TOC3"/>
        <w:rPr>
          <w:rFonts w:asciiTheme="minorHAnsi" w:eastAsiaTheme="minorEastAsia" w:hAnsiTheme="minorHAnsi" w:cstheme="minorBidi"/>
          <w:sz w:val="22"/>
          <w:szCs w:val="22"/>
        </w:rPr>
      </w:pPr>
      <w:r>
        <w:t>3.8.4.</w:t>
      </w:r>
      <w:r>
        <w:rPr>
          <w:rFonts w:asciiTheme="minorHAnsi" w:eastAsiaTheme="minorEastAsia" w:hAnsiTheme="minorHAnsi" w:cstheme="minorBidi"/>
          <w:sz w:val="22"/>
          <w:szCs w:val="22"/>
        </w:rPr>
        <w:tab/>
      </w:r>
      <w:r>
        <w:t>Proposed Revisions to Rule 94.6-C (Climbing Space)</w:t>
      </w:r>
      <w:r>
        <w:tab/>
      </w:r>
      <w:r>
        <w:fldChar w:fldCharType="begin"/>
      </w:r>
      <w:r>
        <w:instrText xml:space="preserve"> PAGEREF _Toc436647348 \h </w:instrText>
      </w:r>
      <w:r>
        <w:fldChar w:fldCharType="separate"/>
      </w:r>
      <w:r w:rsidR="00F94EB1">
        <w:t>68</w:t>
      </w:r>
      <w:r>
        <w:fldChar w:fldCharType="end"/>
      </w:r>
    </w:p>
    <w:p w:rsidR="00042C7A" w:rsidRDefault="00042C7A" w:rsidP="006D0B73">
      <w:pPr>
        <w:pStyle w:val="TOC4"/>
        <w:tabs>
          <w:tab w:val="clear" w:pos="3600"/>
        </w:tabs>
        <w:ind w:left="3240"/>
        <w:rPr>
          <w:rFonts w:asciiTheme="minorHAnsi" w:eastAsiaTheme="minorEastAsia" w:hAnsiTheme="minorHAnsi" w:cstheme="minorBidi"/>
          <w:sz w:val="22"/>
          <w:szCs w:val="22"/>
        </w:rPr>
      </w:pPr>
      <w:r>
        <w:t>3.8.4.1</w:t>
      </w:r>
      <w:r>
        <w:rPr>
          <w:rFonts w:asciiTheme="minorHAnsi" w:eastAsiaTheme="minorEastAsia" w:hAnsiTheme="minorHAnsi" w:cstheme="minorBidi"/>
          <w:sz w:val="22"/>
          <w:szCs w:val="22"/>
        </w:rPr>
        <w:tab/>
      </w:r>
      <w:r>
        <w:t>Summary of the Proposals</w:t>
      </w:r>
      <w:r>
        <w:tab/>
      </w:r>
      <w:r>
        <w:fldChar w:fldCharType="begin"/>
      </w:r>
      <w:r>
        <w:instrText xml:space="preserve"> PAGEREF _Toc436647349 \h </w:instrText>
      </w:r>
      <w:r>
        <w:fldChar w:fldCharType="separate"/>
      </w:r>
      <w:r w:rsidR="00F94EB1">
        <w:t>68</w:t>
      </w:r>
      <w:r>
        <w:fldChar w:fldCharType="end"/>
      </w:r>
    </w:p>
    <w:p w:rsidR="00042C7A" w:rsidRDefault="00042C7A" w:rsidP="006D0B73">
      <w:pPr>
        <w:pStyle w:val="TOC4"/>
        <w:tabs>
          <w:tab w:val="clear" w:pos="3600"/>
        </w:tabs>
        <w:ind w:left="3240"/>
        <w:rPr>
          <w:rFonts w:asciiTheme="minorHAnsi" w:eastAsiaTheme="minorEastAsia" w:hAnsiTheme="minorHAnsi" w:cstheme="minorBidi"/>
          <w:sz w:val="22"/>
          <w:szCs w:val="22"/>
        </w:rPr>
      </w:pPr>
      <w:r>
        <w:t>3.8.4.2</w:t>
      </w:r>
      <w:r>
        <w:rPr>
          <w:rFonts w:asciiTheme="minorHAnsi" w:eastAsiaTheme="minorEastAsia" w:hAnsiTheme="minorHAnsi" w:cstheme="minorBidi"/>
          <w:sz w:val="22"/>
          <w:szCs w:val="22"/>
        </w:rPr>
        <w:tab/>
      </w:r>
      <w:r>
        <w:t>Positions of the Parties</w:t>
      </w:r>
      <w:r>
        <w:tab/>
      </w:r>
      <w:r>
        <w:fldChar w:fldCharType="begin"/>
      </w:r>
      <w:r>
        <w:instrText xml:space="preserve"> PAGEREF _Toc436647350 \h </w:instrText>
      </w:r>
      <w:r>
        <w:fldChar w:fldCharType="separate"/>
      </w:r>
      <w:r w:rsidR="00F94EB1">
        <w:t>70</w:t>
      </w:r>
      <w:r>
        <w:fldChar w:fldCharType="end"/>
      </w:r>
    </w:p>
    <w:p w:rsidR="00042C7A" w:rsidRDefault="00042C7A" w:rsidP="005209CE">
      <w:pPr>
        <w:pStyle w:val="TOC5"/>
        <w:rPr>
          <w:rFonts w:asciiTheme="minorHAnsi" w:eastAsiaTheme="minorEastAsia" w:hAnsiTheme="minorHAnsi" w:cstheme="minorBidi"/>
          <w:sz w:val="22"/>
          <w:szCs w:val="22"/>
        </w:rPr>
      </w:pPr>
      <w:r>
        <w:t>3.8.4.2.1</w:t>
      </w:r>
      <w:r>
        <w:rPr>
          <w:rFonts w:asciiTheme="minorHAnsi" w:eastAsiaTheme="minorEastAsia" w:hAnsiTheme="minorHAnsi" w:cstheme="minorBidi"/>
          <w:sz w:val="22"/>
          <w:szCs w:val="22"/>
        </w:rPr>
        <w:tab/>
      </w:r>
      <w:r>
        <w:t>Electric IOUs Proposal</w:t>
      </w:r>
      <w:r>
        <w:tab/>
      </w:r>
      <w:r>
        <w:fldChar w:fldCharType="begin"/>
      </w:r>
      <w:r>
        <w:instrText xml:space="preserve"> PAGEREF _Toc436647351 \h </w:instrText>
      </w:r>
      <w:r>
        <w:fldChar w:fldCharType="separate"/>
      </w:r>
      <w:r w:rsidR="00F94EB1">
        <w:t>70</w:t>
      </w:r>
      <w:r>
        <w:fldChar w:fldCharType="end"/>
      </w:r>
    </w:p>
    <w:p w:rsidR="00042C7A" w:rsidRDefault="00042C7A" w:rsidP="005209CE">
      <w:pPr>
        <w:pStyle w:val="TOC5"/>
        <w:rPr>
          <w:rFonts w:asciiTheme="minorHAnsi" w:eastAsiaTheme="minorEastAsia" w:hAnsiTheme="minorHAnsi" w:cstheme="minorBidi"/>
          <w:sz w:val="22"/>
          <w:szCs w:val="22"/>
        </w:rPr>
      </w:pPr>
      <w:r>
        <w:t>3.8.4.2.2</w:t>
      </w:r>
      <w:r>
        <w:rPr>
          <w:rFonts w:asciiTheme="minorHAnsi" w:eastAsiaTheme="minorEastAsia" w:hAnsiTheme="minorHAnsi" w:cstheme="minorBidi"/>
          <w:sz w:val="22"/>
          <w:szCs w:val="22"/>
        </w:rPr>
        <w:tab/>
      </w:r>
      <w:r>
        <w:t>AT&amp;T Mobility</w:t>
      </w:r>
      <w:r>
        <w:noBreakHyphen/>
        <w:t>CTIA Proposal</w:t>
      </w:r>
      <w:r>
        <w:tab/>
      </w:r>
      <w:r>
        <w:fldChar w:fldCharType="begin"/>
      </w:r>
      <w:r>
        <w:instrText xml:space="preserve"> PAGEREF _Toc436647352 \h </w:instrText>
      </w:r>
      <w:r>
        <w:fldChar w:fldCharType="separate"/>
      </w:r>
      <w:r w:rsidR="00F94EB1">
        <w:t>72</w:t>
      </w:r>
      <w:r>
        <w:fldChar w:fldCharType="end"/>
      </w:r>
    </w:p>
    <w:p w:rsidR="00042C7A" w:rsidRDefault="00042C7A" w:rsidP="005209CE">
      <w:pPr>
        <w:pStyle w:val="TOC5"/>
        <w:rPr>
          <w:rFonts w:asciiTheme="minorHAnsi" w:eastAsiaTheme="minorEastAsia" w:hAnsiTheme="minorHAnsi" w:cstheme="minorBidi"/>
          <w:sz w:val="22"/>
          <w:szCs w:val="22"/>
        </w:rPr>
      </w:pPr>
      <w:r>
        <w:t>3.8.4.2.3</w:t>
      </w:r>
      <w:r>
        <w:rPr>
          <w:rFonts w:asciiTheme="minorHAnsi" w:eastAsiaTheme="minorEastAsia" w:hAnsiTheme="minorHAnsi" w:cstheme="minorBidi"/>
          <w:sz w:val="22"/>
          <w:szCs w:val="22"/>
        </w:rPr>
        <w:tab/>
      </w:r>
      <w:r>
        <w:t>SED Proposal</w:t>
      </w:r>
      <w:r>
        <w:tab/>
      </w:r>
      <w:r>
        <w:fldChar w:fldCharType="begin"/>
      </w:r>
      <w:r>
        <w:instrText xml:space="preserve"> PAGEREF _Toc436647353 \h </w:instrText>
      </w:r>
      <w:r>
        <w:fldChar w:fldCharType="separate"/>
      </w:r>
      <w:r w:rsidR="00F94EB1">
        <w:t>74</w:t>
      </w:r>
      <w:r>
        <w:fldChar w:fldCharType="end"/>
      </w:r>
    </w:p>
    <w:p w:rsidR="00042C7A" w:rsidRDefault="00042C7A" w:rsidP="006D0B73">
      <w:pPr>
        <w:pStyle w:val="TOC4"/>
        <w:tabs>
          <w:tab w:val="clear" w:pos="3600"/>
        </w:tabs>
        <w:ind w:left="3240"/>
        <w:rPr>
          <w:rFonts w:asciiTheme="minorHAnsi" w:eastAsiaTheme="minorEastAsia" w:hAnsiTheme="minorHAnsi" w:cstheme="minorBidi"/>
          <w:sz w:val="22"/>
          <w:szCs w:val="22"/>
        </w:rPr>
      </w:pPr>
      <w:r>
        <w:t>3.8.4.3</w:t>
      </w:r>
      <w:r>
        <w:rPr>
          <w:rFonts w:asciiTheme="minorHAnsi" w:eastAsiaTheme="minorEastAsia" w:hAnsiTheme="minorHAnsi" w:cstheme="minorBidi"/>
          <w:sz w:val="22"/>
          <w:szCs w:val="22"/>
        </w:rPr>
        <w:tab/>
      </w:r>
      <w:r>
        <w:t>Discussion</w:t>
      </w:r>
      <w:r>
        <w:tab/>
      </w:r>
      <w:r>
        <w:fldChar w:fldCharType="begin"/>
      </w:r>
      <w:r>
        <w:instrText xml:space="preserve"> PAGEREF _Toc436647354 \h </w:instrText>
      </w:r>
      <w:r>
        <w:fldChar w:fldCharType="separate"/>
      </w:r>
      <w:r w:rsidR="00F94EB1">
        <w:t>76</w:t>
      </w:r>
      <w:r>
        <w:fldChar w:fldCharType="end"/>
      </w:r>
    </w:p>
    <w:p w:rsidR="00042C7A" w:rsidRDefault="00042C7A">
      <w:pPr>
        <w:pStyle w:val="TOC3"/>
        <w:rPr>
          <w:rFonts w:asciiTheme="minorHAnsi" w:eastAsiaTheme="minorEastAsia" w:hAnsiTheme="minorHAnsi" w:cstheme="minorBidi"/>
          <w:sz w:val="22"/>
          <w:szCs w:val="22"/>
        </w:rPr>
      </w:pPr>
      <w:r>
        <w:t>3.8.5.</w:t>
      </w:r>
      <w:r>
        <w:rPr>
          <w:rFonts w:asciiTheme="minorHAnsi" w:eastAsiaTheme="minorEastAsia" w:hAnsiTheme="minorHAnsi" w:cstheme="minorBidi"/>
          <w:sz w:val="22"/>
          <w:szCs w:val="22"/>
        </w:rPr>
        <w:tab/>
      </w:r>
      <w:r>
        <w:t>Proposed Revisions to Rule 94.9 (De</w:t>
      </w:r>
      <w:r>
        <w:noBreakHyphen/>
        <w:t>Energizing Protocols)</w:t>
      </w:r>
      <w:r>
        <w:tab/>
      </w:r>
      <w:r>
        <w:fldChar w:fldCharType="begin"/>
      </w:r>
      <w:r>
        <w:instrText xml:space="preserve"> PAGEREF _Toc436647355 \h </w:instrText>
      </w:r>
      <w:r>
        <w:fldChar w:fldCharType="separate"/>
      </w:r>
      <w:r w:rsidR="00F94EB1">
        <w:t>79</w:t>
      </w:r>
      <w:r>
        <w:fldChar w:fldCharType="end"/>
      </w:r>
    </w:p>
    <w:p w:rsidR="00042C7A" w:rsidRDefault="00042C7A" w:rsidP="006D0B73">
      <w:pPr>
        <w:pStyle w:val="TOC4"/>
        <w:tabs>
          <w:tab w:val="clear" w:pos="3600"/>
        </w:tabs>
        <w:ind w:left="3240"/>
        <w:rPr>
          <w:rFonts w:asciiTheme="minorHAnsi" w:eastAsiaTheme="minorEastAsia" w:hAnsiTheme="minorHAnsi" w:cstheme="minorBidi"/>
          <w:sz w:val="22"/>
          <w:szCs w:val="22"/>
        </w:rPr>
      </w:pPr>
      <w:r>
        <w:t>3.8.5.1</w:t>
      </w:r>
      <w:r>
        <w:rPr>
          <w:rFonts w:asciiTheme="minorHAnsi" w:eastAsiaTheme="minorEastAsia" w:hAnsiTheme="minorHAnsi" w:cstheme="minorBidi"/>
          <w:sz w:val="22"/>
          <w:szCs w:val="22"/>
        </w:rPr>
        <w:tab/>
      </w:r>
      <w:r>
        <w:t>Summary of the Proposal</w:t>
      </w:r>
      <w:r>
        <w:tab/>
      </w:r>
      <w:r>
        <w:fldChar w:fldCharType="begin"/>
      </w:r>
      <w:r>
        <w:instrText xml:space="preserve"> PAGEREF _Toc436647356 \h </w:instrText>
      </w:r>
      <w:r>
        <w:fldChar w:fldCharType="separate"/>
      </w:r>
      <w:r w:rsidR="00F94EB1">
        <w:t>79</w:t>
      </w:r>
      <w:r>
        <w:fldChar w:fldCharType="end"/>
      </w:r>
    </w:p>
    <w:p w:rsidR="00042C7A" w:rsidRDefault="00042C7A" w:rsidP="006D0B73">
      <w:pPr>
        <w:pStyle w:val="TOC4"/>
        <w:tabs>
          <w:tab w:val="clear" w:pos="3600"/>
        </w:tabs>
        <w:ind w:left="3240"/>
        <w:rPr>
          <w:rFonts w:asciiTheme="minorHAnsi" w:eastAsiaTheme="minorEastAsia" w:hAnsiTheme="minorHAnsi" w:cstheme="minorBidi"/>
          <w:sz w:val="22"/>
          <w:szCs w:val="22"/>
        </w:rPr>
      </w:pPr>
      <w:r>
        <w:t>3.8.5.2</w:t>
      </w:r>
      <w:r>
        <w:rPr>
          <w:rFonts w:asciiTheme="minorHAnsi" w:eastAsiaTheme="minorEastAsia" w:hAnsiTheme="minorHAnsi" w:cstheme="minorBidi"/>
          <w:sz w:val="22"/>
          <w:szCs w:val="22"/>
        </w:rPr>
        <w:tab/>
      </w:r>
      <w:r>
        <w:t>Positions of the Parties</w:t>
      </w:r>
      <w:r>
        <w:tab/>
      </w:r>
      <w:r>
        <w:fldChar w:fldCharType="begin"/>
      </w:r>
      <w:r>
        <w:instrText xml:space="preserve"> PAGEREF _Toc436647357 \h </w:instrText>
      </w:r>
      <w:r>
        <w:fldChar w:fldCharType="separate"/>
      </w:r>
      <w:r w:rsidR="00F94EB1">
        <w:t>80</w:t>
      </w:r>
      <w:r>
        <w:fldChar w:fldCharType="end"/>
      </w:r>
    </w:p>
    <w:p w:rsidR="00042C7A" w:rsidRDefault="00042C7A" w:rsidP="006D0B73">
      <w:pPr>
        <w:pStyle w:val="TOC4"/>
        <w:tabs>
          <w:tab w:val="clear" w:pos="3600"/>
        </w:tabs>
        <w:ind w:left="3240"/>
        <w:rPr>
          <w:rFonts w:asciiTheme="minorHAnsi" w:eastAsiaTheme="minorEastAsia" w:hAnsiTheme="minorHAnsi" w:cstheme="minorBidi"/>
          <w:sz w:val="22"/>
          <w:szCs w:val="22"/>
        </w:rPr>
      </w:pPr>
      <w:r>
        <w:t>3.8.5.3</w:t>
      </w:r>
      <w:r>
        <w:rPr>
          <w:rFonts w:asciiTheme="minorHAnsi" w:eastAsiaTheme="minorEastAsia" w:hAnsiTheme="minorHAnsi" w:cstheme="minorBidi"/>
          <w:sz w:val="22"/>
          <w:szCs w:val="22"/>
        </w:rPr>
        <w:tab/>
      </w:r>
      <w:r>
        <w:t>Discussion</w:t>
      </w:r>
      <w:r>
        <w:tab/>
      </w:r>
      <w:r>
        <w:fldChar w:fldCharType="begin"/>
      </w:r>
      <w:r>
        <w:instrText xml:space="preserve"> PAGEREF _Toc436647358 \h </w:instrText>
      </w:r>
      <w:r>
        <w:fldChar w:fldCharType="separate"/>
      </w:r>
      <w:r w:rsidR="00F94EB1">
        <w:t>81</w:t>
      </w:r>
      <w:r>
        <w:fldChar w:fldCharType="end"/>
      </w:r>
    </w:p>
    <w:p w:rsidR="00042C7A" w:rsidRDefault="00042C7A">
      <w:pPr>
        <w:pStyle w:val="TOC3"/>
        <w:rPr>
          <w:rFonts w:asciiTheme="minorHAnsi" w:eastAsiaTheme="minorEastAsia" w:hAnsiTheme="minorHAnsi" w:cstheme="minorBidi"/>
          <w:sz w:val="22"/>
          <w:szCs w:val="22"/>
        </w:rPr>
      </w:pPr>
      <w:r>
        <w:t>3.8.6.</w:t>
      </w:r>
      <w:r>
        <w:rPr>
          <w:rFonts w:asciiTheme="minorHAnsi" w:eastAsiaTheme="minorEastAsia" w:hAnsiTheme="minorHAnsi" w:cstheme="minorBidi"/>
          <w:sz w:val="22"/>
          <w:szCs w:val="22"/>
        </w:rPr>
        <w:tab/>
      </w:r>
      <w:r>
        <w:t>Proposed New Rule 94.10 (Pad Mounting)</w:t>
      </w:r>
      <w:r>
        <w:tab/>
      </w:r>
      <w:r>
        <w:fldChar w:fldCharType="begin"/>
      </w:r>
      <w:r>
        <w:instrText xml:space="preserve"> PAGEREF _Toc436647360 \h </w:instrText>
      </w:r>
      <w:r>
        <w:fldChar w:fldCharType="separate"/>
      </w:r>
      <w:r w:rsidR="00F94EB1">
        <w:t>88</w:t>
      </w:r>
      <w:r>
        <w:fldChar w:fldCharType="end"/>
      </w:r>
    </w:p>
    <w:p w:rsidR="00042C7A" w:rsidRDefault="00042C7A" w:rsidP="006D0B73">
      <w:pPr>
        <w:pStyle w:val="TOC4"/>
        <w:tabs>
          <w:tab w:val="clear" w:pos="3600"/>
        </w:tabs>
        <w:ind w:left="3240"/>
        <w:rPr>
          <w:rFonts w:asciiTheme="minorHAnsi" w:eastAsiaTheme="minorEastAsia" w:hAnsiTheme="minorHAnsi" w:cstheme="minorBidi"/>
          <w:sz w:val="22"/>
          <w:szCs w:val="22"/>
        </w:rPr>
      </w:pPr>
      <w:r>
        <w:t>3.8.6.1</w:t>
      </w:r>
      <w:r>
        <w:rPr>
          <w:rFonts w:asciiTheme="minorHAnsi" w:eastAsiaTheme="minorEastAsia" w:hAnsiTheme="minorHAnsi" w:cstheme="minorBidi"/>
          <w:sz w:val="22"/>
          <w:szCs w:val="22"/>
        </w:rPr>
        <w:tab/>
      </w:r>
      <w:r>
        <w:t>Summary of the Proposal</w:t>
      </w:r>
      <w:r>
        <w:tab/>
      </w:r>
      <w:r>
        <w:fldChar w:fldCharType="begin"/>
      </w:r>
      <w:r>
        <w:instrText xml:space="preserve"> PAGEREF _Toc436647361 \h </w:instrText>
      </w:r>
      <w:r>
        <w:fldChar w:fldCharType="separate"/>
      </w:r>
      <w:r w:rsidR="00F94EB1">
        <w:t>88</w:t>
      </w:r>
      <w:r>
        <w:fldChar w:fldCharType="end"/>
      </w:r>
    </w:p>
    <w:p w:rsidR="00042C7A" w:rsidRDefault="00042C7A" w:rsidP="006D0B73">
      <w:pPr>
        <w:pStyle w:val="TOC4"/>
        <w:tabs>
          <w:tab w:val="clear" w:pos="3600"/>
        </w:tabs>
        <w:ind w:left="3240"/>
        <w:rPr>
          <w:rFonts w:asciiTheme="minorHAnsi" w:eastAsiaTheme="minorEastAsia" w:hAnsiTheme="minorHAnsi" w:cstheme="minorBidi"/>
          <w:sz w:val="22"/>
          <w:szCs w:val="22"/>
        </w:rPr>
      </w:pPr>
      <w:r>
        <w:t>3.8.6.2</w:t>
      </w:r>
      <w:r>
        <w:rPr>
          <w:rFonts w:asciiTheme="minorHAnsi" w:eastAsiaTheme="minorEastAsia" w:hAnsiTheme="minorHAnsi" w:cstheme="minorBidi"/>
          <w:sz w:val="22"/>
          <w:szCs w:val="22"/>
        </w:rPr>
        <w:tab/>
      </w:r>
      <w:r>
        <w:t>Positions of the Parties</w:t>
      </w:r>
      <w:r>
        <w:tab/>
      </w:r>
      <w:r>
        <w:fldChar w:fldCharType="begin"/>
      </w:r>
      <w:r>
        <w:instrText xml:space="preserve"> PAGEREF _Toc436647362 \h </w:instrText>
      </w:r>
      <w:r>
        <w:fldChar w:fldCharType="separate"/>
      </w:r>
      <w:r w:rsidR="00F94EB1">
        <w:t>89</w:t>
      </w:r>
      <w:r>
        <w:fldChar w:fldCharType="end"/>
      </w:r>
    </w:p>
    <w:p w:rsidR="00042C7A" w:rsidRDefault="00042C7A" w:rsidP="006D0B73">
      <w:pPr>
        <w:pStyle w:val="TOC4"/>
        <w:tabs>
          <w:tab w:val="clear" w:pos="3600"/>
        </w:tabs>
        <w:ind w:left="3240"/>
        <w:rPr>
          <w:rFonts w:asciiTheme="minorHAnsi" w:eastAsiaTheme="minorEastAsia" w:hAnsiTheme="minorHAnsi" w:cstheme="minorBidi"/>
          <w:sz w:val="22"/>
          <w:szCs w:val="22"/>
        </w:rPr>
      </w:pPr>
      <w:r>
        <w:t>3.8.6.3</w:t>
      </w:r>
      <w:r>
        <w:rPr>
          <w:rFonts w:asciiTheme="minorHAnsi" w:eastAsiaTheme="minorEastAsia" w:hAnsiTheme="minorHAnsi" w:cstheme="minorBidi"/>
          <w:sz w:val="22"/>
          <w:szCs w:val="22"/>
        </w:rPr>
        <w:tab/>
      </w:r>
      <w:r>
        <w:t>Discussion</w:t>
      </w:r>
      <w:r>
        <w:tab/>
      </w:r>
      <w:r>
        <w:fldChar w:fldCharType="begin"/>
      </w:r>
      <w:r>
        <w:instrText xml:space="preserve"> PAGEREF _Toc436647363 \h </w:instrText>
      </w:r>
      <w:r>
        <w:fldChar w:fldCharType="separate"/>
      </w:r>
      <w:r w:rsidR="00F94EB1">
        <w:t>92</w:t>
      </w:r>
      <w:r>
        <w:fldChar w:fldCharType="end"/>
      </w:r>
    </w:p>
    <w:p w:rsidR="00042C7A" w:rsidRDefault="00042C7A">
      <w:pPr>
        <w:pStyle w:val="TOC3"/>
        <w:rPr>
          <w:rFonts w:asciiTheme="minorHAnsi" w:eastAsiaTheme="minorEastAsia" w:hAnsiTheme="minorHAnsi" w:cstheme="minorBidi"/>
          <w:sz w:val="22"/>
          <w:szCs w:val="22"/>
        </w:rPr>
      </w:pPr>
      <w:r>
        <w:t>3.8.7.</w:t>
      </w:r>
      <w:r>
        <w:rPr>
          <w:rFonts w:asciiTheme="minorHAnsi" w:eastAsiaTheme="minorEastAsia" w:hAnsiTheme="minorHAnsi" w:cstheme="minorBidi"/>
          <w:sz w:val="22"/>
          <w:szCs w:val="22"/>
        </w:rPr>
        <w:tab/>
      </w:r>
      <w:r>
        <w:t>Proposed New Rule 94.11 and New Rule 94.3-C(1) (Pole Embedment)</w:t>
      </w:r>
      <w:r>
        <w:tab/>
      </w:r>
      <w:r>
        <w:fldChar w:fldCharType="begin"/>
      </w:r>
      <w:r>
        <w:instrText xml:space="preserve"> PAGEREF _Toc436647364 \h </w:instrText>
      </w:r>
      <w:r>
        <w:fldChar w:fldCharType="separate"/>
      </w:r>
      <w:r w:rsidR="00F94EB1">
        <w:t>96</w:t>
      </w:r>
      <w:r>
        <w:fldChar w:fldCharType="end"/>
      </w:r>
    </w:p>
    <w:p w:rsidR="00042C7A" w:rsidRDefault="00042C7A" w:rsidP="006D0B73">
      <w:pPr>
        <w:pStyle w:val="TOC4"/>
        <w:tabs>
          <w:tab w:val="clear" w:pos="3600"/>
        </w:tabs>
        <w:ind w:left="3240"/>
        <w:rPr>
          <w:rFonts w:asciiTheme="minorHAnsi" w:eastAsiaTheme="minorEastAsia" w:hAnsiTheme="minorHAnsi" w:cstheme="minorBidi"/>
          <w:sz w:val="22"/>
          <w:szCs w:val="22"/>
        </w:rPr>
      </w:pPr>
      <w:r>
        <w:t>3.8.7.1</w:t>
      </w:r>
      <w:r>
        <w:rPr>
          <w:rFonts w:asciiTheme="minorHAnsi" w:eastAsiaTheme="minorEastAsia" w:hAnsiTheme="minorHAnsi" w:cstheme="minorBidi"/>
          <w:sz w:val="22"/>
          <w:szCs w:val="22"/>
        </w:rPr>
        <w:tab/>
      </w:r>
      <w:r>
        <w:t>Summary of the Proposals</w:t>
      </w:r>
      <w:r>
        <w:tab/>
      </w:r>
      <w:r>
        <w:fldChar w:fldCharType="begin"/>
      </w:r>
      <w:r>
        <w:instrText xml:space="preserve"> PAGEREF _Toc436647365 \h </w:instrText>
      </w:r>
      <w:r>
        <w:fldChar w:fldCharType="separate"/>
      </w:r>
      <w:r w:rsidR="00F94EB1">
        <w:t>96</w:t>
      </w:r>
      <w:r>
        <w:fldChar w:fldCharType="end"/>
      </w:r>
    </w:p>
    <w:p w:rsidR="00042C7A" w:rsidRDefault="00042C7A" w:rsidP="006D0B73">
      <w:pPr>
        <w:pStyle w:val="TOC4"/>
        <w:tabs>
          <w:tab w:val="clear" w:pos="3600"/>
        </w:tabs>
        <w:ind w:left="3240"/>
        <w:rPr>
          <w:rFonts w:asciiTheme="minorHAnsi" w:eastAsiaTheme="minorEastAsia" w:hAnsiTheme="minorHAnsi" w:cstheme="minorBidi"/>
          <w:sz w:val="22"/>
          <w:szCs w:val="22"/>
        </w:rPr>
      </w:pPr>
      <w:r>
        <w:t>3.8.7.2</w:t>
      </w:r>
      <w:r>
        <w:rPr>
          <w:rFonts w:asciiTheme="minorHAnsi" w:eastAsiaTheme="minorEastAsia" w:hAnsiTheme="minorHAnsi" w:cstheme="minorBidi"/>
          <w:sz w:val="22"/>
          <w:szCs w:val="22"/>
        </w:rPr>
        <w:tab/>
      </w:r>
      <w:r>
        <w:t>Positions of the Parties</w:t>
      </w:r>
      <w:r>
        <w:tab/>
      </w:r>
      <w:r>
        <w:fldChar w:fldCharType="begin"/>
      </w:r>
      <w:r>
        <w:instrText xml:space="preserve"> PAGEREF _Toc436647366 \h </w:instrText>
      </w:r>
      <w:r>
        <w:fldChar w:fldCharType="separate"/>
      </w:r>
      <w:r w:rsidR="00F94EB1">
        <w:t>97</w:t>
      </w:r>
      <w:r>
        <w:fldChar w:fldCharType="end"/>
      </w:r>
    </w:p>
    <w:p w:rsidR="00042C7A" w:rsidRDefault="00042C7A" w:rsidP="005209CE">
      <w:pPr>
        <w:pStyle w:val="TOC5"/>
        <w:rPr>
          <w:rFonts w:asciiTheme="minorHAnsi" w:eastAsiaTheme="minorEastAsia" w:hAnsiTheme="minorHAnsi" w:cstheme="minorBidi"/>
          <w:sz w:val="22"/>
          <w:szCs w:val="22"/>
        </w:rPr>
      </w:pPr>
      <w:r>
        <w:t>3.8.7.2.1</w:t>
      </w:r>
      <w:r>
        <w:rPr>
          <w:rFonts w:asciiTheme="minorHAnsi" w:eastAsiaTheme="minorEastAsia" w:hAnsiTheme="minorHAnsi" w:cstheme="minorBidi"/>
          <w:sz w:val="22"/>
          <w:szCs w:val="22"/>
        </w:rPr>
        <w:tab/>
      </w:r>
      <w:r>
        <w:t>Proposed Rule 94.11</w:t>
      </w:r>
      <w:r>
        <w:tab/>
      </w:r>
      <w:r>
        <w:fldChar w:fldCharType="begin"/>
      </w:r>
      <w:r>
        <w:instrText xml:space="preserve"> PAGEREF _Toc436647367 \h </w:instrText>
      </w:r>
      <w:r>
        <w:fldChar w:fldCharType="separate"/>
      </w:r>
      <w:r w:rsidR="00F94EB1">
        <w:t>97</w:t>
      </w:r>
      <w:r>
        <w:fldChar w:fldCharType="end"/>
      </w:r>
    </w:p>
    <w:p w:rsidR="00042C7A" w:rsidRDefault="00042C7A" w:rsidP="005209CE">
      <w:pPr>
        <w:pStyle w:val="TOC5"/>
        <w:rPr>
          <w:rFonts w:asciiTheme="minorHAnsi" w:eastAsiaTheme="minorEastAsia" w:hAnsiTheme="minorHAnsi" w:cstheme="minorBidi"/>
          <w:sz w:val="22"/>
          <w:szCs w:val="22"/>
        </w:rPr>
      </w:pPr>
      <w:r>
        <w:t>3.8.7.2.2</w:t>
      </w:r>
      <w:r>
        <w:rPr>
          <w:rFonts w:asciiTheme="minorHAnsi" w:eastAsiaTheme="minorEastAsia" w:hAnsiTheme="minorHAnsi" w:cstheme="minorBidi"/>
          <w:sz w:val="22"/>
          <w:szCs w:val="22"/>
        </w:rPr>
        <w:tab/>
      </w:r>
      <w:r>
        <w:t>Proposed Rule 94.3-C(1)</w:t>
      </w:r>
      <w:r>
        <w:tab/>
      </w:r>
      <w:r>
        <w:fldChar w:fldCharType="begin"/>
      </w:r>
      <w:r>
        <w:instrText xml:space="preserve"> PAGEREF _Toc436647368 \h </w:instrText>
      </w:r>
      <w:r>
        <w:fldChar w:fldCharType="separate"/>
      </w:r>
      <w:r w:rsidR="00F94EB1">
        <w:t>101</w:t>
      </w:r>
      <w:r>
        <w:fldChar w:fldCharType="end"/>
      </w:r>
    </w:p>
    <w:p w:rsidR="00042C7A" w:rsidRDefault="00042C7A" w:rsidP="006D0B73">
      <w:pPr>
        <w:pStyle w:val="TOC4"/>
        <w:tabs>
          <w:tab w:val="clear" w:pos="3600"/>
        </w:tabs>
        <w:ind w:left="3240"/>
        <w:rPr>
          <w:rFonts w:asciiTheme="minorHAnsi" w:eastAsiaTheme="minorEastAsia" w:hAnsiTheme="minorHAnsi" w:cstheme="minorBidi"/>
          <w:sz w:val="22"/>
          <w:szCs w:val="22"/>
        </w:rPr>
      </w:pPr>
      <w:r>
        <w:t>3.8.7.3</w:t>
      </w:r>
      <w:r>
        <w:rPr>
          <w:rFonts w:asciiTheme="minorHAnsi" w:eastAsiaTheme="minorEastAsia" w:hAnsiTheme="minorHAnsi" w:cstheme="minorBidi"/>
          <w:sz w:val="22"/>
          <w:szCs w:val="22"/>
        </w:rPr>
        <w:tab/>
      </w:r>
      <w:r>
        <w:t>Discussion</w:t>
      </w:r>
      <w:r>
        <w:tab/>
      </w:r>
      <w:r>
        <w:fldChar w:fldCharType="begin"/>
      </w:r>
      <w:r>
        <w:instrText xml:space="preserve"> PAGEREF _Toc436647369 \h </w:instrText>
      </w:r>
      <w:r>
        <w:fldChar w:fldCharType="separate"/>
      </w:r>
      <w:r w:rsidR="00F94EB1">
        <w:t>102</w:t>
      </w:r>
      <w:r>
        <w:fldChar w:fldCharType="end"/>
      </w:r>
    </w:p>
    <w:p w:rsidR="00042C7A" w:rsidRDefault="00042C7A" w:rsidP="005209CE">
      <w:pPr>
        <w:pStyle w:val="TOC5"/>
        <w:rPr>
          <w:rFonts w:asciiTheme="minorHAnsi" w:eastAsiaTheme="minorEastAsia" w:hAnsiTheme="minorHAnsi" w:cstheme="minorBidi"/>
          <w:sz w:val="22"/>
          <w:szCs w:val="22"/>
        </w:rPr>
      </w:pPr>
      <w:r>
        <w:t>3.8.7.3.1</w:t>
      </w:r>
      <w:r>
        <w:rPr>
          <w:rFonts w:asciiTheme="minorHAnsi" w:eastAsiaTheme="minorEastAsia" w:hAnsiTheme="minorHAnsi" w:cstheme="minorBidi"/>
          <w:sz w:val="22"/>
          <w:szCs w:val="22"/>
        </w:rPr>
        <w:tab/>
      </w:r>
      <w:r>
        <w:t>Proposed Rule 94.11</w:t>
      </w:r>
      <w:r>
        <w:tab/>
      </w:r>
      <w:r>
        <w:fldChar w:fldCharType="begin"/>
      </w:r>
      <w:r>
        <w:instrText xml:space="preserve"> PAGEREF _Toc436647370 \h </w:instrText>
      </w:r>
      <w:r>
        <w:fldChar w:fldCharType="separate"/>
      </w:r>
      <w:r w:rsidR="00F94EB1">
        <w:t>102</w:t>
      </w:r>
      <w:r>
        <w:fldChar w:fldCharType="end"/>
      </w:r>
    </w:p>
    <w:p w:rsidR="00042C7A" w:rsidRDefault="00042C7A" w:rsidP="005209CE">
      <w:pPr>
        <w:pStyle w:val="TOC5"/>
        <w:rPr>
          <w:rFonts w:asciiTheme="minorHAnsi" w:eastAsiaTheme="minorEastAsia" w:hAnsiTheme="minorHAnsi" w:cstheme="minorBidi"/>
          <w:sz w:val="22"/>
          <w:szCs w:val="22"/>
        </w:rPr>
      </w:pPr>
      <w:r>
        <w:t>3.8.7.3.2</w:t>
      </w:r>
      <w:r>
        <w:rPr>
          <w:rFonts w:asciiTheme="minorHAnsi" w:eastAsiaTheme="minorEastAsia" w:hAnsiTheme="minorHAnsi" w:cstheme="minorBidi"/>
          <w:sz w:val="22"/>
          <w:szCs w:val="22"/>
        </w:rPr>
        <w:tab/>
      </w:r>
      <w:r>
        <w:t>Proposed Rule 94.3-C(1)</w:t>
      </w:r>
      <w:r>
        <w:tab/>
      </w:r>
      <w:r>
        <w:fldChar w:fldCharType="begin"/>
      </w:r>
      <w:r>
        <w:instrText xml:space="preserve"> PAGEREF _Toc436647372 \h </w:instrText>
      </w:r>
      <w:r>
        <w:fldChar w:fldCharType="separate"/>
      </w:r>
      <w:r w:rsidR="00F94EB1">
        <w:t>110</w:t>
      </w:r>
      <w:r>
        <w:fldChar w:fldCharType="end"/>
      </w:r>
    </w:p>
    <w:p w:rsidR="00042C7A" w:rsidRDefault="00042C7A">
      <w:pPr>
        <w:pStyle w:val="TOC3"/>
        <w:rPr>
          <w:rFonts w:asciiTheme="minorHAnsi" w:eastAsiaTheme="minorEastAsia" w:hAnsiTheme="minorHAnsi" w:cstheme="minorBidi"/>
          <w:sz w:val="22"/>
          <w:szCs w:val="22"/>
        </w:rPr>
      </w:pPr>
      <w:r>
        <w:t>3.8.8.</w:t>
      </w:r>
      <w:r>
        <w:rPr>
          <w:rFonts w:asciiTheme="minorHAnsi" w:eastAsiaTheme="minorEastAsia" w:hAnsiTheme="minorHAnsi" w:cstheme="minorBidi"/>
          <w:sz w:val="22"/>
          <w:szCs w:val="22"/>
        </w:rPr>
        <w:tab/>
      </w:r>
      <w:r>
        <w:t>Proposed New Rule 94.12 (Personnel Access to Pole</w:t>
      </w:r>
      <w:r>
        <w:noBreakHyphen/>
        <w:t>Top Antennas)</w:t>
      </w:r>
      <w:r>
        <w:tab/>
      </w:r>
      <w:r>
        <w:fldChar w:fldCharType="begin"/>
      </w:r>
      <w:r>
        <w:instrText xml:space="preserve"> PAGEREF _Toc436647373 \h </w:instrText>
      </w:r>
      <w:r>
        <w:fldChar w:fldCharType="separate"/>
      </w:r>
      <w:r w:rsidR="00F94EB1">
        <w:t>111</w:t>
      </w:r>
      <w:r>
        <w:fldChar w:fldCharType="end"/>
      </w:r>
    </w:p>
    <w:p w:rsidR="00042C7A" w:rsidRDefault="00042C7A" w:rsidP="006D0B73">
      <w:pPr>
        <w:pStyle w:val="TOC4"/>
        <w:tabs>
          <w:tab w:val="clear" w:pos="3600"/>
        </w:tabs>
        <w:ind w:left="3240"/>
        <w:rPr>
          <w:rFonts w:asciiTheme="minorHAnsi" w:eastAsiaTheme="minorEastAsia" w:hAnsiTheme="minorHAnsi" w:cstheme="minorBidi"/>
          <w:sz w:val="22"/>
          <w:szCs w:val="22"/>
        </w:rPr>
      </w:pPr>
      <w:r>
        <w:t>3.8.8.1</w:t>
      </w:r>
      <w:r>
        <w:rPr>
          <w:rFonts w:asciiTheme="minorHAnsi" w:eastAsiaTheme="minorEastAsia" w:hAnsiTheme="minorHAnsi" w:cstheme="minorBidi"/>
          <w:sz w:val="22"/>
          <w:szCs w:val="22"/>
        </w:rPr>
        <w:tab/>
      </w:r>
      <w:r>
        <w:t>Summary of the Proposal</w:t>
      </w:r>
      <w:r>
        <w:tab/>
      </w:r>
      <w:r>
        <w:fldChar w:fldCharType="begin"/>
      </w:r>
      <w:r>
        <w:instrText xml:space="preserve"> PAGEREF _Toc436647374 \h </w:instrText>
      </w:r>
      <w:r>
        <w:fldChar w:fldCharType="separate"/>
      </w:r>
      <w:r w:rsidR="00F94EB1">
        <w:t>111</w:t>
      </w:r>
      <w:r>
        <w:fldChar w:fldCharType="end"/>
      </w:r>
    </w:p>
    <w:p w:rsidR="00042C7A" w:rsidRDefault="00042C7A" w:rsidP="006D0B73">
      <w:pPr>
        <w:pStyle w:val="TOC4"/>
        <w:tabs>
          <w:tab w:val="clear" w:pos="3600"/>
        </w:tabs>
        <w:ind w:left="3240"/>
        <w:rPr>
          <w:rFonts w:asciiTheme="minorHAnsi" w:eastAsiaTheme="minorEastAsia" w:hAnsiTheme="minorHAnsi" w:cstheme="minorBidi"/>
          <w:sz w:val="22"/>
          <w:szCs w:val="22"/>
        </w:rPr>
      </w:pPr>
      <w:r>
        <w:lastRenderedPageBreak/>
        <w:t>3.8.8.2</w:t>
      </w:r>
      <w:r>
        <w:rPr>
          <w:rFonts w:asciiTheme="minorHAnsi" w:eastAsiaTheme="minorEastAsia" w:hAnsiTheme="minorHAnsi" w:cstheme="minorBidi"/>
          <w:sz w:val="22"/>
          <w:szCs w:val="22"/>
        </w:rPr>
        <w:tab/>
      </w:r>
      <w:r>
        <w:t>Positions of the Parties</w:t>
      </w:r>
      <w:r>
        <w:tab/>
      </w:r>
      <w:r>
        <w:fldChar w:fldCharType="begin"/>
      </w:r>
      <w:r>
        <w:instrText xml:space="preserve"> PAGEREF _Toc436647375 \h </w:instrText>
      </w:r>
      <w:r>
        <w:fldChar w:fldCharType="separate"/>
      </w:r>
      <w:r w:rsidR="00F94EB1">
        <w:t>111</w:t>
      </w:r>
      <w:r>
        <w:fldChar w:fldCharType="end"/>
      </w:r>
    </w:p>
    <w:p w:rsidR="00042C7A" w:rsidRDefault="00042C7A" w:rsidP="006D0B73">
      <w:pPr>
        <w:pStyle w:val="TOC4"/>
        <w:tabs>
          <w:tab w:val="clear" w:pos="3600"/>
        </w:tabs>
        <w:ind w:left="3240"/>
        <w:rPr>
          <w:rFonts w:asciiTheme="minorHAnsi" w:eastAsiaTheme="minorEastAsia" w:hAnsiTheme="minorHAnsi" w:cstheme="minorBidi"/>
          <w:sz w:val="22"/>
          <w:szCs w:val="22"/>
        </w:rPr>
      </w:pPr>
      <w:r>
        <w:t>3.8.8.3</w:t>
      </w:r>
      <w:r>
        <w:rPr>
          <w:rFonts w:asciiTheme="minorHAnsi" w:eastAsiaTheme="minorEastAsia" w:hAnsiTheme="minorHAnsi" w:cstheme="minorBidi"/>
          <w:sz w:val="22"/>
          <w:szCs w:val="22"/>
        </w:rPr>
        <w:tab/>
      </w:r>
      <w:r>
        <w:t>Discussion</w:t>
      </w:r>
      <w:r>
        <w:tab/>
      </w:r>
      <w:r>
        <w:fldChar w:fldCharType="begin"/>
      </w:r>
      <w:r>
        <w:instrText xml:space="preserve"> PAGEREF _Toc436647376 \h </w:instrText>
      </w:r>
      <w:r>
        <w:fldChar w:fldCharType="separate"/>
      </w:r>
      <w:r w:rsidR="00F94EB1">
        <w:t>112</w:t>
      </w:r>
      <w:r>
        <w:fldChar w:fldCharType="end"/>
      </w:r>
    </w:p>
    <w:p w:rsidR="00042C7A" w:rsidRDefault="00042C7A">
      <w:pPr>
        <w:pStyle w:val="TOC3"/>
        <w:rPr>
          <w:rFonts w:asciiTheme="minorHAnsi" w:eastAsiaTheme="minorEastAsia" w:hAnsiTheme="minorHAnsi" w:cstheme="minorBidi"/>
          <w:sz w:val="22"/>
          <w:szCs w:val="22"/>
        </w:rPr>
      </w:pPr>
      <w:r>
        <w:t>3.8.9.</w:t>
      </w:r>
      <w:r>
        <w:rPr>
          <w:rFonts w:asciiTheme="minorHAnsi" w:eastAsiaTheme="minorEastAsia" w:hAnsiTheme="minorHAnsi" w:cstheme="minorBidi"/>
          <w:sz w:val="22"/>
          <w:szCs w:val="22"/>
        </w:rPr>
        <w:tab/>
      </w:r>
      <w:r>
        <w:t>Data Base of Pole Attachments</w:t>
      </w:r>
      <w:r>
        <w:tab/>
      </w:r>
      <w:r>
        <w:fldChar w:fldCharType="begin"/>
      </w:r>
      <w:r>
        <w:instrText xml:space="preserve"> PAGEREF _Toc436647377 \h </w:instrText>
      </w:r>
      <w:r>
        <w:fldChar w:fldCharType="separate"/>
      </w:r>
      <w:r w:rsidR="00F94EB1">
        <w:t>114</w:t>
      </w:r>
      <w:r>
        <w:fldChar w:fldCharType="end"/>
      </w:r>
    </w:p>
    <w:p w:rsidR="00042C7A" w:rsidRDefault="00042C7A">
      <w:pPr>
        <w:pStyle w:val="TOC2"/>
        <w:rPr>
          <w:rFonts w:asciiTheme="minorHAnsi" w:eastAsiaTheme="minorEastAsia" w:hAnsiTheme="minorHAnsi" w:cstheme="minorBidi"/>
          <w:sz w:val="22"/>
          <w:szCs w:val="22"/>
        </w:rPr>
      </w:pPr>
      <w:r>
        <w:t>3.9.</w:t>
      </w:r>
      <w:r>
        <w:rPr>
          <w:rFonts w:asciiTheme="minorHAnsi" w:eastAsiaTheme="minorEastAsia" w:hAnsiTheme="minorHAnsi" w:cstheme="minorBidi"/>
          <w:sz w:val="22"/>
          <w:szCs w:val="22"/>
        </w:rPr>
        <w:tab/>
      </w:r>
      <w:r>
        <w:t>Implementation of the New and Revised GO 95 Rules</w:t>
      </w:r>
      <w:r>
        <w:tab/>
      </w:r>
      <w:r>
        <w:fldChar w:fldCharType="begin"/>
      </w:r>
      <w:r>
        <w:instrText xml:space="preserve"> PAGEREF _Toc436647378 \h </w:instrText>
      </w:r>
      <w:r>
        <w:fldChar w:fldCharType="separate"/>
      </w:r>
      <w:r w:rsidR="00F94EB1">
        <w:t>115</w:t>
      </w:r>
      <w:r>
        <w:fldChar w:fldCharType="end"/>
      </w:r>
    </w:p>
    <w:p w:rsidR="00042C7A" w:rsidRDefault="00042C7A">
      <w:pPr>
        <w:pStyle w:val="TOC1"/>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California Environmental Quality Act</w:t>
      </w:r>
      <w:r>
        <w:tab/>
      </w:r>
      <w:r>
        <w:fldChar w:fldCharType="begin"/>
      </w:r>
      <w:r>
        <w:instrText xml:space="preserve"> PAGEREF _Toc436647379 \h </w:instrText>
      </w:r>
      <w:r>
        <w:fldChar w:fldCharType="separate"/>
      </w:r>
      <w:r w:rsidR="00F94EB1">
        <w:t>115</w:t>
      </w:r>
      <w:r>
        <w:fldChar w:fldCharType="end"/>
      </w:r>
    </w:p>
    <w:p w:rsidR="00042C7A" w:rsidRDefault="00042C7A">
      <w:pPr>
        <w:pStyle w:val="TOC1"/>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Comments on the Proposed Decision</w:t>
      </w:r>
      <w:r>
        <w:tab/>
      </w:r>
      <w:r>
        <w:fldChar w:fldCharType="begin"/>
      </w:r>
      <w:r>
        <w:instrText xml:space="preserve"> PAGEREF _Toc436647380 \h </w:instrText>
      </w:r>
      <w:r>
        <w:fldChar w:fldCharType="separate"/>
      </w:r>
      <w:r w:rsidR="00F94EB1">
        <w:t>117</w:t>
      </w:r>
      <w:r>
        <w:fldChar w:fldCharType="end"/>
      </w:r>
    </w:p>
    <w:p w:rsidR="00042C7A" w:rsidRDefault="00042C7A">
      <w:pPr>
        <w:pStyle w:val="TOC1"/>
        <w:rPr>
          <w:rFonts w:asciiTheme="minorHAnsi" w:eastAsiaTheme="minorEastAsia" w:hAnsiTheme="minorHAnsi" w:cstheme="minorBidi"/>
          <w:sz w:val="22"/>
          <w:szCs w:val="22"/>
        </w:rPr>
      </w:pPr>
      <w:r>
        <w:t>6.</w:t>
      </w:r>
      <w:r>
        <w:rPr>
          <w:rFonts w:asciiTheme="minorHAnsi" w:eastAsiaTheme="minorEastAsia" w:hAnsiTheme="minorHAnsi" w:cstheme="minorBidi"/>
          <w:sz w:val="22"/>
          <w:szCs w:val="22"/>
        </w:rPr>
        <w:tab/>
      </w:r>
      <w:r>
        <w:t>Assignment of the Proceeding</w:t>
      </w:r>
      <w:r>
        <w:tab/>
      </w:r>
      <w:r>
        <w:fldChar w:fldCharType="begin"/>
      </w:r>
      <w:r>
        <w:instrText xml:space="preserve"> PAGEREF _Toc436647381 \h </w:instrText>
      </w:r>
      <w:r>
        <w:fldChar w:fldCharType="separate"/>
      </w:r>
      <w:r w:rsidR="00F94EB1">
        <w:t>120</w:t>
      </w:r>
      <w:r>
        <w:fldChar w:fldCharType="end"/>
      </w:r>
    </w:p>
    <w:p w:rsidR="00042C7A" w:rsidRDefault="00042C7A">
      <w:pPr>
        <w:pStyle w:val="TOC1"/>
        <w:rPr>
          <w:rFonts w:asciiTheme="minorHAnsi" w:eastAsiaTheme="minorEastAsia" w:hAnsiTheme="minorHAnsi" w:cstheme="minorBidi"/>
          <w:sz w:val="22"/>
          <w:szCs w:val="22"/>
        </w:rPr>
      </w:pPr>
      <w:r>
        <w:t>Findings of Fact</w:t>
      </w:r>
      <w:r>
        <w:tab/>
      </w:r>
      <w:r>
        <w:fldChar w:fldCharType="begin"/>
      </w:r>
      <w:r>
        <w:instrText xml:space="preserve"> PAGEREF _Toc436647382 \h </w:instrText>
      </w:r>
      <w:r>
        <w:fldChar w:fldCharType="separate"/>
      </w:r>
      <w:r w:rsidR="00F94EB1">
        <w:t>120</w:t>
      </w:r>
      <w:r>
        <w:fldChar w:fldCharType="end"/>
      </w:r>
    </w:p>
    <w:p w:rsidR="00042C7A" w:rsidRDefault="00042C7A">
      <w:pPr>
        <w:pStyle w:val="TOC1"/>
        <w:rPr>
          <w:rFonts w:asciiTheme="minorHAnsi" w:eastAsiaTheme="minorEastAsia" w:hAnsiTheme="minorHAnsi" w:cstheme="minorBidi"/>
          <w:sz w:val="22"/>
          <w:szCs w:val="22"/>
        </w:rPr>
      </w:pPr>
      <w:r>
        <w:t>Conclusions of Law</w:t>
      </w:r>
      <w:r>
        <w:tab/>
      </w:r>
      <w:r>
        <w:fldChar w:fldCharType="begin"/>
      </w:r>
      <w:r>
        <w:instrText xml:space="preserve"> PAGEREF _Toc436647383 \h </w:instrText>
      </w:r>
      <w:r>
        <w:fldChar w:fldCharType="separate"/>
      </w:r>
      <w:r w:rsidR="00F94EB1">
        <w:t>126</w:t>
      </w:r>
      <w:r>
        <w:fldChar w:fldCharType="end"/>
      </w:r>
    </w:p>
    <w:p w:rsidR="00042C7A" w:rsidRDefault="00042C7A">
      <w:pPr>
        <w:pStyle w:val="TOC1"/>
        <w:rPr>
          <w:rFonts w:asciiTheme="minorHAnsi" w:eastAsiaTheme="minorEastAsia" w:hAnsiTheme="minorHAnsi" w:cstheme="minorBidi"/>
          <w:sz w:val="22"/>
          <w:szCs w:val="22"/>
        </w:rPr>
      </w:pPr>
      <w:r>
        <w:t>ORDER</w:t>
      </w:r>
      <w:r>
        <w:tab/>
      </w:r>
      <w:r>
        <w:fldChar w:fldCharType="begin"/>
      </w:r>
      <w:r>
        <w:instrText xml:space="preserve"> PAGEREF _Toc436647384 \h </w:instrText>
      </w:r>
      <w:r>
        <w:fldChar w:fldCharType="separate"/>
      </w:r>
      <w:r w:rsidR="00F94EB1">
        <w:t>133</w:t>
      </w:r>
      <w:r>
        <w:fldChar w:fldCharType="end"/>
      </w:r>
    </w:p>
    <w:p w:rsidR="00042C7A" w:rsidRDefault="00042C7A">
      <w:pPr>
        <w:pStyle w:val="TOC1"/>
        <w:rPr>
          <w:rFonts w:asciiTheme="minorHAnsi" w:eastAsiaTheme="minorEastAsia" w:hAnsiTheme="minorHAnsi" w:cstheme="minorBidi"/>
          <w:sz w:val="22"/>
          <w:szCs w:val="22"/>
        </w:rPr>
      </w:pPr>
      <w:r>
        <w:t>Appendix A: Adopted Amendments to the ROW Rules</w:t>
      </w:r>
      <w:r>
        <w:tab/>
      </w:r>
      <w:r>
        <w:fldChar w:fldCharType="begin"/>
      </w:r>
      <w:r>
        <w:instrText xml:space="preserve"> PAGEREF _Toc436647385 \h </w:instrText>
      </w:r>
      <w:r>
        <w:fldChar w:fldCharType="separate"/>
      </w:r>
      <w:r w:rsidR="00F94EB1">
        <w:t>A-1</w:t>
      </w:r>
      <w:r>
        <w:fldChar w:fldCharType="end"/>
      </w:r>
    </w:p>
    <w:p w:rsidR="00042C7A" w:rsidRDefault="00042C7A">
      <w:pPr>
        <w:pStyle w:val="TOC1"/>
        <w:rPr>
          <w:rFonts w:asciiTheme="minorHAnsi" w:eastAsiaTheme="minorEastAsia" w:hAnsiTheme="minorHAnsi" w:cstheme="minorBidi"/>
          <w:sz w:val="22"/>
          <w:szCs w:val="22"/>
        </w:rPr>
      </w:pPr>
      <w:r>
        <w:t>Appendix B: Proposed Revisions to GO 95</w:t>
      </w:r>
      <w:r>
        <w:tab/>
      </w:r>
      <w:r>
        <w:fldChar w:fldCharType="begin"/>
      </w:r>
      <w:r>
        <w:instrText xml:space="preserve"> PAGEREF _Toc436647386 \h </w:instrText>
      </w:r>
      <w:r>
        <w:fldChar w:fldCharType="separate"/>
      </w:r>
      <w:r w:rsidR="00F94EB1">
        <w:t>B-1</w:t>
      </w:r>
      <w:r>
        <w:fldChar w:fldCharType="end"/>
      </w:r>
    </w:p>
    <w:p w:rsidR="00042C7A" w:rsidRDefault="00042C7A">
      <w:pPr>
        <w:pStyle w:val="TOC2"/>
        <w:rPr>
          <w:rFonts w:asciiTheme="minorHAnsi" w:eastAsiaTheme="minorEastAsia" w:hAnsiTheme="minorHAnsi" w:cstheme="minorBidi"/>
          <w:sz w:val="22"/>
          <w:szCs w:val="22"/>
        </w:rPr>
      </w:pPr>
      <w:r>
        <w:t>Revised Rule 21.0-D and Rule 87.7</w:t>
      </w:r>
      <w:r>
        <w:noBreakHyphen/>
        <w:t>B (Guard Arms)</w:t>
      </w:r>
      <w:r>
        <w:tab/>
      </w:r>
      <w:r>
        <w:fldChar w:fldCharType="begin"/>
      </w:r>
      <w:r>
        <w:instrText xml:space="preserve"> PAGEREF _Toc436647387 \h </w:instrText>
      </w:r>
      <w:r>
        <w:fldChar w:fldCharType="separate"/>
      </w:r>
      <w:r w:rsidR="00F94EB1">
        <w:t>B-2</w:t>
      </w:r>
      <w:r>
        <w:fldChar w:fldCharType="end"/>
      </w:r>
    </w:p>
    <w:p w:rsidR="00042C7A" w:rsidRDefault="00042C7A">
      <w:pPr>
        <w:pStyle w:val="TOC2"/>
        <w:rPr>
          <w:rFonts w:asciiTheme="minorHAnsi" w:eastAsiaTheme="minorEastAsia" w:hAnsiTheme="minorHAnsi" w:cstheme="minorBidi"/>
          <w:sz w:val="22"/>
          <w:szCs w:val="22"/>
        </w:rPr>
      </w:pPr>
      <w:r>
        <w:t>New Rule 94.3</w:t>
      </w:r>
      <w:r w:rsidRPr="00694756">
        <w:rPr>
          <w:rFonts w:cs="Helvetica"/>
        </w:rPr>
        <w:noBreakHyphen/>
      </w:r>
      <w:r>
        <w:t>D (Load Calculation)</w:t>
      </w:r>
      <w:r>
        <w:tab/>
      </w:r>
      <w:r>
        <w:fldChar w:fldCharType="begin"/>
      </w:r>
      <w:r>
        <w:instrText xml:space="preserve"> PAGEREF _Toc436647388 \h </w:instrText>
      </w:r>
      <w:r>
        <w:fldChar w:fldCharType="separate"/>
      </w:r>
      <w:r w:rsidR="00F94EB1">
        <w:t>B-3</w:t>
      </w:r>
      <w:r>
        <w:fldChar w:fldCharType="end"/>
      </w:r>
    </w:p>
    <w:p w:rsidR="00042C7A" w:rsidRDefault="00042C7A">
      <w:pPr>
        <w:pStyle w:val="TOC2"/>
        <w:rPr>
          <w:rFonts w:asciiTheme="minorHAnsi" w:eastAsiaTheme="minorEastAsia" w:hAnsiTheme="minorHAnsi" w:cstheme="minorBidi"/>
          <w:sz w:val="22"/>
          <w:szCs w:val="22"/>
        </w:rPr>
      </w:pPr>
      <w:r>
        <w:t>Revised Rule 94.5-A (Marking)</w:t>
      </w:r>
      <w:r>
        <w:tab/>
      </w:r>
      <w:r>
        <w:fldChar w:fldCharType="begin"/>
      </w:r>
      <w:r>
        <w:instrText xml:space="preserve"> PAGEREF _Toc436647389 \h </w:instrText>
      </w:r>
      <w:r>
        <w:fldChar w:fldCharType="separate"/>
      </w:r>
      <w:r w:rsidR="00F94EB1">
        <w:t>B-3</w:t>
      </w:r>
      <w:r>
        <w:fldChar w:fldCharType="end"/>
      </w:r>
    </w:p>
    <w:p w:rsidR="00042C7A" w:rsidRDefault="00042C7A">
      <w:pPr>
        <w:pStyle w:val="TOC2"/>
        <w:rPr>
          <w:rFonts w:asciiTheme="minorHAnsi" w:eastAsiaTheme="minorEastAsia" w:hAnsiTheme="minorHAnsi" w:cstheme="minorBidi"/>
          <w:sz w:val="22"/>
          <w:szCs w:val="22"/>
        </w:rPr>
      </w:pPr>
      <w:r>
        <w:t>New Rule 94.6-C (Fall-Protection Gear)</w:t>
      </w:r>
      <w:r>
        <w:tab/>
      </w:r>
      <w:r>
        <w:fldChar w:fldCharType="begin"/>
      </w:r>
      <w:r>
        <w:instrText xml:space="preserve"> PAGEREF _Toc436647390 \h </w:instrText>
      </w:r>
      <w:r>
        <w:fldChar w:fldCharType="separate"/>
      </w:r>
      <w:r w:rsidR="00F94EB1">
        <w:t>B-4</w:t>
      </w:r>
      <w:r>
        <w:fldChar w:fldCharType="end"/>
      </w:r>
    </w:p>
    <w:p w:rsidR="00042C7A" w:rsidRDefault="00042C7A">
      <w:pPr>
        <w:pStyle w:val="TOC2"/>
        <w:rPr>
          <w:rFonts w:asciiTheme="minorHAnsi" w:eastAsiaTheme="minorEastAsia" w:hAnsiTheme="minorHAnsi" w:cstheme="minorBidi"/>
          <w:sz w:val="22"/>
          <w:szCs w:val="22"/>
        </w:rPr>
      </w:pPr>
      <w:r>
        <w:t>Revised Rule 94.9 (De-Energizing Protocols)</w:t>
      </w:r>
      <w:r>
        <w:tab/>
      </w:r>
      <w:r>
        <w:fldChar w:fldCharType="begin"/>
      </w:r>
      <w:r>
        <w:instrText xml:space="preserve"> PAGEREF _Toc436647391 \h </w:instrText>
      </w:r>
      <w:r>
        <w:fldChar w:fldCharType="separate"/>
      </w:r>
      <w:r w:rsidR="00F94EB1">
        <w:t>B-5</w:t>
      </w:r>
      <w:r>
        <w:fldChar w:fldCharType="end"/>
      </w:r>
    </w:p>
    <w:p w:rsidR="00042C7A" w:rsidRDefault="00042C7A">
      <w:pPr>
        <w:pStyle w:val="TOC2"/>
        <w:rPr>
          <w:rFonts w:asciiTheme="minorHAnsi" w:eastAsiaTheme="minorEastAsia" w:hAnsiTheme="minorHAnsi" w:cstheme="minorBidi"/>
          <w:sz w:val="22"/>
          <w:szCs w:val="22"/>
        </w:rPr>
      </w:pPr>
      <w:r>
        <w:t>New Rule 94.10 (Pad Mounting)</w:t>
      </w:r>
      <w:r>
        <w:tab/>
      </w:r>
      <w:r>
        <w:fldChar w:fldCharType="begin"/>
      </w:r>
      <w:r>
        <w:instrText xml:space="preserve"> PAGEREF _Toc436647392 \h </w:instrText>
      </w:r>
      <w:r>
        <w:fldChar w:fldCharType="separate"/>
      </w:r>
      <w:r w:rsidR="00F94EB1">
        <w:t>B-5</w:t>
      </w:r>
      <w:r>
        <w:fldChar w:fldCharType="end"/>
      </w:r>
    </w:p>
    <w:p w:rsidR="00042C7A" w:rsidRDefault="00042C7A">
      <w:pPr>
        <w:pStyle w:val="TOC2"/>
        <w:rPr>
          <w:rFonts w:asciiTheme="minorHAnsi" w:eastAsiaTheme="minorEastAsia" w:hAnsiTheme="minorHAnsi" w:cstheme="minorBidi"/>
          <w:sz w:val="22"/>
          <w:szCs w:val="22"/>
        </w:rPr>
      </w:pPr>
      <w:r>
        <w:t>New Rule 94.11 (Pole Embedment)</w:t>
      </w:r>
      <w:r>
        <w:tab/>
      </w:r>
      <w:r>
        <w:fldChar w:fldCharType="begin"/>
      </w:r>
      <w:r>
        <w:instrText xml:space="preserve"> PAGEREF _Toc436647393 \h </w:instrText>
      </w:r>
      <w:r>
        <w:fldChar w:fldCharType="separate"/>
      </w:r>
      <w:r w:rsidR="00F94EB1">
        <w:t>B-5</w:t>
      </w:r>
      <w:r>
        <w:fldChar w:fldCharType="end"/>
      </w:r>
    </w:p>
    <w:p w:rsidR="00042C7A" w:rsidRDefault="00042C7A">
      <w:pPr>
        <w:pStyle w:val="TOC2"/>
        <w:rPr>
          <w:rFonts w:asciiTheme="minorHAnsi" w:eastAsiaTheme="minorEastAsia" w:hAnsiTheme="minorHAnsi" w:cstheme="minorBidi"/>
          <w:sz w:val="22"/>
          <w:szCs w:val="22"/>
        </w:rPr>
      </w:pPr>
      <w:r>
        <w:t>New Rule 94.3-C(1) (Pole Embedment)</w:t>
      </w:r>
      <w:r>
        <w:tab/>
      </w:r>
      <w:r>
        <w:fldChar w:fldCharType="begin"/>
      </w:r>
      <w:r>
        <w:instrText xml:space="preserve"> PAGEREF _Toc436647394 \h </w:instrText>
      </w:r>
      <w:r>
        <w:fldChar w:fldCharType="separate"/>
      </w:r>
      <w:r w:rsidR="00F94EB1">
        <w:t>B-6</w:t>
      </w:r>
      <w:r>
        <w:fldChar w:fldCharType="end"/>
      </w:r>
    </w:p>
    <w:p w:rsidR="00042C7A" w:rsidRDefault="00042C7A">
      <w:pPr>
        <w:pStyle w:val="TOC2"/>
        <w:rPr>
          <w:rFonts w:asciiTheme="minorHAnsi" w:eastAsiaTheme="minorEastAsia" w:hAnsiTheme="minorHAnsi" w:cstheme="minorBidi"/>
          <w:sz w:val="22"/>
          <w:szCs w:val="22"/>
        </w:rPr>
      </w:pPr>
      <w:r>
        <w:t>New Rule 94.12 (Pole-Top Antenna Access)</w:t>
      </w:r>
      <w:r>
        <w:tab/>
      </w:r>
      <w:r>
        <w:fldChar w:fldCharType="begin"/>
      </w:r>
      <w:r>
        <w:instrText xml:space="preserve"> PAGEREF _Toc436647395 \h </w:instrText>
      </w:r>
      <w:r>
        <w:fldChar w:fldCharType="separate"/>
      </w:r>
      <w:r w:rsidR="00F94EB1">
        <w:t>B-6</w:t>
      </w:r>
      <w:r>
        <w:fldChar w:fldCharType="end"/>
      </w:r>
    </w:p>
    <w:p w:rsidR="00042C7A" w:rsidRDefault="00042C7A">
      <w:pPr>
        <w:pStyle w:val="TOC1"/>
        <w:rPr>
          <w:rFonts w:asciiTheme="minorHAnsi" w:eastAsiaTheme="minorEastAsia" w:hAnsiTheme="minorHAnsi" w:cstheme="minorBidi"/>
          <w:sz w:val="22"/>
          <w:szCs w:val="22"/>
        </w:rPr>
      </w:pPr>
      <w:r>
        <w:t>Appendix C: Adopted Amendments to General Order 95</w:t>
      </w:r>
      <w:r>
        <w:tab/>
      </w:r>
      <w:r>
        <w:fldChar w:fldCharType="begin"/>
      </w:r>
      <w:r>
        <w:instrText xml:space="preserve"> PAGEREF _Toc436647396 \h </w:instrText>
      </w:r>
      <w:r>
        <w:fldChar w:fldCharType="separate"/>
      </w:r>
      <w:r w:rsidR="00F94EB1">
        <w:t>C-1</w:t>
      </w:r>
      <w:r>
        <w:fldChar w:fldCharType="end"/>
      </w:r>
    </w:p>
    <w:p w:rsidR="00042C7A" w:rsidRDefault="00042C7A">
      <w:pPr>
        <w:pStyle w:val="TOC2"/>
        <w:rPr>
          <w:rFonts w:asciiTheme="minorHAnsi" w:eastAsiaTheme="minorEastAsia" w:hAnsiTheme="minorHAnsi" w:cstheme="minorBidi"/>
          <w:sz w:val="22"/>
          <w:szCs w:val="22"/>
        </w:rPr>
      </w:pPr>
      <w:r>
        <w:t>Rule 21.0</w:t>
      </w:r>
      <w:r>
        <w:noBreakHyphen/>
        <w:t>D (Guard Arms)</w:t>
      </w:r>
      <w:r>
        <w:tab/>
      </w:r>
      <w:r>
        <w:fldChar w:fldCharType="begin"/>
      </w:r>
      <w:r>
        <w:instrText xml:space="preserve"> PAGEREF _Toc436647397 \h </w:instrText>
      </w:r>
      <w:r>
        <w:fldChar w:fldCharType="separate"/>
      </w:r>
      <w:r w:rsidR="00F94EB1">
        <w:t>C-2</w:t>
      </w:r>
      <w:r>
        <w:fldChar w:fldCharType="end"/>
      </w:r>
    </w:p>
    <w:p w:rsidR="00042C7A" w:rsidRDefault="00042C7A">
      <w:pPr>
        <w:pStyle w:val="TOC2"/>
        <w:rPr>
          <w:rFonts w:asciiTheme="minorHAnsi" w:eastAsiaTheme="minorEastAsia" w:hAnsiTheme="minorHAnsi" w:cstheme="minorBidi"/>
          <w:sz w:val="22"/>
          <w:szCs w:val="22"/>
        </w:rPr>
      </w:pPr>
      <w:r>
        <w:t>Rule 87.7</w:t>
      </w:r>
      <w:r>
        <w:noBreakHyphen/>
        <w:t>B (Guard Arms)</w:t>
      </w:r>
      <w:r>
        <w:tab/>
      </w:r>
      <w:r>
        <w:fldChar w:fldCharType="begin"/>
      </w:r>
      <w:r>
        <w:instrText xml:space="preserve"> PAGEREF _Toc436647398 \h </w:instrText>
      </w:r>
      <w:r>
        <w:fldChar w:fldCharType="separate"/>
      </w:r>
      <w:r w:rsidR="00F94EB1">
        <w:t>C-2</w:t>
      </w:r>
      <w:r>
        <w:fldChar w:fldCharType="end"/>
      </w:r>
    </w:p>
    <w:p w:rsidR="00042C7A" w:rsidRDefault="00042C7A">
      <w:pPr>
        <w:pStyle w:val="TOC2"/>
        <w:rPr>
          <w:rFonts w:asciiTheme="minorHAnsi" w:eastAsiaTheme="minorEastAsia" w:hAnsiTheme="minorHAnsi" w:cstheme="minorBidi"/>
          <w:sz w:val="22"/>
          <w:szCs w:val="22"/>
        </w:rPr>
      </w:pPr>
      <w:r>
        <w:t>Rule 94.5</w:t>
      </w:r>
      <w:r>
        <w:noBreakHyphen/>
        <w:t>A (Marking)</w:t>
      </w:r>
      <w:r>
        <w:tab/>
      </w:r>
      <w:r>
        <w:fldChar w:fldCharType="begin"/>
      </w:r>
      <w:r>
        <w:instrText xml:space="preserve"> PAGEREF _Toc436647399 \h </w:instrText>
      </w:r>
      <w:r>
        <w:fldChar w:fldCharType="separate"/>
      </w:r>
      <w:r w:rsidR="00F94EB1">
        <w:t>C-3</w:t>
      </w:r>
      <w:r>
        <w:fldChar w:fldCharType="end"/>
      </w:r>
    </w:p>
    <w:p w:rsidR="00042C7A" w:rsidRDefault="00042C7A">
      <w:pPr>
        <w:pStyle w:val="TOC2"/>
        <w:rPr>
          <w:rFonts w:asciiTheme="minorHAnsi" w:eastAsiaTheme="minorEastAsia" w:hAnsiTheme="minorHAnsi" w:cstheme="minorBidi"/>
          <w:sz w:val="22"/>
          <w:szCs w:val="22"/>
        </w:rPr>
      </w:pPr>
      <w:r>
        <w:t>Rule 94.6</w:t>
      </w:r>
      <w:r>
        <w:noBreakHyphen/>
        <w:t>C (Climbing Space and Fall Protection)</w:t>
      </w:r>
      <w:r>
        <w:tab/>
      </w:r>
      <w:r>
        <w:fldChar w:fldCharType="begin"/>
      </w:r>
      <w:r>
        <w:instrText xml:space="preserve"> PAGEREF _Toc436647400 \h </w:instrText>
      </w:r>
      <w:r>
        <w:fldChar w:fldCharType="separate"/>
      </w:r>
      <w:r w:rsidR="00F94EB1">
        <w:t>C-3</w:t>
      </w:r>
      <w:r>
        <w:fldChar w:fldCharType="end"/>
      </w:r>
    </w:p>
    <w:p w:rsidR="00042C7A" w:rsidRDefault="00042C7A">
      <w:pPr>
        <w:pStyle w:val="TOC2"/>
        <w:rPr>
          <w:rFonts w:asciiTheme="minorHAnsi" w:eastAsiaTheme="minorEastAsia" w:hAnsiTheme="minorHAnsi" w:cstheme="minorBidi"/>
          <w:sz w:val="22"/>
          <w:szCs w:val="22"/>
        </w:rPr>
      </w:pPr>
      <w:r>
        <w:t>Rule 94.9 (De-Energizing Protocols)</w:t>
      </w:r>
      <w:r>
        <w:tab/>
      </w:r>
      <w:r>
        <w:fldChar w:fldCharType="begin"/>
      </w:r>
      <w:r>
        <w:instrText xml:space="preserve"> PAGEREF _Toc436647401 \h </w:instrText>
      </w:r>
      <w:r>
        <w:fldChar w:fldCharType="separate"/>
      </w:r>
      <w:r w:rsidR="00F94EB1">
        <w:t>C-4</w:t>
      </w:r>
      <w:r>
        <w:fldChar w:fldCharType="end"/>
      </w:r>
    </w:p>
    <w:p w:rsidR="00042C7A" w:rsidRDefault="00042C7A">
      <w:pPr>
        <w:pStyle w:val="TOC2"/>
        <w:rPr>
          <w:rFonts w:asciiTheme="minorHAnsi" w:eastAsiaTheme="minorEastAsia" w:hAnsiTheme="minorHAnsi" w:cstheme="minorBidi"/>
          <w:sz w:val="22"/>
          <w:szCs w:val="22"/>
        </w:rPr>
      </w:pPr>
      <w:r>
        <w:t>Rule 94.11 (Pole Overturning Calculation)</w:t>
      </w:r>
      <w:r>
        <w:tab/>
      </w:r>
      <w:r>
        <w:fldChar w:fldCharType="begin"/>
      </w:r>
      <w:r>
        <w:instrText xml:space="preserve"> PAGEREF _Toc436647402 \h </w:instrText>
      </w:r>
      <w:r>
        <w:fldChar w:fldCharType="separate"/>
      </w:r>
      <w:r w:rsidR="00F94EB1">
        <w:t>C-4</w:t>
      </w:r>
      <w:r>
        <w:fldChar w:fldCharType="end"/>
      </w:r>
    </w:p>
    <w:p w:rsidR="00042C7A" w:rsidRDefault="00042C7A">
      <w:pPr>
        <w:pStyle w:val="TOC2"/>
        <w:rPr>
          <w:rFonts w:asciiTheme="minorHAnsi" w:eastAsiaTheme="minorEastAsia" w:hAnsiTheme="minorHAnsi" w:cstheme="minorBidi"/>
          <w:sz w:val="22"/>
          <w:szCs w:val="22"/>
        </w:rPr>
      </w:pPr>
      <w:r>
        <w:t>Rule 94.12 (Personnel Access Above Supply Lines)</w:t>
      </w:r>
      <w:r>
        <w:tab/>
      </w:r>
      <w:r>
        <w:fldChar w:fldCharType="begin"/>
      </w:r>
      <w:r>
        <w:instrText xml:space="preserve"> PAGEREF _Toc436647403 \h </w:instrText>
      </w:r>
      <w:r>
        <w:fldChar w:fldCharType="separate"/>
      </w:r>
      <w:r w:rsidR="00F94EB1">
        <w:t>C-4</w:t>
      </w:r>
      <w:r>
        <w:fldChar w:fldCharType="end"/>
      </w:r>
    </w:p>
    <w:p w:rsidR="00042C7A" w:rsidRDefault="00042C7A">
      <w:pPr>
        <w:pStyle w:val="TOC1"/>
        <w:rPr>
          <w:rFonts w:asciiTheme="minorHAnsi" w:eastAsiaTheme="minorEastAsia" w:hAnsiTheme="minorHAnsi" w:cstheme="minorBidi"/>
          <w:sz w:val="22"/>
          <w:szCs w:val="22"/>
        </w:rPr>
      </w:pPr>
      <w:r>
        <w:t>Appendix D: Examples of Pole Space Subject to the 7.4% Fee</w:t>
      </w:r>
      <w:r>
        <w:tab/>
      </w:r>
      <w:r>
        <w:fldChar w:fldCharType="begin"/>
      </w:r>
      <w:r>
        <w:instrText xml:space="preserve"> PAGEREF _Toc436647404 \h </w:instrText>
      </w:r>
      <w:r>
        <w:fldChar w:fldCharType="separate"/>
      </w:r>
      <w:r w:rsidR="00F94EB1">
        <w:t>D-1</w:t>
      </w:r>
      <w:r>
        <w:fldChar w:fldCharType="end"/>
      </w:r>
    </w:p>
    <w:p w:rsidR="00042C7A" w:rsidRDefault="00042C7A">
      <w:pPr>
        <w:pStyle w:val="TOC1"/>
        <w:rPr>
          <w:rFonts w:asciiTheme="minorHAnsi" w:eastAsiaTheme="minorEastAsia" w:hAnsiTheme="minorHAnsi" w:cstheme="minorBidi"/>
          <w:sz w:val="22"/>
          <w:szCs w:val="22"/>
        </w:rPr>
      </w:pPr>
      <w:r>
        <w:t>Appendix E: Example Calculations of Pole Overturning Moment</w:t>
      </w:r>
      <w:r>
        <w:tab/>
      </w:r>
      <w:r>
        <w:fldChar w:fldCharType="begin"/>
      </w:r>
      <w:r>
        <w:instrText xml:space="preserve"> PAGEREF _Toc436647405 \h </w:instrText>
      </w:r>
      <w:r>
        <w:fldChar w:fldCharType="separate"/>
      </w:r>
      <w:r w:rsidR="00F94EB1">
        <w:t>E-1</w:t>
      </w:r>
      <w:r>
        <w:fldChar w:fldCharType="end"/>
      </w:r>
    </w:p>
    <w:p w:rsidR="000B0AA5" w:rsidRDefault="0079108A" w:rsidP="002E3B0D">
      <w:pPr>
        <w:pStyle w:val="standard"/>
        <w:widowControl w:val="0"/>
        <w:spacing w:line="240" w:lineRule="auto"/>
        <w:ind w:firstLine="0"/>
        <w:sectPr w:rsidR="000B0AA5" w:rsidSect="002710BA">
          <w:headerReference w:type="default" r:id="rId14"/>
          <w:footerReference w:type="default" r:id="rId15"/>
          <w:headerReference w:type="first" r:id="rId16"/>
          <w:footerReference w:type="first" r:id="rId17"/>
          <w:pgSz w:w="12240" w:h="15840" w:code="1"/>
          <w:pgMar w:top="1296" w:right="1440" w:bottom="1296" w:left="1440" w:header="720" w:footer="720" w:gutter="0"/>
          <w:pgNumType w:fmt="lowerRoman" w:start="1"/>
          <w:cols w:space="720"/>
          <w:titlePg/>
          <w:docGrid w:linePitch="354"/>
        </w:sectPr>
      </w:pPr>
      <w:r>
        <w:rPr>
          <w:noProof/>
          <w:szCs w:val="26"/>
        </w:rPr>
        <w:fldChar w:fldCharType="end"/>
      </w:r>
    </w:p>
    <w:p w:rsidR="000B0AA5" w:rsidRDefault="000B0AA5">
      <w:pPr>
        <w:pStyle w:val="standard"/>
        <w:spacing w:before="120" w:line="240" w:lineRule="auto"/>
        <w:ind w:firstLine="0"/>
        <w:sectPr w:rsidR="000B0AA5" w:rsidSect="00CC7D0E">
          <w:headerReference w:type="default" r:id="rId18"/>
          <w:footerReference w:type="first" r:id="rId19"/>
          <w:type w:val="continuous"/>
          <w:pgSz w:w="12240" w:h="15840" w:code="1"/>
          <w:pgMar w:top="1152" w:right="1440" w:bottom="1440" w:left="1440" w:header="720" w:footer="720" w:gutter="0"/>
          <w:pgNumType w:start="2"/>
          <w:cols w:space="720"/>
          <w:titlePg/>
        </w:sectPr>
      </w:pPr>
    </w:p>
    <w:p w:rsidR="00EF4720" w:rsidRPr="00EF4720" w:rsidRDefault="00B21A83" w:rsidP="00CE5441">
      <w:pPr>
        <w:pStyle w:val="standard"/>
        <w:spacing w:line="240" w:lineRule="auto"/>
        <w:ind w:firstLine="0"/>
        <w:jc w:val="center"/>
        <w:rPr>
          <w:rFonts w:ascii="Helvetica" w:hAnsi="Helvetica" w:cs="Helvetica"/>
          <w:b/>
        </w:rPr>
      </w:pPr>
      <w:r>
        <w:rPr>
          <w:rFonts w:ascii="Helvetica" w:hAnsi="Helvetica" w:cs="Helvetica"/>
          <w:b/>
        </w:rPr>
        <w:lastRenderedPageBreak/>
        <w:t xml:space="preserve">DECISION </w:t>
      </w:r>
      <w:r w:rsidR="00D05E36">
        <w:rPr>
          <w:rFonts w:ascii="Helvetica" w:hAnsi="Helvetica" w:cs="Helvetica"/>
          <w:b/>
        </w:rPr>
        <w:t xml:space="preserve">REGARDING THE APPLICABILITY OF </w:t>
      </w:r>
      <w:r w:rsidR="00EC5349" w:rsidRPr="00EC5349">
        <w:rPr>
          <w:rFonts w:ascii="Helvetica" w:hAnsi="Helvetica" w:cs="Helvetica"/>
          <w:b/>
        </w:rPr>
        <w:t>THE COMMISSION’S RIGHT-OF-WAY RULES TO COMMERCIAL MOBILE RADIO SERVICE CARRIERS</w:t>
      </w:r>
    </w:p>
    <w:p w:rsidR="000B0AA5" w:rsidRDefault="000B0AA5">
      <w:pPr>
        <w:pStyle w:val="main"/>
      </w:pPr>
    </w:p>
    <w:p w:rsidR="00F44782" w:rsidRDefault="00F44782">
      <w:pPr>
        <w:pStyle w:val="main"/>
      </w:pPr>
    </w:p>
    <w:p w:rsidR="000B0AA5" w:rsidRDefault="000B0AA5" w:rsidP="00A4093B">
      <w:pPr>
        <w:pStyle w:val="Heading1"/>
      </w:pPr>
      <w:bookmarkStart w:id="3" w:name="_Toc194913473"/>
      <w:bookmarkStart w:id="4" w:name="_Toc424321883"/>
      <w:bookmarkStart w:id="5" w:name="_Toc436647307"/>
      <w:bookmarkStart w:id="6" w:name="_Toc213645579"/>
      <w:r>
        <w:t>Summary</w:t>
      </w:r>
      <w:bookmarkEnd w:id="3"/>
      <w:bookmarkEnd w:id="4"/>
      <w:bookmarkEnd w:id="5"/>
      <w:r>
        <w:t xml:space="preserve"> </w:t>
      </w:r>
      <w:bookmarkEnd w:id="6"/>
    </w:p>
    <w:p w:rsidR="00DA4908" w:rsidRDefault="00CB16D1" w:rsidP="007B751F">
      <w:pPr>
        <w:pStyle w:val="standard"/>
      </w:pPr>
      <w:r>
        <w:t>In Decision 98-10-058, the Commission adopted the Right-of-Way Rules (ROW</w:t>
      </w:r>
      <w:r w:rsidR="00DA4908">
        <w:t> Rules</w:t>
      </w:r>
      <w:r>
        <w:t xml:space="preserve">) that provide competitive local </w:t>
      </w:r>
      <w:r w:rsidR="0005497B">
        <w:t xml:space="preserve">exchange </w:t>
      </w:r>
      <w:r>
        <w:t xml:space="preserve">carriers </w:t>
      </w:r>
      <w:r w:rsidR="00DA4908">
        <w:t>(CL</w:t>
      </w:r>
      <w:r w:rsidR="0005497B">
        <w:t>E</w:t>
      </w:r>
      <w:r w:rsidR="00DA4908">
        <w:t>C</w:t>
      </w:r>
      <w:r w:rsidR="00C05FC5">
        <w:t>s</w:t>
      </w:r>
      <w:r w:rsidR="00DA4908">
        <w:t xml:space="preserve">) </w:t>
      </w:r>
      <w:r>
        <w:t xml:space="preserve">and cable television </w:t>
      </w:r>
      <w:r w:rsidR="00DA4908">
        <w:t xml:space="preserve">(CATV) </w:t>
      </w:r>
      <w:r>
        <w:t xml:space="preserve">corporations with nondiscriminatory access to public utility infrastructure.  Today’s </w:t>
      </w:r>
      <w:r w:rsidR="00BD76C8">
        <w:t xml:space="preserve">decision </w:t>
      </w:r>
      <w:r w:rsidR="001A2FE0">
        <w:t xml:space="preserve">amends the </w:t>
      </w:r>
      <w:r>
        <w:t>ROW Rules to</w:t>
      </w:r>
      <w:r w:rsidR="001A2FE0">
        <w:t xml:space="preserve"> </w:t>
      </w:r>
      <w:r w:rsidR="00BD76C8">
        <w:t xml:space="preserve">provide </w:t>
      </w:r>
      <w:r w:rsidR="0005497B">
        <w:t>c</w:t>
      </w:r>
      <w:r w:rsidR="001A2FE0">
        <w:t xml:space="preserve">ommercial </w:t>
      </w:r>
      <w:r w:rsidR="0005497B">
        <w:t>m</w:t>
      </w:r>
      <w:r w:rsidR="001A2FE0">
        <w:t xml:space="preserve">obile </w:t>
      </w:r>
      <w:r w:rsidR="0005497B">
        <w:t>r</w:t>
      </w:r>
      <w:r w:rsidR="001A2FE0">
        <w:t xml:space="preserve">adio </w:t>
      </w:r>
      <w:r w:rsidR="0005497B">
        <w:t>s</w:t>
      </w:r>
      <w:r w:rsidR="001A2FE0">
        <w:t xml:space="preserve">ervice (CMRS) carriers with </w:t>
      </w:r>
      <w:r w:rsidR="00BC554D">
        <w:t xml:space="preserve">nondiscriminatory </w:t>
      </w:r>
      <w:r w:rsidR="00ED3C9F">
        <w:t xml:space="preserve">access to </w:t>
      </w:r>
      <w:r w:rsidR="00B84E0F">
        <w:t xml:space="preserve">public </w:t>
      </w:r>
      <w:r w:rsidR="00ED3C9F">
        <w:t xml:space="preserve">utility </w:t>
      </w:r>
      <w:r w:rsidR="00C05FC5">
        <w:t xml:space="preserve">infrastructure, too.  </w:t>
      </w:r>
      <w:r w:rsidR="007B751F">
        <w:t xml:space="preserve">Such access will </w:t>
      </w:r>
      <w:r w:rsidR="00DB1E9C">
        <w:t>facilitate</w:t>
      </w:r>
      <w:r w:rsidR="007B751F">
        <w:t xml:space="preserve"> investment in wireless infrastructure</w:t>
      </w:r>
      <w:r w:rsidR="005B3A5B">
        <w:t>,</w:t>
      </w:r>
      <w:r w:rsidR="007B751F">
        <w:t xml:space="preserve"> </w:t>
      </w:r>
      <w:r w:rsidR="00664169">
        <w:t xml:space="preserve">encourage </w:t>
      </w:r>
      <w:r w:rsidR="007B751F">
        <w:t xml:space="preserve">widespread deployment </w:t>
      </w:r>
      <w:r w:rsidR="00664169">
        <w:t xml:space="preserve">of </w:t>
      </w:r>
      <w:r w:rsidR="007B751F">
        <w:t>broadband wireless services</w:t>
      </w:r>
      <w:r w:rsidR="005B3A5B">
        <w:t>,</w:t>
      </w:r>
      <w:r w:rsidR="007B751F">
        <w:t xml:space="preserve"> </w:t>
      </w:r>
      <w:r w:rsidR="003A2968">
        <w:t xml:space="preserve">foster </w:t>
      </w:r>
      <w:r w:rsidR="00DB1E9C">
        <w:t xml:space="preserve">the provision of </w:t>
      </w:r>
      <w:r w:rsidR="009A2F16">
        <w:t xml:space="preserve">wireless </w:t>
      </w:r>
      <w:r w:rsidR="00DB1E9C">
        <w:t>service in</w:t>
      </w:r>
      <w:r w:rsidR="003A2968">
        <w:t xml:space="preserve"> </w:t>
      </w:r>
      <w:r w:rsidR="007B751F">
        <w:t>previously unserved areas</w:t>
      </w:r>
      <w:r w:rsidR="005B3A5B">
        <w:t>,</w:t>
      </w:r>
      <w:r w:rsidR="007B751F">
        <w:t xml:space="preserve"> </w:t>
      </w:r>
      <w:r w:rsidR="00CF03F8" w:rsidRPr="00627E1B">
        <w:t xml:space="preserve">and </w:t>
      </w:r>
      <w:r w:rsidR="009A2F16">
        <w:t>improve</w:t>
      </w:r>
      <w:r w:rsidR="003A2968">
        <w:t xml:space="preserve"> </w:t>
      </w:r>
      <w:r w:rsidR="009A2F16">
        <w:t>access to 911</w:t>
      </w:r>
      <w:r w:rsidR="00CF03F8" w:rsidRPr="00627E1B">
        <w:t xml:space="preserve">.  </w:t>
      </w:r>
    </w:p>
    <w:p w:rsidR="0051483C" w:rsidRDefault="0082190D" w:rsidP="00BC5EA8">
      <w:pPr>
        <w:pStyle w:val="standard"/>
      </w:pPr>
      <w:r>
        <w:t>With one exception, the amended ROW Rules provide CMRS carriers with the same access to utility infrastructure as CLECs and CATV corporations.  The one exception pertains to pole-attachment fees</w:t>
      </w:r>
      <w:r w:rsidR="009B64B9">
        <w:t xml:space="preserve">.  Currently, the </w:t>
      </w:r>
      <w:r w:rsidR="00DA4908">
        <w:t xml:space="preserve">ROW Rules </w:t>
      </w:r>
      <w:r w:rsidR="009B64B9">
        <w:t>allow public utilities to cha</w:t>
      </w:r>
      <w:r w:rsidR="003D0E85">
        <w:t>r</w:t>
      </w:r>
      <w:r w:rsidR="009B64B9">
        <w:t xml:space="preserve">ge </w:t>
      </w:r>
      <w:r w:rsidR="00EC3029">
        <w:t xml:space="preserve">each </w:t>
      </w:r>
      <w:r w:rsidR="00C404AA">
        <w:t xml:space="preserve">CLEC </w:t>
      </w:r>
      <w:r w:rsidR="00F645CE">
        <w:t>and</w:t>
      </w:r>
      <w:r w:rsidR="00C404AA">
        <w:t xml:space="preserve"> CATV </w:t>
      </w:r>
      <w:r w:rsidR="00C451B6">
        <w:t xml:space="preserve">pole </w:t>
      </w:r>
      <w:r w:rsidR="00C404AA">
        <w:t>installation</w:t>
      </w:r>
      <w:r w:rsidR="00C451B6">
        <w:t xml:space="preserve"> </w:t>
      </w:r>
      <w:r w:rsidR="00EC3029">
        <w:t>an annual at</w:t>
      </w:r>
      <w:r w:rsidR="002B0819">
        <w:t>t</w:t>
      </w:r>
      <w:r w:rsidR="00EC3029">
        <w:t xml:space="preserve">achment </w:t>
      </w:r>
      <w:r>
        <w:t xml:space="preserve">fee </w:t>
      </w:r>
      <w:r w:rsidR="00EC3029">
        <w:t xml:space="preserve">equal to </w:t>
      </w:r>
      <w:r w:rsidR="00C451B6">
        <w:t>7.4% </w:t>
      </w:r>
      <w:r w:rsidR="00EC3029">
        <w:t xml:space="preserve">of </w:t>
      </w:r>
      <w:r w:rsidR="00B83F57">
        <w:t xml:space="preserve">a utility’s </w:t>
      </w:r>
      <w:r w:rsidR="00EC3029">
        <w:t>cost-of-ownership</w:t>
      </w:r>
      <w:r>
        <w:t xml:space="preserve"> for the host pole</w:t>
      </w:r>
      <w:r w:rsidR="00C404AA">
        <w:t xml:space="preserve">.  </w:t>
      </w:r>
      <w:r w:rsidR="0051483C">
        <w:t>The 7.4%</w:t>
      </w:r>
      <w:r w:rsidR="00B83F57">
        <w:t> </w:t>
      </w:r>
      <w:r w:rsidR="009A2F16">
        <w:t>f</w:t>
      </w:r>
      <w:r w:rsidR="0051483C">
        <w:t xml:space="preserve">ee is </w:t>
      </w:r>
      <w:r w:rsidR="00555CF8">
        <w:t xml:space="preserve">based on the assumption that </w:t>
      </w:r>
      <w:r w:rsidR="00865AAF">
        <w:t xml:space="preserve">a </w:t>
      </w:r>
      <w:r w:rsidR="00555CF8">
        <w:t>CL</w:t>
      </w:r>
      <w:r w:rsidR="0005497B">
        <w:t>E</w:t>
      </w:r>
      <w:r w:rsidR="00555CF8">
        <w:t xml:space="preserve">C </w:t>
      </w:r>
      <w:r w:rsidR="00865AAF">
        <w:t>or</w:t>
      </w:r>
      <w:r w:rsidR="00555CF8">
        <w:t xml:space="preserve"> CATV pole installation</w:t>
      </w:r>
      <w:r w:rsidR="00865AAF">
        <w:t xml:space="preserve"> </w:t>
      </w:r>
      <w:r w:rsidR="00555CF8">
        <w:t xml:space="preserve">occupies one vertical foot of pole space.  </w:t>
      </w:r>
    </w:p>
    <w:p w:rsidR="00DA4908" w:rsidRDefault="00555CF8" w:rsidP="00BC5EA8">
      <w:pPr>
        <w:pStyle w:val="standard"/>
      </w:pPr>
      <w:r>
        <w:t xml:space="preserve">CMRS pole installations </w:t>
      </w:r>
      <w:r w:rsidR="00EC3029">
        <w:t>typically</w:t>
      </w:r>
      <w:r>
        <w:t xml:space="preserve"> occupy </w:t>
      </w:r>
      <w:r w:rsidR="009D2BEC">
        <w:t>more pole space than CL</w:t>
      </w:r>
      <w:r w:rsidR="0005497B">
        <w:t>E</w:t>
      </w:r>
      <w:r w:rsidR="009D2BEC">
        <w:t>C and CATV pole installations</w:t>
      </w:r>
      <w:r w:rsidR="00A22ED2">
        <w:t xml:space="preserve">.  </w:t>
      </w:r>
      <w:r w:rsidR="009A2F16">
        <w:t>To reflect the greater use of pole space</w:t>
      </w:r>
      <w:r w:rsidR="009A520F">
        <w:t xml:space="preserve"> by CMRS installations</w:t>
      </w:r>
      <w:r w:rsidR="009A2F16">
        <w:t>, t</w:t>
      </w:r>
      <w:r w:rsidR="009D2BEC">
        <w:t xml:space="preserve">oday’s decision </w:t>
      </w:r>
      <w:r w:rsidR="003A2968">
        <w:t xml:space="preserve">amends the ROW Rules to allow </w:t>
      </w:r>
      <w:r w:rsidR="00C451B6">
        <w:t xml:space="preserve">public utilities to charge </w:t>
      </w:r>
      <w:r w:rsidR="003A2968">
        <w:t xml:space="preserve">an annual </w:t>
      </w:r>
      <w:r w:rsidR="0005497B">
        <w:t>pole-</w:t>
      </w:r>
      <w:r w:rsidR="009D2BEC">
        <w:t>attachment fee of 7.4% for each vertical foot of pole space occupied by CMRS installation</w:t>
      </w:r>
      <w:r w:rsidR="0082190D">
        <w:t>s</w:t>
      </w:r>
      <w:r w:rsidR="009D2BEC">
        <w:t xml:space="preserve">.  </w:t>
      </w:r>
      <w:r w:rsidR="00A22ED2">
        <w:t xml:space="preserve">This </w:t>
      </w:r>
      <w:r w:rsidR="006040C6">
        <w:t>amendment</w:t>
      </w:r>
      <w:r w:rsidR="00A22ED2">
        <w:t xml:space="preserve"> </w:t>
      </w:r>
      <w:r w:rsidR="006040C6">
        <w:t xml:space="preserve">will </w:t>
      </w:r>
      <w:r w:rsidR="00A22ED2">
        <w:t xml:space="preserve">result in </w:t>
      </w:r>
      <w:r w:rsidR="0077682F">
        <w:t xml:space="preserve">CMRS carriers </w:t>
      </w:r>
      <w:r w:rsidR="0077682F">
        <w:lastRenderedPageBreak/>
        <w:t xml:space="preserve">paying approximately the same amount as CLECs and CATV corporations for </w:t>
      </w:r>
      <w:r w:rsidR="009A2F16">
        <w:t xml:space="preserve">each foot of occupied </w:t>
      </w:r>
      <w:r w:rsidR="00A22ED2">
        <w:t xml:space="preserve">pole space.  </w:t>
      </w:r>
      <w:r w:rsidR="00B63BFE">
        <w:t xml:space="preserve"> </w:t>
      </w:r>
    </w:p>
    <w:p w:rsidR="00DD08A6" w:rsidRDefault="00A53F3F" w:rsidP="00BC5EA8">
      <w:pPr>
        <w:pStyle w:val="standard"/>
      </w:pPr>
      <w:r>
        <w:t xml:space="preserve">To ensure that CMRS pole </w:t>
      </w:r>
      <w:r w:rsidR="005F608C">
        <w:t>installations</w:t>
      </w:r>
      <w:r>
        <w:t xml:space="preserve"> are safe, today’s </w:t>
      </w:r>
      <w:r w:rsidR="001A2FE0">
        <w:t xml:space="preserve">decision </w:t>
      </w:r>
      <w:r w:rsidR="007E5789">
        <w:t xml:space="preserve">adopts the following amendments to </w:t>
      </w:r>
      <w:r w:rsidR="001A2FE0">
        <w:t>General</w:t>
      </w:r>
      <w:r w:rsidR="00092BA3">
        <w:t> </w:t>
      </w:r>
      <w:r w:rsidR="001A2FE0">
        <w:t>Order</w:t>
      </w:r>
      <w:r w:rsidR="00092BA3">
        <w:t> </w:t>
      </w:r>
      <w:r w:rsidR="00FA5074">
        <w:t xml:space="preserve">(GO) </w:t>
      </w:r>
      <w:r w:rsidR="001A2FE0">
        <w:t>95</w:t>
      </w:r>
      <w:r>
        <w:t>:</w:t>
      </w:r>
    </w:p>
    <w:p w:rsidR="00FA5074" w:rsidRDefault="00FA5074" w:rsidP="007B3791">
      <w:pPr>
        <w:pStyle w:val="StandardBullet"/>
      </w:pPr>
      <w:r>
        <w:t xml:space="preserve">Rules 21.0-D and 87.7-B are </w:t>
      </w:r>
      <w:r w:rsidR="00B009CB">
        <w:t>revised to</w:t>
      </w:r>
      <w:r>
        <w:t xml:space="preserve"> prohibit antennas on guard</w:t>
      </w:r>
      <w:r w:rsidR="00B009CB">
        <w:t xml:space="preserve"> </w:t>
      </w:r>
      <w:r>
        <w:t xml:space="preserve">arms except in specified circumstances. </w:t>
      </w:r>
    </w:p>
    <w:p w:rsidR="00A53F3F" w:rsidRDefault="00FA5074" w:rsidP="007B3791">
      <w:pPr>
        <w:pStyle w:val="StandardBullet"/>
      </w:pPr>
      <w:r>
        <w:t xml:space="preserve">Rule 94.5-A is revised to require </w:t>
      </w:r>
      <w:r w:rsidR="003A2968">
        <w:t xml:space="preserve">that signs alerting workers to </w:t>
      </w:r>
      <w:r w:rsidR="005B3A5B">
        <w:t xml:space="preserve">the </w:t>
      </w:r>
      <w:r w:rsidR="003A2968">
        <w:t>presence of radio</w:t>
      </w:r>
      <w:r w:rsidR="003A2968">
        <w:noBreakHyphen/>
        <w:t xml:space="preserve">frequency radiation must comply with the marking requirements in </w:t>
      </w:r>
      <w:r>
        <w:t>Appendix H of GO 95</w:t>
      </w:r>
      <w:r w:rsidR="000F7691">
        <w:t xml:space="preserve">. </w:t>
      </w:r>
      <w:r>
        <w:t xml:space="preserve">  </w:t>
      </w:r>
    </w:p>
    <w:p w:rsidR="000F7691" w:rsidRDefault="005F608C" w:rsidP="00FF7750">
      <w:pPr>
        <w:pStyle w:val="StandardBullet"/>
        <w:ind w:right="540"/>
      </w:pPr>
      <w:r>
        <w:t>N</w:t>
      </w:r>
      <w:r w:rsidR="000F7691">
        <w:t>ew Rule 94.6</w:t>
      </w:r>
      <w:r w:rsidR="009B5828">
        <w:t>-C</w:t>
      </w:r>
      <w:r w:rsidR="000F7691">
        <w:t xml:space="preserve"> is added that prohibits antenna installations from </w:t>
      </w:r>
      <w:r w:rsidR="00E90B95">
        <w:t>obstructing</w:t>
      </w:r>
      <w:r w:rsidR="000F7691">
        <w:t xml:space="preserve"> </w:t>
      </w:r>
      <w:r w:rsidR="009B5828">
        <w:t xml:space="preserve">pole </w:t>
      </w:r>
      <w:r w:rsidR="000F7691">
        <w:t xml:space="preserve">climbing space or interfering with </w:t>
      </w:r>
      <w:r w:rsidR="0005497B">
        <w:t xml:space="preserve">workers’ </w:t>
      </w:r>
      <w:r w:rsidR="000F7691">
        <w:t>fall</w:t>
      </w:r>
      <w:r w:rsidR="00E90B95">
        <w:noBreakHyphen/>
      </w:r>
      <w:r w:rsidR="000F7691">
        <w:t xml:space="preserve">protection </w:t>
      </w:r>
      <w:r w:rsidR="00D94E3E">
        <w:t>gear</w:t>
      </w:r>
      <w:r w:rsidR="000F7691">
        <w:t xml:space="preserve">, except in specified circumstances.  </w:t>
      </w:r>
      <w:r w:rsidR="00B009CB">
        <w:t xml:space="preserve">The new rule includes </w:t>
      </w:r>
      <w:r w:rsidR="000F7691">
        <w:t xml:space="preserve">examples </w:t>
      </w:r>
      <w:r w:rsidR="00B009CB">
        <w:t xml:space="preserve">of </w:t>
      </w:r>
      <w:r w:rsidR="000F7691">
        <w:t xml:space="preserve">antenna installations </w:t>
      </w:r>
      <w:r w:rsidR="00B009CB">
        <w:t xml:space="preserve">that </w:t>
      </w:r>
      <w:r w:rsidR="00FE5D52">
        <w:t>typically</w:t>
      </w:r>
      <w:r w:rsidR="000F7691">
        <w:t xml:space="preserve"> </w:t>
      </w:r>
      <w:r w:rsidR="00BD75E8">
        <w:t xml:space="preserve">do </w:t>
      </w:r>
      <w:r w:rsidR="000F7691">
        <w:t xml:space="preserve">not interfere with fall-protection </w:t>
      </w:r>
      <w:r w:rsidR="00D94E3E">
        <w:t>gear</w:t>
      </w:r>
      <w:r w:rsidR="000F7691">
        <w:t xml:space="preserve">.  </w:t>
      </w:r>
    </w:p>
    <w:p w:rsidR="000F7691" w:rsidRDefault="000F7691" w:rsidP="007B3791">
      <w:pPr>
        <w:pStyle w:val="StandardBullet"/>
      </w:pPr>
      <w:r>
        <w:t xml:space="preserve">Rule 94.9 is revised to require </w:t>
      </w:r>
      <w:r w:rsidR="00DB1E9C">
        <w:t xml:space="preserve">that protocols for de-energizing antennas, when necessary to </w:t>
      </w:r>
      <w:r w:rsidR="009B5828">
        <w:t xml:space="preserve">protect the safety of workers, </w:t>
      </w:r>
      <w:r w:rsidR="00DB1E9C">
        <w:t xml:space="preserve">must comply with </w:t>
      </w:r>
      <w:r w:rsidR="009B5828">
        <w:t xml:space="preserve">the protocols in </w:t>
      </w:r>
      <w:r>
        <w:t>Appendix</w:t>
      </w:r>
      <w:r w:rsidR="00FF3DD7">
        <w:t> </w:t>
      </w:r>
      <w:r>
        <w:t>H of GO</w:t>
      </w:r>
      <w:r w:rsidR="00FF3DD7">
        <w:t> </w:t>
      </w:r>
      <w:r>
        <w:t xml:space="preserve">95.   </w:t>
      </w:r>
    </w:p>
    <w:p w:rsidR="000F7691" w:rsidRDefault="005F608C" w:rsidP="007B3791">
      <w:pPr>
        <w:pStyle w:val="StandardBullet"/>
      </w:pPr>
      <w:r>
        <w:t>N</w:t>
      </w:r>
      <w:r w:rsidR="000F7691">
        <w:t xml:space="preserve">ew Rule 94.11 is added that </w:t>
      </w:r>
      <w:r w:rsidR="00B009CB">
        <w:t xml:space="preserve">(i) </w:t>
      </w:r>
      <w:r w:rsidR="000F7691">
        <w:t xml:space="preserve">requires a </w:t>
      </w:r>
      <w:r w:rsidR="007E5789">
        <w:t>pole-</w:t>
      </w:r>
      <w:r w:rsidR="000F7691">
        <w:t>overturning calculation before a pole-top antenna is attached to a pole</w:t>
      </w:r>
      <w:r w:rsidR="00B009CB">
        <w:t>, and (ii)</w:t>
      </w:r>
      <w:r w:rsidR="009A2F16">
        <w:t> </w:t>
      </w:r>
      <w:r w:rsidR="00B009CB">
        <w:t>specifies the safety factors for t</w:t>
      </w:r>
      <w:r w:rsidR="000F7691">
        <w:t xml:space="preserve">his calculation.  </w:t>
      </w:r>
    </w:p>
    <w:p w:rsidR="007B1035" w:rsidRDefault="005F608C" w:rsidP="00FF7750">
      <w:pPr>
        <w:pStyle w:val="StandardBullet"/>
        <w:spacing w:after="200"/>
        <w:ind w:left="1267" w:hanging="547"/>
      </w:pPr>
      <w:r>
        <w:t>N</w:t>
      </w:r>
      <w:r w:rsidR="007B1035">
        <w:t xml:space="preserve">ew Rule 94.12 is added </w:t>
      </w:r>
      <w:r>
        <w:t>which</w:t>
      </w:r>
      <w:r w:rsidR="007B1035">
        <w:t xml:space="preserve"> </w:t>
      </w:r>
      <w:r w:rsidR="00FE5D52">
        <w:t>states</w:t>
      </w:r>
      <w:r w:rsidR="007B1035">
        <w:t xml:space="preserve"> </w:t>
      </w:r>
      <w:r>
        <w:t xml:space="preserve">that </w:t>
      </w:r>
      <w:r w:rsidR="007B1035">
        <w:t xml:space="preserve">only personnel and contractors who are properly qualified to work in proximity to supply lines shall have access to, and work on, wireless facilities installed above supply lines. </w:t>
      </w:r>
    </w:p>
    <w:p w:rsidR="004110C4" w:rsidRDefault="00CB16D1" w:rsidP="00BC5EA8">
      <w:pPr>
        <w:pStyle w:val="standard"/>
      </w:pPr>
      <w:r>
        <w:t xml:space="preserve">The costs to CMRS carriers and </w:t>
      </w:r>
      <w:r w:rsidR="00865AAF">
        <w:t>pole owners</w:t>
      </w:r>
      <w:r>
        <w:t xml:space="preserve"> to implement the adopted amendments to the ROW</w:t>
      </w:r>
      <w:r w:rsidR="00FF3DD7">
        <w:t> </w:t>
      </w:r>
      <w:r>
        <w:t>Rules and GO</w:t>
      </w:r>
      <w:r w:rsidR="00FF3DD7">
        <w:t> </w:t>
      </w:r>
      <w:r>
        <w:t xml:space="preserve">95 are unknown, but </w:t>
      </w:r>
      <w:r w:rsidR="009B5828">
        <w:t xml:space="preserve">will </w:t>
      </w:r>
      <w:r>
        <w:t>be insignificant relative to their revenue</w:t>
      </w:r>
      <w:r w:rsidR="00D91201">
        <w:t>s</w:t>
      </w:r>
      <w:r>
        <w:t xml:space="preserve">.  </w:t>
      </w:r>
    </w:p>
    <w:p w:rsidR="00A53F3F" w:rsidRDefault="00A53F3F" w:rsidP="00BC5EA8">
      <w:pPr>
        <w:pStyle w:val="standard"/>
      </w:pPr>
      <w:r>
        <w:t>This proceeding is closed.</w:t>
      </w:r>
    </w:p>
    <w:p w:rsidR="000B0AA5" w:rsidRDefault="000B0AA5" w:rsidP="00A4093B">
      <w:pPr>
        <w:pStyle w:val="Heading1"/>
      </w:pPr>
      <w:bookmarkStart w:id="7" w:name="_Toc424321884"/>
      <w:bookmarkStart w:id="8" w:name="_Toc436647308"/>
      <w:r>
        <w:lastRenderedPageBreak/>
        <w:t>Background</w:t>
      </w:r>
      <w:bookmarkEnd w:id="7"/>
      <w:bookmarkEnd w:id="8"/>
      <w:r>
        <w:t xml:space="preserve"> </w:t>
      </w:r>
    </w:p>
    <w:p w:rsidR="005B2EF3" w:rsidRDefault="005B2EF3" w:rsidP="00214651">
      <w:pPr>
        <w:pStyle w:val="Heading2"/>
      </w:pPr>
      <w:bookmarkStart w:id="9" w:name="_Toc424321885"/>
      <w:bookmarkStart w:id="10" w:name="_Toc436647309"/>
      <w:r>
        <w:t>Federal Laws and Regulations</w:t>
      </w:r>
      <w:bookmarkEnd w:id="9"/>
      <w:bookmarkEnd w:id="10"/>
      <w:r>
        <w:t xml:space="preserve"> </w:t>
      </w:r>
    </w:p>
    <w:p w:rsidR="004E3CC0" w:rsidRDefault="00E009F7" w:rsidP="0099333F">
      <w:pPr>
        <w:pStyle w:val="standard"/>
      </w:pPr>
      <w:r>
        <w:t>Title</w:t>
      </w:r>
      <w:r w:rsidR="003240F4">
        <w:t> </w:t>
      </w:r>
      <w:r>
        <w:t>47</w:t>
      </w:r>
      <w:r w:rsidR="009A2F16">
        <w:t xml:space="preserve"> of the United States Code</w:t>
      </w:r>
      <w:r w:rsidR="0095032A">
        <w:t xml:space="preserve">, </w:t>
      </w:r>
      <w:r w:rsidR="009A2F16">
        <w:t xml:space="preserve">at </w:t>
      </w:r>
      <w:r w:rsidR="0095032A">
        <w:t>Section</w:t>
      </w:r>
      <w:r w:rsidR="009A2F16">
        <w:t> </w:t>
      </w:r>
      <w:r w:rsidR="0095032A">
        <w:t xml:space="preserve">224(f) </w:t>
      </w:r>
      <w:r w:rsidRPr="00E81B71">
        <w:t>(</w:t>
      </w:r>
      <w:r w:rsidR="00B83F57">
        <w:t>“</w:t>
      </w:r>
      <w:r w:rsidRPr="00E81B71">
        <w:t>47</w:t>
      </w:r>
      <w:r w:rsidR="00512977" w:rsidRPr="00E81B71">
        <w:t> </w:t>
      </w:r>
      <w:r w:rsidRPr="00E81B71">
        <w:t>U.S.C. § 224</w:t>
      </w:r>
      <w:r w:rsidR="00D07D77" w:rsidRPr="00E81B71">
        <w:t>(f)</w:t>
      </w:r>
      <w:r w:rsidR="00B83F57">
        <w:t>”</w:t>
      </w:r>
      <w:r w:rsidRPr="00E81B71">
        <w:t>)</w:t>
      </w:r>
      <w:r w:rsidR="00B83F57">
        <w:t>,</w:t>
      </w:r>
      <w:r w:rsidRPr="00E81B71">
        <w:t xml:space="preserve"> </w:t>
      </w:r>
      <w:r w:rsidR="00B009CB">
        <w:t>requires a utility</w:t>
      </w:r>
      <w:r w:rsidR="00B009CB" w:rsidRPr="00F051AD">
        <w:rPr>
          <w:rStyle w:val="StandardFootnoteReferenceChar"/>
        </w:rPr>
        <w:footnoteReference w:id="2"/>
      </w:r>
      <w:r w:rsidR="00B009CB">
        <w:t xml:space="preserve"> to </w:t>
      </w:r>
      <w:r w:rsidR="005A1DD2" w:rsidRPr="00E81B71">
        <w:t xml:space="preserve">provide </w:t>
      </w:r>
      <w:r w:rsidR="00620AF0" w:rsidRPr="00E81B71">
        <w:t>“</w:t>
      </w:r>
      <w:r w:rsidR="00E81B71" w:rsidRPr="00E81B71">
        <w:t xml:space="preserve">a cable television system or </w:t>
      </w:r>
      <w:r w:rsidR="005A1DD2" w:rsidRPr="00E81B71">
        <w:t>any</w:t>
      </w:r>
      <w:r w:rsidR="005A1DD2" w:rsidRPr="00CA3655">
        <w:rPr>
          <w:rStyle w:val="standardChar"/>
        </w:rPr>
        <w:t xml:space="preserve"> telecommunications carrier with nondiscriminatory access to any pole, duct, conduit, or right-of-way owned or controlled by</w:t>
      </w:r>
      <w:r w:rsidR="00E87950">
        <w:rPr>
          <w:rStyle w:val="standardChar"/>
        </w:rPr>
        <w:t xml:space="preserve">” the utility </w:t>
      </w:r>
      <w:r w:rsidR="00A01C47">
        <w:rPr>
          <w:rStyle w:val="standardChar"/>
        </w:rPr>
        <w:t>except in situations where a</w:t>
      </w:r>
      <w:r w:rsidR="009A2F16">
        <w:rPr>
          <w:rStyle w:val="standardChar"/>
        </w:rPr>
        <w:t xml:space="preserve"> </w:t>
      </w:r>
      <w:r w:rsidR="00A01C47">
        <w:rPr>
          <w:rStyle w:val="standardChar"/>
        </w:rPr>
        <w:t xml:space="preserve">utility cannot provide access because </w:t>
      </w:r>
      <w:r w:rsidR="00E87950">
        <w:rPr>
          <w:rStyle w:val="standardChar"/>
        </w:rPr>
        <w:t>of</w:t>
      </w:r>
      <w:r w:rsidR="00A01C47">
        <w:rPr>
          <w:rStyle w:val="standardChar"/>
        </w:rPr>
        <w:t xml:space="preserve"> </w:t>
      </w:r>
      <w:r w:rsidR="003A2C40">
        <w:rPr>
          <w:rStyle w:val="standardChar"/>
        </w:rPr>
        <w:t>“</w:t>
      </w:r>
      <w:r w:rsidR="00A01C47">
        <w:rPr>
          <w:rStyle w:val="standardChar"/>
        </w:rPr>
        <w:t xml:space="preserve">insufficient capacity </w:t>
      </w:r>
      <w:r w:rsidR="003A2C40">
        <w:rPr>
          <w:rStyle w:val="standardChar"/>
        </w:rPr>
        <w:t>and</w:t>
      </w:r>
      <w:r w:rsidR="00A01C47">
        <w:rPr>
          <w:rStyle w:val="standardChar"/>
        </w:rPr>
        <w:t xml:space="preserve"> for reasons of safety, </w:t>
      </w:r>
      <w:r w:rsidR="00DB5F3B">
        <w:rPr>
          <w:rStyle w:val="standardChar"/>
        </w:rPr>
        <w:t>reliability</w:t>
      </w:r>
      <w:r w:rsidR="003A2C40">
        <w:rPr>
          <w:rStyle w:val="standardChar"/>
        </w:rPr>
        <w:t xml:space="preserve"> and generally applicable</w:t>
      </w:r>
      <w:r w:rsidR="00DB5F3B">
        <w:rPr>
          <w:rStyle w:val="standardChar"/>
        </w:rPr>
        <w:t xml:space="preserve"> </w:t>
      </w:r>
      <w:r w:rsidR="00A01C47">
        <w:rPr>
          <w:rStyle w:val="standardChar"/>
        </w:rPr>
        <w:t xml:space="preserve">engineering </w:t>
      </w:r>
      <w:r w:rsidR="006F292F">
        <w:rPr>
          <w:rStyle w:val="standardChar"/>
        </w:rPr>
        <w:t>principles</w:t>
      </w:r>
      <w:r w:rsidR="00A01C47">
        <w:rPr>
          <w:rStyle w:val="standardChar"/>
        </w:rPr>
        <w:t>.</w:t>
      </w:r>
      <w:r w:rsidR="006D2E50">
        <w:rPr>
          <w:rStyle w:val="standardChar"/>
        </w:rPr>
        <w:t>”</w:t>
      </w:r>
      <w:r w:rsidR="002C32CC" w:rsidRPr="00F051AD">
        <w:rPr>
          <w:rStyle w:val="StandardFootnoteReferenceChar"/>
        </w:rPr>
        <w:footnoteReference w:id="3"/>
      </w:r>
      <w:r w:rsidR="002C32CC">
        <w:rPr>
          <w:rStyle w:val="standardChar"/>
        </w:rPr>
        <w:t xml:space="preserve"> </w:t>
      </w:r>
      <w:r w:rsidR="00304C15">
        <w:rPr>
          <w:rStyle w:val="standardChar"/>
        </w:rPr>
        <w:t xml:space="preserve"> </w:t>
      </w:r>
      <w:r w:rsidR="00105812">
        <w:rPr>
          <w:rStyle w:val="standardChar"/>
        </w:rPr>
        <w:t>Section</w:t>
      </w:r>
      <w:r w:rsidR="0036156C" w:rsidRPr="00CA3655">
        <w:rPr>
          <w:rStyle w:val="standardChar"/>
        </w:rPr>
        <w:t> </w:t>
      </w:r>
      <w:r w:rsidR="00633B66">
        <w:rPr>
          <w:rStyle w:val="standardChar"/>
        </w:rPr>
        <w:t>224(b)(1) requires the Federal Communications Commission (</w:t>
      </w:r>
      <w:r w:rsidR="00FD63E1">
        <w:rPr>
          <w:rStyle w:val="standardChar"/>
        </w:rPr>
        <w:t>“</w:t>
      </w:r>
      <w:r w:rsidR="00633B66">
        <w:rPr>
          <w:rStyle w:val="standardChar"/>
        </w:rPr>
        <w:t>FCC</w:t>
      </w:r>
      <w:r w:rsidR="00FD63E1">
        <w:rPr>
          <w:rStyle w:val="standardChar"/>
        </w:rPr>
        <w:t>”</w:t>
      </w:r>
      <w:r w:rsidR="00633B66">
        <w:rPr>
          <w:rStyle w:val="standardChar"/>
        </w:rPr>
        <w:t>) to “</w:t>
      </w:r>
      <w:r w:rsidRPr="000C1438">
        <w:t xml:space="preserve">regulate the rates, terms, and conditions for </w:t>
      </w:r>
      <w:r w:rsidRPr="0016371A">
        <w:t>pole attachments</w:t>
      </w:r>
      <w:r w:rsidRPr="000C1438">
        <w:t xml:space="preserve"> to provide that such rates, terms, and conditions are just and reasonable, and shall adopt procedures</w:t>
      </w:r>
      <w:r w:rsidR="003A2C40">
        <w:t xml:space="preserve">… </w:t>
      </w:r>
      <w:r w:rsidRPr="000C1438">
        <w:t>to hear and resolve complaints concerning such rates, terms, and conditions</w:t>
      </w:r>
      <w:r w:rsidR="003827EC">
        <w:t xml:space="preserve">.”  </w:t>
      </w:r>
      <w:r w:rsidR="006F292F">
        <w:t xml:space="preserve">The FCC’s regulations for </w:t>
      </w:r>
      <w:r w:rsidR="0095032A">
        <w:t xml:space="preserve">nondiscriminatory </w:t>
      </w:r>
      <w:r w:rsidR="006F292F">
        <w:t>pole attachments</w:t>
      </w:r>
      <w:r w:rsidR="003827EC">
        <w:rPr>
          <w:rStyle w:val="FootnoteReference"/>
        </w:rPr>
        <w:footnoteReference w:id="4"/>
      </w:r>
      <w:r w:rsidR="006F292F">
        <w:t xml:space="preserve"> are set forth in Title 47</w:t>
      </w:r>
      <w:r w:rsidR="009A2F16">
        <w:t xml:space="preserve"> of the Code of Federal Regulations</w:t>
      </w:r>
      <w:r w:rsidR="006F292F">
        <w:t xml:space="preserve">, </w:t>
      </w:r>
      <w:r w:rsidR="009A2F16">
        <w:t xml:space="preserve">at </w:t>
      </w:r>
      <w:r w:rsidR="0095032A" w:rsidRPr="00CA3655">
        <w:rPr>
          <w:rStyle w:val="standardChar"/>
        </w:rPr>
        <w:t>§§ </w:t>
      </w:r>
      <w:r w:rsidR="006F292F">
        <w:t>1.1401 </w:t>
      </w:r>
      <w:r w:rsidR="006F292F">
        <w:noBreakHyphen/>
        <w:t xml:space="preserve"> 1.1424, </w:t>
      </w:r>
      <w:r w:rsidR="006F292F" w:rsidRPr="00CA3655">
        <w:rPr>
          <w:rStyle w:val="standardChar"/>
        </w:rPr>
        <w:t>(</w:t>
      </w:r>
      <w:r w:rsidR="00FD63E1">
        <w:rPr>
          <w:rStyle w:val="standardChar"/>
        </w:rPr>
        <w:t>“</w:t>
      </w:r>
      <w:r w:rsidR="006F292F">
        <w:t xml:space="preserve">47 C.F.R. </w:t>
      </w:r>
      <w:r w:rsidR="006F292F" w:rsidRPr="00346198">
        <w:t>§</w:t>
      </w:r>
      <w:r w:rsidR="006F292F">
        <w:t>§ </w:t>
      </w:r>
      <w:r w:rsidR="006F292F" w:rsidRPr="00346198">
        <w:t>1.140</w:t>
      </w:r>
      <w:r w:rsidR="006F292F">
        <w:t>1</w:t>
      </w:r>
      <w:r w:rsidR="003827EC">
        <w:noBreakHyphen/>
      </w:r>
      <w:r w:rsidR="006F292F">
        <w:t>1.1424</w:t>
      </w:r>
      <w:r w:rsidR="00FD63E1">
        <w:t>”</w:t>
      </w:r>
      <w:r w:rsidR="006F292F">
        <w:t>)</w:t>
      </w:r>
      <w:r w:rsidR="00D92246">
        <w:t>.</w:t>
      </w:r>
      <w:r w:rsidR="003827EC">
        <w:t xml:space="preserve">  </w:t>
      </w:r>
      <w:r w:rsidR="004E3CC0">
        <w:t xml:space="preserve">Of relevance </w:t>
      </w:r>
      <w:r w:rsidR="00FE5D52">
        <w:t>to today’s decision</w:t>
      </w:r>
      <w:r w:rsidR="004E3CC0">
        <w:t xml:space="preserve">, the FCC has determined that </w:t>
      </w:r>
      <w:r w:rsidR="004E3CC0" w:rsidRPr="00E90F79">
        <w:rPr>
          <w:rStyle w:val="standardChar"/>
        </w:rPr>
        <w:t>the benefits and protections of 47 U.S.C. </w:t>
      </w:r>
      <w:r w:rsidR="004E3CC0" w:rsidRPr="00CA3655">
        <w:rPr>
          <w:rStyle w:val="standardChar"/>
        </w:rPr>
        <w:t>§ 224</w:t>
      </w:r>
      <w:r w:rsidR="004E3CC0">
        <w:rPr>
          <w:rStyle w:val="standardChar"/>
        </w:rPr>
        <w:t xml:space="preserve"> apply to </w:t>
      </w:r>
      <w:r w:rsidR="0015718B">
        <w:t>wireless</w:t>
      </w:r>
      <w:r w:rsidR="00EE0496">
        <w:t xml:space="preserve"> </w:t>
      </w:r>
      <w:r w:rsidR="004E3CC0" w:rsidRPr="00E90F79">
        <w:rPr>
          <w:rStyle w:val="standardChar"/>
        </w:rPr>
        <w:t xml:space="preserve">carriers </w:t>
      </w:r>
      <w:r w:rsidR="004E3CC0">
        <w:rPr>
          <w:rStyle w:val="standardChar"/>
        </w:rPr>
        <w:t xml:space="preserve">and </w:t>
      </w:r>
      <w:r w:rsidR="004E3CC0" w:rsidRPr="00E90F79">
        <w:rPr>
          <w:rStyle w:val="standardChar"/>
        </w:rPr>
        <w:t xml:space="preserve">wireless </w:t>
      </w:r>
      <w:r w:rsidR="004E3CC0">
        <w:rPr>
          <w:rStyle w:val="standardChar"/>
        </w:rPr>
        <w:t>pole attachments</w:t>
      </w:r>
      <w:r w:rsidR="004E3CC0" w:rsidRPr="00E90F79">
        <w:rPr>
          <w:rStyle w:val="standardChar"/>
        </w:rPr>
        <w:t>.</w:t>
      </w:r>
      <w:r w:rsidR="00EE0496" w:rsidRPr="00F051AD">
        <w:rPr>
          <w:rStyle w:val="StandardFootnoteReferenceChar"/>
        </w:rPr>
        <w:footnoteReference w:id="5"/>
      </w:r>
    </w:p>
    <w:p w:rsidR="0099333F" w:rsidRDefault="00FD63E1" w:rsidP="0099333F">
      <w:pPr>
        <w:pStyle w:val="standard"/>
      </w:pPr>
      <w:r>
        <w:lastRenderedPageBreak/>
        <w:t>A S</w:t>
      </w:r>
      <w:r w:rsidR="00D92246">
        <w:t xml:space="preserve">tate may preempt </w:t>
      </w:r>
      <w:r w:rsidR="00EE7441">
        <w:t>the FCC’s</w:t>
      </w:r>
      <w:r w:rsidR="00FF3BD6">
        <w:t xml:space="preserve"> </w:t>
      </w:r>
      <w:r w:rsidR="00D92246">
        <w:t>regulation of pole attachments</w:t>
      </w:r>
      <w:r w:rsidR="00834E52">
        <w:t xml:space="preserve">.  </w:t>
      </w:r>
      <w:r w:rsidR="00304C15">
        <w:t>Specifically</w:t>
      </w:r>
      <w:r w:rsidR="00834E52">
        <w:t xml:space="preserve">, </w:t>
      </w:r>
      <w:r w:rsidR="00E11EA8" w:rsidRPr="00CA3655">
        <w:rPr>
          <w:rStyle w:val="standardChar"/>
        </w:rPr>
        <w:t>47</w:t>
      </w:r>
      <w:r w:rsidR="00E11EA8">
        <w:rPr>
          <w:rStyle w:val="standardChar"/>
        </w:rPr>
        <w:t> </w:t>
      </w:r>
      <w:r w:rsidR="00E11EA8" w:rsidRPr="00CA3655">
        <w:rPr>
          <w:rStyle w:val="standardChar"/>
        </w:rPr>
        <w:t>U.S.C.</w:t>
      </w:r>
      <w:r w:rsidR="00E11EA8">
        <w:rPr>
          <w:rStyle w:val="standardChar"/>
        </w:rPr>
        <w:t> </w:t>
      </w:r>
      <w:r w:rsidR="00FE0575" w:rsidRPr="00CA3655">
        <w:rPr>
          <w:rStyle w:val="standardChar"/>
        </w:rPr>
        <w:t>§</w:t>
      </w:r>
      <w:r w:rsidR="00FE0575">
        <w:rPr>
          <w:rStyle w:val="standardChar"/>
        </w:rPr>
        <w:t> </w:t>
      </w:r>
      <w:r w:rsidR="00FE0575" w:rsidRPr="00CA3655">
        <w:rPr>
          <w:rStyle w:val="standardChar"/>
        </w:rPr>
        <w:t>2</w:t>
      </w:r>
      <w:r w:rsidR="00D92246">
        <w:rPr>
          <w:rStyle w:val="standardChar"/>
        </w:rPr>
        <w:t>2</w:t>
      </w:r>
      <w:r w:rsidR="00FE0575" w:rsidRPr="00CA3655">
        <w:rPr>
          <w:rStyle w:val="standardChar"/>
        </w:rPr>
        <w:t xml:space="preserve">4(c)(1) </w:t>
      </w:r>
      <w:r w:rsidR="00834E52">
        <w:rPr>
          <w:rStyle w:val="standardChar"/>
        </w:rPr>
        <w:t xml:space="preserve">provides that “[n]othing in this section shall be construed to apply to, or to give the [FCC] jurisdiction </w:t>
      </w:r>
      <w:r w:rsidR="00FE0575" w:rsidRPr="00CA3655">
        <w:rPr>
          <w:rStyle w:val="standardChar"/>
        </w:rPr>
        <w:t>with respect to rates, terms, and conditions, or access to poles, ducts, conduits, and rights-of-way</w:t>
      </w:r>
      <w:r w:rsidR="00834E52">
        <w:rPr>
          <w:rStyle w:val="standardChar"/>
        </w:rPr>
        <w:t xml:space="preserve">… </w:t>
      </w:r>
      <w:r w:rsidR="00FE0575" w:rsidRPr="00CA3655">
        <w:rPr>
          <w:rStyle w:val="standardChar"/>
        </w:rPr>
        <w:t xml:space="preserve">for pole attachments in any case where such matters are regulated by a State."  </w:t>
      </w:r>
      <w:r w:rsidR="0099333F">
        <w:t xml:space="preserve">In order for a </w:t>
      </w:r>
      <w:r w:rsidR="00FE5D52">
        <w:t>S</w:t>
      </w:r>
      <w:r w:rsidR="0099333F">
        <w:t xml:space="preserve">tate to establish its jurisdiction, the </w:t>
      </w:r>
      <w:r w:rsidR="00FE5D52">
        <w:t>S</w:t>
      </w:r>
      <w:r w:rsidR="0099333F">
        <w:t xml:space="preserve">tate must </w:t>
      </w:r>
      <w:r w:rsidR="006F292F">
        <w:t xml:space="preserve">certify to the FCC that the </w:t>
      </w:r>
      <w:r w:rsidR="00FE5D52">
        <w:t>S</w:t>
      </w:r>
      <w:r w:rsidR="006F292F">
        <w:t xml:space="preserve">tate has enacted regulations that meet </w:t>
      </w:r>
      <w:r w:rsidR="0099333F">
        <w:t xml:space="preserve">the </w:t>
      </w:r>
      <w:r w:rsidR="0034556F">
        <w:t xml:space="preserve">following </w:t>
      </w:r>
      <w:r w:rsidR="0099333F">
        <w:t xml:space="preserve">conditions </w:t>
      </w:r>
      <w:r w:rsidR="0034556F">
        <w:t xml:space="preserve">set forth in </w:t>
      </w:r>
      <w:r w:rsidR="00ED3C9F" w:rsidRPr="00CA3655">
        <w:rPr>
          <w:rStyle w:val="standardChar"/>
        </w:rPr>
        <w:t>47</w:t>
      </w:r>
      <w:r w:rsidR="00ED3C9F">
        <w:rPr>
          <w:rStyle w:val="standardChar"/>
        </w:rPr>
        <w:t> </w:t>
      </w:r>
      <w:r w:rsidR="00ED3C9F" w:rsidRPr="00CA3655">
        <w:rPr>
          <w:rStyle w:val="standardChar"/>
        </w:rPr>
        <w:t>U.S.C.</w:t>
      </w:r>
      <w:r w:rsidR="00ED3C9F">
        <w:rPr>
          <w:rStyle w:val="standardChar"/>
        </w:rPr>
        <w:t> </w:t>
      </w:r>
      <w:r w:rsidR="0099333F">
        <w:t>§§ 224(c)(2) and (3):</w:t>
      </w:r>
    </w:p>
    <w:p w:rsidR="0099333F" w:rsidRPr="00CA3655" w:rsidRDefault="0099333F" w:rsidP="00EE7441">
      <w:pPr>
        <w:pStyle w:val="standard"/>
        <w:tabs>
          <w:tab w:val="left" w:pos="1260"/>
        </w:tabs>
        <w:spacing w:after="80" w:line="240" w:lineRule="auto"/>
        <w:ind w:left="1267" w:right="720" w:hanging="547"/>
        <w:rPr>
          <w:rStyle w:val="standardChar"/>
        </w:rPr>
      </w:pPr>
      <w:r w:rsidRPr="00CA3655">
        <w:rPr>
          <w:rStyle w:val="standardChar"/>
        </w:rPr>
        <w:t xml:space="preserve">(2) </w:t>
      </w:r>
      <w:r>
        <w:rPr>
          <w:rStyle w:val="standardChar"/>
        </w:rPr>
        <w:tab/>
      </w:r>
      <w:r w:rsidRPr="00CA3655">
        <w:rPr>
          <w:rStyle w:val="standardChar"/>
        </w:rPr>
        <w:t xml:space="preserve">Each </w:t>
      </w:r>
      <w:r w:rsidRPr="00CA3655">
        <w:t>State</w:t>
      </w:r>
      <w:r w:rsidRPr="00CA3655">
        <w:rPr>
          <w:rStyle w:val="standardChar"/>
        </w:rPr>
        <w:t xml:space="preserve"> which regulates the rates, terms, and conditions for pole attachment shall certify to the </w:t>
      </w:r>
      <w:r w:rsidR="003D6BE3">
        <w:rPr>
          <w:rStyle w:val="standardChar"/>
        </w:rPr>
        <w:t xml:space="preserve">[FCC] </w:t>
      </w:r>
      <w:r w:rsidRPr="00CA3655">
        <w:rPr>
          <w:rStyle w:val="standardChar"/>
        </w:rPr>
        <w:t>that - -</w:t>
      </w:r>
    </w:p>
    <w:p w:rsidR="0099333F" w:rsidRPr="00CA3655" w:rsidRDefault="0099333F" w:rsidP="0099333F">
      <w:pPr>
        <w:pStyle w:val="standard"/>
        <w:tabs>
          <w:tab w:val="left" w:pos="1980"/>
        </w:tabs>
        <w:spacing w:after="80" w:line="240" w:lineRule="auto"/>
        <w:ind w:left="1987" w:right="720" w:hanging="547"/>
        <w:rPr>
          <w:rStyle w:val="standardChar"/>
        </w:rPr>
      </w:pPr>
      <w:r w:rsidRPr="00CA3655">
        <w:rPr>
          <w:rStyle w:val="standardChar"/>
        </w:rPr>
        <w:t xml:space="preserve">(A) </w:t>
      </w:r>
      <w:r>
        <w:rPr>
          <w:rStyle w:val="standardChar"/>
        </w:rPr>
        <w:tab/>
      </w:r>
      <w:r w:rsidR="003D6BE3">
        <w:rPr>
          <w:rStyle w:val="standardChar"/>
        </w:rPr>
        <w:t>i</w:t>
      </w:r>
      <w:r w:rsidRPr="00CA3655">
        <w:rPr>
          <w:rStyle w:val="standardChar"/>
        </w:rPr>
        <w:t>t regulates such rates, terms, and conditions; and</w:t>
      </w:r>
    </w:p>
    <w:p w:rsidR="0099333F" w:rsidRPr="00CA3655" w:rsidRDefault="0099333F" w:rsidP="0099333F">
      <w:pPr>
        <w:pStyle w:val="standard"/>
        <w:tabs>
          <w:tab w:val="left" w:pos="1980"/>
        </w:tabs>
        <w:spacing w:after="80" w:line="240" w:lineRule="auto"/>
        <w:ind w:left="1987" w:right="720" w:hanging="547"/>
        <w:rPr>
          <w:rStyle w:val="standardChar"/>
        </w:rPr>
      </w:pPr>
      <w:r w:rsidRPr="00CA3655">
        <w:rPr>
          <w:rStyle w:val="standardChar"/>
        </w:rPr>
        <w:t xml:space="preserve">(B) </w:t>
      </w:r>
      <w:r>
        <w:rPr>
          <w:rStyle w:val="standardChar"/>
        </w:rPr>
        <w:tab/>
      </w:r>
      <w:r w:rsidR="003D6BE3">
        <w:rPr>
          <w:rStyle w:val="standardChar"/>
        </w:rPr>
        <w:t>i</w:t>
      </w:r>
      <w:r w:rsidRPr="00CA3655">
        <w:rPr>
          <w:rStyle w:val="standardChar"/>
        </w:rPr>
        <w:t>n so regulating such rates</w:t>
      </w:r>
      <w:r w:rsidR="00AD11CC">
        <w:rPr>
          <w:rStyle w:val="standardChar"/>
        </w:rPr>
        <w:t>,</w:t>
      </w:r>
      <w:r w:rsidRPr="00CA3655">
        <w:rPr>
          <w:rStyle w:val="standardChar"/>
        </w:rPr>
        <w:t xml:space="preserve"> terms, and conditions, the State has the authority to consider and does consider the interests of the subscribers of the services offered via such attachment, as well as the interests of the consumers of the utility service.</w:t>
      </w:r>
    </w:p>
    <w:p w:rsidR="0099333F" w:rsidRPr="00CA3655" w:rsidRDefault="0099333F" w:rsidP="00303BCA">
      <w:pPr>
        <w:pStyle w:val="standard"/>
        <w:keepNext/>
        <w:tabs>
          <w:tab w:val="left" w:pos="1260"/>
        </w:tabs>
        <w:spacing w:after="80" w:line="240" w:lineRule="auto"/>
        <w:ind w:left="1267" w:right="360" w:hanging="547"/>
      </w:pPr>
      <w:r w:rsidRPr="00CA3655">
        <w:t xml:space="preserve">(3) </w:t>
      </w:r>
      <w:r>
        <w:tab/>
      </w:r>
      <w:r w:rsidRPr="00CA3655">
        <w:t>For purposes of this subsection, a State shall not be considered to regulate the rates, terms, and conditions for pole attachments</w:t>
      </w:r>
      <w:r w:rsidR="00EE7441">
        <w:t> </w:t>
      </w:r>
      <w:r w:rsidR="00943440">
        <w:t xml:space="preserve">- </w:t>
      </w:r>
      <w:r w:rsidRPr="00CA3655">
        <w:t>-</w:t>
      </w:r>
    </w:p>
    <w:p w:rsidR="005C2349" w:rsidRDefault="0099333F" w:rsidP="0099333F">
      <w:pPr>
        <w:pStyle w:val="standard"/>
        <w:tabs>
          <w:tab w:val="left" w:pos="1980"/>
        </w:tabs>
        <w:spacing w:after="80" w:line="240" w:lineRule="auto"/>
        <w:ind w:left="1987" w:right="720" w:hanging="547"/>
        <w:rPr>
          <w:rStyle w:val="standardChar"/>
        </w:rPr>
      </w:pPr>
      <w:r w:rsidRPr="00CA3655">
        <w:rPr>
          <w:rStyle w:val="standardChar"/>
        </w:rPr>
        <w:t xml:space="preserve">(A) </w:t>
      </w:r>
      <w:r>
        <w:rPr>
          <w:rStyle w:val="standardChar"/>
        </w:rPr>
        <w:tab/>
      </w:r>
      <w:r w:rsidR="003D6BE3">
        <w:rPr>
          <w:rStyle w:val="standardChar"/>
        </w:rPr>
        <w:t>u</w:t>
      </w:r>
      <w:r w:rsidRPr="00CA3655">
        <w:rPr>
          <w:rStyle w:val="standardChar"/>
        </w:rPr>
        <w:t xml:space="preserve">nless the State has issued and made effective rules and regulations implementing the State's regulatory authority over </w:t>
      </w:r>
    </w:p>
    <w:p w:rsidR="0099333F" w:rsidRPr="00CA3655" w:rsidRDefault="0099333F" w:rsidP="0099333F">
      <w:pPr>
        <w:pStyle w:val="standard"/>
        <w:tabs>
          <w:tab w:val="left" w:pos="1980"/>
        </w:tabs>
        <w:spacing w:after="80" w:line="240" w:lineRule="auto"/>
        <w:ind w:left="1987" w:right="720" w:hanging="547"/>
        <w:rPr>
          <w:rStyle w:val="standardChar"/>
        </w:rPr>
      </w:pPr>
      <w:r w:rsidRPr="00CA3655">
        <w:rPr>
          <w:rStyle w:val="standardChar"/>
        </w:rPr>
        <w:t>pole attachments; and</w:t>
      </w:r>
    </w:p>
    <w:p w:rsidR="0099333F" w:rsidRPr="00CA3655" w:rsidRDefault="0099333F" w:rsidP="00726C5F">
      <w:pPr>
        <w:pStyle w:val="standard"/>
        <w:keepNext/>
        <w:tabs>
          <w:tab w:val="left" w:pos="1980"/>
        </w:tabs>
        <w:spacing w:after="80" w:line="240" w:lineRule="auto"/>
        <w:ind w:left="1987" w:right="720" w:hanging="547"/>
        <w:rPr>
          <w:rStyle w:val="standardChar"/>
        </w:rPr>
      </w:pPr>
      <w:r w:rsidRPr="00CA3655">
        <w:rPr>
          <w:rStyle w:val="standardChar"/>
        </w:rPr>
        <w:t xml:space="preserve">(B) </w:t>
      </w:r>
      <w:r>
        <w:rPr>
          <w:rStyle w:val="standardChar"/>
        </w:rPr>
        <w:tab/>
      </w:r>
      <w:r w:rsidR="003D6BE3">
        <w:rPr>
          <w:rStyle w:val="standardChar"/>
        </w:rPr>
        <w:t>w</w:t>
      </w:r>
      <w:r w:rsidRPr="00CA3655">
        <w:rPr>
          <w:rStyle w:val="standardChar"/>
        </w:rPr>
        <w:t>ith respect to any individual matter, unless the State takes final action on a co</w:t>
      </w:r>
      <w:r w:rsidR="00943440">
        <w:rPr>
          <w:rStyle w:val="standardChar"/>
        </w:rPr>
        <w:t xml:space="preserve">mplaint regarding such matter - </w:t>
      </w:r>
      <w:r w:rsidRPr="00CA3655">
        <w:rPr>
          <w:rStyle w:val="standardChar"/>
        </w:rPr>
        <w:t>-</w:t>
      </w:r>
    </w:p>
    <w:p w:rsidR="0099333F" w:rsidRPr="00CA3655" w:rsidRDefault="0099333F" w:rsidP="00FB6CE5">
      <w:pPr>
        <w:pStyle w:val="standard"/>
        <w:tabs>
          <w:tab w:val="left" w:pos="2610"/>
        </w:tabs>
        <w:spacing w:after="80" w:line="240" w:lineRule="auto"/>
        <w:ind w:left="2606" w:right="900" w:hanging="446"/>
        <w:rPr>
          <w:rStyle w:val="standardChar"/>
        </w:rPr>
      </w:pPr>
      <w:r w:rsidRPr="00CA3655">
        <w:rPr>
          <w:rStyle w:val="standardChar"/>
        </w:rPr>
        <w:t>i.</w:t>
      </w:r>
      <w:r>
        <w:rPr>
          <w:rStyle w:val="standardChar"/>
        </w:rPr>
        <w:t xml:space="preserve"> </w:t>
      </w:r>
      <w:r>
        <w:rPr>
          <w:rStyle w:val="standardChar"/>
        </w:rPr>
        <w:tab/>
      </w:r>
      <w:r w:rsidR="003D6BE3">
        <w:rPr>
          <w:rStyle w:val="standardChar"/>
        </w:rPr>
        <w:t>w</w:t>
      </w:r>
      <w:r w:rsidRPr="00CA3655">
        <w:rPr>
          <w:rStyle w:val="standardChar"/>
        </w:rPr>
        <w:t>ithin 180 days after the complaint is filed with the State or</w:t>
      </w:r>
    </w:p>
    <w:p w:rsidR="0099333F" w:rsidRPr="00CA3655" w:rsidRDefault="0099333F" w:rsidP="00FB6CE5">
      <w:pPr>
        <w:pStyle w:val="standard"/>
        <w:tabs>
          <w:tab w:val="left" w:pos="2610"/>
        </w:tabs>
        <w:spacing w:after="200" w:line="240" w:lineRule="auto"/>
        <w:ind w:left="2606" w:right="900" w:hanging="446"/>
        <w:rPr>
          <w:rStyle w:val="standardChar"/>
        </w:rPr>
      </w:pPr>
      <w:r w:rsidRPr="00CA3655">
        <w:rPr>
          <w:rStyle w:val="standardChar"/>
        </w:rPr>
        <w:t xml:space="preserve">ii. </w:t>
      </w:r>
      <w:r>
        <w:rPr>
          <w:rStyle w:val="standardChar"/>
        </w:rPr>
        <w:tab/>
      </w:r>
      <w:r w:rsidR="003D6BE3">
        <w:rPr>
          <w:rStyle w:val="standardChar"/>
        </w:rPr>
        <w:t>w</w:t>
      </w:r>
      <w:r w:rsidRPr="00CA3655">
        <w:rPr>
          <w:rStyle w:val="standardChar"/>
        </w:rPr>
        <w:t>ithin the application period prescribed for such final action in such rules and regulations of the State, if the prescribed period does not extend beyond 360 days after the filing of such complaint.</w:t>
      </w:r>
    </w:p>
    <w:p w:rsidR="0099333F" w:rsidRPr="00CA3655" w:rsidRDefault="00756F69" w:rsidP="0099333F">
      <w:pPr>
        <w:pStyle w:val="standard"/>
        <w:rPr>
          <w:rStyle w:val="standardChar"/>
        </w:rPr>
      </w:pPr>
      <w:r>
        <w:rPr>
          <w:rStyle w:val="standardChar"/>
        </w:rPr>
        <w:t xml:space="preserve">A </w:t>
      </w:r>
      <w:r w:rsidR="00FE5D52">
        <w:rPr>
          <w:rStyle w:val="standardChar"/>
        </w:rPr>
        <w:t>S</w:t>
      </w:r>
      <w:r>
        <w:rPr>
          <w:rStyle w:val="standardChar"/>
        </w:rPr>
        <w:t xml:space="preserve">tate’s regulation of pole attachments does not have to conform to the FCC’s rules.  </w:t>
      </w:r>
      <w:r w:rsidR="004866EC">
        <w:rPr>
          <w:rStyle w:val="standardChar"/>
        </w:rPr>
        <w:t>As set forth in 47 U.S.C.</w:t>
      </w:r>
      <w:r w:rsidR="004866EC" w:rsidRPr="004866EC">
        <w:rPr>
          <w:rStyle w:val="standardChar"/>
        </w:rPr>
        <w:t xml:space="preserve"> </w:t>
      </w:r>
      <w:r w:rsidR="004866EC" w:rsidRPr="00CA3655">
        <w:rPr>
          <w:rStyle w:val="standardChar"/>
        </w:rPr>
        <w:t>§</w:t>
      </w:r>
      <w:r w:rsidR="004866EC">
        <w:rPr>
          <w:rStyle w:val="standardChar"/>
        </w:rPr>
        <w:t> </w:t>
      </w:r>
      <w:r w:rsidR="004866EC" w:rsidRPr="00CA3655">
        <w:rPr>
          <w:rStyle w:val="standardChar"/>
        </w:rPr>
        <w:t>25</w:t>
      </w:r>
      <w:r w:rsidR="004866EC">
        <w:rPr>
          <w:rStyle w:val="standardChar"/>
        </w:rPr>
        <w:t>3(b), a</w:t>
      </w:r>
      <w:r w:rsidR="00AF30C9">
        <w:rPr>
          <w:rStyle w:val="standardChar"/>
        </w:rPr>
        <w:t xml:space="preserve"> state </w:t>
      </w:r>
      <w:r w:rsidR="006F292F">
        <w:rPr>
          <w:rStyle w:val="standardChar"/>
        </w:rPr>
        <w:t>may</w:t>
      </w:r>
      <w:r w:rsidR="00AF30C9">
        <w:rPr>
          <w:rStyle w:val="standardChar"/>
        </w:rPr>
        <w:t xml:space="preserve"> adopt </w:t>
      </w:r>
      <w:r w:rsidR="0099333F" w:rsidRPr="00CA3655">
        <w:rPr>
          <w:rStyle w:val="standardChar"/>
        </w:rPr>
        <w:t xml:space="preserve">"on a </w:t>
      </w:r>
      <w:r w:rsidR="0099333F" w:rsidRPr="00CA3655">
        <w:rPr>
          <w:rStyle w:val="standardChar"/>
        </w:rPr>
        <w:lastRenderedPageBreak/>
        <w:t>competitively neutral basis and consistent with Section</w:t>
      </w:r>
      <w:r w:rsidR="0099333F">
        <w:rPr>
          <w:rStyle w:val="standardChar"/>
        </w:rPr>
        <w:t> </w:t>
      </w:r>
      <w:r w:rsidR="0099333F" w:rsidRPr="00CA3655">
        <w:rPr>
          <w:rStyle w:val="standardChar"/>
        </w:rPr>
        <w:t>254, requirements necessary to preserve and advance universal service, protect the public safety and welfare, ensure the continued quality of telecommunications services, and safeguard the rights of consumers."  In addition, §</w:t>
      </w:r>
      <w:r w:rsidR="0099333F">
        <w:rPr>
          <w:rStyle w:val="standardChar"/>
        </w:rPr>
        <w:t> </w:t>
      </w:r>
      <w:r w:rsidR="0099333F" w:rsidRPr="00CA3655">
        <w:rPr>
          <w:rStyle w:val="standardChar"/>
        </w:rPr>
        <w:t xml:space="preserve">253 recognizes the authority of </w:t>
      </w:r>
      <w:r w:rsidR="00FE5D52">
        <w:rPr>
          <w:rStyle w:val="standardChar"/>
        </w:rPr>
        <w:t>S</w:t>
      </w:r>
      <w:r w:rsidR="0099333F" w:rsidRPr="00CA3655">
        <w:rPr>
          <w:rStyle w:val="standardChar"/>
        </w:rPr>
        <w:t xml:space="preserve">tate and local governments to manage public </w:t>
      </w:r>
      <w:r w:rsidR="0062612F">
        <w:rPr>
          <w:rStyle w:val="standardChar"/>
        </w:rPr>
        <w:t>right</w:t>
      </w:r>
      <w:r w:rsidR="001F22E3">
        <w:rPr>
          <w:rStyle w:val="standardChar"/>
        </w:rPr>
        <w:t>s</w:t>
      </w:r>
      <w:r w:rsidR="0062612F">
        <w:rPr>
          <w:rStyle w:val="standardChar"/>
        </w:rPr>
        <w:t>-of-way (</w:t>
      </w:r>
      <w:r w:rsidR="00FD63E1">
        <w:rPr>
          <w:rStyle w:val="standardChar"/>
        </w:rPr>
        <w:t>“</w:t>
      </w:r>
      <w:r w:rsidR="0099333F" w:rsidRPr="00CA3655">
        <w:rPr>
          <w:rStyle w:val="standardChar"/>
        </w:rPr>
        <w:t>ROW</w:t>
      </w:r>
      <w:r w:rsidR="00FD63E1">
        <w:rPr>
          <w:rStyle w:val="standardChar"/>
        </w:rPr>
        <w:t>”</w:t>
      </w:r>
      <w:r w:rsidR="0062612F">
        <w:rPr>
          <w:rStyle w:val="standardChar"/>
        </w:rPr>
        <w:t>)</w:t>
      </w:r>
      <w:r w:rsidR="0099333F" w:rsidRPr="00CA3655">
        <w:rPr>
          <w:rStyle w:val="standardChar"/>
        </w:rPr>
        <w:t xml:space="preserve"> and to require </w:t>
      </w:r>
      <w:r w:rsidR="0068566D">
        <w:rPr>
          <w:rStyle w:val="standardChar"/>
        </w:rPr>
        <w:t>just</w:t>
      </w:r>
      <w:r w:rsidR="0099333F" w:rsidRPr="00CA3655">
        <w:rPr>
          <w:rStyle w:val="standardChar"/>
        </w:rPr>
        <w:t xml:space="preserve"> and reasonable compensation for the use of such ROW.</w:t>
      </w:r>
      <w:r>
        <w:rPr>
          <w:rStyle w:val="standardChar"/>
        </w:rPr>
        <w:t xml:space="preserve">  </w:t>
      </w:r>
    </w:p>
    <w:p w:rsidR="005B2EF3" w:rsidRDefault="005B2EF3" w:rsidP="00214651">
      <w:pPr>
        <w:pStyle w:val="Heading2"/>
      </w:pPr>
      <w:bookmarkStart w:id="11" w:name="_Toc424321886"/>
      <w:bookmarkStart w:id="12" w:name="_Toc436647310"/>
      <w:r>
        <w:t>Decision 98-10-058 and the ROW Rules</w:t>
      </w:r>
      <w:bookmarkEnd w:id="11"/>
      <w:bookmarkEnd w:id="12"/>
    </w:p>
    <w:p w:rsidR="00DF0412" w:rsidRDefault="00001CB4" w:rsidP="00DF0412">
      <w:pPr>
        <w:pStyle w:val="standard"/>
      </w:pPr>
      <w:r w:rsidRPr="005B69DB">
        <w:t xml:space="preserve">Public Utilities Code </w:t>
      </w:r>
      <w:r w:rsidR="00685953">
        <w:t>S</w:t>
      </w:r>
      <w:r>
        <w:t>ections (Pub. Util. Code</w:t>
      </w:r>
      <w:r w:rsidR="006F292F">
        <w:t> </w:t>
      </w:r>
      <w:r w:rsidRPr="005B69DB">
        <w:t>§§</w:t>
      </w:r>
      <w:r>
        <w:t xml:space="preserve">) 701, </w:t>
      </w:r>
      <w:r w:rsidRPr="005B69DB">
        <w:t>767</w:t>
      </w:r>
      <w:r>
        <w:t xml:space="preserve">, and 1702 </w:t>
      </w:r>
      <w:r w:rsidR="00E101BE">
        <w:t xml:space="preserve">authorize </w:t>
      </w:r>
      <w:r w:rsidR="00B913FC">
        <w:t>t</w:t>
      </w:r>
      <w:r w:rsidR="00FE0575" w:rsidRPr="005B69DB">
        <w:t xml:space="preserve">he </w:t>
      </w:r>
      <w:r w:rsidR="005B12EB">
        <w:t>California Public Utilities Commission (</w:t>
      </w:r>
      <w:r w:rsidR="009A2F16">
        <w:t>”</w:t>
      </w:r>
      <w:r w:rsidR="005B12EB">
        <w:t>Commission</w:t>
      </w:r>
      <w:r w:rsidR="009A2F16">
        <w:t>”</w:t>
      </w:r>
      <w:r w:rsidR="005B12EB">
        <w:t xml:space="preserve">) </w:t>
      </w:r>
      <w:r w:rsidRPr="00070AF6">
        <w:t>to regulate public utilities</w:t>
      </w:r>
      <w:r w:rsidR="00F704BB">
        <w:t xml:space="preserve"> and to e</w:t>
      </w:r>
      <w:r w:rsidR="00650017">
        <w:t>stablish</w:t>
      </w:r>
      <w:r>
        <w:t xml:space="preserve"> reasonable </w:t>
      </w:r>
      <w:r w:rsidR="00F704BB">
        <w:t>rates</w:t>
      </w:r>
      <w:r w:rsidR="00D91751">
        <w:t xml:space="preserve">, </w:t>
      </w:r>
      <w:r>
        <w:t>terms</w:t>
      </w:r>
      <w:r w:rsidR="00D91751">
        <w:t>,</w:t>
      </w:r>
      <w:r>
        <w:t xml:space="preserve"> and conditions for joint use of utility</w:t>
      </w:r>
      <w:r w:rsidR="00E101BE">
        <w:t xml:space="preserve"> </w:t>
      </w:r>
      <w:r w:rsidR="0057652D">
        <w:t xml:space="preserve">poles, ducts, conduits, and ROW (together, “utility </w:t>
      </w:r>
      <w:r w:rsidR="00726C5F">
        <w:t>infrastructure</w:t>
      </w:r>
      <w:r w:rsidR="0057652D">
        <w:t>”)</w:t>
      </w:r>
      <w:r w:rsidR="00943440">
        <w:t>.</w:t>
      </w:r>
    </w:p>
    <w:p w:rsidR="00CD2A49" w:rsidRDefault="00FE0575" w:rsidP="006979BD">
      <w:pPr>
        <w:pStyle w:val="standard"/>
        <w:rPr>
          <w:rStyle w:val="standardChar"/>
        </w:rPr>
      </w:pPr>
      <w:r>
        <w:t xml:space="preserve">In </w:t>
      </w:r>
      <w:r w:rsidR="00BD169C">
        <w:t xml:space="preserve">Decision (D.) </w:t>
      </w:r>
      <w:r>
        <w:t xml:space="preserve">98-10-058, the </w:t>
      </w:r>
      <w:r w:rsidR="00CD000C">
        <w:t xml:space="preserve">Commission adopted rules </w:t>
      </w:r>
      <w:r w:rsidR="0057652D">
        <w:t xml:space="preserve">to provide </w:t>
      </w:r>
      <w:r w:rsidR="006F292F">
        <w:t xml:space="preserve">facilities-based </w:t>
      </w:r>
      <w:r w:rsidR="0057652D">
        <w:t xml:space="preserve">competitive local </w:t>
      </w:r>
      <w:r w:rsidR="004F131D">
        <w:t xml:space="preserve">exchange </w:t>
      </w:r>
      <w:r w:rsidR="0057652D">
        <w:t xml:space="preserve">carriers </w:t>
      </w:r>
      <w:r w:rsidR="006F292F">
        <w:t>(</w:t>
      </w:r>
      <w:r w:rsidR="00FD63E1">
        <w:t>“</w:t>
      </w:r>
      <w:r w:rsidR="006F292F">
        <w:t>CL</w:t>
      </w:r>
      <w:r w:rsidR="004F131D">
        <w:t>E</w:t>
      </w:r>
      <w:r w:rsidR="006F292F">
        <w:t>Cs</w:t>
      </w:r>
      <w:r w:rsidR="00FD63E1">
        <w:t>”</w:t>
      </w:r>
      <w:r w:rsidR="006F292F">
        <w:t>)</w:t>
      </w:r>
      <w:r w:rsidR="004F131D">
        <w:rPr>
          <w:rStyle w:val="FootnoteReference"/>
        </w:rPr>
        <w:footnoteReference w:id="6"/>
      </w:r>
      <w:r w:rsidR="006F292F">
        <w:t xml:space="preserve"> </w:t>
      </w:r>
      <w:r w:rsidR="0057652D">
        <w:t>and cable</w:t>
      </w:r>
      <w:r w:rsidR="0016371A">
        <w:t> </w:t>
      </w:r>
      <w:r w:rsidR="0057652D">
        <w:t xml:space="preserve">TV </w:t>
      </w:r>
      <w:r w:rsidR="005E4C0A">
        <w:t>(</w:t>
      </w:r>
      <w:r w:rsidR="00FD63E1">
        <w:t>“</w:t>
      </w:r>
      <w:r w:rsidR="005E4C0A">
        <w:t>CATV</w:t>
      </w:r>
      <w:r w:rsidR="00FD63E1">
        <w:t>”</w:t>
      </w:r>
      <w:r w:rsidR="005E4C0A">
        <w:t>) corporations</w:t>
      </w:r>
      <w:r w:rsidR="0057652D">
        <w:t xml:space="preserve"> with </w:t>
      </w:r>
      <w:r w:rsidR="0057652D" w:rsidRPr="00A00D7B">
        <w:t xml:space="preserve">nondiscriminatory access to </w:t>
      </w:r>
      <w:r w:rsidR="0057652D">
        <w:t>utility </w:t>
      </w:r>
      <w:r w:rsidR="00726C5F">
        <w:t>infrastructure</w:t>
      </w:r>
      <w:r w:rsidR="0057652D">
        <w:t xml:space="preserve"> that is owned or controlled by (1) </w:t>
      </w:r>
      <w:r w:rsidR="0057652D" w:rsidRPr="00A00D7B">
        <w:t>large and midsized incumbent local exchange carriers</w:t>
      </w:r>
      <w:r w:rsidR="0057652D">
        <w:t xml:space="preserve">; and (2) major </w:t>
      </w:r>
      <w:r w:rsidR="0057652D" w:rsidRPr="00A00D7B">
        <w:t xml:space="preserve">investor-owned electric utilities </w:t>
      </w:r>
      <w:r w:rsidR="0057652D">
        <w:t xml:space="preserve">consisting of </w:t>
      </w:r>
      <w:r w:rsidR="0057652D" w:rsidRPr="00A00D7B">
        <w:t>Pacific Gas and Electric Company (</w:t>
      </w:r>
      <w:r w:rsidR="003B24B5">
        <w:t>“</w:t>
      </w:r>
      <w:r w:rsidR="0057652D" w:rsidRPr="00A00D7B">
        <w:t>PG&amp;E</w:t>
      </w:r>
      <w:r w:rsidR="003B24B5">
        <w:t>”</w:t>
      </w:r>
      <w:r w:rsidR="0057652D" w:rsidRPr="00A00D7B">
        <w:t>)</w:t>
      </w:r>
      <w:r w:rsidR="0057652D">
        <w:t>,</w:t>
      </w:r>
      <w:r w:rsidR="0057652D" w:rsidRPr="00A00D7B">
        <w:t xml:space="preserve"> Southern California Edison Company (</w:t>
      </w:r>
      <w:r w:rsidR="003B24B5">
        <w:t>“</w:t>
      </w:r>
      <w:r w:rsidR="006F292F">
        <w:t>SCE</w:t>
      </w:r>
      <w:r w:rsidR="003B24B5">
        <w:t>”</w:t>
      </w:r>
      <w:r w:rsidR="0057652D" w:rsidRPr="00A00D7B">
        <w:t>)</w:t>
      </w:r>
      <w:r w:rsidR="0057652D">
        <w:t>,</w:t>
      </w:r>
      <w:r w:rsidR="0057652D" w:rsidRPr="00A00D7B">
        <w:t xml:space="preserve"> and San</w:t>
      </w:r>
      <w:r w:rsidR="0057652D">
        <w:t> </w:t>
      </w:r>
      <w:r w:rsidR="0057652D" w:rsidRPr="00A00D7B">
        <w:t>Diego Gas &amp; Electric Company (</w:t>
      </w:r>
      <w:r w:rsidR="003B24B5">
        <w:t>“</w:t>
      </w:r>
      <w:r w:rsidR="0057652D" w:rsidRPr="00A00D7B">
        <w:t>SDG&amp;E</w:t>
      </w:r>
      <w:r w:rsidR="003B24B5">
        <w:t>”</w:t>
      </w:r>
      <w:r w:rsidR="0057652D" w:rsidRPr="00A00D7B">
        <w:t xml:space="preserve">).  </w:t>
      </w:r>
      <w:r w:rsidR="006F292F">
        <w:t>D.98</w:t>
      </w:r>
      <w:r w:rsidR="006F292F">
        <w:noBreakHyphen/>
        <w:t xml:space="preserve">10-058 </w:t>
      </w:r>
      <w:r w:rsidR="00D64278">
        <w:t xml:space="preserve">also </w:t>
      </w:r>
      <w:r w:rsidR="00B913FC">
        <w:t xml:space="preserve">provided </w:t>
      </w:r>
      <w:r>
        <w:t>certifi</w:t>
      </w:r>
      <w:r w:rsidR="00B913FC">
        <w:t xml:space="preserve">cation </w:t>
      </w:r>
      <w:r>
        <w:t>to the FCC that the Commission regulates the rate</w:t>
      </w:r>
      <w:r w:rsidR="003A2C40">
        <w:t>s</w:t>
      </w:r>
      <w:r>
        <w:t xml:space="preserve">, terms, and conditions </w:t>
      </w:r>
      <w:r w:rsidR="00A704A0">
        <w:t>for</w:t>
      </w:r>
      <w:r>
        <w:t xml:space="preserve"> </w:t>
      </w:r>
      <w:r w:rsidR="001B5820">
        <w:t xml:space="preserve">nondiscriminatory </w:t>
      </w:r>
      <w:r>
        <w:t xml:space="preserve">access to </w:t>
      </w:r>
      <w:r w:rsidR="00A704A0">
        <w:t xml:space="preserve">utility </w:t>
      </w:r>
      <w:r w:rsidR="00C87218">
        <w:t xml:space="preserve">infrastructure </w:t>
      </w:r>
      <w:r>
        <w:t xml:space="preserve">in conformance with </w:t>
      </w:r>
      <w:r w:rsidR="00BF2E2B">
        <w:t>47 U.S.C</w:t>
      </w:r>
      <w:r w:rsidR="007F5962">
        <w:t>.</w:t>
      </w:r>
      <w:r w:rsidR="00BF2E2B">
        <w:t> </w:t>
      </w:r>
      <w:r>
        <w:t>§§ 224(c)(2) and (3).</w:t>
      </w:r>
      <w:r w:rsidR="00756F69">
        <w:t xml:space="preserve">  As a result of these actions, </w:t>
      </w:r>
      <w:r w:rsidR="00CD2A49">
        <w:rPr>
          <w:rStyle w:val="standardChar"/>
        </w:rPr>
        <w:t xml:space="preserve">the </w:t>
      </w:r>
      <w:r w:rsidR="00CD2A49" w:rsidRPr="00CA3655">
        <w:rPr>
          <w:rStyle w:val="standardChar"/>
        </w:rPr>
        <w:t>Commission</w:t>
      </w:r>
      <w:r w:rsidR="00CD2A49">
        <w:rPr>
          <w:rStyle w:val="standardChar"/>
        </w:rPr>
        <w:t xml:space="preserve"> </w:t>
      </w:r>
      <w:r w:rsidR="00CD2A49" w:rsidRPr="00CA3655">
        <w:rPr>
          <w:rStyle w:val="standardChar"/>
        </w:rPr>
        <w:t xml:space="preserve">has </w:t>
      </w:r>
      <w:r w:rsidR="00CD2A49">
        <w:rPr>
          <w:rStyle w:val="standardChar"/>
        </w:rPr>
        <w:t>preempt</w:t>
      </w:r>
      <w:r w:rsidR="003A4E9A">
        <w:rPr>
          <w:rStyle w:val="standardChar"/>
        </w:rPr>
        <w:t>ed</w:t>
      </w:r>
      <w:r w:rsidR="00CD2A49">
        <w:rPr>
          <w:rStyle w:val="standardChar"/>
        </w:rPr>
        <w:t xml:space="preserve"> FCC regulation of </w:t>
      </w:r>
      <w:r w:rsidR="001372EF">
        <w:rPr>
          <w:rStyle w:val="standardChar"/>
        </w:rPr>
        <w:t xml:space="preserve">pole attachments </w:t>
      </w:r>
      <w:r w:rsidR="0027108D">
        <w:rPr>
          <w:rStyle w:val="standardChar"/>
        </w:rPr>
        <w:t>in California</w:t>
      </w:r>
      <w:r w:rsidR="00943440">
        <w:rPr>
          <w:rStyle w:val="standardChar"/>
        </w:rPr>
        <w:t>.</w:t>
      </w:r>
    </w:p>
    <w:p w:rsidR="00BD0D21" w:rsidRDefault="001B5820" w:rsidP="006979BD">
      <w:pPr>
        <w:pStyle w:val="standard"/>
      </w:pPr>
      <w:r>
        <w:lastRenderedPageBreak/>
        <w:t xml:space="preserve">The Commission’s </w:t>
      </w:r>
      <w:r w:rsidR="003544C5">
        <w:t xml:space="preserve">rules </w:t>
      </w:r>
      <w:r w:rsidR="003A2C40">
        <w:t xml:space="preserve">for </w:t>
      </w:r>
      <w:r w:rsidR="00C87218">
        <w:t xml:space="preserve">nondiscriminatory access to utility infrastructure </w:t>
      </w:r>
      <w:r w:rsidR="009E6C9E">
        <w:t>(</w:t>
      </w:r>
      <w:r w:rsidR="00C87218">
        <w:t xml:space="preserve">referred to as </w:t>
      </w:r>
      <w:r w:rsidR="009E6C9E">
        <w:t>the “ROW</w:t>
      </w:r>
      <w:r>
        <w:t> </w:t>
      </w:r>
      <w:r w:rsidR="009E6C9E">
        <w:t xml:space="preserve">Rules”) </w:t>
      </w:r>
      <w:r w:rsidR="00943440">
        <w:t>address the following matters:</w:t>
      </w:r>
    </w:p>
    <w:p w:rsidR="003544C5" w:rsidRDefault="003544C5" w:rsidP="00F752BC">
      <w:pPr>
        <w:pStyle w:val="standard"/>
        <w:tabs>
          <w:tab w:val="left" w:pos="1440"/>
        </w:tabs>
        <w:spacing w:after="120" w:line="240" w:lineRule="auto"/>
        <w:ind w:left="1440" w:right="540" w:hanging="360"/>
      </w:pPr>
      <w:r>
        <w:t xml:space="preserve">1.  </w:t>
      </w:r>
      <w:r>
        <w:tab/>
        <w:t xml:space="preserve">Requests for </w:t>
      </w:r>
      <w:r w:rsidR="00915804">
        <w:t>i</w:t>
      </w:r>
      <w:r>
        <w:t xml:space="preserve">nformation by </w:t>
      </w:r>
      <w:r w:rsidR="004F131D">
        <w:t>CLEC</w:t>
      </w:r>
      <w:r>
        <w:t xml:space="preserve">s and </w:t>
      </w:r>
      <w:r w:rsidR="005E4C0A">
        <w:t>CA</w:t>
      </w:r>
      <w:r>
        <w:t xml:space="preserve">TV </w:t>
      </w:r>
      <w:r w:rsidR="00C87218">
        <w:t>corporations</w:t>
      </w:r>
      <w:r>
        <w:t xml:space="preserve"> regarding the availability of </w:t>
      </w:r>
      <w:r w:rsidR="00D65007">
        <w:t xml:space="preserve">a utility’s </w:t>
      </w:r>
      <w:r w:rsidR="00C87218">
        <w:t>infrastructure</w:t>
      </w:r>
      <w:r w:rsidR="00943440">
        <w:t>.</w:t>
      </w:r>
    </w:p>
    <w:p w:rsidR="003544C5" w:rsidRDefault="00915804" w:rsidP="00661EE5">
      <w:pPr>
        <w:pStyle w:val="standard"/>
        <w:tabs>
          <w:tab w:val="left" w:pos="1440"/>
        </w:tabs>
        <w:spacing w:after="120" w:line="240" w:lineRule="auto"/>
        <w:ind w:left="1440" w:right="450" w:hanging="360"/>
      </w:pPr>
      <w:r>
        <w:t xml:space="preserve">2. </w:t>
      </w:r>
      <w:r>
        <w:tab/>
        <w:t xml:space="preserve">Requests </w:t>
      </w:r>
      <w:r w:rsidR="00D65007">
        <w:t xml:space="preserve">to </w:t>
      </w:r>
      <w:r>
        <w:t xml:space="preserve">access </w:t>
      </w:r>
      <w:r w:rsidR="00D65007">
        <w:t xml:space="preserve">a </w:t>
      </w:r>
      <w:r w:rsidR="00B9035C">
        <w:t>utility</w:t>
      </w:r>
      <w:r w:rsidR="00D65007">
        <w:t>’s</w:t>
      </w:r>
      <w:r w:rsidR="00B9035C">
        <w:t xml:space="preserve"> </w:t>
      </w:r>
      <w:r w:rsidR="00C87218">
        <w:t>infrastructure</w:t>
      </w:r>
      <w:r w:rsidR="00D65007">
        <w:t xml:space="preserve"> </w:t>
      </w:r>
      <w:r w:rsidR="00B9035C">
        <w:t xml:space="preserve">by </w:t>
      </w:r>
      <w:r w:rsidR="004F131D">
        <w:t>CLEC</w:t>
      </w:r>
      <w:r w:rsidR="00B9035C">
        <w:t xml:space="preserve">s and </w:t>
      </w:r>
      <w:r w:rsidR="005E4C0A">
        <w:t>CATV </w:t>
      </w:r>
      <w:r w:rsidR="00C87218">
        <w:t>corporations</w:t>
      </w:r>
      <w:r w:rsidR="00F9004B">
        <w:t>, including</w:t>
      </w:r>
      <w:r w:rsidR="00D65007">
        <w:t xml:space="preserve"> </w:t>
      </w:r>
      <w:r w:rsidR="00F9004B">
        <w:t xml:space="preserve">the contents of </w:t>
      </w:r>
      <w:r w:rsidR="00650017">
        <w:t xml:space="preserve">the </w:t>
      </w:r>
      <w:r w:rsidR="00F9004B">
        <w:t>requests; deadlines for utility responses</w:t>
      </w:r>
      <w:r w:rsidR="00F10199">
        <w:t xml:space="preserve"> and the contents of utility responses</w:t>
      </w:r>
      <w:r w:rsidR="00F9004B">
        <w:t xml:space="preserve">; timeframe for </w:t>
      </w:r>
      <w:r w:rsidR="00C87218">
        <w:t xml:space="preserve">the utility to complete </w:t>
      </w:r>
      <w:r w:rsidR="00F9004B">
        <w:t>make</w:t>
      </w:r>
      <w:r w:rsidR="00C87218">
        <w:t>-</w:t>
      </w:r>
      <w:r w:rsidR="00F9004B">
        <w:t xml:space="preserve">ready work; </w:t>
      </w:r>
      <w:r w:rsidR="00A42540">
        <w:t>and the use of qualified personnel to perform make</w:t>
      </w:r>
      <w:r w:rsidR="00EC4A06">
        <w:noBreakHyphen/>
      </w:r>
      <w:r w:rsidR="00A42540">
        <w:t>ready work, rearrangements, at</w:t>
      </w:r>
      <w:r w:rsidR="00943440">
        <w:t>tachments, and installations.</w:t>
      </w:r>
    </w:p>
    <w:p w:rsidR="00A42540" w:rsidRDefault="00A42540" w:rsidP="00F704BB">
      <w:pPr>
        <w:pStyle w:val="standard"/>
        <w:tabs>
          <w:tab w:val="left" w:pos="1440"/>
        </w:tabs>
        <w:spacing w:after="120" w:line="240" w:lineRule="auto"/>
        <w:ind w:left="1440" w:right="720" w:hanging="360"/>
      </w:pPr>
      <w:r>
        <w:t xml:space="preserve">3. </w:t>
      </w:r>
      <w:r>
        <w:tab/>
        <w:t xml:space="preserve">Protections for proprietary information. </w:t>
      </w:r>
    </w:p>
    <w:p w:rsidR="0077187B" w:rsidRDefault="0077187B" w:rsidP="00F704BB">
      <w:pPr>
        <w:pStyle w:val="standard"/>
        <w:tabs>
          <w:tab w:val="left" w:pos="1440"/>
        </w:tabs>
        <w:spacing w:after="120" w:line="240" w:lineRule="auto"/>
        <w:ind w:left="1440" w:right="720" w:hanging="360"/>
      </w:pPr>
      <w:r>
        <w:t xml:space="preserve">4. </w:t>
      </w:r>
      <w:r>
        <w:tab/>
      </w:r>
      <w:r w:rsidR="003A2C40">
        <w:t>Fees</w:t>
      </w:r>
      <w:r>
        <w:t xml:space="preserve"> and contracts for access</w:t>
      </w:r>
      <w:r w:rsidR="00D65007">
        <w:t xml:space="preserve"> to utility </w:t>
      </w:r>
      <w:r w:rsidR="00C87218">
        <w:t>infrastructure</w:t>
      </w:r>
      <w:r>
        <w:t xml:space="preserve">. </w:t>
      </w:r>
    </w:p>
    <w:p w:rsidR="0077187B" w:rsidRDefault="0077187B" w:rsidP="00F704BB">
      <w:pPr>
        <w:pStyle w:val="standard"/>
        <w:tabs>
          <w:tab w:val="left" w:pos="1440"/>
        </w:tabs>
        <w:spacing w:after="120" w:line="240" w:lineRule="auto"/>
        <w:ind w:left="1440" w:right="720" w:hanging="360"/>
      </w:pPr>
      <w:r>
        <w:t xml:space="preserve">5. </w:t>
      </w:r>
      <w:r>
        <w:tab/>
        <w:t xml:space="preserve">Reservations of </w:t>
      </w:r>
      <w:r w:rsidR="00C87218">
        <w:t>infrastructure</w:t>
      </w:r>
      <w:r w:rsidR="00D65007">
        <w:t xml:space="preserve"> </w:t>
      </w:r>
      <w:r>
        <w:t xml:space="preserve">capacity for future use. </w:t>
      </w:r>
    </w:p>
    <w:p w:rsidR="0027108D" w:rsidRDefault="0077187B" w:rsidP="00F704BB">
      <w:pPr>
        <w:pStyle w:val="standard"/>
        <w:tabs>
          <w:tab w:val="left" w:pos="1440"/>
        </w:tabs>
        <w:spacing w:after="120" w:line="240" w:lineRule="auto"/>
        <w:ind w:left="1440" w:right="720" w:hanging="360"/>
      </w:pPr>
      <w:r>
        <w:t xml:space="preserve">6. </w:t>
      </w:r>
      <w:r>
        <w:tab/>
      </w:r>
      <w:r w:rsidR="0027108D">
        <w:t xml:space="preserve">Access to customer premises.  </w:t>
      </w:r>
    </w:p>
    <w:p w:rsidR="0077187B" w:rsidRDefault="0027108D" w:rsidP="00F704BB">
      <w:pPr>
        <w:pStyle w:val="standard"/>
        <w:tabs>
          <w:tab w:val="left" w:pos="1440"/>
        </w:tabs>
        <w:spacing w:after="120" w:line="240" w:lineRule="auto"/>
        <w:ind w:left="1440" w:right="720" w:hanging="360"/>
      </w:pPr>
      <w:r>
        <w:t xml:space="preserve">7. </w:t>
      </w:r>
      <w:r>
        <w:tab/>
      </w:r>
      <w:r w:rsidR="0077187B">
        <w:t>Procedures for expedited resolution of disputes.</w:t>
      </w:r>
    </w:p>
    <w:p w:rsidR="0077187B" w:rsidRDefault="0027108D" w:rsidP="00F704BB">
      <w:pPr>
        <w:pStyle w:val="standard"/>
        <w:tabs>
          <w:tab w:val="left" w:pos="1440"/>
        </w:tabs>
        <w:spacing w:after="200" w:line="240" w:lineRule="auto"/>
        <w:ind w:left="1440" w:right="720" w:hanging="360"/>
      </w:pPr>
      <w:r>
        <w:t>8</w:t>
      </w:r>
      <w:r w:rsidR="0077187B">
        <w:t xml:space="preserve">. </w:t>
      </w:r>
      <w:r w:rsidR="0077187B">
        <w:tab/>
        <w:t>Safety standards for a</w:t>
      </w:r>
      <w:r w:rsidR="0077187B" w:rsidRPr="007C199F">
        <w:t>ccess to util</w:t>
      </w:r>
      <w:r w:rsidR="00A42862" w:rsidRPr="007C199F">
        <w:t xml:space="preserve">ity </w:t>
      </w:r>
      <w:r w:rsidR="00C87218">
        <w:t>infrastructure</w:t>
      </w:r>
      <w:r w:rsidR="00650017" w:rsidRPr="007C199F">
        <w:t xml:space="preserve">, including </w:t>
      </w:r>
      <w:r w:rsidR="00D65007" w:rsidRPr="007C199F">
        <w:t>pole attachments.</w:t>
      </w:r>
    </w:p>
    <w:p w:rsidR="000256F5" w:rsidRDefault="000256F5" w:rsidP="000256F5">
      <w:pPr>
        <w:pStyle w:val="standard"/>
      </w:pPr>
      <w:r>
        <w:t>The ROW Rules</w:t>
      </w:r>
      <w:r w:rsidRPr="00EB6DCD">
        <w:t xml:space="preserve"> </w:t>
      </w:r>
      <w:r>
        <w:t>are set forth in D.98-10-058, Appendix A, and are administered by the Commission in the form of preferred outcomes.</w:t>
      </w:r>
      <w:r w:rsidRPr="00EB6DCD">
        <w:t xml:space="preserve">  </w:t>
      </w:r>
      <w:r w:rsidR="00C87218">
        <w:t>P</w:t>
      </w:r>
      <w:r>
        <w:t xml:space="preserve">arties negotiating </w:t>
      </w:r>
      <w:r w:rsidR="00C87218">
        <w:t>access</w:t>
      </w:r>
      <w:r>
        <w:t xml:space="preserve"> agreements may depart from these preferred outcomes but, in resolving any </w:t>
      </w:r>
      <w:r w:rsidR="00C87218">
        <w:t>access</w:t>
      </w:r>
      <w:r>
        <w:t xml:space="preserve"> dispute, the Commission will consider how closely each party has conformed to these </w:t>
      </w:r>
      <w:r w:rsidR="00C87218">
        <w:t xml:space="preserve">preferred </w:t>
      </w:r>
      <w:r>
        <w:t xml:space="preserve">outcomes.  </w:t>
      </w:r>
    </w:p>
    <w:p w:rsidR="00B21A83" w:rsidRDefault="009A5BB2" w:rsidP="00CA3655">
      <w:pPr>
        <w:pStyle w:val="standard"/>
        <w:rPr>
          <w:rStyle w:val="standardChar"/>
        </w:rPr>
      </w:pPr>
      <w:r>
        <w:t xml:space="preserve">Of importance to today’s </w:t>
      </w:r>
      <w:r w:rsidR="00991463">
        <w:t>decision, D.98</w:t>
      </w:r>
      <w:r w:rsidR="00991463">
        <w:noBreakHyphen/>
        <w:t>10</w:t>
      </w:r>
      <w:r w:rsidR="00991463">
        <w:noBreakHyphen/>
        <w:t>058 excluded c</w:t>
      </w:r>
      <w:r>
        <w:t xml:space="preserve">ommercial </w:t>
      </w:r>
      <w:r w:rsidR="00991463">
        <w:t>m</w:t>
      </w:r>
      <w:r w:rsidR="00F704BB">
        <w:t xml:space="preserve">obile </w:t>
      </w:r>
      <w:r w:rsidR="00991463">
        <w:t>r</w:t>
      </w:r>
      <w:r>
        <w:t xml:space="preserve">adio </w:t>
      </w:r>
      <w:r w:rsidR="00865AAF">
        <w:t>service</w:t>
      </w:r>
      <w:r>
        <w:t xml:space="preserve"> (</w:t>
      </w:r>
      <w:r w:rsidR="003B24B5">
        <w:t>“</w:t>
      </w:r>
      <w:r>
        <w:t>CMRS</w:t>
      </w:r>
      <w:r w:rsidR="003B24B5">
        <w:t>”</w:t>
      </w:r>
      <w:r>
        <w:t xml:space="preserve">) </w:t>
      </w:r>
      <w:r w:rsidR="00650017">
        <w:t>carriers</w:t>
      </w:r>
      <w:r w:rsidR="00C128C3" w:rsidRPr="00F051AD">
        <w:rPr>
          <w:rStyle w:val="StandardFootnoteReferenceChar"/>
        </w:rPr>
        <w:footnoteReference w:id="7"/>
      </w:r>
      <w:r>
        <w:t xml:space="preserve"> from the ROW Rules.</w:t>
      </w:r>
      <w:r w:rsidR="0060475E" w:rsidRPr="00F051AD">
        <w:rPr>
          <w:rStyle w:val="StandardFootnoteReferenceChar"/>
        </w:rPr>
        <w:footnoteReference w:id="8"/>
      </w:r>
      <w:r>
        <w:t xml:space="preserve">  While the </w:t>
      </w:r>
      <w:r>
        <w:lastRenderedPageBreak/>
        <w:t xml:space="preserve">Commission </w:t>
      </w:r>
      <w:r w:rsidR="00395417">
        <w:t>recognized</w:t>
      </w:r>
      <w:r>
        <w:t xml:space="preserve"> that </w:t>
      </w:r>
      <w:r w:rsidR="00B052D3">
        <w:rPr>
          <w:rStyle w:val="standardChar"/>
        </w:rPr>
        <w:t>CMRS carrier</w:t>
      </w:r>
      <w:r w:rsidRPr="00CA3655">
        <w:rPr>
          <w:rStyle w:val="standardChar"/>
        </w:rPr>
        <w:t>s should not be subjected to unfair discrimination</w:t>
      </w:r>
      <w:r>
        <w:rPr>
          <w:rStyle w:val="standardChar"/>
        </w:rPr>
        <w:t xml:space="preserve"> pursuant to </w:t>
      </w:r>
      <w:r w:rsidR="00395417">
        <w:rPr>
          <w:rStyle w:val="standardChar"/>
        </w:rPr>
        <w:t>47 U.S.C. </w:t>
      </w:r>
      <w:r w:rsidR="00CA3655" w:rsidRPr="00CA3655">
        <w:rPr>
          <w:rStyle w:val="standardChar"/>
        </w:rPr>
        <w:t>224(f)(1),</w:t>
      </w:r>
      <w:r>
        <w:rPr>
          <w:rStyle w:val="standardChar"/>
        </w:rPr>
        <w:t xml:space="preserve"> the focus of D.98</w:t>
      </w:r>
      <w:r w:rsidR="00F752BC">
        <w:rPr>
          <w:rStyle w:val="standardChar"/>
        </w:rPr>
        <w:noBreakHyphen/>
      </w:r>
      <w:r>
        <w:rPr>
          <w:rStyle w:val="standardChar"/>
        </w:rPr>
        <w:t>10</w:t>
      </w:r>
      <w:r w:rsidR="00F752BC">
        <w:rPr>
          <w:rStyle w:val="standardChar"/>
        </w:rPr>
        <w:noBreakHyphen/>
      </w:r>
      <w:r>
        <w:rPr>
          <w:rStyle w:val="standardChar"/>
        </w:rPr>
        <w:t xml:space="preserve">058 was </w:t>
      </w:r>
      <w:r w:rsidR="00CA3655" w:rsidRPr="00CA3655">
        <w:rPr>
          <w:rStyle w:val="standardChar"/>
        </w:rPr>
        <w:t xml:space="preserve">on wireline local exchange service, not CMRS.  </w:t>
      </w:r>
      <w:r>
        <w:rPr>
          <w:rStyle w:val="standardChar"/>
        </w:rPr>
        <w:t xml:space="preserve">The Commission </w:t>
      </w:r>
      <w:r w:rsidR="00FE5603">
        <w:rPr>
          <w:rStyle w:val="standardChar"/>
        </w:rPr>
        <w:t xml:space="preserve">also </w:t>
      </w:r>
      <w:r w:rsidR="007C78FA">
        <w:rPr>
          <w:rStyle w:val="standardChar"/>
        </w:rPr>
        <w:t xml:space="preserve">held that </w:t>
      </w:r>
      <w:r>
        <w:rPr>
          <w:rStyle w:val="standardChar"/>
        </w:rPr>
        <w:t>the</w:t>
      </w:r>
      <w:r w:rsidR="00CA3655" w:rsidRPr="00CA3655">
        <w:rPr>
          <w:rStyle w:val="standardChar"/>
        </w:rPr>
        <w:t xml:space="preserve"> rationale </w:t>
      </w:r>
      <w:r w:rsidR="00936B7B">
        <w:rPr>
          <w:rStyle w:val="standardChar"/>
        </w:rPr>
        <w:t>for</w:t>
      </w:r>
      <w:r w:rsidR="00CA3655" w:rsidRPr="00CA3655">
        <w:rPr>
          <w:rStyle w:val="standardChar"/>
        </w:rPr>
        <w:t xml:space="preserve"> the pole</w:t>
      </w:r>
      <w:r w:rsidR="00E346A6">
        <w:rPr>
          <w:rStyle w:val="standardChar"/>
        </w:rPr>
        <w:noBreakHyphen/>
      </w:r>
      <w:r w:rsidR="00CA3655" w:rsidRPr="00CA3655">
        <w:rPr>
          <w:rStyle w:val="standardChar"/>
        </w:rPr>
        <w:t xml:space="preserve">attachment rates and access requirements </w:t>
      </w:r>
      <w:r>
        <w:rPr>
          <w:rStyle w:val="standardChar"/>
        </w:rPr>
        <w:t>adopted in D.98</w:t>
      </w:r>
      <w:r w:rsidR="007C78FA">
        <w:rPr>
          <w:rStyle w:val="standardChar"/>
        </w:rPr>
        <w:noBreakHyphen/>
      </w:r>
      <w:r>
        <w:rPr>
          <w:rStyle w:val="standardChar"/>
        </w:rPr>
        <w:t>10</w:t>
      </w:r>
      <w:r w:rsidR="0054739E">
        <w:rPr>
          <w:rStyle w:val="standardChar"/>
        </w:rPr>
        <w:noBreakHyphen/>
      </w:r>
      <w:r>
        <w:rPr>
          <w:rStyle w:val="standardChar"/>
        </w:rPr>
        <w:t xml:space="preserve">058 </w:t>
      </w:r>
      <w:r w:rsidR="00CA3655" w:rsidRPr="00CA3655">
        <w:rPr>
          <w:rStyle w:val="standardChar"/>
        </w:rPr>
        <w:t xml:space="preserve">with respect to </w:t>
      </w:r>
      <w:r w:rsidR="00FE5603">
        <w:rPr>
          <w:rStyle w:val="standardChar"/>
        </w:rPr>
        <w:t xml:space="preserve">wireline </w:t>
      </w:r>
      <w:r w:rsidR="00CA3655" w:rsidRPr="00CA3655">
        <w:rPr>
          <w:rStyle w:val="standardChar"/>
        </w:rPr>
        <w:t xml:space="preserve">local exchange service may not apply </w:t>
      </w:r>
      <w:r w:rsidR="007C78FA">
        <w:rPr>
          <w:rStyle w:val="standardChar"/>
        </w:rPr>
        <w:t>to</w:t>
      </w:r>
      <w:r w:rsidR="00CA3655" w:rsidRPr="00CA3655">
        <w:rPr>
          <w:rStyle w:val="standardChar"/>
        </w:rPr>
        <w:t xml:space="preserve"> CMRS</w:t>
      </w:r>
      <w:r w:rsidR="007C78FA">
        <w:rPr>
          <w:rStyle w:val="standardChar"/>
        </w:rPr>
        <w:t> </w:t>
      </w:r>
      <w:r w:rsidR="00CA3655" w:rsidRPr="00CA3655">
        <w:rPr>
          <w:rStyle w:val="standardChar"/>
        </w:rPr>
        <w:t xml:space="preserve">service.  </w:t>
      </w:r>
      <w:r w:rsidR="004443C1">
        <w:rPr>
          <w:rStyle w:val="standardChar"/>
        </w:rPr>
        <w:t>For example, the Commission noted that</w:t>
      </w:r>
      <w:r w:rsidR="002E5DD6">
        <w:rPr>
          <w:rStyle w:val="standardChar"/>
        </w:rPr>
        <w:t>,</w:t>
      </w:r>
      <w:r w:rsidR="004443C1">
        <w:rPr>
          <w:rStyle w:val="standardChar"/>
        </w:rPr>
        <w:t xml:space="preserve"> </w:t>
      </w:r>
      <w:r w:rsidR="00FE5603">
        <w:rPr>
          <w:rStyle w:val="standardChar"/>
        </w:rPr>
        <w:t xml:space="preserve">unlike wireline local exchange carriers, </w:t>
      </w:r>
      <w:r w:rsidR="00B052D3">
        <w:rPr>
          <w:rStyle w:val="standardChar"/>
        </w:rPr>
        <w:t>CMRS</w:t>
      </w:r>
      <w:r w:rsidR="00FE5603">
        <w:rPr>
          <w:rStyle w:val="standardChar"/>
        </w:rPr>
        <w:t> </w:t>
      </w:r>
      <w:r w:rsidR="00B052D3">
        <w:rPr>
          <w:rStyle w:val="standardChar"/>
        </w:rPr>
        <w:t>carrier</w:t>
      </w:r>
      <w:r w:rsidR="0060475E">
        <w:rPr>
          <w:rStyle w:val="standardChar"/>
        </w:rPr>
        <w:t>s</w:t>
      </w:r>
      <w:r w:rsidR="00CA3655" w:rsidRPr="00CA3655">
        <w:rPr>
          <w:rStyle w:val="standardChar"/>
        </w:rPr>
        <w:t xml:space="preserve"> </w:t>
      </w:r>
      <w:r w:rsidR="004443C1">
        <w:rPr>
          <w:rStyle w:val="standardChar"/>
        </w:rPr>
        <w:t xml:space="preserve">often seek </w:t>
      </w:r>
      <w:r w:rsidR="003B5E05">
        <w:rPr>
          <w:rStyle w:val="standardChar"/>
        </w:rPr>
        <w:t>to install antennas on the top of existing poles</w:t>
      </w:r>
      <w:r w:rsidR="00E346A6">
        <w:rPr>
          <w:rStyle w:val="standardChar"/>
        </w:rPr>
        <w:t xml:space="preserve">, </w:t>
      </w:r>
      <w:r w:rsidR="00D65007">
        <w:rPr>
          <w:rStyle w:val="standardChar"/>
        </w:rPr>
        <w:t xml:space="preserve">which </w:t>
      </w:r>
      <w:r w:rsidR="00CA3655" w:rsidRPr="00CA3655">
        <w:rPr>
          <w:rStyle w:val="standardChar"/>
        </w:rPr>
        <w:t xml:space="preserve">raises safety </w:t>
      </w:r>
      <w:r w:rsidR="00E346A6">
        <w:rPr>
          <w:rStyle w:val="standardChar"/>
        </w:rPr>
        <w:t>issues</w:t>
      </w:r>
      <w:r w:rsidR="00CA3655" w:rsidRPr="00CA3655">
        <w:rPr>
          <w:rStyle w:val="standardChar"/>
        </w:rPr>
        <w:t xml:space="preserve">.  </w:t>
      </w:r>
      <w:r>
        <w:rPr>
          <w:rStyle w:val="standardChar"/>
        </w:rPr>
        <w:t xml:space="preserve">The Commission concluded that </w:t>
      </w:r>
      <w:r w:rsidR="00E346A6">
        <w:rPr>
          <w:rStyle w:val="standardChar"/>
        </w:rPr>
        <w:t xml:space="preserve">it needed </w:t>
      </w:r>
      <w:r w:rsidR="008023A8">
        <w:rPr>
          <w:rStyle w:val="standardChar"/>
        </w:rPr>
        <w:t xml:space="preserve">more information </w:t>
      </w:r>
      <w:r w:rsidR="003B5E05">
        <w:rPr>
          <w:rStyle w:val="standardChar"/>
        </w:rPr>
        <w:t>about</w:t>
      </w:r>
      <w:r w:rsidR="00CA3655" w:rsidRPr="00CA3655">
        <w:rPr>
          <w:rStyle w:val="standardChar"/>
        </w:rPr>
        <w:t xml:space="preserve"> </w:t>
      </w:r>
      <w:r w:rsidR="00E346A6">
        <w:rPr>
          <w:rStyle w:val="standardChar"/>
        </w:rPr>
        <w:t xml:space="preserve">the </w:t>
      </w:r>
      <w:r w:rsidR="00CA3655" w:rsidRPr="00CA3655">
        <w:rPr>
          <w:rStyle w:val="standardChar"/>
        </w:rPr>
        <w:t>safety, reliability</w:t>
      </w:r>
      <w:r w:rsidR="008023A8">
        <w:rPr>
          <w:rStyle w:val="standardChar"/>
        </w:rPr>
        <w:t>,</w:t>
      </w:r>
      <w:r w:rsidR="00CA3655" w:rsidRPr="00CA3655">
        <w:rPr>
          <w:rStyle w:val="standardChar"/>
        </w:rPr>
        <w:t xml:space="preserve"> and access </w:t>
      </w:r>
      <w:r w:rsidR="00E346A6">
        <w:rPr>
          <w:rStyle w:val="standardChar"/>
        </w:rPr>
        <w:t>needs of CMRS</w:t>
      </w:r>
      <w:r w:rsidR="00936B7B">
        <w:rPr>
          <w:rStyle w:val="standardChar"/>
        </w:rPr>
        <w:t> </w:t>
      </w:r>
      <w:r w:rsidR="00573F07">
        <w:rPr>
          <w:rStyle w:val="standardChar"/>
        </w:rPr>
        <w:t>pole attachments</w:t>
      </w:r>
      <w:r w:rsidR="00E346A6">
        <w:rPr>
          <w:rStyle w:val="standardChar"/>
        </w:rPr>
        <w:t xml:space="preserve"> in order to make an informed decision about</w:t>
      </w:r>
      <w:r w:rsidR="00CA3655" w:rsidRPr="00CA3655">
        <w:rPr>
          <w:rStyle w:val="standardChar"/>
        </w:rPr>
        <w:t xml:space="preserve"> the applicability of </w:t>
      </w:r>
      <w:r w:rsidR="00E346A6">
        <w:rPr>
          <w:rStyle w:val="standardChar"/>
        </w:rPr>
        <w:t xml:space="preserve">the </w:t>
      </w:r>
      <w:r w:rsidR="00CA3655" w:rsidRPr="00CA3655">
        <w:rPr>
          <w:rStyle w:val="standardChar"/>
        </w:rPr>
        <w:t xml:space="preserve">ROW </w:t>
      </w:r>
      <w:r w:rsidR="004443C1">
        <w:rPr>
          <w:rStyle w:val="standardChar"/>
        </w:rPr>
        <w:t>Ru</w:t>
      </w:r>
      <w:r w:rsidR="00CA3655" w:rsidRPr="00CA3655">
        <w:rPr>
          <w:rStyle w:val="standardChar"/>
        </w:rPr>
        <w:t xml:space="preserve">les to CMRS </w:t>
      </w:r>
      <w:r w:rsidR="00FE5603">
        <w:rPr>
          <w:rStyle w:val="standardChar"/>
        </w:rPr>
        <w:t>carriers</w:t>
      </w:r>
      <w:r w:rsidR="00CA3655" w:rsidRPr="00CA3655">
        <w:rPr>
          <w:rStyle w:val="standardChar"/>
        </w:rPr>
        <w:t xml:space="preserve">.  </w:t>
      </w:r>
      <w:r>
        <w:rPr>
          <w:rStyle w:val="standardChar"/>
        </w:rPr>
        <w:t xml:space="preserve">The Commission then deferred </w:t>
      </w:r>
      <w:r w:rsidR="00CA3655" w:rsidRPr="00CA3655">
        <w:rPr>
          <w:rStyle w:val="standardChar"/>
        </w:rPr>
        <w:t>th</w:t>
      </w:r>
      <w:r w:rsidR="00E346A6">
        <w:rPr>
          <w:rStyle w:val="standardChar"/>
        </w:rPr>
        <w:t xml:space="preserve">is matter </w:t>
      </w:r>
      <w:r w:rsidR="00CA3655" w:rsidRPr="00CA3655">
        <w:rPr>
          <w:rStyle w:val="standardChar"/>
        </w:rPr>
        <w:t>to a later phase of the proceeding</w:t>
      </w:r>
      <w:r w:rsidR="00FE5603">
        <w:rPr>
          <w:rStyle w:val="standardChar"/>
        </w:rPr>
        <w:t xml:space="preserve">, but </w:t>
      </w:r>
      <w:r>
        <w:rPr>
          <w:rStyle w:val="standardChar"/>
        </w:rPr>
        <w:t xml:space="preserve">the proceeding was closed before the Commission took up this </w:t>
      </w:r>
      <w:r w:rsidR="00E346A6">
        <w:rPr>
          <w:rStyle w:val="standardChar"/>
        </w:rPr>
        <w:t>matter</w:t>
      </w:r>
      <w:r>
        <w:rPr>
          <w:rStyle w:val="standardChar"/>
        </w:rPr>
        <w:t xml:space="preserve">. </w:t>
      </w:r>
      <w:r w:rsidR="00B21A83">
        <w:rPr>
          <w:rStyle w:val="standardChar"/>
        </w:rPr>
        <w:t xml:space="preserve"> </w:t>
      </w:r>
    </w:p>
    <w:p w:rsidR="00EF79C9" w:rsidRDefault="00EF79C9" w:rsidP="00EF79C9">
      <w:pPr>
        <w:pStyle w:val="Heading2"/>
      </w:pPr>
      <w:bookmarkStart w:id="13" w:name="_Toc424321888"/>
      <w:bookmarkStart w:id="14" w:name="_Toc436647311"/>
      <w:r>
        <w:t>Scope of th</w:t>
      </w:r>
      <w:r w:rsidR="00DE3D52">
        <w:t>e</w:t>
      </w:r>
      <w:r>
        <w:t xml:space="preserve"> Proceeding</w:t>
      </w:r>
      <w:bookmarkEnd w:id="13"/>
      <w:bookmarkEnd w:id="14"/>
      <w:r>
        <w:t xml:space="preserve"> </w:t>
      </w:r>
    </w:p>
    <w:p w:rsidR="0097295C" w:rsidRDefault="00772C59" w:rsidP="00C563A4">
      <w:pPr>
        <w:pStyle w:val="standard"/>
      </w:pPr>
      <w:r>
        <w:t>T</w:t>
      </w:r>
      <w:r>
        <w:rPr>
          <w:rStyle w:val="standardChar"/>
        </w:rPr>
        <w:t>he Commission issued Order Instituting Rulemaking (OIR) 14-05-001 i</w:t>
      </w:r>
      <w:r w:rsidR="003B0C88">
        <w:t xml:space="preserve">n response to </w:t>
      </w:r>
      <w:r w:rsidR="00EF79C9">
        <w:t>Petition (P.) 13</w:t>
      </w:r>
      <w:r w:rsidR="00EF79C9">
        <w:noBreakHyphen/>
        <w:t>12</w:t>
      </w:r>
      <w:r w:rsidR="00EF79C9">
        <w:noBreakHyphen/>
        <w:t xml:space="preserve">009 filed by </w:t>
      </w:r>
      <w:r w:rsidR="003B0C88">
        <w:t>AT&amp;T Mobility</w:t>
      </w:r>
      <w:r>
        <w:t>.</w:t>
      </w:r>
      <w:r w:rsidR="00EF79C9" w:rsidRPr="00F051AD">
        <w:rPr>
          <w:rStyle w:val="StandardFootnoteReferenceChar"/>
        </w:rPr>
        <w:footnoteReference w:id="9"/>
      </w:r>
      <w:r w:rsidR="00AC22D1">
        <w:t xml:space="preserve">  </w:t>
      </w:r>
      <w:r w:rsidR="00DE3D52">
        <w:t xml:space="preserve">As set forth in </w:t>
      </w:r>
      <w:r w:rsidR="00856FD4">
        <w:t>OIR</w:t>
      </w:r>
      <w:r w:rsidR="00DE3D52">
        <w:t> </w:t>
      </w:r>
      <w:r w:rsidR="0068317A">
        <w:t>14-05-001</w:t>
      </w:r>
      <w:r w:rsidR="001504BA">
        <w:t xml:space="preserve"> </w:t>
      </w:r>
      <w:r w:rsidR="00DE3D52">
        <w:t>,</w:t>
      </w:r>
      <w:r w:rsidR="001504BA">
        <w:t xml:space="preserve"> </w:t>
      </w:r>
      <w:r w:rsidR="00856FD4">
        <w:t xml:space="preserve">the overall scope of </w:t>
      </w:r>
      <w:r w:rsidR="0097295C">
        <w:t>this</w:t>
      </w:r>
      <w:r w:rsidR="007261B3">
        <w:t xml:space="preserve"> </w:t>
      </w:r>
      <w:r w:rsidR="00856FD4">
        <w:t>rulemaking proceeding is</w:t>
      </w:r>
      <w:r w:rsidR="008D1AF7">
        <w:t xml:space="preserve"> </w:t>
      </w:r>
      <w:r w:rsidR="00856FD4">
        <w:t xml:space="preserve">to consider whether </w:t>
      </w:r>
      <w:r w:rsidR="00856FD4" w:rsidRPr="00CD2903">
        <w:t>and</w:t>
      </w:r>
      <w:r w:rsidR="00856FD4">
        <w:t xml:space="preserve"> how the </w:t>
      </w:r>
      <w:r w:rsidR="007261B3">
        <w:t>ROW Rules</w:t>
      </w:r>
      <w:r w:rsidR="00856FD4">
        <w:t xml:space="preserve"> adopted by D.98</w:t>
      </w:r>
      <w:r w:rsidR="00CD2903">
        <w:noBreakHyphen/>
      </w:r>
      <w:r w:rsidR="00856FD4">
        <w:t>10</w:t>
      </w:r>
      <w:r w:rsidR="00CD2903">
        <w:noBreakHyphen/>
      </w:r>
      <w:r w:rsidR="00856FD4">
        <w:t>058 for</w:t>
      </w:r>
      <w:r w:rsidR="008D1AF7">
        <w:t xml:space="preserve"> </w:t>
      </w:r>
      <w:r w:rsidR="00856FD4">
        <w:t xml:space="preserve">nondiscriminatory access to public utility </w:t>
      </w:r>
      <w:r w:rsidR="005E4C0A">
        <w:t xml:space="preserve">infrastructure </w:t>
      </w:r>
      <w:r w:rsidR="00856FD4">
        <w:t>should be amended to encompass</w:t>
      </w:r>
      <w:r w:rsidR="008D1AF7">
        <w:t xml:space="preserve"> </w:t>
      </w:r>
      <w:r w:rsidR="00856FD4">
        <w:t>CMRS</w:t>
      </w:r>
      <w:r w:rsidR="00A41007">
        <w:t> </w:t>
      </w:r>
      <w:r w:rsidR="00856FD4">
        <w:t>carriers, with the goal of fostering affordable, reliable, and ubiquitous</w:t>
      </w:r>
      <w:r w:rsidR="008D1AF7">
        <w:t xml:space="preserve"> </w:t>
      </w:r>
      <w:r w:rsidR="00856FD4">
        <w:lastRenderedPageBreak/>
        <w:t xml:space="preserve">mobile radio service. </w:t>
      </w:r>
      <w:r w:rsidR="008D1AF7">
        <w:t xml:space="preserve"> </w:t>
      </w:r>
      <w:r w:rsidR="0097295C">
        <w:t>Appendix A of the OIR shows the ROW Rules with AT&amp;T</w:t>
      </w:r>
      <w:r w:rsidR="00DE3D52">
        <w:t> </w:t>
      </w:r>
      <w:r w:rsidR="0097295C">
        <w:t xml:space="preserve">Mobility’s proposed amendments.  </w:t>
      </w:r>
    </w:p>
    <w:p w:rsidR="00C563A4" w:rsidRDefault="009E3B2B" w:rsidP="00C563A4">
      <w:pPr>
        <w:pStyle w:val="standard"/>
      </w:pPr>
      <w:r w:rsidRPr="009E3B2B">
        <w:t xml:space="preserve">The </w:t>
      </w:r>
      <w:r w:rsidR="0097295C">
        <w:t xml:space="preserve">Commission </w:t>
      </w:r>
      <w:r w:rsidRPr="009E3B2B">
        <w:t xml:space="preserve">determined </w:t>
      </w:r>
      <w:r w:rsidR="00061588">
        <w:t xml:space="preserve">in OIR 14-05-001 </w:t>
      </w:r>
      <w:r w:rsidRPr="009E3B2B">
        <w:t>that any amendments to the ROW</w:t>
      </w:r>
      <w:r w:rsidR="0044309A">
        <w:t> </w:t>
      </w:r>
      <w:r w:rsidRPr="009E3B2B">
        <w:t xml:space="preserve">Rules adopted in this proceeding </w:t>
      </w:r>
      <w:r w:rsidR="00061588">
        <w:t>must (1) provide just and reasonable fees for CMRS pole attachments</w:t>
      </w:r>
      <w:r w:rsidR="00061588" w:rsidRPr="00F051AD">
        <w:rPr>
          <w:rStyle w:val="StandardFootnoteReferenceChar"/>
        </w:rPr>
        <w:footnoteReference w:id="10"/>
      </w:r>
      <w:r w:rsidR="00061588">
        <w:t xml:space="preserve">; (2) protect the safety of workers and the public; and (3) preserve the reliability of co-located utility facilities.  The Commission further determined that adopted amendments to the ROW Rules, if any, </w:t>
      </w:r>
      <w:r w:rsidRPr="009E3B2B">
        <w:t>will apply prospectively</w:t>
      </w:r>
      <w:r w:rsidR="00C563A4">
        <w:t xml:space="preserve"> in accordance with Rule</w:t>
      </w:r>
      <w:r w:rsidR="0097295C">
        <w:t> </w:t>
      </w:r>
      <w:r w:rsidR="00C563A4">
        <w:t xml:space="preserve">6.3(a) of the Commission’s Rules of Practice and Procedure, and </w:t>
      </w:r>
      <w:r w:rsidR="00061588">
        <w:t xml:space="preserve">will not apply to </w:t>
      </w:r>
      <w:r w:rsidR="00C563A4">
        <w:t xml:space="preserve">the contractual rates, terms, and conditions for existing CMRS installations.  </w:t>
      </w:r>
    </w:p>
    <w:p w:rsidR="009B6B64" w:rsidRDefault="009B6B64" w:rsidP="00214651">
      <w:pPr>
        <w:pStyle w:val="Heading2"/>
      </w:pPr>
      <w:bookmarkStart w:id="15" w:name="_Toc399832138"/>
      <w:bookmarkStart w:id="16" w:name="_Toc424321889"/>
      <w:bookmarkStart w:id="17" w:name="_Toc436647312"/>
      <w:r>
        <w:t xml:space="preserve">Procedural </w:t>
      </w:r>
      <w:r w:rsidRPr="00214651">
        <w:t>Background</w:t>
      </w:r>
      <w:bookmarkEnd w:id="15"/>
      <w:bookmarkEnd w:id="16"/>
      <w:bookmarkEnd w:id="17"/>
      <w:r>
        <w:t xml:space="preserve"> </w:t>
      </w:r>
    </w:p>
    <w:p w:rsidR="00560113" w:rsidRDefault="00560113" w:rsidP="008B0E8E">
      <w:pPr>
        <w:pStyle w:val="standard"/>
      </w:pPr>
      <w:r>
        <w:t xml:space="preserve">The Commission approved </w:t>
      </w:r>
      <w:r w:rsidR="008B0E8E">
        <w:t xml:space="preserve">OIR 14-05-001 </w:t>
      </w:r>
      <w:r>
        <w:t>at its meeting on May</w:t>
      </w:r>
      <w:r w:rsidR="000C12EE">
        <w:t> </w:t>
      </w:r>
      <w:r w:rsidR="009A520F">
        <w:t>1, 2014</w:t>
      </w:r>
      <w:r>
        <w:t xml:space="preserve">.  A notice of availability of the OIR was served on (1) </w:t>
      </w:r>
      <w:r w:rsidR="009A520F">
        <w:t>e</w:t>
      </w:r>
      <w:r w:rsidR="003D624B">
        <w:t xml:space="preserve">very </w:t>
      </w:r>
      <w:r>
        <w:t>CMRS carrier with a utility identification number issued by the Commission</w:t>
      </w:r>
      <w:r w:rsidR="009A520F">
        <w:t>,</w:t>
      </w:r>
      <w:r>
        <w:t xml:space="preserve"> and (2)</w:t>
      </w:r>
      <w:r w:rsidR="000C12EE">
        <w:t> </w:t>
      </w:r>
      <w:r>
        <w:t>the official service lists for Petition 13</w:t>
      </w:r>
      <w:r>
        <w:noBreakHyphen/>
        <w:t>12</w:t>
      </w:r>
      <w:r>
        <w:noBreakHyphen/>
        <w:t>009, Rulemaking 08</w:t>
      </w:r>
      <w:r>
        <w:noBreakHyphen/>
        <w:t>11</w:t>
      </w:r>
      <w:r>
        <w:noBreakHyphen/>
        <w:t>005, and the consolidated dockets of Rulemaking 95</w:t>
      </w:r>
      <w:r>
        <w:noBreakHyphen/>
        <w:t>04</w:t>
      </w:r>
      <w:r>
        <w:noBreakHyphen/>
        <w:t>043 and Investigation 95</w:t>
      </w:r>
      <w:r>
        <w:noBreakHyphen/>
        <w:t>04</w:t>
      </w:r>
      <w:r>
        <w:noBreakHyphen/>
        <w:t xml:space="preserve">044.  </w:t>
      </w:r>
      <w:r w:rsidR="008B0E8E">
        <w:t>Notice of OIR</w:t>
      </w:r>
      <w:r w:rsidR="000C12EE">
        <w:t> 14</w:t>
      </w:r>
      <w:r w:rsidR="000C12EE">
        <w:noBreakHyphen/>
        <w:t>05</w:t>
      </w:r>
      <w:r w:rsidR="000C12EE">
        <w:noBreakHyphen/>
        <w:t>001</w:t>
      </w:r>
      <w:r w:rsidR="008B0E8E">
        <w:t xml:space="preserve"> appeared in the Commission’s Daily Calendar on </w:t>
      </w:r>
      <w:r>
        <w:t>May </w:t>
      </w:r>
      <w:r w:rsidR="008B0E8E">
        <w:t>9, 201</w:t>
      </w:r>
      <w:r>
        <w:t>4</w:t>
      </w:r>
      <w:r w:rsidR="008B0E8E">
        <w:t xml:space="preserve">.  </w:t>
      </w:r>
    </w:p>
    <w:p w:rsidR="003B24EC" w:rsidRPr="007C199F" w:rsidRDefault="00831C87" w:rsidP="003B24EC">
      <w:pPr>
        <w:pStyle w:val="standard"/>
      </w:pPr>
      <w:r>
        <w:t xml:space="preserve">In accordance with </w:t>
      </w:r>
      <w:r w:rsidR="003B24EC" w:rsidRPr="007F1F98">
        <w:t xml:space="preserve">the OIR, three all-party meetings were held </w:t>
      </w:r>
      <w:r w:rsidR="001951C7">
        <w:t xml:space="preserve">in May and June of 2014 </w:t>
      </w:r>
      <w:r w:rsidR="003B24EC" w:rsidRPr="007F1F98">
        <w:t xml:space="preserve">to </w:t>
      </w:r>
      <w:r w:rsidR="003B24EC" w:rsidRPr="00E138CE">
        <w:rPr>
          <w:rStyle w:val="standardChar"/>
        </w:rPr>
        <w:t>(1)</w:t>
      </w:r>
      <w:r w:rsidR="00501A72">
        <w:rPr>
          <w:rStyle w:val="standardChar"/>
        </w:rPr>
        <w:t> </w:t>
      </w:r>
      <w:r w:rsidR="003B24EC" w:rsidRPr="00E138CE">
        <w:rPr>
          <w:rStyle w:val="standardChar"/>
        </w:rPr>
        <w:t>ide</w:t>
      </w:r>
      <w:r w:rsidR="003B24EC" w:rsidRPr="003A4127">
        <w:t>n</w:t>
      </w:r>
      <w:r w:rsidR="003B24EC" w:rsidRPr="00E138CE">
        <w:rPr>
          <w:rStyle w:val="standardChar"/>
        </w:rPr>
        <w:t>tify areas of co</w:t>
      </w:r>
      <w:r w:rsidR="003B24EC" w:rsidRPr="003A4127">
        <w:t>n</w:t>
      </w:r>
      <w:r w:rsidR="003B24EC" w:rsidRPr="00E138CE">
        <w:rPr>
          <w:rStyle w:val="standardChar"/>
        </w:rPr>
        <w:t>sensus re</w:t>
      </w:r>
      <w:r w:rsidR="003B24EC" w:rsidRPr="003A4127">
        <w:t>g</w:t>
      </w:r>
      <w:r w:rsidR="003B24EC" w:rsidRPr="00E138CE">
        <w:rPr>
          <w:rStyle w:val="standardChar"/>
        </w:rPr>
        <w:t>arding matters within t</w:t>
      </w:r>
      <w:r w:rsidR="003B24EC" w:rsidRPr="003A4127">
        <w:t>h</w:t>
      </w:r>
      <w:r w:rsidR="003B24EC" w:rsidRPr="00E138CE">
        <w:rPr>
          <w:rStyle w:val="standardChar"/>
        </w:rPr>
        <w:t>e scope of this procee</w:t>
      </w:r>
      <w:r w:rsidR="003B24EC" w:rsidRPr="003A4127">
        <w:t>d</w:t>
      </w:r>
      <w:r w:rsidR="003B24EC" w:rsidRPr="00E138CE">
        <w:rPr>
          <w:rStyle w:val="standardChar"/>
        </w:rPr>
        <w:t>ing, (2) ide</w:t>
      </w:r>
      <w:r w:rsidR="003B24EC" w:rsidRPr="003A4127">
        <w:t>n</w:t>
      </w:r>
      <w:r w:rsidR="003B24EC" w:rsidRPr="00E138CE">
        <w:rPr>
          <w:rStyle w:val="standardChar"/>
        </w:rPr>
        <w:t>tify disputed is</w:t>
      </w:r>
      <w:r w:rsidR="003B24EC" w:rsidRPr="003A4127">
        <w:t>s</w:t>
      </w:r>
      <w:r w:rsidR="003B24EC" w:rsidRPr="00E138CE">
        <w:rPr>
          <w:rStyle w:val="standardChar"/>
        </w:rPr>
        <w:t>ues, and (3) reach an agreement, if possible, on the schedule for this proceeding and appropriate procedures for resolving disputed issues.</w:t>
      </w:r>
      <w:r w:rsidR="003B24EC" w:rsidRPr="007F1F98">
        <w:rPr>
          <w:rStyle w:val="standardChar"/>
        </w:rPr>
        <w:t xml:space="preserve"> </w:t>
      </w:r>
      <w:r w:rsidR="003B24EC">
        <w:rPr>
          <w:rStyle w:val="standardChar"/>
        </w:rPr>
        <w:t xml:space="preserve"> </w:t>
      </w:r>
      <w:r w:rsidR="00F01CD5">
        <w:rPr>
          <w:rStyle w:val="standardChar"/>
        </w:rPr>
        <w:t>T</w:t>
      </w:r>
      <w:r w:rsidR="003B24EC" w:rsidRPr="00E138CE">
        <w:rPr>
          <w:rStyle w:val="standardChar"/>
        </w:rPr>
        <w:t xml:space="preserve">he parties did not reach </w:t>
      </w:r>
      <w:r w:rsidR="00F01CD5">
        <w:rPr>
          <w:rStyle w:val="standardChar"/>
        </w:rPr>
        <w:t xml:space="preserve">a </w:t>
      </w:r>
      <w:r w:rsidR="003B24EC" w:rsidRPr="00E138CE">
        <w:rPr>
          <w:rStyle w:val="standardChar"/>
        </w:rPr>
        <w:t>consensus on any issues.</w:t>
      </w:r>
    </w:p>
    <w:p w:rsidR="0059351B" w:rsidRDefault="00137886" w:rsidP="00137886">
      <w:pPr>
        <w:pStyle w:val="standard"/>
      </w:pPr>
      <w:r>
        <w:lastRenderedPageBreak/>
        <w:t xml:space="preserve">Combined prehearing conference statements and opening </w:t>
      </w:r>
      <w:r w:rsidR="0059351B">
        <w:t>c</w:t>
      </w:r>
      <w:r>
        <w:t xml:space="preserve">omments were filed on July 7, 2014, by the following parties:  </w:t>
      </w:r>
    </w:p>
    <w:p w:rsidR="0059351B" w:rsidRDefault="00137886" w:rsidP="00C114B0">
      <w:pPr>
        <w:pStyle w:val="standard"/>
        <w:numPr>
          <w:ilvl w:val="0"/>
          <w:numId w:val="11"/>
        </w:numPr>
        <w:spacing w:after="120" w:line="240" w:lineRule="auto"/>
      </w:pPr>
      <w:r>
        <w:t>AT&amp;T Mobility</w:t>
      </w:r>
      <w:r w:rsidR="00501A72">
        <w:t>.</w:t>
      </w:r>
    </w:p>
    <w:p w:rsidR="0059351B" w:rsidRDefault="0059351B" w:rsidP="00C114B0">
      <w:pPr>
        <w:pStyle w:val="standard"/>
        <w:numPr>
          <w:ilvl w:val="0"/>
          <w:numId w:val="11"/>
        </w:numPr>
        <w:spacing w:after="120" w:line="240" w:lineRule="auto"/>
      </w:pPr>
      <w:r>
        <w:t xml:space="preserve">The </w:t>
      </w:r>
      <w:r w:rsidR="00137886">
        <w:t xml:space="preserve">California Cable and Telecommunications Association </w:t>
      </w:r>
      <w:r w:rsidR="003B24B5">
        <w:t>“</w:t>
      </w:r>
      <w:r w:rsidR="00137886">
        <w:t>(CCTA</w:t>
      </w:r>
      <w:r w:rsidR="003B24B5">
        <w:t>”</w:t>
      </w:r>
      <w:r w:rsidR="00137886">
        <w:t>)</w:t>
      </w:r>
      <w:r w:rsidR="00501A72">
        <w:t>.</w:t>
      </w:r>
    </w:p>
    <w:p w:rsidR="0059351B" w:rsidRDefault="0059351B" w:rsidP="00C114B0">
      <w:pPr>
        <w:pStyle w:val="standard"/>
        <w:numPr>
          <w:ilvl w:val="0"/>
          <w:numId w:val="11"/>
        </w:numPr>
        <w:spacing w:after="120" w:line="240" w:lineRule="auto"/>
      </w:pPr>
      <w:r>
        <w:t xml:space="preserve">The </w:t>
      </w:r>
      <w:r w:rsidR="00137886">
        <w:t>Consumer Federation of California (</w:t>
      </w:r>
      <w:r w:rsidR="003B24B5">
        <w:t>“</w:t>
      </w:r>
      <w:r w:rsidR="00137886">
        <w:t>CFC</w:t>
      </w:r>
      <w:r w:rsidR="003B24B5">
        <w:t>”</w:t>
      </w:r>
      <w:r w:rsidR="00137886">
        <w:t>)</w:t>
      </w:r>
      <w:r w:rsidR="00501A72">
        <w:t>.</w:t>
      </w:r>
      <w:r w:rsidR="00137886">
        <w:t xml:space="preserve"> </w:t>
      </w:r>
    </w:p>
    <w:p w:rsidR="0059351B" w:rsidRDefault="00137886" w:rsidP="00C114B0">
      <w:pPr>
        <w:pStyle w:val="standard"/>
        <w:numPr>
          <w:ilvl w:val="0"/>
          <w:numId w:val="11"/>
        </w:numPr>
        <w:spacing w:after="120" w:line="240" w:lineRule="auto"/>
      </w:pPr>
      <w:r>
        <w:t>CTIA-The Wireless Association (</w:t>
      </w:r>
      <w:r w:rsidR="003B24B5">
        <w:t>“</w:t>
      </w:r>
      <w:r>
        <w:t>CTIA</w:t>
      </w:r>
      <w:r w:rsidR="003B24B5">
        <w:t>”</w:t>
      </w:r>
      <w:r>
        <w:t>)</w:t>
      </w:r>
      <w:r w:rsidR="00501A72">
        <w:t>.</w:t>
      </w:r>
      <w:r>
        <w:t xml:space="preserve"> </w:t>
      </w:r>
    </w:p>
    <w:p w:rsidR="0059351B" w:rsidRDefault="0059351B" w:rsidP="00C114B0">
      <w:pPr>
        <w:pStyle w:val="standard"/>
        <w:numPr>
          <w:ilvl w:val="0"/>
          <w:numId w:val="11"/>
        </w:numPr>
        <w:spacing w:after="120" w:line="240" w:lineRule="auto"/>
      </w:pPr>
      <w:r>
        <w:t>T</w:t>
      </w:r>
      <w:r w:rsidR="00137886">
        <w:t>he International Brotherhood of Electrical Workers Local Union</w:t>
      </w:r>
      <w:r>
        <w:t> </w:t>
      </w:r>
      <w:r w:rsidR="00137886">
        <w:t>1245 (</w:t>
      </w:r>
      <w:r w:rsidR="003B24B5">
        <w:t>“</w:t>
      </w:r>
      <w:r w:rsidR="00137886">
        <w:t>IBEW 1245</w:t>
      </w:r>
      <w:r w:rsidR="003B24B5">
        <w:t>”</w:t>
      </w:r>
      <w:r w:rsidR="00137886">
        <w:t>)</w:t>
      </w:r>
      <w:r w:rsidR="00501A72">
        <w:t>.</w:t>
      </w:r>
      <w:r w:rsidR="00137886">
        <w:t xml:space="preserve"> </w:t>
      </w:r>
    </w:p>
    <w:p w:rsidR="0059351B" w:rsidRDefault="00137886" w:rsidP="00C114B0">
      <w:pPr>
        <w:pStyle w:val="standard"/>
        <w:numPr>
          <w:ilvl w:val="0"/>
          <w:numId w:val="11"/>
        </w:numPr>
        <w:spacing w:after="120" w:line="240" w:lineRule="auto"/>
      </w:pPr>
      <w:r>
        <w:t>PCIA </w:t>
      </w:r>
      <w:r>
        <w:noBreakHyphen/>
        <w:t> The Wireless Infrastructure Association and the HetNet Forum</w:t>
      </w:r>
      <w:r w:rsidR="002C45BC">
        <w:t xml:space="preserve"> (together, </w:t>
      </w:r>
      <w:r w:rsidR="003B24B5">
        <w:t>“</w:t>
      </w:r>
      <w:r>
        <w:t>PCIA</w:t>
      </w:r>
      <w:r w:rsidR="003B24B5">
        <w:t>”</w:t>
      </w:r>
      <w:r>
        <w:t>)</w:t>
      </w:r>
      <w:r w:rsidR="00501A72">
        <w:t>.</w:t>
      </w:r>
      <w:r>
        <w:t xml:space="preserve"> </w:t>
      </w:r>
    </w:p>
    <w:p w:rsidR="0059351B" w:rsidRDefault="0059351B" w:rsidP="00C114B0">
      <w:pPr>
        <w:pStyle w:val="standard"/>
        <w:numPr>
          <w:ilvl w:val="0"/>
          <w:numId w:val="11"/>
        </w:numPr>
        <w:spacing w:after="120" w:line="240" w:lineRule="auto"/>
      </w:pPr>
      <w:r>
        <w:t>T</w:t>
      </w:r>
      <w:r w:rsidR="00137886">
        <w:t>he Commission’s Safety and Enforcement Division (</w:t>
      </w:r>
      <w:r w:rsidR="003B24B5">
        <w:t>“</w:t>
      </w:r>
      <w:r w:rsidR="00137886">
        <w:t>SED</w:t>
      </w:r>
      <w:r w:rsidR="003B24B5">
        <w:t>”</w:t>
      </w:r>
      <w:r w:rsidR="00137886">
        <w:t>)</w:t>
      </w:r>
      <w:r w:rsidR="00501A72">
        <w:t>.</w:t>
      </w:r>
    </w:p>
    <w:p w:rsidR="0059351B" w:rsidRDefault="0059351B" w:rsidP="00C114B0">
      <w:pPr>
        <w:pStyle w:val="standard"/>
        <w:numPr>
          <w:ilvl w:val="0"/>
          <w:numId w:val="11"/>
        </w:numPr>
        <w:spacing w:after="120" w:line="240" w:lineRule="auto"/>
      </w:pPr>
      <w:r>
        <w:t>A</w:t>
      </w:r>
      <w:r w:rsidR="00137886">
        <w:t xml:space="preserve"> coalition of investor owned electric utilities consisting of PG&amp;E, </w:t>
      </w:r>
      <w:r w:rsidR="00AA315F">
        <w:t xml:space="preserve">SCE, and </w:t>
      </w:r>
      <w:r w:rsidR="00137886">
        <w:t>SDG&amp;E (together, the “Electric IOUs”)</w:t>
      </w:r>
      <w:r w:rsidR="00501A72">
        <w:t>.</w:t>
      </w:r>
      <w:r w:rsidR="00137886">
        <w:t xml:space="preserve"> </w:t>
      </w:r>
    </w:p>
    <w:p w:rsidR="00767F9A" w:rsidRDefault="00137886" w:rsidP="00C114B0">
      <w:pPr>
        <w:pStyle w:val="standard"/>
        <w:numPr>
          <w:ilvl w:val="0"/>
          <w:numId w:val="11"/>
        </w:numPr>
        <w:spacing w:after="120" w:line="240" w:lineRule="auto"/>
      </w:pPr>
      <w:r>
        <w:t>The Utility Reform Network (</w:t>
      </w:r>
      <w:r w:rsidR="003B24B5">
        <w:t>“</w:t>
      </w:r>
      <w:r>
        <w:t>TURN</w:t>
      </w:r>
      <w:r w:rsidR="003B24B5">
        <w:t>”</w:t>
      </w:r>
      <w:r>
        <w:t>)</w:t>
      </w:r>
      <w:r w:rsidR="00501A72">
        <w:t xml:space="preserve">. </w:t>
      </w:r>
      <w:r w:rsidR="00F575A9">
        <w:t xml:space="preserve"> </w:t>
      </w:r>
    </w:p>
    <w:p w:rsidR="00137886" w:rsidRDefault="00F575A9" w:rsidP="00C114B0">
      <w:pPr>
        <w:pStyle w:val="standard"/>
        <w:numPr>
          <w:ilvl w:val="0"/>
          <w:numId w:val="11"/>
        </w:numPr>
        <w:spacing w:after="200" w:line="240" w:lineRule="auto"/>
      </w:pPr>
      <w:r>
        <w:t>T</w:t>
      </w:r>
      <w:r w:rsidR="0059351B">
        <w:t xml:space="preserve">he Wireless Communications Initiative of Joint Venture: </w:t>
      </w:r>
      <w:r w:rsidR="00767F9A">
        <w:t xml:space="preserve"> </w:t>
      </w:r>
      <w:r w:rsidR="0059351B">
        <w:t xml:space="preserve">Silicon Valley </w:t>
      </w:r>
      <w:r w:rsidR="00501A72">
        <w:t>(</w:t>
      </w:r>
      <w:r w:rsidR="003B24B5">
        <w:t>“</w:t>
      </w:r>
      <w:r w:rsidR="00501A72">
        <w:t>JVSV</w:t>
      </w:r>
      <w:r w:rsidR="003B24B5">
        <w:t>”</w:t>
      </w:r>
      <w:r w:rsidR="00501A72">
        <w:t xml:space="preserve">) </w:t>
      </w:r>
      <w:r w:rsidR="0059351B">
        <w:t xml:space="preserve">and </w:t>
      </w:r>
      <w:r w:rsidR="00767F9A">
        <w:t xml:space="preserve">the </w:t>
      </w:r>
      <w:r w:rsidR="0059351B">
        <w:t>California Wireless Association (</w:t>
      </w:r>
      <w:r w:rsidR="003B24B5">
        <w:t>“</w:t>
      </w:r>
      <w:r w:rsidR="00501A72">
        <w:t>CWA</w:t>
      </w:r>
      <w:r w:rsidR="003B24B5">
        <w:t>”</w:t>
      </w:r>
      <w:r w:rsidR="0059351B">
        <w:t xml:space="preserve">). </w:t>
      </w:r>
    </w:p>
    <w:p w:rsidR="000C12EE" w:rsidRDefault="0059351B" w:rsidP="008B0E8E">
      <w:pPr>
        <w:pStyle w:val="standard"/>
      </w:pPr>
      <w:r>
        <w:t>Reply comments were filed on July</w:t>
      </w:r>
      <w:r w:rsidR="001E0A2F">
        <w:t> </w:t>
      </w:r>
      <w:r>
        <w:t>17, 2014, by AT&amp;T</w:t>
      </w:r>
      <w:r w:rsidR="008A70B0">
        <w:t> </w:t>
      </w:r>
      <w:r>
        <w:t xml:space="preserve">Mobility, </w:t>
      </w:r>
      <w:r w:rsidR="00363CBE">
        <w:t xml:space="preserve">CCTA, </w:t>
      </w:r>
      <w:r>
        <w:t>CTIA, the Electric IOUs, and TURN.</w:t>
      </w:r>
    </w:p>
    <w:p w:rsidR="00137886" w:rsidRDefault="00053D53" w:rsidP="008B0E8E">
      <w:pPr>
        <w:pStyle w:val="standard"/>
      </w:pPr>
      <w:r>
        <w:t>A prehearing conference was held on August 6, 2014</w:t>
      </w:r>
      <w:r w:rsidR="00B04153">
        <w:t xml:space="preserve">, </w:t>
      </w:r>
      <w:r w:rsidR="00AA315F">
        <w:t xml:space="preserve">and </w:t>
      </w:r>
      <w:r w:rsidR="00501A72">
        <w:t>t</w:t>
      </w:r>
      <w:r>
        <w:t xml:space="preserve">he </w:t>
      </w:r>
      <w:r w:rsidRPr="00B04153">
        <w:rPr>
          <w:i/>
        </w:rPr>
        <w:t>Assigned</w:t>
      </w:r>
      <w:r w:rsidR="00B04153">
        <w:rPr>
          <w:i/>
        </w:rPr>
        <w:t> </w:t>
      </w:r>
      <w:r w:rsidRPr="00B04153">
        <w:rPr>
          <w:i/>
        </w:rPr>
        <w:t>Commissioner’s Scoping</w:t>
      </w:r>
      <w:r w:rsidR="00B04153">
        <w:rPr>
          <w:i/>
        </w:rPr>
        <w:t> </w:t>
      </w:r>
      <w:r w:rsidRPr="00B04153">
        <w:rPr>
          <w:i/>
        </w:rPr>
        <w:t>Memo and Ruling</w:t>
      </w:r>
      <w:r>
        <w:t xml:space="preserve"> </w:t>
      </w:r>
      <w:r w:rsidR="00AA315F">
        <w:t xml:space="preserve">was issued </w:t>
      </w:r>
      <w:r>
        <w:t>on August</w:t>
      </w:r>
      <w:r w:rsidR="00B04153">
        <w:t> </w:t>
      </w:r>
      <w:r>
        <w:t xml:space="preserve">27, 2014 (hereafter, “Scoping Memo”).  </w:t>
      </w:r>
      <w:r w:rsidR="00185944">
        <w:t>In accordance with the schedule and directives in the Scoping Memo, AT&amp;T Mobility</w:t>
      </w:r>
      <w:r w:rsidR="00990C8A">
        <w:t>, CCTA,</w:t>
      </w:r>
      <w:r w:rsidR="00185944">
        <w:t xml:space="preserve"> and the Electric IOUs filed reports on October</w:t>
      </w:r>
      <w:r w:rsidR="0030588D">
        <w:t> </w:t>
      </w:r>
      <w:r w:rsidR="00185944">
        <w:t>2</w:t>
      </w:r>
      <w:r w:rsidR="0030588D">
        <w:t xml:space="preserve">1, 2014, </w:t>
      </w:r>
      <w:r w:rsidR="00562431">
        <w:t>containing specified information and diagrams regarding CMRS pole attachments.  These reports were the subject of a</w:t>
      </w:r>
      <w:r w:rsidR="0030588D">
        <w:t xml:space="preserve"> two</w:t>
      </w:r>
      <w:r w:rsidR="00562431">
        <w:noBreakHyphen/>
      </w:r>
      <w:r w:rsidR="0030588D">
        <w:t xml:space="preserve">day workshop </w:t>
      </w:r>
      <w:r w:rsidR="00A24DC3">
        <w:t xml:space="preserve">held </w:t>
      </w:r>
      <w:r w:rsidR="0030588D">
        <w:t xml:space="preserve">on November 4 and 5, 2014.  </w:t>
      </w:r>
      <w:r w:rsidR="00A24DC3">
        <w:t xml:space="preserve">Together, these </w:t>
      </w:r>
      <w:r w:rsidR="0030588D">
        <w:t xml:space="preserve">reports and </w:t>
      </w:r>
      <w:r w:rsidR="009A520F">
        <w:t xml:space="preserve">the </w:t>
      </w:r>
      <w:r w:rsidR="0030588D">
        <w:t>workshop provide</w:t>
      </w:r>
      <w:r w:rsidR="00A24DC3">
        <w:t>d</w:t>
      </w:r>
      <w:r w:rsidR="0030588D">
        <w:t xml:space="preserve"> a common base of technical knowledge for evaluating and deciding issues within the scope of this rulemaking proceeding.</w:t>
      </w:r>
    </w:p>
    <w:p w:rsidR="00B34ADA" w:rsidRDefault="00AA315F" w:rsidP="009B6B64">
      <w:pPr>
        <w:pStyle w:val="standard"/>
      </w:pPr>
      <w:r>
        <w:lastRenderedPageBreak/>
        <w:t>Following</w:t>
      </w:r>
      <w:r w:rsidR="00B34ADA">
        <w:t xml:space="preserve"> the </w:t>
      </w:r>
      <w:r w:rsidR="00F64CE6">
        <w:t xml:space="preserve">November 2014 </w:t>
      </w:r>
      <w:r w:rsidR="00B34ADA">
        <w:t xml:space="preserve">workshops, the assigned </w:t>
      </w:r>
      <w:r w:rsidR="003431A8">
        <w:t>Administrative</w:t>
      </w:r>
      <w:r w:rsidR="00424204">
        <w:t xml:space="preserve"> Law Judge (</w:t>
      </w:r>
      <w:r w:rsidR="00B34ADA">
        <w:t>ALJ</w:t>
      </w:r>
      <w:r w:rsidR="00424204">
        <w:t>)</w:t>
      </w:r>
      <w:r w:rsidR="00B34ADA">
        <w:t xml:space="preserve"> </w:t>
      </w:r>
      <w:r w:rsidR="001F265B">
        <w:t xml:space="preserve">issued several rulings that directed </w:t>
      </w:r>
      <w:r w:rsidR="00CE2567">
        <w:t xml:space="preserve">certain </w:t>
      </w:r>
      <w:r w:rsidR="00B34ADA">
        <w:t xml:space="preserve">parties to </w:t>
      </w:r>
      <w:r>
        <w:t xml:space="preserve">file reports </w:t>
      </w:r>
      <w:r w:rsidR="00B34ADA">
        <w:t>containing engineering calculations, cost data</w:t>
      </w:r>
      <w:r w:rsidR="00F64CE6">
        <w:t xml:space="preserve"> for pole attachments</w:t>
      </w:r>
      <w:r w:rsidR="00CE2567">
        <w:t>, and other technical information</w:t>
      </w:r>
      <w:r w:rsidR="00B34ADA">
        <w:t xml:space="preserve">.  </w:t>
      </w:r>
      <w:r w:rsidR="00602E09">
        <w:t>Re</w:t>
      </w:r>
      <w:r w:rsidR="007C2AC8">
        <w:t>ports</w:t>
      </w:r>
      <w:r w:rsidR="00602E09">
        <w:t xml:space="preserve"> </w:t>
      </w:r>
      <w:r w:rsidR="00A21DFF">
        <w:t>were filed on December 5, 2014, by AT&amp;T</w:t>
      </w:r>
      <w:r w:rsidR="001F265B">
        <w:t> </w:t>
      </w:r>
      <w:r w:rsidR="00424204">
        <w:t>Mobility</w:t>
      </w:r>
      <w:r w:rsidR="00A21DFF">
        <w:t xml:space="preserve">, </w:t>
      </w:r>
      <w:r>
        <w:t>PG&amp;E, SCE, SDG&amp;E,</w:t>
      </w:r>
      <w:r w:rsidRPr="00E15E99">
        <w:rPr>
          <w:rStyle w:val="StandardFootnoteReferenceChar"/>
        </w:rPr>
        <w:footnoteReference w:id="11"/>
      </w:r>
      <w:r>
        <w:t xml:space="preserve"> and jointly by CCTA and JVSV</w:t>
      </w:r>
      <w:r w:rsidR="00A21DFF">
        <w:t>.</w:t>
      </w:r>
    </w:p>
    <w:p w:rsidR="00560113" w:rsidRDefault="007C2AC8" w:rsidP="009B6B64">
      <w:pPr>
        <w:pStyle w:val="standard"/>
      </w:pPr>
      <w:r>
        <w:t xml:space="preserve">In </w:t>
      </w:r>
      <w:r w:rsidR="00865AAF">
        <w:t>parallel</w:t>
      </w:r>
      <w:r>
        <w:t xml:space="preserve"> with these </w:t>
      </w:r>
      <w:r w:rsidR="009A520F">
        <w:t>activities</w:t>
      </w:r>
      <w:r>
        <w:t xml:space="preserve">, </w:t>
      </w:r>
      <w:r w:rsidR="00F22462">
        <w:t xml:space="preserve">SED </w:t>
      </w:r>
      <w:r w:rsidR="009A520F">
        <w:t xml:space="preserve">conducted field inspections of CMRS sites, issued data requests to pole owners and CMRS carriers, and used the </w:t>
      </w:r>
      <w:r w:rsidR="00B20D27">
        <w:t>information</w:t>
      </w:r>
      <w:r w:rsidR="009A520F">
        <w:t xml:space="preserve"> obtained to assess the</w:t>
      </w:r>
      <w:r w:rsidR="00F22462">
        <w:t xml:space="preserve"> safety hazards associated with CMRS pole attachments.  On December 5, 2014, SED filed a report containing </w:t>
      </w:r>
      <w:r w:rsidR="009A520F">
        <w:t xml:space="preserve">its </w:t>
      </w:r>
      <w:r w:rsidR="00F22462">
        <w:t>recommendations for mitigating the</w:t>
      </w:r>
      <w:r w:rsidR="00424204">
        <w:t>se</w:t>
      </w:r>
      <w:r w:rsidR="00F22462">
        <w:t xml:space="preserve"> safety hazards.  </w:t>
      </w:r>
    </w:p>
    <w:p w:rsidR="00671011" w:rsidRDefault="00424204" w:rsidP="009A639E">
      <w:pPr>
        <w:pStyle w:val="standard"/>
      </w:pPr>
      <w:r>
        <w:t xml:space="preserve">Comments regarding SED’s </w:t>
      </w:r>
      <w:r w:rsidR="003431A8">
        <w:t>recommendations</w:t>
      </w:r>
      <w:r>
        <w:t xml:space="preserve"> and other matters were </w:t>
      </w:r>
      <w:r w:rsidR="00671011">
        <w:t xml:space="preserve">filed </w:t>
      </w:r>
      <w:r w:rsidR="00F20837">
        <w:t xml:space="preserve">on </w:t>
      </w:r>
      <w:r w:rsidR="00671011">
        <w:t>December </w:t>
      </w:r>
      <w:r w:rsidR="00F20837">
        <w:t>17-</w:t>
      </w:r>
      <w:r w:rsidR="00671011">
        <w:t xml:space="preserve">19, 2014, by </w:t>
      </w:r>
      <w:r w:rsidR="00B83319">
        <w:t>AT&amp;T</w:t>
      </w:r>
      <w:r>
        <w:t xml:space="preserve"> Mobility</w:t>
      </w:r>
      <w:r w:rsidR="00B83319">
        <w:t xml:space="preserve">, CCTA, </w:t>
      </w:r>
      <w:r w:rsidR="00FF1EA6">
        <w:t xml:space="preserve">CFC, </w:t>
      </w:r>
      <w:r w:rsidR="00B83319">
        <w:t xml:space="preserve">CTIA, </w:t>
      </w:r>
      <w:r w:rsidR="00624D89">
        <w:t xml:space="preserve">the Electric IOUs, JVSV, </w:t>
      </w:r>
      <w:r w:rsidR="00B83319">
        <w:t xml:space="preserve">PCIA, </w:t>
      </w:r>
      <w:r w:rsidR="00FF1EA6">
        <w:t>SED</w:t>
      </w:r>
      <w:r w:rsidR="00624D89">
        <w:t>, and TURN.</w:t>
      </w:r>
      <w:r w:rsidR="00671011">
        <w:t xml:space="preserve">  Reply comments were filed on January</w:t>
      </w:r>
      <w:r w:rsidR="00F20837">
        <w:t> </w:t>
      </w:r>
      <w:r w:rsidR="00671011">
        <w:t xml:space="preserve">7, 2015, by </w:t>
      </w:r>
      <w:r w:rsidR="00B83319">
        <w:t>AT&amp;T</w:t>
      </w:r>
      <w:r>
        <w:t xml:space="preserve"> Mobility</w:t>
      </w:r>
      <w:r w:rsidR="00B83319">
        <w:t>, CTIA, the Electric IOUs, JVSV, PCIA, the Commission’s Office of Ratepayer Advocates (</w:t>
      </w:r>
      <w:r w:rsidR="003B24B5">
        <w:t>“</w:t>
      </w:r>
      <w:r w:rsidR="00B83319">
        <w:t>ORA</w:t>
      </w:r>
      <w:r w:rsidR="003B24B5">
        <w:t>”</w:t>
      </w:r>
      <w:r w:rsidR="00B83319">
        <w:t xml:space="preserve">), SED, and TURN.  </w:t>
      </w:r>
    </w:p>
    <w:p w:rsidR="00671011" w:rsidRDefault="003634C1" w:rsidP="009A639E">
      <w:pPr>
        <w:pStyle w:val="standard"/>
      </w:pPr>
      <w:r>
        <w:t xml:space="preserve">On </w:t>
      </w:r>
      <w:r w:rsidR="00671011">
        <w:t>January 14, 2015</w:t>
      </w:r>
      <w:r>
        <w:t xml:space="preserve">, the Electric IOUs filed a motion to </w:t>
      </w:r>
      <w:r w:rsidR="00424204">
        <w:t>convene</w:t>
      </w:r>
      <w:r>
        <w:t xml:space="preserve"> additional workshops followed by an opportunity to request evidentiary hearings or alternative dispute resolution (</w:t>
      </w:r>
      <w:r w:rsidR="003B24B5">
        <w:t>“</w:t>
      </w:r>
      <w:r>
        <w:t>ADR</w:t>
      </w:r>
      <w:r w:rsidR="003B24B5">
        <w:t>”</w:t>
      </w:r>
      <w:r>
        <w:t xml:space="preserve">).  The motion was granted </w:t>
      </w:r>
      <w:r w:rsidR="00424204">
        <w:t xml:space="preserve">by the assigned ALJ in two rulings issued </w:t>
      </w:r>
      <w:r>
        <w:t xml:space="preserve">on </w:t>
      </w:r>
      <w:r w:rsidR="00106179">
        <w:t>February 6</w:t>
      </w:r>
      <w:r w:rsidR="00F9750A">
        <w:t xml:space="preserve"> and 9</w:t>
      </w:r>
      <w:r w:rsidR="00106179">
        <w:t xml:space="preserve">, 2015.  </w:t>
      </w:r>
    </w:p>
    <w:p w:rsidR="00671011" w:rsidRDefault="006E7E03" w:rsidP="009A639E">
      <w:pPr>
        <w:pStyle w:val="standard"/>
      </w:pPr>
      <w:r>
        <w:rPr>
          <w:rFonts w:eastAsia="Calibri"/>
        </w:rPr>
        <w:t xml:space="preserve">Six </w:t>
      </w:r>
      <w:r w:rsidRPr="00A83655">
        <w:rPr>
          <w:rFonts w:eastAsia="Calibri"/>
        </w:rPr>
        <w:t xml:space="preserve">days of workshops were held </w:t>
      </w:r>
      <w:r w:rsidR="00AA315F">
        <w:rPr>
          <w:rFonts w:eastAsia="Calibri"/>
        </w:rPr>
        <w:t>in</w:t>
      </w:r>
      <w:r w:rsidRPr="00A83655">
        <w:rPr>
          <w:rFonts w:eastAsia="Calibri"/>
        </w:rPr>
        <w:t xml:space="preserve"> </w:t>
      </w:r>
      <w:r>
        <w:rPr>
          <w:rFonts w:eastAsia="Calibri"/>
        </w:rPr>
        <w:t xml:space="preserve">February and March of 2015.  </w:t>
      </w:r>
      <w:r w:rsidR="008176FF">
        <w:t>On April</w:t>
      </w:r>
      <w:r w:rsidR="00611E68">
        <w:t> </w:t>
      </w:r>
      <w:r w:rsidR="008176FF">
        <w:t xml:space="preserve">17, 2015, AT&amp;T Mobility filed a workshop report on behalf of the workshop </w:t>
      </w:r>
      <w:r w:rsidR="00865AAF">
        <w:t>participants</w:t>
      </w:r>
      <w:r w:rsidR="008176FF">
        <w:t xml:space="preserve">.  </w:t>
      </w:r>
      <w:r w:rsidR="0006777A">
        <w:t>A final round of comments was filed on April</w:t>
      </w:r>
      <w:r w:rsidR="008176FF">
        <w:t> </w:t>
      </w:r>
      <w:r w:rsidR="0006777A">
        <w:t xml:space="preserve">17, 2015, by AT&amp;T, CCTA, CTIA, the Electric IOUs, SED, and TURN.  Reply comments were filed on </w:t>
      </w:r>
      <w:r w:rsidR="00E958BF">
        <w:t xml:space="preserve">April 24, 2015, by the same parties and PCIA. </w:t>
      </w:r>
    </w:p>
    <w:p w:rsidR="008504A4" w:rsidRDefault="00E958BF" w:rsidP="008504A4">
      <w:pPr>
        <w:pStyle w:val="standard"/>
      </w:pPr>
      <w:r>
        <w:lastRenderedPageBreak/>
        <w:t xml:space="preserve">On April 29, 2015, the Electric IOUs filed a motion requesting ADR.  The motion was denied in an ALJ ruling issued on May 20, 2015.  </w:t>
      </w:r>
    </w:p>
    <w:p w:rsidR="006E295F" w:rsidRDefault="006E295F" w:rsidP="008504A4">
      <w:pPr>
        <w:pStyle w:val="standard"/>
      </w:pPr>
      <w:r>
        <w:t>There were no requests for evidentiary hearings, and none were held.</w:t>
      </w:r>
    </w:p>
    <w:p w:rsidR="008504A4" w:rsidRDefault="00342DFE" w:rsidP="00A4093B">
      <w:pPr>
        <w:pStyle w:val="Heading1"/>
      </w:pPr>
      <w:bookmarkStart w:id="18" w:name="_Toc424321890"/>
      <w:bookmarkStart w:id="19" w:name="_Toc436647313"/>
      <w:r>
        <w:t>Issues</w:t>
      </w:r>
      <w:bookmarkEnd w:id="18"/>
      <w:bookmarkEnd w:id="19"/>
      <w:r w:rsidR="008504A4">
        <w:t xml:space="preserve"> </w:t>
      </w:r>
    </w:p>
    <w:p w:rsidR="004807C4" w:rsidRDefault="008C64DD" w:rsidP="004807C4">
      <w:pPr>
        <w:pStyle w:val="standard"/>
      </w:pPr>
      <w:r>
        <w:t xml:space="preserve">Below, </w:t>
      </w:r>
      <w:r w:rsidR="004807C4">
        <w:t xml:space="preserve">we first </w:t>
      </w:r>
      <w:r w:rsidR="008B314D">
        <w:t xml:space="preserve">address </w:t>
      </w:r>
      <w:r w:rsidR="00E121AA">
        <w:t xml:space="preserve">the </w:t>
      </w:r>
      <w:r w:rsidR="009A520F">
        <w:t>issue</w:t>
      </w:r>
      <w:r w:rsidR="00E121AA">
        <w:t xml:space="preserve"> of </w:t>
      </w:r>
      <w:r w:rsidR="008B314D">
        <w:t xml:space="preserve">whether </w:t>
      </w:r>
      <w:r w:rsidR="004807C4">
        <w:t>the ROW</w:t>
      </w:r>
      <w:r w:rsidR="008B314D">
        <w:t> </w:t>
      </w:r>
      <w:r w:rsidR="004807C4">
        <w:t>Rules should be amended to encompass CMRS carriers.  Next, we consider appropriate fees and charges for CMRS pole attachments</w:t>
      </w:r>
      <w:r w:rsidR="008B314D">
        <w:t xml:space="preserve">.  </w:t>
      </w:r>
      <w:r w:rsidR="00E12018">
        <w:t xml:space="preserve">Finally, we consider new </w:t>
      </w:r>
      <w:r w:rsidR="008B314D">
        <w:t xml:space="preserve">safety regulations for CMRS pole attachments.    </w:t>
      </w:r>
    </w:p>
    <w:p w:rsidR="008504A4" w:rsidRDefault="00E75FD4" w:rsidP="00214651">
      <w:pPr>
        <w:pStyle w:val="Heading2"/>
      </w:pPr>
      <w:bookmarkStart w:id="20" w:name="_Toc424321891"/>
      <w:bookmarkStart w:id="21" w:name="_Toc436647314"/>
      <w:r>
        <w:t>Extending the ROW Rules to CMRS Carriers</w:t>
      </w:r>
      <w:bookmarkEnd w:id="20"/>
      <w:bookmarkEnd w:id="21"/>
      <w:r w:rsidR="008504A4">
        <w:t xml:space="preserve"> </w:t>
      </w:r>
    </w:p>
    <w:p w:rsidR="00342DFE" w:rsidRDefault="00342DFE" w:rsidP="005719C6">
      <w:pPr>
        <w:pStyle w:val="Heading3"/>
      </w:pPr>
      <w:bookmarkStart w:id="22" w:name="_Toc424321892"/>
      <w:bookmarkStart w:id="23" w:name="_Toc436647315"/>
      <w:r>
        <w:t>Position</w:t>
      </w:r>
      <w:r w:rsidR="00762C38">
        <w:t>s</w:t>
      </w:r>
      <w:r>
        <w:t xml:space="preserve"> of the Parties</w:t>
      </w:r>
      <w:bookmarkEnd w:id="22"/>
      <w:bookmarkEnd w:id="23"/>
      <w:r>
        <w:t xml:space="preserve">  </w:t>
      </w:r>
    </w:p>
    <w:p w:rsidR="00B90E92" w:rsidRDefault="002620B4" w:rsidP="007063F4">
      <w:pPr>
        <w:pStyle w:val="standard"/>
      </w:pPr>
      <w:r>
        <w:t>Most parties support amending the ROW Rules to encompass CMRS carriers, including AT&amp;T</w:t>
      </w:r>
      <w:r w:rsidR="00EA0D54">
        <w:t xml:space="preserve"> Mobility</w:t>
      </w:r>
      <w:r>
        <w:t xml:space="preserve">, </w:t>
      </w:r>
      <w:r w:rsidR="00A0151C">
        <w:t xml:space="preserve">CCTA, </w:t>
      </w:r>
      <w:r w:rsidR="000256F5">
        <w:t>CF</w:t>
      </w:r>
      <w:r w:rsidR="0098245F">
        <w:t>C</w:t>
      </w:r>
      <w:r w:rsidR="000256F5">
        <w:t xml:space="preserve">, </w:t>
      </w:r>
      <w:r w:rsidR="00906B14">
        <w:t xml:space="preserve">CTIA, </w:t>
      </w:r>
      <w:r w:rsidR="003E45E3">
        <w:t xml:space="preserve">CWA, </w:t>
      </w:r>
      <w:r w:rsidR="00207563">
        <w:t xml:space="preserve">JVSV, </w:t>
      </w:r>
      <w:r w:rsidR="003E45E3">
        <w:t xml:space="preserve">and </w:t>
      </w:r>
      <w:r w:rsidR="0093500F">
        <w:t>PCIA</w:t>
      </w:r>
      <w:r w:rsidR="003E45E3">
        <w:t xml:space="preserve">.  </w:t>
      </w:r>
      <w:r w:rsidR="004C3780">
        <w:t>Conversely</w:t>
      </w:r>
      <w:r w:rsidR="003E45E3">
        <w:t>, t</w:t>
      </w:r>
      <w:r w:rsidR="002B2B97">
        <w:t xml:space="preserve">he Electric IOUs </w:t>
      </w:r>
      <w:r w:rsidR="002C449E">
        <w:t>submit</w:t>
      </w:r>
      <w:r w:rsidR="009E23C3">
        <w:t xml:space="preserve"> that the rapid growth of the CMRS industry </w:t>
      </w:r>
      <w:r w:rsidR="004C3780">
        <w:t>shows</w:t>
      </w:r>
      <w:r w:rsidR="009E23C3">
        <w:t xml:space="preserve"> there is no</w:t>
      </w:r>
      <w:r w:rsidR="002B2B97">
        <w:t xml:space="preserve"> need to extend the ROW</w:t>
      </w:r>
      <w:r w:rsidR="00860761">
        <w:t> </w:t>
      </w:r>
      <w:r w:rsidR="002B2B97">
        <w:t>Rules to CMRS carriers</w:t>
      </w:r>
      <w:r w:rsidR="009E23C3">
        <w:t xml:space="preserve">.  </w:t>
      </w:r>
      <w:r w:rsidR="00611E68">
        <w:t>T</w:t>
      </w:r>
      <w:r w:rsidR="009762D7" w:rsidRPr="006A50F1">
        <w:t xml:space="preserve">he </w:t>
      </w:r>
      <w:r w:rsidR="009762D7">
        <w:t>Electric</w:t>
      </w:r>
      <w:r w:rsidR="007B2C10">
        <w:t> </w:t>
      </w:r>
      <w:r w:rsidR="009762D7">
        <w:t xml:space="preserve">IOUs state </w:t>
      </w:r>
      <w:r w:rsidR="0098245F">
        <w:t xml:space="preserve">that </w:t>
      </w:r>
      <w:r w:rsidR="00AE0873">
        <w:t>the real</w:t>
      </w:r>
      <w:r w:rsidR="009762D7">
        <w:t xml:space="preserve"> </w:t>
      </w:r>
      <w:r w:rsidR="009762D7" w:rsidRPr="006A50F1">
        <w:t xml:space="preserve">issue is not about </w:t>
      </w:r>
      <w:r w:rsidR="00E2643F">
        <w:t xml:space="preserve">facilitating </w:t>
      </w:r>
      <w:r w:rsidR="00EA0D54">
        <w:t xml:space="preserve">further </w:t>
      </w:r>
      <w:r w:rsidR="00E2643F">
        <w:t>growth of the CMRS market</w:t>
      </w:r>
      <w:r w:rsidR="009762D7">
        <w:t>,</w:t>
      </w:r>
      <w:r w:rsidR="009762D7" w:rsidRPr="006A50F1">
        <w:t xml:space="preserve"> but about </w:t>
      </w:r>
      <w:r w:rsidR="003E45E3">
        <w:t xml:space="preserve">the </w:t>
      </w:r>
      <w:r w:rsidR="009762D7" w:rsidRPr="006A50F1">
        <w:t>safety and pricing</w:t>
      </w:r>
      <w:r w:rsidR="003E45E3">
        <w:t xml:space="preserve"> of CMRS pole attachments</w:t>
      </w:r>
      <w:r w:rsidR="009762D7" w:rsidRPr="006A50F1">
        <w:t xml:space="preserve">.  </w:t>
      </w:r>
      <w:r w:rsidR="007C6EBA">
        <w:t>Therefore, if the Commission does extend the R</w:t>
      </w:r>
      <w:r w:rsidR="00F0644F">
        <w:t>OW</w:t>
      </w:r>
      <w:r w:rsidR="002C449E">
        <w:t> </w:t>
      </w:r>
      <w:r w:rsidR="007C6EBA">
        <w:t>Rules to CMRS carriers, the Electric IOUs urge the Commission to adopt the Electric</w:t>
      </w:r>
      <w:r w:rsidR="0098245F">
        <w:t> </w:t>
      </w:r>
      <w:r w:rsidR="007C6EBA">
        <w:t>IOUs’ proposed safety regulations</w:t>
      </w:r>
      <w:r w:rsidR="007B2C10">
        <w:t xml:space="preserve"> and pricing proposals </w:t>
      </w:r>
      <w:r w:rsidR="007C6EBA">
        <w:t xml:space="preserve">for CMRS pole attachments.   </w:t>
      </w:r>
    </w:p>
    <w:p w:rsidR="007C6EBA" w:rsidRDefault="007B2C10" w:rsidP="007C6EBA">
      <w:pPr>
        <w:pStyle w:val="standard"/>
      </w:pPr>
      <w:r>
        <w:t xml:space="preserve">In the same vein, </w:t>
      </w:r>
      <w:r w:rsidR="00B90E92">
        <w:t xml:space="preserve">SED states </w:t>
      </w:r>
      <w:r w:rsidR="009A520F">
        <w:t xml:space="preserve">that </w:t>
      </w:r>
      <w:r w:rsidR="00B90E92">
        <w:t xml:space="preserve">the ROW Rules should </w:t>
      </w:r>
      <w:r w:rsidR="0047592E">
        <w:t xml:space="preserve">not </w:t>
      </w:r>
      <w:r w:rsidR="00B90E92">
        <w:t xml:space="preserve">be extended to CMRS carriers </w:t>
      </w:r>
      <w:r w:rsidR="0047592E">
        <w:t>unless</w:t>
      </w:r>
      <w:r w:rsidR="00B90E92">
        <w:t xml:space="preserve"> SED’s proposed safety regulations for CMRS pole attachments are adopted.</w:t>
      </w:r>
      <w:r w:rsidR="007C6EBA">
        <w:t xml:space="preserve"> </w:t>
      </w:r>
      <w:r w:rsidR="001A47A8">
        <w:t xml:space="preserve"> </w:t>
      </w:r>
      <w:r w:rsidR="007C6EBA">
        <w:t xml:space="preserve">TURN recommends that to protect ratepayers from subsidizing CMRS carriers, the Commission should set just and reasonable </w:t>
      </w:r>
      <w:r w:rsidR="00EA0D54">
        <w:t>prices</w:t>
      </w:r>
      <w:r w:rsidR="007C6EBA">
        <w:t xml:space="preserve"> for CMRS pole attachments.  </w:t>
      </w:r>
    </w:p>
    <w:p w:rsidR="00342DFE" w:rsidRDefault="00342DFE" w:rsidP="005719C6">
      <w:pPr>
        <w:pStyle w:val="Heading3"/>
      </w:pPr>
      <w:bookmarkStart w:id="24" w:name="_Toc424321893"/>
      <w:bookmarkStart w:id="25" w:name="_Toc436647316"/>
      <w:r>
        <w:lastRenderedPageBreak/>
        <w:t>Discussion</w:t>
      </w:r>
      <w:bookmarkEnd w:id="24"/>
      <w:bookmarkEnd w:id="25"/>
    </w:p>
    <w:p w:rsidR="00554C10" w:rsidRDefault="007063F4" w:rsidP="007063F4">
      <w:pPr>
        <w:pStyle w:val="standard"/>
      </w:pPr>
      <w:r>
        <w:t xml:space="preserve">We conclude that it is </w:t>
      </w:r>
      <w:r w:rsidR="007B2C10">
        <w:t xml:space="preserve">in the public interest </w:t>
      </w:r>
      <w:r>
        <w:t xml:space="preserve">to amend the </w:t>
      </w:r>
      <w:r w:rsidR="00554C10">
        <w:t>ROW</w:t>
      </w:r>
      <w:r w:rsidR="007B2C10">
        <w:t> </w:t>
      </w:r>
      <w:r w:rsidR="00554C10">
        <w:t>Rules adopted by D.98</w:t>
      </w:r>
      <w:r>
        <w:noBreakHyphen/>
      </w:r>
      <w:r w:rsidR="00554C10">
        <w:t>10</w:t>
      </w:r>
      <w:r w:rsidR="00554C10">
        <w:noBreakHyphen/>
        <w:t xml:space="preserve">058 </w:t>
      </w:r>
      <w:r w:rsidR="003E45E3">
        <w:t xml:space="preserve">to encompass </w:t>
      </w:r>
      <w:r>
        <w:t>CMRS carriers</w:t>
      </w:r>
      <w:r w:rsidR="003E45E3">
        <w:t xml:space="preserve">.  This will enable CMRS carriers to obtain nondiscriminatory access to public utility poles, ducts, conduits, and rights-of-way.  </w:t>
      </w:r>
      <w:r>
        <w:t>As we noted in OIR</w:t>
      </w:r>
      <w:r w:rsidR="00796EFC">
        <w:t> </w:t>
      </w:r>
      <w:r w:rsidR="003E45E3">
        <w:t>14-05-001</w:t>
      </w:r>
      <w:r>
        <w:t xml:space="preserve">, </w:t>
      </w:r>
      <w:r w:rsidR="00554C10">
        <w:t>CMRS</w:t>
      </w:r>
      <w:r>
        <w:t> </w:t>
      </w:r>
      <w:r w:rsidR="00554C10">
        <w:t xml:space="preserve">carriers have a right </w:t>
      </w:r>
      <w:r w:rsidR="00EA0D54">
        <w:t xml:space="preserve">to nondiscriminatory access </w:t>
      </w:r>
      <w:r w:rsidR="00554C10">
        <w:t>under federal law and FCC regulations</w:t>
      </w:r>
      <w:r w:rsidR="00EA0D54">
        <w:t>,</w:t>
      </w:r>
      <w:r w:rsidR="00554C10">
        <w:t xml:space="preserve"> except in situations where there is insufficient capacity, adverse effects on safety or reliability, and/or engineering constraints.</w:t>
      </w:r>
      <w:r w:rsidR="00554C10" w:rsidRPr="00F051AD">
        <w:rPr>
          <w:rStyle w:val="StandardFootnoteReferenceChar"/>
        </w:rPr>
        <w:footnoteReference w:id="12"/>
      </w:r>
      <w:r w:rsidR="00554C10">
        <w:t xml:space="preserve">  In D.98</w:t>
      </w:r>
      <w:r w:rsidR="00554C10">
        <w:noBreakHyphen/>
        <w:t>10</w:t>
      </w:r>
      <w:r w:rsidR="00554C10">
        <w:noBreakHyphen/>
        <w:t xml:space="preserve">058, the Commission asserted jurisdiction under federal law to regulate nondiscriminatory </w:t>
      </w:r>
      <w:r w:rsidR="007B2C10">
        <w:t>access</w:t>
      </w:r>
      <w:r w:rsidR="00554C10">
        <w:t>.</w:t>
      </w:r>
      <w:r w:rsidR="00554C10" w:rsidRPr="00F051AD">
        <w:rPr>
          <w:rStyle w:val="StandardFootnoteReferenceChar"/>
        </w:rPr>
        <w:footnoteReference w:id="13"/>
      </w:r>
      <w:r w:rsidR="00554C10">
        <w:t xml:space="preserve">  By asserting such jurisdiction, the Commission assumed the obligation to promulgate rules for nondiscriminatory </w:t>
      </w:r>
      <w:r w:rsidR="007B2C10">
        <w:t>access</w:t>
      </w:r>
      <w:r w:rsidR="00554C10">
        <w:t xml:space="preserve"> that apply to CMRS carriers.  </w:t>
      </w:r>
      <w:r w:rsidR="00B11A34">
        <w:t xml:space="preserve">Today’s decision fulfills our obligation.    </w:t>
      </w:r>
    </w:p>
    <w:p w:rsidR="00554C10" w:rsidRDefault="00554C10" w:rsidP="00554C10">
      <w:pPr>
        <w:pStyle w:val="standard"/>
      </w:pPr>
      <w:r>
        <w:t xml:space="preserve">In addition to legal considerations, </w:t>
      </w:r>
      <w:r w:rsidR="00646037">
        <w:t xml:space="preserve">we find that </w:t>
      </w:r>
      <w:r w:rsidR="00F8368B">
        <w:t>provid</w:t>
      </w:r>
      <w:r w:rsidR="00865AAF">
        <w:t>in</w:t>
      </w:r>
      <w:r w:rsidR="00F8368B">
        <w:t xml:space="preserve">g CMRS carriers with nondiscriminatory access to public utility infrastructure will help achieve the following policy objectives </w:t>
      </w:r>
      <w:r w:rsidR="009A520F">
        <w:t>established by</w:t>
      </w:r>
      <w:r w:rsidR="00F8368B">
        <w:t xml:space="preserve"> </w:t>
      </w:r>
      <w:r>
        <w:t xml:space="preserve">Pub. Util. Code </w:t>
      </w:r>
      <w:r w:rsidRPr="00D074EC">
        <w:t>§</w:t>
      </w:r>
      <w:r>
        <w:t> 709</w:t>
      </w:r>
      <w:r w:rsidR="00F8368B">
        <w:t xml:space="preserve">: </w:t>
      </w:r>
    </w:p>
    <w:p w:rsidR="00554C10" w:rsidRPr="00CD23B9" w:rsidRDefault="00554C10" w:rsidP="007B3791">
      <w:pPr>
        <w:pStyle w:val="StandardBullet"/>
      </w:pPr>
      <w:r w:rsidRPr="00CD23B9">
        <w:t>Provide affordable</w:t>
      </w:r>
      <w:r>
        <w:t xml:space="preserve">, </w:t>
      </w:r>
      <w:r w:rsidRPr="00CD23B9">
        <w:t xml:space="preserve">high quality telecommunications services to all Californians. </w:t>
      </w:r>
      <w:r>
        <w:t xml:space="preserve"> </w:t>
      </w:r>
      <w:r w:rsidRPr="00CD23B9">
        <w:t>(§ 709(a)</w:t>
      </w:r>
      <w:r>
        <w:t>.</w:t>
      </w:r>
      <w:r w:rsidRPr="00CD23B9">
        <w:t>)</w:t>
      </w:r>
    </w:p>
    <w:p w:rsidR="00554C10" w:rsidRPr="00CD23B9" w:rsidRDefault="00554C10" w:rsidP="007B3791">
      <w:pPr>
        <w:pStyle w:val="StandardBullet"/>
      </w:pPr>
      <w:r w:rsidRPr="00CD23B9">
        <w:t>Encourage the deployment of new technologies and the equitable provision of services in a way that efficiently meets consumer need</w:t>
      </w:r>
      <w:r>
        <w:t>s</w:t>
      </w:r>
      <w:r w:rsidRPr="00CD23B9">
        <w:t xml:space="preserve"> and encourages the ubiquitous availability of a wide choice of state-of-the art services. </w:t>
      </w:r>
      <w:r>
        <w:t xml:space="preserve"> </w:t>
      </w:r>
      <w:r w:rsidRPr="00CD23B9">
        <w:t>(§ 709(c)</w:t>
      </w:r>
      <w:r>
        <w:t>.</w:t>
      </w:r>
      <w:r w:rsidRPr="00CD23B9">
        <w:t>)</w:t>
      </w:r>
    </w:p>
    <w:p w:rsidR="00554C10" w:rsidRPr="00CD23B9" w:rsidRDefault="00554C10" w:rsidP="007B3791">
      <w:pPr>
        <w:pStyle w:val="StandardBullet"/>
      </w:pPr>
      <w:r w:rsidRPr="00CD23B9">
        <w:t xml:space="preserve">Bridge the digital divide by encouraging expanded access to state-of-the art technologies for rural, inner-city, low-income, and disabled Californians. </w:t>
      </w:r>
      <w:r>
        <w:t xml:space="preserve"> </w:t>
      </w:r>
      <w:r w:rsidRPr="00CD23B9">
        <w:t>(§ 709(d)</w:t>
      </w:r>
      <w:r>
        <w:t>.</w:t>
      </w:r>
      <w:r w:rsidRPr="00CD23B9">
        <w:t>)</w:t>
      </w:r>
    </w:p>
    <w:p w:rsidR="00554C10" w:rsidRPr="00CD23B9" w:rsidRDefault="00554C10" w:rsidP="007B3791">
      <w:pPr>
        <w:pStyle w:val="StandardBullet"/>
      </w:pPr>
      <w:r w:rsidRPr="00CD23B9">
        <w:t xml:space="preserve">Promote economic growth, job creation, and the substantial social benefits that result from the rapid implementation of </w:t>
      </w:r>
      <w:r w:rsidRPr="00CD23B9">
        <w:lastRenderedPageBreak/>
        <w:t>information and communications technologies by adequate investment in the necessary infrastructure.</w:t>
      </w:r>
      <w:r>
        <w:t xml:space="preserve"> </w:t>
      </w:r>
      <w:r w:rsidRPr="00CD23B9">
        <w:t xml:space="preserve"> (§ 709(e)</w:t>
      </w:r>
      <w:r>
        <w:t>.</w:t>
      </w:r>
      <w:r w:rsidRPr="00CD23B9">
        <w:t>)</w:t>
      </w:r>
    </w:p>
    <w:p w:rsidR="00554C10" w:rsidRPr="00CD23B9" w:rsidRDefault="00554C10" w:rsidP="0076535E">
      <w:pPr>
        <w:pStyle w:val="StandardBullet"/>
        <w:spacing w:after="200"/>
        <w:ind w:left="1267" w:hanging="547"/>
      </w:pPr>
      <w:r w:rsidRPr="00CD23B9">
        <w:t xml:space="preserve">Remove barriers to open and competitive markets and promote fair product and price competition in a way that encourages greater efficiency, lower prices, and more consumer choice. </w:t>
      </w:r>
      <w:r>
        <w:t xml:space="preserve"> </w:t>
      </w:r>
      <w:r w:rsidRPr="00CD23B9">
        <w:t>(§ 709(</w:t>
      </w:r>
      <w:r>
        <w:t>g</w:t>
      </w:r>
      <w:r w:rsidRPr="00CD23B9">
        <w:t>)</w:t>
      </w:r>
      <w:r>
        <w:t>.</w:t>
      </w:r>
      <w:r w:rsidRPr="00CD23B9">
        <w:t xml:space="preserve">) </w:t>
      </w:r>
    </w:p>
    <w:p w:rsidR="00554C10" w:rsidRPr="001D46A5" w:rsidRDefault="00554C10" w:rsidP="00554C10">
      <w:pPr>
        <w:pStyle w:val="standard"/>
      </w:pPr>
      <w:r>
        <w:rPr>
          <w:highlight w:val="white"/>
        </w:rPr>
        <w:t>A related and equally important goal of the State of California is the w</w:t>
      </w:r>
      <w:r w:rsidRPr="001D46A5">
        <w:rPr>
          <w:highlight w:val="white"/>
        </w:rPr>
        <w:t xml:space="preserve">idespread </w:t>
      </w:r>
      <w:r>
        <w:rPr>
          <w:highlight w:val="white"/>
        </w:rPr>
        <w:t>deployment</w:t>
      </w:r>
      <w:r w:rsidRPr="001D46A5">
        <w:rPr>
          <w:highlight w:val="white"/>
        </w:rPr>
        <w:t xml:space="preserve"> of broadband services.  </w:t>
      </w:r>
      <w:r>
        <w:t xml:space="preserve">Like electricity a century ago, broadband is a foundation for improved education, new industries, economic growth, job creation, global competitiveness, and a better way of life.  </w:t>
      </w:r>
      <w:r w:rsidRPr="00F72616">
        <w:rPr>
          <w:rFonts w:eastAsia="Calibri"/>
        </w:rPr>
        <w:t xml:space="preserve">The Commission has recognized the </w:t>
      </w:r>
      <w:r>
        <w:rPr>
          <w:rFonts w:eastAsia="Calibri"/>
        </w:rPr>
        <w:t>critical role of broadband communications in the lives of people and society at large.</w:t>
      </w:r>
      <w:r w:rsidRPr="00F051AD">
        <w:rPr>
          <w:rStyle w:val="StandardFootnoteReferenceChar"/>
        </w:rPr>
        <w:footnoteReference w:id="14"/>
      </w:r>
      <w:r w:rsidRPr="008C619A">
        <w:rPr>
          <w:szCs w:val="24"/>
        </w:rPr>
        <w:t xml:space="preserve"> </w:t>
      </w:r>
      <w:r>
        <w:rPr>
          <w:szCs w:val="24"/>
        </w:rPr>
        <w:t xml:space="preserve"> </w:t>
      </w:r>
    </w:p>
    <w:p w:rsidR="00554C10" w:rsidRDefault="00F360F0" w:rsidP="00554C10">
      <w:pPr>
        <w:pStyle w:val="standard"/>
      </w:pPr>
      <w:r>
        <w:t xml:space="preserve">We disagree with the Electric IOUs’ position </w:t>
      </w:r>
      <w:r w:rsidR="00C9259F">
        <w:t xml:space="preserve">that </w:t>
      </w:r>
      <w:r w:rsidR="003D183A">
        <w:t xml:space="preserve">the rapid growth of the CMRS industry demonstrates there is no need to </w:t>
      </w:r>
      <w:r w:rsidR="00385D51">
        <w:t xml:space="preserve">amend the ROW Rules to encompass CMRS carriers.  </w:t>
      </w:r>
      <w:r w:rsidR="002E3CB5">
        <w:t xml:space="preserve">As stated previously, </w:t>
      </w:r>
      <w:r w:rsidR="00554C10">
        <w:t xml:space="preserve">federal law requires either the FCC or the </w:t>
      </w:r>
      <w:r w:rsidR="003B24B5">
        <w:t>S</w:t>
      </w:r>
      <w:r w:rsidR="00554C10">
        <w:t xml:space="preserve">tates to regulate nondiscriminatory </w:t>
      </w:r>
      <w:r w:rsidR="007B2C10">
        <w:t>access</w:t>
      </w:r>
      <w:r w:rsidR="00492E58">
        <w:t xml:space="preserve"> </w:t>
      </w:r>
      <w:r w:rsidR="0076535E">
        <w:t xml:space="preserve">to utility infrastructure </w:t>
      </w:r>
      <w:r w:rsidR="00492E58">
        <w:t>by CMRS carriers</w:t>
      </w:r>
      <w:r w:rsidR="00554C10">
        <w:t>.</w:t>
      </w:r>
      <w:r w:rsidR="00554C10" w:rsidRPr="00F051AD">
        <w:rPr>
          <w:rStyle w:val="StandardFootnoteReferenceChar"/>
        </w:rPr>
        <w:footnoteReference w:id="15"/>
      </w:r>
      <w:r w:rsidR="00554C10">
        <w:t xml:space="preserve">  </w:t>
      </w:r>
      <w:r w:rsidR="00EA0D54">
        <w:t>W</w:t>
      </w:r>
      <w:r w:rsidR="00554C10">
        <w:t>e believe that such regulati</w:t>
      </w:r>
      <w:r w:rsidR="003B24B5">
        <w:t>on is best accomplished at the S</w:t>
      </w:r>
      <w:r w:rsidR="00554C10">
        <w:t xml:space="preserve">tate level in California so that we may tailor the regulatory framework to advance the public interest goals identified previously.  </w:t>
      </w:r>
    </w:p>
    <w:p w:rsidR="002776B6" w:rsidRDefault="0026393A" w:rsidP="00497DFA">
      <w:pPr>
        <w:pStyle w:val="standard"/>
      </w:pPr>
      <w:r>
        <w:t xml:space="preserve">Unlike the Electric IOUs, we </w:t>
      </w:r>
      <w:r w:rsidR="00F87F07">
        <w:t>believe</w:t>
      </w:r>
      <w:r>
        <w:t xml:space="preserve"> the rapid growth of the CM</w:t>
      </w:r>
      <w:r w:rsidR="00F87F07">
        <w:t>R</w:t>
      </w:r>
      <w:r>
        <w:t>S industry demonstrates that it is in the public interest to extend the ROW</w:t>
      </w:r>
      <w:r w:rsidR="00F87F07">
        <w:t> </w:t>
      </w:r>
      <w:r>
        <w:t xml:space="preserve">Rules to CMRS carriers.  </w:t>
      </w:r>
      <w:r w:rsidR="009A520F">
        <w:t xml:space="preserve">The record of this proceeding shows that use </w:t>
      </w:r>
      <w:r w:rsidR="008C64DD">
        <w:t xml:space="preserve">of wireless services </w:t>
      </w:r>
      <w:r w:rsidR="008C64DD">
        <w:lastRenderedPageBreak/>
        <w:t xml:space="preserve">has grown tremendously in recent years </w:t>
      </w:r>
      <w:r w:rsidR="009A520F">
        <w:t>with</w:t>
      </w:r>
      <w:r w:rsidR="008C64DD">
        <w:t xml:space="preserve"> no signs of slowing</w:t>
      </w:r>
      <w:r w:rsidR="00433474" w:rsidRPr="001E0A95">
        <w:t xml:space="preserve">.  </w:t>
      </w:r>
      <w:r w:rsidR="008C64DD">
        <w:t xml:space="preserve">At </w:t>
      </w:r>
      <w:r w:rsidR="00433474" w:rsidRPr="001E0A95">
        <w:t>the end of 2012, approximately one</w:t>
      </w:r>
      <w:r w:rsidR="00F360F0">
        <w:noBreakHyphen/>
      </w:r>
      <w:r w:rsidR="00433474" w:rsidRPr="001E0A95">
        <w:t>third of Californians lived in wireless-only households</w:t>
      </w:r>
      <w:r w:rsidR="005A49FB">
        <w:t xml:space="preserve">, and about </w:t>
      </w:r>
      <w:r w:rsidR="00E254CE" w:rsidRPr="005062CC">
        <w:t xml:space="preserve">70 percent of </w:t>
      </w:r>
      <w:r w:rsidR="00EA0D54">
        <w:t xml:space="preserve">all </w:t>
      </w:r>
      <w:r w:rsidR="008C64DD">
        <w:t>911</w:t>
      </w:r>
      <w:r w:rsidR="00E254CE" w:rsidRPr="005062CC">
        <w:t xml:space="preserve"> calls </w:t>
      </w:r>
      <w:r w:rsidR="005A49FB">
        <w:t>were</w:t>
      </w:r>
      <w:r w:rsidR="00E254CE" w:rsidRPr="005062CC">
        <w:t xml:space="preserve"> </w:t>
      </w:r>
      <w:r w:rsidR="005A49FB">
        <w:t>made</w:t>
      </w:r>
      <w:r w:rsidR="00E254CE" w:rsidRPr="005062CC">
        <w:t xml:space="preserve"> with a wireless device.  </w:t>
      </w:r>
      <w:r w:rsidR="00E408F6">
        <w:t xml:space="preserve">Most Californians now use </w:t>
      </w:r>
      <w:r w:rsidR="00DA3402" w:rsidRPr="00636F4E">
        <w:t>a wireless device as their primary Internet access tool.</w:t>
      </w:r>
      <w:r w:rsidR="00DA3402" w:rsidRPr="00E15E99">
        <w:rPr>
          <w:rStyle w:val="StandardFootnoteReferenceChar"/>
        </w:rPr>
        <w:footnoteReference w:id="16"/>
      </w:r>
      <w:r w:rsidR="00DA3402" w:rsidRPr="00636F4E">
        <w:t xml:space="preserve"> </w:t>
      </w:r>
      <w:r w:rsidR="00DA3402">
        <w:t xml:space="preserve"> </w:t>
      </w:r>
    </w:p>
    <w:p w:rsidR="0028035C" w:rsidRDefault="00153C4A" w:rsidP="002E3CB5">
      <w:pPr>
        <w:pStyle w:val="standard"/>
      </w:pPr>
      <w:r w:rsidRPr="005062CC">
        <w:t xml:space="preserve">The </w:t>
      </w:r>
      <w:r w:rsidR="00F87F07">
        <w:t>growing</w:t>
      </w:r>
      <w:r w:rsidRPr="005062CC">
        <w:t xml:space="preserve"> demand for </w:t>
      </w:r>
      <w:r w:rsidR="00E33A5C">
        <w:t xml:space="preserve">wireless </w:t>
      </w:r>
      <w:r w:rsidRPr="005062CC">
        <w:t xml:space="preserve">services requires </w:t>
      </w:r>
      <w:r w:rsidR="00E33A5C">
        <w:t>constant</w:t>
      </w:r>
      <w:r w:rsidRPr="005062CC">
        <w:t xml:space="preserve"> expansion and augmentation of wireless infrastructure. </w:t>
      </w:r>
      <w:r>
        <w:t xml:space="preserve"> </w:t>
      </w:r>
      <w:r w:rsidR="00E33A5C">
        <w:t xml:space="preserve">In an urban setting, </w:t>
      </w:r>
      <w:r w:rsidR="00F551B4">
        <w:t xml:space="preserve">the </w:t>
      </w:r>
      <w:r w:rsidR="00D405C6">
        <w:t>wireless</w:t>
      </w:r>
      <w:r w:rsidR="00F551B4">
        <w:t xml:space="preserve"> infrastructure must be </w:t>
      </w:r>
      <w:r w:rsidR="00D405C6">
        <w:t>particularly</w:t>
      </w:r>
      <w:r w:rsidR="00F551B4">
        <w:t xml:space="preserve"> dense in to order to provide the services demanded by the public, </w:t>
      </w:r>
      <w:r w:rsidRPr="005062CC">
        <w:t>from basic vo</w:t>
      </w:r>
      <w:r w:rsidR="00F551B4">
        <w:t>ice communications to broadband</w:t>
      </w:r>
      <w:r w:rsidRPr="005062CC">
        <w:t xml:space="preserve">. </w:t>
      </w:r>
      <w:r>
        <w:t xml:space="preserve"> </w:t>
      </w:r>
      <w:r w:rsidR="00F551B4">
        <w:t xml:space="preserve">Oftentimes, </w:t>
      </w:r>
      <w:r w:rsidRPr="005062CC">
        <w:t xml:space="preserve">the most efficient way to </w:t>
      </w:r>
      <w:r w:rsidR="00E33A5C">
        <w:t xml:space="preserve">obtain the required density is to use existing public utility infrastructure, </w:t>
      </w:r>
      <w:r w:rsidR="00F551B4">
        <w:t>especially</w:t>
      </w:r>
      <w:r w:rsidR="00E33A5C">
        <w:t xml:space="preserve"> utility poles.</w:t>
      </w:r>
      <w:r w:rsidR="002E2FE1" w:rsidRPr="00E15E99">
        <w:rPr>
          <w:rStyle w:val="StandardFootnoteReferenceChar"/>
        </w:rPr>
        <w:footnoteReference w:id="17"/>
      </w:r>
      <w:r w:rsidR="00F87F07">
        <w:t xml:space="preserve">  Providing CMRS carriers with nondiscriminatory access to utility infrastructure </w:t>
      </w:r>
      <w:r w:rsidR="00F87F07" w:rsidRPr="002E15D5">
        <w:t xml:space="preserve">will </w:t>
      </w:r>
      <w:r w:rsidR="00F87F07">
        <w:t>facilitate their</w:t>
      </w:r>
      <w:r w:rsidR="00F87F07" w:rsidRPr="002E15D5">
        <w:t xml:space="preserve"> </w:t>
      </w:r>
      <w:r w:rsidR="00F87F07">
        <w:t>ability to</w:t>
      </w:r>
      <w:r w:rsidR="00F87F07" w:rsidRPr="002E15D5">
        <w:t xml:space="preserve"> meet California’s </w:t>
      </w:r>
      <w:r w:rsidR="00657E2E">
        <w:t xml:space="preserve">expanding </w:t>
      </w:r>
      <w:r w:rsidR="00F87F07" w:rsidRPr="002E15D5">
        <w:t xml:space="preserve">demand for </w:t>
      </w:r>
      <w:r w:rsidR="00F87F07">
        <w:t>essential wireless services</w:t>
      </w:r>
      <w:r w:rsidR="00F87F07" w:rsidRPr="002E15D5">
        <w:t>.</w:t>
      </w:r>
      <w:r w:rsidR="00F87F07">
        <w:t xml:space="preserve">  </w:t>
      </w:r>
    </w:p>
    <w:p w:rsidR="00D57C9A" w:rsidRDefault="004C6FF3" w:rsidP="00D57C9A">
      <w:pPr>
        <w:pStyle w:val="standard"/>
      </w:pPr>
      <w:r>
        <w:rPr>
          <w:highlight w:val="white"/>
        </w:rPr>
        <w:t xml:space="preserve">Facilitating investment </w:t>
      </w:r>
      <w:r w:rsidR="00D57C9A">
        <w:t xml:space="preserve">in wireless infrastructure </w:t>
      </w:r>
      <w:r>
        <w:t xml:space="preserve">also </w:t>
      </w:r>
      <w:r w:rsidR="00D57C9A">
        <w:t xml:space="preserve">brings significant safety benefits </w:t>
      </w:r>
      <w:r w:rsidR="00D57C9A" w:rsidRPr="008B1D9D">
        <w:rPr>
          <w:rStyle w:val="standardChar"/>
        </w:rPr>
        <w:t>by enhancing t</w:t>
      </w:r>
      <w:r w:rsidR="00D57C9A" w:rsidRPr="008B1D9D">
        <w:t>h</w:t>
      </w:r>
      <w:r w:rsidR="00D57C9A" w:rsidRPr="008B1D9D">
        <w:rPr>
          <w:rStyle w:val="standardChar"/>
        </w:rPr>
        <w:t xml:space="preserve">e </w:t>
      </w:r>
      <w:r w:rsidR="00D57C9A">
        <w:rPr>
          <w:rStyle w:val="standardChar"/>
        </w:rPr>
        <w:t xml:space="preserve">public’s </w:t>
      </w:r>
      <w:r w:rsidR="00D57C9A" w:rsidRPr="008B1D9D">
        <w:rPr>
          <w:rStyle w:val="standardChar"/>
        </w:rPr>
        <w:t xml:space="preserve">ability </w:t>
      </w:r>
      <w:r w:rsidR="00D57C9A">
        <w:rPr>
          <w:rStyle w:val="standardChar"/>
        </w:rPr>
        <w:t xml:space="preserve">to </w:t>
      </w:r>
      <w:r w:rsidR="00657E2E">
        <w:rPr>
          <w:rStyle w:val="standardChar"/>
        </w:rPr>
        <w:t xml:space="preserve">notify </w:t>
      </w:r>
      <w:r w:rsidR="00D57C9A" w:rsidRPr="008B1D9D">
        <w:rPr>
          <w:rStyle w:val="standardChar"/>
        </w:rPr>
        <w:t xml:space="preserve">public-safety agencies </w:t>
      </w:r>
      <w:r w:rsidR="00657E2E">
        <w:rPr>
          <w:rStyle w:val="standardChar"/>
        </w:rPr>
        <w:t>of</w:t>
      </w:r>
      <w:r w:rsidR="00D57C9A" w:rsidRPr="008B1D9D">
        <w:rPr>
          <w:rStyle w:val="standardChar"/>
        </w:rPr>
        <w:t xml:space="preserve"> emergencies</w:t>
      </w:r>
      <w:r w:rsidR="00D57C9A">
        <w:rPr>
          <w:rStyle w:val="standardChar"/>
        </w:rPr>
        <w:t>,</w:t>
      </w:r>
      <w:r w:rsidR="00D57C9A" w:rsidRPr="008B1D9D">
        <w:rPr>
          <w:rStyle w:val="standardChar"/>
        </w:rPr>
        <w:t xml:space="preserve"> and </w:t>
      </w:r>
      <w:r w:rsidR="00D57C9A">
        <w:rPr>
          <w:rStyle w:val="standardChar"/>
        </w:rPr>
        <w:t xml:space="preserve">by enabling </w:t>
      </w:r>
      <w:r w:rsidR="00657E2E">
        <w:rPr>
          <w:rStyle w:val="standardChar"/>
        </w:rPr>
        <w:t>first responders to communicate with each other during emergencies</w:t>
      </w:r>
      <w:r w:rsidR="00D57C9A" w:rsidRPr="008B1D9D">
        <w:t>.</w:t>
      </w:r>
      <w:r w:rsidR="00D57C9A">
        <w:t xml:space="preserve">  Nondiscriminato</w:t>
      </w:r>
      <w:r w:rsidR="00E408F6">
        <w:t>r</w:t>
      </w:r>
      <w:r w:rsidR="00D57C9A">
        <w:t>y access to utility infrastr</w:t>
      </w:r>
      <w:r w:rsidR="00E408F6">
        <w:t>uc</w:t>
      </w:r>
      <w:r w:rsidR="00D57C9A">
        <w:t>t</w:t>
      </w:r>
      <w:r w:rsidR="00E408F6">
        <w:t>u</w:t>
      </w:r>
      <w:r w:rsidR="00D57C9A">
        <w:t xml:space="preserve">re will </w:t>
      </w:r>
      <w:r w:rsidR="00E408F6">
        <w:t xml:space="preserve">help CMRS carriers to provide and maintain a robust wireless </w:t>
      </w:r>
      <w:r w:rsidR="00E75980">
        <w:t>network</w:t>
      </w:r>
      <w:r w:rsidR="00E408F6">
        <w:t xml:space="preserve"> for </w:t>
      </w:r>
      <w:r w:rsidR="00F34BD2">
        <w:t>communicating</w:t>
      </w:r>
      <w:r w:rsidR="00E408F6">
        <w:t xml:space="preserve"> life-saving information during </w:t>
      </w:r>
      <w:r w:rsidR="003431A8">
        <w:t>emergencies</w:t>
      </w:r>
      <w:r w:rsidR="00D57C9A">
        <w:t xml:space="preserve">.  </w:t>
      </w:r>
    </w:p>
    <w:p w:rsidR="00B51E77" w:rsidRDefault="008E33A0" w:rsidP="00554C10">
      <w:pPr>
        <w:pStyle w:val="standard"/>
      </w:pPr>
      <w:r>
        <w:t xml:space="preserve">We agree with the Electric IOUs, SED, and TURN that extending the ROW Rules to </w:t>
      </w:r>
      <w:r w:rsidR="0043086D">
        <w:t xml:space="preserve">encompass </w:t>
      </w:r>
      <w:r>
        <w:t xml:space="preserve">CMRS carriers must be done in a way that </w:t>
      </w:r>
      <w:r w:rsidR="0043086D">
        <w:t>provides just and reasonable fees for CMRS pole attachments</w:t>
      </w:r>
      <w:r w:rsidR="0098245F">
        <w:t xml:space="preserve">, </w:t>
      </w:r>
      <w:r w:rsidR="0043086D">
        <w:t xml:space="preserve">and </w:t>
      </w:r>
      <w:r>
        <w:t xml:space="preserve">protects </w:t>
      </w:r>
      <w:r w:rsidR="00F360F0">
        <w:t xml:space="preserve">the safety of </w:t>
      </w:r>
      <w:r>
        <w:t>worker</w:t>
      </w:r>
      <w:r w:rsidR="00F360F0">
        <w:t>s</w:t>
      </w:r>
      <w:r>
        <w:t xml:space="preserve"> and </w:t>
      </w:r>
      <w:r w:rsidR="00F360F0">
        <w:t xml:space="preserve">the </w:t>
      </w:r>
      <w:r>
        <w:t>public.  We address these matters below.</w:t>
      </w:r>
    </w:p>
    <w:p w:rsidR="008504A4" w:rsidRDefault="00E75FD4" w:rsidP="00214651">
      <w:pPr>
        <w:pStyle w:val="Heading2"/>
      </w:pPr>
      <w:bookmarkStart w:id="26" w:name="_Toc424321894"/>
      <w:bookmarkStart w:id="27" w:name="_Toc436647317"/>
      <w:r>
        <w:lastRenderedPageBreak/>
        <w:t>Fees and Charges for CMRS Attachments</w:t>
      </w:r>
      <w:bookmarkEnd w:id="26"/>
      <w:bookmarkEnd w:id="27"/>
      <w:r>
        <w:t xml:space="preserve"> </w:t>
      </w:r>
      <w:r w:rsidR="008504A4">
        <w:t xml:space="preserve"> </w:t>
      </w:r>
    </w:p>
    <w:p w:rsidR="008E33A0" w:rsidRDefault="008E33A0" w:rsidP="005719C6">
      <w:pPr>
        <w:pStyle w:val="Heading3"/>
      </w:pPr>
      <w:bookmarkStart w:id="28" w:name="_Toc424321895"/>
      <w:bookmarkStart w:id="29" w:name="_Toc436647318"/>
      <w:r>
        <w:t>Background</w:t>
      </w:r>
      <w:bookmarkEnd w:id="28"/>
      <w:bookmarkEnd w:id="29"/>
    </w:p>
    <w:p w:rsidR="007D09D0" w:rsidRDefault="00D57C9A" w:rsidP="00324D31">
      <w:pPr>
        <w:pStyle w:val="standard"/>
      </w:pPr>
      <w:r>
        <w:t>I</w:t>
      </w:r>
      <w:r w:rsidR="00234665">
        <w:t>n D.98-10-05</w:t>
      </w:r>
      <w:r w:rsidR="005A49FB">
        <w:t>8</w:t>
      </w:r>
      <w:r>
        <w:t xml:space="preserve">, </w:t>
      </w:r>
      <w:r w:rsidR="00234665">
        <w:t>t</w:t>
      </w:r>
      <w:r w:rsidR="00632293">
        <w:t xml:space="preserve">he </w:t>
      </w:r>
      <w:r w:rsidR="005A49FB">
        <w:t xml:space="preserve">Commission directed </w:t>
      </w:r>
      <w:r w:rsidR="003431A8">
        <w:t xml:space="preserve">public utilities </w:t>
      </w:r>
      <w:r w:rsidR="00632293">
        <w:t xml:space="preserve">to negotiate </w:t>
      </w:r>
      <w:r w:rsidR="003431A8">
        <w:t xml:space="preserve">with CLECs and CATV corporations regarding </w:t>
      </w:r>
      <w:r w:rsidR="0046077D">
        <w:t xml:space="preserve">the </w:t>
      </w:r>
      <w:r w:rsidR="00632293">
        <w:t>fees and charges</w:t>
      </w:r>
      <w:r>
        <w:t xml:space="preserve"> for access to utility infrastructure</w:t>
      </w:r>
      <w:r w:rsidR="00632293">
        <w:t xml:space="preserve">.  </w:t>
      </w:r>
      <w:r w:rsidR="001D015A">
        <w:t>I</w:t>
      </w:r>
      <w:r w:rsidR="00632293">
        <w:t xml:space="preserve">f parties </w:t>
      </w:r>
      <w:r w:rsidR="005A49FB">
        <w:t xml:space="preserve">cannot </w:t>
      </w:r>
      <w:r w:rsidR="00632293">
        <w:t>agree, D.98</w:t>
      </w:r>
      <w:r w:rsidR="00234665">
        <w:noBreakHyphen/>
      </w:r>
      <w:r w:rsidR="00632293">
        <w:t>10</w:t>
      </w:r>
      <w:r w:rsidR="00234665">
        <w:noBreakHyphen/>
      </w:r>
      <w:r w:rsidR="00632293">
        <w:t xml:space="preserve">058 </w:t>
      </w:r>
      <w:r w:rsidR="009C028B">
        <w:t xml:space="preserve">authorized parties to bring their dispute to the Commission where the Commission would apply </w:t>
      </w:r>
      <w:r w:rsidR="00AC7F1C">
        <w:t xml:space="preserve">a </w:t>
      </w:r>
      <w:r w:rsidR="00632293">
        <w:t xml:space="preserve">default </w:t>
      </w:r>
      <w:r w:rsidR="00AC7F1C">
        <w:t xml:space="preserve">pricing </w:t>
      </w:r>
      <w:r w:rsidR="00D72FE7">
        <w:t>rule</w:t>
      </w:r>
      <w:r w:rsidR="00AC7F1C">
        <w:t xml:space="preserve"> consisting of three components.  </w:t>
      </w:r>
    </w:p>
    <w:p w:rsidR="00632293" w:rsidRDefault="00B05C1F" w:rsidP="00632293">
      <w:pPr>
        <w:pStyle w:val="standard"/>
      </w:pPr>
      <w:r>
        <w:t xml:space="preserve">The first component </w:t>
      </w:r>
      <w:r w:rsidR="00CD4E97">
        <w:t>is</w:t>
      </w:r>
      <w:r>
        <w:t xml:space="preserve"> </w:t>
      </w:r>
      <w:r w:rsidR="00AE0F5E">
        <w:t xml:space="preserve">a </w:t>
      </w:r>
      <w:r>
        <w:t>“make-ready charge</w:t>
      </w:r>
      <w:r w:rsidR="003431A8">
        <w:t>”</w:t>
      </w:r>
      <w:r w:rsidR="004F3417">
        <w:t xml:space="preserve"> </w:t>
      </w:r>
      <w:r w:rsidR="00D72FE7">
        <w:t>that</w:t>
      </w:r>
      <w:r w:rsidR="004F3417">
        <w:t xml:space="preserve"> consist</w:t>
      </w:r>
      <w:r w:rsidR="001D015A">
        <w:t>s</w:t>
      </w:r>
      <w:r w:rsidR="004F3417">
        <w:t xml:space="preserve"> of the </w:t>
      </w:r>
      <w:r w:rsidR="00AE0F5E">
        <w:t xml:space="preserve">actual </w:t>
      </w:r>
      <w:r w:rsidR="004F3417">
        <w:t xml:space="preserve">costs incurred by a utility to make its </w:t>
      </w:r>
      <w:r>
        <w:t>support structure</w:t>
      </w:r>
      <w:r w:rsidR="004F3417">
        <w:t>s</w:t>
      </w:r>
      <w:r>
        <w:t xml:space="preserve"> ready for attachments.  </w:t>
      </w:r>
      <w:r w:rsidR="00AE0F5E">
        <w:t xml:space="preserve">The make-ready </w:t>
      </w:r>
      <w:r w:rsidR="004F3417">
        <w:t>charge</w:t>
      </w:r>
      <w:r w:rsidR="00AE0F5E">
        <w:t xml:space="preserve"> may </w:t>
      </w:r>
      <w:r w:rsidR="00F8043D">
        <w:t>include</w:t>
      </w:r>
      <w:r w:rsidR="004F3417">
        <w:t xml:space="preserve"> </w:t>
      </w:r>
      <w:r>
        <w:t xml:space="preserve">the utility’s </w:t>
      </w:r>
      <w:r w:rsidR="004F3417">
        <w:t>costs</w:t>
      </w:r>
      <w:r>
        <w:t xml:space="preserve"> for responding to requests for space availability</w:t>
      </w:r>
      <w:r w:rsidR="004F3417">
        <w:t xml:space="preserve">; </w:t>
      </w:r>
      <w:r>
        <w:t>prepar</w:t>
      </w:r>
      <w:r w:rsidR="009E63C8">
        <w:t>ing</w:t>
      </w:r>
      <w:r>
        <w:t xml:space="preserve"> maps, drawings, </w:t>
      </w:r>
      <w:r w:rsidR="005A49FB">
        <w:t xml:space="preserve">and </w:t>
      </w:r>
      <w:r w:rsidR="004F3417">
        <w:t>engineering studies</w:t>
      </w:r>
      <w:r w:rsidR="005A49FB">
        <w:t xml:space="preserve"> </w:t>
      </w:r>
      <w:r>
        <w:t xml:space="preserve">for </w:t>
      </w:r>
      <w:r w:rsidR="009E63C8">
        <w:t xml:space="preserve">proposed </w:t>
      </w:r>
      <w:r>
        <w:t>attachment</w:t>
      </w:r>
      <w:r w:rsidR="009E63C8">
        <w:t>s</w:t>
      </w:r>
      <w:r w:rsidR="004F3417">
        <w:t>; rearranging existing facilities and attachments to make room for new attachment</w:t>
      </w:r>
      <w:r w:rsidR="00CD4E97">
        <w:t>s</w:t>
      </w:r>
      <w:r w:rsidR="001D015A">
        <w:t xml:space="preserve">; and </w:t>
      </w:r>
      <w:r w:rsidR="004F3417">
        <w:t>installing new poles, ducts, and conduit</w:t>
      </w:r>
      <w:r w:rsidR="003431A8">
        <w:t>s</w:t>
      </w:r>
      <w:r w:rsidR="004F3417">
        <w:t xml:space="preserve"> if needed to accommodate new attachment</w:t>
      </w:r>
      <w:r w:rsidR="00CD4E97">
        <w:t>s</w:t>
      </w:r>
      <w:r w:rsidR="004F3417">
        <w:t xml:space="preserve">. </w:t>
      </w:r>
      <w:r w:rsidR="00AE0F5E">
        <w:t xml:space="preserve"> The make-ready charge is authorized for CATV attachments pursuant to Pub. Util. Code § 767.5(c)(1).  In D.98</w:t>
      </w:r>
      <w:r w:rsidR="00AE0F5E">
        <w:noBreakHyphen/>
        <w:t xml:space="preserve">10-058, the Commission adopted the make-ready charge for </w:t>
      </w:r>
      <w:r w:rsidR="004F131D">
        <w:t>CLEC</w:t>
      </w:r>
      <w:r w:rsidR="00AE0F5E">
        <w:t xml:space="preserve"> attachments.  </w:t>
      </w:r>
    </w:p>
    <w:p w:rsidR="00632293" w:rsidRDefault="00FA1B47" w:rsidP="00324D31">
      <w:pPr>
        <w:pStyle w:val="standard"/>
      </w:pPr>
      <w:r>
        <w:t xml:space="preserve">The second component </w:t>
      </w:r>
      <w:r w:rsidR="00CB5463">
        <w:t xml:space="preserve">is </w:t>
      </w:r>
      <w:r>
        <w:t xml:space="preserve">an annual fee for use </w:t>
      </w:r>
      <w:r w:rsidR="00CB5463">
        <w:t xml:space="preserve">of </w:t>
      </w:r>
      <w:r w:rsidR="0025612C">
        <w:t>support structures other than poles</w:t>
      </w:r>
      <w:r w:rsidR="0053131F">
        <w:t xml:space="preserve"> (e.g., </w:t>
      </w:r>
      <w:r w:rsidR="00CB5463">
        <w:t>conduit</w:t>
      </w:r>
      <w:r w:rsidR="00D57C9A">
        <w:t>s</w:t>
      </w:r>
      <w:r w:rsidR="0053131F">
        <w:t>)</w:t>
      </w:r>
      <w:r w:rsidR="00CB5463">
        <w:t>.  Th</w:t>
      </w:r>
      <w:r w:rsidR="00003567">
        <w:t>is</w:t>
      </w:r>
      <w:r w:rsidR="00CB5463">
        <w:t xml:space="preserve"> fee is equal to </w:t>
      </w:r>
      <w:r w:rsidR="009E63C8">
        <w:t>the</w:t>
      </w:r>
      <w:r w:rsidR="00CB5463">
        <w:t xml:space="preserve"> percentage of the </w:t>
      </w:r>
      <w:r w:rsidR="009E63C8">
        <w:t xml:space="preserve">support structure that is used by the attachment multiplied by the </w:t>
      </w:r>
      <w:r w:rsidR="00CB5463">
        <w:t>utility’s annual cost</w:t>
      </w:r>
      <w:r w:rsidR="00F353B7">
        <w:noBreakHyphen/>
      </w:r>
      <w:r w:rsidR="00CB5463">
        <w:t>of</w:t>
      </w:r>
      <w:r w:rsidR="00F353B7">
        <w:noBreakHyphen/>
      </w:r>
      <w:r w:rsidR="00CB5463">
        <w:t xml:space="preserve">ownership for the support structure.  The percentage is determined by </w:t>
      </w:r>
      <w:r w:rsidR="0025612C">
        <w:t xml:space="preserve">dividing the volume or capacity of </w:t>
      </w:r>
      <w:r w:rsidR="00CB5463">
        <w:t>the support structure</w:t>
      </w:r>
      <w:r w:rsidR="000F0C2E">
        <w:t xml:space="preserve"> that is </w:t>
      </w:r>
      <w:r w:rsidR="0025612C">
        <w:t xml:space="preserve">rendered unusable by </w:t>
      </w:r>
      <w:r w:rsidR="00340113">
        <w:t xml:space="preserve">the </w:t>
      </w:r>
      <w:r w:rsidR="005F5B01">
        <w:t>attachment</w:t>
      </w:r>
      <w:r w:rsidR="0025612C">
        <w:t xml:space="preserve"> by the total usable volume or capacity</w:t>
      </w:r>
      <w:r w:rsidR="00CB5463">
        <w:t xml:space="preserve"> of the structure</w:t>
      </w:r>
      <w:r w:rsidR="0025612C">
        <w:t>.</w:t>
      </w:r>
      <w:r>
        <w:t xml:space="preserve"> </w:t>
      </w:r>
      <w:r w:rsidR="00551A88">
        <w:t xml:space="preserve"> </w:t>
      </w:r>
      <w:r w:rsidR="00AE0F5E">
        <w:t xml:space="preserve">This </w:t>
      </w:r>
      <w:r w:rsidR="001B29CF">
        <w:t xml:space="preserve">fee </w:t>
      </w:r>
      <w:r w:rsidR="00AE0F5E">
        <w:t xml:space="preserve">is </w:t>
      </w:r>
      <w:r w:rsidR="005F5B01">
        <w:t>authorized</w:t>
      </w:r>
      <w:r w:rsidR="001B29CF">
        <w:t xml:space="preserve"> for CATV attachments </w:t>
      </w:r>
      <w:r w:rsidR="00003567">
        <w:t>by</w:t>
      </w:r>
      <w:r w:rsidR="001B29CF">
        <w:t xml:space="preserve"> </w:t>
      </w:r>
      <w:r w:rsidR="00AE0F5E">
        <w:t>Pub. Util. Code § 767.5(c)(2)(B).  I</w:t>
      </w:r>
      <w:r w:rsidR="00990E90">
        <w:t>n D.98</w:t>
      </w:r>
      <w:r w:rsidR="00990E90">
        <w:noBreakHyphen/>
        <w:t>10</w:t>
      </w:r>
      <w:r w:rsidR="003431A8">
        <w:noBreakHyphen/>
      </w:r>
      <w:r w:rsidR="00990E90">
        <w:t>058</w:t>
      </w:r>
      <w:r w:rsidR="00582566">
        <w:t>,</w:t>
      </w:r>
      <w:r w:rsidR="00990E90">
        <w:t xml:space="preserve"> </w:t>
      </w:r>
      <w:r w:rsidR="00AE0F5E">
        <w:t xml:space="preserve">the Commission adopted the </w:t>
      </w:r>
      <w:r w:rsidR="001B29CF">
        <w:t xml:space="preserve">same fee </w:t>
      </w:r>
      <w:r w:rsidR="000F0C2E">
        <w:t xml:space="preserve">for </w:t>
      </w:r>
      <w:r w:rsidR="004F131D">
        <w:t>CLEC</w:t>
      </w:r>
      <w:r w:rsidR="00990E90">
        <w:t xml:space="preserve">s.  </w:t>
      </w:r>
    </w:p>
    <w:p w:rsidR="006738FB" w:rsidRDefault="006738FB" w:rsidP="00324D31">
      <w:pPr>
        <w:pStyle w:val="standard"/>
      </w:pPr>
      <w:r>
        <w:lastRenderedPageBreak/>
        <w:t xml:space="preserve">The third component is </w:t>
      </w:r>
      <w:r w:rsidR="00C951D9">
        <w:t xml:space="preserve">an annual </w:t>
      </w:r>
      <w:r w:rsidR="00F46709">
        <w:t xml:space="preserve">fee for </w:t>
      </w:r>
      <w:r w:rsidR="001651F3">
        <w:t>pole</w:t>
      </w:r>
      <w:r w:rsidR="00D72FE7">
        <w:t xml:space="preserve"> </w:t>
      </w:r>
      <w:r w:rsidR="001651F3">
        <w:t>attachment</w:t>
      </w:r>
      <w:r w:rsidR="00F46709">
        <w:t>s</w:t>
      </w:r>
      <w:r w:rsidR="00CB5463">
        <w:t>.  Th</w:t>
      </w:r>
      <w:r w:rsidR="00775FD8">
        <w:t>is</w:t>
      </w:r>
      <w:r w:rsidR="00CB5463">
        <w:t xml:space="preserve"> fee is equal </w:t>
      </w:r>
      <w:r w:rsidR="00C951D9">
        <w:t xml:space="preserve">to </w:t>
      </w:r>
      <w:r w:rsidR="00A26585" w:rsidRPr="001C738B">
        <w:t xml:space="preserve">the greater of $2.50 or 7.4% of the </w:t>
      </w:r>
      <w:r w:rsidR="001651F3">
        <w:t xml:space="preserve">utility’s </w:t>
      </w:r>
      <w:r w:rsidR="00A26585" w:rsidRPr="001C738B">
        <w:t>annual cost</w:t>
      </w:r>
      <w:r w:rsidR="000F0C2E">
        <w:t>-</w:t>
      </w:r>
      <w:r w:rsidR="00A26585" w:rsidRPr="001C738B">
        <w:t>of</w:t>
      </w:r>
      <w:r w:rsidR="000F0C2E">
        <w:t>-</w:t>
      </w:r>
      <w:r w:rsidR="00A26585" w:rsidRPr="001C738B">
        <w:t xml:space="preserve">ownership for the pole </w:t>
      </w:r>
      <w:r w:rsidR="00C951D9">
        <w:t xml:space="preserve">and supporting anchor.  </w:t>
      </w:r>
      <w:r w:rsidR="001651F3">
        <w:t xml:space="preserve">As a practical matter, the 7.4% fee is always greater than $2.50.  </w:t>
      </w:r>
      <w:r w:rsidR="00C951D9">
        <w:t>Th</w:t>
      </w:r>
      <w:r w:rsidR="001B29CF">
        <w:t xml:space="preserve">is </w:t>
      </w:r>
      <w:r w:rsidR="00D72FE7">
        <w:t xml:space="preserve">structure </w:t>
      </w:r>
      <w:r w:rsidR="001B29CF">
        <w:t xml:space="preserve">fee is </w:t>
      </w:r>
      <w:r w:rsidR="005F5B01">
        <w:t>authorized</w:t>
      </w:r>
      <w:r w:rsidR="001B29CF">
        <w:t xml:space="preserve"> for CATV pole attachments </w:t>
      </w:r>
      <w:r w:rsidR="00033A7C">
        <w:t>by</w:t>
      </w:r>
      <w:r w:rsidR="001B29CF">
        <w:t xml:space="preserve"> </w:t>
      </w:r>
      <w:r w:rsidR="00C951D9">
        <w:t>Pub. Util. Code § 767.5(c)(2)(A</w:t>
      </w:r>
      <w:r w:rsidR="00C51767">
        <w:t>)</w:t>
      </w:r>
      <w:r w:rsidR="00C951D9">
        <w:t xml:space="preserve">.  </w:t>
      </w:r>
      <w:r w:rsidR="001B29CF">
        <w:t xml:space="preserve">In </w:t>
      </w:r>
      <w:r w:rsidR="00990E90">
        <w:t>D.98</w:t>
      </w:r>
      <w:r w:rsidR="00990E90">
        <w:noBreakHyphen/>
        <w:t>10-058</w:t>
      </w:r>
      <w:r w:rsidR="001B29CF">
        <w:t xml:space="preserve">, the Commission adopted the same fee </w:t>
      </w:r>
      <w:r w:rsidR="00D72FE7">
        <w:t xml:space="preserve">structure </w:t>
      </w:r>
      <w:r w:rsidR="001B29CF">
        <w:t xml:space="preserve">for </w:t>
      </w:r>
      <w:r w:rsidR="004F131D">
        <w:t>CLEC</w:t>
      </w:r>
      <w:r w:rsidR="00990E90">
        <w:t xml:space="preserve"> pole attachments.  </w:t>
      </w:r>
      <w:r w:rsidR="001651F3">
        <w:t xml:space="preserve">The Commission </w:t>
      </w:r>
      <w:r w:rsidR="00D46CDE">
        <w:t>also</w:t>
      </w:r>
      <w:r w:rsidR="001651F3">
        <w:t xml:space="preserve"> held </w:t>
      </w:r>
      <w:r w:rsidR="005F5B01">
        <w:t xml:space="preserve">in D.98-10-058 </w:t>
      </w:r>
      <w:r w:rsidR="001651F3">
        <w:t xml:space="preserve">that </w:t>
      </w:r>
      <w:r w:rsidR="00556588">
        <w:t xml:space="preserve">a </w:t>
      </w:r>
      <w:r w:rsidR="001651F3">
        <w:t xml:space="preserve">utility </w:t>
      </w:r>
      <w:r w:rsidR="00556588">
        <w:t xml:space="preserve">may charge </w:t>
      </w:r>
      <w:r w:rsidR="001651F3">
        <w:t xml:space="preserve">a </w:t>
      </w:r>
      <w:r w:rsidR="004F131D">
        <w:t>CLEC</w:t>
      </w:r>
      <w:r w:rsidR="001651F3">
        <w:t xml:space="preserve"> pole attachment </w:t>
      </w:r>
      <w:r w:rsidR="00D72FE7">
        <w:t xml:space="preserve">more than the 7.4% annual fee </w:t>
      </w:r>
      <w:r w:rsidR="00556588">
        <w:t xml:space="preserve">if the </w:t>
      </w:r>
      <w:r w:rsidR="001651F3">
        <w:t>utility</w:t>
      </w:r>
      <w:r w:rsidR="00556588">
        <w:t xml:space="preserve"> can demonstrate that the </w:t>
      </w:r>
      <w:r w:rsidR="004F131D">
        <w:t>CLEC</w:t>
      </w:r>
      <w:r w:rsidR="00556588">
        <w:t xml:space="preserve"> attachment occup</w:t>
      </w:r>
      <w:r w:rsidR="001651F3">
        <w:t>ies</w:t>
      </w:r>
      <w:r w:rsidR="00556588">
        <w:t xml:space="preserve"> more pole space, or otherwise encumber</w:t>
      </w:r>
      <w:r w:rsidR="000F0C2E">
        <w:t>s</w:t>
      </w:r>
      <w:r w:rsidR="00556588">
        <w:t xml:space="preserve"> the pole to a greater degree, than typical CATV </w:t>
      </w:r>
      <w:r w:rsidR="00D72FE7">
        <w:t xml:space="preserve">pole </w:t>
      </w:r>
      <w:r w:rsidR="0036270C">
        <w:t>attachments</w:t>
      </w:r>
      <w:r w:rsidR="00556588">
        <w:t>.</w:t>
      </w:r>
    </w:p>
    <w:p w:rsidR="004F3417" w:rsidRDefault="001651F3" w:rsidP="00916F85">
      <w:pPr>
        <w:pStyle w:val="standard"/>
      </w:pPr>
      <w:r>
        <w:t xml:space="preserve">The </w:t>
      </w:r>
      <w:r w:rsidR="007564B9">
        <w:t>annual cost</w:t>
      </w:r>
      <w:r w:rsidR="000F0C2E">
        <w:t>-</w:t>
      </w:r>
      <w:r w:rsidR="007564B9">
        <w:t>of</w:t>
      </w:r>
      <w:r w:rsidR="000F0C2E">
        <w:t>-</w:t>
      </w:r>
      <w:r w:rsidR="007564B9">
        <w:t xml:space="preserve">ownership </w:t>
      </w:r>
      <w:r>
        <w:t>used to calculate the 7.4% pole</w:t>
      </w:r>
      <w:r w:rsidR="001B29CF">
        <w:noBreakHyphen/>
      </w:r>
      <w:r>
        <w:t xml:space="preserve">attachment fee </w:t>
      </w:r>
      <w:r w:rsidR="00990B80">
        <w:t>includes</w:t>
      </w:r>
      <w:r w:rsidR="00621C4F">
        <w:t xml:space="preserve"> </w:t>
      </w:r>
      <w:r w:rsidR="007564B9">
        <w:t xml:space="preserve">all </w:t>
      </w:r>
      <w:r w:rsidR="00556588">
        <w:t xml:space="preserve">of the utility’s </w:t>
      </w:r>
      <w:r w:rsidR="00D72FE7">
        <w:t>pole-related costs</w:t>
      </w:r>
      <w:r w:rsidR="00556588">
        <w:t xml:space="preserve">.  Such costs include </w:t>
      </w:r>
      <w:r w:rsidR="007564B9">
        <w:t>pole-related administrative</w:t>
      </w:r>
      <w:r w:rsidR="005F5B01">
        <w:t xml:space="preserve"> and </w:t>
      </w:r>
      <w:r w:rsidR="007564B9">
        <w:t>general</w:t>
      </w:r>
      <w:r w:rsidR="005F5B01">
        <w:t xml:space="preserve"> costs;</w:t>
      </w:r>
      <w:r w:rsidR="007564B9">
        <w:t xml:space="preserve"> operations and maintenance </w:t>
      </w:r>
      <w:r w:rsidR="00D91F4E">
        <w:t>costs</w:t>
      </w:r>
      <w:r w:rsidR="007564B9">
        <w:t>; straight-line depreciation; cost of capital</w:t>
      </w:r>
      <w:r w:rsidR="00D04765">
        <w:t>;</w:t>
      </w:r>
      <w:r w:rsidR="007564B9">
        <w:t xml:space="preserve"> </w:t>
      </w:r>
      <w:r w:rsidR="002A1348">
        <w:t>franchise</w:t>
      </w:r>
      <w:r w:rsidR="00D04765">
        <w:t xml:space="preserve"> fees and </w:t>
      </w:r>
      <w:r w:rsidR="007564B9">
        <w:t>taxes</w:t>
      </w:r>
      <w:r w:rsidR="00CA52CE">
        <w:t xml:space="preserve">; and offsetting credits </w:t>
      </w:r>
      <w:r w:rsidR="00E71E5B">
        <w:t xml:space="preserve">for </w:t>
      </w:r>
      <w:r w:rsidR="00CA52CE">
        <w:t>contributed capital</w:t>
      </w:r>
      <w:r w:rsidR="00E71E5B">
        <w:t xml:space="preserve"> and</w:t>
      </w:r>
      <w:r w:rsidR="00CA52CE">
        <w:t xml:space="preserve"> deferred income taxes</w:t>
      </w:r>
      <w:r w:rsidR="007564B9">
        <w:t xml:space="preserve">.  </w:t>
      </w:r>
      <w:r w:rsidR="00D41404" w:rsidRPr="001C738B">
        <w:t>The annual cost</w:t>
      </w:r>
      <w:r w:rsidR="000F0C2E">
        <w:t>-</w:t>
      </w:r>
      <w:r w:rsidR="00D41404" w:rsidRPr="001C738B">
        <w:t>of</w:t>
      </w:r>
      <w:r w:rsidR="000F0C2E">
        <w:t>-</w:t>
      </w:r>
      <w:r w:rsidR="00D41404" w:rsidRPr="001C738B">
        <w:t xml:space="preserve">ownership </w:t>
      </w:r>
      <w:r w:rsidR="007564B9">
        <w:t xml:space="preserve">is an average cost </w:t>
      </w:r>
      <w:r w:rsidR="00D46CDE">
        <w:t xml:space="preserve">for poles; it is </w:t>
      </w:r>
      <w:r w:rsidR="007564B9">
        <w:t xml:space="preserve">not pole specific.  </w:t>
      </w:r>
      <w:r w:rsidR="00E71E5B">
        <w:t>Also,</w:t>
      </w:r>
      <w:r w:rsidR="00D04765">
        <w:t xml:space="preserve"> because the annual</w:t>
      </w:r>
      <w:r w:rsidR="00D04765" w:rsidRPr="00AD7FB6">
        <w:t xml:space="preserve"> cost</w:t>
      </w:r>
      <w:r w:rsidR="00F353B7">
        <w:noBreakHyphen/>
      </w:r>
      <w:r w:rsidR="00D04765" w:rsidRPr="00AD7FB6">
        <w:t>of</w:t>
      </w:r>
      <w:r w:rsidR="00F353B7">
        <w:noBreakHyphen/>
      </w:r>
      <w:r w:rsidR="00D04765" w:rsidRPr="00AD7FB6">
        <w:t xml:space="preserve">ownership </w:t>
      </w:r>
      <w:r w:rsidR="00E71E5B">
        <w:t>can change</w:t>
      </w:r>
      <w:r w:rsidR="00D04765" w:rsidRPr="00AD7FB6">
        <w:t xml:space="preserve"> from year to year</w:t>
      </w:r>
      <w:r w:rsidR="00D04765">
        <w:t xml:space="preserve">, the annual 7.4% </w:t>
      </w:r>
      <w:r w:rsidR="005F5B01">
        <w:t>pole</w:t>
      </w:r>
      <w:r w:rsidR="00F353B7">
        <w:noBreakHyphen/>
      </w:r>
      <w:r w:rsidR="000F0C2E">
        <w:t xml:space="preserve">attachment </w:t>
      </w:r>
      <w:r w:rsidR="00D04765">
        <w:t xml:space="preserve">fee may </w:t>
      </w:r>
      <w:r w:rsidR="00D46CDE">
        <w:t xml:space="preserve">likewise </w:t>
      </w:r>
      <w:r w:rsidR="00E71E5B">
        <w:t xml:space="preserve">change </w:t>
      </w:r>
      <w:r w:rsidR="00D04765" w:rsidRPr="00AD7FB6">
        <w:t>from year to year</w:t>
      </w:r>
      <w:r w:rsidR="00D04765">
        <w:t xml:space="preserve">.  </w:t>
      </w:r>
    </w:p>
    <w:p w:rsidR="00D2592B" w:rsidRDefault="00F8043D" w:rsidP="00004B61">
      <w:pPr>
        <w:pStyle w:val="standard"/>
      </w:pPr>
      <w:r>
        <w:t>The 7.4% pole</w:t>
      </w:r>
      <w:r w:rsidR="007564B9">
        <w:noBreakHyphen/>
      </w:r>
      <w:r>
        <w:t xml:space="preserve">attachment fee is based on a hypothetical 37.5-foot utility pole, with six feet underground and 31.5 feet above ground.  The above-ground portion of the pole is divided into </w:t>
      </w:r>
      <w:r w:rsidR="007564B9">
        <w:t>“</w:t>
      </w:r>
      <w:r>
        <w:t>common</w:t>
      </w:r>
      <w:r w:rsidR="007564B9">
        <w:t>”</w:t>
      </w:r>
      <w:r>
        <w:t xml:space="preserve"> space and </w:t>
      </w:r>
      <w:r w:rsidR="007564B9">
        <w:t>“</w:t>
      </w:r>
      <w:r>
        <w:t>usable</w:t>
      </w:r>
      <w:r w:rsidR="007564B9">
        <w:t>”</w:t>
      </w:r>
      <w:r>
        <w:t xml:space="preserve"> space.  The common space is the first 18 feet above ground level where cables and wires are not allowed pursuant to General Order 95 (with certain exceptions not relevant here).  The usable space is the top 13.5 feet of the pole</w:t>
      </w:r>
      <w:r w:rsidR="00D2592B">
        <w:t xml:space="preserve"> where communication </w:t>
      </w:r>
      <w:r w:rsidR="00D2592B">
        <w:lastRenderedPageBreak/>
        <w:t xml:space="preserve">wires, CATV cables, </w:t>
      </w:r>
      <w:r w:rsidR="00EF18DF">
        <w:t xml:space="preserve">and </w:t>
      </w:r>
      <w:r w:rsidR="00D2592B">
        <w:t>electric power lines</w:t>
      </w:r>
      <w:r w:rsidR="0036270C">
        <w:t xml:space="preserve"> </w:t>
      </w:r>
      <w:r w:rsidR="00D2592B">
        <w:t>are attached.</w:t>
      </w:r>
      <w:r w:rsidR="00125DFB">
        <w:rPr>
          <w:rStyle w:val="FootnoteReference"/>
        </w:rPr>
        <w:footnoteReference w:id="18"/>
      </w:r>
      <w:r w:rsidR="00D2592B">
        <w:t xml:space="preserve"> </w:t>
      </w:r>
      <w:r>
        <w:t xml:space="preserve"> </w:t>
      </w:r>
      <w:r w:rsidR="00D2592B">
        <w:t>The 7.4% </w:t>
      </w:r>
      <w:r w:rsidR="0036270C">
        <w:t xml:space="preserve">annual </w:t>
      </w:r>
      <w:r w:rsidR="00D2592B">
        <w:t xml:space="preserve">fee is based on the </w:t>
      </w:r>
      <w:r w:rsidR="00EF18DF">
        <w:t xml:space="preserve">assumption that a </w:t>
      </w:r>
      <w:r w:rsidR="004F131D">
        <w:t>CLEC</w:t>
      </w:r>
      <w:r w:rsidR="00EF18DF">
        <w:t xml:space="preserve"> or CATV </w:t>
      </w:r>
      <w:r w:rsidR="0046077D">
        <w:t xml:space="preserve">pole </w:t>
      </w:r>
      <w:r w:rsidR="00F353B7">
        <w:t>attachment occupies one </w:t>
      </w:r>
      <w:r w:rsidR="00EF18DF">
        <w:t xml:space="preserve">foot of the </w:t>
      </w:r>
      <w:r w:rsidR="00D2592B">
        <w:t>13.5</w:t>
      </w:r>
      <w:r w:rsidR="0046077D">
        <w:t> </w:t>
      </w:r>
      <w:r w:rsidR="00D2592B">
        <w:t xml:space="preserve">feet of total usable space (i.e., </w:t>
      </w:r>
      <w:r w:rsidR="00EF18DF">
        <w:t>7.4% =</w:t>
      </w:r>
      <w:r w:rsidR="0036270C">
        <w:t xml:space="preserve"> </w:t>
      </w:r>
      <w:r w:rsidR="00D2592B">
        <w:t>1 </w:t>
      </w:r>
      <w:r w:rsidR="00D2592B" w:rsidRPr="00C4492F">
        <w:t>÷</w:t>
      </w:r>
      <w:r w:rsidR="00D2592B">
        <w:t xml:space="preserve"> 13.5).  </w:t>
      </w:r>
    </w:p>
    <w:p w:rsidR="00D2592B" w:rsidRDefault="00F8043D" w:rsidP="00004B61">
      <w:pPr>
        <w:pStyle w:val="standard"/>
      </w:pPr>
      <w:r>
        <w:t>For joint</w:t>
      </w:r>
      <w:r>
        <w:noBreakHyphen/>
        <w:t xml:space="preserve">use poles, the </w:t>
      </w:r>
      <w:r w:rsidR="0046077D">
        <w:t>top</w:t>
      </w:r>
      <w:r>
        <w:t xml:space="preserve"> portion of the usable space is reserved for electric utility facilities, and the lower portion for communication and </w:t>
      </w:r>
      <w:r w:rsidR="007B1054">
        <w:t>CATV</w:t>
      </w:r>
      <w:r>
        <w:t xml:space="preserve"> facilities.  Attachments in the usable space must be separated from </w:t>
      </w:r>
      <w:r w:rsidR="007564B9">
        <w:t>each</w:t>
      </w:r>
      <w:r>
        <w:t xml:space="preserve"> other by the mandatory safety clearances specified in </w:t>
      </w:r>
      <w:r w:rsidR="007564B9">
        <w:t xml:space="preserve">General Order </w:t>
      </w:r>
      <w:r>
        <w:t>95</w:t>
      </w:r>
      <w:r w:rsidR="0036270C">
        <w:t xml:space="preserve"> (</w:t>
      </w:r>
      <w:r w:rsidR="00D72FE7">
        <w:t>“</w:t>
      </w:r>
      <w:r w:rsidR="0036270C">
        <w:t>GO 95</w:t>
      </w:r>
      <w:r w:rsidR="00D72FE7">
        <w:t>”</w:t>
      </w:r>
      <w:r w:rsidR="0036270C">
        <w:t>)</w:t>
      </w:r>
      <w:r>
        <w:t xml:space="preserve">.  </w:t>
      </w:r>
    </w:p>
    <w:p w:rsidR="008E33A0" w:rsidRDefault="00C05FC5" w:rsidP="005719C6">
      <w:pPr>
        <w:pStyle w:val="Heading3"/>
      </w:pPr>
      <w:bookmarkStart w:id="30" w:name="_Toc424321896"/>
      <w:bookmarkStart w:id="31" w:name="_Toc436647319"/>
      <w:r>
        <w:t xml:space="preserve">Positions of the </w:t>
      </w:r>
      <w:r w:rsidR="0068308E">
        <w:t>Parties</w:t>
      </w:r>
      <w:bookmarkEnd w:id="30"/>
      <w:bookmarkEnd w:id="31"/>
    </w:p>
    <w:p w:rsidR="009B3C4A" w:rsidRDefault="0068308E" w:rsidP="008E33A0">
      <w:pPr>
        <w:pStyle w:val="standard"/>
      </w:pPr>
      <w:r>
        <w:t>With one exception, the parties agree that the fees and charges adopted by D.98</w:t>
      </w:r>
      <w:r w:rsidR="00BD06C9">
        <w:noBreakHyphen/>
      </w:r>
      <w:r>
        <w:t xml:space="preserve">10-058 </w:t>
      </w:r>
      <w:r w:rsidR="00B251AC">
        <w:t xml:space="preserve">for access to utility support structures </w:t>
      </w:r>
      <w:r>
        <w:t xml:space="preserve">should apply to CMRS </w:t>
      </w:r>
      <w:r w:rsidR="009F0066">
        <w:t>carriers</w:t>
      </w:r>
      <w:r>
        <w:t>.  The one exception concerns the 7.4%</w:t>
      </w:r>
      <w:r w:rsidR="000F0C2E">
        <w:t> </w:t>
      </w:r>
      <w:r w:rsidR="00D72FE7">
        <w:t xml:space="preserve">annual </w:t>
      </w:r>
      <w:r w:rsidR="0036270C">
        <w:t>pole</w:t>
      </w:r>
      <w:r w:rsidR="000F0C2E">
        <w:t>-</w:t>
      </w:r>
      <w:r w:rsidR="0036270C">
        <w:t xml:space="preserve">attachment </w:t>
      </w:r>
      <w:r w:rsidR="000F0C2E">
        <w:t xml:space="preserve">fee.  </w:t>
      </w:r>
      <w:r w:rsidR="003D2CF8">
        <w:t>T</w:t>
      </w:r>
      <w:r w:rsidR="009B3C4A">
        <w:t xml:space="preserve">he parties’ positions coalesced around </w:t>
      </w:r>
      <w:r w:rsidR="008F72D7">
        <w:t xml:space="preserve">two proposals for applying the 7.4% fee to CMRS </w:t>
      </w:r>
      <w:r w:rsidR="00A327FC">
        <w:t xml:space="preserve">pole </w:t>
      </w:r>
      <w:r w:rsidR="008F72D7">
        <w:t>attachments</w:t>
      </w:r>
      <w:r w:rsidR="009B3C4A">
        <w:t xml:space="preserve">.  One proposal was advanced </w:t>
      </w:r>
      <w:r w:rsidR="008F72D7">
        <w:t xml:space="preserve">by </w:t>
      </w:r>
      <w:r w:rsidR="000F0C2E">
        <w:t>AT&amp;T Mobility</w:t>
      </w:r>
      <w:r w:rsidR="008F72D7">
        <w:t>, and the second by the Electric</w:t>
      </w:r>
      <w:r w:rsidR="00B13E9D">
        <w:t> </w:t>
      </w:r>
      <w:r w:rsidR="008F72D7">
        <w:t>IOUs</w:t>
      </w:r>
      <w:r w:rsidR="009B3C4A">
        <w:t xml:space="preserve"> and TURN</w:t>
      </w:r>
      <w:r w:rsidR="008F72D7">
        <w:t xml:space="preserve">.  </w:t>
      </w:r>
    </w:p>
    <w:p w:rsidR="003A1518" w:rsidRDefault="00B517C6" w:rsidP="007409AC">
      <w:pPr>
        <w:pStyle w:val="standard"/>
      </w:pPr>
      <w:r>
        <w:t>AT&amp;T Mobility</w:t>
      </w:r>
      <w:r w:rsidR="0065379F">
        <w:t>’s proposal would apply</w:t>
      </w:r>
      <w:r w:rsidR="00F32179">
        <w:t>,</w:t>
      </w:r>
      <w:r w:rsidR="0065379F">
        <w:t xml:space="preserve"> the 7.4% fee to </w:t>
      </w:r>
      <w:r w:rsidR="0036270C">
        <w:t xml:space="preserve">each foot of </w:t>
      </w:r>
      <w:r w:rsidR="0065379F">
        <w:t xml:space="preserve">usable </w:t>
      </w:r>
      <w:r w:rsidR="00D72FE7">
        <w:t xml:space="preserve">pole </w:t>
      </w:r>
      <w:r w:rsidR="0065379F">
        <w:t xml:space="preserve">space </w:t>
      </w:r>
      <w:r w:rsidR="0036270C">
        <w:t xml:space="preserve">that is </w:t>
      </w:r>
      <w:r w:rsidR="0065379F">
        <w:t xml:space="preserve">physically occupied by </w:t>
      </w:r>
      <w:r w:rsidR="00F833AE">
        <w:t>a</w:t>
      </w:r>
      <w:r w:rsidR="0065379F">
        <w:t xml:space="preserve"> CMRS attachment</w:t>
      </w:r>
      <w:r w:rsidR="003A1518">
        <w:t>.</w:t>
      </w:r>
      <w:r w:rsidR="0065379F">
        <w:t xml:space="preserve">  For example, if a CMRS carrier attache</w:t>
      </w:r>
      <w:r w:rsidR="005C14E1">
        <w:t>s</w:t>
      </w:r>
      <w:r w:rsidR="0065379F">
        <w:t xml:space="preserve"> </w:t>
      </w:r>
      <w:r w:rsidR="0036270C">
        <w:t>a</w:t>
      </w:r>
      <w:r w:rsidR="005F5B01">
        <w:t xml:space="preserve"> 4-foot panel </w:t>
      </w:r>
      <w:r w:rsidR="0065379F">
        <w:t xml:space="preserve">antenna </w:t>
      </w:r>
      <w:r w:rsidR="00F833AE">
        <w:t xml:space="preserve">to a </w:t>
      </w:r>
      <w:r w:rsidR="0065379F">
        <w:t xml:space="preserve">pole using a </w:t>
      </w:r>
      <w:r w:rsidR="0068308E">
        <w:t>2</w:t>
      </w:r>
      <w:r w:rsidR="002501BA">
        <w:noBreakHyphen/>
      </w:r>
      <w:r w:rsidR="0065379F">
        <w:t xml:space="preserve">foot </w:t>
      </w:r>
      <w:r w:rsidR="0036270C">
        <w:t xml:space="preserve">attachment </w:t>
      </w:r>
      <w:r w:rsidR="0065379F">
        <w:t>bracket</w:t>
      </w:r>
      <w:r w:rsidR="00EE4BDD">
        <w:t xml:space="preserve">, the annual fee would be </w:t>
      </w:r>
      <w:r w:rsidR="0068308E">
        <w:t>14.8% (</w:t>
      </w:r>
      <w:r w:rsidR="00EE4BDD">
        <w:t>7.4%</w:t>
      </w:r>
      <w:r w:rsidR="000A116C">
        <w:t xml:space="preserve"> x 2 feet</w:t>
      </w:r>
      <w:r w:rsidR="0068308E">
        <w:t>)</w:t>
      </w:r>
      <w:r w:rsidR="00EE4BDD">
        <w:t xml:space="preserve">.  </w:t>
      </w:r>
      <w:r w:rsidR="003A1518" w:rsidRPr="005273EA">
        <w:t xml:space="preserve">  </w:t>
      </w:r>
    </w:p>
    <w:p w:rsidR="00C96251" w:rsidRDefault="00C96251" w:rsidP="00C96251">
      <w:pPr>
        <w:pStyle w:val="standard"/>
      </w:pPr>
      <w:r>
        <w:t xml:space="preserve">Importantly, under </w:t>
      </w:r>
      <w:r w:rsidR="00B517C6">
        <w:t>AT&amp;T Mobility</w:t>
      </w:r>
      <w:r>
        <w:t>’s proposal</w:t>
      </w:r>
      <w:r w:rsidR="005C2349">
        <w:t>,</w:t>
      </w:r>
      <w:r>
        <w:t xml:space="preserve"> the 7.4% </w:t>
      </w:r>
      <w:r w:rsidR="00F833AE">
        <w:t>annual</w:t>
      </w:r>
      <w:r>
        <w:t xml:space="preserve"> fee would apply only to CMRS attachments in a pole’s usable space.  The 7.4% fee would not apply to CMRS attachments in the common space of a utility pole, mandatory safety clearances between CMRS attachments and other pole attachments, or to CMRS risers and conduits attached to a pole.  </w:t>
      </w:r>
    </w:p>
    <w:p w:rsidR="004D1AB8" w:rsidRDefault="00FC611E" w:rsidP="00FC611E">
      <w:pPr>
        <w:pStyle w:val="standard"/>
      </w:pPr>
      <w:r>
        <w:lastRenderedPageBreak/>
        <w:t xml:space="preserve">AT&amp;T </w:t>
      </w:r>
      <w:r w:rsidR="00391A40">
        <w:t xml:space="preserve">Mobility </w:t>
      </w:r>
      <w:r w:rsidR="00221999">
        <w:t xml:space="preserve">believes </w:t>
      </w:r>
      <w:r>
        <w:t xml:space="preserve">its proposal is nondiscriminatory because </w:t>
      </w:r>
      <w:r w:rsidR="0036270C">
        <w:t>it</w:t>
      </w:r>
      <w:r w:rsidR="00B517C6">
        <w:t xml:space="preserve"> </w:t>
      </w:r>
      <w:r>
        <w:t xml:space="preserve">applies to CMRS pole attachments the same 7.4% </w:t>
      </w:r>
      <w:r w:rsidR="00F833AE">
        <w:t xml:space="preserve">annual </w:t>
      </w:r>
      <w:r>
        <w:t xml:space="preserve">fee that is mandated by Pub. Util. Code </w:t>
      </w:r>
      <w:r w:rsidRPr="00C4492F">
        <w:t>§</w:t>
      </w:r>
      <w:r>
        <w:t xml:space="preserve"> 767.5(c)(2)(A) for </w:t>
      </w:r>
      <w:r w:rsidR="004510D8">
        <w:t>CATV</w:t>
      </w:r>
      <w:r>
        <w:t xml:space="preserve"> </w:t>
      </w:r>
      <w:r w:rsidR="00F833AE">
        <w:t xml:space="preserve">pole </w:t>
      </w:r>
      <w:r>
        <w:t>attachments and adopted by D.98</w:t>
      </w:r>
      <w:r w:rsidR="00F833AE">
        <w:noBreakHyphen/>
      </w:r>
      <w:r>
        <w:t xml:space="preserve">10-058 for </w:t>
      </w:r>
      <w:r w:rsidR="004F131D">
        <w:t>CLEC</w:t>
      </w:r>
      <w:r>
        <w:t xml:space="preserve"> </w:t>
      </w:r>
      <w:r w:rsidR="00F833AE">
        <w:t xml:space="preserve">pole </w:t>
      </w:r>
      <w:r>
        <w:t xml:space="preserve">attachments.  </w:t>
      </w:r>
      <w:r w:rsidR="00F833AE">
        <w:t>The only new feature of AT&amp;T</w:t>
      </w:r>
      <w:r w:rsidR="00391A40">
        <w:t> Mobility</w:t>
      </w:r>
      <w:r w:rsidR="00F833AE">
        <w:t>’s proposal is that if</w:t>
      </w:r>
      <w:r w:rsidR="004D1AB8">
        <w:t xml:space="preserve"> a CMRS attachment occupies more than 1 foot of usable pole space</w:t>
      </w:r>
      <w:r w:rsidR="00AB2ABC">
        <w:t xml:space="preserve">, </w:t>
      </w:r>
      <w:r w:rsidR="00F833AE">
        <w:t xml:space="preserve">the </w:t>
      </w:r>
      <w:r w:rsidR="004D1AB8">
        <w:t xml:space="preserve">7.4% fee </w:t>
      </w:r>
      <w:r w:rsidR="00391A40">
        <w:t xml:space="preserve">would apply </w:t>
      </w:r>
      <w:r w:rsidR="00F833AE">
        <w:t>to</w:t>
      </w:r>
      <w:r w:rsidR="004D1AB8">
        <w:t xml:space="preserve"> eac</w:t>
      </w:r>
      <w:r w:rsidR="00AB2ABC">
        <w:t>h</w:t>
      </w:r>
      <w:r w:rsidR="004D1AB8">
        <w:t xml:space="preserve"> additional foot</w:t>
      </w:r>
      <w:r w:rsidR="00624142">
        <w:t xml:space="preserve"> of occupied usable space</w:t>
      </w:r>
      <w:r w:rsidR="00AB2ABC">
        <w:t>.</w:t>
      </w:r>
      <w:r w:rsidR="004D1AB8">
        <w:t xml:space="preserve"> </w:t>
      </w:r>
    </w:p>
    <w:p w:rsidR="00AC1A6E" w:rsidRDefault="00B517C6" w:rsidP="008E33A0">
      <w:pPr>
        <w:pStyle w:val="standard"/>
      </w:pPr>
      <w:r>
        <w:t>AT&amp;T Mobility</w:t>
      </w:r>
      <w:r w:rsidR="00B13E9D">
        <w:t xml:space="preserve">’s proposal is supported by </w:t>
      </w:r>
      <w:r w:rsidR="006D54F0">
        <w:t xml:space="preserve">CCTA, </w:t>
      </w:r>
      <w:r w:rsidR="005B6CB7">
        <w:t xml:space="preserve">CTIA, </w:t>
      </w:r>
      <w:r w:rsidR="009421BC">
        <w:t xml:space="preserve">JVSV, </w:t>
      </w:r>
      <w:r w:rsidR="0088767B">
        <w:t xml:space="preserve">and </w:t>
      </w:r>
      <w:r w:rsidR="0098643F">
        <w:t>PCIA</w:t>
      </w:r>
      <w:r w:rsidR="00A718C1">
        <w:t>.</w:t>
      </w:r>
    </w:p>
    <w:p w:rsidR="00A718C1" w:rsidRDefault="00A718C1" w:rsidP="008E33A0">
      <w:pPr>
        <w:pStyle w:val="standard"/>
      </w:pPr>
      <w:r>
        <w:t xml:space="preserve">The Electric IOUs </w:t>
      </w:r>
      <w:r w:rsidR="0059345D">
        <w:t xml:space="preserve">and TURN </w:t>
      </w:r>
      <w:r>
        <w:t xml:space="preserve">submitted </w:t>
      </w:r>
      <w:r w:rsidR="00F833AE">
        <w:t>separate</w:t>
      </w:r>
      <w:r>
        <w:t xml:space="preserve"> proposal</w:t>
      </w:r>
      <w:r w:rsidR="00F833AE">
        <w:t>s</w:t>
      </w:r>
      <w:r>
        <w:t xml:space="preserve"> </w:t>
      </w:r>
      <w:r w:rsidR="004D1AB8">
        <w:t xml:space="preserve">for applying the 7.4% fee to CMRS </w:t>
      </w:r>
      <w:r w:rsidR="0036270C">
        <w:t xml:space="preserve">pole </w:t>
      </w:r>
      <w:r w:rsidR="004D1AB8">
        <w:t>attachments</w:t>
      </w:r>
      <w:r>
        <w:t xml:space="preserve">.  Because </w:t>
      </w:r>
      <w:r w:rsidR="0036270C">
        <w:t>their</w:t>
      </w:r>
      <w:r>
        <w:t xml:space="preserve"> proposals are </w:t>
      </w:r>
      <w:r w:rsidR="00A327FC">
        <w:t>similar</w:t>
      </w:r>
      <w:r>
        <w:t>, the</w:t>
      </w:r>
      <w:r w:rsidR="0036270C">
        <w:t xml:space="preserve"> two proposals </w:t>
      </w:r>
      <w:r>
        <w:t xml:space="preserve">will be treated as a single proposal </w:t>
      </w:r>
      <w:r w:rsidR="006961A9">
        <w:t xml:space="preserve">by today’s decision </w:t>
      </w:r>
      <w:r>
        <w:t>(</w:t>
      </w:r>
      <w:r w:rsidR="004D1AB8">
        <w:t>hereafter, “</w:t>
      </w:r>
      <w:r>
        <w:t xml:space="preserve">the Electric IOU/TURN proposal”).  </w:t>
      </w:r>
      <w:r w:rsidR="00A504B2">
        <w:t xml:space="preserve">The major features of the proposal are: </w:t>
      </w:r>
    </w:p>
    <w:p w:rsidR="00A504B2" w:rsidRDefault="00B95C4D" w:rsidP="007B3791">
      <w:pPr>
        <w:pStyle w:val="StandardBullet"/>
      </w:pPr>
      <w:r>
        <w:t xml:space="preserve">For CMRS antennas installed </w:t>
      </w:r>
      <w:r w:rsidR="003F0773">
        <w:t xml:space="preserve">in </w:t>
      </w:r>
      <w:r w:rsidR="005F5B01">
        <w:t>a</w:t>
      </w:r>
      <w:r w:rsidR="003F0773">
        <w:t xml:space="preserve"> </w:t>
      </w:r>
      <w:r w:rsidR="0036270C">
        <w:t xml:space="preserve">pole’s </w:t>
      </w:r>
      <w:r w:rsidR="003F0773">
        <w:t xml:space="preserve">usable space </w:t>
      </w:r>
      <w:r>
        <w:t xml:space="preserve">below power lines, the 7.4% attachment fee would apply to </w:t>
      </w:r>
      <w:r w:rsidR="005F5B01">
        <w:t xml:space="preserve">each </w:t>
      </w:r>
      <w:r w:rsidR="00025F33">
        <w:t xml:space="preserve">vertical </w:t>
      </w:r>
      <w:r w:rsidR="005F5B01">
        <w:t xml:space="preserve">foot </w:t>
      </w:r>
      <w:r w:rsidR="00025F33">
        <w:t>of t</w:t>
      </w:r>
      <w:r>
        <w:t xml:space="preserve">he antenna.  </w:t>
      </w:r>
      <w:r w:rsidR="003F0773">
        <w:t xml:space="preserve">For example, assuming a </w:t>
      </w:r>
      <w:r w:rsidR="006961A9">
        <w:t>4</w:t>
      </w:r>
      <w:r w:rsidR="003F0773">
        <w:t>-foot panel antenna</w:t>
      </w:r>
      <w:r w:rsidR="00025F33">
        <w:t xml:space="preserve"> </w:t>
      </w:r>
      <w:r w:rsidR="00255CFB">
        <w:t xml:space="preserve">is attached to a pole with a 2-foot bracket, </w:t>
      </w:r>
      <w:r w:rsidR="003F0773">
        <w:t xml:space="preserve">the total fee </w:t>
      </w:r>
      <w:r w:rsidR="005F5B01">
        <w:t>would be</w:t>
      </w:r>
      <w:r w:rsidR="003F0773">
        <w:t xml:space="preserve"> </w:t>
      </w:r>
      <w:r w:rsidR="005F5B01">
        <w:t>2</w:t>
      </w:r>
      <w:r w:rsidR="00255CFB">
        <w:t>9</w:t>
      </w:r>
      <w:r w:rsidR="006961A9">
        <w:t>.</w:t>
      </w:r>
      <w:r w:rsidR="00255CFB">
        <w:t>6</w:t>
      </w:r>
      <w:r w:rsidR="002F4E9D">
        <w:t>% (</w:t>
      </w:r>
      <w:r w:rsidR="003F0773">
        <w:t>7.4%</w:t>
      </w:r>
      <w:r w:rsidR="00A327FC">
        <w:t> x</w:t>
      </w:r>
      <w:r w:rsidR="00F833AE">
        <w:t> </w:t>
      </w:r>
      <w:r w:rsidR="00255CFB">
        <w:t>4</w:t>
      </w:r>
      <w:r w:rsidR="00A327FC">
        <w:t> feet</w:t>
      </w:r>
      <w:r w:rsidR="002F4E9D">
        <w:t>)</w:t>
      </w:r>
      <w:r w:rsidR="003F0773">
        <w:t xml:space="preserve">.  </w:t>
      </w:r>
      <w:r w:rsidR="006961A9">
        <w:t>In</w:t>
      </w:r>
      <w:r w:rsidR="003F0773">
        <w:t xml:space="preserve"> contrast, </w:t>
      </w:r>
      <w:r w:rsidR="005F5B01">
        <w:t xml:space="preserve">the total fee under </w:t>
      </w:r>
      <w:r w:rsidR="00B517C6">
        <w:t>AT&amp;T</w:t>
      </w:r>
      <w:r w:rsidR="005F5B01">
        <w:t> </w:t>
      </w:r>
      <w:r w:rsidR="00B517C6">
        <w:t>Mobility</w:t>
      </w:r>
      <w:r w:rsidR="003F0773">
        <w:t xml:space="preserve">’s proposal would </w:t>
      </w:r>
      <w:r w:rsidR="005F5B01">
        <w:t xml:space="preserve">be </w:t>
      </w:r>
      <w:r w:rsidR="009471EE">
        <w:t>14</w:t>
      </w:r>
      <w:r w:rsidR="003F0773">
        <w:t>.</w:t>
      </w:r>
      <w:r w:rsidR="009471EE">
        <w:t>8</w:t>
      </w:r>
      <w:r w:rsidR="003F0773">
        <w:t xml:space="preserve">% for the </w:t>
      </w:r>
      <w:r w:rsidR="009471EE">
        <w:t>2-foot attachment bracket</w:t>
      </w:r>
      <w:r w:rsidR="003F0773">
        <w:t>.</w:t>
      </w:r>
    </w:p>
    <w:p w:rsidR="006805FB" w:rsidRDefault="006805FB" w:rsidP="007B3791">
      <w:pPr>
        <w:pStyle w:val="StandardBullet"/>
      </w:pPr>
      <w:r>
        <w:t xml:space="preserve">For CMRS antennas installed in </w:t>
      </w:r>
      <w:r w:rsidR="005F5B01">
        <w:t>a</w:t>
      </w:r>
      <w:r>
        <w:t xml:space="preserve"> pole’s usable space below power lines, the 7.4% attachment fee would apply to the </w:t>
      </w:r>
      <w:r w:rsidR="00B51A3A">
        <w:t xml:space="preserve">pole space that is rendered </w:t>
      </w:r>
      <w:r w:rsidR="00664347">
        <w:t>un</w:t>
      </w:r>
      <w:r w:rsidR="003431A8">
        <w:t>usable</w:t>
      </w:r>
      <w:r w:rsidR="00B51A3A">
        <w:t xml:space="preserve"> for </w:t>
      </w:r>
      <w:r w:rsidR="000C3BBD">
        <w:t>other</w:t>
      </w:r>
      <w:r w:rsidR="00B51A3A">
        <w:t xml:space="preserve"> attachments by </w:t>
      </w:r>
      <w:r w:rsidR="005F5B01">
        <w:t>an</w:t>
      </w:r>
      <w:r w:rsidR="00B51A3A">
        <w:t xml:space="preserve"> </w:t>
      </w:r>
      <w:r w:rsidR="005F5B01">
        <w:t xml:space="preserve">antenna’s </w:t>
      </w:r>
      <w:r>
        <w:t xml:space="preserve">safety clearances.  For example, </w:t>
      </w:r>
      <w:r w:rsidR="008120DA">
        <w:t xml:space="preserve">if the safety clearances above and below an antenna render a total of two feet of pole space unusable for </w:t>
      </w:r>
      <w:r w:rsidR="000C3BBD">
        <w:t>other</w:t>
      </w:r>
      <w:r w:rsidR="008120DA">
        <w:t xml:space="preserve"> attachments, a fee of 14.8% would apply </w:t>
      </w:r>
      <w:r>
        <w:t>(7.4% x </w:t>
      </w:r>
      <w:r w:rsidR="008120DA">
        <w:t>2</w:t>
      </w:r>
      <w:r>
        <w:t> feet)</w:t>
      </w:r>
      <w:r w:rsidR="005F5B01">
        <w:t xml:space="preserve">, in addition to the fee that would apply to the antenna </w:t>
      </w:r>
      <w:r w:rsidR="003431A8">
        <w:t>itself</w:t>
      </w:r>
      <w:r>
        <w:t xml:space="preserve">.  In contrast, AT&amp;T Mobility’s proposal would </w:t>
      </w:r>
      <w:r w:rsidR="008120DA">
        <w:t xml:space="preserve">apply no fee to an antenna’s safety clearances.  </w:t>
      </w:r>
    </w:p>
    <w:p w:rsidR="003F0773" w:rsidRDefault="00AD7600" w:rsidP="007B3791">
      <w:pPr>
        <w:pStyle w:val="StandardBullet"/>
      </w:pPr>
      <w:r>
        <w:t xml:space="preserve">For </w:t>
      </w:r>
      <w:r w:rsidR="009A4AF1">
        <w:t>multiple</w:t>
      </w:r>
      <w:r>
        <w:t xml:space="preserve"> CMRS antennas installed </w:t>
      </w:r>
      <w:r w:rsidR="00024CD8">
        <w:t xml:space="preserve">below power lines </w:t>
      </w:r>
      <w:r w:rsidR="00323BF9">
        <w:t>at the same horizontal level</w:t>
      </w:r>
      <w:r w:rsidR="00024CD8">
        <w:t xml:space="preserve">, the 7.4% attachment fee would apply to each antenna.  For example, assuming </w:t>
      </w:r>
      <w:r w:rsidR="00323BF9">
        <w:t>two 4</w:t>
      </w:r>
      <w:r w:rsidR="00323BF9">
        <w:noBreakHyphen/>
        <w:t xml:space="preserve">foot panel </w:t>
      </w:r>
      <w:r w:rsidR="00323BF9">
        <w:lastRenderedPageBreak/>
        <w:t xml:space="preserve">antennas are attached </w:t>
      </w:r>
      <w:r w:rsidR="009A4AF1">
        <w:t xml:space="preserve">to a pole </w:t>
      </w:r>
      <w:r w:rsidR="00323BF9">
        <w:t xml:space="preserve">at the same horizontal level, </w:t>
      </w:r>
      <w:r w:rsidR="00024CD8">
        <w:t xml:space="preserve">the total </w:t>
      </w:r>
      <w:r w:rsidR="00323BF9">
        <w:t>fee would be</w:t>
      </w:r>
      <w:r w:rsidR="008C2DF1">
        <w:t xml:space="preserve"> </w:t>
      </w:r>
      <w:r w:rsidR="00323BF9">
        <w:t>59</w:t>
      </w:r>
      <w:r w:rsidR="008C2DF1">
        <w:t>.</w:t>
      </w:r>
      <w:r w:rsidR="00323BF9">
        <w:t>2</w:t>
      </w:r>
      <w:r w:rsidR="008C2DF1">
        <w:t xml:space="preserve">% </w:t>
      </w:r>
      <w:r w:rsidR="00024CD8">
        <w:t>(</w:t>
      </w:r>
      <w:r w:rsidR="008C2DF1">
        <w:t>7.4%</w:t>
      </w:r>
      <w:r w:rsidR="00A327FC">
        <w:t> x</w:t>
      </w:r>
      <w:r w:rsidR="00F833AE">
        <w:t> </w:t>
      </w:r>
      <w:r w:rsidR="00323BF9">
        <w:t>8</w:t>
      </w:r>
      <w:r w:rsidR="00A327FC">
        <w:t> feet</w:t>
      </w:r>
      <w:r w:rsidR="008C2DF1">
        <w:t>)</w:t>
      </w:r>
      <w:r w:rsidR="00024CD8">
        <w:t xml:space="preserve">.  </w:t>
      </w:r>
      <w:r w:rsidR="008C2DF1">
        <w:t>In</w:t>
      </w:r>
      <w:r w:rsidR="00024CD8">
        <w:t xml:space="preserve"> contrast, </w:t>
      </w:r>
      <w:r w:rsidR="00326033">
        <w:t>AT&amp;T</w:t>
      </w:r>
      <w:r w:rsidR="00391A40">
        <w:t> </w:t>
      </w:r>
      <w:r w:rsidR="00326033">
        <w:t>Mobility</w:t>
      </w:r>
      <w:r w:rsidR="00024CD8">
        <w:t xml:space="preserve">’s proposal would </w:t>
      </w:r>
      <w:r w:rsidR="009A4AF1">
        <w:t xml:space="preserve">apply the 7.4% fee </w:t>
      </w:r>
      <w:r w:rsidR="005F5B01">
        <w:t xml:space="preserve">only once </w:t>
      </w:r>
      <w:r w:rsidR="009A4AF1">
        <w:t xml:space="preserve">for each foot of occupied pole space, regardless of the number of antennas.  In this example, AT&amp;T’s proposal would </w:t>
      </w:r>
      <w:r w:rsidR="00024CD8">
        <w:t xml:space="preserve">result in a </w:t>
      </w:r>
      <w:r w:rsidR="00323BF9">
        <w:t xml:space="preserve">total </w:t>
      </w:r>
      <w:r w:rsidR="00024CD8">
        <w:t xml:space="preserve">fee of </w:t>
      </w:r>
      <w:r w:rsidR="008C2DF1">
        <w:t>14.8</w:t>
      </w:r>
      <w:r w:rsidR="00024CD8">
        <w:t xml:space="preserve">% (assuming </w:t>
      </w:r>
      <w:r w:rsidR="0036270C">
        <w:t>2</w:t>
      </w:r>
      <w:r w:rsidR="00323BF9">
        <w:noBreakHyphen/>
      </w:r>
      <w:r w:rsidR="0036270C">
        <w:t>foot attachment brackets</w:t>
      </w:r>
      <w:r w:rsidR="00024CD8">
        <w:t>).</w:t>
      </w:r>
    </w:p>
    <w:p w:rsidR="00C01D0E" w:rsidRDefault="00330E17" w:rsidP="007B3791">
      <w:pPr>
        <w:pStyle w:val="StandardBullet"/>
      </w:pPr>
      <w:r>
        <w:t xml:space="preserve">For </w:t>
      </w:r>
      <w:r w:rsidR="008C2DF1">
        <w:t xml:space="preserve">pole-top </w:t>
      </w:r>
      <w:r>
        <w:t>antennas installed above power lines</w:t>
      </w:r>
      <w:r w:rsidR="008C2DF1">
        <w:t xml:space="preserve">, </w:t>
      </w:r>
      <w:r w:rsidR="00FC1CE9">
        <w:t>the 7.4% </w:t>
      </w:r>
      <w:r>
        <w:t xml:space="preserve">fee would apply to the greater of </w:t>
      </w:r>
      <w:r w:rsidR="005A7966">
        <w:t xml:space="preserve">(1) the vertical </w:t>
      </w:r>
      <w:r w:rsidR="008C2DF1">
        <w:t>size</w:t>
      </w:r>
      <w:r w:rsidR="005A7966">
        <w:t xml:space="preserve"> of the antenna</w:t>
      </w:r>
      <w:r w:rsidR="009471EE">
        <w:t>,</w:t>
      </w:r>
      <w:r w:rsidR="005A7966">
        <w:t xml:space="preserve"> or (2) the mandatory safety clearance between the antenna </w:t>
      </w:r>
      <w:r w:rsidR="00700543">
        <w:t>and</w:t>
      </w:r>
      <w:r w:rsidR="005A7966">
        <w:t xml:space="preserve"> the power lines.  For example, assuming a </w:t>
      </w:r>
      <w:r w:rsidR="008C2DF1">
        <w:t>4</w:t>
      </w:r>
      <w:r w:rsidR="005A7966">
        <w:t xml:space="preserve">-foot panel antenna is installed above power lines, and the mandatory safety clearance is 6 feet, the total fee would be </w:t>
      </w:r>
      <w:r w:rsidR="008C2DF1">
        <w:t>44.4% (</w:t>
      </w:r>
      <w:r w:rsidR="005A7966">
        <w:t>7.4%</w:t>
      </w:r>
      <w:r w:rsidR="00A327FC">
        <w:t> x</w:t>
      </w:r>
      <w:r w:rsidR="00F833AE">
        <w:t> </w:t>
      </w:r>
      <w:r w:rsidR="00A327FC">
        <w:t>6 feet</w:t>
      </w:r>
      <w:r w:rsidR="008C2DF1">
        <w:t>)</w:t>
      </w:r>
      <w:r w:rsidR="005A7966">
        <w:t xml:space="preserve">.  </w:t>
      </w:r>
      <w:r w:rsidR="008C2DF1">
        <w:t>In</w:t>
      </w:r>
      <w:r w:rsidR="005A7966">
        <w:t xml:space="preserve"> contrast, </w:t>
      </w:r>
      <w:r w:rsidR="00326033">
        <w:t>AT&amp;T</w:t>
      </w:r>
      <w:r w:rsidR="005E360A">
        <w:t> </w:t>
      </w:r>
      <w:r w:rsidR="00326033">
        <w:t>Mobility</w:t>
      </w:r>
      <w:r w:rsidR="0088796D">
        <w:t xml:space="preserve">’s proposal would result in a fee of </w:t>
      </w:r>
      <w:r w:rsidR="00C01D0E">
        <w:t>14</w:t>
      </w:r>
      <w:r w:rsidR="0088796D">
        <w:t>.</w:t>
      </w:r>
      <w:r w:rsidR="00C01D0E">
        <w:t>8</w:t>
      </w:r>
      <w:r w:rsidR="0088796D">
        <w:t xml:space="preserve">% (assuming </w:t>
      </w:r>
      <w:r w:rsidR="00C01D0E">
        <w:t>a 2</w:t>
      </w:r>
      <w:r w:rsidR="00A327FC">
        <w:noBreakHyphen/>
      </w:r>
      <w:r w:rsidR="00C01D0E">
        <w:t xml:space="preserve">foot </w:t>
      </w:r>
      <w:r w:rsidR="005E360A">
        <w:t xml:space="preserve">attachment </w:t>
      </w:r>
      <w:r w:rsidR="00C01D0E">
        <w:t>bracket</w:t>
      </w:r>
      <w:r w:rsidR="00700543">
        <w:t>)</w:t>
      </w:r>
      <w:r w:rsidR="00C01D0E">
        <w:t xml:space="preserve">.  </w:t>
      </w:r>
    </w:p>
    <w:p w:rsidR="009B026F" w:rsidRDefault="009B026F" w:rsidP="007B3791">
      <w:pPr>
        <w:pStyle w:val="StandardBullet"/>
      </w:pPr>
      <w:r>
        <w:t xml:space="preserve">For CMRS equipment </w:t>
      </w:r>
      <w:r w:rsidR="00700543">
        <w:t xml:space="preserve">installed in </w:t>
      </w:r>
      <w:r>
        <w:t>a pole</w:t>
      </w:r>
      <w:r w:rsidR="00700543">
        <w:t xml:space="preserve">’s </w:t>
      </w:r>
      <w:r>
        <w:t xml:space="preserve">common space (i.e., the first 18 feet of pole space above ground level), the 7.4% fee would apply to the vertical </w:t>
      </w:r>
      <w:r w:rsidR="00700543">
        <w:t xml:space="preserve">size of the </w:t>
      </w:r>
      <w:r>
        <w:t xml:space="preserve">equipment.  For example, </w:t>
      </w:r>
      <w:r w:rsidR="00A327FC">
        <w:t xml:space="preserve">for a </w:t>
      </w:r>
      <w:r w:rsidR="00BD109B">
        <w:t>3</w:t>
      </w:r>
      <w:r w:rsidR="00A327FC">
        <w:t xml:space="preserve">-foot high </w:t>
      </w:r>
      <w:r w:rsidR="003A10F4">
        <w:t>equipment</w:t>
      </w:r>
      <w:r w:rsidR="00A327FC">
        <w:t xml:space="preserve"> cabinet</w:t>
      </w:r>
      <w:r w:rsidR="00326033">
        <w:t>,</w:t>
      </w:r>
      <w:r w:rsidR="00A327FC">
        <w:t xml:space="preserve"> </w:t>
      </w:r>
      <w:r w:rsidR="0036270C">
        <w:t xml:space="preserve">the </w:t>
      </w:r>
      <w:r w:rsidR="005B40AF">
        <w:t>total</w:t>
      </w:r>
      <w:r w:rsidR="0036270C">
        <w:t xml:space="preserve"> fee </w:t>
      </w:r>
      <w:r>
        <w:t xml:space="preserve">would be </w:t>
      </w:r>
      <w:r w:rsidR="00BD109B">
        <w:t>22</w:t>
      </w:r>
      <w:r w:rsidR="00CC383A">
        <w:t>.</w:t>
      </w:r>
      <w:r w:rsidR="00BD109B">
        <w:t>2</w:t>
      </w:r>
      <w:r w:rsidR="00CC383A">
        <w:t>% (</w:t>
      </w:r>
      <w:r>
        <w:t>7.4%</w:t>
      </w:r>
      <w:r w:rsidR="00A327FC">
        <w:t> x </w:t>
      </w:r>
      <w:r w:rsidR="00D72FE7">
        <w:t>3</w:t>
      </w:r>
      <w:r w:rsidR="00A327FC">
        <w:t> feet</w:t>
      </w:r>
      <w:r w:rsidR="00CC383A">
        <w:t>).</w:t>
      </w:r>
      <w:r>
        <w:t xml:space="preserve">  </w:t>
      </w:r>
      <w:r w:rsidR="00326033">
        <w:t xml:space="preserve">In contrast, AT&amp;T </w:t>
      </w:r>
      <w:r w:rsidR="00865AAF">
        <w:t>Mobility’s</w:t>
      </w:r>
      <w:r w:rsidR="00326033">
        <w:t xml:space="preserve"> proposal would charge nothing for equipment in the common space. </w:t>
      </w:r>
    </w:p>
    <w:p w:rsidR="00E33F46" w:rsidRDefault="009B026F" w:rsidP="007B3791">
      <w:pPr>
        <w:pStyle w:val="StandardBullet"/>
      </w:pPr>
      <w:r>
        <w:t xml:space="preserve">The 7.4% pole-attachment fee would not apply to </w:t>
      </w:r>
      <w:r w:rsidR="005B40AF">
        <w:t>electric</w:t>
      </w:r>
      <w:r>
        <w:t xml:space="preserve"> meters, </w:t>
      </w:r>
      <w:r w:rsidR="009651BF">
        <w:t>risers</w:t>
      </w:r>
      <w:r>
        <w:t xml:space="preserve">, and conduits associated with CMRS </w:t>
      </w:r>
      <w:r w:rsidR="009651BF">
        <w:t xml:space="preserve">attachments.  </w:t>
      </w:r>
      <w:r w:rsidR="00326033">
        <w:t>AT&amp;T</w:t>
      </w:r>
      <w:r w:rsidR="005B40AF">
        <w:t> </w:t>
      </w:r>
      <w:r w:rsidR="00326033">
        <w:t>Mobility</w:t>
      </w:r>
      <w:r w:rsidR="00F1221D">
        <w:t xml:space="preserve">’s proposal is the same.  </w:t>
      </w:r>
    </w:p>
    <w:p w:rsidR="00AF0E3B" w:rsidRDefault="004158B5" w:rsidP="007B3791">
      <w:pPr>
        <w:pStyle w:val="StandardBullet"/>
      </w:pPr>
      <w:r>
        <w:t xml:space="preserve">There is no </w:t>
      </w:r>
      <w:r w:rsidR="00AF0E3B">
        <w:t xml:space="preserve">per-pole cap on the 7.4% fee.  Total </w:t>
      </w:r>
      <w:r w:rsidR="0036270C">
        <w:t xml:space="preserve">attachment </w:t>
      </w:r>
      <w:r w:rsidR="00AF0E3B">
        <w:t xml:space="preserve">fees </w:t>
      </w:r>
      <w:r w:rsidR="0033449F">
        <w:t xml:space="preserve">for a </w:t>
      </w:r>
      <w:r w:rsidR="00AF0E3B">
        <w:t>pole could exceed 100% of the pole’s cost</w:t>
      </w:r>
      <w:r w:rsidR="00326033">
        <w:t>-</w:t>
      </w:r>
      <w:r w:rsidR="00AF0E3B">
        <w:t>of</w:t>
      </w:r>
      <w:r w:rsidR="00326033">
        <w:t>-</w:t>
      </w:r>
      <w:r w:rsidR="00AF0E3B">
        <w:t xml:space="preserve">ownership.  </w:t>
      </w:r>
      <w:r w:rsidR="00326033">
        <w:t>AT&amp;T</w:t>
      </w:r>
      <w:r w:rsidR="0033449F">
        <w:t> </w:t>
      </w:r>
      <w:r w:rsidR="00326033">
        <w:t>Mobility</w:t>
      </w:r>
      <w:r w:rsidR="00AF0E3B">
        <w:t xml:space="preserve">’s proposal does not address this matter. </w:t>
      </w:r>
    </w:p>
    <w:p w:rsidR="00AF0E3B" w:rsidRDefault="004158B5" w:rsidP="005C2349">
      <w:pPr>
        <w:pStyle w:val="StandardBullet"/>
      </w:pPr>
      <w:r>
        <w:t>There is n</w:t>
      </w:r>
      <w:r w:rsidR="00AF0E3B">
        <w:t>o adjustment to the 7.4% fee for poles longer than 37.5</w:t>
      </w:r>
      <w:r w:rsidR="003D55B5">
        <w:t> </w:t>
      </w:r>
      <w:r w:rsidR="00AF0E3B">
        <w:t>feet</w:t>
      </w:r>
      <w:r w:rsidR="00326033">
        <w:t xml:space="preserve"> (and thus more than 13.5 feet of usable space)</w:t>
      </w:r>
      <w:r w:rsidR="00AF0E3B">
        <w:t>.  AT&amp;T</w:t>
      </w:r>
      <w:r w:rsidR="0033449F">
        <w:t> </w:t>
      </w:r>
      <w:r w:rsidR="00326033">
        <w:t>Mobility</w:t>
      </w:r>
      <w:r w:rsidR="00AF0E3B">
        <w:t xml:space="preserve">’s proposal does not address this matter. </w:t>
      </w:r>
    </w:p>
    <w:p w:rsidR="00B95C4D" w:rsidRDefault="00F1221D" w:rsidP="008E33A0">
      <w:pPr>
        <w:pStyle w:val="standard"/>
      </w:pPr>
      <w:r>
        <w:t xml:space="preserve">The Electric IOUs and TURN </w:t>
      </w:r>
      <w:r w:rsidR="00A05612">
        <w:t>believe</w:t>
      </w:r>
      <w:r>
        <w:t xml:space="preserve"> their proposal is reasonable because it </w:t>
      </w:r>
      <w:r w:rsidR="0033449F">
        <w:t>applies</w:t>
      </w:r>
      <w:r>
        <w:t xml:space="preserve"> the 7.4% fee based on the pole space </w:t>
      </w:r>
      <w:r w:rsidR="009651BF">
        <w:t xml:space="preserve">that </w:t>
      </w:r>
      <w:r w:rsidR="00BD109B">
        <w:t xml:space="preserve">a CMRS </w:t>
      </w:r>
      <w:r w:rsidR="00326033">
        <w:t>installation</w:t>
      </w:r>
      <w:r w:rsidR="00BD109B">
        <w:t xml:space="preserve"> </w:t>
      </w:r>
      <w:r w:rsidR="009651BF">
        <w:t>render</w:t>
      </w:r>
      <w:r w:rsidR="00BD109B">
        <w:t>s</w:t>
      </w:r>
      <w:r w:rsidR="009651BF">
        <w:t xml:space="preserve"> unusable for </w:t>
      </w:r>
      <w:r w:rsidR="000C3BBD">
        <w:t>other</w:t>
      </w:r>
      <w:r w:rsidR="009651BF">
        <w:t xml:space="preserve"> attachments.  </w:t>
      </w:r>
      <w:r w:rsidR="0033449F">
        <w:t xml:space="preserve">At the same time, </w:t>
      </w:r>
      <w:r w:rsidR="00D3391E">
        <w:t xml:space="preserve">their proposal </w:t>
      </w:r>
      <w:r w:rsidR="004158B5">
        <w:t>prevent</w:t>
      </w:r>
      <w:r w:rsidR="0033449F">
        <w:t>s</w:t>
      </w:r>
      <w:r w:rsidR="004158B5">
        <w:t xml:space="preserve"> </w:t>
      </w:r>
      <w:r w:rsidR="00D3391E">
        <w:t xml:space="preserve">utility </w:t>
      </w:r>
      <w:r w:rsidR="00D3391E">
        <w:lastRenderedPageBreak/>
        <w:t xml:space="preserve">ratepayers from </w:t>
      </w:r>
      <w:r w:rsidR="002A1348">
        <w:t>subsidizing</w:t>
      </w:r>
      <w:r w:rsidR="00D3391E">
        <w:t xml:space="preserve"> CMRS pole attachments</w:t>
      </w:r>
      <w:r w:rsidR="000A6C30">
        <w:t xml:space="preserve"> by setting pole-attachment fees that </w:t>
      </w:r>
      <w:r w:rsidR="0033449F">
        <w:t xml:space="preserve">fully </w:t>
      </w:r>
      <w:r w:rsidR="000A6C30">
        <w:t xml:space="preserve">recover the </w:t>
      </w:r>
      <w:r w:rsidR="0033449F">
        <w:t xml:space="preserve">pole owner’s </w:t>
      </w:r>
      <w:r w:rsidR="000A6C30">
        <w:t xml:space="preserve">costs </w:t>
      </w:r>
      <w:r w:rsidR="0033449F">
        <w:t>for</w:t>
      </w:r>
      <w:r w:rsidR="000A6C30">
        <w:t xml:space="preserve"> </w:t>
      </w:r>
      <w:r w:rsidR="0033449F">
        <w:t xml:space="preserve">such </w:t>
      </w:r>
      <w:r w:rsidR="000A6C30">
        <w:t>attachments</w:t>
      </w:r>
      <w:r w:rsidR="00D3391E">
        <w:t xml:space="preserve">. </w:t>
      </w:r>
      <w:r>
        <w:t xml:space="preserve"> </w:t>
      </w:r>
      <w:r w:rsidR="00CF11B7">
        <w:t xml:space="preserve">  </w:t>
      </w:r>
    </w:p>
    <w:p w:rsidR="00156534" w:rsidRDefault="003C0630" w:rsidP="002B7422">
      <w:pPr>
        <w:pStyle w:val="standard"/>
      </w:pPr>
      <w:r>
        <w:t xml:space="preserve">The Electric IOUs and TURN </w:t>
      </w:r>
      <w:r w:rsidR="00C96F11">
        <w:t>submit</w:t>
      </w:r>
      <w:r w:rsidR="00A327FC">
        <w:t xml:space="preserve"> that</w:t>
      </w:r>
      <w:r w:rsidR="002B7422">
        <w:t xml:space="preserve"> </w:t>
      </w:r>
      <w:r>
        <w:t xml:space="preserve">it is reasonable to charge </w:t>
      </w:r>
      <w:r w:rsidR="00AC4CD0">
        <w:t>a pole</w:t>
      </w:r>
      <w:r w:rsidR="001F2523">
        <w:noBreakHyphen/>
      </w:r>
      <w:r w:rsidR="00AC4CD0">
        <w:t xml:space="preserve">top antenna </w:t>
      </w:r>
      <w:r>
        <w:t xml:space="preserve">for </w:t>
      </w:r>
      <w:r w:rsidR="00BD109B">
        <w:t xml:space="preserve">4 to 10 feet of safety clearances, depending on the voltage of the power lines below the antenna, </w:t>
      </w:r>
      <w:r>
        <w:t xml:space="preserve">even though the amount of pole space </w:t>
      </w:r>
      <w:r w:rsidR="00A05612">
        <w:t xml:space="preserve">that is physically </w:t>
      </w:r>
      <w:r w:rsidR="004158B5">
        <w:t>occupied</w:t>
      </w:r>
      <w:r w:rsidR="00C96F11">
        <w:t xml:space="preserve"> by the </w:t>
      </w:r>
      <w:r w:rsidR="007544C1">
        <w:t xml:space="preserve">pole-top </w:t>
      </w:r>
      <w:r w:rsidR="00C96F11">
        <w:t xml:space="preserve">antenna is limited to </w:t>
      </w:r>
      <w:r w:rsidR="00614846">
        <w:t xml:space="preserve">1 to </w:t>
      </w:r>
      <w:r>
        <w:t xml:space="preserve">2 feet </w:t>
      </w:r>
      <w:r w:rsidR="004158B5">
        <w:t xml:space="preserve">(in most cases) </w:t>
      </w:r>
      <w:r>
        <w:t>for the attach</w:t>
      </w:r>
      <w:r w:rsidR="001F2523">
        <w:t>ment</w:t>
      </w:r>
      <w:r>
        <w:t xml:space="preserve"> bracket</w:t>
      </w:r>
      <w:r w:rsidR="00C96F11">
        <w:t xml:space="preserve">.  The Electric IOUs and TURN assert that </w:t>
      </w:r>
      <w:r w:rsidR="00B36D1E">
        <w:t>pole</w:t>
      </w:r>
      <w:r w:rsidR="002B7422">
        <w:noBreakHyphen/>
      </w:r>
      <w:r w:rsidR="00B36D1E">
        <w:t>top antennas impose a disproportionate load on the pole and should thus pay more.  The Electric</w:t>
      </w:r>
      <w:r w:rsidR="009651BF">
        <w:t> </w:t>
      </w:r>
      <w:r w:rsidR="00B36D1E">
        <w:t xml:space="preserve">IOUs </w:t>
      </w:r>
      <w:r w:rsidR="0007770C">
        <w:t>also</w:t>
      </w:r>
      <w:r w:rsidR="00B36D1E">
        <w:t xml:space="preserve"> claim that </w:t>
      </w:r>
      <w:r w:rsidR="007544C1">
        <w:t xml:space="preserve">when </w:t>
      </w:r>
      <w:r w:rsidR="00DD2EEF">
        <w:t>a</w:t>
      </w:r>
      <w:r w:rsidR="00B36D1E">
        <w:t xml:space="preserve"> pole-top antenna </w:t>
      </w:r>
      <w:r w:rsidR="001F2523">
        <w:t xml:space="preserve">is </w:t>
      </w:r>
      <w:r w:rsidR="00B36D1E">
        <w:t>install</w:t>
      </w:r>
      <w:r w:rsidR="00DD2EEF">
        <w:t xml:space="preserve">ed </w:t>
      </w:r>
      <w:r w:rsidR="00B36D1E">
        <w:t xml:space="preserve">on </w:t>
      </w:r>
      <w:r w:rsidR="005C2349">
        <w:t xml:space="preserve">the </w:t>
      </w:r>
      <w:r w:rsidR="00B36D1E">
        <w:t>pole</w:t>
      </w:r>
      <w:r w:rsidR="00C96F11">
        <w:t xml:space="preserve">, </w:t>
      </w:r>
      <w:r w:rsidR="007544C1">
        <w:t xml:space="preserve">the eventual replacement pole will </w:t>
      </w:r>
      <w:r w:rsidR="00BD109B">
        <w:t xml:space="preserve">need to </w:t>
      </w:r>
      <w:r w:rsidR="007544C1">
        <w:t xml:space="preserve">be taller </w:t>
      </w:r>
      <w:r w:rsidR="00C96F11">
        <w:t xml:space="preserve">and </w:t>
      </w:r>
      <w:r w:rsidR="00BD109B">
        <w:t xml:space="preserve">hence </w:t>
      </w:r>
      <w:r w:rsidR="00C96F11">
        <w:t xml:space="preserve">more expensive in order </w:t>
      </w:r>
      <w:r w:rsidR="00B36D1E">
        <w:t>to accommodate the pole</w:t>
      </w:r>
      <w:r w:rsidR="00C96F11">
        <w:noBreakHyphen/>
      </w:r>
      <w:r w:rsidR="00B36D1E">
        <w:t xml:space="preserve">top antenna.  </w:t>
      </w:r>
      <w:r w:rsidR="0063773F">
        <w:t>The Electric</w:t>
      </w:r>
      <w:r w:rsidR="009651BF">
        <w:t> </w:t>
      </w:r>
      <w:r w:rsidR="0063773F">
        <w:t>IOUs reason that because pole-top antenna</w:t>
      </w:r>
      <w:r w:rsidR="00AC4CD0">
        <w:t>s</w:t>
      </w:r>
      <w:r w:rsidR="0063773F">
        <w:t xml:space="preserve"> </w:t>
      </w:r>
      <w:r w:rsidR="002B7422">
        <w:t xml:space="preserve">will require more expensive poles </w:t>
      </w:r>
      <w:r w:rsidR="0063773F">
        <w:t xml:space="preserve">over the long run, the pole-attachment fee should be correspondingly higher.   </w:t>
      </w:r>
    </w:p>
    <w:p w:rsidR="0007770C" w:rsidRDefault="0007770C" w:rsidP="008E33A0">
      <w:pPr>
        <w:pStyle w:val="standard"/>
      </w:pPr>
      <w:r>
        <w:t xml:space="preserve">The Electric IOUs further claim that </w:t>
      </w:r>
      <w:r w:rsidR="00E8539F">
        <w:t>they</w:t>
      </w:r>
      <w:r>
        <w:t xml:space="preserve"> must inspect and maintain </w:t>
      </w:r>
      <w:r w:rsidR="00C83CFF">
        <w:t>pole</w:t>
      </w:r>
      <w:r w:rsidR="00D72FE7">
        <w:noBreakHyphen/>
      </w:r>
      <w:r w:rsidR="00C83CFF">
        <w:t xml:space="preserve">top </w:t>
      </w:r>
      <w:r w:rsidR="003A10F4">
        <w:t>attachments</w:t>
      </w:r>
      <w:r w:rsidR="00C83CFF">
        <w:t xml:space="preserve"> pursuant to </w:t>
      </w:r>
      <w:r>
        <w:t xml:space="preserve">GO 165.  </w:t>
      </w:r>
      <w:r w:rsidR="00C83CFF">
        <w:t xml:space="preserve">If </w:t>
      </w:r>
      <w:r>
        <w:t xml:space="preserve">CMRS </w:t>
      </w:r>
      <w:r w:rsidR="00C83CFF">
        <w:t>carrier</w:t>
      </w:r>
      <w:r w:rsidR="00326033">
        <w:t>s</w:t>
      </w:r>
      <w:r>
        <w:t xml:space="preserve"> </w:t>
      </w:r>
      <w:r w:rsidR="00C83CFF">
        <w:t xml:space="preserve">do not </w:t>
      </w:r>
      <w:r>
        <w:t xml:space="preserve">pay </w:t>
      </w:r>
      <w:r w:rsidR="005E360A">
        <w:t>their</w:t>
      </w:r>
      <w:r>
        <w:t xml:space="preserve"> fair share of </w:t>
      </w:r>
      <w:r w:rsidR="003A10F4">
        <w:t>inspection</w:t>
      </w:r>
      <w:r w:rsidR="00C83CFF">
        <w:t xml:space="preserve"> and maintenance </w:t>
      </w:r>
      <w:r>
        <w:t>cost</w:t>
      </w:r>
      <w:r w:rsidR="00C83CFF">
        <w:t>s</w:t>
      </w:r>
      <w:r>
        <w:t>, the</w:t>
      </w:r>
      <w:r w:rsidR="00326033">
        <w:t>n</w:t>
      </w:r>
      <w:r>
        <w:t xml:space="preserve"> electric utility ratepayer</w:t>
      </w:r>
      <w:r w:rsidR="00C83CFF">
        <w:t>s</w:t>
      </w:r>
      <w:r>
        <w:t xml:space="preserve"> will be forced to subsidize CMRS </w:t>
      </w:r>
      <w:r w:rsidR="00C83CFF">
        <w:t>carriers</w:t>
      </w:r>
      <w:r>
        <w:t xml:space="preserve">. </w:t>
      </w:r>
    </w:p>
    <w:p w:rsidR="004561F0" w:rsidRDefault="0063773F" w:rsidP="008E33A0">
      <w:pPr>
        <w:pStyle w:val="standard"/>
      </w:pPr>
      <w:r>
        <w:t xml:space="preserve">The Electric IOU/TURN proposal is supported by </w:t>
      </w:r>
      <w:r w:rsidR="0078079E">
        <w:t>CFC and ORA</w:t>
      </w:r>
      <w:r w:rsidR="002F4E9D">
        <w:t xml:space="preserve">.  </w:t>
      </w:r>
      <w:r w:rsidR="004561F0">
        <w:t xml:space="preserve">CFC posits that </w:t>
      </w:r>
      <w:r w:rsidR="004561F0" w:rsidRPr="00416CA0">
        <w:t xml:space="preserve">CMRS </w:t>
      </w:r>
      <w:r w:rsidR="004158B5">
        <w:t xml:space="preserve">pole </w:t>
      </w:r>
      <w:r w:rsidR="004561F0" w:rsidRPr="00416CA0">
        <w:t xml:space="preserve">attachments are different than </w:t>
      </w:r>
      <w:r w:rsidR="004F131D">
        <w:t>CLEC</w:t>
      </w:r>
      <w:r w:rsidR="004561F0">
        <w:t xml:space="preserve"> and CATV </w:t>
      </w:r>
      <w:r w:rsidR="004561F0" w:rsidRPr="00416CA0">
        <w:t>attachments</w:t>
      </w:r>
      <w:r w:rsidR="004561F0">
        <w:t xml:space="preserve"> </w:t>
      </w:r>
      <w:r w:rsidR="002A1348">
        <w:t>because</w:t>
      </w:r>
      <w:r w:rsidR="004561F0">
        <w:t xml:space="preserve"> the former </w:t>
      </w:r>
      <w:r w:rsidR="004561F0" w:rsidRPr="00416CA0">
        <w:t xml:space="preserve">use more </w:t>
      </w:r>
      <w:r w:rsidR="001F2523">
        <w:t xml:space="preserve">pole </w:t>
      </w:r>
      <w:r w:rsidR="004561F0" w:rsidRPr="00416CA0">
        <w:t>space, add more weight</w:t>
      </w:r>
      <w:r w:rsidR="004158B5">
        <w:t xml:space="preserve"> and </w:t>
      </w:r>
      <w:r w:rsidR="004561F0" w:rsidRPr="00416CA0">
        <w:t>wind loa</w:t>
      </w:r>
      <w:r w:rsidR="004561F0">
        <w:t>d</w:t>
      </w:r>
      <w:r w:rsidR="004561F0" w:rsidRPr="00416CA0">
        <w:t xml:space="preserve">, and affect safety. </w:t>
      </w:r>
      <w:r w:rsidR="004561F0">
        <w:t xml:space="preserve"> </w:t>
      </w:r>
      <w:r w:rsidR="002A1348">
        <w:t>Because</w:t>
      </w:r>
      <w:r w:rsidR="004561F0">
        <w:t xml:space="preserve"> of these differences, CFC opines that a 7.4%</w:t>
      </w:r>
      <w:r w:rsidR="00D72FE7">
        <w:t> </w:t>
      </w:r>
      <w:r w:rsidR="004561F0">
        <w:t>per</w:t>
      </w:r>
      <w:r w:rsidR="00D72FE7">
        <w:noBreakHyphen/>
      </w:r>
      <w:r w:rsidR="004561F0" w:rsidRPr="00416CA0">
        <w:t xml:space="preserve">foot </w:t>
      </w:r>
      <w:r w:rsidR="00326033">
        <w:t>fee</w:t>
      </w:r>
      <w:r w:rsidR="004561F0">
        <w:t xml:space="preserve"> </w:t>
      </w:r>
      <w:r w:rsidR="004561F0" w:rsidRPr="00416CA0">
        <w:t>should appl</w:t>
      </w:r>
      <w:r w:rsidR="004561F0">
        <w:t xml:space="preserve">y </w:t>
      </w:r>
      <w:r w:rsidR="004561F0" w:rsidRPr="00416CA0">
        <w:t xml:space="preserve">to the entirety of </w:t>
      </w:r>
      <w:r w:rsidR="004561F0">
        <w:t>a</w:t>
      </w:r>
      <w:r w:rsidR="004561F0" w:rsidRPr="00416CA0">
        <w:t xml:space="preserve"> </w:t>
      </w:r>
      <w:r w:rsidR="004561F0">
        <w:t>CMRS pole installation</w:t>
      </w:r>
      <w:r w:rsidR="004561F0" w:rsidRPr="00416CA0">
        <w:t>.</w:t>
      </w:r>
    </w:p>
    <w:p w:rsidR="00A8030D" w:rsidRDefault="002F4E9D" w:rsidP="00DD70A6">
      <w:pPr>
        <w:pStyle w:val="standard"/>
      </w:pPr>
      <w:r>
        <w:t xml:space="preserve">The </w:t>
      </w:r>
      <w:r w:rsidR="004561F0">
        <w:t xml:space="preserve">Electric IOU/TURN </w:t>
      </w:r>
      <w:r>
        <w:t xml:space="preserve">proposal is </w:t>
      </w:r>
      <w:r w:rsidR="0078079E">
        <w:t xml:space="preserve">opposed by </w:t>
      </w:r>
      <w:r w:rsidR="00CC383A">
        <w:t>AT&amp;T</w:t>
      </w:r>
      <w:r w:rsidR="00326033">
        <w:t xml:space="preserve"> Mobility</w:t>
      </w:r>
      <w:r w:rsidR="00CC383A">
        <w:t xml:space="preserve">, </w:t>
      </w:r>
      <w:r w:rsidR="0078079E">
        <w:t xml:space="preserve">CCTA, CTIA, JVSV, </w:t>
      </w:r>
      <w:r w:rsidR="002F4CD6">
        <w:t xml:space="preserve">and </w:t>
      </w:r>
      <w:r w:rsidR="0078079E">
        <w:t xml:space="preserve">PCIA.  The </w:t>
      </w:r>
      <w:r w:rsidR="00224D28">
        <w:t>O</w:t>
      </w:r>
      <w:r w:rsidR="0078079E">
        <w:t xml:space="preserve">pponents urge the Commission to reject the Electric IOU/TURN proposal for the following reasons.  </w:t>
      </w:r>
      <w:r w:rsidR="002E358B">
        <w:t xml:space="preserve">First, </w:t>
      </w:r>
      <w:r w:rsidR="002B7422">
        <w:t xml:space="preserve">Pub. Util. Code </w:t>
      </w:r>
      <w:r w:rsidR="00083699" w:rsidRPr="00C4492F">
        <w:t>§</w:t>
      </w:r>
      <w:r w:rsidR="00083699">
        <w:t> </w:t>
      </w:r>
      <w:r w:rsidR="00083699" w:rsidRPr="00B15830">
        <w:t>767.5</w:t>
      </w:r>
      <w:r w:rsidR="00083699">
        <w:t>(c)(2)(A) establishes a</w:t>
      </w:r>
      <w:r w:rsidR="00433EC1">
        <w:t>n annual pole</w:t>
      </w:r>
      <w:r w:rsidR="00571707">
        <w:noBreakHyphen/>
      </w:r>
      <w:r w:rsidR="00433EC1">
        <w:t xml:space="preserve">attachment fee of </w:t>
      </w:r>
      <w:r w:rsidR="00083699">
        <w:t>7.4%</w:t>
      </w:r>
      <w:r w:rsidR="00433EC1">
        <w:t xml:space="preserve"> “per pole”</w:t>
      </w:r>
      <w:r w:rsidR="00083699">
        <w:t xml:space="preserve"> </w:t>
      </w:r>
      <w:r w:rsidR="00433EC1">
        <w:t xml:space="preserve">for </w:t>
      </w:r>
      <w:r w:rsidR="004510D8">
        <w:lastRenderedPageBreak/>
        <w:t>CATV</w:t>
      </w:r>
      <w:r w:rsidR="00433EC1">
        <w:t xml:space="preserve"> attachments,</w:t>
      </w:r>
      <w:r w:rsidR="004F11E5" w:rsidRPr="00E15E99">
        <w:rPr>
          <w:rStyle w:val="StandardFootnoteReferenceChar"/>
        </w:rPr>
        <w:footnoteReference w:id="19"/>
      </w:r>
      <w:r w:rsidR="00433EC1">
        <w:t xml:space="preserve"> and D.98</w:t>
      </w:r>
      <w:r w:rsidR="004158B5">
        <w:noBreakHyphen/>
      </w:r>
      <w:r w:rsidR="00433EC1">
        <w:t>10</w:t>
      </w:r>
      <w:r w:rsidR="004158B5">
        <w:noBreakHyphen/>
      </w:r>
      <w:r w:rsidR="00433EC1">
        <w:t xml:space="preserve">058 adopted the </w:t>
      </w:r>
      <w:r w:rsidR="00727C7E">
        <w:t xml:space="preserve">same </w:t>
      </w:r>
      <w:r w:rsidR="00433EC1">
        <w:t>7.4% “per pole”</w:t>
      </w:r>
      <w:r w:rsidR="00224D28">
        <w:t xml:space="preserve"> fee for </w:t>
      </w:r>
      <w:r w:rsidR="004F131D">
        <w:t>CLEC</w:t>
      </w:r>
      <w:r w:rsidR="00224D28">
        <w:t xml:space="preserve"> attachments.  The O</w:t>
      </w:r>
      <w:r w:rsidR="00433EC1">
        <w:t xml:space="preserve">pponents declare that the Electric IOU/TURN proposal is discriminatory because it would apply </w:t>
      </w:r>
      <w:r w:rsidR="00AE7CCE">
        <w:t>the</w:t>
      </w:r>
      <w:r w:rsidR="00433EC1">
        <w:t xml:space="preserve"> 7.4%</w:t>
      </w:r>
      <w:r w:rsidR="002A1348">
        <w:t xml:space="preserve"> </w:t>
      </w:r>
      <w:r w:rsidR="00AE7CCE">
        <w:t xml:space="preserve">fee on a </w:t>
      </w:r>
      <w:r w:rsidR="00433EC1">
        <w:t xml:space="preserve">“per foot” </w:t>
      </w:r>
      <w:r w:rsidR="00AE7CCE">
        <w:t>basis</w:t>
      </w:r>
      <w:r w:rsidR="00433EC1">
        <w:t xml:space="preserve"> to CMRS</w:t>
      </w:r>
      <w:r w:rsidR="00727C7E">
        <w:t> </w:t>
      </w:r>
      <w:r w:rsidR="00433EC1">
        <w:t>attachment</w:t>
      </w:r>
      <w:r w:rsidR="00A8030D">
        <w:t xml:space="preserve">s, which would result in a much higher </w:t>
      </w:r>
      <w:r w:rsidR="00727C7E">
        <w:t xml:space="preserve">annual </w:t>
      </w:r>
      <w:r w:rsidR="00A8030D">
        <w:t xml:space="preserve">fee than the 7.4% “per pole” fee for </w:t>
      </w:r>
      <w:r w:rsidR="004F131D">
        <w:t>CLEC</w:t>
      </w:r>
      <w:r w:rsidR="00C17EFA">
        <w:t xml:space="preserve"> and </w:t>
      </w:r>
      <w:r w:rsidR="004510D8">
        <w:t>CATV</w:t>
      </w:r>
      <w:r w:rsidR="00A8030D">
        <w:t xml:space="preserve"> attachments.  </w:t>
      </w:r>
    </w:p>
    <w:p w:rsidR="0079716F" w:rsidRDefault="00C113C7" w:rsidP="00DD70A6">
      <w:pPr>
        <w:pStyle w:val="standard"/>
      </w:pPr>
      <w:r>
        <w:t xml:space="preserve">Second, the </w:t>
      </w:r>
      <w:r w:rsidR="00224D28">
        <w:t>O</w:t>
      </w:r>
      <w:r>
        <w:t xml:space="preserve">pponents claim the Electric IOU/TURN proposal to </w:t>
      </w:r>
      <w:r w:rsidR="00211877">
        <w:t xml:space="preserve">apply the </w:t>
      </w:r>
      <w:r>
        <w:t xml:space="preserve">7.4% </w:t>
      </w:r>
      <w:r w:rsidR="00211877">
        <w:t xml:space="preserve">fee to </w:t>
      </w:r>
      <w:r>
        <w:t xml:space="preserve">CMRS attachments </w:t>
      </w:r>
      <w:r w:rsidR="00033EBA">
        <w:t xml:space="preserve">in the common space </w:t>
      </w:r>
      <w:r>
        <w:t xml:space="preserve">is </w:t>
      </w:r>
      <w:r w:rsidR="00A05612">
        <w:t xml:space="preserve">contrary to </w:t>
      </w:r>
      <w:r w:rsidRPr="00B15830">
        <w:t>Pub</w:t>
      </w:r>
      <w:r>
        <w:t>.</w:t>
      </w:r>
      <w:r w:rsidRPr="00B15830">
        <w:t xml:space="preserve"> Util</w:t>
      </w:r>
      <w:r>
        <w:t xml:space="preserve">. </w:t>
      </w:r>
      <w:r w:rsidRPr="00B15830">
        <w:t xml:space="preserve">Code </w:t>
      </w:r>
      <w:r w:rsidRPr="00C4492F">
        <w:t>§</w:t>
      </w:r>
      <w:r>
        <w:t> </w:t>
      </w:r>
      <w:r w:rsidRPr="00B15830">
        <w:t>767.5</w:t>
      </w:r>
      <w:r>
        <w:t>(c)(2)(A) and D.98</w:t>
      </w:r>
      <w:r w:rsidR="00C93601">
        <w:noBreakHyphen/>
      </w:r>
      <w:r>
        <w:t>10-058</w:t>
      </w:r>
      <w:r w:rsidR="00C93601">
        <w:t xml:space="preserve">, which limited the 7.4% fee to </w:t>
      </w:r>
      <w:r w:rsidR="00D72FE7">
        <w:t xml:space="preserve">CLEC and CATV </w:t>
      </w:r>
      <w:r w:rsidR="00C93601">
        <w:t>attachments in the usable space</w:t>
      </w:r>
      <w:r>
        <w:t xml:space="preserve">.  </w:t>
      </w:r>
      <w:r w:rsidR="009F67B3">
        <w:t xml:space="preserve">The FCC’s rules likewise </w:t>
      </w:r>
      <w:r w:rsidR="00D72FE7">
        <w:t>limit pole</w:t>
      </w:r>
      <w:r w:rsidR="00D72FE7">
        <w:noBreakHyphen/>
        <w:t>attachment fees to the</w:t>
      </w:r>
      <w:r w:rsidR="009F67B3">
        <w:t xml:space="preserve"> usable space.</w:t>
      </w:r>
      <w:r w:rsidR="009F67B3" w:rsidRPr="00E15E99">
        <w:rPr>
          <w:rStyle w:val="StandardFootnoteReferenceChar"/>
        </w:rPr>
        <w:footnoteReference w:id="20"/>
      </w:r>
      <w:r w:rsidR="009F67B3">
        <w:t xml:space="preserve">  </w:t>
      </w:r>
    </w:p>
    <w:p w:rsidR="00C92259" w:rsidRDefault="0079716F" w:rsidP="00DD70A6">
      <w:pPr>
        <w:pStyle w:val="standard"/>
      </w:pPr>
      <w:r>
        <w:t>Third, t</w:t>
      </w:r>
      <w:r w:rsidR="00500967">
        <w:t xml:space="preserve">he Opponents </w:t>
      </w:r>
      <w:r w:rsidR="00A05612">
        <w:t>argue</w:t>
      </w:r>
      <w:r w:rsidR="00500967">
        <w:t xml:space="preserve"> that </w:t>
      </w:r>
      <w:r>
        <w:t xml:space="preserve">applying the </w:t>
      </w:r>
      <w:r w:rsidR="00500967">
        <w:t xml:space="preserve">7.4% fee </w:t>
      </w:r>
      <w:r>
        <w:t>to</w:t>
      </w:r>
      <w:r w:rsidR="00500967">
        <w:t xml:space="preserve"> CMRS attachments in a pole’s common space </w:t>
      </w:r>
      <w:r>
        <w:t xml:space="preserve">is discriminatory because </w:t>
      </w:r>
      <w:r w:rsidR="009D232C">
        <w:t>there</w:t>
      </w:r>
      <w:r>
        <w:t xml:space="preserve"> </w:t>
      </w:r>
      <w:r w:rsidR="009D232C">
        <w:t xml:space="preserve">is no fee </w:t>
      </w:r>
      <w:r w:rsidR="00C92259">
        <w:t>for</w:t>
      </w:r>
      <w:r w:rsidR="009D232C">
        <w:t xml:space="preserve"> </w:t>
      </w:r>
      <w:r w:rsidR="004F131D">
        <w:t>CLEC</w:t>
      </w:r>
      <w:r w:rsidR="009D232C">
        <w:t xml:space="preserve"> and </w:t>
      </w:r>
      <w:r w:rsidR="004510D8">
        <w:t>CATV</w:t>
      </w:r>
      <w:r w:rsidR="009D232C">
        <w:t xml:space="preserve"> attachments in the common space.  It is also unnecessary and unreasonable to apply the 7.4% fee to attachments in the common space because the entire cost</w:t>
      </w:r>
      <w:r w:rsidR="00326033">
        <w:t>-</w:t>
      </w:r>
      <w:r w:rsidR="009D232C">
        <w:t>of</w:t>
      </w:r>
      <w:r w:rsidR="00326033">
        <w:t>-</w:t>
      </w:r>
      <w:r w:rsidR="009D232C">
        <w:t xml:space="preserve">ownership for a pole is allocated to the </w:t>
      </w:r>
      <w:r w:rsidR="00C51C0C">
        <w:t xml:space="preserve">pole’s </w:t>
      </w:r>
      <w:r w:rsidR="009D232C">
        <w:t xml:space="preserve">usable space and recovered through the 7.4% fee applied to attachments in the </w:t>
      </w:r>
      <w:r w:rsidR="00400005">
        <w:t>usable</w:t>
      </w:r>
      <w:r w:rsidR="009D232C">
        <w:t xml:space="preserve"> space.  The Opponents claim that pole owners would re</w:t>
      </w:r>
      <w:r w:rsidR="00326033">
        <w:t xml:space="preserve">ceive double recovery of their </w:t>
      </w:r>
      <w:r w:rsidR="009D232C">
        <w:t>cost</w:t>
      </w:r>
      <w:r w:rsidR="00326033">
        <w:t>-</w:t>
      </w:r>
      <w:r w:rsidR="009D232C">
        <w:t>of</w:t>
      </w:r>
      <w:r w:rsidR="00326033">
        <w:t>-</w:t>
      </w:r>
      <w:r w:rsidR="009D232C">
        <w:t xml:space="preserve">ownership if they were allowed to charge the 7.4% fee on attachments in </w:t>
      </w:r>
      <w:r w:rsidR="009F67B3">
        <w:t xml:space="preserve">both </w:t>
      </w:r>
      <w:r w:rsidR="009D232C">
        <w:t xml:space="preserve">usable space </w:t>
      </w:r>
      <w:r w:rsidR="009D232C" w:rsidRPr="009D232C">
        <w:rPr>
          <w:u w:val="single"/>
        </w:rPr>
        <w:t>and</w:t>
      </w:r>
      <w:r w:rsidR="0084597A">
        <w:t xml:space="preserve"> the common space.  </w:t>
      </w:r>
    </w:p>
    <w:p w:rsidR="00727C7E" w:rsidRDefault="00AC45A2" w:rsidP="00A361B3">
      <w:pPr>
        <w:pStyle w:val="standard"/>
      </w:pPr>
      <w:r>
        <w:t xml:space="preserve">Fourth, the Opponents contend that </w:t>
      </w:r>
      <w:r w:rsidR="00DA33AF">
        <w:t xml:space="preserve">the Electric IOU/TURN proposal </w:t>
      </w:r>
      <w:r w:rsidR="00255678">
        <w:t xml:space="preserve">is discriminatory because it would </w:t>
      </w:r>
      <w:r w:rsidR="00DA33AF">
        <w:t xml:space="preserve">apply </w:t>
      </w:r>
      <w:r>
        <w:t>the 7.4%</w:t>
      </w:r>
      <w:r w:rsidR="00DA33AF">
        <w:t> </w:t>
      </w:r>
      <w:r>
        <w:t xml:space="preserve">fee to the </w:t>
      </w:r>
      <w:r w:rsidR="00C92259">
        <w:t xml:space="preserve">GO 95 </w:t>
      </w:r>
      <w:r>
        <w:t xml:space="preserve">safety clearances associated </w:t>
      </w:r>
      <w:r w:rsidR="00AE7CCE">
        <w:t xml:space="preserve">with </w:t>
      </w:r>
      <w:r>
        <w:t>CMRS pole attachments</w:t>
      </w:r>
      <w:r w:rsidR="00255678">
        <w:t xml:space="preserve"> but not </w:t>
      </w:r>
      <w:r w:rsidR="004F131D">
        <w:t>CLEC</w:t>
      </w:r>
      <w:r w:rsidR="00255678">
        <w:t xml:space="preserve"> and CATV </w:t>
      </w:r>
      <w:r w:rsidR="00326033">
        <w:lastRenderedPageBreak/>
        <w:t xml:space="preserve">pole </w:t>
      </w:r>
      <w:r w:rsidR="00255678">
        <w:t>attachments</w:t>
      </w:r>
      <w:r w:rsidR="00E40BFF">
        <w:t xml:space="preserve">.  The Opponents state that </w:t>
      </w:r>
      <w:r w:rsidR="00C17EFA">
        <w:t xml:space="preserve">the </w:t>
      </w:r>
      <w:r w:rsidR="00C92259">
        <w:t xml:space="preserve">current </w:t>
      </w:r>
      <w:r w:rsidR="00C17EFA">
        <w:t xml:space="preserve">7.4% “per pole” fee for </w:t>
      </w:r>
      <w:r w:rsidR="004F131D">
        <w:t>CLEC</w:t>
      </w:r>
      <w:r w:rsidR="00E40BFF">
        <w:t xml:space="preserve"> and </w:t>
      </w:r>
      <w:r w:rsidR="00255678">
        <w:t>CA</w:t>
      </w:r>
      <w:r w:rsidR="00E40BFF">
        <w:t xml:space="preserve">TV </w:t>
      </w:r>
      <w:r w:rsidR="00A361B3">
        <w:t xml:space="preserve">attachments </w:t>
      </w:r>
      <w:r w:rsidR="00C17EFA">
        <w:t xml:space="preserve">is based on the assumed use of </w:t>
      </w:r>
      <w:r w:rsidR="00326033">
        <w:t>1 </w:t>
      </w:r>
      <w:r w:rsidR="00255678">
        <w:t xml:space="preserve">foot of usable </w:t>
      </w:r>
      <w:r w:rsidR="00A361B3">
        <w:t>space</w:t>
      </w:r>
      <w:r w:rsidR="00C17EFA">
        <w:t>,</w:t>
      </w:r>
      <w:r w:rsidR="00C93601">
        <w:t xml:space="preserve"> even though </w:t>
      </w:r>
      <w:r w:rsidR="00A361B3">
        <w:t xml:space="preserve">GO 95 mandates </w:t>
      </w:r>
      <w:r w:rsidR="00C17EFA">
        <w:t xml:space="preserve">a total of </w:t>
      </w:r>
      <w:r w:rsidR="00A361B3">
        <w:t xml:space="preserve">2 feet of safety clearances for </w:t>
      </w:r>
      <w:r w:rsidR="004F131D">
        <w:t>CLEC</w:t>
      </w:r>
      <w:r w:rsidR="00A361B3">
        <w:t xml:space="preserve"> and </w:t>
      </w:r>
      <w:r w:rsidR="00255678">
        <w:t>CATV</w:t>
      </w:r>
      <w:r w:rsidR="00A361B3">
        <w:t xml:space="preserve"> wireline attachments</w:t>
      </w:r>
      <w:r w:rsidR="00C92259">
        <w:t xml:space="preserve"> (i.e., </w:t>
      </w:r>
      <w:r w:rsidR="00A361B3">
        <w:t xml:space="preserve">1 foot </w:t>
      </w:r>
      <w:r w:rsidR="00C92259">
        <w:t xml:space="preserve">of safety clearance above the wireline </w:t>
      </w:r>
      <w:r w:rsidR="00485E80">
        <w:t>attachment</w:t>
      </w:r>
      <w:r w:rsidR="00C92259">
        <w:t xml:space="preserve"> and </w:t>
      </w:r>
      <w:r w:rsidR="00326033">
        <w:t>1 </w:t>
      </w:r>
      <w:r w:rsidR="001F2523">
        <w:t xml:space="preserve">foot </w:t>
      </w:r>
      <w:r w:rsidR="00C92259">
        <w:t>below).</w:t>
      </w:r>
      <w:r w:rsidR="00C113C7" w:rsidRPr="00E15E99">
        <w:rPr>
          <w:rStyle w:val="StandardFootnoteReferenceChar"/>
        </w:rPr>
        <w:footnoteReference w:id="21"/>
      </w:r>
      <w:r w:rsidR="00C113C7" w:rsidRPr="00B15830">
        <w:t xml:space="preserve">  </w:t>
      </w:r>
    </w:p>
    <w:p w:rsidR="004D2D4A" w:rsidRPr="002C3562" w:rsidRDefault="00255678" w:rsidP="004D2D4A">
      <w:pPr>
        <w:pStyle w:val="standard"/>
      </w:pPr>
      <w:r>
        <w:t>The O</w:t>
      </w:r>
      <w:r w:rsidR="00CA4F73">
        <w:t xml:space="preserve">pponents claim </w:t>
      </w:r>
      <w:r w:rsidR="004E3FB6">
        <w:t xml:space="preserve">that </w:t>
      </w:r>
      <w:r w:rsidR="00326033">
        <w:t>applying the 7.4% fee to</w:t>
      </w:r>
      <w:r w:rsidR="00CA4F73">
        <w:t xml:space="preserve"> safety clearances </w:t>
      </w:r>
      <w:r w:rsidR="001A4A06">
        <w:t>would be</w:t>
      </w:r>
      <w:r w:rsidR="00CA4F73">
        <w:t xml:space="preserve"> especially discriminatory with respect to pole-top antennas</w:t>
      </w:r>
      <w:r w:rsidR="00326033">
        <w:t>, which</w:t>
      </w:r>
      <w:r w:rsidR="00CA4F73">
        <w:t xml:space="preserve"> </w:t>
      </w:r>
      <w:r>
        <w:t xml:space="preserve">have safety clearances of 4 to 10 feet </w:t>
      </w:r>
      <w:r w:rsidR="001F2523">
        <w:t>from</w:t>
      </w:r>
      <w:r>
        <w:t xml:space="preserve"> power lines, </w:t>
      </w:r>
      <w:r w:rsidR="00A065FF">
        <w:t>depending on the voltage of the power lines</w:t>
      </w:r>
      <w:r w:rsidR="004F1A26">
        <w:t xml:space="preserve">.  </w:t>
      </w:r>
      <w:r w:rsidR="001A4A06">
        <w:t>The Opponents state that the only pole space occupied by a pole</w:t>
      </w:r>
      <w:r w:rsidR="00A05612">
        <w:noBreakHyphen/>
      </w:r>
      <w:r w:rsidR="001A4A06">
        <w:t xml:space="preserve">top antenna is for </w:t>
      </w:r>
      <w:r w:rsidR="00AE7CCE">
        <w:t xml:space="preserve">the </w:t>
      </w:r>
      <w:r w:rsidR="001A4A06">
        <w:t xml:space="preserve">attachment bracket, which is usually </w:t>
      </w:r>
      <w:r w:rsidR="00614846">
        <w:t xml:space="preserve">1 to </w:t>
      </w:r>
      <w:r w:rsidR="001A4A06">
        <w:t xml:space="preserve">2 feet.  </w:t>
      </w:r>
    </w:p>
    <w:p w:rsidR="00727294" w:rsidRDefault="00727294" w:rsidP="007B4799">
      <w:pPr>
        <w:pStyle w:val="standard"/>
      </w:pPr>
      <w:r>
        <w:t>Fifth, the Opponents argue that the Electri</w:t>
      </w:r>
      <w:r w:rsidR="00255678">
        <w:t>c IOU/TURN proposal w</w:t>
      </w:r>
      <w:r>
        <w:t xml:space="preserve">ould </w:t>
      </w:r>
      <w:r w:rsidR="00255678">
        <w:t xml:space="preserve">cause </w:t>
      </w:r>
      <w:r>
        <w:t xml:space="preserve">CMRS carriers </w:t>
      </w:r>
      <w:r w:rsidR="00255678">
        <w:t xml:space="preserve">to </w:t>
      </w:r>
      <w:r>
        <w:t>pay pole</w:t>
      </w:r>
      <w:r w:rsidR="00255678">
        <w:noBreakHyphen/>
      </w:r>
      <w:r>
        <w:t xml:space="preserve">attachment fees that are manifestly unreasonable, as shown in the following table: </w:t>
      </w:r>
    </w:p>
    <w:p w:rsidR="00727294" w:rsidRDefault="00727294" w:rsidP="00727294">
      <w:pPr>
        <w:pStyle w:val="standard"/>
        <w:spacing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2571"/>
        <w:gridCol w:w="2866"/>
      </w:tblGrid>
      <w:tr w:rsidR="00116B52" w:rsidTr="00116B52">
        <w:trPr>
          <w:cantSplit/>
          <w:jc w:val="center"/>
        </w:trPr>
        <w:tc>
          <w:tcPr>
            <w:tcW w:w="9563" w:type="dxa"/>
            <w:gridSpan w:val="3"/>
            <w:shd w:val="clear" w:color="auto" w:fill="D9D9D9"/>
            <w:vAlign w:val="center"/>
          </w:tcPr>
          <w:p w:rsidR="00116B52" w:rsidRDefault="0036084A" w:rsidP="00A05612">
            <w:pPr>
              <w:pStyle w:val="standard"/>
              <w:keepNext/>
              <w:widowControl w:val="0"/>
              <w:spacing w:before="60" w:after="60" w:line="240" w:lineRule="auto"/>
              <w:ind w:firstLine="0"/>
              <w:jc w:val="center"/>
              <w:rPr>
                <w:b/>
              </w:rPr>
            </w:pPr>
            <w:r>
              <w:rPr>
                <w:b/>
              </w:rPr>
              <w:t xml:space="preserve">The </w:t>
            </w:r>
            <w:r w:rsidR="00116B52">
              <w:rPr>
                <w:b/>
              </w:rPr>
              <w:t>Electric IOU</w:t>
            </w:r>
            <w:r>
              <w:rPr>
                <w:b/>
              </w:rPr>
              <w:t xml:space="preserve">s and </w:t>
            </w:r>
            <w:r w:rsidR="00116B52">
              <w:rPr>
                <w:b/>
              </w:rPr>
              <w:t>TURN</w:t>
            </w:r>
            <w:r>
              <w:rPr>
                <w:b/>
              </w:rPr>
              <w:t xml:space="preserve">’s </w:t>
            </w:r>
            <w:r w:rsidR="00116B52">
              <w:rPr>
                <w:b/>
              </w:rPr>
              <w:t>Annual Fee for CMRS Pole Attachments</w:t>
            </w:r>
          </w:p>
        </w:tc>
      </w:tr>
      <w:tr w:rsidR="00116B52" w:rsidTr="00116B52">
        <w:trPr>
          <w:cantSplit/>
          <w:jc w:val="center"/>
        </w:trPr>
        <w:tc>
          <w:tcPr>
            <w:tcW w:w="4126" w:type="dxa"/>
            <w:shd w:val="clear" w:color="auto" w:fill="D9D9D9"/>
            <w:vAlign w:val="center"/>
          </w:tcPr>
          <w:p w:rsidR="00116B52" w:rsidRDefault="00116B52" w:rsidP="000F1289">
            <w:pPr>
              <w:pStyle w:val="standard"/>
              <w:keepNext/>
              <w:widowControl w:val="0"/>
              <w:spacing w:before="40" w:after="40" w:line="240" w:lineRule="auto"/>
              <w:ind w:firstLine="0"/>
              <w:jc w:val="center"/>
            </w:pPr>
          </w:p>
        </w:tc>
        <w:tc>
          <w:tcPr>
            <w:tcW w:w="2571" w:type="dxa"/>
            <w:shd w:val="clear" w:color="auto" w:fill="D9D9D9"/>
            <w:vAlign w:val="center"/>
          </w:tcPr>
          <w:p w:rsidR="00116B52" w:rsidRPr="000F1289" w:rsidRDefault="00116B52" w:rsidP="00FC611E">
            <w:pPr>
              <w:pStyle w:val="standard"/>
              <w:keepNext/>
              <w:widowControl w:val="0"/>
              <w:spacing w:before="40" w:after="40" w:line="240" w:lineRule="auto"/>
              <w:ind w:firstLine="0"/>
              <w:jc w:val="center"/>
              <w:rPr>
                <w:b/>
              </w:rPr>
            </w:pPr>
            <w:r>
              <w:rPr>
                <w:b/>
              </w:rPr>
              <w:t xml:space="preserve">One </w:t>
            </w:r>
            <w:r w:rsidRPr="000F1289">
              <w:rPr>
                <w:b/>
              </w:rPr>
              <w:t>Pole-</w:t>
            </w:r>
            <w:r w:rsidRPr="00116B52">
              <w:rPr>
                <w:b/>
              </w:rPr>
              <w:t>Top Antenna</w:t>
            </w:r>
          </w:p>
          <w:p w:rsidR="00116B52" w:rsidRPr="000F1289" w:rsidRDefault="00116B52" w:rsidP="00116B52">
            <w:pPr>
              <w:pStyle w:val="standard"/>
              <w:keepNext/>
              <w:widowControl w:val="0"/>
              <w:spacing w:before="40" w:after="40" w:line="240" w:lineRule="auto"/>
              <w:ind w:firstLine="0"/>
              <w:jc w:val="center"/>
              <w:rPr>
                <w:b/>
              </w:rPr>
            </w:pPr>
            <w:r w:rsidRPr="000F1289">
              <w:rPr>
                <w:b/>
              </w:rPr>
              <w:t>Chargeable</w:t>
            </w:r>
            <w:r>
              <w:rPr>
                <w:b/>
              </w:rPr>
              <w:t> </w:t>
            </w:r>
            <w:r w:rsidRPr="000F1289">
              <w:rPr>
                <w:b/>
              </w:rPr>
              <w:t>Space</w:t>
            </w:r>
          </w:p>
        </w:tc>
        <w:tc>
          <w:tcPr>
            <w:tcW w:w="2866" w:type="dxa"/>
            <w:shd w:val="clear" w:color="auto" w:fill="D9D9D9"/>
            <w:vAlign w:val="center"/>
          </w:tcPr>
          <w:p w:rsidR="00116B52" w:rsidRPr="000F1289" w:rsidRDefault="00116B52" w:rsidP="000F1289">
            <w:pPr>
              <w:pStyle w:val="standard"/>
              <w:keepNext/>
              <w:widowControl w:val="0"/>
              <w:spacing w:before="40" w:after="40" w:line="240" w:lineRule="auto"/>
              <w:ind w:firstLine="0"/>
              <w:jc w:val="center"/>
              <w:rPr>
                <w:b/>
              </w:rPr>
            </w:pPr>
            <w:r>
              <w:rPr>
                <w:b/>
              </w:rPr>
              <w:t xml:space="preserve">One </w:t>
            </w:r>
            <w:r w:rsidRPr="000F1289">
              <w:rPr>
                <w:b/>
              </w:rPr>
              <w:t xml:space="preserve">Mid-Pole </w:t>
            </w:r>
            <w:r w:rsidRPr="00116B52">
              <w:rPr>
                <w:b/>
              </w:rPr>
              <w:t>Antenna</w:t>
            </w:r>
          </w:p>
          <w:p w:rsidR="00116B52" w:rsidRPr="000F1289" w:rsidRDefault="00116B52" w:rsidP="00116B52">
            <w:pPr>
              <w:pStyle w:val="standard"/>
              <w:keepNext/>
              <w:widowControl w:val="0"/>
              <w:spacing w:before="40" w:after="40" w:line="240" w:lineRule="auto"/>
              <w:ind w:firstLine="0"/>
              <w:jc w:val="center"/>
              <w:rPr>
                <w:b/>
              </w:rPr>
            </w:pPr>
            <w:r w:rsidRPr="000F1289">
              <w:rPr>
                <w:b/>
              </w:rPr>
              <w:t>Chargeable</w:t>
            </w:r>
            <w:r>
              <w:rPr>
                <w:b/>
              </w:rPr>
              <w:t> </w:t>
            </w:r>
            <w:r w:rsidRPr="000F1289">
              <w:rPr>
                <w:b/>
              </w:rPr>
              <w:t>Space</w:t>
            </w:r>
          </w:p>
        </w:tc>
      </w:tr>
      <w:tr w:rsidR="00116B52" w:rsidTr="00116B52">
        <w:trPr>
          <w:cantSplit/>
          <w:jc w:val="center"/>
        </w:trPr>
        <w:tc>
          <w:tcPr>
            <w:tcW w:w="4126" w:type="dxa"/>
            <w:shd w:val="clear" w:color="auto" w:fill="auto"/>
            <w:vAlign w:val="center"/>
          </w:tcPr>
          <w:p w:rsidR="00116B52" w:rsidRPr="000F1289" w:rsidRDefault="00116B52" w:rsidP="000F1289">
            <w:pPr>
              <w:pStyle w:val="standard"/>
              <w:keepNext/>
              <w:widowControl w:val="0"/>
              <w:spacing w:before="40" w:after="40" w:line="240" w:lineRule="auto"/>
              <w:ind w:firstLine="0"/>
              <w:jc w:val="center"/>
              <w:rPr>
                <w:b/>
              </w:rPr>
            </w:pPr>
            <w:r w:rsidRPr="000F1289">
              <w:rPr>
                <w:b/>
              </w:rPr>
              <w:t>Antenna Size</w:t>
            </w:r>
            <w:r>
              <w:rPr>
                <w:b/>
              </w:rPr>
              <w:t>s</w:t>
            </w:r>
          </w:p>
        </w:tc>
        <w:tc>
          <w:tcPr>
            <w:tcW w:w="2571" w:type="dxa"/>
            <w:vAlign w:val="center"/>
          </w:tcPr>
          <w:p w:rsidR="00116B52" w:rsidRDefault="00116B52" w:rsidP="00A05612">
            <w:pPr>
              <w:pStyle w:val="standard"/>
              <w:keepNext/>
              <w:widowControl w:val="0"/>
              <w:spacing w:before="40" w:after="40" w:line="240" w:lineRule="auto"/>
              <w:ind w:firstLine="0"/>
              <w:jc w:val="center"/>
            </w:pPr>
            <w:r>
              <w:t xml:space="preserve">2 – 4 </w:t>
            </w:r>
            <w:r w:rsidR="00A05612">
              <w:t>f</w:t>
            </w:r>
            <w:r>
              <w:t>eet</w:t>
            </w:r>
          </w:p>
        </w:tc>
        <w:tc>
          <w:tcPr>
            <w:tcW w:w="2866" w:type="dxa"/>
            <w:shd w:val="clear" w:color="auto" w:fill="auto"/>
            <w:vAlign w:val="center"/>
          </w:tcPr>
          <w:p w:rsidR="00116B52" w:rsidRDefault="00116B52" w:rsidP="00A05612">
            <w:pPr>
              <w:pStyle w:val="standard"/>
              <w:keepNext/>
              <w:widowControl w:val="0"/>
              <w:spacing w:before="40" w:after="40" w:line="240" w:lineRule="auto"/>
              <w:ind w:firstLine="0"/>
              <w:jc w:val="center"/>
            </w:pPr>
            <w:r>
              <w:t xml:space="preserve">2 – 4 </w:t>
            </w:r>
            <w:r w:rsidR="00A05612">
              <w:t>f</w:t>
            </w:r>
            <w:r>
              <w:t>eet</w:t>
            </w:r>
          </w:p>
        </w:tc>
      </w:tr>
      <w:tr w:rsidR="00116B52" w:rsidTr="00116B52">
        <w:trPr>
          <w:cantSplit/>
          <w:jc w:val="center"/>
        </w:trPr>
        <w:tc>
          <w:tcPr>
            <w:tcW w:w="4126" w:type="dxa"/>
            <w:shd w:val="clear" w:color="auto" w:fill="auto"/>
            <w:vAlign w:val="center"/>
          </w:tcPr>
          <w:p w:rsidR="00116B52" w:rsidRPr="000F1289" w:rsidRDefault="00116B52" w:rsidP="000F1289">
            <w:pPr>
              <w:pStyle w:val="standard"/>
              <w:keepNext/>
              <w:widowControl w:val="0"/>
              <w:spacing w:before="40" w:after="40" w:line="240" w:lineRule="auto"/>
              <w:ind w:firstLine="0"/>
              <w:jc w:val="center"/>
              <w:rPr>
                <w:b/>
              </w:rPr>
            </w:pPr>
            <w:r w:rsidRPr="000F1289">
              <w:rPr>
                <w:b/>
              </w:rPr>
              <w:t>Safety Clearance</w:t>
            </w:r>
            <w:r>
              <w:rPr>
                <w:b/>
              </w:rPr>
              <w:t>s</w:t>
            </w:r>
          </w:p>
        </w:tc>
        <w:tc>
          <w:tcPr>
            <w:tcW w:w="2571" w:type="dxa"/>
            <w:vAlign w:val="center"/>
          </w:tcPr>
          <w:p w:rsidR="00116B52" w:rsidRDefault="00116B52" w:rsidP="00A05612">
            <w:pPr>
              <w:pStyle w:val="standard"/>
              <w:keepNext/>
              <w:widowControl w:val="0"/>
              <w:spacing w:before="40" w:after="40" w:line="240" w:lineRule="auto"/>
              <w:ind w:firstLine="0"/>
              <w:jc w:val="center"/>
            </w:pPr>
            <w:r>
              <w:t xml:space="preserve">4 – 10 </w:t>
            </w:r>
            <w:r w:rsidR="00A05612">
              <w:t>f</w:t>
            </w:r>
            <w:r>
              <w:t>eet</w:t>
            </w:r>
          </w:p>
        </w:tc>
        <w:tc>
          <w:tcPr>
            <w:tcW w:w="2866" w:type="dxa"/>
            <w:shd w:val="clear" w:color="auto" w:fill="auto"/>
            <w:vAlign w:val="center"/>
          </w:tcPr>
          <w:p w:rsidR="00116B52" w:rsidRDefault="00116B52" w:rsidP="00A05612">
            <w:pPr>
              <w:pStyle w:val="standard"/>
              <w:keepNext/>
              <w:widowControl w:val="0"/>
              <w:spacing w:before="40" w:after="40" w:line="240" w:lineRule="auto"/>
              <w:ind w:firstLine="0"/>
              <w:jc w:val="center"/>
            </w:pPr>
            <w:r>
              <w:t xml:space="preserve">2 </w:t>
            </w:r>
            <w:r w:rsidR="00A05612">
              <w:t>f</w:t>
            </w:r>
            <w:r>
              <w:t>eet</w:t>
            </w:r>
          </w:p>
        </w:tc>
      </w:tr>
      <w:tr w:rsidR="00116B52" w:rsidTr="00116B52">
        <w:trPr>
          <w:cantSplit/>
          <w:jc w:val="center"/>
        </w:trPr>
        <w:tc>
          <w:tcPr>
            <w:tcW w:w="4126" w:type="dxa"/>
            <w:shd w:val="clear" w:color="auto" w:fill="auto"/>
            <w:vAlign w:val="center"/>
          </w:tcPr>
          <w:p w:rsidR="00116B52" w:rsidRPr="000F1289" w:rsidRDefault="00116B52" w:rsidP="00116B52">
            <w:pPr>
              <w:pStyle w:val="standard"/>
              <w:keepNext/>
              <w:widowControl w:val="0"/>
              <w:spacing w:before="40" w:after="40" w:line="240" w:lineRule="auto"/>
              <w:ind w:firstLine="0"/>
              <w:jc w:val="center"/>
              <w:rPr>
                <w:b/>
              </w:rPr>
            </w:pPr>
            <w:r w:rsidRPr="000F1289">
              <w:rPr>
                <w:b/>
              </w:rPr>
              <w:t>Larger of Antenna Size or Safety</w:t>
            </w:r>
            <w:r>
              <w:rPr>
                <w:b/>
              </w:rPr>
              <w:t> </w:t>
            </w:r>
            <w:r w:rsidRPr="000F1289">
              <w:rPr>
                <w:b/>
              </w:rPr>
              <w:t>Clearance</w:t>
            </w:r>
          </w:p>
        </w:tc>
        <w:tc>
          <w:tcPr>
            <w:tcW w:w="2571" w:type="dxa"/>
            <w:vAlign w:val="center"/>
          </w:tcPr>
          <w:p w:rsidR="00116B52" w:rsidRDefault="00116B52" w:rsidP="00A05612">
            <w:pPr>
              <w:pStyle w:val="standard"/>
              <w:keepNext/>
              <w:widowControl w:val="0"/>
              <w:spacing w:before="40" w:after="40" w:line="240" w:lineRule="auto"/>
              <w:ind w:firstLine="0"/>
              <w:jc w:val="center"/>
            </w:pPr>
            <w:r>
              <w:t xml:space="preserve">4 – 10 </w:t>
            </w:r>
            <w:r w:rsidR="00A05612">
              <w:t>f</w:t>
            </w:r>
            <w:r>
              <w:t>eet</w:t>
            </w:r>
          </w:p>
        </w:tc>
        <w:tc>
          <w:tcPr>
            <w:tcW w:w="2866" w:type="dxa"/>
            <w:shd w:val="clear" w:color="auto" w:fill="auto"/>
            <w:vAlign w:val="center"/>
          </w:tcPr>
          <w:p w:rsidR="00116B52" w:rsidRDefault="00116B52" w:rsidP="00500731">
            <w:pPr>
              <w:pStyle w:val="standard"/>
              <w:keepNext/>
              <w:widowControl w:val="0"/>
              <w:spacing w:before="40" w:after="40" w:line="240" w:lineRule="auto"/>
              <w:ind w:firstLine="0"/>
              <w:jc w:val="center"/>
            </w:pPr>
            <w:r>
              <w:t>n/a</w:t>
            </w:r>
          </w:p>
        </w:tc>
      </w:tr>
      <w:tr w:rsidR="00116B52" w:rsidTr="00116B52">
        <w:trPr>
          <w:cantSplit/>
          <w:jc w:val="center"/>
        </w:trPr>
        <w:tc>
          <w:tcPr>
            <w:tcW w:w="4126" w:type="dxa"/>
            <w:shd w:val="clear" w:color="auto" w:fill="auto"/>
            <w:vAlign w:val="center"/>
          </w:tcPr>
          <w:p w:rsidR="00116B52" w:rsidRPr="000F1289" w:rsidRDefault="00116B52" w:rsidP="000F1289">
            <w:pPr>
              <w:pStyle w:val="standard"/>
              <w:keepNext/>
              <w:widowControl w:val="0"/>
              <w:spacing w:before="40" w:after="40" w:line="240" w:lineRule="auto"/>
              <w:ind w:firstLine="0"/>
              <w:jc w:val="center"/>
              <w:rPr>
                <w:b/>
              </w:rPr>
            </w:pPr>
            <w:r w:rsidRPr="000F1289">
              <w:rPr>
                <w:b/>
              </w:rPr>
              <w:t>Attachments in Common Space</w:t>
            </w:r>
          </w:p>
        </w:tc>
        <w:tc>
          <w:tcPr>
            <w:tcW w:w="2571" w:type="dxa"/>
            <w:vAlign w:val="center"/>
          </w:tcPr>
          <w:p w:rsidR="00116B52" w:rsidRDefault="00116B52" w:rsidP="00FC611E">
            <w:pPr>
              <w:pStyle w:val="standard"/>
              <w:keepNext/>
              <w:widowControl w:val="0"/>
              <w:spacing w:before="40" w:after="40" w:line="240" w:lineRule="auto"/>
              <w:ind w:firstLine="0"/>
              <w:jc w:val="center"/>
            </w:pPr>
            <w:r>
              <w:t>2 – 6 feet</w:t>
            </w:r>
          </w:p>
        </w:tc>
        <w:tc>
          <w:tcPr>
            <w:tcW w:w="2866" w:type="dxa"/>
            <w:shd w:val="clear" w:color="auto" w:fill="auto"/>
            <w:vAlign w:val="center"/>
          </w:tcPr>
          <w:p w:rsidR="00116B52" w:rsidRDefault="00116B52" w:rsidP="00A05612">
            <w:pPr>
              <w:pStyle w:val="standard"/>
              <w:keepNext/>
              <w:widowControl w:val="0"/>
              <w:spacing w:before="40" w:after="40" w:line="240" w:lineRule="auto"/>
              <w:ind w:firstLine="0"/>
              <w:jc w:val="center"/>
            </w:pPr>
            <w:r>
              <w:t xml:space="preserve">2 – 6 </w:t>
            </w:r>
            <w:r w:rsidR="00A05612">
              <w:t>f</w:t>
            </w:r>
            <w:r>
              <w:t>eet</w:t>
            </w:r>
          </w:p>
        </w:tc>
      </w:tr>
      <w:tr w:rsidR="00116B52" w:rsidTr="00116B52">
        <w:trPr>
          <w:cantSplit/>
          <w:jc w:val="center"/>
        </w:trPr>
        <w:tc>
          <w:tcPr>
            <w:tcW w:w="4126" w:type="dxa"/>
            <w:shd w:val="clear" w:color="auto" w:fill="auto"/>
            <w:vAlign w:val="center"/>
          </w:tcPr>
          <w:p w:rsidR="00116B52" w:rsidRPr="000F1289" w:rsidRDefault="00116B52" w:rsidP="000F1289">
            <w:pPr>
              <w:pStyle w:val="standard"/>
              <w:keepNext/>
              <w:widowControl w:val="0"/>
              <w:spacing w:before="40" w:after="40" w:line="240" w:lineRule="auto"/>
              <w:ind w:firstLine="0"/>
              <w:jc w:val="center"/>
              <w:rPr>
                <w:b/>
              </w:rPr>
            </w:pPr>
            <w:r w:rsidRPr="000F1289">
              <w:rPr>
                <w:b/>
              </w:rPr>
              <w:t>Total Chargeable Space</w:t>
            </w:r>
          </w:p>
        </w:tc>
        <w:tc>
          <w:tcPr>
            <w:tcW w:w="2571" w:type="dxa"/>
            <w:vAlign w:val="center"/>
          </w:tcPr>
          <w:p w:rsidR="00116B52" w:rsidRDefault="00116B52" w:rsidP="00FC611E">
            <w:pPr>
              <w:pStyle w:val="standard"/>
              <w:keepNext/>
              <w:widowControl w:val="0"/>
              <w:spacing w:before="40" w:after="40" w:line="240" w:lineRule="auto"/>
              <w:ind w:firstLine="0"/>
              <w:jc w:val="center"/>
            </w:pPr>
            <w:r>
              <w:t>6 – 16 feet</w:t>
            </w:r>
          </w:p>
        </w:tc>
        <w:tc>
          <w:tcPr>
            <w:tcW w:w="2866" w:type="dxa"/>
            <w:shd w:val="clear" w:color="auto" w:fill="auto"/>
            <w:vAlign w:val="center"/>
          </w:tcPr>
          <w:p w:rsidR="00116B52" w:rsidRDefault="00116B52" w:rsidP="000F1289">
            <w:pPr>
              <w:pStyle w:val="standard"/>
              <w:keepNext/>
              <w:widowControl w:val="0"/>
              <w:spacing w:before="40" w:after="40" w:line="240" w:lineRule="auto"/>
              <w:ind w:firstLine="0"/>
              <w:jc w:val="center"/>
            </w:pPr>
            <w:r>
              <w:t>6 – 12 feet</w:t>
            </w:r>
          </w:p>
        </w:tc>
      </w:tr>
      <w:tr w:rsidR="00116B52" w:rsidTr="00116B52">
        <w:trPr>
          <w:cantSplit/>
          <w:jc w:val="center"/>
        </w:trPr>
        <w:tc>
          <w:tcPr>
            <w:tcW w:w="4126" w:type="dxa"/>
            <w:shd w:val="clear" w:color="auto" w:fill="auto"/>
            <w:vAlign w:val="center"/>
          </w:tcPr>
          <w:p w:rsidR="00116B52" w:rsidRPr="000F1289" w:rsidRDefault="00116B52" w:rsidP="000F1289">
            <w:pPr>
              <w:pStyle w:val="standard"/>
              <w:widowControl w:val="0"/>
              <w:spacing w:before="40" w:after="40" w:line="240" w:lineRule="auto"/>
              <w:ind w:firstLine="0"/>
              <w:jc w:val="center"/>
              <w:rPr>
                <w:b/>
              </w:rPr>
            </w:pPr>
            <w:r>
              <w:rPr>
                <w:b/>
              </w:rPr>
              <w:t>Annual Fee at 7.4% per F</w:t>
            </w:r>
            <w:r w:rsidRPr="000F1289">
              <w:rPr>
                <w:b/>
              </w:rPr>
              <w:t>oot</w:t>
            </w:r>
          </w:p>
        </w:tc>
        <w:tc>
          <w:tcPr>
            <w:tcW w:w="2571" w:type="dxa"/>
            <w:vAlign w:val="center"/>
          </w:tcPr>
          <w:p w:rsidR="00116B52" w:rsidRDefault="00116B52" w:rsidP="00FC611E">
            <w:pPr>
              <w:pStyle w:val="standard"/>
              <w:widowControl w:val="0"/>
              <w:spacing w:before="40" w:after="40" w:line="240" w:lineRule="auto"/>
              <w:ind w:firstLine="0"/>
              <w:jc w:val="center"/>
            </w:pPr>
            <w:r>
              <w:t>44.4% - 118.4%</w:t>
            </w:r>
          </w:p>
        </w:tc>
        <w:tc>
          <w:tcPr>
            <w:tcW w:w="2866" w:type="dxa"/>
            <w:shd w:val="clear" w:color="auto" w:fill="auto"/>
            <w:vAlign w:val="center"/>
          </w:tcPr>
          <w:p w:rsidR="00116B52" w:rsidRDefault="00116B52" w:rsidP="000F1289">
            <w:pPr>
              <w:pStyle w:val="standard"/>
              <w:widowControl w:val="0"/>
              <w:spacing w:before="40" w:after="40" w:line="240" w:lineRule="auto"/>
              <w:ind w:firstLine="0"/>
              <w:jc w:val="center"/>
            </w:pPr>
            <w:r>
              <w:t>44.4% - 88.8%</w:t>
            </w:r>
          </w:p>
        </w:tc>
      </w:tr>
    </w:tbl>
    <w:p w:rsidR="004D2D4A" w:rsidRDefault="004D2D4A" w:rsidP="00457535">
      <w:pPr>
        <w:pStyle w:val="standard"/>
        <w:spacing w:line="240" w:lineRule="auto"/>
      </w:pPr>
    </w:p>
    <w:p w:rsidR="00727294" w:rsidRDefault="00C60B64" w:rsidP="00C60B64">
      <w:pPr>
        <w:pStyle w:val="standard"/>
      </w:pPr>
      <w:r>
        <w:lastRenderedPageBreak/>
        <w:t xml:space="preserve">The Opponents state that it is unreasonable to charge CMRS pole </w:t>
      </w:r>
      <w:r w:rsidR="0036084A">
        <w:t>installations</w:t>
      </w:r>
      <w:r>
        <w:t xml:space="preserve"> </w:t>
      </w:r>
      <w:r w:rsidR="008F062A">
        <w:t>a</w:t>
      </w:r>
      <w:r w:rsidR="002C05D1">
        <w:t>n</w:t>
      </w:r>
      <w:r w:rsidR="008F062A">
        <w:t xml:space="preserve"> annual fee </w:t>
      </w:r>
      <w:r w:rsidR="0036084A">
        <w:t xml:space="preserve">in the range of </w:t>
      </w:r>
      <w:r>
        <w:t>44.4%</w:t>
      </w:r>
      <w:r w:rsidR="008F062A">
        <w:t> </w:t>
      </w:r>
      <w:r w:rsidR="0036084A">
        <w:t>to</w:t>
      </w:r>
      <w:r w:rsidR="008F062A">
        <w:t> </w:t>
      </w:r>
      <w:r w:rsidR="00116B52">
        <w:t>118.4</w:t>
      </w:r>
      <w:r>
        <w:t xml:space="preserve">% </w:t>
      </w:r>
      <w:r w:rsidR="008F062A">
        <w:t>of</w:t>
      </w:r>
      <w:r>
        <w:t xml:space="preserve"> a pole’s annual cost</w:t>
      </w:r>
      <w:r w:rsidR="008F062A">
        <w:t>-</w:t>
      </w:r>
      <w:r>
        <w:t>of</w:t>
      </w:r>
      <w:r w:rsidR="008F062A">
        <w:t>-</w:t>
      </w:r>
      <w:r>
        <w:t>ownership given that the amount of usable</w:t>
      </w:r>
      <w:r w:rsidR="002C05D1">
        <w:t xml:space="preserve"> </w:t>
      </w:r>
      <w:r>
        <w:t xml:space="preserve">pole space </w:t>
      </w:r>
      <w:r w:rsidR="00D72FE7">
        <w:t xml:space="preserve">physically </w:t>
      </w:r>
      <w:r>
        <w:t xml:space="preserve">occupied by CMRS </w:t>
      </w:r>
      <w:r w:rsidR="00453486">
        <w:t xml:space="preserve">attachments is </w:t>
      </w:r>
      <w:r w:rsidR="00614846">
        <w:t xml:space="preserve">1 to </w:t>
      </w:r>
      <w:r w:rsidR="00453486">
        <w:t>2 feet for the antenna attachment bracket</w:t>
      </w:r>
      <w:r w:rsidR="008E0D61">
        <w:t>.  Further, a pole-attachment fee in the range of 44.4% to 1</w:t>
      </w:r>
      <w:r w:rsidR="00116B52">
        <w:t>18.4</w:t>
      </w:r>
      <w:r w:rsidR="008E0D61">
        <w:t>% for CMRS attachments, together with the pole</w:t>
      </w:r>
      <w:r w:rsidR="002C05D1">
        <w:t>-</w:t>
      </w:r>
      <w:r w:rsidR="008E0D61">
        <w:t xml:space="preserve">attachment fees paid by </w:t>
      </w:r>
      <w:r w:rsidR="004F131D">
        <w:t>CLEC</w:t>
      </w:r>
      <w:r w:rsidR="008E0D61">
        <w:t xml:space="preserve"> and CATV attachers, would in many </w:t>
      </w:r>
      <w:r w:rsidR="002C05D1">
        <w:t>cases</w:t>
      </w:r>
      <w:r w:rsidR="008E0D61">
        <w:t xml:space="preserve"> exceed 100% of the pole owner’s annual cost-of-ownership for the pole and thereby </w:t>
      </w:r>
      <w:r w:rsidR="002C05D1">
        <w:t xml:space="preserve">provide </w:t>
      </w:r>
      <w:r w:rsidR="008E0D61">
        <w:t xml:space="preserve">an unreasonable subsidy to pole owners.   </w:t>
      </w:r>
      <w:r w:rsidR="00FE2092">
        <w:t xml:space="preserve">  </w:t>
      </w:r>
    </w:p>
    <w:p w:rsidR="0022547E" w:rsidRDefault="00DD7448" w:rsidP="00827941">
      <w:pPr>
        <w:pStyle w:val="standard"/>
        <w:rPr>
          <w:rFonts w:eastAsia="Calibri"/>
        </w:rPr>
      </w:pPr>
      <w:r>
        <w:t xml:space="preserve">Finally, </w:t>
      </w:r>
      <w:r w:rsidR="00B863DC">
        <w:t>the O</w:t>
      </w:r>
      <w:r w:rsidR="0004440E">
        <w:t xml:space="preserve">pponents </w:t>
      </w:r>
      <w:r w:rsidR="001109F2">
        <w:t>claim</w:t>
      </w:r>
      <w:r w:rsidR="0004440E">
        <w:t xml:space="preserve"> </w:t>
      </w:r>
      <w:r w:rsidR="0004440E">
        <w:rPr>
          <w:rFonts w:eastAsia="Arial"/>
        </w:rPr>
        <w:t>the Electric IOU/TURN proposal is contrary</w:t>
      </w:r>
      <w:r w:rsidR="008F062A">
        <w:rPr>
          <w:rFonts w:eastAsia="Arial"/>
        </w:rPr>
        <w:t xml:space="preserve"> to </w:t>
      </w:r>
      <w:r w:rsidR="0068419A">
        <w:rPr>
          <w:rFonts w:eastAsia="Arial"/>
        </w:rPr>
        <w:t xml:space="preserve">the </w:t>
      </w:r>
      <w:r w:rsidR="008F062A">
        <w:rPr>
          <w:rFonts w:eastAsia="Arial"/>
        </w:rPr>
        <w:t xml:space="preserve">federal </w:t>
      </w:r>
      <w:r w:rsidR="0068419A">
        <w:rPr>
          <w:rFonts w:eastAsia="Arial"/>
        </w:rPr>
        <w:t xml:space="preserve">requirement that </w:t>
      </w:r>
      <w:r w:rsidR="00EA2E1B" w:rsidRPr="001E493E">
        <w:t xml:space="preserve">the </w:t>
      </w:r>
      <w:r w:rsidR="001109F2">
        <w:t xml:space="preserve">fee </w:t>
      </w:r>
      <w:r w:rsidR="00EA2E1B" w:rsidRPr="001E493E">
        <w:t xml:space="preserve">for wireless attachments be no greater than the maximum reasonable </w:t>
      </w:r>
      <w:r w:rsidR="008E0D61">
        <w:t>fee</w:t>
      </w:r>
      <w:r w:rsidR="00EA2E1B" w:rsidRPr="001E493E">
        <w:t xml:space="preserve"> for other telecommunications pole attachments.</w:t>
      </w:r>
      <w:r w:rsidR="00EA2E1B" w:rsidRPr="00E15E99">
        <w:rPr>
          <w:rStyle w:val="StandardFootnoteReferenceChar"/>
        </w:rPr>
        <w:footnoteReference w:id="22"/>
      </w:r>
      <w:r w:rsidR="00EA2E1B" w:rsidRPr="001E493E">
        <w:t xml:space="preserve">  </w:t>
      </w:r>
      <w:r w:rsidR="00A57F7A" w:rsidRPr="00902B0C">
        <w:rPr>
          <w:rFonts w:eastAsia="Calibri"/>
        </w:rPr>
        <w:t xml:space="preserve">The FCC has </w:t>
      </w:r>
      <w:r w:rsidR="001F2523">
        <w:rPr>
          <w:rFonts w:eastAsia="Calibri"/>
        </w:rPr>
        <w:t>determined</w:t>
      </w:r>
      <w:r w:rsidR="00A57F7A" w:rsidRPr="00902B0C">
        <w:rPr>
          <w:rFonts w:eastAsia="Calibri"/>
        </w:rPr>
        <w:t xml:space="preserve"> that federal laws and its own regulations “do not allow pole access fees to be </w:t>
      </w:r>
      <w:r w:rsidR="00A57F7A" w:rsidRPr="00961005">
        <w:t>levied</w:t>
      </w:r>
      <w:r w:rsidR="00A57F7A" w:rsidRPr="00902B0C">
        <w:rPr>
          <w:rFonts w:eastAsia="Calibri"/>
        </w:rPr>
        <w:t xml:space="preserve"> against wireless carriers in addition to the statutory pole rental rate, which is based on the space occupied by the attachment and the number of attaching entities on the pole, together with reasonable make-ready fees.</w:t>
      </w:r>
      <w:r w:rsidR="00A57F7A" w:rsidRPr="00E15E99">
        <w:rPr>
          <w:rStyle w:val="StandardFootnoteReferenceChar"/>
          <w:rFonts w:eastAsia="Calibri"/>
        </w:rPr>
        <w:footnoteReference w:id="23"/>
      </w:r>
      <w:r w:rsidR="00A57F7A" w:rsidRPr="00902B0C">
        <w:rPr>
          <w:rFonts w:eastAsia="Calibri"/>
        </w:rPr>
        <w:t>”</w:t>
      </w:r>
      <w:r w:rsidR="00A57F7A">
        <w:rPr>
          <w:rFonts w:eastAsia="Calibri"/>
        </w:rPr>
        <w:t xml:space="preserve"> </w:t>
      </w:r>
      <w:r w:rsidR="00827941">
        <w:rPr>
          <w:rFonts w:eastAsia="Calibri"/>
        </w:rPr>
        <w:t xml:space="preserve"> </w:t>
      </w:r>
    </w:p>
    <w:p w:rsidR="008E33A0" w:rsidRDefault="008E33A0" w:rsidP="005719C6">
      <w:pPr>
        <w:pStyle w:val="Heading3"/>
      </w:pPr>
      <w:bookmarkStart w:id="32" w:name="_Toc424321897"/>
      <w:bookmarkStart w:id="33" w:name="_Toc436647320"/>
      <w:r>
        <w:t>Discussion</w:t>
      </w:r>
      <w:bookmarkEnd w:id="32"/>
      <w:bookmarkEnd w:id="33"/>
      <w:r>
        <w:t xml:space="preserve"> </w:t>
      </w:r>
    </w:p>
    <w:p w:rsidR="00E50054" w:rsidRPr="00F95EDF" w:rsidRDefault="00F95EDF" w:rsidP="00F95EDF">
      <w:pPr>
        <w:pStyle w:val="standard"/>
      </w:pPr>
      <w:r>
        <w:t xml:space="preserve">The issue before us is the </w:t>
      </w:r>
      <w:r w:rsidR="00BE765E">
        <w:t xml:space="preserve">charges and </w:t>
      </w:r>
      <w:r w:rsidR="00054658">
        <w:t xml:space="preserve">fees that CMRS carriers should pay </w:t>
      </w:r>
      <w:r w:rsidR="00D53826">
        <w:t>to</w:t>
      </w:r>
      <w:r w:rsidR="00054658">
        <w:t xml:space="preserve"> access public utility </w:t>
      </w:r>
      <w:r w:rsidR="003A10F4">
        <w:t>infrastructure</w:t>
      </w:r>
      <w:r w:rsidR="00054658">
        <w:t xml:space="preserve">.  </w:t>
      </w:r>
      <w:r w:rsidR="007A3806">
        <w:rPr>
          <w:rFonts w:eastAsia="Calibri"/>
        </w:rPr>
        <w:t xml:space="preserve">The principle of nondiscriminatory access </w:t>
      </w:r>
      <w:r w:rsidR="008E0D61">
        <w:rPr>
          <w:rFonts w:eastAsia="Calibri"/>
        </w:rPr>
        <w:t xml:space="preserve">embodied in the ROW Rules </w:t>
      </w:r>
      <w:r w:rsidR="007A3806">
        <w:rPr>
          <w:rFonts w:eastAsia="Calibri"/>
        </w:rPr>
        <w:t>requires that CMRS carrie</w:t>
      </w:r>
      <w:r w:rsidR="00A53B86">
        <w:rPr>
          <w:rFonts w:eastAsia="Calibri"/>
        </w:rPr>
        <w:t>r</w:t>
      </w:r>
      <w:r w:rsidR="007A3806">
        <w:rPr>
          <w:rFonts w:eastAsia="Calibri"/>
        </w:rPr>
        <w:t xml:space="preserve">s pay the same </w:t>
      </w:r>
      <w:r w:rsidR="00A53B86">
        <w:rPr>
          <w:rFonts w:eastAsia="Calibri"/>
        </w:rPr>
        <w:t xml:space="preserve">charges and </w:t>
      </w:r>
      <w:r w:rsidR="007A3806">
        <w:rPr>
          <w:rFonts w:eastAsia="Calibri"/>
        </w:rPr>
        <w:t xml:space="preserve">fees as </w:t>
      </w:r>
      <w:r w:rsidR="004F131D">
        <w:rPr>
          <w:rFonts w:eastAsia="Calibri"/>
        </w:rPr>
        <w:t>CLEC</w:t>
      </w:r>
      <w:r w:rsidR="007A3806">
        <w:rPr>
          <w:rFonts w:eastAsia="Calibri"/>
        </w:rPr>
        <w:t xml:space="preserve">s and CATV </w:t>
      </w:r>
      <w:r w:rsidR="00977022">
        <w:rPr>
          <w:rFonts w:eastAsia="Calibri"/>
        </w:rPr>
        <w:t>corporations</w:t>
      </w:r>
      <w:r w:rsidR="007A3806">
        <w:rPr>
          <w:rFonts w:eastAsia="Calibri"/>
        </w:rPr>
        <w:t xml:space="preserve">, except in situations where there is a </w:t>
      </w:r>
      <w:r w:rsidR="008A01F8">
        <w:rPr>
          <w:rFonts w:eastAsia="Calibri"/>
        </w:rPr>
        <w:t>significant</w:t>
      </w:r>
      <w:r w:rsidR="007A3806">
        <w:rPr>
          <w:rFonts w:eastAsia="Calibri"/>
        </w:rPr>
        <w:t xml:space="preserve"> difference in CMRS </w:t>
      </w:r>
      <w:r w:rsidR="00A53B86">
        <w:rPr>
          <w:rFonts w:eastAsia="Calibri"/>
        </w:rPr>
        <w:t xml:space="preserve">facilities </w:t>
      </w:r>
      <w:r w:rsidR="007A3806">
        <w:rPr>
          <w:rFonts w:eastAsia="Calibri"/>
        </w:rPr>
        <w:t>that justif</w:t>
      </w:r>
      <w:r w:rsidR="00A53B86">
        <w:rPr>
          <w:rFonts w:eastAsia="Calibri"/>
        </w:rPr>
        <w:t>ies</w:t>
      </w:r>
      <w:r w:rsidR="007A3806">
        <w:rPr>
          <w:rFonts w:eastAsia="Calibri"/>
        </w:rPr>
        <w:t xml:space="preserve"> different </w:t>
      </w:r>
      <w:r w:rsidR="00A53B86">
        <w:rPr>
          <w:rFonts w:eastAsia="Calibri"/>
        </w:rPr>
        <w:t>charges and fees</w:t>
      </w:r>
      <w:r w:rsidR="007A3806">
        <w:rPr>
          <w:rFonts w:eastAsia="Calibri"/>
        </w:rPr>
        <w:t>.</w:t>
      </w:r>
      <w:r w:rsidR="008E0D61" w:rsidRPr="00E15E99">
        <w:rPr>
          <w:rStyle w:val="StandardFootnoteReferenceChar"/>
        </w:rPr>
        <w:footnoteReference w:id="24"/>
      </w:r>
      <w:r w:rsidR="007A3806">
        <w:rPr>
          <w:rFonts w:eastAsia="Calibri"/>
        </w:rPr>
        <w:t xml:space="preserve"> </w:t>
      </w:r>
      <w:r w:rsidR="0031130B">
        <w:rPr>
          <w:rFonts w:eastAsia="Calibri"/>
        </w:rPr>
        <w:t xml:space="preserve"> </w:t>
      </w:r>
    </w:p>
    <w:p w:rsidR="0093595F" w:rsidRDefault="00792E41" w:rsidP="0004440E">
      <w:pPr>
        <w:pStyle w:val="standard"/>
        <w:rPr>
          <w:rFonts w:eastAsia="Calibri"/>
        </w:rPr>
      </w:pPr>
      <w:r>
        <w:rPr>
          <w:rFonts w:eastAsia="Calibri"/>
        </w:rPr>
        <w:lastRenderedPageBreak/>
        <w:t xml:space="preserve">In </w:t>
      </w:r>
      <w:r w:rsidR="007A3806">
        <w:rPr>
          <w:rFonts w:eastAsia="Calibri"/>
        </w:rPr>
        <w:t>D.98-10-058</w:t>
      </w:r>
      <w:r w:rsidR="0004440E" w:rsidRPr="00B637BD">
        <w:rPr>
          <w:rFonts w:eastAsia="Calibri"/>
        </w:rPr>
        <w:t xml:space="preserve">, </w:t>
      </w:r>
      <w:r w:rsidR="00A53B86">
        <w:rPr>
          <w:rFonts w:eastAsia="Calibri"/>
        </w:rPr>
        <w:t xml:space="preserve">the </w:t>
      </w:r>
      <w:r>
        <w:rPr>
          <w:rFonts w:eastAsia="Calibri"/>
        </w:rPr>
        <w:t xml:space="preserve">Commission determined that </w:t>
      </w:r>
      <w:r w:rsidR="00977022">
        <w:rPr>
          <w:rFonts w:eastAsia="Calibri"/>
        </w:rPr>
        <w:t xml:space="preserve">public utilities, </w:t>
      </w:r>
      <w:r w:rsidR="004F131D">
        <w:rPr>
          <w:rFonts w:eastAsia="Calibri"/>
        </w:rPr>
        <w:t>CLEC</w:t>
      </w:r>
      <w:r w:rsidR="00977022">
        <w:rPr>
          <w:rFonts w:eastAsia="Calibri"/>
        </w:rPr>
        <w:t xml:space="preserve">s, and CATV corporations </w:t>
      </w:r>
      <w:r>
        <w:rPr>
          <w:rFonts w:eastAsia="Calibri"/>
        </w:rPr>
        <w:t xml:space="preserve">should have flexibility to negotiate </w:t>
      </w:r>
      <w:r w:rsidR="008E0D61">
        <w:rPr>
          <w:rFonts w:eastAsia="Calibri"/>
        </w:rPr>
        <w:t xml:space="preserve">the </w:t>
      </w:r>
      <w:r w:rsidR="002B53A0">
        <w:rPr>
          <w:rFonts w:eastAsia="Calibri"/>
        </w:rPr>
        <w:t xml:space="preserve">terms and conditions </w:t>
      </w:r>
      <w:r>
        <w:rPr>
          <w:rFonts w:eastAsia="Calibri"/>
        </w:rPr>
        <w:t xml:space="preserve">for access to </w:t>
      </w:r>
      <w:r w:rsidR="00C52662">
        <w:rPr>
          <w:rFonts w:eastAsia="Calibri"/>
        </w:rPr>
        <w:t xml:space="preserve">public </w:t>
      </w:r>
      <w:r>
        <w:rPr>
          <w:rFonts w:eastAsia="Calibri"/>
        </w:rPr>
        <w:t xml:space="preserve">utility infrastructure.  </w:t>
      </w:r>
      <w:r w:rsidR="008E0D61">
        <w:rPr>
          <w:rFonts w:eastAsia="Calibri"/>
        </w:rPr>
        <w:t>I</w:t>
      </w:r>
      <w:r>
        <w:rPr>
          <w:rFonts w:eastAsia="Calibri"/>
        </w:rPr>
        <w:t xml:space="preserve">f </w:t>
      </w:r>
      <w:r w:rsidR="00977022">
        <w:rPr>
          <w:rFonts w:eastAsia="Calibri"/>
        </w:rPr>
        <w:t xml:space="preserve">an agreement </w:t>
      </w:r>
      <w:r>
        <w:rPr>
          <w:rFonts w:eastAsia="Calibri"/>
        </w:rPr>
        <w:t xml:space="preserve">cannot </w:t>
      </w:r>
      <w:r w:rsidR="00977022">
        <w:rPr>
          <w:rFonts w:eastAsia="Calibri"/>
        </w:rPr>
        <w:t>be reached</w:t>
      </w:r>
      <w:r>
        <w:rPr>
          <w:rFonts w:eastAsia="Calibri"/>
        </w:rPr>
        <w:t>, D.98</w:t>
      </w:r>
      <w:r w:rsidR="002B53A0">
        <w:rPr>
          <w:rFonts w:eastAsia="Calibri"/>
        </w:rPr>
        <w:noBreakHyphen/>
      </w:r>
      <w:r>
        <w:rPr>
          <w:rFonts w:eastAsia="Calibri"/>
        </w:rPr>
        <w:t>10</w:t>
      </w:r>
      <w:r w:rsidR="002B53A0">
        <w:rPr>
          <w:rFonts w:eastAsia="Calibri"/>
        </w:rPr>
        <w:noBreakHyphen/>
      </w:r>
      <w:r>
        <w:rPr>
          <w:rFonts w:eastAsia="Calibri"/>
        </w:rPr>
        <w:t xml:space="preserve">058 adopted the following </w:t>
      </w:r>
      <w:r w:rsidR="0093595F">
        <w:rPr>
          <w:rFonts w:eastAsia="Calibri"/>
        </w:rPr>
        <w:t>“default” charges and fees</w:t>
      </w:r>
      <w:r w:rsidR="006603C8">
        <w:rPr>
          <w:rStyle w:val="FootnoteReference"/>
          <w:rFonts w:eastAsia="Calibri"/>
        </w:rPr>
        <w:footnoteReference w:id="25"/>
      </w:r>
      <w:r w:rsidR="0093595F">
        <w:rPr>
          <w:rFonts w:eastAsia="Calibri"/>
        </w:rPr>
        <w:t>:</w:t>
      </w:r>
    </w:p>
    <w:p w:rsidR="0093595F" w:rsidRPr="0093595F" w:rsidRDefault="0093595F" w:rsidP="00C114B0">
      <w:pPr>
        <w:pStyle w:val="standard"/>
        <w:numPr>
          <w:ilvl w:val="0"/>
          <w:numId w:val="17"/>
        </w:numPr>
        <w:spacing w:after="80" w:line="240" w:lineRule="auto"/>
        <w:ind w:right="720"/>
        <w:rPr>
          <w:rFonts w:eastAsia="Calibri"/>
        </w:rPr>
      </w:pPr>
      <w:r w:rsidRPr="0093595F">
        <w:rPr>
          <w:rFonts w:eastAsia="Calibri"/>
        </w:rPr>
        <w:t xml:space="preserve">A one-time </w:t>
      </w:r>
      <w:r w:rsidR="00116B52">
        <w:rPr>
          <w:rFonts w:eastAsia="Calibri"/>
        </w:rPr>
        <w:t xml:space="preserve">make-ready </w:t>
      </w:r>
      <w:r w:rsidR="00443CFF">
        <w:rPr>
          <w:rFonts w:eastAsia="Calibri"/>
        </w:rPr>
        <w:t xml:space="preserve">charge for the actual costs </w:t>
      </w:r>
      <w:r w:rsidRPr="0093595F">
        <w:rPr>
          <w:rFonts w:eastAsia="Calibri"/>
        </w:rPr>
        <w:t xml:space="preserve">incurred by the public utility </w:t>
      </w:r>
      <w:r w:rsidR="00443CFF">
        <w:rPr>
          <w:rFonts w:eastAsia="Calibri"/>
        </w:rPr>
        <w:t xml:space="preserve">to provide an attacher with access to the utility’s infrastructure.  </w:t>
      </w:r>
    </w:p>
    <w:p w:rsidR="0093595F" w:rsidRPr="00424E1D" w:rsidRDefault="0093595F" w:rsidP="00C114B0">
      <w:pPr>
        <w:pStyle w:val="standard"/>
        <w:numPr>
          <w:ilvl w:val="0"/>
          <w:numId w:val="17"/>
        </w:numPr>
        <w:spacing w:after="80" w:line="240" w:lineRule="auto"/>
        <w:ind w:right="720"/>
        <w:rPr>
          <w:rFonts w:eastAsia="Calibri"/>
        </w:rPr>
      </w:pPr>
      <w:r w:rsidRPr="00424E1D">
        <w:rPr>
          <w:rFonts w:eastAsia="Calibri"/>
        </w:rPr>
        <w:t xml:space="preserve">An annual fee </w:t>
      </w:r>
      <w:r w:rsidR="00424E1D" w:rsidRPr="00424E1D">
        <w:rPr>
          <w:rFonts w:eastAsia="Calibri"/>
        </w:rPr>
        <w:t xml:space="preserve">for the use of </w:t>
      </w:r>
      <w:r w:rsidRPr="00424E1D">
        <w:rPr>
          <w:rFonts w:eastAsia="Calibri"/>
        </w:rPr>
        <w:t>support structures other than poles</w:t>
      </w:r>
      <w:r w:rsidR="008E0D61">
        <w:rPr>
          <w:rFonts w:eastAsia="Calibri"/>
        </w:rPr>
        <w:t xml:space="preserve"> </w:t>
      </w:r>
      <w:r w:rsidR="00485E80">
        <w:rPr>
          <w:rFonts w:eastAsia="Calibri"/>
        </w:rPr>
        <w:t>equal</w:t>
      </w:r>
      <w:r w:rsidR="008E0D61">
        <w:rPr>
          <w:rFonts w:eastAsia="Calibri"/>
        </w:rPr>
        <w:t xml:space="preserve"> to the utility’s </w:t>
      </w:r>
      <w:r w:rsidRPr="00424E1D">
        <w:rPr>
          <w:rFonts w:eastAsia="Calibri"/>
        </w:rPr>
        <w:t>annual cost</w:t>
      </w:r>
      <w:r w:rsidR="00116B52">
        <w:rPr>
          <w:rFonts w:eastAsia="Calibri"/>
        </w:rPr>
        <w:noBreakHyphen/>
      </w:r>
      <w:r w:rsidRPr="00424E1D">
        <w:rPr>
          <w:rFonts w:eastAsia="Calibri"/>
        </w:rPr>
        <w:t>of</w:t>
      </w:r>
      <w:r w:rsidR="00116B52">
        <w:rPr>
          <w:rFonts w:eastAsia="Calibri"/>
        </w:rPr>
        <w:noBreakHyphen/>
      </w:r>
      <w:r w:rsidRPr="00424E1D">
        <w:rPr>
          <w:rFonts w:eastAsia="Calibri"/>
        </w:rPr>
        <w:t>ownership for the support structure</w:t>
      </w:r>
      <w:r w:rsidR="00443CFF">
        <w:rPr>
          <w:rFonts w:eastAsia="Calibri"/>
        </w:rPr>
        <w:t xml:space="preserve"> multiplied by the percentage of the structure</w:t>
      </w:r>
      <w:r w:rsidR="00977022">
        <w:rPr>
          <w:rFonts w:eastAsia="Calibri"/>
        </w:rPr>
        <w:t>’s volume or capacity</w:t>
      </w:r>
      <w:r w:rsidR="00443CFF">
        <w:rPr>
          <w:rFonts w:eastAsia="Calibri"/>
        </w:rPr>
        <w:t xml:space="preserve"> </w:t>
      </w:r>
      <w:r w:rsidR="00116B52">
        <w:rPr>
          <w:rFonts w:eastAsia="Calibri"/>
        </w:rPr>
        <w:t xml:space="preserve">that is rendered unusable </w:t>
      </w:r>
      <w:r w:rsidR="00443CFF">
        <w:rPr>
          <w:rFonts w:eastAsia="Calibri"/>
        </w:rPr>
        <w:t>by the attacher</w:t>
      </w:r>
      <w:r w:rsidR="001E38CC">
        <w:rPr>
          <w:rFonts w:eastAsia="Calibri"/>
        </w:rPr>
        <w:t xml:space="preserve">.  </w:t>
      </w:r>
    </w:p>
    <w:p w:rsidR="0093595F" w:rsidRPr="0093595F" w:rsidRDefault="00196285" w:rsidP="006603C8">
      <w:pPr>
        <w:pStyle w:val="standard"/>
        <w:keepLines/>
        <w:numPr>
          <w:ilvl w:val="0"/>
          <w:numId w:val="17"/>
        </w:numPr>
        <w:spacing w:after="200" w:line="240" w:lineRule="auto"/>
        <w:ind w:right="540"/>
        <w:rPr>
          <w:rFonts w:eastAsia="Calibri"/>
        </w:rPr>
      </w:pPr>
      <w:r w:rsidRPr="00424E1D">
        <w:rPr>
          <w:rFonts w:eastAsia="Calibri"/>
        </w:rPr>
        <w:t xml:space="preserve">An annual fee for the use of </w:t>
      </w:r>
      <w:r>
        <w:rPr>
          <w:rFonts w:eastAsia="Calibri"/>
        </w:rPr>
        <w:t xml:space="preserve">a </w:t>
      </w:r>
      <w:r w:rsidR="00C230F2">
        <w:rPr>
          <w:rFonts w:eastAsia="Calibri"/>
        </w:rPr>
        <w:t xml:space="preserve">utility </w:t>
      </w:r>
      <w:r w:rsidR="0093595F" w:rsidRPr="0093595F">
        <w:rPr>
          <w:rFonts w:eastAsia="Calibri"/>
        </w:rPr>
        <w:t xml:space="preserve">pole </w:t>
      </w:r>
      <w:r>
        <w:rPr>
          <w:rFonts w:eastAsia="Calibri"/>
        </w:rPr>
        <w:t xml:space="preserve">equal to </w:t>
      </w:r>
      <w:r w:rsidR="00C230F2">
        <w:rPr>
          <w:rFonts w:eastAsia="Calibri"/>
        </w:rPr>
        <w:t xml:space="preserve">the greater of </w:t>
      </w:r>
      <w:r w:rsidR="0093595F" w:rsidRPr="0093595F">
        <w:rPr>
          <w:rFonts w:eastAsia="Calibri"/>
        </w:rPr>
        <w:t xml:space="preserve">$2.50 or </w:t>
      </w:r>
      <w:r>
        <w:rPr>
          <w:rFonts w:eastAsia="Calibri"/>
        </w:rPr>
        <w:t xml:space="preserve">7.4% </w:t>
      </w:r>
      <w:r w:rsidR="0093595F" w:rsidRPr="0093595F">
        <w:rPr>
          <w:rFonts w:eastAsia="Calibri"/>
        </w:rPr>
        <w:t>of the utility’s annual cost</w:t>
      </w:r>
      <w:r w:rsidR="00C230F2">
        <w:rPr>
          <w:rFonts w:eastAsia="Calibri"/>
        </w:rPr>
        <w:t>-</w:t>
      </w:r>
      <w:r w:rsidR="0093595F" w:rsidRPr="0093595F">
        <w:rPr>
          <w:rFonts w:eastAsia="Calibri"/>
        </w:rPr>
        <w:t>of</w:t>
      </w:r>
      <w:r w:rsidR="00C230F2">
        <w:rPr>
          <w:rFonts w:eastAsia="Calibri"/>
        </w:rPr>
        <w:t>-</w:t>
      </w:r>
      <w:r w:rsidR="0093595F" w:rsidRPr="0093595F">
        <w:rPr>
          <w:rFonts w:eastAsia="Calibri"/>
        </w:rPr>
        <w:t>ownership for the pole</w:t>
      </w:r>
      <w:r w:rsidR="00424E1D">
        <w:rPr>
          <w:rFonts w:eastAsia="Calibri"/>
        </w:rPr>
        <w:t>.</w:t>
      </w:r>
      <w:r w:rsidR="00EA3868">
        <w:rPr>
          <w:rFonts w:eastAsia="Calibri"/>
        </w:rPr>
        <w:t xml:space="preserve"> </w:t>
      </w:r>
    </w:p>
    <w:p w:rsidR="0093595F" w:rsidRDefault="000F5306" w:rsidP="0004440E">
      <w:pPr>
        <w:pStyle w:val="standard"/>
        <w:rPr>
          <w:rFonts w:eastAsia="Calibri"/>
        </w:rPr>
      </w:pPr>
      <w:r>
        <w:rPr>
          <w:rFonts w:eastAsia="Calibri"/>
        </w:rPr>
        <w:t xml:space="preserve">We </w:t>
      </w:r>
      <w:r w:rsidR="00443CFF">
        <w:rPr>
          <w:rFonts w:eastAsia="Calibri"/>
        </w:rPr>
        <w:t xml:space="preserve">agree with the parties that the charges and fees in </w:t>
      </w:r>
      <w:r>
        <w:rPr>
          <w:rFonts w:eastAsia="Calibri"/>
        </w:rPr>
        <w:t>Items 1 and 2</w:t>
      </w:r>
      <w:r w:rsidR="00443CFF">
        <w:rPr>
          <w:rFonts w:eastAsia="Calibri"/>
        </w:rPr>
        <w:t>, above,</w:t>
      </w:r>
      <w:r w:rsidR="00424E1D">
        <w:rPr>
          <w:rFonts w:eastAsia="Calibri"/>
        </w:rPr>
        <w:t xml:space="preserve"> </w:t>
      </w:r>
      <w:r w:rsidR="00977022">
        <w:rPr>
          <w:rFonts w:eastAsia="Calibri"/>
        </w:rPr>
        <w:t xml:space="preserve">should apply </w:t>
      </w:r>
      <w:r>
        <w:rPr>
          <w:rFonts w:eastAsia="Calibri"/>
        </w:rPr>
        <w:t xml:space="preserve">to CMRS attachments.  </w:t>
      </w:r>
      <w:r w:rsidR="002660D9">
        <w:rPr>
          <w:rFonts w:eastAsia="Calibri"/>
        </w:rPr>
        <w:t>A</w:t>
      </w:r>
      <w:r w:rsidR="00EB4E39">
        <w:rPr>
          <w:rFonts w:eastAsia="Calibri"/>
        </w:rPr>
        <w:t xml:space="preserve">s TURN notes, the make-ready charge in Item 1 </w:t>
      </w:r>
      <w:r w:rsidR="00977022">
        <w:rPr>
          <w:rFonts w:eastAsia="Calibri"/>
        </w:rPr>
        <w:t xml:space="preserve">is reasonable because it </w:t>
      </w:r>
      <w:r w:rsidR="002660D9">
        <w:t xml:space="preserve">consists of </w:t>
      </w:r>
      <w:r w:rsidR="00977022">
        <w:t xml:space="preserve">the </w:t>
      </w:r>
      <w:r w:rsidR="00EB4E39" w:rsidRPr="002E556C">
        <w:t xml:space="preserve">actual costs incurred by the utility </w:t>
      </w:r>
      <w:r w:rsidR="00977022">
        <w:t xml:space="preserve">to make </w:t>
      </w:r>
      <w:r w:rsidR="002660D9">
        <w:t xml:space="preserve">its infrastructure available to the attacher.  </w:t>
      </w:r>
      <w:r w:rsidR="00C675B6">
        <w:t>The annual recurrin</w:t>
      </w:r>
      <w:r w:rsidR="002660D9">
        <w:t xml:space="preserve">g </w:t>
      </w:r>
      <w:r w:rsidR="00C675B6">
        <w:t>fee for use of support structures oth</w:t>
      </w:r>
      <w:r w:rsidR="002660D9">
        <w:t>er</w:t>
      </w:r>
      <w:r w:rsidR="00C675B6">
        <w:t xml:space="preserve"> than poles in Item</w:t>
      </w:r>
      <w:r w:rsidR="00443CFF">
        <w:t> </w:t>
      </w:r>
      <w:r w:rsidR="00C675B6">
        <w:t>2</w:t>
      </w:r>
      <w:r w:rsidR="002660D9">
        <w:t>,</w:t>
      </w:r>
      <w:r w:rsidR="00C675B6">
        <w:t xml:space="preserve"> above, is reasonable</w:t>
      </w:r>
      <w:r w:rsidR="002660D9">
        <w:t xml:space="preserve"> because </w:t>
      </w:r>
      <w:r w:rsidR="00C675B6" w:rsidRPr="002E556C">
        <w:t>it allocates the cost</w:t>
      </w:r>
      <w:r w:rsidR="005840A9">
        <w:t>-</w:t>
      </w:r>
      <w:r w:rsidR="00C675B6" w:rsidRPr="002E556C">
        <w:t>of</w:t>
      </w:r>
      <w:r w:rsidR="005840A9">
        <w:t>-</w:t>
      </w:r>
      <w:r w:rsidR="00C675B6" w:rsidRPr="002E556C">
        <w:t xml:space="preserve">ownership </w:t>
      </w:r>
      <w:r w:rsidR="003B4DC0">
        <w:t>for</w:t>
      </w:r>
      <w:r w:rsidR="00C675B6">
        <w:t xml:space="preserve"> </w:t>
      </w:r>
      <w:r w:rsidR="005840A9">
        <w:t>a</w:t>
      </w:r>
      <w:r w:rsidR="00C675B6">
        <w:t xml:space="preserve"> support structure </w:t>
      </w:r>
      <w:r w:rsidR="00C675B6" w:rsidRPr="002E556C">
        <w:t xml:space="preserve">to </w:t>
      </w:r>
      <w:r w:rsidR="00C230F2">
        <w:t>attachers</w:t>
      </w:r>
      <w:r w:rsidR="00C675B6" w:rsidRPr="002E556C">
        <w:t xml:space="preserve"> </w:t>
      </w:r>
      <w:r w:rsidR="00C675B6">
        <w:t>based on their proportionate use of the structure.</w:t>
      </w:r>
      <w:r w:rsidR="00443CFF">
        <w:rPr>
          <w:rStyle w:val="FootnoteReference"/>
        </w:rPr>
        <w:footnoteReference w:id="26"/>
      </w:r>
      <w:r w:rsidR="00C675B6">
        <w:t xml:space="preserve">  </w:t>
      </w:r>
    </w:p>
    <w:p w:rsidR="00BE62F8" w:rsidRDefault="00151013" w:rsidP="003D12EB">
      <w:pPr>
        <w:pStyle w:val="standard"/>
        <w:rPr>
          <w:rFonts w:eastAsia="Calibri"/>
        </w:rPr>
      </w:pPr>
      <w:r>
        <w:rPr>
          <w:rFonts w:eastAsia="Calibri"/>
        </w:rPr>
        <w:t>We</w:t>
      </w:r>
      <w:r w:rsidR="00AB7BCF">
        <w:rPr>
          <w:rFonts w:eastAsia="Calibri"/>
        </w:rPr>
        <w:t xml:space="preserve"> find that </w:t>
      </w:r>
      <w:r w:rsidR="009E7896">
        <w:rPr>
          <w:rFonts w:eastAsia="Calibri"/>
        </w:rPr>
        <w:t xml:space="preserve">the </w:t>
      </w:r>
      <w:r w:rsidR="00AB7BCF">
        <w:rPr>
          <w:rFonts w:eastAsia="Calibri"/>
        </w:rPr>
        <w:t>7.4% pole</w:t>
      </w:r>
      <w:r w:rsidR="00424E1D">
        <w:rPr>
          <w:rFonts w:eastAsia="Calibri"/>
        </w:rPr>
        <w:t>-</w:t>
      </w:r>
      <w:r w:rsidR="00AB7BCF">
        <w:rPr>
          <w:rFonts w:eastAsia="Calibri"/>
        </w:rPr>
        <w:t>attachment fee in Item</w:t>
      </w:r>
      <w:r w:rsidR="009E7896">
        <w:rPr>
          <w:rFonts w:eastAsia="Calibri"/>
        </w:rPr>
        <w:t> </w:t>
      </w:r>
      <w:r w:rsidR="00AB7BCF">
        <w:rPr>
          <w:rFonts w:eastAsia="Calibri"/>
        </w:rPr>
        <w:t>3</w:t>
      </w:r>
      <w:r w:rsidR="00241FF7">
        <w:rPr>
          <w:rFonts w:eastAsia="Calibri"/>
        </w:rPr>
        <w:t>,</w:t>
      </w:r>
      <w:r w:rsidR="00AB7BCF">
        <w:rPr>
          <w:rFonts w:eastAsia="Calibri"/>
        </w:rPr>
        <w:t xml:space="preserve"> above</w:t>
      </w:r>
      <w:r w:rsidR="009E7896">
        <w:rPr>
          <w:rFonts w:eastAsia="Calibri"/>
        </w:rPr>
        <w:t>,</w:t>
      </w:r>
      <w:r w:rsidR="00AB7BCF">
        <w:rPr>
          <w:rFonts w:eastAsia="Calibri"/>
        </w:rPr>
        <w:t xml:space="preserve"> should </w:t>
      </w:r>
      <w:r w:rsidR="009E7896">
        <w:rPr>
          <w:rFonts w:eastAsia="Calibri"/>
        </w:rPr>
        <w:t>apply</w:t>
      </w:r>
      <w:r w:rsidR="00AB7BCF">
        <w:rPr>
          <w:rFonts w:eastAsia="Calibri"/>
        </w:rPr>
        <w:t xml:space="preserve"> differently to CMRS </w:t>
      </w:r>
      <w:r w:rsidR="00C230F2">
        <w:rPr>
          <w:rFonts w:eastAsia="Calibri"/>
        </w:rPr>
        <w:t xml:space="preserve">pole </w:t>
      </w:r>
      <w:r w:rsidR="00AB7BCF">
        <w:rPr>
          <w:rFonts w:eastAsia="Calibri"/>
        </w:rPr>
        <w:t>attachment</w:t>
      </w:r>
      <w:r w:rsidR="00DC13A8">
        <w:rPr>
          <w:rFonts w:eastAsia="Calibri"/>
        </w:rPr>
        <w:t>s</w:t>
      </w:r>
      <w:r w:rsidR="00241FF7">
        <w:rPr>
          <w:rFonts w:eastAsia="Calibri"/>
        </w:rPr>
        <w:t xml:space="preserve"> compared to </w:t>
      </w:r>
      <w:r w:rsidR="004F131D">
        <w:rPr>
          <w:rFonts w:eastAsia="Calibri"/>
        </w:rPr>
        <w:t>CLEC</w:t>
      </w:r>
      <w:r w:rsidR="00241FF7">
        <w:rPr>
          <w:rFonts w:eastAsia="Calibri"/>
        </w:rPr>
        <w:t xml:space="preserve"> and CATV </w:t>
      </w:r>
      <w:r w:rsidR="00C230F2">
        <w:rPr>
          <w:rFonts w:eastAsia="Calibri"/>
        </w:rPr>
        <w:t xml:space="preserve">pole </w:t>
      </w:r>
      <w:r w:rsidR="00241FF7">
        <w:rPr>
          <w:rFonts w:eastAsia="Calibri"/>
        </w:rPr>
        <w:t>attachments</w:t>
      </w:r>
      <w:r w:rsidR="00AB7BCF">
        <w:rPr>
          <w:rFonts w:eastAsia="Calibri"/>
        </w:rPr>
        <w:t xml:space="preserve">.  </w:t>
      </w:r>
      <w:r w:rsidR="00DC13A8">
        <w:rPr>
          <w:rFonts w:eastAsia="Calibri"/>
        </w:rPr>
        <w:t xml:space="preserve">The </w:t>
      </w:r>
      <w:r>
        <w:rPr>
          <w:rFonts w:eastAsia="Calibri"/>
        </w:rPr>
        <w:t xml:space="preserve">existing </w:t>
      </w:r>
      <w:r w:rsidR="00DC13A8">
        <w:rPr>
          <w:rFonts w:eastAsia="Calibri"/>
        </w:rPr>
        <w:t xml:space="preserve">7.4% fee is a </w:t>
      </w:r>
      <w:r w:rsidR="002D7DA8">
        <w:rPr>
          <w:rFonts w:eastAsia="Calibri"/>
        </w:rPr>
        <w:t>“</w:t>
      </w:r>
      <w:r w:rsidR="00DC13A8">
        <w:rPr>
          <w:rFonts w:eastAsia="Calibri"/>
        </w:rPr>
        <w:t>per-pole</w:t>
      </w:r>
      <w:r w:rsidR="002D7DA8">
        <w:rPr>
          <w:rFonts w:eastAsia="Calibri"/>
        </w:rPr>
        <w:t>”</w:t>
      </w:r>
      <w:r w:rsidR="00DC13A8">
        <w:rPr>
          <w:rFonts w:eastAsia="Calibri"/>
        </w:rPr>
        <w:t xml:space="preserve"> fee</w:t>
      </w:r>
      <w:r w:rsidR="00D97485">
        <w:rPr>
          <w:rFonts w:eastAsia="Calibri"/>
        </w:rPr>
        <w:t xml:space="preserve">.  Each </w:t>
      </w:r>
      <w:r w:rsidR="004F131D">
        <w:rPr>
          <w:rFonts w:eastAsia="Calibri"/>
        </w:rPr>
        <w:t>CLEC</w:t>
      </w:r>
      <w:r w:rsidR="00D97485">
        <w:rPr>
          <w:rFonts w:eastAsia="Calibri"/>
        </w:rPr>
        <w:t xml:space="preserve"> and CATV pole attachment is charged a</w:t>
      </w:r>
      <w:r w:rsidR="002660D9">
        <w:rPr>
          <w:rFonts w:eastAsia="Calibri"/>
        </w:rPr>
        <w:t>n annual</w:t>
      </w:r>
      <w:r w:rsidR="00D97485">
        <w:rPr>
          <w:rFonts w:eastAsia="Calibri"/>
        </w:rPr>
        <w:t xml:space="preserve"> fee </w:t>
      </w:r>
      <w:r w:rsidR="005840A9">
        <w:rPr>
          <w:rFonts w:eastAsia="Calibri"/>
        </w:rPr>
        <w:t>equal to</w:t>
      </w:r>
      <w:r w:rsidR="00D97485">
        <w:rPr>
          <w:rFonts w:eastAsia="Calibri"/>
        </w:rPr>
        <w:t xml:space="preserve"> 7.4%</w:t>
      </w:r>
      <w:r>
        <w:rPr>
          <w:rFonts w:eastAsia="Calibri"/>
        </w:rPr>
        <w:t xml:space="preserve"> of the pole’s cost</w:t>
      </w:r>
      <w:r w:rsidR="00C230F2">
        <w:rPr>
          <w:rFonts w:eastAsia="Calibri"/>
        </w:rPr>
        <w:t>-</w:t>
      </w:r>
      <w:r>
        <w:rPr>
          <w:rFonts w:eastAsia="Calibri"/>
        </w:rPr>
        <w:t>of</w:t>
      </w:r>
      <w:r w:rsidR="00C230F2">
        <w:rPr>
          <w:rFonts w:eastAsia="Calibri"/>
        </w:rPr>
        <w:t>-</w:t>
      </w:r>
      <w:r>
        <w:rPr>
          <w:rFonts w:eastAsia="Calibri"/>
        </w:rPr>
        <w:t>ownership</w:t>
      </w:r>
      <w:r w:rsidR="00D97485">
        <w:rPr>
          <w:rFonts w:eastAsia="Calibri"/>
        </w:rPr>
        <w:t xml:space="preserve">.  </w:t>
      </w:r>
      <w:r w:rsidR="00485E80">
        <w:rPr>
          <w:rFonts w:eastAsia="Calibri"/>
        </w:rPr>
        <w:t>Crucially</w:t>
      </w:r>
      <w:r>
        <w:rPr>
          <w:rFonts w:eastAsia="Calibri"/>
        </w:rPr>
        <w:t>, t</w:t>
      </w:r>
      <w:r w:rsidR="00D2317D">
        <w:rPr>
          <w:rFonts w:eastAsia="Calibri"/>
        </w:rPr>
        <w:t xml:space="preserve">his fee structure </w:t>
      </w:r>
      <w:r w:rsidR="00054658">
        <w:rPr>
          <w:rFonts w:eastAsia="Calibri"/>
        </w:rPr>
        <w:t>is</w:t>
      </w:r>
      <w:r w:rsidR="00D2317D">
        <w:rPr>
          <w:rFonts w:eastAsia="Calibri"/>
        </w:rPr>
        <w:t xml:space="preserve"> based on the Commission’s finding </w:t>
      </w:r>
      <w:r w:rsidR="00A2007A">
        <w:rPr>
          <w:rFonts w:eastAsia="Calibri"/>
        </w:rPr>
        <w:t xml:space="preserve">in D.98-10-058 </w:t>
      </w:r>
      <w:r w:rsidR="00D2317D">
        <w:rPr>
          <w:rFonts w:eastAsia="Calibri"/>
        </w:rPr>
        <w:t xml:space="preserve">that </w:t>
      </w:r>
      <w:r w:rsidR="004F131D">
        <w:rPr>
          <w:rFonts w:eastAsia="Calibri"/>
        </w:rPr>
        <w:t>CLEC</w:t>
      </w:r>
      <w:r w:rsidR="00D2317D">
        <w:rPr>
          <w:rFonts w:eastAsia="Calibri"/>
        </w:rPr>
        <w:t xml:space="preserve"> and CATV pole </w:t>
      </w:r>
      <w:r w:rsidR="00AC0F5B">
        <w:rPr>
          <w:rFonts w:eastAsia="Calibri"/>
        </w:rPr>
        <w:t>attachments</w:t>
      </w:r>
      <w:r w:rsidR="00424E1D">
        <w:rPr>
          <w:rFonts w:eastAsia="Calibri"/>
        </w:rPr>
        <w:t xml:space="preserve"> </w:t>
      </w:r>
      <w:r w:rsidR="003B4DC0">
        <w:rPr>
          <w:rFonts w:eastAsia="Calibri"/>
        </w:rPr>
        <w:t>normally</w:t>
      </w:r>
      <w:r w:rsidR="00D2317D">
        <w:rPr>
          <w:rFonts w:eastAsia="Calibri"/>
        </w:rPr>
        <w:t xml:space="preserve"> occup</w:t>
      </w:r>
      <w:r w:rsidR="00424E1D">
        <w:rPr>
          <w:rFonts w:eastAsia="Calibri"/>
        </w:rPr>
        <w:t>y</w:t>
      </w:r>
      <w:r w:rsidR="00D2317D">
        <w:rPr>
          <w:rFonts w:eastAsia="Calibri"/>
        </w:rPr>
        <w:t xml:space="preserve"> </w:t>
      </w:r>
      <w:r w:rsidR="003D55B5">
        <w:rPr>
          <w:rFonts w:eastAsia="Calibri"/>
        </w:rPr>
        <w:t>1</w:t>
      </w:r>
      <w:r w:rsidR="003B4DC0">
        <w:rPr>
          <w:rFonts w:eastAsia="Calibri"/>
        </w:rPr>
        <w:t> </w:t>
      </w:r>
      <w:r w:rsidR="00D2317D">
        <w:rPr>
          <w:rFonts w:eastAsia="Calibri"/>
        </w:rPr>
        <w:t xml:space="preserve">foot of </w:t>
      </w:r>
      <w:r w:rsidR="00D2317D">
        <w:rPr>
          <w:rFonts w:eastAsia="Calibri"/>
        </w:rPr>
        <w:lastRenderedPageBreak/>
        <w:t>pole space</w:t>
      </w:r>
      <w:r w:rsidR="00977022">
        <w:rPr>
          <w:rFonts w:eastAsia="Calibri"/>
        </w:rPr>
        <w:t xml:space="preserve"> out of 13.5</w:t>
      </w:r>
      <w:r>
        <w:rPr>
          <w:rFonts w:eastAsia="Calibri"/>
        </w:rPr>
        <w:t> </w:t>
      </w:r>
      <w:r w:rsidR="00977022">
        <w:rPr>
          <w:rFonts w:eastAsia="Calibri"/>
        </w:rPr>
        <w:t>feet of usable pole space (</w:t>
      </w:r>
      <w:r w:rsidR="00977022">
        <w:t>i.e., 7.4% =</w:t>
      </w:r>
      <w:r w:rsidR="0036270C">
        <w:t> </w:t>
      </w:r>
      <w:r w:rsidR="00977022">
        <w:t>1 </w:t>
      </w:r>
      <w:r w:rsidR="00977022" w:rsidRPr="00C4492F">
        <w:t>÷</w:t>
      </w:r>
      <w:r w:rsidR="00977022">
        <w:t> 13.5)</w:t>
      </w:r>
      <w:r w:rsidR="00D2317D">
        <w:rPr>
          <w:rFonts w:eastAsia="Calibri"/>
        </w:rPr>
        <w:t>.</w:t>
      </w:r>
      <w:r w:rsidR="00A2007A" w:rsidRPr="00E15E99">
        <w:rPr>
          <w:rStyle w:val="StandardFootnoteReferenceChar"/>
          <w:rFonts w:eastAsia="Calibri"/>
        </w:rPr>
        <w:footnoteReference w:id="27"/>
      </w:r>
      <w:r w:rsidR="00D2317D">
        <w:rPr>
          <w:rFonts w:eastAsia="Calibri"/>
        </w:rPr>
        <w:t xml:space="preserve"> </w:t>
      </w:r>
      <w:r w:rsidR="00BE62F8">
        <w:rPr>
          <w:rFonts w:eastAsia="Calibri"/>
        </w:rPr>
        <w:t xml:space="preserve"> The record of the instant proceeding shows that the </w:t>
      </w:r>
      <w:r w:rsidR="00C84E6F">
        <w:rPr>
          <w:rFonts w:eastAsia="Calibri"/>
        </w:rPr>
        <w:t xml:space="preserve">vast majority of </w:t>
      </w:r>
      <w:r w:rsidR="004F131D">
        <w:rPr>
          <w:rFonts w:eastAsia="Calibri"/>
        </w:rPr>
        <w:t>CLEC</w:t>
      </w:r>
      <w:r w:rsidR="005F1F0B">
        <w:rPr>
          <w:rFonts w:eastAsia="Calibri"/>
        </w:rPr>
        <w:t xml:space="preserve"> </w:t>
      </w:r>
      <w:r w:rsidR="00C84E6F">
        <w:rPr>
          <w:rFonts w:eastAsia="Calibri"/>
        </w:rPr>
        <w:t>and</w:t>
      </w:r>
      <w:r w:rsidR="005F1F0B">
        <w:rPr>
          <w:rFonts w:eastAsia="Calibri"/>
        </w:rPr>
        <w:t xml:space="preserve"> CATV pole </w:t>
      </w:r>
      <w:r>
        <w:rPr>
          <w:rFonts w:eastAsia="Calibri"/>
        </w:rPr>
        <w:t>attachments</w:t>
      </w:r>
      <w:r w:rsidR="00541351">
        <w:rPr>
          <w:rFonts w:eastAsia="Calibri"/>
        </w:rPr>
        <w:t xml:space="preserve"> </w:t>
      </w:r>
      <w:r w:rsidR="002660D9">
        <w:rPr>
          <w:rFonts w:eastAsia="Calibri"/>
        </w:rPr>
        <w:t xml:space="preserve">continue to occupy </w:t>
      </w:r>
      <w:r w:rsidR="003D55B5">
        <w:rPr>
          <w:rFonts w:eastAsia="Calibri"/>
        </w:rPr>
        <w:t>1 </w:t>
      </w:r>
      <w:r w:rsidR="003D12EB">
        <w:rPr>
          <w:rFonts w:eastAsia="Calibri"/>
        </w:rPr>
        <w:t>foot of pole space</w:t>
      </w:r>
      <w:r w:rsidR="00CD7116">
        <w:rPr>
          <w:rFonts w:eastAsia="Calibri"/>
        </w:rPr>
        <w:t>.</w:t>
      </w:r>
      <w:r w:rsidR="00DD24C8">
        <w:rPr>
          <w:rStyle w:val="FootnoteReference"/>
          <w:rFonts w:eastAsia="Calibri"/>
        </w:rPr>
        <w:footnoteReference w:id="28"/>
      </w:r>
      <w:r w:rsidR="00CD7116">
        <w:rPr>
          <w:rFonts w:eastAsia="Calibri"/>
        </w:rPr>
        <w:t xml:space="preserve">  </w:t>
      </w:r>
    </w:p>
    <w:p w:rsidR="0093595F" w:rsidRDefault="003D12EB" w:rsidP="00AC0F5B">
      <w:pPr>
        <w:pStyle w:val="standard"/>
        <w:spacing w:after="120"/>
        <w:rPr>
          <w:rFonts w:eastAsia="Calibri"/>
        </w:rPr>
      </w:pPr>
      <w:r>
        <w:rPr>
          <w:rFonts w:eastAsia="Calibri"/>
        </w:rPr>
        <w:t xml:space="preserve">In contrast, </w:t>
      </w:r>
      <w:r w:rsidR="00C84E6F">
        <w:rPr>
          <w:rFonts w:eastAsia="Calibri"/>
        </w:rPr>
        <w:t>most</w:t>
      </w:r>
      <w:r w:rsidR="00CD7116">
        <w:rPr>
          <w:rFonts w:eastAsia="Calibri"/>
        </w:rPr>
        <w:t xml:space="preserve"> CMRS installation</w:t>
      </w:r>
      <w:r w:rsidR="00C84E6F">
        <w:rPr>
          <w:rFonts w:eastAsia="Calibri"/>
        </w:rPr>
        <w:t>s</w:t>
      </w:r>
      <w:r w:rsidR="00CD7116">
        <w:rPr>
          <w:rFonts w:eastAsia="Calibri"/>
        </w:rPr>
        <w:t xml:space="preserve"> consist of </w:t>
      </w:r>
      <w:r w:rsidR="002A7C85">
        <w:rPr>
          <w:rFonts w:eastAsia="Calibri"/>
        </w:rPr>
        <w:t>multiple</w:t>
      </w:r>
      <w:r w:rsidR="00CD7116">
        <w:rPr>
          <w:rFonts w:eastAsia="Calibri"/>
        </w:rPr>
        <w:t xml:space="preserve"> </w:t>
      </w:r>
      <w:r w:rsidR="00541351">
        <w:rPr>
          <w:rFonts w:eastAsia="Calibri"/>
        </w:rPr>
        <w:t>attachments</w:t>
      </w:r>
      <w:r w:rsidR="00CD7116">
        <w:rPr>
          <w:rFonts w:eastAsia="Calibri"/>
        </w:rPr>
        <w:t xml:space="preserve"> that together </w:t>
      </w:r>
      <w:r w:rsidR="005840A9">
        <w:rPr>
          <w:rFonts w:eastAsia="Calibri"/>
        </w:rPr>
        <w:t>occupy</w:t>
      </w:r>
      <w:r w:rsidR="00CD7116">
        <w:rPr>
          <w:rFonts w:eastAsia="Calibri"/>
        </w:rPr>
        <w:t xml:space="preserve"> </w:t>
      </w:r>
      <w:r w:rsidR="00BE62F8">
        <w:rPr>
          <w:rFonts w:eastAsia="Calibri"/>
        </w:rPr>
        <w:t xml:space="preserve">several feet </w:t>
      </w:r>
      <w:r w:rsidR="005932F2">
        <w:rPr>
          <w:rFonts w:eastAsia="Calibri"/>
        </w:rPr>
        <w:t xml:space="preserve">of </w:t>
      </w:r>
      <w:r w:rsidR="00CD7116">
        <w:rPr>
          <w:rFonts w:eastAsia="Calibri"/>
        </w:rPr>
        <w:t>pole space</w:t>
      </w:r>
      <w:r w:rsidR="002A7C85">
        <w:rPr>
          <w:rFonts w:eastAsia="Calibri"/>
        </w:rPr>
        <w:t>, as shown in the following d</w:t>
      </w:r>
      <w:r w:rsidR="00BE62F8">
        <w:rPr>
          <w:rFonts w:eastAsia="Calibri"/>
        </w:rPr>
        <w:t>iagrams</w:t>
      </w:r>
      <w:r>
        <w:rPr>
          <w:rFonts w:eastAsia="Calibri"/>
        </w:rPr>
        <w:t>:</w:t>
      </w:r>
      <w:r w:rsidR="00A2007A">
        <w:rPr>
          <w:rFonts w:eastAsia="Calibri"/>
        </w:rPr>
        <w:t xml:space="preserve"> </w:t>
      </w:r>
      <w:r w:rsidR="00D97485">
        <w:rPr>
          <w:rFonts w:eastAsia="Calibri"/>
        </w:rPr>
        <w:t xml:space="preserve"> </w:t>
      </w:r>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6"/>
        <w:gridCol w:w="4841"/>
      </w:tblGrid>
      <w:tr w:rsidR="002A7C85" w:rsidRPr="00EA2654" w:rsidTr="002A7C85">
        <w:trPr>
          <w:cantSplit/>
          <w:jc w:val="center"/>
        </w:trPr>
        <w:tc>
          <w:tcPr>
            <w:tcW w:w="5616" w:type="dxa"/>
            <w:tcBorders>
              <w:bottom w:val="single" w:sz="4" w:space="0" w:color="auto"/>
            </w:tcBorders>
            <w:shd w:val="pct10" w:color="auto" w:fill="auto"/>
          </w:tcPr>
          <w:p w:rsidR="002A7C85" w:rsidRPr="00EA2654" w:rsidRDefault="002A7C85" w:rsidP="002A7C85">
            <w:pPr>
              <w:pStyle w:val="standard"/>
              <w:keepNext/>
              <w:widowControl w:val="0"/>
              <w:spacing w:before="20" w:after="20" w:line="240" w:lineRule="auto"/>
              <w:ind w:firstLine="0"/>
              <w:jc w:val="center"/>
              <w:rPr>
                <w:b/>
              </w:rPr>
            </w:pPr>
            <w:r>
              <w:rPr>
                <w:b/>
              </w:rPr>
              <w:t>Figure 1</w:t>
            </w:r>
          </w:p>
        </w:tc>
        <w:tc>
          <w:tcPr>
            <w:tcW w:w="4841" w:type="dxa"/>
            <w:tcBorders>
              <w:bottom w:val="single" w:sz="4" w:space="0" w:color="auto"/>
            </w:tcBorders>
            <w:shd w:val="pct10" w:color="auto" w:fill="auto"/>
            <w:vAlign w:val="center"/>
          </w:tcPr>
          <w:p w:rsidR="002A7C85" w:rsidRPr="00EA2654" w:rsidRDefault="002A7C85" w:rsidP="002A7C85">
            <w:pPr>
              <w:pStyle w:val="standard"/>
              <w:keepNext/>
              <w:widowControl w:val="0"/>
              <w:spacing w:before="20" w:after="20" w:line="240" w:lineRule="auto"/>
              <w:ind w:firstLine="0"/>
              <w:jc w:val="center"/>
              <w:rPr>
                <w:b/>
              </w:rPr>
            </w:pPr>
            <w:r w:rsidRPr="00EA2654">
              <w:rPr>
                <w:b/>
              </w:rPr>
              <w:t xml:space="preserve">Figure </w:t>
            </w:r>
            <w:r>
              <w:rPr>
                <w:b/>
              </w:rPr>
              <w:t>2</w:t>
            </w:r>
          </w:p>
        </w:tc>
      </w:tr>
      <w:tr w:rsidR="002A7C85" w:rsidRPr="00EA2654" w:rsidTr="002A7C85">
        <w:trPr>
          <w:cantSplit/>
          <w:jc w:val="center"/>
        </w:trPr>
        <w:tc>
          <w:tcPr>
            <w:tcW w:w="5616" w:type="dxa"/>
            <w:shd w:val="pct10" w:color="auto" w:fill="auto"/>
          </w:tcPr>
          <w:p w:rsidR="002A7C85" w:rsidRPr="00EA2654" w:rsidRDefault="002A7C85" w:rsidP="002A7C85">
            <w:pPr>
              <w:pStyle w:val="standard"/>
              <w:keepNext/>
              <w:widowControl w:val="0"/>
              <w:spacing w:before="40" w:after="40" w:line="240" w:lineRule="auto"/>
              <w:ind w:firstLine="0"/>
              <w:jc w:val="center"/>
              <w:rPr>
                <w:b/>
              </w:rPr>
            </w:pPr>
            <w:r w:rsidRPr="00EA2654">
              <w:rPr>
                <w:b/>
                <w:noProof/>
              </w:rPr>
              <w:t xml:space="preserve">Pole-Top Antenna Installation </w:t>
            </w:r>
          </w:p>
        </w:tc>
        <w:tc>
          <w:tcPr>
            <w:tcW w:w="4841" w:type="dxa"/>
            <w:shd w:val="pct10" w:color="auto" w:fill="auto"/>
            <w:vAlign w:val="center"/>
          </w:tcPr>
          <w:p w:rsidR="002A7C85" w:rsidRPr="00EA2654" w:rsidRDefault="002A7C85" w:rsidP="002A7C85">
            <w:pPr>
              <w:pStyle w:val="standard"/>
              <w:keepNext/>
              <w:widowControl w:val="0"/>
              <w:spacing w:before="40" w:after="40" w:line="240" w:lineRule="auto"/>
              <w:ind w:firstLine="0"/>
              <w:jc w:val="center"/>
              <w:rPr>
                <w:b/>
              </w:rPr>
            </w:pPr>
            <w:r w:rsidRPr="00EA2654">
              <w:rPr>
                <w:b/>
                <w:noProof/>
              </w:rPr>
              <w:t>Mid-Pole</w:t>
            </w:r>
            <w:r>
              <w:rPr>
                <w:b/>
                <w:noProof/>
              </w:rPr>
              <w:t xml:space="preserve"> </w:t>
            </w:r>
            <w:r w:rsidRPr="00EA2654">
              <w:rPr>
                <w:b/>
                <w:noProof/>
              </w:rPr>
              <w:t xml:space="preserve">Antenna Installation </w:t>
            </w:r>
          </w:p>
        </w:tc>
      </w:tr>
      <w:tr w:rsidR="002A7C85" w:rsidTr="002A7C85">
        <w:trPr>
          <w:cantSplit/>
          <w:trHeight w:val="7019"/>
          <w:jc w:val="center"/>
        </w:trPr>
        <w:tc>
          <w:tcPr>
            <w:tcW w:w="5616" w:type="dxa"/>
          </w:tcPr>
          <w:p w:rsidR="002A7C85" w:rsidRDefault="003B4DC0" w:rsidP="002A7C85">
            <w:pPr>
              <w:pStyle w:val="standard"/>
              <w:keepNext/>
              <w:widowControl w:val="0"/>
              <w:spacing w:line="240" w:lineRule="auto"/>
              <w:ind w:firstLine="0"/>
              <w:jc w:val="center"/>
              <w:rPr>
                <w:noProof/>
              </w:rPr>
            </w:pPr>
            <w:r>
              <w:rPr>
                <w:noProof/>
              </w:rPr>
              <mc:AlternateContent>
                <mc:Choice Requires="wps">
                  <w:drawing>
                    <wp:anchor distT="0" distB="0" distL="114300" distR="114300" simplePos="0" relativeHeight="251705344" behindDoc="0" locked="0" layoutInCell="1" allowOverlap="1" wp14:anchorId="496EA9FD" wp14:editId="357C1EB6">
                      <wp:simplePos x="0" y="0"/>
                      <wp:positionH relativeFrom="column">
                        <wp:posOffset>2263775</wp:posOffset>
                      </wp:positionH>
                      <wp:positionV relativeFrom="paragraph">
                        <wp:posOffset>1431290</wp:posOffset>
                      </wp:positionV>
                      <wp:extent cx="800100" cy="274320"/>
                      <wp:effectExtent l="0" t="0" r="19050" b="11430"/>
                      <wp:wrapNone/>
                      <wp:docPr id="295"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74320"/>
                              </a:xfrm>
                              <a:prstGeom prst="rect">
                                <a:avLst/>
                              </a:prstGeom>
                              <a:solidFill>
                                <a:srgbClr val="FFFFFF"/>
                              </a:solidFill>
                              <a:ln w="6350">
                                <a:solidFill>
                                  <a:srgbClr val="FFFFFF"/>
                                </a:solidFill>
                                <a:miter lim="800000"/>
                                <a:headEnd/>
                                <a:tailEnd/>
                              </a:ln>
                            </wps:spPr>
                            <wps:txbx>
                              <w:txbxContent>
                                <w:p w:rsidR="004D65A2" w:rsidRPr="00773197" w:rsidRDefault="004D65A2" w:rsidP="002A7C85">
                                  <w:pPr>
                                    <w:jc w:val="center"/>
                                    <w:rPr>
                                      <w:sz w:val="18"/>
                                      <w:szCs w:val="18"/>
                                    </w:rPr>
                                  </w:pPr>
                                  <w:r>
                                    <w:rPr>
                                      <w:sz w:val="18"/>
                                      <w:szCs w:val="18"/>
                                    </w:rPr>
                                    <w:t>Fiber Splice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8" o:spid="_x0000_s1026" type="#_x0000_t202" style="position:absolute;left:0;text-align:left;margin-left:178.25pt;margin-top:112.7pt;width:63pt;height:21.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" strokecolor="white" strokeweight=".5pt">
                      <v:textbox>
                        <w:txbxContent>
                          <w:p w:rsidR="004D65A2" w:rsidRPr="00773197" w:rsidRDefault="004D65A2" w:rsidP="002A7C85">
                            <w:pPr>
                              <w:jc w:val="center"/>
                              <w:rPr>
                                <w:sz w:val="18"/>
                                <w:szCs w:val="18"/>
                              </w:rPr>
                            </w:pPr>
                            <w:r>
                              <w:rPr>
                                <w:sz w:val="18"/>
                                <w:szCs w:val="18"/>
                              </w:rPr>
                              <w:t>Fiber Splice</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75B2F0C0" wp14:editId="6CCADE46">
                      <wp:simplePos x="0" y="0"/>
                      <wp:positionH relativeFrom="column">
                        <wp:posOffset>2262505</wp:posOffset>
                      </wp:positionH>
                      <wp:positionV relativeFrom="paragraph">
                        <wp:posOffset>825500</wp:posOffset>
                      </wp:positionV>
                      <wp:extent cx="800100" cy="274320"/>
                      <wp:effectExtent l="0" t="0" r="19050" b="11430"/>
                      <wp:wrapNone/>
                      <wp:docPr id="294"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74320"/>
                              </a:xfrm>
                              <a:prstGeom prst="rect">
                                <a:avLst/>
                              </a:prstGeom>
                              <a:solidFill>
                                <a:srgbClr val="FFFFFF"/>
                              </a:solidFill>
                              <a:ln w="6350">
                                <a:solidFill>
                                  <a:srgbClr val="FFFFFF"/>
                                </a:solidFill>
                                <a:miter lim="800000"/>
                                <a:headEnd/>
                                <a:tailEnd/>
                              </a:ln>
                            </wps:spPr>
                            <wps:txbx>
                              <w:txbxContent>
                                <w:p w:rsidR="004D65A2" w:rsidRPr="00773197" w:rsidRDefault="004D65A2" w:rsidP="002A7C85">
                                  <w:pPr>
                                    <w:jc w:val="center"/>
                                    <w:rPr>
                                      <w:sz w:val="18"/>
                                      <w:szCs w:val="18"/>
                                    </w:rPr>
                                  </w:pPr>
                                  <w:r>
                                    <w:rPr>
                                      <w:sz w:val="18"/>
                                      <w:szCs w:val="18"/>
                                    </w:rPr>
                                    <w:t>Power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027" type="#_x0000_t202" style="position:absolute;left:0;text-align:left;margin-left:178.15pt;margin-top:65pt;width:63pt;height:21.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" strokecolor="white" strokeweight=".5pt">
                      <v:textbox>
                        <w:txbxContent>
                          <w:p w:rsidR="004D65A2" w:rsidRPr="00773197" w:rsidRDefault="004D65A2" w:rsidP="002A7C85">
                            <w:pPr>
                              <w:jc w:val="center"/>
                              <w:rPr>
                                <w:sz w:val="18"/>
                                <w:szCs w:val="18"/>
                              </w:rPr>
                            </w:pPr>
                            <w:r>
                              <w:rPr>
                                <w:sz w:val="18"/>
                                <w:szCs w:val="18"/>
                              </w:rPr>
                              <w:t>Power Line</w:t>
                            </w:r>
                          </w:p>
                        </w:txbxContent>
                      </v:textbox>
                    </v:shape>
                  </w:pict>
                </mc:Fallback>
              </mc:AlternateContent>
            </w:r>
            <w:r w:rsidR="002A7C85">
              <w:rPr>
                <w:noProof/>
              </w:rPr>
              <mc:AlternateContent>
                <mc:Choice Requires="wps">
                  <w:drawing>
                    <wp:anchor distT="0" distB="0" distL="114300" distR="114300" simplePos="0" relativeHeight="251701248" behindDoc="0" locked="0" layoutInCell="1" allowOverlap="1" wp14:anchorId="3DBE0C41" wp14:editId="3EE8F7F3">
                      <wp:simplePos x="0" y="0"/>
                      <wp:positionH relativeFrom="column">
                        <wp:posOffset>191135</wp:posOffset>
                      </wp:positionH>
                      <wp:positionV relativeFrom="paragraph">
                        <wp:posOffset>3465830</wp:posOffset>
                      </wp:positionV>
                      <wp:extent cx="984250" cy="298450"/>
                      <wp:effectExtent l="0" t="0" r="25400" b="25400"/>
                      <wp:wrapNone/>
                      <wp:docPr id="292"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298450"/>
                              </a:xfrm>
                              <a:prstGeom prst="rect">
                                <a:avLst/>
                              </a:prstGeom>
                              <a:solidFill>
                                <a:srgbClr val="FFFFFF"/>
                              </a:solidFill>
                              <a:ln w="6350">
                                <a:solidFill>
                                  <a:srgbClr val="FFFFFF"/>
                                </a:solidFill>
                                <a:miter lim="800000"/>
                                <a:headEnd/>
                                <a:tailEnd/>
                              </a:ln>
                            </wps:spPr>
                            <wps:txbx>
                              <w:txbxContent>
                                <w:p w:rsidR="004D65A2" w:rsidRPr="00773197" w:rsidRDefault="004D65A2" w:rsidP="002A7C85">
                                  <w:pPr>
                                    <w:jc w:val="center"/>
                                    <w:rPr>
                                      <w:sz w:val="18"/>
                                      <w:szCs w:val="18"/>
                                    </w:rPr>
                                  </w:pPr>
                                  <w:r>
                                    <w:rPr>
                                      <w:sz w:val="18"/>
                                      <w:szCs w:val="18"/>
                                    </w:rPr>
                                    <w:t xml:space="preserve">Battery Backup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028" type="#_x0000_t202" style="position:absolute;left:0;text-align:left;margin-left:15.05pt;margin-top:272.9pt;width:77.5pt;height:2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" strokecolor="white" strokeweight=".5pt">
                      <v:textbox>
                        <w:txbxContent>
                          <w:p w:rsidR="004D65A2" w:rsidRPr="00773197" w:rsidRDefault="004D65A2" w:rsidP="002A7C85">
                            <w:pPr>
                              <w:jc w:val="center"/>
                              <w:rPr>
                                <w:sz w:val="18"/>
                                <w:szCs w:val="18"/>
                              </w:rPr>
                            </w:pPr>
                            <w:r>
                              <w:rPr>
                                <w:sz w:val="18"/>
                                <w:szCs w:val="18"/>
                              </w:rPr>
                              <w:t xml:space="preserve">Battery Backup </w:t>
                            </w:r>
                          </w:p>
                        </w:txbxContent>
                      </v:textbox>
                    </v:shape>
                  </w:pict>
                </mc:Fallback>
              </mc:AlternateContent>
            </w:r>
            <w:r w:rsidR="002A7C85">
              <w:rPr>
                <w:noProof/>
              </w:rPr>
              <mc:AlternateContent>
                <mc:Choice Requires="wps">
                  <w:drawing>
                    <wp:anchor distT="0" distB="0" distL="114300" distR="114300" simplePos="0" relativeHeight="251706368" behindDoc="0" locked="0" layoutInCell="1" allowOverlap="1" wp14:anchorId="0A7CF30E" wp14:editId="76852864">
                      <wp:simplePos x="0" y="0"/>
                      <wp:positionH relativeFrom="column">
                        <wp:posOffset>1572895</wp:posOffset>
                      </wp:positionH>
                      <wp:positionV relativeFrom="paragraph">
                        <wp:posOffset>2868930</wp:posOffset>
                      </wp:positionV>
                      <wp:extent cx="1659890" cy="594995"/>
                      <wp:effectExtent l="0" t="0" r="16510" b="14605"/>
                      <wp:wrapNone/>
                      <wp:docPr id="298"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594995"/>
                              </a:xfrm>
                              <a:prstGeom prst="rect">
                                <a:avLst/>
                              </a:prstGeom>
                              <a:solidFill>
                                <a:srgbClr val="FFFFFF"/>
                              </a:solidFill>
                              <a:ln w="12700">
                                <a:solidFill>
                                  <a:srgbClr val="FFFFFF"/>
                                </a:solidFill>
                                <a:miter lim="800000"/>
                                <a:headEnd/>
                                <a:tailEnd/>
                              </a:ln>
                            </wps:spPr>
                            <wps:txbx>
                              <w:txbxContent>
                                <w:p w:rsidR="004D65A2" w:rsidRPr="006545CF" w:rsidRDefault="004D65A2" w:rsidP="002A7C85">
                                  <w:pPr>
                                    <w:jc w:val="center"/>
                                    <w:rPr>
                                      <w:sz w:val="18"/>
                                      <w:szCs w:val="18"/>
                                    </w:rPr>
                                  </w:pPr>
                                  <w:r>
                                    <w:rPr>
                                      <w:sz w:val="18"/>
                                      <w:szCs w:val="18"/>
                                    </w:rPr>
                                    <w:t xml:space="preserve">Communication </w:t>
                                  </w:r>
                                  <w:r w:rsidRPr="006545CF">
                                    <w:rPr>
                                      <w:sz w:val="18"/>
                                      <w:szCs w:val="18"/>
                                    </w:rPr>
                                    <w:t>Demarcation, Power Transfer Switch, and Condit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029" type="#_x0000_t202" style="position:absolute;left:0;text-align:left;margin-left:123.85pt;margin-top:225.9pt;width:130.7pt;height:4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" strokecolor="white" strokeweight="1pt">
                      <v:textbox>
                        <w:txbxContent>
                          <w:p w:rsidR="004D65A2" w:rsidRPr="006545CF" w:rsidRDefault="004D65A2" w:rsidP="002A7C85">
                            <w:pPr>
                              <w:jc w:val="center"/>
                              <w:rPr>
                                <w:sz w:val="18"/>
                                <w:szCs w:val="18"/>
                              </w:rPr>
                            </w:pPr>
                            <w:r>
                              <w:rPr>
                                <w:sz w:val="18"/>
                                <w:szCs w:val="18"/>
                              </w:rPr>
                              <w:t xml:space="preserve">Communication </w:t>
                            </w:r>
                            <w:r w:rsidRPr="006545CF">
                              <w:rPr>
                                <w:sz w:val="18"/>
                                <w:szCs w:val="18"/>
                              </w:rPr>
                              <w:t>Demarcation, Power Transfer Switch, and Condit</w:t>
                            </w:r>
                          </w:p>
                        </w:txbxContent>
                      </v:textbox>
                    </v:shape>
                  </w:pict>
                </mc:Fallback>
              </mc:AlternateContent>
            </w:r>
            <w:r w:rsidR="002A7C85">
              <w:rPr>
                <w:noProof/>
              </w:rPr>
              <mc:AlternateContent>
                <mc:Choice Requires="wps">
                  <w:drawing>
                    <wp:anchor distT="0" distB="0" distL="114300" distR="114300" simplePos="0" relativeHeight="251702272" behindDoc="0" locked="0" layoutInCell="1" allowOverlap="1" wp14:anchorId="6D6B6908" wp14:editId="4CA9368A">
                      <wp:simplePos x="0" y="0"/>
                      <wp:positionH relativeFrom="column">
                        <wp:posOffset>1842135</wp:posOffset>
                      </wp:positionH>
                      <wp:positionV relativeFrom="paragraph">
                        <wp:posOffset>1871980</wp:posOffset>
                      </wp:positionV>
                      <wp:extent cx="793750" cy="438150"/>
                      <wp:effectExtent l="0" t="0" r="25400" b="19050"/>
                      <wp:wrapNone/>
                      <wp:docPr id="293"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438150"/>
                              </a:xfrm>
                              <a:prstGeom prst="rect">
                                <a:avLst/>
                              </a:prstGeom>
                              <a:solidFill>
                                <a:srgbClr val="FFFFFF"/>
                              </a:solidFill>
                              <a:ln w="6350">
                                <a:solidFill>
                                  <a:srgbClr val="FFFFFF"/>
                                </a:solidFill>
                                <a:miter lim="800000"/>
                                <a:headEnd/>
                                <a:tailEnd/>
                              </a:ln>
                            </wps:spPr>
                            <wps:txbx>
                              <w:txbxContent>
                                <w:p w:rsidR="004D65A2" w:rsidRPr="00773197" w:rsidRDefault="004D65A2" w:rsidP="002A7C85">
                                  <w:pPr>
                                    <w:jc w:val="center"/>
                                    <w:rPr>
                                      <w:sz w:val="18"/>
                                      <w:szCs w:val="18"/>
                                    </w:rPr>
                                  </w:pPr>
                                  <w:r>
                                    <w:rPr>
                                      <w:sz w:val="18"/>
                                      <w:szCs w:val="18"/>
                                    </w:rPr>
                                    <w:t>Remote Amplifiers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030" type="#_x0000_t202" style="position:absolute;left:0;text-align:left;margin-left:145.05pt;margin-top:147.4pt;width:62.5pt;height: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" strokecolor="white" strokeweight=".5pt">
                      <v:textbox>
                        <w:txbxContent>
                          <w:p w:rsidR="004D65A2" w:rsidRPr="00773197" w:rsidRDefault="004D65A2" w:rsidP="002A7C85">
                            <w:pPr>
                              <w:jc w:val="center"/>
                              <w:rPr>
                                <w:sz w:val="18"/>
                                <w:szCs w:val="18"/>
                              </w:rPr>
                            </w:pPr>
                            <w:r>
                              <w:rPr>
                                <w:sz w:val="18"/>
                                <w:szCs w:val="18"/>
                              </w:rPr>
                              <w:t>Remote Amplifiers</w:t>
                            </w:r>
                          </w:p>
                        </w:txbxContent>
                      </v:textbox>
                    </v:shape>
                  </w:pict>
                </mc:Fallback>
              </mc:AlternateContent>
            </w:r>
            <w:r w:rsidR="002A7C85">
              <w:rPr>
                <w:noProof/>
              </w:rPr>
              <mc:AlternateContent>
                <mc:Choice Requires="wps">
                  <w:drawing>
                    <wp:anchor distT="0" distB="0" distL="114300" distR="114300" simplePos="0" relativeHeight="251703296" behindDoc="0" locked="0" layoutInCell="1" allowOverlap="1" wp14:anchorId="129E35DC" wp14:editId="5A84F7B6">
                      <wp:simplePos x="0" y="0"/>
                      <wp:positionH relativeFrom="column">
                        <wp:posOffset>1722755</wp:posOffset>
                      </wp:positionH>
                      <wp:positionV relativeFrom="paragraph">
                        <wp:posOffset>7620</wp:posOffset>
                      </wp:positionV>
                      <wp:extent cx="1169670" cy="274320"/>
                      <wp:effectExtent l="8255" t="7620" r="12700" b="13335"/>
                      <wp:wrapNone/>
                      <wp:docPr id="299"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274320"/>
                              </a:xfrm>
                              <a:prstGeom prst="rect">
                                <a:avLst/>
                              </a:prstGeom>
                              <a:solidFill>
                                <a:srgbClr val="FFFFFF"/>
                              </a:solidFill>
                              <a:ln w="6350">
                                <a:solidFill>
                                  <a:srgbClr val="FFFFFF"/>
                                </a:solidFill>
                                <a:miter lim="800000"/>
                                <a:headEnd/>
                                <a:tailEnd/>
                              </a:ln>
                            </wps:spPr>
                            <wps:txbx>
                              <w:txbxContent>
                                <w:p w:rsidR="004D65A2" w:rsidRPr="00773197" w:rsidRDefault="004D65A2" w:rsidP="002A7C85">
                                  <w:pPr>
                                    <w:jc w:val="center"/>
                                    <w:rPr>
                                      <w:sz w:val="18"/>
                                      <w:szCs w:val="18"/>
                                    </w:rPr>
                                  </w:pPr>
                                  <w:r>
                                    <w:rPr>
                                      <w:sz w:val="18"/>
                                      <w:szCs w:val="18"/>
                                    </w:rPr>
                                    <w:t>Pole-Top Antenna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031" type="#_x0000_t202" style="position:absolute;left:0;text-align:left;margin-left:135.65pt;margin-top:.6pt;width:92.1pt;height:2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" strokecolor="white" strokeweight=".5pt">
                      <v:textbox>
                        <w:txbxContent>
                          <w:p w:rsidR="004D65A2" w:rsidRPr="00773197" w:rsidRDefault="004D65A2" w:rsidP="002A7C85">
                            <w:pPr>
                              <w:jc w:val="center"/>
                              <w:rPr>
                                <w:sz w:val="18"/>
                                <w:szCs w:val="18"/>
                              </w:rPr>
                            </w:pPr>
                            <w:r>
                              <w:rPr>
                                <w:sz w:val="18"/>
                                <w:szCs w:val="18"/>
                              </w:rPr>
                              <w:t>Pole-Top Antenna</w:t>
                            </w:r>
                          </w:p>
                        </w:txbxContent>
                      </v:textbox>
                    </v:shape>
                  </w:pict>
                </mc:Fallback>
              </mc:AlternateContent>
            </w:r>
            <w:r w:rsidR="002A7C85">
              <w:rPr>
                <w:noProof/>
              </w:rPr>
              <mc:AlternateContent>
                <mc:Choice Requires="wps">
                  <w:drawing>
                    <wp:anchor distT="0" distB="0" distL="114300" distR="114300" simplePos="0" relativeHeight="251708416" behindDoc="0" locked="0" layoutInCell="1" allowOverlap="1" wp14:anchorId="3A1FE333" wp14:editId="745BEC72">
                      <wp:simplePos x="0" y="0"/>
                      <wp:positionH relativeFrom="column">
                        <wp:posOffset>1296035</wp:posOffset>
                      </wp:positionH>
                      <wp:positionV relativeFrom="paragraph">
                        <wp:posOffset>598170</wp:posOffset>
                      </wp:positionV>
                      <wp:extent cx="544195" cy="7620"/>
                      <wp:effectExtent l="57785" t="55245" r="7620" b="51435"/>
                      <wp:wrapNone/>
                      <wp:docPr id="297" name="Auto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4195" cy="7620"/>
                              </a:xfrm>
                              <a:prstGeom prst="straightConnector1">
                                <a:avLst/>
                              </a:prstGeom>
                              <a:noFill/>
                              <a:ln w="9525">
                                <a:solidFill>
                                  <a:srgbClr val="000000"/>
                                </a:solidFill>
                                <a:round/>
                                <a:headEn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62" o:spid="_x0000_s1026" type="#_x0000_t32" style="position:absolute;margin-left:102.05pt;margin-top:47.1pt;width:42.85pt;height:.6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">
                      <v:stroke endarrow="diamond"/>
                    </v:shape>
                  </w:pict>
                </mc:Fallback>
              </mc:AlternateContent>
            </w:r>
            <w:r w:rsidR="002A7C85">
              <w:rPr>
                <w:noProof/>
              </w:rPr>
              <mc:AlternateContent>
                <mc:Choice Requires="wps">
                  <w:drawing>
                    <wp:anchor distT="0" distB="0" distL="114300" distR="114300" simplePos="0" relativeHeight="251707392" behindDoc="0" locked="0" layoutInCell="1" allowOverlap="1" wp14:anchorId="058AD837" wp14:editId="3A9560C4">
                      <wp:simplePos x="0" y="0"/>
                      <wp:positionH relativeFrom="column">
                        <wp:posOffset>1840230</wp:posOffset>
                      </wp:positionH>
                      <wp:positionV relativeFrom="paragraph">
                        <wp:posOffset>415290</wp:posOffset>
                      </wp:positionV>
                      <wp:extent cx="1188720" cy="381000"/>
                      <wp:effectExtent l="11430" t="5715" r="9525" b="13335"/>
                      <wp:wrapNone/>
                      <wp:docPr id="296"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81000"/>
                              </a:xfrm>
                              <a:prstGeom prst="rect">
                                <a:avLst/>
                              </a:prstGeom>
                              <a:solidFill>
                                <a:srgbClr val="FFFFFF"/>
                              </a:solidFill>
                              <a:ln w="6350">
                                <a:solidFill>
                                  <a:srgbClr val="FFFFFF"/>
                                </a:solidFill>
                                <a:miter lim="800000"/>
                                <a:headEnd/>
                                <a:tailEnd/>
                              </a:ln>
                            </wps:spPr>
                            <wps:txbx>
                              <w:txbxContent>
                                <w:p w:rsidR="004D65A2" w:rsidRPr="00773197" w:rsidRDefault="004D65A2" w:rsidP="002A7C85">
                                  <w:pPr>
                                    <w:jc w:val="center"/>
                                    <w:rPr>
                                      <w:sz w:val="18"/>
                                      <w:szCs w:val="18"/>
                                    </w:rPr>
                                  </w:pPr>
                                  <w:r>
                                    <w:rPr>
                                      <w:sz w:val="18"/>
                                      <w:szCs w:val="18"/>
                                    </w:rPr>
                                    <w:t>Pole-Top Extension for Antenna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032" type="#_x0000_t202" style="position:absolute;left:0;text-align:left;margin-left:144.9pt;margin-top:32.7pt;width:93.6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" strokecolor="white" strokeweight=".5pt">
                      <v:textbox>
                        <w:txbxContent>
                          <w:p w:rsidR="004D65A2" w:rsidRPr="00773197" w:rsidRDefault="004D65A2" w:rsidP="002A7C85">
                            <w:pPr>
                              <w:jc w:val="center"/>
                              <w:rPr>
                                <w:sz w:val="18"/>
                                <w:szCs w:val="18"/>
                              </w:rPr>
                            </w:pPr>
                            <w:r>
                              <w:rPr>
                                <w:sz w:val="18"/>
                                <w:szCs w:val="18"/>
                              </w:rPr>
                              <w:t>Pole-Top Extension for Antenna</w:t>
                            </w:r>
                          </w:p>
                        </w:txbxContent>
                      </v:textbox>
                    </v:shape>
                  </w:pict>
                </mc:Fallback>
              </mc:AlternateContent>
            </w:r>
            <w:r w:rsidR="002A7C85">
              <w:rPr>
                <w:noProof/>
              </w:rPr>
              <w:drawing>
                <wp:inline distT="0" distB="0" distL="0" distR="0" wp14:anchorId="0FAE0E2E" wp14:editId="2362BF6C">
                  <wp:extent cx="3041636" cy="4248357"/>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9321" cy="4245124"/>
                          </a:xfrm>
                          <a:prstGeom prst="rect">
                            <a:avLst/>
                          </a:prstGeom>
                          <a:noFill/>
                          <a:ln>
                            <a:noFill/>
                          </a:ln>
                        </pic:spPr>
                      </pic:pic>
                    </a:graphicData>
                  </a:graphic>
                </wp:inline>
              </w:drawing>
            </w:r>
          </w:p>
        </w:tc>
        <w:tc>
          <w:tcPr>
            <w:tcW w:w="4841" w:type="dxa"/>
            <w:shd w:val="clear" w:color="auto" w:fill="auto"/>
            <w:vAlign w:val="center"/>
          </w:tcPr>
          <w:p w:rsidR="002A7C85" w:rsidRDefault="002A7C85" w:rsidP="002A7C85">
            <w:pPr>
              <w:pStyle w:val="standard"/>
              <w:keepNext/>
              <w:widowControl w:val="0"/>
              <w:spacing w:line="240" w:lineRule="auto"/>
              <w:ind w:firstLine="0"/>
              <w:jc w:val="center"/>
            </w:pPr>
            <w:r>
              <w:rPr>
                <w:noProof/>
              </w:rPr>
              <w:drawing>
                <wp:inline distT="0" distB="0" distL="0" distR="0" wp14:anchorId="1E565B5E" wp14:editId="71FBE369">
                  <wp:extent cx="2936875" cy="419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6875" cy="4191000"/>
                          </a:xfrm>
                          <a:prstGeom prst="rect">
                            <a:avLst/>
                          </a:prstGeom>
                          <a:noFill/>
                          <a:ln>
                            <a:noFill/>
                          </a:ln>
                        </pic:spPr>
                      </pic:pic>
                    </a:graphicData>
                  </a:graphic>
                </wp:inline>
              </w:drawing>
            </w:r>
          </w:p>
        </w:tc>
      </w:tr>
      <w:tr w:rsidR="002A7C85" w:rsidRPr="002A7C85" w:rsidTr="002A7C85">
        <w:trPr>
          <w:cantSplit/>
          <w:jc w:val="center"/>
        </w:trPr>
        <w:tc>
          <w:tcPr>
            <w:tcW w:w="5616" w:type="dxa"/>
          </w:tcPr>
          <w:p w:rsidR="002A7C85" w:rsidRPr="002A7C85" w:rsidRDefault="002A7C85" w:rsidP="002A7C85">
            <w:pPr>
              <w:pStyle w:val="standard"/>
              <w:widowControl w:val="0"/>
              <w:spacing w:before="40" w:line="240" w:lineRule="auto"/>
              <w:ind w:left="864" w:hanging="864"/>
              <w:rPr>
                <w:noProof/>
                <w:sz w:val="22"/>
                <w:szCs w:val="22"/>
              </w:rPr>
            </w:pPr>
            <w:r w:rsidRPr="002A7C85">
              <w:rPr>
                <w:b/>
                <w:noProof/>
                <w:sz w:val="22"/>
                <w:szCs w:val="22"/>
                <w:u w:val="single"/>
              </w:rPr>
              <w:t>Source:</w:t>
            </w:r>
            <w:r w:rsidRPr="002A7C85">
              <w:rPr>
                <w:noProof/>
                <w:sz w:val="22"/>
                <w:szCs w:val="22"/>
              </w:rPr>
              <w:t xml:space="preserve">  AT&amp;T Mobility Informational Report (October 21, 2014) at 9.</w:t>
            </w:r>
          </w:p>
        </w:tc>
        <w:tc>
          <w:tcPr>
            <w:tcW w:w="4841" w:type="dxa"/>
            <w:shd w:val="clear" w:color="auto" w:fill="auto"/>
            <w:vAlign w:val="center"/>
          </w:tcPr>
          <w:p w:rsidR="002A7C85" w:rsidRPr="002A7C85" w:rsidRDefault="002A7C85" w:rsidP="002A7C85">
            <w:pPr>
              <w:pStyle w:val="standard"/>
              <w:widowControl w:val="0"/>
              <w:spacing w:before="40" w:line="240" w:lineRule="auto"/>
              <w:ind w:left="855" w:hanging="855"/>
              <w:rPr>
                <w:noProof/>
                <w:sz w:val="22"/>
                <w:szCs w:val="22"/>
              </w:rPr>
            </w:pPr>
            <w:r w:rsidRPr="002A7C85">
              <w:rPr>
                <w:b/>
                <w:noProof/>
                <w:sz w:val="22"/>
                <w:szCs w:val="22"/>
                <w:u w:val="single"/>
              </w:rPr>
              <w:t>Source:</w:t>
            </w:r>
            <w:r w:rsidRPr="002A7C85">
              <w:rPr>
                <w:noProof/>
                <w:sz w:val="22"/>
                <w:szCs w:val="22"/>
              </w:rPr>
              <w:t xml:space="preserve">  Electric IOUs Informational Report (October 21, 2014) at 27.</w:t>
            </w:r>
          </w:p>
        </w:tc>
      </w:tr>
    </w:tbl>
    <w:p w:rsidR="002A7C85" w:rsidRDefault="002A7C85" w:rsidP="002A7C85">
      <w:pPr>
        <w:pStyle w:val="standard"/>
      </w:pPr>
    </w:p>
    <w:tbl>
      <w:tblPr>
        <w:tblW w:w="10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6"/>
        <w:gridCol w:w="4809"/>
      </w:tblGrid>
      <w:tr w:rsidR="005E7B18" w:rsidRPr="00BE287D" w:rsidTr="00AC0F5B">
        <w:trPr>
          <w:jc w:val="center"/>
        </w:trPr>
        <w:tc>
          <w:tcPr>
            <w:tcW w:w="5586" w:type="dxa"/>
            <w:shd w:val="pct10" w:color="auto" w:fill="auto"/>
            <w:vAlign w:val="center"/>
          </w:tcPr>
          <w:p w:rsidR="005E7B18" w:rsidRPr="00EA2654" w:rsidRDefault="005E7B18" w:rsidP="002A7C85">
            <w:pPr>
              <w:pStyle w:val="standard"/>
              <w:keepNext/>
              <w:widowControl w:val="0"/>
              <w:spacing w:before="40" w:after="40" w:line="240" w:lineRule="auto"/>
              <w:ind w:firstLine="0"/>
              <w:jc w:val="center"/>
              <w:rPr>
                <w:b/>
                <w:noProof/>
              </w:rPr>
            </w:pPr>
            <w:r w:rsidRPr="00EA2654">
              <w:rPr>
                <w:b/>
                <w:noProof/>
              </w:rPr>
              <w:t xml:space="preserve">Figure </w:t>
            </w:r>
            <w:r w:rsidR="002A7C85">
              <w:rPr>
                <w:b/>
                <w:noProof/>
              </w:rPr>
              <w:t>3</w:t>
            </w:r>
          </w:p>
        </w:tc>
        <w:tc>
          <w:tcPr>
            <w:tcW w:w="4809" w:type="dxa"/>
            <w:shd w:val="pct10" w:color="auto" w:fill="auto"/>
            <w:vAlign w:val="center"/>
          </w:tcPr>
          <w:p w:rsidR="005E7B18" w:rsidRPr="00EA2654" w:rsidRDefault="005E7B18" w:rsidP="002A7C85">
            <w:pPr>
              <w:pStyle w:val="standard"/>
              <w:keepNext/>
              <w:widowControl w:val="0"/>
              <w:spacing w:before="40" w:after="40" w:line="240" w:lineRule="auto"/>
              <w:ind w:firstLine="0"/>
              <w:jc w:val="center"/>
              <w:rPr>
                <w:b/>
                <w:noProof/>
              </w:rPr>
            </w:pPr>
            <w:r w:rsidRPr="00EA2654">
              <w:rPr>
                <w:b/>
                <w:noProof/>
              </w:rPr>
              <w:t xml:space="preserve">Figure </w:t>
            </w:r>
            <w:r w:rsidR="002A7C85">
              <w:rPr>
                <w:b/>
                <w:noProof/>
              </w:rPr>
              <w:t>4</w:t>
            </w:r>
          </w:p>
        </w:tc>
      </w:tr>
      <w:tr w:rsidR="00BE287D" w:rsidRPr="00BE287D" w:rsidTr="00AC0F5B">
        <w:trPr>
          <w:jc w:val="center"/>
        </w:trPr>
        <w:tc>
          <w:tcPr>
            <w:tcW w:w="5586" w:type="dxa"/>
            <w:shd w:val="pct10" w:color="auto" w:fill="auto"/>
            <w:vAlign w:val="center"/>
          </w:tcPr>
          <w:p w:rsidR="00BE287D" w:rsidRPr="00EA2654" w:rsidRDefault="00BE287D" w:rsidP="00FE5B6D">
            <w:pPr>
              <w:pStyle w:val="standard"/>
              <w:keepNext/>
              <w:widowControl w:val="0"/>
              <w:spacing w:before="20" w:line="240" w:lineRule="auto"/>
              <w:ind w:firstLine="0"/>
              <w:jc w:val="center"/>
              <w:rPr>
                <w:b/>
                <w:noProof/>
              </w:rPr>
            </w:pPr>
            <w:r w:rsidRPr="00EA2654">
              <w:rPr>
                <w:b/>
                <w:noProof/>
              </w:rPr>
              <w:t>Mid-Pole Antenna Installation</w:t>
            </w:r>
            <w:r w:rsidR="004709B0" w:rsidRPr="00EA2654">
              <w:rPr>
                <w:b/>
                <w:noProof/>
              </w:rPr>
              <w:t xml:space="preserve"> </w:t>
            </w:r>
          </w:p>
        </w:tc>
        <w:tc>
          <w:tcPr>
            <w:tcW w:w="4809" w:type="dxa"/>
            <w:shd w:val="pct10" w:color="auto" w:fill="auto"/>
          </w:tcPr>
          <w:p w:rsidR="00BE287D" w:rsidRPr="00EA2654" w:rsidRDefault="00BE287D" w:rsidP="00FE5B6D">
            <w:pPr>
              <w:pStyle w:val="standard"/>
              <w:keepNext/>
              <w:widowControl w:val="0"/>
              <w:spacing w:before="20" w:line="240" w:lineRule="auto"/>
              <w:ind w:firstLine="0"/>
              <w:jc w:val="center"/>
              <w:rPr>
                <w:b/>
                <w:noProof/>
              </w:rPr>
            </w:pPr>
            <w:r w:rsidRPr="00EA2654">
              <w:rPr>
                <w:b/>
                <w:noProof/>
              </w:rPr>
              <w:t>Pole-Top Antenna Installation</w:t>
            </w:r>
            <w:r w:rsidR="004709B0" w:rsidRPr="00EA2654">
              <w:rPr>
                <w:b/>
                <w:noProof/>
              </w:rPr>
              <w:t xml:space="preserve"> </w:t>
            </w:r>
          </w:p>
        </w:tc>
      </w:tr>
      <w:tr w:rsidR="00EE3758" w:rsidTr="00AC0F5B">
        <w:trPr>
          <w:jc w:val="center"/>
        </w:trPr>
        <w:tc>
          <w:tcPr>
            <w:tcW w:w="5586" w:type="dxa"/>
            <w:shd w:val="clear" w:color="auto" w:fill="auto"/>
            <w:vAlign w:val="center"/>
          </w:tcPr>
          <w:p w:rsidR="00EE3758" w:rsidRDefault="004B6E6E" w:rsidP="00EA2654">
            <w:pPr>
              <w:pStyle w:val="standard"/>
              <w:widowControl w:val="0"/>
              <w:spacing w:line="240" w:lineRule="auto"/>
              <w:ind w:firstLine="0"/>
              <w:jc w:val="center"/>
            </w:pPr>
            <w:r>
              <w:rPr>
                <w:noProof/>
              </w:rPr>
              <w:drawing>
                <wp:inline distT="0" distB="0" distL="0" distR="0" wp14:anchorId="13AC64CF" wp14:editId="57A40269">
                  <wp:extent cx="3408045" cy="6102985"/>
                  <wp:effectExtent l="0" t="0" r="1905"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8045" cy="6102985"/>
                          </a:xfrm>
                          <a:prstGeom prst="rect">
                            <a:avLst/>
                          </a:prstGeom>
                          <a:noFill/>
                          <a:ln>
                            <a:noFill/>
                          </a:ln>
                        </pic:spPr>
                      </pic:pic>
                    </a:graphicData>
                  </a:graphic>
                </wp:inline>
              </w:drawing>
            </w:r>
          </w:p>
        </w:tc>
        <w:tc>
          <w:tcPr>
            <w:tcW w:w="4809" w:type="dxa"/>
            <w:shd w:val="clear" w:color="auto" w:fill="auto"/>
          </w:tcPr>
          <w:p w:rsidR="00EE3758" w:rsidRDefault="004B6E6E" w:rsidP="00EA2654">
            <w:pPr>
              <w:pStyle w:val="standard"/>
              <w:widowControl w:val="0"/>
              <w:spacing w:line="240" w:lineRule="auto"/>
              <w:ind w:firstLine="0"/>
              <w:jc w:val="center"/>
            </w:pPr>
            <w:r>
              <w:rPr>
                <w:noProof/>
              </w:rPr>
              <w:drawing>
                <wp:inline distT="0" distB="0" distL="0" distR="0" wp14:anchorId="49FD4C3D" wp14:editId="15628EB0">
                  <wp:extent cx="2771140" cy="6158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1140" cy="6158230"/>
                          </a:xfrm>
                          <a:prstGeom prst="rect">
                            <a:avLst/>
                          </a:prstGeom>
                          <a:noFill/>
                          <a:ln>
                            <a:noFill/>
                          </a:ln>
                        </pic:spPr>
                      </pic:pic>
                    </a:graphicData>
                  </a:graphic>
                </wp:inline>
              </w:drawing>
            </w:r>
          </w:p>
        </w:tc>
      </w:tr>
      <w:tr w:rsidR="005E7B18" w:rsidRPr="00EA2654" w:rsidTr="00EA2654">
        <w:trPr>
          <w:jc w:val="center"/>
        </w:trPr>
        <w:tc>
          <w:tcPr>
            <w:tcW w:w="10395" w:type="dxa"/>
            <w:gridSpan w:val="2"/>
            <w:shd w:val="clear" w:color="auto" w:fill="auto"/>
            <w:vAlign w:val="center"/>
          </w:tcPr>
          <w:p w:rsidR="005E7B18" w:rsidRPr="00EA2654" w:rsidRDefault="005E7B18" w:rsidP="003B4DC0">
            <w:pPr>
              <w:pStyle w:val="standard"/>
              <w:keepNext/>
              <w:widowControl w:val="0"/>
              <w:spacing w:before="20" w:after="20" w:line="240" w:lineRule="auto"/>
              <w:ind w:firstLine="0"/>
              <w:rPr>
                <w:noProof/>
                <w:sz w:val="24"/>
                <w:szCs w:val="24"/>
              </w:rPr>
            </w:pPr>
            <w:r w:rsidRPr="00EA2654">
              <w:rPr>
                <w:b/>
                <w:noProof/>
                <w:sz w:val="24"/>
                <w:szCs w:val="24"/>
                <w:u w:val="single"/>
              </w:rPr>
              <w:t>Note</w:t>
            </w:r>
            <w:r w:rsidRPr="00EA2654">
              <w:rPr>
                <w:noProof/>
                <w:sz w:val="24"/>
                <w:szCs w:val="24"/>
              </w:rPr>
              <w:t xml:space="preserve">:  </w:t>
            </w:r>
            <w:r w:rsidRPr="00EA3868">
              <w:rPr>
                <w:noProof/>
                <w:sz w:val="22"/>
                <w:szCs w:val="22"/>
              </w:rPr>
              <w:t xml:space="preserve">Figure </w:t>
            </w:r>
            <w:r w:rsidR="003B4DC0">
              <w:rPr>
                <w:noProof/>
                <w:sz w:val="22"/>
                <w:szCs w:val="22"/>
              </w:rPr>
              <w:t>3</w:t>
            </w:r>
            <w:r w:rsidRPr="00EA3868">
              <w:rPr>
                <w:noProof/>
                <w:sz w:val="22"/>
                <w:szCs w:val="22"/>
              </w:rPr>
              <w:t xml:space="preserve"> mistakenly shows </w:t>
            </w:r>
            <w:r w:rsidR="00BB377E" w:rsidRPr="00EA3868">
              <w:rPr>
                <w:noProof/>
                <w:sz w:val="22"/>
                <w:szCs w:val="22"/>
              </w:rPr>
              <w:t xml:space="preserve">phone and </w:t>
            </w:r>
            <w:r w:rsidRPr="00EA3868">
              <w:rPr>
                <w:noProof/>
                <w:sz w:val="22"/>
                <w:szCs w:val="22"/>
              </w:rPr>
              <w:t xml:space="preserve">CATV </w:t>
            </w:r>
            <w:r w:rsidR="00EF5D11" w:rsidRPr="00EA3868">
              <w:rPr>
                <w:noProof/>
                <w:sz w:val="22"/>
                <w:szCs w:val="22"/>
              </w:rPr>
              <w:t xml:space="preserve">cables </w:t>
            </w:r>
            <w:r w:rsidRPr="00EA3868">
              <w:rPr>
                <w:noProof/>
                <w:sz w:val="22"/>
                <w:szCs w:val="22"/>
              </w:rPr>
              <w:t>attached to th</w:t>
            </w:r>
            <w:r w:rsidR="008C4DC6" w:rsidRPr="00EA3868">
              <w:rPr>
                <w:noProof/>
                <w:sz w:val="22"/>
                <w:szCs w:val="22"/>
              </w:rPr>
              <w:t>e</w:t>
            </w:r>
            <w:r w:rsidRPr="00EA3868">
              <w:rPr>
                <w:noProof/>
                <w:sz w:val="22"/>
                <w:szCs w:val="22"/>
              </w:rPr>
              <w:t xml:space="preserve"> pole in the same horizontal plane as the antenna.  GO</w:t>
            </w:r>
            <w:r w:rsidR="00AE7CCE" w:rsidRPr="00EA3868">
              <w:rPr>
                <w:noProof/>
                <w:sz w:val="22"/>
                <w:szCs w:val="22"/>
              </w:rPr>
              <w:t> </w:t>
            </w:r>
            <w:r w:rsidRPr="00EA3868">
              <w:rPr>
                <w:noProof/>
                <w:sz w:val="22"/>
                <w:szCs w:val="22"/>
              </w:rPr>
              <w:t>95, Rule 94</w:t>
            </w:r>
            <w:r w:rsidR="008C4DC6" w:rsidRPr="00EA3868">
              <w:rPr>
                <w:noProof/>
                <w:sz w:val="22"/>
                <w:szCs w:val="22"/>
              </w:rPr>
              <w:t>.4</w:t>
            </w:r>
            <w:r w:rsidRPr="00EA3868">
              <w:rPr>
                <w:noProof/>
                <w:sz w:val="22"/>
                <w:szCs w:val="22"/>
              </w:rPr>
              <w:t xml:space="preserve">, requires </w:t>
            </w:r>
            <w:r w:rsidR="00642528" w:rsidRPr="00EA3868">
              <w:rPr>
                <w:noProof/>
                <w:sz w:val="22"/>
                <w:szCs w:val="22"/>
              </w:rPr>
              <w:t xml:space="preserve">up to 24 inches of </w:t>
            </w:r>
            <w:r w:rsidR="004709B0" w:rsidRPr="00EA3868">
              <w:rPr>
                <w:noProof/>
                <w:sz w:val="22"/>
                <w:szCs w:val="22"/>
              </w:rPr>
              <w:t>vertical separation, depending on c</w:t>
            </w:r>
            <w:r w:rsidR="008F2216" w:rsidRPr="00EA3868">
              <w:rPr>
                <w:noProof/>
                <w:sz w:val="22"/>
                <w:szCs w:val="22"/>
              </w:rPr>
              <w:t>ircumstances</w:t>
            </w:r>
            <w:r w:rsidR="004709B0" w:rsidRPr="00EA3868">
              <w:rPr>
                <w:noProof/>
                <w:sz w:val="22"/>
                <w:szCs w:val="22"/>
              </w:rPr>
              <w:t xml:space="preserve">, between </w:t>
            </w:r>
            <w:r w:rsidR="00EA3868" w:rsidRPr="00EA3868">
              <w:rPr>
                <w:noProof/>
                <w:sz w:val="22"/>
                <w:szCs w:val="22"/>
              </w:rPr>
              <w:t xml:space="preserve">an </w:t>
            </w:r>
            <w:r w:rsidRPr="00EA3868">
              <w:rPr>
                <w:noProof/>
                <w:sz w:val="22"/>
                <w:szCs w:val="22"/>
              </w:rPr>
              <w:t xml:space="preserve">antenna </w:t>
            </w:r>
            <w:r w:rsidR="004709B0" w:rsidRPr="00EA3868">
              <w:rPr>
                <w:noProof/>
                <w:sz w:val="22"/>
                <w:szCs w:val="22"/>
              </w:rPr>
              <w:t xml:space="preserve">and </w:t>
            </w:r>
            <w:r w:rsidRPr="00EA3868">
              <w:rPr>
                <w:noProof/>
                <w:sz w:val="22"/>
                <w:szCs w:val="22"/>
              </w:rPr>
              <w:t>communication cables</w:t>
            </w:r>
            <w:r w:rsidR="00EA3868" w:rsidRPr="00EA3868">
              <w:rPr>
                <w:noProof/>
                <w:sz w:val="22"/>
                <w:szCs w:val="22"/>
              </w:rPr>
              <w:t xml:space="preserve"> attached to the same pole</w:t>
            </w:r>
            <w:r w:rsidRPr="00EA3868">
              <w:rPr>
                <w:noProof/>
                <w:sz w:val="22"/>
                <w:szCs w:val="22"/>
              </w:rPr>
              <w:t>.</w:t>
            </w:r>
          </w:p>
        </w:tc>
      </w:tr>
      <w:tr w:rsidR="00316E73" w:rsidRPr="00EA2654" w:rsidTr="00EA2654">
        <w:trPr>
          <w:jc w:val="center"/>
        </w:trPr>
        <w:tc>
          <w:tcPr>
            <w:tcW w:w="10395" w:type="dxa"/>
            <w:gridSpan w:val="2"/>
            <w:shd w:val="clear" w:color="auto" w:fill="auto"/>
            <w:vAlign w:val="center"/>
          </w:tcPr>
          <w:p w:rsidR="00316E73" w:rsidRPr="00EA2654" w:rsidRDefault="00316E73" w:rsidP="00002F19">
            <w:pPr>
              <w:pStyle w:val="standard"/>
              <w:widowControl w:val="0"/>
              <w:spacing w:before="20" w:after="20" w:line="240" w:lineRule="auto"/>
              <w:ind w:firstLine="0"/>
              <w:rPr>
                <w:b/>
                <w:noProof/>
                <w:sz w:val="24"/>
                <w:szCs w:val="24"/>
                <w:u w:val="single"/>
              </w:rPr>
            </w:pPr>
            <w:r>
              <w:rPr>
                <w:b/>
                <w:noProof/>
                <w:sz w:val="24"/>
                <w:szCs w:val="24"/>
                <w:u w:val="single"/>
              </w:rPr>
              <w:t>Source:</w:t>
            </w:r>
            <w:r w:rsidRPr="00316E73">
              <w:rPr>
                <w:noProof/>
                <w:sz w:val="24"/>
                <w:szCs w:val="24"/>
              </w:rPr>
              <w:t xml:space="preserve">  </w:t>
            </w:r>
            <w:r w:rsidR="0055263D">
              <w:rPr>
                <w:noProof/>
                <w:sz w:val="24"/>
                <w:szCs w:val="24"/>
              </w:rPr>
              <w:t xml:space="preserve">AT&amp;T Mobility </w:t>
            </w:r>
            <w:r w:rsidR="0055263D" w:rsidRPr="007C3FBB">
              <w:rPr>
                <w:noProof/>
                <w:sz w:val="24"/>
                <w:szCs w:val="24"/>
              </w:rPr>
              <w:t>Information</w:t>
            </w:r>
            <w:r w:rsidR="00002F19">
              <w:rPr>
                <w:noProof/>
                <w:sz w:val="24"/>
                <w:szCs w:val="24"/>
              </w:rPr>
              <w:t>al</w:t>
            </w:r>
            <w:r w:rsidR="0055263D" w:rsidRPr="007C3FBB">
              <w:rPr>
                <w:noProof/>
                <w:sz w:val="24"/>
                <w:szCs w:val="24"/>
              </w:rPr>
              <w:t xml:space="preserve"> Report </w:t>
            </w:r>
            <w:r w:rsidR="00AC0F5B">
              <w:rPr>
                <w:noProof/>
                <w:sz w:val="24"/>
                <w:szCs w:val="24"/>
              </w:rPr>
              <w:t>(O</w:t>
            </w:r>
            <w:r>
              <w:rPr>
                <w:noProof/>
                <w:sz w:val="24"/>
                <w:szCs w:val="24"/>
              </w:rPr>
              <w:t>ctober 21, 2014</w:t>
            </w:r>
            <w:r w:rsidR="00AC0F5B">
              <w:rPr>
                <w:noProof/>
                <w:sz w:val="24"/>
                <w:szCs w:val="24"/>
              </w:rPr>
              <w:t>)</w:t>
            </w:r>
            <w:r>
              <w:rPr>
                <w:noProof/>
                <w:sz w:val="24"/>
                <w:szCs w:val="24"/>
              </w:rPr>
              <w:t xml:space="preserve">, at 2 – 4. </w:t>
            </w:r>
          </w:p>
        </w:tc>
      </w:tr>
    </w:tbl>
    <w:p w:rsidR="002A7C85" w:rsidRDefault="002A7C85" w:rsidP="002A7C85">
      <w:pPr>
        <w:pStyle w:val="standard"/>
        <w:spacing w:line="240" w:lineRule="auto"/>
      </w:pPr>
    </w:p>
    <w:p w:rsidR="008A549E" w:rsidRDefault="00316E73" w:rsidP="008E33A0">
      <w:pPr>
        <w:pStyle w:val="standard"/>
      </w:pPr>
      <w:r>
        <w:lastRenderedPageBreak/>
        <w:t>As shown in Figures 1</w:t>
      </w:r>
      <w:r w:rsidR="006545CF">
        <w:t xml:space="preserve"> - 4</w:t>
      </w:r>
      <w:r>
        <w:t xml:space="preserve">, above, </w:t>
      </w:r>
      <w:r w:rsidR="00E01CBD">
        <w:t xml:space="preserve">a typical CMRS </w:t>
      </w:r>
      <w:r w:rsidR="00EA3868">
        <w:t xml:space="preserve">pole </w:t>
      </w:r>
      <w:r w:rsidR="00E01CBD">
        <w:t xml:space="preserve">installation includes an antenna, </w:t>
      </w:r>
      <w:r w:rsidR="007F619F">
        <w:t xml:space="preserve">shut-off switch, power meter, battery backup, </w:t>
      </w:r>
      <w:r w:rsidR="00F86FA1">
        <w:t>radio</w:t>
      </w:r>
      <w:r w:rsidR="007F619F">
        <w:t xml:space="preserve"> amplifier, power cabinet, and risers </w:t>
      </w:r>
      <w:r w:rsidR="00CB72B9">
        <w:t>for</w:t>
      </w:r>
      <w:r w:rsidR="007F619F">
        <w:t xml:space="preserve"> communication and power cables.  The CMRS installation is </w:t>
      </w:r>
      <w:r w:rsidR="003A10F4">
        <w:t>usually</w:t>
      </w:r>
      <w:r w:rsidR="007F619F">
        <w:t xml:space="preserve"> connected to a separately attached communication cable for backhaul.  </w:t>
      </w:r>
    </w:p>
    <w:p w:rsidR="0074340F" w:rsidRDefault="00E43D46" w:rsidP="008E33A0">
      <w:pPr>
        <w:pStyle w:val="standard"/>
      </w:pPr>
      <w:r>
        <w:t xml:space="preserve">The various pole attachments that </w:t>
      </w:r>
      <w:r w:rsidR="00E14EFA">
        <w:t>comprise</w:t>
      </w:r>
      <w:r>
        <w:t xml:space="preserve"> a </w:t>
      </w:r>
      <w:r w:rsidR="006661BA">
        <w:t xml:space="preserve">CMRS installation can </w:t>
      </w:r>
      <w:r w:rsidR="00CB72B9">
        <w:t xml:space="preserve">collectively </w:t>
      </w:r>
      <w:r w:rsidR="006661BA">
        <w:t>occupy 6 to 12 feet of pole space, depending on the types, number, an</w:t>
      </w:r>
      <w:r w:rsidR="0088314C">
        <w:t>d</w:t>
      </w:r>
      <w:r w:rsidR="006661BA">
        <w:t xml:space="preserve"> sizes of the attachments.</w:t>
      </w:r>
      <w:r w:rsidR="00847FA9">
        <w:rPr>
          <w:rStyle w:val="FootnoteReference"/>
        </w:rPr>
        <w:footnoteReference w:id="29"/>
      </w:r>
      <w:r w:rsidR="006661BA">
        <w:t xml:space="preserve">  </w:t>
      </w:r>
      <w:r w:rsidR="00C659C6">
        <w:t xml:space="preserve">The mandatory safety </w:t>
      </w:r>
      <w:r w:rsidR="003A10F4">
        <w:t>clearances</w:t>
      </w:r>
      <w:r w:rsidR="00C659C6">
        <w:t xml:space="preserve"> </w:t>
      </w:r>
      <w:r w:rsidR="00351A84">
        <w:t xml:space="preserve">required by GO 95 </w:t>
      </w:r>
      <w:r w:rsidR="00C659C6">
        <w:t xml:space="preserve">for antennas can </w:t>
      </w:r>
      <w:r w:rsidR="009D5866">
        <w:t xml:space="preserve">occupy </w:t>
      </w:r>
      <w:r w:rsidR="00C659C6">
        <w:t>additional pole space</w:t>
      </w:r>
      <w:r w:rsidR="00BF5914">
        <w:t xml:space="preserve">, depending on where an antenna is installed on </w:t>
      </w:r>
      <w:r w:rsidR="002D7DA8">
        <w:t>a</w:t>
      </w:r>
      <w:r w:rsidR="00BF5914">
        <w:t xml:space="preserve"> pole.  </w:t>
      </w:r>
      <w:r w:rsidR="0074340F">
        <w:t xml:space="preserve">Altogether, a CMRS installation can </w:t>
      </w:r>
      <w:r w:rsidR="00CB72B9">
        <w:t>occupy</w:t>
      </w:r>
      <w:r w:rsidR="0074340F">
        <w:t xml:space="preserve"> </w:t>
      </w:r>
      <w:r w:rsidR="009D5866">
        <w:t xml:space="preserve">more than 12 </w:t>
      </w:r>
      <w:r w:rsidR="0074340F">
        <w:t xml:space="preserve">feet of pole space, </w:t>
      </w:r>
      <w:r w:rsidR="00BF6BB0">
        <w:t xml:space="preserve">versus </w:t>
      </w:r>
      <w:r w:rsidR="0074340F">
        <w:t xml:space="preserve">only </w:t>
      </w:r>
      <w:r w:rsidR="000A25B6">
        <w:t>1</w:t>
      </w:r>
      <w:r w:rsidR="0074340F">
        <w:t xml:space="preserve"> foot of pole space for </w:t>
      </w:r>
      <w:r w:rsidR="00BA2CA6">
        <w:t xml:space="preserve">the vast majority of </w:t>
      </w:r>
      <w:r w:rsidR="004F131D">
        <w:t>CLEC</w:t>
      </w:r>
      <w:r w:rsidR="0074340F">
        <w:t xml:space="preserve"> and CATV pole </w:t>
      </w:r>
      <w:r w:rsidR="000A25B6">
        <w:t>attachments</w:t>
      </w:r>
      <w:r w:rsidR="0074340F">
        <w:t xml:space="preserve">.  </w:t>
      </w:r>
    </w:p>
    <w:p w:rsidR="00303F87" w:rsidRDefault="003F7C1C" w:rsidP="008E33A0">
      <w:pPr>
        <w:pStyle w:val="standard"/>
      </w:pPr>
      <w:r>
        <w:t xml:space="preserve">We conclude that in order to establish nondiscriminatory pricing for </w:t>
      </w:r>
      <w:r w:rsidR="004F131D">
        <w:t>CLEC</w:t>
      </w:r>
      <w:r>
        <w:t>, CATV, and CMRS pole attachments as contemplated by the ROW</w:t>
      </w:r>
      <w:r w:rsidR="00A42AC3">
        <w:t> </w:t>
      </w:r>
      <w:r>
        <w:t>Rules, the 7.4% pole-attachment fee adopted by D.98-10-058 should apply to each foot of vertical pole space occupied by a CMRS installation</w:t>
      </w:r>
      <w:r w:rsidR="009041AB">
        <w:t xml:space="preserve">, including safety clearances, but with several </w:t>
      </w:r>
      <w:r w:rsidR="00F444D1">
        <w:t xml:space="preserve">important </w:t>
      </w:r>
      <w:r w:rsidR="009041AB">
        <w:t>exceptions described below</w:t>
      </w:r>
      <w:r>
        <w:t xml:space="preserve">.  </w:t>
      </w:r>
      <w:r w:rsidR="009041AB">
        <w:t>We recognize that the 7.4% pole</w:t>
      </w:r>
      <w:r w:rsidR="00116FE3">
        <w:noBreakHyphen/>
      </w:r>
      <w:r w:rsidR="009041AB">
        <w:t xml:space="preserve">attachment fee adopted by D.98-10-058 is a “per-pole” fee and not a “per-foot” fee.  </w:t>
      </w:r>
      <w:r w:rsidR="00303F87">
        <w:t xml:space="preserve">The 7.4% </w:t>
      </w:r>
      <w:r w:rsidR="00873363">
        <w:t>“</w:t>
      </w:r>
      <w:r w:rsidR="00303F87">
        <w:t>per-pole</w:t>
      </w:r>
      <w:r w:rsidR="00873363">
        <w:t>”</w:t>
      </w:r>
      <w:r w:rsidR="00303F87">
        <w:t xml:space="preserve"> fee is </w:t>
      </w:r>
      <w:r w:rsidR="003A10F4">
        <w:t>statutorily</w:t>
      </w:r>
      <w:r w:rsidR="00303F87">
        <w:t xml:space="preserve"> mandated for CATV pole attachments pursuant to Pub. Util. Code </w:t>
      </w:r>
      <w:r w:rsidR="00303F87">
        <w:rPr>
          <w:rFonts w:ascii="Book Antiqua" w:hAnsi="Book Antiqua"/>
        </w:rPr>
        <w:t>§</w:t>
      </w:r>
      <w:r w:rsidR="00303F87">
        <w:t xml:space="preserve"> 767.5(c)(2).  In D.98-10-058, the Commission used its discretion to apply the 7.4% per-pole fee to </w:t>
      </w:r>
      <w:r w:rsidR="004F131D">
        <w:t>CLEC</w:t>
      </w:r>
      <w:r w:rsidR="00303F87">
        <w:t xml:space="preserve"> pole attachments.  Applying the same 7.4% per-pole fee to both CATV </w:t>
      </w:r>
      <w:r w:rsidR="00303F87">
        <w:lastRenderedPageBreak/>
        <w:t xml:space="preserve">and </w:t>
      </w:r>
      <w:r w:rsidR="004F131D">
        <w:t>CLEC</w:t>
      </w:r>
      <w:r w:rsidR="00303F87">
        <w:t xml:space="preserve"> pole attachments made sense because both types of attachments are similar and typically </w:t>
      </w:r>
      <w:r w:rsidR="00044259">
        <w:t>occupy</w:t>
      </w:r>
      <w:r w:rsidR="00303F87">
        <w:t xml:space="preserve"> </w:t>
      </w:r>
      <w:r w:rsidR="000A25B6">
        <w:t>1</w:t>
      </w:r>
      <w:r w:rsidR="00303F87">
        <w:t xml:space="preserve"> foot of pole space.</w:t>
      </w:r>
      <w:r w:rsidR="00BE6BB3" w:rsidRPr="00E15E99">
        <w:rPr>
          <w:rStyle w:val="StandardFootnoteReferenceChar"/>
        </w:rPr>
        <w:footnoteReference w:id="30"/>
      </w:r>
      <w:r w:rsidR="00303F87">
        <w:t xml:space="preserve">   </w:t>
      </w:r>
    </w:p>
    <w:p w:rsidR="006339B3" w:rsidRDefault="00BF6BB0" w:rsidP="006339B3">
      <w:pPr>
        <w:pStyle w:val="standard"/>
      </w:pPr>
      <w:r>
        <w:t xml:space="preserve">It does not make sense for CMRS attachments.  </w:t>
      </w:r>
      <w:r w:rsidR="000A25B6">
        <w:t xml:space="preserve">Under a per-pole </w:t>
      </w:r>
      <w:r w:rsidR="006339B3">
        <w:t>pricing scheme, a CMRS installation that uses</w:t>
      </w:r>
      <w:r w:rsidR="000A25B6">
        <w:t xml:space="preserve"> </w:t>
      </w:r>
      <w:r w:rsidR="009E7A85">
        <w:t>6 to 12</w:t>
      </w:r>
      <w:r w:rsidR="000B70C4">
        <w:t> </w:t>
      </w:r>
      <w:r w:rsidR="006339B3">
        <w:t xml:space="preserve">feet of pole space would pay the same 7.4% per-pole fee as a </w:t>
      </w:r>
      <w:r w:rsidR="004F131D">
        <w:t>CLEC</w:t>
      </w:r>
      <w:r w:rsidR="006339B3">
        <w:t xml:space="preserve"> or CATV attachment that uses only </w:t>
      </w:r>
      <w:r w:rsidR="000A25B6">
        <w:t>1</w:t>
      </w:r>
      <w:r w:rsidR="006339B3">
        <w:t xml:space="preserve"> foot of pole space.  We </w:t>
      </w:r>
      <w:r w:rsidR="00D06DAC">
        <w:t xml:space="preserve">conclude that </w:t>
      </w:r>
      <w:r w:rsidR="006339B3">
        <w:t xml:space="preserve">it </w:t>
      </w:r>
      <w:r w:rsidR="00D06DAC">
        <w:t xml:space="preserve">is </w:t>
      </w:r>
      <w:r w:rsidR="006339B3">
        <w:t>unreasonable for CMRS installation</w:t>
      </w:r>
      <w:r w:rsidR="00411EE4">
        <w:t>s</w:t>
      </w:r>
      <w:r w:rsidR="006339B3">
        <w:t xml:space="preserve"> that </w:t>
      </w:r>
      <w:r w:rsidR="00411EE4">
        <w:t>typically use</w:t>
      </w:r>
      <w:r w:rsidR="006339B3">
        <w:t xml:space="preserve"> </w:t>
      </w:r>
      <w:r w:rsidR="00873363">
        <w:t>far</w:t>
      </w:r>
      <w:r w:rsidR="006339B3">
        <w:t xml:space="preserve"> more pole space than </w:t>
      </w:r>
      <w:r w:rsidR="004F131D">
        <w:t>CLEC</w:t>
      </w:r>
      <w:r w:rsidR="006339B3">
        <w:t xml:space="preserve"> </w:t>
      </w:r>
      <w:r w:rsidR="002B5E20">
        <w:t>and</w:t>
      </w:r>
      <w:r w:rsidR="006339B3">
        <w:t xml:space="preserve"> CATV attachment</w:t>
      </w:r>
      <w:r w:rsidR="002B5E20">
        <w:t>s</w:t>
      </w:r>
      <w:r w:rsidR="006339B3">
        <w:t xml:space="preserve"> to pay </w:t>
      </w:r>
      <w:r w:rsidR="00A725B6">
        <w:t xml:space="preserve">the </w:t>
      </w:r>
      <w:r w:rsidR="006339B3">
        <w:t xml:space="preserve">same </w:t>
      </w:r>
      <w:r w:rsidR="000A25B6">
        <w:t xml:space="preserve">7.4% </w:t>
      </w:r>
      <w:r w:rsidR="006339B3">
        <w:t>per</w:t>
      </w:r>
      <w:r w:rsidR="00873363">
        <w:noBreakHyphen/>
      </w:r>
      <w:r w:rsidR="006339B3">
        <w:t xml:space="preserve">pole </w:t>
      </w:r>
      <w:r w:rsidR="000A25B6">
        <w:t xml:space="preserve">attachment </w:t>
      </w:r>
      <w:r w:rsidR="006339B3">
        <w:t xml:space="preserve">fee as </w:t>
      </w:r>
      <w:r w:rsidR="004F131D">
        <w:t>CLEC</w:t>
      </w:r>
      <w:r w:rsidR="006339B3">
        <w:t xml:space="preserve"> </w:t>
      </w:r>
      <w:r w:rsidR="002B5E20">
        <w:t>and</w:t>
      </w:r>
      <w:r w:rsidR="006339B3">
        <w:t xml:space="preserve"> CA</w:t>
      </w:r>
      <w:r w:rsidR="00411EE4">
        <w:t>TV attachments</w:t>
      </w:r>
      <w:r w:rsidR="00603761">
        <w:t>.</w:t>
      </w:r>
      <w:r w:rsidRPr="00E15E99">
        <w:rPr>
          <w:rStyle w:val="StandardFootnoteReferenceChar"/>
        </w:rPr>
        <w:footnoteReference w:id="31"/>
      </w:r>
      <w:r w:rsidR="00603761">
        <w:t xml:space="preserve">  </w:t>
      </w:r>
    </w:p>
    <w:p w:rsidR="009041AB" w:rsidRDefault="00603761" w:rsidP="008E33A0">
      <w:pPr>
        <w:pStyle w:val="standard"/>
      </w:pPr>
      <w:r>
        <w:t xml:space="preserve">We conclude that </w:t>
      </w:r>
      <w:r w:rsidR="006339B3">
        <w:t>a</w:t>
      </w:r>
      <w:r w:rsidR="00C346E2">
        <w:t xml:space="preserve">pplying the 7.4% fee on a per-foot basis to CMRS pole attachments, while the existing 7.4% per-pole fee remains in effect for </w:t>
      </w:r>
      <w:r w:rsidR="004F131D">
        <w:t>CLEC</w:t>
      </w:r>
      <w:r w:rsidR="00C346E2">
        <w:t xml:space="preserve"> and CATV attachments, </w:t>
      </w:r>
      <w:r w:rsidR="000A25B6">
        <w:t xml:space="preserve">is </w:t>
      </w:r>
      <w:r w:rsidR="009E7A85">
        <w:t>reasonable</w:t>
      </w:r>
      <w:r w:rsidR="00C346E2">
        <w:t xml:space="preserve"> because each type of attachment will be charged </w:t>
      </w:r>
      <w:r w:rsidR="002B5E20">
        <w:t xml:space="preserve">an annual </w:t>
      </w:r>
      <w:r w:rsidR="00494CA7">
        <w:t xml:space="preserve">7.4% </w:t>
      </w:r>
      <w:r w:rsidR="002B5E20">
        <w:t xml:space="preserve">fee </w:t>
      </w:r>
      <w:r w:rsidR="00A725B6">
        <w:t xml:space="preserve">that is proportionate to </w:t>
      </w:r>
      <w:r w:rsidR="00494CA7">
        <w:t xml:space="preserve">the </w:t>
      </w:r>
      <w:r w:rsidR="002B5E20">
        <w:t xml:space="preserve">amount of pole space occupied an attachment.  </w:t>
      </w:r>
      <w:r w:rsidR="00C346E2">
        <w:t xml:space="preserve">For </w:t>
      </w:r>
      <w:r w:rsidR="002B5E20">
        <w:t>instance</w:t>
      </w:r>
      <w:r w:rsidR="00C346E2">
        <w:t xml:space="preserve">, a CMRS installation that occupies </w:t>
      </w:r>
      <w:r w:rsidR="009E7A85">
        <w:t>6</w:t>
      </w:r>
      <w:r w:rsidR="002B5E20">
        <w:t> </w:t>
      </w:r>
      <w:r w:rsidR="00C346E2">
        <w:t xml:space="preserve">feet of pole space will be charged a fee </w:t>
      </w:r>
      <w:r w:rsidR="009B1765">
        <w:t xml:space="preserve">equal to </w:t>
      </w:r>
      <w:r w:rsidR="009E7A85">
        <w:t>44</w:t>
      </w:r>
      <w:r w:rsidR="00C346E2">
        <w:t>.</w:t>
      </w:r>
      <w:r w:rsidR="009E7A85">
        <w:t>4</w:t>
      </w:r>
      <w:r w:rsidR="00C346E2">
        <w:t xml:space="preserve">% </w:t>
      </w:r>
      <w:r w:rsidR="009B1765">
        <w:t xml:space="preserve">of the pole’s </w:t>
      </w:r>
      <w:r w:rsidR="00584D74">
        <w:t xml:space="preserve">annual </w:t>
      </w:r>
      <w:r w:rsidR="009B1765">
        <w:t xml:space="preserve">cost </w:t>
      </w:r>
      <w:r w:rsidR="00584D74">
        <w:t xml:space="preserve">of ownership </w:t>
      </w:r>
      <w:r w:rsidR="009B1765">
        <w:t>(</w:t>
      </w:r>
      <w:r w:rsidR="00181CBC">
        <w:t>7.4% </w:t>
      </w:r>
      <w:r w:rsidR="009B1765">
        <w:t>x</w:t>
      </w:r>
      <w:r w:rsidR="00181CBC">
        <w:t> </w:t>
      </w:r>
      <w:r w:rsidR="009E7A85">
        <w:t>6</w:t>
      </w:r>
      <w:r w:rsidR="00181CBC">
        <w:t> feet</w:t>
      </w:r>
      <w:r w:rsidR="009B1765">
        <w:t xml:space="preserve">), </w:t>
      </w:r>
      <w:r w:rsidR="00584D74">
        <w:t>and</w:t>
      </w:r>
      <w:r w:rsidR="009B1765">
        <w:t xml:space="preserve"> </w:t>
      </w:r>
      <w:r w:rsidR="004F131D">
        <w:t>CLEC</w:t>
      </w:r>
      <w:r w:rsidR="009B1765">
        <w:t xml:space="preserve"> </w:t>
      </w:r>
      <w:r w:rsidR="002B5E20">
        <w:t>and</w:t>
      </w:r>
      <w:r w:rsidR="009B1765">
        <w:t xml:space="preserve"> CATV attachment</w:t>
      </w:r>
      <w:r w:rsidR="002B5E20">
        <w:t>s</w:t>
      </w:r>
      <w:r w:rsidR="009B1765">
        <w:t xml:space="preserve"> </w:t>
      </w:r>
      <w:r w:rsidR="002B5E20">
        <w:t xml:space="preserve">that </w:t>
      </w:r>
      <w:r w:rsidR="006339B3">
        <w:t>typically occup</w:t>
      </w:r>
      <w:r w:rsidR="002B5E20">
        <w:t>y</w:t>
      </w:r>
      <w:r w:rsidR="006339B3">
        <w:t xml:space="preserve"> 1 foot of pole space </w:t>
      </w:r>
      <w:r w:rsidR="009B1765">
        <w:t>wil</w:t>
      </w:r>
      <w:r w:rsidR="006339B3">
        <w:t>l</w:t>
      </w:r>
      <w:r w:rsidR="009B1765">
        <w:t xml:space="preserve"> </w:t>
      </w:r>
      <w:r w:rsidR="002B5E20">
        <w:t xml:space="preserve">continue to </w:t>
      </w:r>
      <w:r w:rsidR="009B1765">
        <w:t xml:space="preserve">be charged </w:t>
      </w:r>
      <w:r w:rsidR="00BA2CA6">
        <w:t xml:space="preserve">a </w:t>
      </w:r>
      <w:r w:rsidR="009B1765">
        <w:t xml:space="preserve">fee of 7.4% </w:t>
      </w:r>
      <w:r w:rsidR="00BA2CA6">
        <w:t>per pole.</w:t>
      </w:r>
      <w:r w:rsidR="009B1765">
        <w:t xml:space="preserve"> </w:t>
      </w:r>
    </w:p>
    <w:p w:rsidR="00D02B77" w:rsidRDefault="00C75BF7" w:rsidP="00ED7759">
      <w:pPr>
        <w:pStyle w:val="standard"/>
      </w:pPr>
      <w:r>
        <w:t>Applying the 7.4% fee on a per</w:t>
      </w:r>
      <w:r>
        <w:noBreakHyphen/>
        <w:t xml:space="preserve">foot basis to CMRS </w:t>
      </w:r>
      <w:r w:rsidR="00636990">
        <w:t xml:space="preserve">pole </w:t>
      </w:r>
      <w:r>
        <w:t>attachments</w:t>
      </w:r>
      <w:r w:rsidR="00636990">
        <w:t xml:space="preserve"> </w:t>
      </w:r>
      <w:r>
        <w:t>does not violate any federal laws or regulations.</w:t>
      </w:r>
      <w:r w:rsidR="00EF5D11">
        <w:rPr>
          <w:rStyle w:val="FootnoteReference"/>
        </w:rPr>
        <w:footnoteReference w:id="32"/>
      </w:r>
      <w:r>
        <w:t xml:space="preserve">  </w:t>
      </w:r>
      <w:r w:rsidR="001148A2">
        <w:t xml:space="preserve">As contemplated by federal law and FCC regulations, the adopted </w:t>
      </w:r>
      <w:r w:rsidR="00D02B77">
        <w:t xml:space="preserve">7.4% per-foot fee </w:t>
      </w:r>
      <w:r w:rsidR="001148A2">
        <w:t>for CMRS installations</w:t>
      </w:r>
      <w:r w:rsidR="00EF5D11">
        <w:t xml:space="preserve"> (</w:t>
      </w:r>
      <w:r w:rsidR="001148A2">
        <w:t>as limited by today’s decision</w:t>
      </w:r>
      <w:r w:rsidR="00EF5D11">
        <w:t>)</w:t>
      </w:r>
      <w:r w:rsidR="001148A2">
        <w:t xml:space="preserve"> is based on the space occupied by the attachment </w:t>
      </w:r>
      <w:r w:rsidR="001148A2">
        <w:lastRenderedPageBreak/>
        <w:t>and the number of attaching entities on the pole, together with reasonable make-ready fees.</w:t>
      </w:r>
      <w:r w:rsidR="001148A2" w:rsidRPr="00F051AD">
        <w:rPr>
          <w:rStyle w:val="StandardFootnoteReferenceChar"/>
        </w:rPr>
        <w:footnoteReference w:id="33"/>
      </w:r>
      <w:r w:rsidR="001148A2">
        <w:t xml:space="preserve">  </w:t>
      </w:r>
      <w:r w:rsidR="00ED7759">
        <w:t>A</w:t>
      </w:r>
      <w:r w:rsidR="001148A2">
        <w:t xml:space="preserve">s </w:t>
      </w:r>
      <w:r w:rsidR="00ED7759">
        <w:t xml:space="preserve">further </w:t>
      </w:r>
      <w:r w:rsidR="001148A2">
        <w:t xml:space="preserve">required by </w:t>
      </w:r>
      <w:r w:rsidR="001148A2" w:rsidRPr="00E81B71">
        <w:t>47 U.S.C.</w:t>
      </w:r>
      <w:r w:rsidR="001148A2">
        <w:t xml:space="preserve"> § 253(a), nothing in today’s decision has “the effect of </w:t>
      </w:r>
      <w:r w:rsidR="001148A2" w:rsidRPr="00536CC4">
        <w:t>prohibiting the ability of any entity to provide any interstate or intrastate</w:t>
      </w:r>
      <w:r w:rsidR="001148A2">
        <w:t xml:space="preserve"> </w:t>
      </w:r>
      <w:r w:rsidR="001148A2" w:rsidRPr="00536CC4">
        <w:t>telecommunications service</w:t>
      </w:r>
      <w:r w:rsidR="001148A2">
        <w:t xml:space="preserve">.” </w:t>
      </w:r>
      <w:r w:rsidR="00792D7D">
        <w:t xml:space="preserve"> </w:t>
      </w:r>
    </w:p>
    <w:p w:rsidR="001148A2" w:rsidRPr="006658D4" w:rsidRDefault="00D02B77" w:rsidP="00ED7759">
      <w:pPr>
        <w:pStyle w:val="standard"/>
      </w:pPr>
      <w:r>
        <w:t>To</w:t>
      </w:r>
      <w:r w:rsidR="001148A2">
        <w:t xml:space="preserve"> the extent today’s decision deviates from </w:t>
      </w:r>
      <w:r w:rsidR="00ED7759">
        <w:t>FCC</w:t>
      </w:r>
      <w:r w:rsidR="007E65A3">
        <w:t>-adopted</w:t>
      </w:r>
      <w:r w:rsidR="001148A2">
        <w:t xml:space="preserve"> </w:t>
      </w:r>
      <w:r w:rsidR="00ED7759">
        <w:t>charges and fees for pole attachments</w:t>
      </w:r>
      <w:r w:rsidR="001148A2">
        <w:t>, we are no</w:t>
      </w:r>
      <w:r w:rsidR="00584D74">
        <w:t>t</w:t>
      </w:r>
      <w:r w:rsidR="001148A2">
        <w:t xml:space="preserve"> bound by such requirements.  </w:t>
      </w:r>
      <w:r w:rsidR="00584D74">
        <w:t xml:space="preserve">Pursuant to </w:t>
      </w:r>
      <w:r w:rsidR="00572F96" w:rsidRPr="00E81B71">
        <w:t>47 U.S.C.</w:t>
      </w:r>
      <w:r w:rsidR="00A42AC3">
        <w:t> </w:t>
      </w:r>
      <w:r w:rsidR="00595E06">
        <w:t>§ 224(c)(1), the FCC does not have “jurisdiction with respect to rates, terms, and conditions, or access to poles, ducts, conduits, and rights-of-way</w:t>
      </w:r>
      <w:r w:rsidR="00D334D0">
        <w:t xml:space="preserve">… </w:t>
      </w:r>
      <w:r w:rsidR="00595E06">
        <w:t xml:space="preserve">for pole attachments in any case where such matters are regulated by a State.”  </w:t>
      </w:r>
      <w:r w:rsidR="009B1361">
        <w:t xml:space="preserve">We </w:t>
      </w:r>
      <w:r w:rsidR="006065B0">
        <w:t xml:space="preserve">have </w:t>
      </w:r>
      <w:r w:rsidR="00595E06">
        <w:t>regulate</w:t>
      </w:r>
      <w:r w:rsidR="006065B0">
        <w:t>d</w:t>
      </w:r>
      <w:r w:rsidR="00595E06">
        <w:t xml:space="preserve"> such matters</w:t>
      </w:r>
      <w:r w:rsidR="006065B0">
        <w:t xml:space="preserve"> </w:t>
      </w:r>
      <w:r w:rsidR="00EF5D11">
        <w:t xml:space="preserve">with respect to </w:t>
      </w:r>
      <w:r w:rsidR="004F131D">
        <w:t>CLEC</w:t>
      </w:r>
      <w:r w:rsidR="00EF5D11">
        <w:t xml:space="preserve"> and CATV </w:t>
      </w:r>
      <w:r w:rsidR="00D334D0">
        <w:t xml:space="preserve">pole </w:t>
      </w:r>
      <w:r w:rsidR="00EF5D11">
        <w:t xml:space="preserve">attachments </w:t>
      </w:r>
      <w:r w:rsidR="006065B0">
        <w:t xml:space="preserve">since </w:t>
      </w:r>
      <w:r w:rsidR="000A415D">
        <w:t>our</w:t>
      </w:r>
      <w:r w:rsidR="006065B0">
        <w:t xml:space="preserve"> adoption of </w:t>
      </w:r>
      <w:r w:rsidR="000A415D">
        <w:t>the</w:t>
      </w:r>
      <w:r w:rsidR="006065B0">
        <w:t xml:space="preserve"> ROW</w:t>
      </w:r>
      <w:r w:rsidR="00D55788">
        <w:t> </w:t>
      </w:r>
      <w:r w:rsidR="006065B0">
        <w:t>Rules in D.98</w:t>
      </w:r>
      <w:r w:rsidR="006065B0">
        <w:noBreakHyphen/>
        <w:t>10</w:t>
      </w:r>
      <w:r w:rsidR="006065B0">
        <w:noBreakHyphen/>
        <w:t>058</w:t>
      </w:r>
      <w:r w:rsidR="009B1361">
        <w:t>.</w:t>
      </w:r>
      <w:r w:rsidR="00AB668D">
        <w:rPr>
          <w:rStyle w:val="FootnoteReference"/>
        </w:rPr>
        <w:footnoteReference w:id="34"/>
      </w:r>
      <w:r w:rsidR="009B1361">
        <w:t xml:space="preserve">  </w:t>
      </w:r>
      <w:r w:rsidR="005A362F">
        <w:t xml:space="preserve">Today’s decision </w:t>
      </w:r>
      <w:r w:rsidR="00EF5D11">
        <w:t xml:space="preserve">extends our authority </w:t>
      </w:r>
      <w:r w:rsidR="005A362F">
        <w:t xml:space="preserve">under </w:t>
      </w:r>
      <w:r w:rsidR="005A362F" w:rsidRPr="00E81B71">
        <w:t>47 U.S.C.</w:t>
      </w:r>
      <w:r w:rsidR="005A362F">
        <w:t xml:space="preserve"> § 224(c)(1) to </w:t>
      </w:r>
      <w:r w:rsidR="00EF5D11">
        <w:t xml:space="preserve">include CMRS </w:t>
      </w:r>
      <w:r w:rsidR="00D334D0">
        <w:t xml:space="preserve">pole </w:t>
      </w:r>
      <w:r w:rsidR="00EF5D11">
        <w:t xml:space="preserve">attachments.  </w:t>
      </w:r>
      <w:r w:rsidR="001157F5">
        <w:t xml:space="preserve">Such authority includes discretion to </w:t>
      </w:r>
      <w:r w:rsidR="000C25F8">
        <w:t xml:space="preserve">set </w:t>
      </w:r>
      <w:r w:rsidR="00EF5D11">
        <w:t xml:space="preserve">fees for </w:t>
      </w:r>
      <w:r w:rsidR="000C25F8" w:rsidRPr="00525671">
        <w:t xml:space="preserve">CMRS </w:t>
      </w:r>
      <w:r w:rsidR="00636990">
        <w:t xml:space="preserve">pole </w:t>
      </w:r>
      <w:r w:rsidR="00EF5D11">
        <w:t>attachments</w:t>
      </w:r>
      <w:r w:rsidR="000C25F8" w:rsidRPr="00525671">
        <w:t xml:space="preserve"> </w:t>
      </w:r>
      <w:r w:rsidR="00EF5D11">
        <w:t>that</w:t>
      </w:r>
      <w:r w:rsidR="000C25F8" w:rsidRPr="00525671">
        <w:t xml:space="preserve"> </w:t>
      </w:r>
      <w:r w:rsidR="000C25F8">
        <w:t>reflect</w:t>
      </w:r>
      <w:r w:rsidR="000C25F8" w:rsidRPr="00525671">
        <w:t xml:space="preserve"> the</w:t>
      </w:r>
      <w:r w:rsidR="00EF5D11">
        <w:t xml:space="preserve">ir disproportionate use of pole space compared to </w:t>
      </w:r>
      <w:r w:rsidR="004F131D">
        <w:t>CLEC</w:t>
      </w:r>
      <w:r w:rsidR="000A415D">
        <w:t xml:space="preserve"> and CATV</w:t>
      </w:r>
      <w:r w:rsidR="000C25F8" w:rsidRPr="00525671">
        <w:t xml:space="preserve"> </w:t>
      </w:r>
      <w:r w:rsidR="00345704">
        <w:t xml:space="preserve">pole </w:t>
      </w:r>
      <w:r w:rsidR="00EF5D11">
        <w:t>attachments</w:t>
      </w:r>
      <w:r w:rsidR="000C25F8" w:rsidRPr="00525671">
        <w:t xml:space="preserve">.  </w:t>
      </w:r>
    </w:p>
    <w:p w:rsidR="00805C31" w:rsidRDefault="002B553C" w:rsidP="00636990">
      <w:pPr>
        <w:pStyle w:val="standard"/>
      </w:pPr>
      <w:r>
        <w:rPr>
          <w:rStyle w:val="standardChar"/>
        </w:rPr>
        <w:t xml:space="preserve">We agree with </w:t>
      </w:r>
      <w:r w:rsidR="00636990">
        <w:rPr>
          <w:rStyle w:val="standardChar"/>
        </w:rPr>
        <w:t xml:space="preserve">the Electric IOUs and </w:t>
      </w:r>
      <w:r>
        <w:rPr>
          <w:rStyle w:val="standardChar"/>
        </w:rPr>
        <w:t>TURN that t</w:t>
      </w:r>
      <w:r w:rsidR="0031130B">
        <w:rPr>
          <w:rStyle w:val="standardChar"/>
        </w:rPr>
        <w:t xml:space="preserve">he </w:t>
      </w:r>
      <w:r w:rsidR="001A6C76">
        <w:t xml:space="preserve">charges and </w:t>
      </w:r>
      <w:r w:rsidR="0031130B">
        <w:t xml:space="preserve">fees </w:t>
      </w:r>
      <w:r w:rsidR="0096635A">
        <w:t>adopted by today’s decision</w:t>
      </w:r>
      <w:r>
        <w:t xml:space="preserve"> </w:t>
      </w:r>
      <w:r w:rsidR="00C23B79">
        <w:t xml:space="preserve">for access to utility infrastructure </w:t>
      </w:r>
      <w:r>
        <w:t xml:space="preserve">should not subsidize CMRS </w:t>
      </w:r>
      <w:r w:rsidR="00D334D0">
        <w:t xml:space="preserve">pole </w:t>
      </w:r>
      <w:r>
        <w:t xml:space="preserve">attachments.  Today’s decision achieves that objective by adopting charges and fees derived from </w:t>
      </w:r>
      <w:r w:rsidR="001A6C76">
        <w:t>D.98</w:t>
      </w:r>
      <w:r>
        <w:noBreakHyphen/>
      </w:r>
      <w:r w:rsidR="001A6C76">
        <w:t>10-058</w:t>
      </w:r>
      <w:r>
        <w:t xml:space="preserve"> wherein the </w:t>
      </w:r>
      <w:r w:rsidR="00510668" w:rsidRPr="00B86A9D">
        <w:rPr>
          <w:bCs/>
        </w:rPr>
        <w:t>Commission</w:t>
      </w:r>
      <w:r w:rsidR="0096635A">
        <w:rPr>
          <w:bCs/>
        </w:rPr>
        <w:t xml:space="preserve"> </w:t>
      </w:r>
      <w:r>
        <w:rPr>
          <w:bCs/>
        </w:rPr>
        <w:t xml:space="preserve">held that the charges and fees </w:t>
      </w:r>
      <w:r w:rsidR="002B2759">
        <w:rPr>
          <w:bCs/>
        </w:rPr>
        <w:t>approved</w:t>
      </w:r>
      <w:r>
        <w:rPr>
          <w:bCs/>
        </w:rPr>
        <w:t xml:space="preserve"> by that decision </w:t>
      </w:r>
      <w:r w:rsidR="00510668">
        <w:rPr>
          <w:bCs/>
        </w:rPr>
        <w:t>“r</w:t>
      </w:r>
      <w:r w:rsidR="00510668" w:rsidRPr="00B86A9D">
        <w:t xml:space="preserve">easonably compensate </w:t>
      </w:r>
      <w:r w:rsidR="000F1105">
        <w:t xml:space="preserve">the utility </w:t>
      </w:r>
      <w:r w:rsidR="00510668" w:rsidRPr="00B86A9D">
        <w:t>for the</w:t>
      </w:r>
      <w:r w:rsidR="00510668">
        <w:t xml:space="preserve"> provision of access to its poles and </w:t>
      </w:r>
      <w:r w:rsidR="00510668" w:rsidRPr="00B86A9D">
        <w:t xml:space="preserve">support </w:t>
      </w:r>
      <w:r w:rsidR="00510668" w:rsidRPr="00B86A9D">
        <w:lastRenderedPageBreak/>
        <w:t>structures</w:t>
      </w:r>
      <w:r w:rsidR="000F1105">
        <w:t>.</w:t>
      </w:r>
      <w:r w:rsidR="00510668" w:rsidRPr="00E15E99">
        <w:rPr>
          <w:rStyle w:val="StandardFootnoteReferenceChar"/>
        </w:rPr>
        <w:footnoteReference w:id="35"/>
      </w:r>
      <w:r w:rsidR="000F1105">
        <w:t>”</w:t>
      </w:r>
      <w:r w:rsidR="00510668" w:rsidRPr="00B86A9D">
        <w:t xml:space="preserve"> </w:t>
      </w:r>
      <w:r w:rsidR="00510668">
        <w:t xml:space="preserve"> </w:t>
      </w:r>
      <w:r w:rsidR="00EF5D11">
        <w:rPr>
          <w:rStyle w:val="standardChar"/>
        </w:rPr>
        <w:t>On the other hand, w</w:t>
      </w:r>
      <w:r w:rsidR="003000C9">
        <w:t>e realize th</w:t>
      </w:r>
      <w:r w:rsidR="00460E5E">
        <w:t>at</w:t>
      </w:r>
      <w:r w:rsidR="003000C9">
        <w:t xml:space="preserve"> apply</w:t>
      </w:r>
      <w:r w:rsidR="00460E5E">
        <w:t>ing</w:t>
      </w:r>
      <w:r w:rsidR="003000C9">
        <w:t xml:space="preserve"> the 7.4% fee on a per</w:t>
      </w:r>
      <w:r w:rsidR="009E7A85">
        <w:noBreakHyphen/>
      </w:r>
      <w:r w:rsidR="003000C9">
        <w:t xml:space="preserve">foot basis to CMRS </w:t>
      </w:r>
      <w:r w:rsidR="00636990">
        <w:t xml:space="preserve">pole </w:t>
      </w:r>
      <w:r w:rsidR="003000C9">
        <w:t xml:space="preserve">attachments can produce unfair results in </w:t>
      </w:r>
      <w:r w:rsidR="003E5E7A">
        <w:t>some</w:t>
      </w:r>
      <w:r w:rsidR="003000C9">
        <w:t xml:space="preserve"> situations.  </w:t>
      </w:r>
      <w:r w:rsidR="00460E5E">
        <w:t xml:space="preserve">To prevent </w:t>
      </w:r>
      <w:r w:rsidR="00453440">
        <w:t>unfair results</w:t>
      </w:r>
      <w:r w:rsidR="00460E5E">
        <w:t xml:space="preserve">, </w:t>
      </w:r>
      <w:r w:rsidR="00453440">
        <w:t xml:space="preserve">today’s decision, </w:t>
      </w:r>
      <w:r w:rsidR="00453440" w:rsidRPr="00453440">
        <w:rPr>
          <w:i/>
        </w:rPr>
        <w:t>infra</w:t>
      </w:r>
      <w:r w:rsidR="00453440">
        <w:t xml:space="preserve">, </w:t>
      </w:r>
      <w:r w:rsidR="00460E5E">
        <w:t>adopt</w:t>
      </w:r>
      <w:r w:rsidR="00453440">
        <w:t>s</w:t>
      </w:r>
      <w:r w:rsidR="00460E5E">
        <w:t xml:space="preserve"> several limits on the </w:t>
      </w:r>
      <w:r w:rsidR="00ED34FC">
        <w:t xml:space="preserve">application of the </w:t>
      </w:r>
      <w:r w:rsidR="00460E5E">
        <w:t>7.4%</w:t>
      </w:r>
      <w:r w:rsidR="00637AB2">
        <w:t> </w:t>
      </w:r>
      <w:r w:rsidR="00460E5E">
        <w:t>per-foot fee</w:t>
      </w:r>
      <w:r w:rsidR="00637AB2">
        <w:t xml:space="preserve"> </w:t>
      </w:r>
      <w:r w:rsidR="000A415D">
        <w:t>to</w:t>
      </w:r>
      <w:r w:rsidR="00637AB2">
        <w:t xml:space="preserve"> CMRS</w:t>
      </w:r>
      <w:r w:rsidR="000A415D">
        <w:t> </w:t>
      </w:r>
      <w:r w:rsidR="00637AB2">
        <w:t>pole attachments</w:t>
      </w:r>
      <w:r w:rsidR="00460E5E">
        <w:t>.</w:t>
      </w:r>
      <w:r w:rsidR="006B1FB7">
        <w:t xml:space="preserve"> </w:t>
      </w:r>
    </w:p>
    <w:p w:rsidR="00774B51" w:rsidRDefault="0043665C" w:rsidP="00A845DC">
      <w:pPr>
        <w:pStyle w:val="Heading4"/>
      </w:pPr>
      <w:bookmarkStart w:id="34" w:name="_Toc424321899"/>
      <w:bookmarkStart w:id="35" w:name="_Toc436647321"/>
      <w:r>
        <w:t>Pole Space</w:t>
      </w:r>
      <w:bookmarkEnd w:id="34"/>
      <w:r>
        <w:t xml:space="preserve"> </w:t>
      </w:r>
      <w:r w:rsidR="00104EBD">
        <w:t>Subject to the 7.4% Fee</w:t>
      </w:r>
      <w:bookmarkEnd w:id="35"/>
      <w:r w:rsidR="00104EBD">
        <w:t xml:space="preserve"> </w:t>
      </w:r>
    </w:p>
    <w:p w:rsidR="00104EBD" w:rsidRDefault="00330A18" w:rsidP="00330A18">
      <w:pPr>
        <w:pStyle w:val="standard"/>
      </w:pPr>
      <w:r>
        <w:t xml:space="preserve">We previously </w:t>
      </w:r>
      <w:r w:rsidR="00450DA4">
        <w:t xml:space="preserve">determined that </w:t>
      </w:r>
      <w:r w:rsidR="00104EBD">
        <w:t>the</w:t>
      </w:r>
      <w:r>
        <w:t xml:space="preserve"> 7.4% </w:t>
      </w:r>
      <w:r w:rsidR="00104EBD">
        <w:t>pole</w:t>
      </w:r>
      <w:r w:rsidR="00104EBD">
        <w:noBreakHyphen/>
        <w:t xml:space="preserve">attachment fee </w:t>
      </w:r>
      <w:r w:rsidR="00450DA4">
        <w:t xml:space="preserve">should apply </w:t>
      </w:r>
      <w:r w:rsidR="00F64360">
        <w:t xml:space="preserve">to each </w:t>
      </w:r>
      <w:r w:rsidR="00450DA4">
        <w:t xml:space="preserve">vertical </w:t>
      </w:r>
      <w:r w:rsidR="00F64360">
        <w:t xml:space="preserve">foot of pole space occupied by a </w:t>
      </w:r>
      <w:r>
        <w:t xml:space="preserve">CMRS attachment.  Here, we provide guidance for determining the amount of </w:t>
      </w:r>
      <w:r w:rsidR="00450DA4">
        <w:t xml:space="preserve">occupied </w:t>
      </w:r>
      <w:r>
        <w:t>pole space</w:t>
      </w:r>
      <w:r w:rsidR="00E406E2">
        <w:t xml:space="preserve">.  </w:t>
      </w:r>
      <w:r>
        <w:t xml:space="preserve">  </w:t>
      </w:r>
    </w:p>
    <w:p w:rsidR="00E406E2" w:rsidRDefault="00104EBD" w:rsidP="00330A18">
      <w:pPr>
        <w:pStyle w:val="standard"/>
      </w:pPr>
      <w:r>
        <w:t>W</w:t>
      </w:r>
      <w:r w:rsidR="00330A18">
        <w:t xml:space="preserve">e conclude that the 7.4% per-foot fee should apply to </w:t>
      </w:r>
      <w:r>
        <w:t xml:space="preserve">the </w:t>
      </w:r>
      <w:r w:rsidR="00330A18">
        <w:t xml:space="preserve">pole space that a CMRS attachment renders unusable for </w:t>
      </w:r>
      <w:r w:rsidR="009B60E2">
        <w:t>non</w:t>
      </w:r>
      <w:r w:rsidR="009B60E2">
        <w:noBreakHyphen/>
        <w:t>CMRS</w:t>
      </w:r>
      <w:r w:rsidR="00330A18">
        <w:t xml:space="preserve"> attachments.  </w:t>
      </w:r>
      <w:r w:rsidR="00C9635B">
        <w:t xml:space="preserve">This is </w:t>
      </w:r>
      <w:r w:rsidR="00450DA4">
        <w:t xml:space="preserve">conceptually similar </w:t>
      </w:r>
      <w:r w:rsidR="00C9635B">
        <w:t xml:space="preserve">to how the </w:t>
      </w:r>
      <w:r w:rsidR="00E429C3">
        <w:t xml:space="preserve">attachment </w:t>
      </w:r>
      <w:r w:rsidR="00C9635B">
        <w:t>fee is determined under the ROW Rules for utility support structures other than poles.</w:t>
      </w:r>
    </w:p>
    <w:p w:rsidR="00E725B9" w:rsidRDefault="00330A18" w:rsidP="00330A18">
      <w:pPr>
        <w:pStyle w:val="standard"/>
      </w:pPr>
      <w:r>
        <w:t>Th</w:t>
      </w:r>
      <w:r w:rsidR="00CB67BD">
        <w:t>e</w:t>
      </w:r>
      <w:r>
        <w:t xml:space="preserve"> </w:t>
      </w:r>
      <w:r w:rsidR="006D15BC">
        <w:t xml:space="preserve">pole </w:t>
      </w:r>
      <w:r w:rsidR="00104EBD">
        <w:t xml:space="preserve">space </w:t>
      </w:r>
      <w:r w:rsidR="006D15BC">
        <w:t xml:space="preserve">that a CMRS attachment </w:t>
      </w:r>
      <w:r w:rsidR="00104EBD">
        <w:t>render</w:t>
      </w:r>
      <w:r w:rsidR="006D15BC">
        <w:t xml:space="preserve">s </w:t>
      </w:r>
      <w:r w:rsidR="00104EBD">
        <w:t>un</w:t>
      </w:r>
      <w:r w:rsidR="00CB67BD">
        <w:t xml:space="preserve">usable </w:t>
      </w:r>
      <w:r w:rsidR="00104EBD">
        <w:t xml:space="preserve">for </w:t>
      </w:r>
      <w:r w:rsidR="009B60E2">
        <w:t>non</w:t>
      </w:r>
      <w:r w:rsidR="009B60E2">
        <w:noBreakHyphen/>
        <w:t>CMRS</w:t>
      </w:r>
      <w:r w:rsidR="000C3BBD">
        <w:t xml:space="preserve"> </w:t>
      </w:r>
      <w:r w:rsidR="00104EBD">
        <w:t xml:space="preserve">attachments </w:t>
      </w:r>
      <w:r>
        <w:t xml:space="preserve">will normally </w:t>
      </w:r>
      <w:r w:rsidR="00104EBD">
        <w:t xml:space="preserve">consist </w:t>
      </w:r>
      <w:r w:rsidR="00D45FA6">
        <w:t xml:space="preserve">of </w:t>
      </w:r>
      <w:r w:rsidR="00A74621">
        <w:t>t</w:t>
      </w:r>
      <w:r w:rsidR="00104EBD">
        <w:t xml:space="preserve">he </w:t>
      </w:r>
      <w:r>
        <w:t xml:space="preserve">space </w:t>
      </w:r>
      <w:r w:rsidR="00A92FEB">
        <w:t xml:space="preserve">that is physically </w:t>
      </w:r>
      <w:r>
        <w:t>occupied by the CMRS attachment</w:t>
      </w:r>
      <w:r w:rsidR="00A74621">
        <w:t xml:space="preserve">, plus </w:t>
      </w:r>
      <w:r w:rsidR="008025ED">
        <w:t xml:space="preserve">any </w:t>
      </w:r>
      <w:r w:rsidR="00CB67BD">
        <w:t xml:space="preserve">pole space that </w:t>
      </w:r>
      <w:r w:rsidR="00485E80">
        <w:t>cannot be used by</w:t>
      </w:r>
      <w:r w:rsidR="008025ED">
        <w:t xml:space="preserve"> communication </w:t>
      </w:r>
      <w:r w:rsidR="0046796C">
        <w:t>or</w:t>
      </w:r>
      <w:r w:rsidR="008025ED">
        <w:t xml:space="preserve"> supply conductors</w:t>
      </w:r>
      <w:r w:rsidR="00485E80">
        <w:rPr>
          <w:rStyle w:val="FootnoteReference"/>
        </w:rPr>
        <w:footnoteReference w:id="36"/>
      </w:r>
      <w:r w:rsidR="008025ED">
        <w:t xml:space="preserve"> due to the installation of the CMRS attachment.  </w:t>
      </w:r>
      <w:r w:rsidR="00CB67BD">
        <w:t>Figure</w:t>
      </w:r>
      <w:r w:rsidR="00C23B79">
        <w:t> </w:t>
      </w:r>
      <w:r w:rsidR="00F725B9">
        <w:t xml:space="preserve">5, below, provides an example of the </w:t>
      </w:r>
      <w:r w:rsidR="00CB67BD">
        <w:t>pole space that</w:t>
      </w:r>
      <w:r w:rsidR="00F725B9">
        <w:t xml:space="preserve"> a CMRS attachment renders unusable for </w:t>
      </w:r>
      <w:r w:rsidR="009B60E2">
        <w:t>non</w:t>
      </w:r>
      <w:r w:rsidR="009B60E2">
        <w:noBreakHyphen/>
        <w:t>CMRS</w:t>
      </w:r>
      <w:r w:rsidR="00F725B9">
        <w:t xml:space="preserve"> attachments</w:t>
      </w:r>
      <w:r w:rsidR="00CB67BD">
        <w:t xml:space="preserve">:  </w:t>
      </w:r>
      <w:r w:rsidR="00D03EAE">
        <w:t xml:space="preserve"> </w:t>
      </w:r>
      <w:r w:rsidR="00017176">
        <w:t xml:space="preserve"> </w:t>
      </w:r>
    </w:p>
    <w:p w:rsidR="00D03EAE" w:rsidRDefault="00D03EAE" w:rsidP="00D03EAE">
      <w:pPr>
        <w:pStyle w:val="standard"/>
        <w:spacing w:line="240" w:lineRule="auto"/>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8"/>
      </w:tblGrid>
      <w:tr w:rsidR="00D03EAE" w:rsidRPr="003A50EA" w:rsidTr="00D03EAE">
        <w:trPr>
          <w:cantSplit/>
          <w:tblHeader/>
          <w:jc w:val="center"/>
        </w:trPr>
        <w:tc>
          <w:tcPr>
            <w:tcW w:w="9738" w:type="dxa"/>
            <w:shd w:val="clear" w:color="auto" w:fill="D9D9D9"/>
            <w:vAlign w:val="center"/>
          </w:tcPr>
          <w:p w:rsidR="00D979D2" w:rsidRPr="005134B7" w:rsidRDefault="005134B7" w:rsidP="006D702B">
            <w:pPr>
              <w:pStyle w:val="standard"/>
              <w:keepNext/>
              <w:widowControl w:val="0"/>
              <w:spacing w:before="60" w:after="60" w:line="240" w:lineRule="auto"/>
              <w:ind w:firstLine="0"/>
              <w:jc w:val="center"/>
              <w:rPr>
                <w:b/>
                <w:szCs w:val="26"/>
              </w:rPr>
            </w:pPr>
            <w:r>
              <w:rPr>
                <w:b/>
                <w:szCs w:val="26"/>
              </w:rPr>
              <w:lastRenderedPageBreak/>
              <w:t xml:space="preserve">Figure 5:  Pole Space </w:t>
            </w:r>
            <w:r w:rsidR="006D702B">
              <w:rPr>
                <w:b/>
                <w:szCs w:val="26"/>
              </w:rPr>
              <w:t>Occupied</w:t>
            </w:r>
            <w:r>
              <w:rPr>
                <w:b/>
                <w:szCs w:val="26"/>
              </w:rPr>
              <w:t xml:space="preserve"> by CMRS A</w:t>
            </w:r>
            <w:r w:rsidR="00D979D2" w:rsidRPr="005134B7">
              <w:rPr>
                <w:b/>
                <w:szCs w:val="26"/>
              </w:rPr>
              <w:t xml:space="preserve">ntenna </w:t>
            </w:r>
          </w:p>
        </w:tc>
      </w:tr>
      <w:tr w:rsidR="00D03EAE" w:rsidTr="00D03EAE">
        <w:trPr>
          <w:cantSplit/>
          <w:jc w:val="center"/>
        </w:trPr>
        <w:tc>
          <w:tcPr>
            <w:tcW w:w="9738" w:type="dxa"/>
            <w:shd w:val="clear" w:color="auto" w:fill="auto"/>
            <w:vAlign w:val="center"/>
          </w:tcPr>
          <w:p w:rsidR="00D03EAE" w:rsidRPr="005134B7" w:rsidRDefault="006D702B" w:rsidP="00D03EAE">
            <w:pPr>
              <w:pStyle w:val="standard"/>
              <w:widowControl w:val="0"/>
              <w:spacing w:before="40" w:after="20" w:line="240" w:lineRule="auto"/>
              <w:ind w:firstLine="0"/>
              <w:jc w:val="center"/>
              <w:rPr>
                <w:b/>
              </w:rPr>
            </w:pPr>
            <w:r>
              <w:rPr>
                <w:b/>
              </w:rPr>
              <w:t xml:space="preserve">Total </w:t>
            </w:r>
            <w:r w:rsidR="00D03EAE" w:rsidRPr="005134B7">
              <w:rPr>
                <w:b/>
              </w:rPr>
              <w:t xml:space="preserve">Pole </w:t>
            </w:r>
            <w:r w:rsidR="00C23B79">
              <w:rPr>
                <w:b/>
              </w:rPr>
              <w:t xml:space="preserve">Space </w:t>
            </w:r>
            <w:r>
              <w:rPr>
                <w:b/>
              </w:rPr>
              <w:t>Occupied</w:t>
            </w:r>
            <w:r w:rsidR="00D03EAE" w:rsidRPr="005134B7">
              <w:rPr>
                <w:b/>
              </w:rPr>
              <w:t xml:space="preserve"> by 4</w:t>
            </w:r>
            <w:r w:rsidR="00D03EAE" w:rsidRPr="005134B7">
              <w:rPr>
                <w:b/>
              </w:rPr>
              <w:noBreakHyphen/>
              <w:t>foot Panel Antenna</w:t>
            </w:r>
            <w:r>
              <w:rPr>
                <w:b/>
              </w:rPr>
              <w:t xml:space="preserve"> = </w:t>
            </w:r>
            <w:r w:rsidR="00D03EAE" w:rsidRPr="005134B7">
              <w:rPr>
                <w:b/>
              </w:rPr>
              <w:t>6 Feet</w:t>
            </w:r>
          </w:p>
          <w:p w:rsidR="00D03EAE" w:rsidRPr="001820F2" w:rsidRDefault="00D03EAE" w:rsidP="00D03EAE">
            <w:pPr>
              <w:pStyle w:val="standard"/>
              <w:widowControl w:val="0"/>
              <w:spacing w:before="40" w:after="20" w:line="240" w:lineRule="auto"/>
              <w:ind w:firstLine="0"/>
              <w:jc w:val="center"/>
              <w:rPr>
                <w:u w:val="single"/>
              </w:rPr>
            </w:pPr>
            <w:r w:rsidRPr="001820F2">
              <w:rPr>
                <w:u w:val="single"/>
              </w:rPr>
              <w:t>(Drawing Not to Scale)</w:t>
            </w:r>
          </w:p>
          <w:p w:rsidR="00D03EAE" w:rsidRPr="001820F2" w:rsidRDefault="004B6E6E" w:rsidP="00D03EAE">
            <w:pPr>
              <w:pStyle w:val="standard"/>
              <w:widowControl w:val="0"/>
              <w:spacing w:before="40" w:after="20" w:line="240" w:lineRule="auto"/>
              <w:ind w:firstLine="0"/>
              <w:rPr>
                <w:sz w:val="20"/>
              </w:rPr>
            </w:pPr>
            <w:r>
              <w:rPr>
                <w:noProof/>
              </w:rPr>
              <mc:AlternateContent>
                <mc:Choice Requires="wps">
                  <w:drawing>
                    <wp:anchor distT="0" distB="0" distL="114300" distR="114300" simplePos="0" relativeHeight="251648000" behindDoc="0" locked="0" layoutInCell="1" allowOverlap="1" wp14:anchorId="478090C5" wp14:editId="2A3EA957">
                      <wp:simplePos x="0" y="0"/>
                      <wp:positionH relativeFrom="column">
                        <wp:posOffset>1257300</wp:posOffset>
                      </wp:positionH>
                      <wp:positionV relativeFrom="paragraph">
                        <wp:posOffset>114300</wp:posOffset>
                      </wp:positionV>
                      <wp:extent cx="228600" cy="3220085"/>
                      <wp:effectExtent l="9525" t="9525" r="9525" b="8890"/>
                      <wp:wrapNone/>
                      <wp:docPr id="291"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220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8" o:spid="_x0000_s1026" style="position:absolute;margin-left:99pt;margin-top:9pt;width:18pt;height:253.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xlIwIAAEA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"/>
                  </w:pict>
                </mc:Fallback>
              </mc:AlternateContent>
            </w:r>
          </w:p>
          <w:p w:rsidR="00D03EAE" w:rsidRDefault="004B6E6E" w:rsidP="00D03EAE">
            <w:pPr>
              <w:pStyle w:val="standard"/>
              <w:widowControl w:val="0"/>
              <w:spacing w:before="40" w:after="20" w:line="240" w:lineRule="auto"/>
              <w:ind w:firstLine="0"/>
            </w:pPr>
            <w:r>
              <w:rPr>
                <w:noProof/>
              </w:rPr>
              <mc:AlternateContent>
                <mc:Choice Requires="wps">
                  <w:drawing>
                    <wp:anchor distT="0" distB="0" distL="114300" distR="114300" simplePos="0" relativeHeight="251680768" behindDoc="0" locked="0" layoutInCell="1" allowOverlap="1" wp14:anchorId="40F324EE" wp14:editId="4ADC8C63">
                      <wp:simplePos x="0" y="0"/>
                      <wp:positionH relativeFrom="column">
                        <wp:posOffset>3899535</wp:posOffset>
                      </wp:positionH>
                      <wp:positionV relativeFrom="paragraph">
                        <wp:posOffset>203835</wp:posOffset>
                      </wp:positionV>
                      <wp:extent cx="1543685" cy="365760"/>
                      <wp:effectExtent l="13335" t="13335" r="5080" b="11430"/>
                      <wp:wrapNone/>
                      <wp:docPr id="290"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365760"/>
                              </a:xfrm>
                              <a:prstGeom prst="rect">
                                <a:avLst/>
                              </a:prstGeom>
                              <a:solidFill>
                                <a:srgbClr val="FFFFFF"/>
                              </a:solidFill>
                              <a:ln w="6350">
                                <a:solidFill>
                                  <a:srgbClr val="FFFFFF"/>
                                </a:solidFill>
                                <a:miter lim="800000"/>
                                <a:headEnd/>
                                <a:tailEnd/>
                              </a:ln>
                            </wps:spPr>
                            <wps:txbx>
                              <w:txbxContent>
                                <w:p w:rsidR="004D65A2" w:rsidRPr="00773197" w:rsidRDefault="004D65A2" w:rsidP="0077414D">
                                  <w:pPr>
                                    <w:jc w:val="center"/>
                                    <w:rPr>
                                      <w:sz w:val="18"/>
                                      <w:szCs w:val="18"/>
                                    </w:rPr>
                                  </w:pPr>
                                  <w:r w:rsidRPr="00773197">
                                    <w:rPr>
                                      <w:sz w:val="18"/>
                                      <w:szCs w:val="18"/>
                                    </w:rPr>
                                    <w:t xml:space="preserve">1-Foot </w:t>
                                  </w:r>
                                  <w:r>
                                    <w:rPr>
                                      <w:sz w:val="18"/>
                                      <w:szCs w:val="18"/>
                                    </w:rPr>
                                    <w:t xml:space="preserve">Safety </w:t>
                                  </w:r>
                                  <w:r w:rsidRPr="00773197">
                                    <w:rPr>
                                      <w:sz w:val="18"/>
                                      <w:szCs w:val="18"/>
                                    </w:rPr>
                                    <w:t>Clearance</w:t>
                                  </w:r>
                                  <w:r>
                                    <w:rPr>
                                      <w:sz w:val="18"/>
                                      <w:szCs w:val="18"/>
                                    </w:rPr>
                                    <w:t xml:space="preserve"> for Communic. Conductor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033" type="#_x0000_t202" style="position:absolute;margin-left:307.05pt;margin-top:16.05pt;width:121.55pt;height:2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" strokecolor="white" strokeweight=".5pt">
                      <v:textbox>
                        <w:txbxContent>
                          <w:p w:rsidR="004D65A2" w:rsidRPr="00773197" w:rsidRDefault="004D65A2" w:rsidP="0077414D">
                            <w:pPr>
                              <w:jc w:val="center"/>
                              <w:rPr>
                                <w:sz w:val="18"/>
                                <w:szCs w:val="18"/>
                              </w:rPr>
                            </w:pPr>
                            <w:proofErr w:type="gramStart"/>
                            <w:r w:rsidRPr="00773197">
                              <w:rPr>
                                <w:sz w:val="18"/>
                                <w:szCs w:val="18"/>
                              </w:rPr>
                              <w:t xml:space="preserve">1-Foot </w:t>
                            </w:r>
                            <w:r>
                              <w:rPr>
                                <w:sz w:val="18"/>
                                <w:szCs w:val="18"/>
                              </w:rPr>
                              <w:t xml:space="preserve">Safety </w:t>
                            </w:r>
                            <w:r w:rsidRPr="00773197">
                              <w:rPr>
                                <w:sz w:val="18"/>
                                <w:szCs w:val="18"/>
                              </w:rPr>
                              <w:t>Clearance</w:t>
                            </w:r>
                            <w:r>
                              <w:rPr>
                                <w:sz w:val="18"/>
                                <w:szCs w:val="18"/>
                              </w:rPr>
                              <w:t xml:space="preserve"> for </w:t>
                            </w:r>
                            <w:proofErr w:type="spellStart"/>
                            <w:r>
                              <w:rPr>
                                <w:sz w:val="18"/>
                                <w:szCs w:val="18"/>
                              </w:rPr>
                              <w:t>Communic</w:t>
                            </w:r>
                            <w:proofErr w:type="spellEnd"/>
                            <w:r>
                              <w:rPr>
                                <w:sz w:val="18"/>
                                <w:szCs w:val="18"/>
                              </w:rPr>
                              <w:t>.</w:t>
                            </w:r>
                            <w:proofErr w:type="gramEnd"/>
                            <w:r>
                              <w:rPr>
                                <w:sz w:val="18"/>
                                <w:szCs w:val="18"/>
                              </w:rPr>
                              <w:t xml:space="preserve"> Conductor</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0A028836" wp14:editId="1E3035B8">
                      <wp:simplePos x="0" y="0"/>
                      <wp:positionH relativeFrom="column">
                        <wp:posOffset>626110</wp:posOffset>
                      </wp:positionH>
                      <wp:positionV relativeFrom="paragraph">
                        <wp:posOffset>179705</wp:posOffset>
                      </wp:positionV>
                      <wp:extent cx="1485900" cy="114300"/>
                      <wp:effectExtent l="6985" t="8255" r="12065" b="10795"/>
                      <wp:wrapNone/>
                      <wp:docPr id="289"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9" o:spid="_x0000_s1026" style="position:absolute;margin-left:49.3pt;margin-top:14.15pt;width:117pt;height: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"/>
                  </w:pict>
                </mc:Fallback>
              </mc:AlternateContent>
            </w:r>
          </w:p>
          <w:p w:rsidR="00D03EAE" w:rsidRDefault="00D03EAE" w:rsidP="00D03EAE">
            <w:pPr>
              <w:pStyle w:val="standard"/>
              <w:widowControl w:val="0"/>
              <w:spacing w:before="40" w:after="20" w:line="240" w:lineRule="auto"/>
              <w:ind w:firstLine="0"/>
            </w:pPr>
          </w:p>
          <w:p w:rsidR="00D03EAE" w:rsidRDefault="008306CF" w:rsidP="00D03EAE">
            <w:pPr>
              <w:pStyle w:val="standard"/>
              <w:widowControl w:val="0"/>
              <w:spacing w:before="40" w:after="20" w:line="240" w:lineRule="auto"/>
              <w:ind w:firstLine="0"/>
            </w:pPr>
            <w:r>
              <w:rPr>
                <w:noProof/>
              </w:rPr>
              <mc:AlternateContent>
                <mc:Choice Requires="wps">
                  <w:drawing>
                    <wp:anchor distT="0" distB="0" distL="114300" distR="114300" simplePos="0" relativeHeight="251699200" behindDoc="0" locked="0" layoutInCell="1" allowOverlap="1" wp14:anchorId="3A898CDD" wp14:editId="49EDDCE4">
                      <wp:simplePos x="0" y="0"/>
                      <wp:positionH relativeFrom="column">
                        <wp:posOffset>109855</wp:posOffset>
                      </wp:positionH>
                      <wp:positionV relativeFrom="paragraph">
                        <wp:posOffset>90805</wp:posOffset>
                      </wp:positionV>
                      <wp:extent cx="825500" cy="210185"/>
                      <wp:effectExtent l="0" t="0" r="12700" b="18415"/>
                      <wp:wrapNone/>
                      <wp:docPr id="302"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10185"/>
                              </a:xfrm>
                              <a:prstGeom prst="rect">
                                <a:avLst/>
                              </a:prstGeom>
                              <a:solidFill>
                                <a:srgbClr val="FFFFFF"/>
                              </a:solidFill>
                              <a:ln w="6350">
                                <a:solidFill>
                                  <a:srgbClr val="FFFFFF"/>
                                </a:solidFill>
                                <a:miter lim="800000"/>
                                <a:headEnd/>
                                <a:tailEnd/>
                              </a:ln>
                            </wps:spPr>
                            <wps:txbx>
                              <w:txbxContent>
                                <w:p w:rsidR="004D65A2" w:rsidRPr="00773197" w:rsidRDefault="004D65A2" w:rsidP="00646951">
                                  <w:pPr>
                                    <w:jc w:val="center"/>
                                    <w:rPr>
                                      <w:sz w:val="18"/>
                                      <w:szCs w:val="18"/>
                                    </w:rPr>
                                  </w:pPr>
                                  <w:r>
                                    <w:rPr>
                                      <w:sz w:val="18"/>
                                      <w:szCs w:val="18"/>
                                    </w:rPr>
                                    <w:t>CLEC 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4" o:spid="_x0000_s1034" type="#_x0000_t202" style="position:absolute;margin-left:8.65pt;margin-top:7.15pt;width:65pt;height:16.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" strokecolor="white" strokeweight=".5pt">
                      <v:textbox>
                        <w:txbxContent>
                          <w:p w:rsidR="004D65A2" w:rsidRPr="00773197" w:rsidRDefault="004D65A2" w:rsidP="00646951">
                            <w:pPr>
                              <w:jc w:val="center"/>
                              <w:rPr>
                                <w:sz w:val="18"/>
                                <w:szCs w:val="18"/>
                              </w:rPr>
                            </w:pPr>
                            <w:r>
                              <w:rPr>
                                <w:sz w:val="18"/>
                                <w:szCs w:val="18"/>
                              </w:rPr>
                              <w:t>CLEC Cable</w:t>
                            </w:r>
                          </w:p>
                        </w:txbxContent>
                      </v:textbox>
                    </v:shape>
                  </w:pict>
                </mc:Fallback>
              </mc:AlternateContent>
            </w:r>
            <w:r w:rsidR="006065B0">
              <w:rPr>
                <w:noProof/>
              </w:rPr>
              <mc:AlternateContent>
                <mc:Choice Requires="wps">
                  <w:drawing>
                    <wp:anchor distT="0" distB="0" distL="114300" distR="114300" simplePos="0" relativeHeight="251656192" behindDoc="0" locked="0" layoutInCell="1" allowOverlap="1" wp14:anchorId="453FF22A" wp14:editId="413A1F35">
                      <wp:simplePos x="0" y="0"/>
                      <wp:positionH relativeFrom="column">
                        <wp:posOffset>931545</wp:posOffset>
                      </wp:positionH>
                      <wp:positionV relativeFrom="paragraph">
                        <wp:posOffset>136525</wp:posOffset>
                      </wp:positionV>
                      <wp:extent cx="515620" cy="61595"/>
                      <wp:effectExtent l="0" t="57150" r="17780" b="33655"/>
                      <wp:wrapNone/>
                      <wp:docPr id="94" name="AutoShap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5620" cy="61912"/>
                              </a:xfrm>
                              <a:prstGeom prst="straightConnector1">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8" o:spid="_x0000_s1026" type="#_x0000_t32" style="position:absolute;margin-left:73.35pt;margin-top:10.75pt;width:40.6pt;height:4.8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" strokeweight=".5pt">
                      <v:stroke endarrow="open" endarrowwidth="narrow" endarrowlength="short"/>
                    </v:shape>
                  </w:pict>
                </mc:Fallback>
              </mc:AlternateContent>
            </w:r>
            <w:r w:rsidR="00646951">
              <w:rPr>
                <w:noProof/>
              </w:rPr>
              <mc:AlternateContent>
                <mc:Choice Requires="wps">
                  <w:drawing>
                    <wp:anchor distT="0" distB="0" distL="114300" distR="114300" simplePos="0" relativeHeight="251623424" behindDoc="0" locked="0" layoutInCell="1" allowOverlap="1" wp14:anchorId="6DCC07F2" wp14:editId="4759CAFF">
                      <wp:simplePos x="0" y="0"/>
                      <wp:positionH relativeFrom="column">
                        <wp:posOffset>1511935</wp:posOffset>
                      </wp:positionH>
                      <wp:positionV relativeFrom="paragraph">
                        <wp:posOffset>175260</wp:posOffset>
                      </wp:positionV>
                      <wp:extent cx="1768475" cy="5080"/>
                      <wp:effectExtent l="0" t="0" r="22225" b="33020"/>
                      <wp:wrapNone/>
                      <wp:docPr id="93" name="AutoShap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5080"/>
                              </a:xfrm>
                              <a:prstGeom prst="straightConnector1">
                                <a:avLst/>
                              </a:prstGeom>
                              <a:noFill/>
                              <a:ln w="25400" cmpd="dbl">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6" o:spid="_x0000_s1026" type="#_x0000_t32" style="position:absolute;margin-left:119.05pt;margin-top:13.8pt;width:139.25pt;height:.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" strokeweight="2pt">
                      <v:stroke dashstyle="1 1" linestyle="thinThin"/>
                    </v:shape>
                  </w:pict>
                </mc:Fallback>
              </mc:AlternateContent>
            </w:r>
            <w:r w:rsidR="00646951">
              <w:rPr>
                <w:noProof/>
              </w:rPr>
              <mc:AlternateContent>
                <mc:Choice Requires="wps">
                  <w:drawing>
                    <wp:anchor distT="0" distB="0" distL="114300" distR="114300" simplePos="0" relativeHeight="251617280" behindDoc="0" locked="0" layoutInCell="1" allowOverlap="1" wp14:anchorId="5ACD6AAF" wp14:editId="15829172">
                      <wp:simplePos x="0" y="0"/>
                      <wp:positionH relativeFrom="column">
                        <wp:posOffset>1497330</wp:posOffset>
                      </wp:positionH>
                      <wp:positionV relativeFrom="paragraph">
                        <wp:posOffset>80645</wp:posOffset>
                      </wp:positionV>
                      <wp:extent cx="63500" cy="63500"/>
                      <wp:effectExtent l="0" t="0" r="12700" b="12700"/>
                      <wp:wrapNone/>
                      <wp:docPr id="91" name="Oval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4" o:spid="_x0000_s1026" style="position:absolute;margin-left:117.9pt;margin-top:6.35pt;width:5pt;height: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" fillcolor="black"/>
                  </w:pict>
                </mc:Fallback>
              </mc:AlternateContent>
            </w:r>
            <w:r w:rsidR="004B6E6E">
              <w:rPr>
                <w:noProof/>
              </w:rPr>
              <mc:AlternateContent>
                <mc:Choice Requires="wps">
                  <w:drawing>
                    <wp:anchor distT="0" distB="0" distL="114300" distR="114300" simplePos="0" relativeHeight="251695104" behindDoc="0" locked="0" layoutInCell="1" allowOverlap="1" wp14:anchorId="4D127C09" wp14:editId="592D32E5">
                      <wp:simplePos x="0" y="0"/>
                      <wp:positionH relativeFrom="column">
                        <wp:posOffset>1431925</wp:posOffset>
                      </wp:positionH>
                      <wp:positionV relativeFrom="paragraph">
                        <wp:posOffset>201930</wp:posOffset>
                      </wp:positionV>
                      <wp:extent cx="13335" cy="2199640"/>
                      <wp:effectExtent l="57150" t="38100" r="62865" b="48260"/>
                      <wp:wrapNone/>
                      <wp:docPr id="288" name="AutoShap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35" cy="2199640"/>
                              </a:xfrm>
                              <a:prstGeom prst="straightConnector1">
                                <a:avLst/>
                              </a:prstGeom>
                              <a:noFill/>
                              <a:ln w="9525">
                                <a:solidFill>
                                  <a:srgbClr val="000000"/>
                                </a:solidFill>
                                <a:prstDash val="sysDot"/>
                                <a:round/>
                                <a:headEnd type="triangle" w="med" len="sm"/>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4" o:spid="_x0000_s1026" type="#_x0000_t32" style="position:absolute;margin-left:112.75pt;margin-top:15.9pt;width:1.05pt;height:173.2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">
                      <v:stroke dashstyle="1 1" startarrow="block" startarrowlength="short" endarrow="block" endarrowlength="short"/>
                    </v:shape>
                  </w:pict>
                </mc:Fallback>
              </mc:AlternateContent>
            </w:r>
            <w:r w:rsidR="004B6E6E">
              <w:rPr>
                <w:noProof/>
              </w:rPr>
              <mc:AlternateContent>
                <mc:Choice Requires="wps">
                  <w:drawing>
                    <wp:anchor distT="0" distB="0" distL="114300" distR="114300" simplePos="0" relativeHeight="251662336" behindDoc="0" locked="0" layoutInCell="1" allowOverlap="1" wp14:anchorId="36065BED" wp14:editId="2D0159AE">
                      <wp:simplePos x="0" y="0"/>
                      <wp:positionH relativeFrom="column">
                        <wp:posOffset>3027045</wp:posOffset>
                      </wp:positionH>
                      <wp:positionV relativeFrom="paragraph">
                        <wp:posOffset>63500</wp:posOffset>
                      </wp:positionV>
                      <wp:extent cx="1584960" cy="250190"/>
                      <wp:effectExtent l="7620" t="6350" r="7620" b="10160"/>
                      <wp:wrapNone/>
                      <wp:docPr id="92" name="Auto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4960" cy="250190"/>
                              </a:xfrm>
                              <a:prstGeom prst="straightConnector1">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3" o:spid="_x0000_s1026" type="#_x0000_t32" style="position:absolute;margin-left:238.35pt;margin-top:5pt;width:124.8pt;height:19.7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" strokeweight=".5pt">
                      <v:stroke dashstyle="1 1" endcap="round"/>
                    </v:shape>
                  </w:pict>
                </mc:Fallback>
              </mc:AlternateContent>
            </w:r>
            <w:r w:rsidR="004B6E6E">
              <w:rPr>
                <w:noProof/>
              </w:rPr>
              <mc:AlternateContent>
                <mc:Choice Requires="wps">
                  <w:drawing>
                    <wp:anchor distT="0" distB="0" distL="114300" distR="114300" simplePos="0" relativeHeight="251672576" behindDoc="0" locked="0" layoutInCell="1" allowOverlap="1" wp14:anchorId="27DA4619" wp14:editId="7BBFF768">
                      <wp:simplePos x="0" y="0"/>
                      <wp:positionH relativeFrom="column">
                        <wp:posOffset>3024505</wp:posOffset>
                      </wp:positionH>
                      <wp:positionV relativeFrom="paragraph">
                        <wp:posOffset>197485</wp:posOffset>
                      </wp:positionV>
                      <wp:extent cx="0" cy="274320"/>
                      <wp:effectExtent l="38100" t="38100" r="57150" b="49530"/>
                      <wp:wrapNone/>
                      <wp:docPr id="90" name="AutoShap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1905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2" o:spid="_x0000_s1026" type="#_x0000_t32" style="position:absolute;margin-left:238.15pt;margin-top:15.55pt;width:0;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" strokeweight="1.5pt">
                      <v:stroke startarrow="block" startarrowwidth="narrow" endarrow="block" endarrowwidth="narrow"/>
                    </v:shape>
                  </w:pict>
                </mc:Fallback>
              </mc:AlternateContent>
            </w:r>
            <w:r w:rsidR="004B6E6E">
              <w:rPr>
                <w:noProof/>
              </w:rPr>
              <mc:AlternateContent>
                <mc:Choice Requires="wps">
                  <w:drawing>
                    <wp:anchor distT="0" distB="0" distL="114300" distR="114300" simplePos="0" relativeHeight="251674624" behindDoc="0" locked="0" layoutInCell="1" allowOverlap="1" wp14:anchorId="0E83582E" wp14:editId="5FDA98E0">
                      <wp:simplePos x="0" y="0"/>
                      <wp:positionH relativeFrom="column">
                        <wp:posOffset>2779395</wp:posOffset>
                      </wp:positionH>
                      <wp:positionV relativeFrom="paragraph">
                        <wp:posOffset>194310</wp:posOffset>
                      </wp:positionV>
                      <wp:extent cx="0" cy="548640"/>
                      <wp:effectExtent l="45720" t="22860" r="40005" b="19050"/>
                      <wp:wrapNone/>
                      <wp:docPr id="89" name="AutoShap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straightConnector1">
                                <a:avLst/>
                              </a:prstGeom>
                              <a:noFill/>
                              <a:ln w="317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3" o:spid="_x0000_s1026" type="#_x0000_t32" style="position:absolute;margin-left:218.85pt;margin-top:15.3pt;width:0;height:4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" strokeweight=".25pt">
                      <v:stroke startarrow="block" startarrowwidth="narrow" startarrowlength="short" endarrow="block" endarrowwidth="narrow" endarrowlength="short"/>
                    </v:shape>
                  </w:pict>
                </mc:Fallback>
              </mc:AlternateContent>
            </w:r>
          </w:p>
          <w:p w:rsidR="00D03EAE" w:rsidRDefault="004B6E6E" w:rsidP="00D03EAE">
            <w:pPr>
              <w:pStyle w:val="standard"/>
              <w:widowControl w:val="0"/>
              <w:spacing w:before="40" w:after="20" w:line="240" w:lineRule="auto"/>
              <w:ind w:firstLine="0"/>
            </w:pPr>
            <w:r>
              <w:rPr>
                <w:noProof/>
              </w:rPr>
              <mc:AlternateContent>
                <mc:Choice Requires="wps">
                  <w:drawing>
                    <wp:anchor distT="0" distB="0" distL="114300" distR="114300" simplePos="0" relativeHeight="251682816" behindDoc="0" locked="0" layoutInCell="1" allowOverlap="1" wp14:anchorId="6027C41B" wp14:editId="709B2DE0">
                      <wp:simplePos x="0" y="0"/>
                      <wp:positionH relativeFrom="column">
                        <wp:posOffset>4294505</wp:posOffset>
                      </wp:positionH>
                      <wp:positionV relativeFrom="paragraph">
                        <wp:posOffset>113030</wp:posOffset>
                      </wp:positionV>
                      <wp:extent cx="1679575" cy="550545"/>
                      <wp:effectExtent l="8255" t="8255" r="7620" b="12700"/>
                      <wp:wrapNone/>
                      <wp:docPr id="88"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550545"/>
                              </a:xfrm>
                              <a:prstGeom prst="rect">
                                <a:avLst/>
                              </a:prstGeom>
                              <a:solidFill>
                                <a:srgbClr val="FFFFFF"/>
                              </a:solidFill>
                              <a:ln w="6350">
                                <a:solidFill>
                                  <a:srgbClr val="FFFFFF"/>
                                </a:solidFill>
                                <a:miter lim="800000"/>
                                <a:headEnd/>
                                <a:tailEnd/>
                              </a:ln>
                            </wps:spPr>
                            <wps:txbx>
                              <w:txbxContent>
                                <w:p w:rsidR="004D65A2" w:rsidRPr="00773197" w:rsidRDefault="004D65A2" w:rsidP="008D551B">
                                  <w:pPr>
                                    <w:jc w:val="center"/>
                                    <w:rPr>
                                      <w:sz w:val="18"/>
                                      <w:szCs w:val="18"/>
                                    </w:rPr>
                                  </w:pPr>
                                  <w:r>
                                    <w:rPr>
                                      <w:sz w:val="18"/>
                                      <w:szCs w:val="18"/>
                                    </w:rPr>
                                    <w:t>2</w:t>
                                  </w:r>
                                  <w:r w:rsidRPr="00773197">
                                    <w:rPr>
                                      <w:sz w:val="18"/>
                                      <w:szCs w:val="18"/>
                                    </w:rPr>
                                    <w:t xml:space="preserve">-Foot </w:t>
                                  </w:r>
                                  <w:r>
                                    <w:rPr>
                                      <w:sz w:val="18"/>
                                      <w:szCs w:val="18"/>
                                    </w:rPr>
                                    <w:t xml:space="preserve">Safety </w:t>
                                  </w:r>
                                  <w:r w:rsidRPr="00773197">
                                    <w:rPr>
                                      <w:sz w:val="18"/>
                                      <w:szCs w:val="18"/>
                                    </w:rPr>
                                    <w:t>Clearance</w:t>
                                  </w:r>
                                  <w:r>
                                    <w:rPr>
                                      <w:sz w:val="18"/>
                                      <w:szCs w:val="18"/>
                                    </w:rPr>
                                    <w:t xml:space="preserve"> Between Antenna &amp; Communication Conductor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035" type="#_x0000_t202" style="position:absolute;margin-left:338.15pt;margin-top:8.9pt;width:132.25pt;height:4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" strokecolor="white" strokeweight=".5pt">
                      <v:textbox>
                        <w:txbxContent>
                          <w:p w:rsidR="004D65A2" w:rsidRPr="00773197" w:rsidRDefault="004D65A2" w:rsidP="008D551B">
                            <w:pPr>
                              <w:jc w:val="center"/>
                              <w:rPr>
                                <w:sz w:val="18"/>
                                <w:szCs w:val="18"/>
                              </w:rPr>
                            </w:pPr>
                            <w:r>
                              <w:rPr>
                                <w:sz w:val="18"/>
                                <w:szCs w:val="18"/>
                              </w:rPr>
                              <w:t>2</w:t>
                            </w:r>
                            <w:r w:rsidRPr="00773197">
                              <w:rPr>
                                <w:sz w:val="18"/>
                                <w:szCs w:val="18"/>
                              </w:rPr>
                              <w:t xml:space="preserve">-Foot </w:t>
                            </w:r>
                            <w:r>
                              <w:rPr>
                                <w:sz w:val="18"/>
                                <w:szCs w:val="18"/>
                              </w:rPr>
                              <w:t xml:space="preserve">Safety </w:t>
                            </w:r>
                            <w:r w:rsidRPr="00773197">
                              <w:rPr>
                                <w:sz w:val="18"/>
                                <w:szCs w:val="18"/>
                              </w:rPr>
                              <w:t>Clearance</w:t>
                            </w:r>
                            <w:r>
                              <w:rPr>
                                <w:sz w:val="18"/>
                                <w:szCs w:val="18"/>
                              </w:rPr>
                              <w:t xml:space="preserve"> </w:t>
                            </w:r>
                            <w:proofErr w:type="gramStart"/>
                            <w:r>
                              <w:rPr>
                                <w:sz w:val="18"/>
                                <w:szCs w:val="18"/>
                              </w:rPr>
                              <w:t>Between</w:t>
                            </w:r>
                            <w:proofErr w:type="gramEnd"/>
                            <w:r>
                              <w:rPr>
                                <w:sz w:val="18"/>
                                <w:szCs w:val="18"/>
                              </w:rPr>
                              <w:t xml:space="preserve"> Antenna &amp; Communication Conductor</w:t>
                            </w:r>
                          </w:p>
                        </w:txbxContent>
                      </v:textbox>
                    </v:shape>
                  </w:pict>
                </mc:Fallback>
              </mc:AlternateContent>
            </w:r>
          </w:p>
          <w:p w:rsidR="00D03EAE" w:rsidRDefault="004B6E6E" w:rsidP="00D03EAE">
            <w:pPr>
              <w:pStyle w:val="standard"/>
              <w:widowControl w:val="0"/>
              <w:tabs>
                <w:tab w:val="left" w:pos="4687"/>
              </w:tabs>
              <w:spacing w:before="40" w:after="20" w:line="240" w:lineRule="auto"/>
              <w:ind w:firstLine="0"/>
            </w:pPr>
            <w:r>
              <w:rPr>
                <w:noProof/>
              </w:rPr>
              <mc:AlternateContent>
                <mc:Choice Requires="wps">
                  <w:drawing>
                    <wp:anchor distT="0" distB="0" distL="114300" distR="114300" simplePos="0" relativeHeight="251684864" behindDoc="0" locked="0" layoutInCell="1" allowOverlap="1" wp14:anchorId="0C3BE410" wp14:editId="70A8ECB0">
                      <wp:simplePos x="0" y="0"/>
                      <wp:positionH relativeFrom="column">
                        <wp:posOffset>2781935</wp:posOffset>
                      </wp:positionH>
                      <wp:positionV relativeFrom="paragraph">
                        <wp:posOffset>9525</wp:posOffset>
                      </wp:positionV>
                      <wp:extent cx="1595120" cy="1905"/>
                      <wp:effectExtent l="48260" t="47625" r="13970" b="45720"/>
                      <wp:wrapNone/>
                      <wp:docPr id="87" name="AutoShap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5120" cy="1905"/>
                              </a:xfrm>
                              <a:prstGeom prst="straightConnector1">
                                <a:avLst/>
                              </a:prstGeom>
                              <a:noFill/>
                              <a:ln w="6350" cap="rnd">
                                <a:solidFill>
                                  <a:srgbClr val="000000"/>
                                </a:solidFill>
                                <a:prstDash val="sysDot"/>
                                <a:round/>
                                <a:headEnd type="diamond"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5" o:spid="_x0000_s1026" type="#_x0000_t32" style="position:absolute;margin-left:219.05pt;margin-top:.75pt;width:125.6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" strokeweight=".5pt">
                      <v:stroke dashstyle="1 1" startarrow="diamond" startarrowwidth="narrow" startarrowlength="short" endcap="round"/>
                    </v:shape>
                  </w:pict>
                </mc:Fallback>
              </mc:AlternateContent>
            </w:r>
            <w:r>
              <w:rPr>
                <w:noProof/>
              </w:rPr>
              <mc:AlternateContent>
                <mc:Choice Requires="wps">
                  <w:drawing>
                    <wp:anchor distT="0" distB="0" distL="114300" distR="114300" simplePos="0" relativeHeight="251676672" behindDoc="0" locked="0" layoutInCell="1" allowOverlap="1" wp14:anchorId="1B8D0298" wp14:editId="0BA92EDB">
                      <wp:simplePos x="0" y="0"/>
                      <wp:positionH relativeFrom="column">
                        <wp:posOffset>3248660</wp:posOffset>
                      </wp:positionH>
                      <wp:positionV relativeFrom="paragraph">
                        <wp:posOffset>12700</wp:posOffset>
                      </wp:positionV>
                      <wp:extent cx="635" cy="1653540"/>
                      <wp:effectExtent l="57785" t="60325" r="55880" b="57785"/>
                      <wp:wrapNone/>
                      <wp:docPr id="86" name="AutoShap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53540"/>
                              </a:xfrm>
                              <a:prstGeom prst="straightConnector1">
                                <a:avLst/>
                              </a:prstGeom>
                              <a:noFill/>
                              <a:ln w="15875">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7" o:spid="_x0000_s1026" type="#_x0000_t32" style="position:absolute;margin-left:255.8pt;margin-top:1pt;width:.05pt;height:13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" strokeweight="1.25pt">
                      <v:stroke dashstyle="dash" startarrow="oval" endarrow="oval"/>
                    </v:shape>
                  </w:pict>
                </mc:Fallback>
              </mc:AlternateContent>
            </w:r>
          </w:p>
          <w:p w:rsidR="00D03EAE" w:rsidRDefault="006065B0" w:rsidP="00D03EAE">
            <w:pPr>
              <w:pStyle w:val="standard"/>
              <w:widowControl w:val="0"/>
              <w:spacing w:before="40" w:after="20" w:line="240" w:lineRule="auto"/>
              <w:ind w:firstLine="0"/>
            </w:pPr>
            <w:r>
              <w:rPr>
                <w:noProof/>
                <w:sz w:val="20"/>
              </w:rPr>
              <mc:AlternateContent>
                <mc:Choice Requires="wps">
                  <w:drawing>
                    <wp:anchor distT="0" distB="0" distL="114300" distR="114300" simplePos="0" relativeHeight="251688960" behindDoc="0" locked="0" layoutInCell="1" allowOverlap="1" wp14:anchorId="74772C6C" wp14:editId="1AF0132A">
                      <wp:simplePos x="0" y="0"/>
                      <wp:positionH relativeFrom="column">
                        <wp:posOffset>1287145</wp:posOffset>
                      </wp:positionH>
                      <wp:positionV relativeFrom="paragraph">
                        <wp:posOffset>203200</wp:posOffset>
                      </wp:positionV>
                      <wp:extent cx="137160" cy="618490"/>
                      <wp:effectExtent l="0" t="0" r="15240" b="10160"/>
                      <wp:wrapNone/>
                      <wp:docPr id="83"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618490"/>
                              </a:xfrm>
                              <a:prstGeom prst="rect">
                                <a:avLst/>
                              </a:prstGeom>
                              <a:solidFill>
                                <a:srgbClr val="FFFFFF"/>
                              </a:solidFill>
                              <a:ln w="6350">
                                <a:solidFill>
                                  <a:srgbClr val="FFFFFF"/>
                                </a:solidFill>
                                <a:miter lim="800000"/>
                                <a:headEnd/>
                                <a:tailEnd/>
                              </a:ln>
                            </wps:spPr>
                            <wps:txbx>
                              <w:txbxContent>
                                <w:p w:rsidR="004D65A2" w:rsidRPr="004745A6" w:rsidRDefault="004D65A2" w:rsidP="002F04DA">
                                  <w:pPr>
                                    <w:jc w:val="center"/>
                                    <w:rPr>
                                      <w:sz w:val="18"/>
                                      <w:szCs w:val="18"/>
                                    </w:rPr>
                                  </w:pPr>
                                  <w:r w:rsidRPr="004745A6">
                                    <w:rPr>
                                      <w:sz w:val="18"/>
                                      <w:szCs w:val="18"/>
                                    </w:rPr>
                                    <w:t>8 Feet</w:t>
                                  </w:r>
                                  <w:r>
                                    <w:rPr>
                                      <w:sz w:val="18"/>
                                      <w:szCs w:val="18"/>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2" o:spid="_x0000_s1036" style="position:absolute;margin-left:101.35pt;margin-top:16pt;width:10.8pt;height:48.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" strokecolor="white" strokeweight=".5pt">
                      <v:textbox style="layout-flow:vertical;mso-layout-flow-alt:bottom-to-top" inset="0,0,0,0">
                        <w:txbxContent>
                          <w:p w:rsidR="004D65A2" w:rsidRPr="004745A6" w:rsidRDefault="004D65A2" w:rsidP="002F04DA">
                            <w:pPr>
                              <w:jc w:val="center"/>
                              <w:rPr>
                                <w:sz w:val="18"/>
                                <w:szCs w:val="18"/>
                              </w:rPr>
                            </w:pPr>
                            <w:r w:rsidRPr="004745A6">
                              <w:rPr>
                                <w:sz w:val="18"/>
                                <w:szCs w:val="18"/>
                              </w:rPr>
                              <w:t>8 Feet</w:t>
                            </w:r>
                            <w:r>
                              <w:rPr>
                                <w:sz w:val="18"/>
                                <w:szCs w:val="18"/>
                              </w:rPr>
                              <w:t xml:space="preserve"> </w:t>
                            </w:r>
                          </w:p>
                        </w:txbxContent>
                      </v:textbox>
                    </v:rect>
                  </w:pict>
                </mc:Fallback>
              </mc:AlternateContent>
            </w:r>
            <w:r w:rsidR="001976A3">
              <w:rPr>
                <w:noProof/>
              </w:rPr>
              <mc:AlternateContent>
                <mc:Choice Requires="wps">
                  <w:drawing>
                    <wp:anchor distT="0" distB="0" distL="114300" distR="114300" simplePos="0" relativeHeight="251637760" behindDoc="0" locked="0" layoutInCell="1" allowOverlap="1" wp14:anchorId="071BE357" wp14:editId="53ED331B">
                      <wp:simplePos x="0" y="0"/>
                      <wp:positionH relativeFrom="column">
                        <wp:posOffset>3542665</wp:posOffset>
                      </wp:positionH>
                      <wp:positionV relativeFrom="paragraph">
                        <wp:posOffset>207010</wp:posOffset>
                      </wp:positionV>
                      <wp:extent cx="1071245" cy="643255"/>
                      <wp:effectExtent l="0" t="0" r="14605" b="23495"/>
                      <wp:wrapNone/>
                      <wp:docPr id="81"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643597"/>
                              </a:xfrm>
                              <a:prstGeom prst="rect">
                                <a:avLst/>
                              </a:prstGeom>
                              <a:solidFill>
                                <a:srgbClr val="FFFFFF"/>
                              </a:solidFill>
                              <a:ln w="6350">
                                <a:solidFill>
                                  <a:srgbClr val="FFFFFF"/>
                                </a:solidFill>
                                <a:miter lim="800000"/>
                                <a:headEnd/>
                                <a:tailEnd/>
                              </a:ln>
                            </wps:spPr>
                            <wps:txbx>
                              <w:txbxContent>
                                <w:p w:rsidR="004D65A2" w:rsidRPr="00400B7A" w:rsidRDefault="004D65A2" w:rsidP="00D03EAE">
                                  <w:pPr>
                                    <w:jc w:val="center"/>
                                    <w:rPr>
                                      <w:sz w:val="20"/>
                                    </w:rPr>
                                  </w:pPr>
                                  <w:r>
                                    <w:rPr>
                                      <w:sz w:val="20"/>
                                    </w:rPr>
                                    <w:t xml:space="preserve">CMRS </w:t>
                                  </w:r>
                                  <w:r w:rsidRPr="00400B7A">
                                    <w:rPr>
                                      <w:sz w:val="20"/>
                                    </w:rPr>
                                    <w:t>Billable Space:  6 Feet (1+4+1)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037" type="#_x0000_t202" style="position:absolute;margin-left:278.95pt;margin-top:16.3pt;width:84.35pt;height:50.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" strokecolor="white" strokeweight=".5pt">
                      <v:textbox>
                        <w:txbxContent>
                          <w:p w:rsidR="004D65A2" w:rsidRPr="00400B7A" w:rsidRDefault="004D65A2" w:rsidP="00D03EAE">
                            <w:pPr>
                              <w:jc w:val="center"/>
                              <w:rPr>
                                <w:sz w:val="20"/>
                              </w:rPr>
                            </w:pPr>
                            <w:r>
                              <w:rPr>
                                <w:sz w:val="20"/>
                              </w:rPr>
                              <w:t xml:space="preserve">CMRS </w:t>
                            </w:r>
                            <w:r w:rsidRPr="00400B7A">
                              <w:rPr>
                                <w:sz w:val="20"/>
                              </w:rPr>
                              <w:t>Billable Space:  6 Feet (1+4+1)</w:t>
                            </w:r>
                          </w:p>
                        </w:txbxContent>
                      </v:textbox>
                    </v:shape>
                  </w:pict>
                </mc:Fallback>
              </mc:AlternateContent>
            </w:r>
            <w:r w:rsidR="004B6E6E">
              <w:rPr>
                <w:noProof/>
              </w:rPr>
              <mc:AlternateContent>
                <mc:Choice Requires="wps">
                  <w:drawing>
                    <wp:anchor distT="0" distB="0" distL="114300" distR="114300" simplePos="0" relativeHeight="251619328" behindDoc="0" locked="0" layoutInCell="1" allowOverlap="1" wp14:anchorId="4DCE7CFB" wp14:editId="059D91CA">
                      <wp:simplePos x="0" y="0"/>
                      <wp:positionH relativeFrom="column">
                        <wp:posOffset>1593850</wp:posOffset>
                      </wp:positionH>
                      <wp:positionV relativeFrom="paragraph">
                        <wp:posOffset>59690</wp:posOffset>
                      </wp:positionV>
                      <wp:extent cx="118745" cy="1097280"/>
                      <wp:effectExtent l="12700" t="12065" r="11430" b="5080"/>
                      <wp:wrapNone/>
                      <wp:docPr id="85" name="Rectangle 542" descr="Narrow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097280"/>
                              </a:xfrm>
                              <a:prstGeom prst="rect">
                                <a:avLst/>
                              </a:prstGeom>
                              <a:pattFill prst="nar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2" o:spid="_x0000_s1026" alt="Narrow vertical" style="position:absolute;margin-left:125.5pt;margin-top:4.7pt;width:9.35pt;height:86.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" fillcolor="black">
                      <v:fill r:id="rId25" o:title="" type="pattern"/>
                    </v:rect>
                  </w:pict>
                </mc:Fallback>
              </mc:AlternateContent>
            </w:r>
            <w:r w:rsidR="004B6E6E">
              <w:rPr>
                <w:noProof/>
              </w:rPr>
              <mc:AlternateContent>
                <mc:Choice Requires="wps">
                  <w:drawing>
                    <wp:anchor distT="0" distB="0" distL="114300" distR="114300" simplePos="0" relativeHeight="251625472" behindDoc="0" locked="0" layoutInCell="1" allowOverlap="1" wp14:anchorId="08EE9561" wp14:editId="43E5570C">
                      <wp:simplePos x="0" y="0"/>
                      <wp:positionH relativeFrom="column">
                        <wp:posOffset>1495425</wp:posOffset>
                      </wp:positionH>
                      <wp:positionV relativeFrom="paragraph">
                        <wp:posOffset>54610</wp:posOffset>
                      </wp:positionV>
                      <wp:extent cx="1740535" cy="1905"/>
                      <wp:effectExtent l="9525" t="6985" r="12065" b="10160"/>
                      <wp:wrapNone/>
                      <wp:docPr id="84"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0535" cy="190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7" o:spid="_x0000_s1026" type="#_x0000_t32" style="position:absolute;margin-left:117.75pt;margin-top:4.3pt;width:137.05pt;height:.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" strokeweight=".5pt">
                      <v:stroke dashstyle="dashDot"/>
                    </v:shape>
                  </w:pict>
                </mc:Fallback>
              </mc:AlternateContent>
            </w:r>
          </w:p>
          <w:p w:rsidR="00D03EAE" w:rsidRDefault="004B6E6E" w:rsidP="00D03EAE">
            <w:pPr>
              <w:pStyle w:val="standard"/>
              <w:widowControl w:val="0"/>
              <w:spacing w:before="40" w:after="20" w:line="240" w:lineRule="auto"/>
              <w:ind w:firstLine="0"/>
            </w:pPr>
            <w:r>
              <w:rPr>
                <w:noProof/>
              </w:rPr>
              <mc:AlternateContent>
                <mc:Choice Requires="wps">
                  <w:drawing>
                    <wp:anchor distT="0" distB="0" distL="114300" distR="114300" simplePos="0" relativeHeight="251664384" behindDoc="0" locked="0" layoutInCell="1" allowOverlap="1" wp14:anchorId="504932A9" wp14:editId="23296C4A">
                      <wp:simplePos x="0" y="0"/>
                      <wp:positionH relativeFrom="column">
                        <wp:posOffset>1483995</wp:posOffset>
                      </wp:positionH>
                      <wp:positionV relativeFrom="paragraph">
                        <wp:posOffset>95250</wp:posOffset>
                      </wp:positionV>
                      <wp:extent cx="109855" cy="548640"/>
                      <wp:effectExtent l="7620" t="9525" r="6350" b="13335"/>
                      <wp:wrapNone/>
                      <wp:docPr id="80" name="Rectangle 541"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54864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1" o:spid="_x0000_s1026" alt="5%" style="position:absolute;margin-left:116.85pt;margin-top:7.5pt;width:8.65pt;height:4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" fillcolor="black">
                      <v:fill r:id="rId26" o:title="" type="pattern"/>
                    </v:rect>
                  </w:pict>
                </mc:Fallback>
              </mc:AlternateContent>
            </w:r>
            <w:r>
              <w:rPr>
                <w:noProof/>
              </w:rPr>
              <mc:AlternateContent>
                <mc:Choice Requires="wps">
                  <w:drawing>
                    <wp:anchor distT="0" distB="0" distL="114300" distR="114300" simplePos="0" relativeHeight="251666432" behindDoc="0" locked="0" layoutInCell="1" allowOverlap="1" wp14:anchorId="072C2622" wp14:editId="43BF9242">
                      <wp:simplePos x="0" y="0"/>
                      <wp:positionH relativeFrom="column">
                        <wp:posOffset>1948180</wp:posOffset>
                      </wp:positionH>
                      <wp:positionV relativeFrom="paragraph">
                        <wp:posOffset>211455</wp:posOffset>
                      </wp:positionV>
                      <wp:extent cx="831215" cy="377825"/>
                      <wp:effectExtent l="5080" t="11430" r="11430" b="10795"/>
                      <wp:wrapNone/>
                      <wp:docPr id="79"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377825"/>
                              </a:xfrm>
                              <a:prstGeom prst="rect">
                                <a:avLst/>
                              </a:prstGeom>
                              <a:solidFill>
                                <a:srgbClr val="FFFFFF"/>
                              </a:solidFill>
                              <a:ln w="6350">
                                <a:solidFill>
                                  <a:srgbClr val="FFFFFF"/>
                                </a:solidFill>
                                <a:miter lim="800000"/>
                                <a:headEnd/>
                                <a:tailEnd/>
                              </a:ln>
                            </wps:spPr>
                            <wps:txbx>
                              <w:txbxContent>
                                <w:p w:rsidR="004D65A2" w:rsidRPr="009728B5" w:rsidRDefault="004D65A2" w:rsidP="00D03EAE">
                                  <w:pPr>
                                    <w:jc w:val="center"/>
                                    <w:rPr>
                                      <w:sz w:val="20"/>
                                    </w:rPr>
                                  </w:pPr>
                                  <w:r>
                                    <w:rPr>
                                      <w:sz w:val="18"/>
                                      <w:szCs w:val="18"/>
                                    </w:rPr>
                                    <w:t xml:space="preserve">4-foot </w:t>
                                  </w:r>
                                  <w:r w:rsidRPr="00094A71">
                                    <w:rPr>
                                      <w:sz w:val="18"/>
                                      <w:szCs w:val="18"/>
                                    </w:rPr>
                                    <w:t xml:space="preserve">Antenna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038" type="#_x0000_t202" style="position:absolute;margin-left:153.4pt;margin-top:16.65pt;width:65.45pt;height:2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" strokecolor="white" strokeweight=".5pt">
                      <v:textbox>
                        <w:txbxContent>
                          <w:p w:rsidR="004D65A2" w:rsidRPr="009728B5" w:rsidRDefault="004D65A2" w:rsidP="00D03EAE">
                            <w:pPr>
                              <w:jc w:val="center"/>
                              <w:rPr>
                                <w:sz w:val="20"/>
                              </w:rPr>
                            </w:pPr>
                            <w:r>
                              <w:rPr>
                                <w:sz w:val="18"/>
                                <w:szCs w:val="18"/>
                              </w:rPr>
                              <w:t xml:space="preserve">4-foot </w:t>
                            </w:r>
                            <w:r w:rsidRPr="00094A71">
                              <w:rPr>
                                <w:sz w:val="18"/>
                                <w:szCs w:val="18"/>
                              </w:rPr>
                              <w:t xml:space="preserve">Antenna </w:t>
                            </w:r>
                          </w:p>
                        </w:txbxContent>
                      </v:textbox>
                    </v:shape>
                  </w:pict>
                </mc:Fallback>
              </mc:AlternateContent>
            </w:r>
          </w:p>
          <w:p w:rsidR="00D03EAE" w:rsidRDefault="004B6E6E" w:rsidP="00D03EAE">
            <w:pPr>
              <w:pStyle w:val="standard"/>
              <w:widowControl w:val="0"/>
              <w:spacing w:before="40" w:after="20" w:line="240" w:lineRule="auto"/>
              <w:ind w:firstLine="0"/>
            </w:pPr>
            <w:r>
              <w:rPr>
                <w:noProof/>
              </w:rPr>
              <mc:AlternateContent>
                <mc:Choice Requires="wps">
                  <w:drawing>
                    <wp:anchor distT="0" distB="0" distL="114300" distR="114300" simplePos="0" relativeHeight="251678720" behindDoc="0" locked="0" layoutInCell="1" allowOverlap="1" wp14:anchorId="275AD8C0" wp14:editId="633A115E">
                      <wp:simplePos x="0" y="0"/>
                      <wp:positionH relativeFrom="column">
                        <wp:posOffset>3267710</wp:posOffset>
                      </wp:positionH>
                      <wp:positionV relativeFrom="paragraph">
                        <wp:posOffset>106045</wp:posOffset>
                      </wp:positionV>
                      <wp:extent cx="370205" cy="0"/>
                      <wp:effectExtent l="57785" t="58420" r="10160" b="55880"/>
                      <wp:wrapNone/>
                      <wp:docPr id="78" name="AutoShap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straightConnector1">
                                <a:avLst/>
                              </a:prstGeom>
                              <a:noFill/>
                              <a:ln w="12700">
                                <a:solidFill>
                                  <a:srgbClr val="000000"/>
                                </a:solidFill>
                                <a:prstDash val="dash"/>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9" o:spid="_x0000_s1026" type="#_x0000_t32" style="position:absolute;margin-left:257.3pt;margin-top:8.35pt;width:29.1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" strokeweight="1pt">
                      <v:stroke dashstyle="dash" startarrow="oval"/>
                    </v:shape>
                  </w:pict>
                </mc:Fallback>
              </mc:AlternateContent>
            </w:r>
            <w:r>
              <w:rPr>
                <w:noProof/>
              </w:rPr>
              <mc:AlternateContent>
                <mc:Choice Requires="wps">
                  <w:drawing>
                    <wp:anchor distT="0" distB="0" distL="114300" distR="114300" simplePos="0" relativeHeight="251668480" behindDoc="0" locked="0" layoutInCell="1" allowOverlap="1" wp14:anchorId="45B93843" wp14:editId="6DB03881">
                      <wp:simplePos x="0" y="0"/>
                      <wp:positionH relativeFrom="column">
                        <wp:posOffset>1712595</wp:posOffset>
                      </wp:positionH>
                      <wp:positionV relativeFrom="paragraph">
                        <wp:posOffset>105410</wp:posOffset>
                      </wp:positionV>
                      <wp:extent cx="399415" cy="635"/>
                      <wp:effectExtent l="17145" t="57785" r="12065" b="55880"/>
                      <wp:wrapNone/>
                      <wp:docPr id="77" name="Auto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94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2" o:spid="_x0000_s1026" type="#_x0000_t32" style="position:absolute;margin-left:134.85pt;margin-top:8.3pt;width:31.45pt;height:.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">
                      <v:stroke endarrow="block"/>
                    </v:shape>
                  </w:pict>
                </mc:Fallback>
              </mc:AlternateContent>
            </w:r>
          </w:p>
          <w:p w:rsidR="00D03EAE" w:rsidRDefault="00D03EAE" w:rsidP="00D03EAE">
            <w:pPr>
              <w:pStyle w:val="standard"/>
              <w:widowControl w:val="0"/>
              <w:spacing w:before="40" w:after="20" w:line="240" w:lineRule="auto"/>
              <w:ind w:firstLine="0"/>
            </w:pPr>
          </w:p>
          <w:p w:rsidR="00D03EAE" w:rsidRDefault="00D03EAE" w:rsidP="00D03EAE">
            <w:pPr>
              <w:pStyle w:val="standard"/>
              <w:widowControl w:val="0"/>
              <w:spacing w:before="40" w:after="20" w:line="240" w:lineRule="auto"/>
              <w:ind w:firstLine="0"/>
            </w:pPr>
          </w:p>
          <w:p w:rsidR="00D03EAE" w:rsidRDefault="004B6E6E" w:rsidP="00D03EAE">
            <w:pPr>
              <w:pStyle w:val="standard"/>
              <w:widowControl w:val="0"/>
              <w:spacing w:before="40" w:after="20" w:line="240" w:lineRule="auto"/>
              <w:ind w:firstLine="0"/>
            </w:pPr>
            <w:r>
              <w:rPr>
                <w:noProof/>
              </w:rPr>
              <mc:AlternateContent>
                <mc:Choice Requires="wps">
                  <w:drawing>
                    <wp:anchor distT="0" distB="0" distL="114300" distR="114300" simplePos="0" relativeHeight="251641856" behindDoc="0" locked="0" layoutInCell="1" allowOverlap="1" wp14:anchorId="1C74A8B9" wp14:editId="42797E6C">
                      <wp:simplePos x="0" y="0"/>
                      <wp:positionH relativeFrom="column">
                        <wp:posOffset>4137025</wp:posOffset>
                      </wp:positionH>
                      <wp:positionV relativeFrom="paragraph">
                        <wp:posOffset>3810</wp:posOffset>
                      </wp:positionV>
                      <wp:extent cx="1679575" cy="550545"/>
                      <wp:effectExtent l="12700" t="13335" r="12700" b="7620"/>
                      <wp:wrapNone/>
                      <wp:docPr id="75"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550545"/>
                              </a:xfrm>
                              <a:prstGeom prst="rect">
                                <a:avLst/>
                              </a:prstGeom>
                              <a:solidFill>
                                <a:srgbClr val="FFFFFF"/>
                              </a:solidFill>
                              <a:ln w="6350">
                                <a:solidFill>
                                  <a:srgbClr val="FFFFFF"/>
                                </a:solidFill>
                                <a:miter lim="800000"/>
                                <a:headEnd/>
                                <a:tailEnd/>
                              </a:ln>
                            </wps:spPr>
                            <wps:txbx>
                              <w:txbxContent>
                                <w:p w:rsidR="004D65A2" w:rsidRPr="00773197" w:rsidRDefault="004D65A2" w:rsidP="00D03EAE">
                                  <w:pPr>
                                    <w:jc w:val="center"/>
                                    <w:rPr>
                                      <w:sz w:val="18"/>
                                      <w:szCs w:val="18"/>
                                    </w:rPr>
                                  </w:pPr>
                                  <w:r>
                                    <w:rPr>
                                      <w:sz w:val="18"/>
                                      <w:szCs w:val="18"/>
                                    </w:rPr>
                                    <w:t>2</w:t>
                                  </w:r>
                                  <w:r w:rsidRPr="00773197">
                                    <w:rPr>
                                      <w:sz w:val="18"/>
                                      <w:szCs w:val="18"/>
                                    </w:rPr>
                                    <w:t xml:space="preserve">-Foot </w:t>
                                  </w:r>
                                  <w:r>
                                    <w:rPr>
                                      <w:sz w:val="18"/>
                                      <w:szCs w:val="18"/>
                                    </w:rPr>
                                    <w:t xml:space="preserve">Safety </w:t>
                                  </w:r>
                                  <w:r w:rsidRPr="00773197">
                                    <w:rPr>
                                      <w:sz w:val="18"/>
                                      <w:szCs w:val="18"/>
                                    </w:rPr>
                                    <w:t>Clearance</w:t>
                                  </w:r>
                                  <w:r>
                                    <w:rPr>
                                      <w:sz w:val="18"/>
                                      <w:szCs w:val="18"/>
                                    </w:rPr>
                                    <w:t xml:space="preserve"> Between Antenna &amp; Communication Conductor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039" type="#_x0000_t202" style="position:absolute;margin-left:325.75pt;margin-top:.3pt;width:132.25pt;height:43.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" strokecolor="white" strokeweight=".5pt">
                      <v:textbox>
                        <w:txbxContent>
                          <w:p w:rsidR="004D65A2" w:rsidRPr="00773197" w:rsidRDefault="004D65A2" w:rsidP="00D03EAE">
                            <w:pPr>
                              <w:jc w:val="center"/>
                              <w:rPr>
                                <w:sz w:val="18"/>
                                <w:szCs w:val="18"/>
                              </w:rPr>
                            </w:pPr>
                            <w:r>
                              <w:rPr>
                                <w:sz w:val="18"/>
                                <w:szCs w:val="18"/>
                              </w:rPr>
                              <w:t>2</w:t>
                            </w:r>
                            <w:r w:rsidRPr="00773197">
                              <w:rPr>
                                <w:sz w:val="18"/>
                                <w:szCs w:val="18"/>
                              </w:rPr>
                              <w:t xml:space="preserve">-Foot </w:t>
                            </w:r>
                            <w:r>
                              <w:rPr>
                                <w:sz w:val="18"/>
                                <w:szCs w:val="18"/>
                              </w:rPr>
                              <w:t xml:space="preserve">Safety </w:t>
                            </w:r>
                            <w:r w:rsidRPr="00773197">
                              <w:rPr>
                                <w:sz w:val="18"/>
                                <w:szCs w:val="18"/>
                              </w:rPr>
                              <w:t>Clearance</w:t>
                            </w:r>
                            <w:r>
                              <w:rPr>
                                <w:sz w:val="18"/>
                                <w:szCs w:val="18"/>
                              </w:rPr>
                              <w:t xml:space="preserve"> </w:t>
                            </w:r>
                            <w:proofErr w:type="gramStart"/>
                            <w:r>
                              <w:rPr>
                                <w:sz w:val="18"/>
                                <w:szCs w:val="18"/>
                              </w:rPr>
                              <w:t>Between</w:t>
                            </w:r>
                            <w:proofErr w:type="gramEnd"/>
                            <w:r>
                              <w:rPr>
                                <w:sz w:val="18"/>
                                <w:szCs w:val="18"/>
                              </w:rPr>
                              <w:t xml:space="preserve"> Antenna &amp; Communication Conductor</w:t>
                            </w:r>
                          </w:p>
                        </w:txbxContent>
                      </v:textbox>
                    </v:shape>
                  </w:pict>
                </mc:Fallback>
              </mc:AlternateContent>
            </w:r>
            <w:r>
              <w:rPr>
                <w:noProof/>
              </w:rPr>
              <mc:AlternateContent>
                <mc:Choice Requires="wps">
                  <w:drawing>
                    <wp:anchor distT="0" distB="0" distL="114300" distR="114300" simplePos="0" relativeHeight="251633664" behindDoc="0" locked="0" layoutInCell="1" allowOverlap="1" wp14:anchorId="49F3DE6F" wp14:editId="2BA92310">
                      <wp:simplePos x="0" y="0"/>
                      <wp:positionH relativeFrom="column">
                        <wp:posOffset>2790825</wp:posOffset>
                      </wp:positionH>
                      <wp:positionV relativeFrom="paragraph">
                        <wp:posOffset>9525</wp:posOffset>
                      </wp:positionV>
                      <wp:extent cx="0" cy="548640"/>
                      <wp:effectExtent l="47625" t="19050" r="47625" b="22860"/>
                      <wp:wrapNone/>
                      <wp:docPr id="70" name="AutoShap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straightConnector1">
                                <a:avLst/>
                              </a:prstGeom>
                              <a:noFill/>
                              <a:ln w="317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5" o:spid="_x0000_s1026" type="#_x0000_t32" style="position:absolute;margin-left:219.75pt;margin-top:.75pt;width:0;height:43.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" strokeweight=".25pt">
                      <v:stroke startarrow="block" startarrowwidth="narrow" startarrowlength="short" endarrow="block" endarrowwidth="narrow" endarrowlength="short"/>
                    </v:shape>
                  </w:pict>
                </mc:Fallback>
              </mc:AlternateContent>
            </w:r>
            <w:r>
              <w:rPr>
                <w:noProof/>
              </w:rPr>
              <mc:AlternateContent>
                <mc:Choice Requires="wps">
                  <w:drawing>
                    <wp:anchor distT="0" distB="0" distL="114300" distR="114300" simplePos="0" relativeHeight="251629568" behindDoc="0" locked="0" layoutInCell="1" allowOverlap="1" wp14:anchorId="12B2F561" wp14:editId="767C5889">
                      <wp:simplePos x="0" y="0"/>
                      <wp:positionH relativeFrom="column">
                        <wp:posOffset>1495425</wp:posOffset>
                      </wp:positionH>
                      <wp:positionV relativeFrom="paragraph">
                        <wp:posOffset>6985</wp:posOffset>
                      </wp:positionV>
                      <wp:extent cx="1748155" cy="0"/>
                      <wp:effectExtent l="9525" t="6985" r="13970" b="12065"/>
                      <wp:wrapNone/>
                      <wp:docPr id="69" name="AutoShap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8155" cy="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8" o:spid="_x0000_s1026" type="#_x0000_t32" style="position:absolute;margin-left:117.75pt;margin-top:.55pt;width:137.65pt;height: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" strokeweight=".5pt">
                      <v:stroke dashstyle="dashDot"/>
                    </v:shape>
                  </w:pict>
                </mc:Fallback>
              </mc:AlternateContent>
            </w:r>
          </w:p>
          <w:p w:rsidR="00D03EAE" w:rsidRDefault="004B6E6E" w:rsidP="00D03EAE">
            <w:pPr>
              <w:pStyle w:val="standard"/>
              <w:widowControl w:val="0"/>
              <w:spacing w:before="40" w:after="20" w:line="240" w:lineRule="auto"/>
              <w:ind w:firstLine="0"/>
            </w:pPr>
            <w:r>
              <w:rPr>
                <w:noProof/>
              </w:rPr>
              <mc:AlternateContent>
                <mc:Choice Requires="wps">
                  <w:drawing>
                    <wp:anchor distT="0" distB="0" distL="114300" distR="114300" simplePos="0" relativeHeight="251691008" behindDoc="0" locked="0" layoutInCell="1" allowOverlap="1" wp14:anchorId="1B5D78DB" wp14:editId="6BF2316A">
                      <wp:simplePos x="0" y="0"/>
                      <wp:positionH relativeFrom="column">
                        <wp:posOffset>2793365</wp:posOffset>
                      </wp:positionH>
                      <wp:positionV relativeFrom="paragraph">
                        <wp:posOffset>51435</wp:posOffset>
                      </wp:positionV>
                      <wp:extent cx="1470025" cy="635"/>
                      <wp:effectExtent l="40640" t="41910" r="13335" b="43180"/>
                      <wp:wrapNone/>
                      <wp:docPr id="68" name="AutoShap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0025" cy="635"/>
                              </a:xfrm>
                              <a:prstGeom prst="straightConnector1">
                                <a:avLst/>
                              </a:prstGeom>
                              <a:noFill/>
                              <a:ln w="6350" cap="rnd">
                                <a:solidFill>
                                  <a:srgbClr val="000000"/>
                                </a:solidFill>
                                <a:prstDash val="sysDot"/>
                                <a:round/>
                                <a:headEnd type="diamond"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4" o:spid="_x0000_s1026" type="#_x0000_t32" style="position:absolute;margin-left:219.95pt;margin-top:4.05pt;width:115.75pt;height:.0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" strokeweight=".5pt">
                      <v:stroke dashstyle="1 1" startarrow="diamond" startarrowwidth="narrow" startarrowlength="short" endcap="round"/>
                    </v:shape>
                  </w:pict>
                </mc:Fallback>
              </mc:AlternateContent>
            </w:r>
            <w:r>
              <w:rPr>
                <w:noProof/>
              </w:rPr>
              <mc:AlternateContent>
                <mc:Choice Requires="wps">
                  <w:drawing>
                    <wp:anchor distT="0" distB="0" distL="114300" distR="114300" simplePos="0" relativeHeight="251670528" behindDoc="0" locked="0" layoutInCell="1" allowOverlap="1" wp14:anchorId="455E90C4" wp14:editId="57E48033">
                      <wp:simplePos x="0" y="0"/>
                      <wp:positionH relativeFrom="column">
                        <wp:posOffset>3033395</wp:posOffset>
                      </wp:positionH>
                      <wp:positionV relativeFrom="paragraph">
                        <wp:posOffset>125730</wp:posOffset>
                      </wp:positionV>
                      <wp:extent cx="1106170" cy="474345"/>
                      <wp:effectExtent l="13970" t="11430" r="13335" b="9525"/>
                      <wp:wrapNone/>
                      <wp:docPr id="67" name="AutoShap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6170" cy="474345"/>
                              </a:xfrm>
                              <a:prstGeom prst="straightConnector1">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5" o:spid="_x0000_s1026" type="#_x0000_t32" style="position:absolute;margin-left:238.85pt;margin-top:9.9pt;width:87.1pt;height:3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" strokeweight=".5pt">
                      <v:stroke dashstyle="1 1" endcap="round"/>
                    </v:shape>
                  </w:pict>
                </mc:Fallback>
              </mc:AlternateContent>
            </w:r>
            <w:r>
              <w:rPr>
                <w:noProof/>
              </w:rPr>
              <mc:AlternateContent>
                <mc:Choice Requires="wps">
                  <w:drawing>
                    <wp:anchor distT="0" distB="0" distL="114300" distR="114300" simplePos="0" relativeHeight="251631616" behindDoc="0" locked="0" layoutInCell="1" allowOverlap="1" wp14:anchorId="74170BED" wp14:editId="3331766A">
                      <wp:simplePos x="0" y="0"/>
                      <wp:positionH relativeFrom="column">
                        <wp:posOffset>3021965</wp:posOffset>
                      </wp:positionH>
                      <wp:positionV relativeFrom="paragraph">
                        <wp:posOffset>52705</wp:posOffset>
                      </wp:positionV>
                      <wp:extent cx="1270" cy="274320"/>
                      <wp:effectExtent l="38100" t="38100" r="55880" b="49530"/>
                      <wp:wrapNone/>
                      <wp:docPr id="66" name="AutoShap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74320"/>
                              </a:xfrm>
                              <a:prstGeom prst="straightConnector1">
                                <a:avLst/>
                              </a:prstGeom>
                              <a:noFill/>
                              <a:ln w="1905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4" o:spid="_x0000_s1026" type="#_x0000_t32" style="position:absolute;margin-left:237.95pt;margin-top:4.15pt;width:.1pt;height:21.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" strokeweight="1.5pt">
                      <v:stroke startarrow="block" startarrowwidth="narrow" endarrow="block" endarrowwidth="narrow"/>
                    </v:shape>
                  </w:pict>
                </mc:Fallback>
              </mc:AlternateContent>
            </w:r>
          </w:p>
          <w:p w:rsidR="00D03EAE" w:rsidRDefault="006065B0" w:rsidP="00D03EAE">
            <w:pPr>
              <w:pStyle w:val="standard"/>
              <w:widowControl w:val="0"/>
              <w:spacing w:before="40" w:after="20" w:line="240" w:lineRule="auto"/>
              <w:ind w:firstLine="0"/>
            </w:pPr>
            <w:r>
              <w:rPr>
                <w:noProof/>
              </w:rPr>
              <mc:AlternateContent>
                <mc:Choice Requires="wps">
                  <w:drawing>
                    <wp:anchor distT="0" distB="0" distL="114300" distR="114300" simplePos="0" relativeHeight="251697152" behindDoc="0" locked="0" layoutInCell="1" allowOverlap="1" wp14:anchorId="0B9888F8" wp14:editId="75CB3801">
                      <wp:simplePos x="0" y="0"/>
                      <wp:positionH relativeFrom="column">
                        <wp:posOffset>106045</wp:posOffset>
                      </wp:positionH>
                      <wp:positionV relativeFrom="paragraph">
                        <wp:posOffset>20955</wp:posOffset>
                      </wp:positionV>
                      <wp:extent cx="840740" cy="210185"/>
                      <wp:effectExtent l="0" t="0" r="16510" b="18415"/>
                      <wp:wrapNone/>
                      <wp:docPr id="301"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210185"/>
                              </a:xfrm>
                              <a:prstGeom prst="rect">
                                <a:avLst/>
                              </a:prstGeom>
                              <a:solidFill>
                                <a:srgbClr val="FFFFFF"/>
                              </a:solidFill>
                              <a:ln w="6350">
                                <a:solidFill>
                                  <a:srgbClr val="FFFFFF"/>
                                </a:solidFill>
                                <a:miter lim="800000"/>
                                <a:headEnd/>
                                <a:tailEnd/>
                              </a:ln>
                            </wps:spPr>
                            <wps:txbx>
                              <w:txbxContent>
                                <w:p w:rsidR="004D65A2" w:rsidRPr="00773197" w:rsidRDefault="004D65A2" w:rsidP="00ED39E6">
                                  <w:pPr>
                                    <w:jc w:val="center"/>
                                    <w:rPr>
                                      <w:sz w:val="18"/>
                                      <w:szCs w:val="18"/>
                                    </w:rPr>
                                  </w:pPr>
                                  <w:r>
                                    <w:rPr>
                                      <w:sz w:val="18"/>
                                      <w:szCs w:val="18"/>
                                    </w:rPr>
                                    <w:t>CATV 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8.35pt;margin-top:1.65pt;width:66.2pt;height:16.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" strokecolor="white" strokeweight=".5pt">
                      <v:textbox>
                        <w:txbxContent>
                          <w:p w:rsidR="004D65A2" w:rsidRPr="00773197" w:rsidRDefault="004D65A2" w:rsidP="00ED39E6">
                            <w:pPr>
                              <w:jc w:val="center"/>
                              <w:rPr>
                                <w:sz w:val="18"/>
                                <w:szCs w:val="18"/>
                              </w:rPr>
                            </w:pPr>
                            <w:r>
                              <w:rPr>
                                <w:sz w:val="18"/>
                                <w:szCs w:val="18"/>
                              </w:rPr>
                              <w:t>CATV Cable</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10307B1F" wp14:editId="2EF0185F">
                      <wp:simplePos x="0" y="0"/>
                      <wp:positionH relativeFrom="column">
                        <wp:posOffset>946785</wp:posOffset>
                      </wp:positionH>
                      <wp:positionV relativeFrom="paragraph">
                        <wp:posOffset>137795</wp:posOffset>
                      </wp:positionV>
                      <wp:extent cx="508000" cy="45085"/>
                      <wp:effectExtent l="0" t="38100" r="63500" b="88265"/>
                      <wp:wrapNone/>
                      <wp:docPr id="65" name="AutoShap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45719"/>
                              </a:xfrm>
                              <a:prstGeom prst="straightConnector1">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0" o:spid="_x0000_s1026" type="#_x0000_t32" style="position:absolute;margin-left:74.55pt;margin-top:10.85pt;width:40pt;height: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" strokeweight=".5pt">
                      <v:stroke endarrow="open" endarrowwidth="narrow" endarrowlength="short"/>
                    </v:shape>
                  </w:pict>
                </mc:Fallback>
              </mc:AlternateContent>
            </w:r>
            <w:r>
              <w:rPr>
                <w:noProof/>
              </w:rPr>
              <mc:AlternateContent>
                <mc:Choice Requires="wps">
                  <w:drawing>
                    <wp:anchor distT="0" distB="0" distL="114300" distR="114300" simplePos="0" relativeHeight="251621376" behindDoc="0" locked="0" layoutInCell="1" allowOverlap="1" wp14:anchorId="4BE3D29F" wp14:editId="7E13FCFE">
                      <wp:simplePos x="0" y="0"/>
                      <wp:positionH relativeFrom="column">
                        <wp:posOffset>1506855</wp:posOffset>
                      </wp:positionH>
                      <wp:positionV relativeFrom="paragraph">
                        <wp:posOffset>170815</wp:posOffset>
                      </wp:positionV>
                      <wp:extent cx="63500" cy="63500"/>
                      <wp:effectExtent l="0" t="0" r="12700" b="12700"/>
                      <wp:wrapNone/>
                      <wp:docPr id="30" name="Oval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5" o:spid="_x0000_s1026" style="position:absolute;margin-left:118.65pt;margin-top:13.45pt;width:5pt;height: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" fillcolor="black"/>
                  </w:pict>
                </mc:Fallback>
              </mc:AlternateContent>
            </w:r>
            <w:r w:rsidR="009C3295">
              <w:rPr>
                <w:noProof/>
              </w:rPr>
              <mc:AlternateContent>
                <mc:Choice Requires="wps">
                  <w:drawing>
                    <wp:anchor distT="0" distB="0" distL="114300" distR="114300" simplePos="0" relativeHeight="251693056" behindDoc="0" locked="0" layoutInCell="1" allowOverlap="1" wp14:anchorId="5FDD974E" wp14:editId="53026EEA">
                      <wp:simplePos x="0" y="0"/>
                      <wp:positionH relativeFrom="column">
                        <wp:posOffset>4027805</wp:posOffset>
                      </wp:positionH>
                      <wp:positionV relativeFrom="paragraph">
                        <wp:posOffset>158115</wp:posOffset>
                      </wp:positionV>
                      <wp:extent cx="1533525" cy="365760"/>
                      <wp:effectExtent l="0" t="0" r="28575" b="15240"/>
                      <wp:wrapNone/>
                      <wp:docPr id="31"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867" cy="365760"/>
                              </a:xfrm>
                              <a:prstGeom prst="rect">
                                <a:avLst/>
                              </a:prstGeom>
                              <a:solidFill>
                                <a:srgbClr val="FFFFFF"/>
                              </a:solidFill>
                              <a:ln w="6350">
                                <a:solidFill>
                                  <a:srgbClr val="FFFFFF"/>
                                </a:solidFill>
                                <a:miter lim="800000"/>
                                <a:headEnd/>
                                <a:tailEnd/>
                              </a:ln>
                            </wps:spPr>
                            <wps:txbx>
                              <w:txbxContent>
                                <w:p w:rsidR="004D65A2" w:rsidRPr="00773197" w:rsidRDefault="004D65A2" w:rsidP="004114C1">
                                  <w:pPr>
                                    <w:jc w:val="center"/>
                                    <w:rPr>
                                      <w:sz w:val="18"/>
                                      <w:szCs w:val="18"/>
                                    </w:rPr>
                                  </w:pPr>
                                  <w:r w:rsidRPr="00773197">
                                    <w:rPr>
                                      <w:sz w:val="18"/>
                                      <w:szCs w:val="18"/>
                                    </w:rPr>
                                    <w:t xml:space="preserve">1-Foot </w:t>
                                  </w:r>
                                  <w:r>
                                    <w:rPr>
                                      <w:sz w:val="18"/>
                                      <w:szCs w:val="18"/>
                                    </w:rPr>
                                    <w:t xml:space="preserve">Safety </w:t>
                                  </w:r>
                                  <w:r w:rsidRPr="00773197">
                                    <w:rPr>
                                      <w:sz w:val="18"/>
                                      <w:szCs w:val="18"/>
                                    </w:rPr>
                                    <w:t>Clearance</w:t>
                                  </w:r>
                                  <w:r>
                                    <w:rPr>
                                      <w:sz w:val="18"/>
                                      <w:szCs w:val="18"/>
                                    </w:rPr>
                                    <w:t xml:space="preserve"> for Communic. Conductor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317.15pt;margin-top:12.45pt;width:120.75pt;height:2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" strokecolor="white" strokeweight=".5pt">
                      <v:textbox>
                        <w:txbxContent>
                          <w:p w:rsidR="004D65A2" w:rsidRPr="00773197" w:rsidRDefault="004D65A2" w:rsidP="004114C1">
                            <w:pPr>
                              <w:jc w:val="center"/>
                              <w:rPr>
                                <w:sz w:val="18"/>
                                <w:szCs w:val="18"/>
                              </w:rPr>
                            </w:pPr>
                            <w:proofErr w:type="gramStart"/>
                            <w:r w:rsidRPr="00773197">
                              <w:rPr>
                                <w:sz w:val="18"/>
                                <w:szCs w:val="18"/>
                              </w:rPr>
                              <w:t xml:space="preserve">1-Foot </w:t>
                            </w:r>
                            <w:r>
                              <w:rPr>
                                <w:sz w:val="18"/>
                                <w:szCs w:val="18"/>
                              </w:rPr>
                              <w:t xml:space="preserve">Safety </w:t>
                            </w:r>
                            <w:r w:rsidRPr="00773197">
                              <w:rPr>
                                <w:sz w:val="18"/>
                                <w:szCs w:val="18"/>
                              </w:rPr>
                              <w:t>Clearance</w:t>
                            </w:r>
                            <w:r>
                              <w:rPr>
                                <w:sz w:val="18"/>
                                <w:szCs w:val="18"/>
                              </w:rPr>
                              <w:t xml:space="preserve"> for </w:t>
                            </w:r>
                            <w:proofErr w:type="spellStart"/>
                            <w:r>
                              <w:rPr>
                                <w:sz w:val="18"/>
                                <w:szCs w:val="18"/>
                              </w:rPr>
                              <w:t>Communic</w:t>
                            </w:r>
                            <w:proofErr w:type="spellEnd"/>
                            <w:r>
                              <w:rPr>
                                <w:sz w:val="18"/>
                                <w:szCs w:val="18"/>
                              </w:rPr>
                              <w:t>.</w:t>
                            </w:r>
                            <w:proofErr w:type="gramEnd"/>
                            <w:r>
                              <w:rPr>
                                <w:sz w:val="18"/>
                                <w:szCs w:val="18"/>
                              </w:rPr>
                              <w:t xml:space="preserve"> Conductor </w:t>
                            </w:r>
                          </w:p>
                        </w:txbxContent>
                      </v:textbox>
                    </v:shape>
                  </w:pict>
                </mc:Fallback>
              </mc:AlternateContent>
            </w:r>
            <w:r w:rsidR="00646951">
              <w:rPr>
                <w:noProof/>
              </w:rPr>
              <mc:AlternateContent>
                <mc:Choice Requires="wps">
                  <w:drawing>
                    <wp:anchor distT="0" distB="0" distL="114300" distR="114300" simplePos="0" relativeHeight="251627520" behindDoc="0" locked="0" layoutInCell="1" allowOverlap="1" wp14:anchorId="1F65F036" wp14:editId="24BCFBFE">
                      <wp:simplePos x="0" y="0"/>
                      <wp:positionH relativeFrom="column">
                        <wp:posOffset>1515110</wp:posOffset>
                      </wp:positionH>
                      <wp:positionV relativeFrom="paragraph">
                        <wp:posOffset>132080</wp:posOffset>
                      </wp:positionV>
                      <wp:extent cx="1764665" cy="2540"/>
                      <wp:effectExtent l="0" t="0" r="26035" b="35560"/>
                      <wp:wrapNone/>
                      <wp:docPr id="64" name="AutoShap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4665" cy="2540"/>
                              </a:xfrm>
                              <a:prstGeom prst="straightConnector1">
                                <a:avLst/>
                              </a:prstGeom>
                              <a:noFill/>
                              <a:ln w="25400" cmpd="dbl">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9" o:spid="_x0000_s1026" type="#_x0000_t32" style="position:absolute;margin-left:119.3pt;margin-top:10.4pt;width:138.95pt;height:.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" strokeweight="2pt">
                      <v:stroke dashstyle="1 1" linestyle="thinThin"/>
                    </v:shape>
                  </w:pict>
                </mc:Fallback>
              </mc:AlternateContent>
            </w:r>
          </w:p>
          <w:p w:rsidR="00D03EAE" w:rsidRDefault="00D03EAE" w:rsidP="00D03EAE">
            <w:pPr>
              <w:pStyle w:val="standard"/>
              <w:widowControl w:val="0"/>
              <w:spacing w:before="40" w:after="20" w:line="240" w:lineRule="auto"/>
              <w:ind w:firstLine="0"/>
            </w:pPr>
          </w:p>
          <w:p w:rsidR="00D03EAE" w:rsidRDefault="00D03EAE" w:rsidP="007B3791">
            <w:pPr>
              <w:pStyle w:val="StandardBullet"/>
              <w:numPr>
                <w:ilvl w:val="0"/>
                <w:numId w:val="0"/>
              </w:numPr>
            </w:pPr>
          </w:p>
        </w:tc>
      </w:tr>
      <w:tr w:rsidR="006D702B" w:rsidTr="00D03EAE">
        <w:trPr>
          <w:cantSplit/>
          <w:jc w:val="center"/>
        </w:trPr>
        <w:tc>
          <w:tcPr>
            <w:tcW w:w="9738" w:type="dxa"/>
            <w:shd w:val="clear" w:color="auto" w:fill="auto"/>
            <w:vAlign w:val="center"/>
          </w:tcPr>
          <w:p w:rsidR="006D702B" w:rsidRDefault="006D702B" w:rsidP="006D702B">
            <w:pPr>
              <w:pStyle w:val="standard"/>
              <w:keepNext/>
              <w:keepLines/>
              <w:widowControl w:val="0"/>
              <w:spacing w:before="60" w:after="20" w:line="240" w:lineRule="auto"/>
              <w:ind w:firstLine="0"/>
            </w:pPr>
            <w:r w:rsidRPr="005134B7">
              <w:rPr>
                <w:b/>
                <w:u w:val="single"/>
              </w:rPr>
              <w:t>GO 95 Safety Clearances</w:t>
            </w:r>
            <w:r>
              <w:t xml:space="preserve">: </w:t>
            </w:r>
          </w:p>
          <w:p w:rsidR="006D702B" w:rsidRPr="00B86435" w:rsidRDefault="006D702B" w:rsidP="00FF6200">
            <w:pPr>
              <w:pStyle w:val="StandardBullet"/>
              <w:tabs>
                <w:tab w:val="num" w:pos="711"/>
              </w:tabs>
              <w:spacing w:after="60"/>
              <w:ind w:left="711" w:hanging="365"/>
              <w:rPr>
                <w:sz w:val="24"/>
                <w:szCs w:val="24"/>
              </w:rPr>
            </w:pPr>
            <w:r w:rsidRPr="00B86435">
              <w:rPr>
                <w:sz w:val="24"/>
                <w:szCs w:val="24"/>
              </w:rPr>
              <w:t xml:space="preserve">Between CMRS antenna and </w:t>
            </w:r>
            <w:r w:rsidR="004F131D" w:rsidRPr="00B86435">
              <w:rPr>
                <w:sz w:val="24"/>
                <w:szCs w:val="24"/>
              </w:rPr>
              <w:t>CLEC</w:t>
            </w:r>
            <w:r w:rsidRPr="00B86435">
              <w:rPr>
                <w:sz w:val="24"/>
                <w:szCs w:val="24"/>
              </w:rPr>
              <w:t>/CATV communication conductor:  2 feet (Rule 38, Table 2, Case</w:t>
            </w:r>
            <w:r w:rsidR="00BF6605" w:rsidRPr="00B86435">
              <w:rPr>
                <w:sz w:val="24"/>
                <w:szCs w:val="24"/>
              </w:rPr>
              <w:t> </w:t>
            </w:r>
            <w:r w:rsidRPr="00B86435">
              <w:rPr>
                <w:sz w:val="24"/>
                <w:szCs w:val="24"/>
              </w:rPr>
              <w:t>21, Column C; Rule 94.4</w:t>
            </w:r>
            <w:r w:rsidR="00B86435" w:rsidRPr="00B86435">
              <w:rPr>
                <w:sz w:val="24"/>
                <w:szCs w:val="24"/>
              </w:rPr>
              <w:noBreakHyphen/>
            </w:r>
            <w:r w:rsidRPr="00B86435">
              <w:rPr>
                <w:sz w:val="24"/>
                <w:szCs w:val="24"/>
              </w:rPr>
              <w:t>B and Rule</w:t>
            </w:r>
            <w:r w:rsidR="008306CF" w:rsidRPr="00B86435">
              <w:rPr>
                <w:sz w:val="24"/>
                <w:szCs w:val="24"/>
              </w:rPr>
              <w:t> </w:t>
            </w:r>
            <w:r w:rsidRPr="00B86435">
              <w:rPr>
                <w:sz w:val="24"/>
                <w:szCs w:val="24"/>
              </w:rPr>
              <w:t>94.4</w:t>
            </w:r>
            <w:r w:rsidR="008306CF" w:rsidRPr="00B86435">
              <w:rPr>
                <w:sz w:val="24"/>
                <w:szCs w:val="24"/>
              </w:rPr>
              <w:noBreakHyphen/>
            </w:r>
            <w:r w:rsidRPr="00B86435">
              <w:rPr>
                <w:sz w:val="24"/>
                <w:szCs w:val="24"/>
              </w:rPr>
              <w:t>C)</w:t>
            </w:r>
          </w:p>
          <w:p w:rsidR="006D702B" w:rsidRPr="005134B7" w:rsidRDefault="006D702B" w:rsidP="00FF6200">
            <w:pPr>
              <w:pStyle w:val="StandardBullet"/>
              <w:tabs>
                <w:tab w:val="num" w:pos="711"/>
              </w:tabs>
              <w:ind w:left="711" w:hanging="360"/>
              <w:rPr>
                <w:b/>
              </w:rPr>
            </w:pPr>
            <w:r w:rsidRPr="00B86435">
              <w:rPr>
                <w:sz w:val="24"/>
                <w:szCs w:val="24"/>
              </w:rPr>
              <w:t xml:space="preserve">Between </w:t>
            </w:r>
            <w:r w:rsidR="004F131D" w:rsidRPr="00B86435">
              <w:rPr>
                <w:sz w:val="24"/>
                <w:szCs w:val="24"/>
              </w:rPr>
              <w:t>CLEC</w:t>
            </w:r>
            <w:r w:rsidRPr="00B86435">
              <w:rPr>
                <w:sz w:val="24"/>
                <w:szCs w:val="24"/>
              </w:rPr>
              <w:t xml:space="preserve"> and CATV communication conductors attached to the pole:  1 foot (Rule 84.4-C(2), Rule 87.4, and Rule 92.1-B)</w:t>
            </w:r>
          </w:p>
        </w:tc>
      </w:tr>
    </w:tbl>
    <w:p w:rsidR="00D03EAE" w:rsidRDefault="00D03EAE" w:rsidP="00D03EAE">
      <w:pPr>
        <w:pStyle w:val="standard"/>
        <w:spacing w:line="240" w:lineRule="auto"/>
      </w:pPr>
    </w:p>
    <w:p w:rsidR="00187EFA" w:rsidRDefault="005A1000" w:rsidP="00187EFA">
      <w:pPr>
        <w:pStyle w:val="standard"/>
      </w:pPr>
      <w:r>
        <w:t xml:space="preserve">In </w:t>
      </w:r>
      <w:r w:rsidR="000E3E59">
        <w:t xml:space="preserve">Figure 5, above, </w:t>
      </w:r>
      <w:r>
        <w:t>a 4-foot panel antenna is attached to a pole with a 2</w:t>
      </w:r>
      <w:r>
        <w:noBreakHyphen/>
        <w:t xml:space="preserve">foot bracket.  The total pole space </w:t>
      </w:r>
      <w:r w:rsidR="00ED0345">
        <w:t>used</w:t>
      </w:r>
      <w:r>
        <w:t xml:space="preserve"> by the antenna and its associated safety clearances is 8 feet</w:t>
      </w:r>
      <w:r w:rsidR="008F58E8">
        <w:t xml:space="preserve">, consisting of </w:t>
      </w:r>
      <w:r>
        <w:t>4 feet for the antenna</w:t>
      </w:r>
      <w:r w:rsidR="005C70A1">
        <w:t xml:space="preserve"> itself</w:t>
      </w:r>
      <w:r>
        <w:t xml:space="preserve">, 2 feet for the safety clearance above the antenna, and 2 feet for the safety clearance below the antenna.  </w:t>
      </w:r>
      <w:r w:rsidR="00A92FEB">
        <w:t xml:space="preserve">No </w:t>
      </w:r>
      <w:r w:rsidR="00F725B9">
        <w:t xml:space="preserve">communication conductors or supply conductors </w:t>
      </w:r>
      <w:r w:rsidR="00A92FEB">
        <w:t>can be placed in this 8</w:t>
      </w:r>
      <w:r w:rsidR="00F725B9">
        <w:noBreakHyphen/>
      </w:r>
      <w:r w:rsidR="00A92FEB">
        <w:t xml:space="preserve">feet of pole space.  </w:t>
      </w:r>
      <w:r w:rsidR="000E3E59">
        <w:t xml:space="preserve">Figure 5 also shows that </w:t>
      </w:r>
      <w:r w:rsidR="00294F70">
        <w:t xml:space="preserve">a communication conductor (e.g., a </w:t>
      </w:r>
      <w:r w:rsidR="004F131D">
        <w:t>CLEC</w:t>
      </w:r>
      <w:r w:rsidR="00ED0345">
        <w:t xml:space="preserve"> cable </w:t>
      </w:r>
      <w:r w:rsidR="00A92FEB">
        <w:t xml:space="preserve">or </w:t>
      </w:r>
      <w:r w:rsidR="00294F70">
        <w:t xml:space="preserve">CATV cable) can be placed at the top </w:t>
      </w:r>
      <w:r w:rsidR="003A10F4">
        <w:t>edge</w:t>
      </w:r>
      <w:r w:rsidR="00294F70">
        <w:t xml:space="preserve"> of the pole </w:t>
      </w:r>
      <w:r w:rsidR="00294F70">
        <w:lastRenderedPageBreak/>
        <w:t xml:space="preserve">space </w:t>
      </w:r>
      <w:r w:rsidR="00187EFA">
        <w:t>used</w:t>
      </w:r>
      <w:r w:rsidR="00294F70">
        <w:t xml:space="preserve"> by the CMRS antenna</w:t>
      </w:r>
      <w:r w:rsidR="00C3066E">
        <w:t xml:space="preserve"> and at the bottom edge</w:t>
      </w:r>
      <w:r w:rsidR="00294F70">
        <w:t xml:space="preserve">.  Each communication conductor has </w:t>
      </w:r>
      <w:r w:rsidR="000E3E59">
        <w:t xml:space="preserve">a </w:t>
      </w:r>
      <w:r w:rsidR="00294F70">
        <w:t>1</w:t>
      </w:r>
      <w:r w:rsidR="000E3E59">
        <w:t>-</w:t>
      </w:r>
      <w:r w:rsidR="00294F70">
        <w:t>foot safety clearance that extend</w:t>
      </w:r>
      <w:r w:rsidR="00EB6744">
        <w:t>s</w:t>
      </w:r>
      <w:r w:rsidR="00294F70">
        <w:t xml:space="preserve"> into the pole space </w:t>
      </w:r>
      <w:r w:rsidR="00187EFA">
        <w:t>used</w:t>
      </w:r>
      <w:r w:rsidR="00294F70">
        <w:t xml:space="preserve"> by the</w:t>
      </w:r>
      <w:r w:rsidR="005C70A1">
        <w:t xml:space="preserve"> safety clearances for the </w:t>
      </w:r>
      <w:r w:rsidR="00294F70">
        <w:t xml:space="preserve">CMRS antenna.  </w:t>
      </w:r>
    </w:p>
    <w:p w:rsidR="00294F70" w:rsidRDefault="00187EFA" w:rsidP="005C70A1">
      <w:pPr>
        <w:pStyle w:val="standard"/>
        <w:spacing w:after="120"/>
      </w:pPr>
      <w:r>
        <w:t>T</w:t>
      </w:r>
      <w:r w:rsidR="00294F70">
        <w:t>he net a</w:t>
      </w:r>
      <w:r w:rsidR="00693EAD">
        <w:t xml:space="preserve">mount </w:t>
      </w:r>
      <w:r w:rsidR="00294F70">
        <w:t xml:space="preserve">of pole space that is rendered </w:t>
      </w:r>
      <w:r w:rsidR="003A10F4">
        <w:t>unusable</w:t>
      </w:r>
      <w:r w:rsidR="00294F70">
        <w:t xml:space="preserve"> by the CMRS antenna for </w:t>
      </w:r>
      <w:r w:rsidR="009B60E2">
        <w:t>non</w:t>
      </w:r>
      <w:r w:rsidR="009B60E2">
        <w:noBreakHyphen/>
        <w:t>CMRS</w:t>
      </w:r>
      <w:r w:rsidR="00C3066E">
        <w:t xml:space="preserve"> </w:t>
      </w:r>
      <w:r w:rsidR="00294F70">
        <w:t xml:space="preserve">attachments </w:t>
      </w:r>
      <w:r w:rsidR="00693EAD">
        <w:t>is 6</w:t>
      </w:r>
      <w:r w:rsidR="000B70C4">
        <w:t> </w:t>
      </w:r>
      <w:r w:rsidR="00693EAD">
        <w:t>feet</w:t>
      </w:r>
      <w:r w:rsidR="00C3066E">
        <w:t>,</w:t>
      </w:r>
      <w:r w:rsidR="00693EAD">
        <w:t xml:space="preserve"> calculated as follow: </w:t>
      </w:r>
      <w:r w:rsidR="00294F70">
        <w:t xml:space="preserve"> </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6"/>
        <w:gridCol w:w="1668"/>
      </w:tblGrid>
      <w:tr w:rsidR="00693EAD" w:rsidRPr="005776A0" w:rsidTr="009B60E2">
        <w:trPr>
          <w:cantSplit/>
          <w:tblHeader/>
          <w:jc w:val="center"/>
        </w:trPr>
        <w:tc>
          <w:tcPr>
            <w:tcW w:w="7676" w:type="dxa"/>
            <w:shd w:val="pct10" w:color="auto" w:fill="auto"/>
            <w:vAlign w:val="center"/>
          </w:tcPr>
          <w:p w:rsidR="00693EAD" w:rsidRPr="005776A0" w:rsidRDefault="00A92FEB" w:rsidP="00187EFA">
            <w:pPr>
              <w:pStyle w:val="standard"/>
              <w:keepNext/>
              <w:widowControl w:val="0"/>
              <w:spacing w:before="40" w:after="40" w:line="240" w:lineRule="auto"/>
              <w:ind w:firstLine="0"/>
              <w:jc w:val="center"/>
              <w:rPr>
                <w:b/>
              </w:rPr>
            </w:pPr>
            <w:r>
              <w:rPr>
                <w:b/>
              </w:rPr>
              <w:t xml:space="preserve">Net </w:t>
            </w:r>
            <w:r w:rsidR="00693EAD" w:rsidRPr="005776A0">
              <w:rPr>
                <w:b/>
              </w:rPr>
              <w:t>Pole Space</w:t>
            </w:r>
            <w:r w:rsidR="000E3E59">
              <w:rPr>
                <w:b/>
              </w:rPr>
              <w:t xml:space="preserve"> </w:t>
            </w:r>
            <w:r w:rsidR="00187EFA">
              <w:rPr>
                <w:b/>
              </w:rPr>
              <w:t>Occupied</w:t>
            </w:r>
            <w:r w:rsidR="000E3E59">
              <w:rPr>
                <w:b/>
              </w:rPr>
              <w:t xml:space="preserve"> by C</w:t>
            </w:r>
            <w:r w:rsidR="005C70A1">
              <w:rPr>
                <w:b/>
              </w:rPr>
              <w:t>M</w:t>
            </w:r>
            <w:r w:rsidR="000E3E59">
              <w:rPr>
                <w:b/>
              </w:rPr>
              <w:t>RS Antenna</w:t>
            </w:r>
          </w:p>
        </w:tc>
        <w:tc>
          <w:tcPr>
            <w:tcW w:w="1668" w:type="dxa"/>
            <w:shd w:val="pct10" w:color="auto" w:fill="auto"/>
            <w:vAlign w:val="center"/>
          </w:tcPr>
          <w:p w:rsidR="00693EAD" w:rsidRPr="005776A0" w:rsidRDefault="00693EAD" w:rsidP="005776A0">
            <w:pPr>
              <w:pStyle w:val="standard"/>
              <w:keepNext/>
              <w:widowControl w:val="0"/>
              <w:spacing w:before="40" w:after="40" w:line="240" w:lineRule="auto"/>
              <w:ind w:firstLine="0"/>
              <w:jc w:val="center"/>
              <w:rPr>
                <w:b/>
              </w:rPr>
            </w:pPr>
            <w:r w:rsidRPr="005776A0">
              <w:rPr>
                <w:b/>
              </w:rPr>
              <w:t>Feet Used</w:t>
            </w:r>
          </w:p>
        </w:tc>
      </w:tr>
      <w:tr w:rsidR="00693EAD" w:rsidTr="009B60E2">
        <w:trPr>
          <w:jc w:val="center"/>
        </w:trPr>
        <w:tc>
          <w:tcPr>
            <w:tcW w:w="7676" w:type="dxa"/>
            <w:shd w:val="clear" w:color="auto" w:fill="auto"/>
            <w:vAlign w:val="center"/>
          </w:tcPr>
          <w:p w:rsidR="00693EAD" w:rsidRDefault="00693EAD" w:rsidP="000E3E59">
            <w:pPr>
              <w:pStyle w:val="standard"/>
              <w:keepNext/>
              <w:widowControl w:val="0"/>
              <w:spacing w:before="40" w:after="40" w:line="240" w:lineRule="auto"/>
              <w:ind w:firstLine="0"/>
            </w:pPr>
            <w:r>
              <w:t xml:space="preserve">4-Foot </w:t>
            </w:r>
            <w:r w:rsidR="000E3E59">
              <w:t xml:space="preserve">Panel </w:t>
            </w:r>
            <w:r>
              <w:t xml:space="preserve">Antenna </w:t>
            </w:r>
          </w:p>
        </w:tc>
        <w:tc>
          <w:tcPr>
            <w:tcW w:w="1668" w:type="dxa"/>
            <w:shd w:val="clear" w:color="auto" w:fill="auto"/>
            <w:vAlign w:val="center"/>
          </w:tcPr>
          <w:p w:rsidR="00693EAD" w:rsidRDefault="000E3E59" w:rsidP="005776A0">
            <w:pPr>
              <w:pStyle w:val="standard"/>
              <w:keepNext/>
              <w:widowControl w:val="0"/>
              <w:spacing w:before="40" w:after="40" w:line="240" w:lineRule="auto"/>
              <w:ind w:right="553" w:firstLine="0"/>
              <w:jc w:val="right"/>
            </w:pPr>
            <w:r>
              <w:t>4</w:t>
            </w:r>
            <w:r w:rsidR="00693EAD">
              <w:t xml:space="preserve"> feet</w:t>
            </w:r>
          </w:p>
        </w:tc>
      </w:tr>
      <w:tr w:rsidR="000E3E59" w:rsidTr="009B60E2">
        <w:trPr>
          <w:jc w:val="center"/>
        </w:trPr>
        <w:tc>
          <w:tcPr>
            <w:tcW w:w="7676" w:type="dxa"/>
            <w:shd w:val="clear" w:color="auto" w:fill="auto"/>
            <w:vAlign w:val="center"/>
          </w:tcPr>
          <w:p w:rsidR="000E3E59" w:rsidRDefault="000E3E59" w:rsidP="005776A0">
            <w:pPr>
              <w:pStyle w:val="standard"/>
              <w:keepNext/>
              <w:widowControl w:val="0"/>
              <w:spacing w:before="40" w:after="40" w:line="240" w:lineRule="auto"/>
              <w:ind w:firstLine="0"/>
            </w:pPr>
            <w:r>
              <w:t>Safety Clearance:  2 Feet Above Antenna</w:t>
            </w:r>
          </w:p>
        </w:tc>
        <w:tc>
          <w:tcPr>
            <w:tcW w:w="1668" w:type="dxa"/>
            <w:shd w:val="clear" w:color="auto" w:fill="auto"/>
            <w:vAlign w:val="center"/>
          </w:tcPr>
          <w:p w:rsidR="000E3E59" w:rsidRDefault="000E3E59" w:rsidP="005776A0">
            <w:pPr>
              <w:pStyle w:val="standard"/>
              <w:keepNext/>
              <w:widowControl w:val="0"/>
              <w:spacing w:before="40" w:after="40" w:line="240" w:lineRule="auto"/>
              <w:ind w:right="553" w:firstLine="0"/>
              <w:jc w:val="right"/>
            </w:pPr>
            <w:r>
              <w:t>2 feet</w:t>
            </w:r>
          </w:p>
        </w:tc>
      </w:tr>
      <w:tr w:rsidR="000E3E59" w:rsidTr="009B60E2">
        <w:trPr>
          <w:jc w:val="center"/>
        </w:trPr>
        <w:tc>
          <w:tcPr>
            <w:tcW w:w="7676" w:type="dxa"/>
            <w:shd w:val="clear" w:color="auto" w:fill="auto"/>
            <w:vAlign w:val="center"/>
          </w:tcPr>
          <w:p w:rsidR="000E3E59" w:rsidRDefault="000E3E59" w:rsidP="005776A0">
            <w:pPr>
              <w:pStyle w:val="standard"/>
              <w:keepNext/>
              <w:widowControl w:val="0"/>
              <w:spacing w:before="40" w:after="40" w:line="240" w:lineRule="auto"/>
              <w:ind w:firstLine="0"/>
            </w:pPr>
            <w:r>
              <w:t>Safety Clearance:  2 Feet Below Antenna</w:t>
            </w:r>
          </w:p>
        </w:tc>
        <w:tc>
          <w:tcPr>
            <w:tcW w:w="1668" w:type="dxa"/>
            <w:shd w:val="clear" w:color="auto" w:fill="auto"/>
            <w:vAlign w:val="center"/>
          </w:tcPr>
          <w:p w:rsidR="000E3E59" w:rsidRDefault="000E3E59" w:rsidP="005776A0">
            <w:pPr>
              <w:pStyle w:val="standard"/>
              <w:keepNext/>
              <w:widowControl w:val="0"/>
              <w:spacing w:before="40" w:after="40" w:line="240" w:lineRule="auto"/>
              <w:ind w:right="553" w:firstLine="0"/>
              <w:jc w:val="right"/>
            </w:pPr>
            <w:r>
              <w:t>2 feet</w:t>
            </w:r>
          </w:p>
        </w:tc>
      </w:tr>
      <w:tr w:rsidR="000E3E59" w:rsidTr="009B60E2">
        <w:trPr>
          <w:jc w:val="center"/>
        </w:trPr>
        <w:tc>
          <w:tcPr>
            <w:tcW w:w="7676" w:type="dxa"/>
            <w:shd w:val="clear" w:color="auto" w:fill="auto"/>
            <w:vAlign w:val="center"/>
          </w:tcPr>
          <w:p w:rsidR="000E3E59" w:rsidRDefault="000E3E59" w:rsidP="000E3E59">
            <w:pPr>
              <w:pStyle w:val="standard"/>
              <w:keepNext/>
              <w:widowControl w:val="0"/>
              <w:spacing w:before="40" w:after="40" w:line="240" w:lineRule="auto"/>
              <w:ind w:firstLine="0"/>
            </w:pPr>
            <w:r>
              <w:t>Subtotal:  Pole Space Used by Antenna</w:t>
            </w:r>
          </w:p>
        </w:tc>
        <w:tc>
          <w:tcPr>
            <w:tcW w:w="1668" w:type="dxa"/>
            <w:shd w:val="clear" w:color="auto" w:fill="auto"/>
            <w:vAlign w:val="center"/>
          </w:tcPr>
          <w:p w:rsidR="000E3E59" w:rsidRPr="000E3E59" w:rsidRDefault="000E3E59" w:rsidP="005776A0">
            <w:pPr>
              <w:pStyle w:val="standard"/>
              <w:keepNext/>
              <w:widowControl w:val="0"/>
              <w:spacing w:before="40" w:after="40" w:line="240" w:lineRule="auto"/>
              <w:ind w:right="553" w:firstLine="0"/>
              <w:jc w:val="right"/>
              <w:rPr>
                <w:b/>
              </w:rPr>
            </w:pPr>
            <w:r w:rsidRPr="000E3E59">
              <w:rPr>
                <w:b/>
              </w:rPr>
              <w:t>8 feet</w:t>
            </w:r>
          </w:p>
        </w:tc>
      </w:tr>
      <w:tr w:rsidR="00693EAD" w:rsidTr="009B60E2">
        <w:trPr>
          <w:jc w:val="center"/>
        </w:trPr>
        <w:tc>
          <w:tcPr>
            <w:tcW w:w="7676" w:type="dxa"/>
            <w:shd w:val="clear" w:color="auto" w:fill="auto"/>
            <w:vAlign w:val="center"/>
          </w:tcPr>
          <w:p w:rsidR="00693EAD" w:rsidRDefault="00693EAD" w:rsidP="005776A0">
            <w:pPr>
              <w:pStyle w:val="standard"/>
              <w:keepNext/>
              <w:widowControl w:val="0"/>
              <w:spacing w:before="40" w:after="40" w:line="240" w:lineRule="auto"/>
              <w:ind w:firstLine="0"/>
            </w:pPr>
            <w:r>
              <w:t xml:space="preserve">Less:  1 </w:t>
            </w:r>
            <w:r w:rsidR="00C3066E">
              <w:t>F</w:t>
            </w:r>
            <w:r>
              <w:t>oot Safety Clearance for Upper Comm. Conductor</w:t>
            </w:r>
          </w:p>
        </w:tc>
        <w:tc>
          <w:tcPr>
            <w:tcW w:w="1668" w:type="dxa"/>
            <w:shd w:val="clear" w:color="auto" w:fill="auto"/>
            <w:vAlign w:val="center"/>
          </w:tcPr>
          <w:p w:rsidR="00693EAD" w:rsidRDefault="00693EAD" w:rsidP="005776A0">
            <w:pPr>
              <w:pStyle w:val="standard"/>
              <w:keepNext/>
              <w:widowControl w:val="0"/>
              <w:spacing w:before="40" w:after="40" w:line="240" w:lineRule="auto"/>
              <w:ind w:right="553" w:firstLine="0"/>
              <w:jc w:val="right"/>
            </w:pPr>
            <w:r>
              <w:t>-1 foot</w:t>
            </w:r>
          </w:p>
        </w:tc>
      </w:tr>
      <w:tr w:rsidR="00693EAD" w:rsidTr="009B60E2">
        <w:trPr>
          <w:jc w:val="center"/>
        </w:trPr>
        <w:tc>
          <w:tcPr>
            <w:tcW w:w="7676" w:type="dxa"/>
            <w:shd w:val="clear" w:color="auto" w:fill="auto"/>
            <w:vAlign w:val="center"/>
          </w:tcPr>
          <w:p w:rsidR="00693EAD" w:rsidRDefault="00693EAD" w:rsidP="005776A0">
            <w:pPr>
              <w:pStyle w:val="standard"/>
              <w:keepNext/>
              <w:widowControl w:val="0"/>
              <w:spacing w:before="40" w:after="40" w:line="240" w:lineRule="auto"/>
              <w:ind w:firstLine="0"/>
            </w:pPr>
            <w:r>
              <w:t xml:space="preserve">Less:  1 </w:t>
            </w:r>
            <w:r w:rsidR="00C3066E">
              <w:t>F</w:t>
            </w:r>
            <w:r>
              <w:t xml:space="preserve">oot Safety Clearance for </w:t>
            </w:r>
            <w:r w:rsidR="00C3066E">
              <w:t>Lower</w:t>
            </w:r>
            <w:r>
              <w:t xml:space="preserve"> Comm. Conductor</w:t>
            </w:r>
          </w:p>
        </w:tc>
        <w:tc>
          <w:tcPr>
            <w:tcW w:w="1668" w:type="dxa"/>
            <w:shd w:val="clear" w:color="auto" w:fill="auto"/>
            <w:vAlign w:val="center"/>
          </w:tcPr>
          <w:p w:rsidR="00693EAD" w:rsidRDefault="00C3066E" w:rsidP="005776A0">
            <w:pPr>
              <w:pStyle w:val="standard"/>
              <w:keepNext/>
              <w:widowControl w:val="0"/>
              <w:spacing w:before="40" w:after="40" w:line="240" w:lineRule="auto"/>
              <w:ind w:right="553" w:firstLine="0"/>
              <w:jc w:val="right"/>
            </w:pPr>
            <w:r>
              <w:t>-1 foot</w:t>
            </w:r>
          </w:p>
        </w:tc>
      </w:tr>
      <w:tr w:rsidR="00693EAD" w:rsidTr="009B60E2">
        <w:trPr>
          <w:jc w:val="center"/>
        </w:trPr>
        <w:tc>
          <w:tcPr>
            <w:tcW w:w="7676" w:type="dxa"/>
            <w:shd w:val="clear" w:color="auto" w:fill="auto"/>
            <w:vAlign w:val="center"/>
          </w:tcPr>
          <w:p w:rsidR="00693EAD" w:rsidRDefault="00C3066E" w:rsidP="000C3BBD">
            <w:pPr>
              <w:pStyle w:val="standard"/>
              <w:widowControl w:val="0"/>
              <w:spacing w:before="40" w:after="40" w:line="240" w:lineRule="auto"/>
              <w:ind w:left="288" w:hanging="288"/>
            </w:pPr>
            <w:r w:rsidRPr="005C70A1">
              <w:rPr>
                <w:b/>
              </w:rPr>
              <w:t>=</w:t>
            </w:r>
            <w:r>
              <w:t xml:space="preserve">  </w:t>
            </w:r>
            <w:r w:rsidRPr="009B60E2">
              <w:rPr>
                <w:sz w:val="24"/>
                <w:szCs w:val="24"/>
              </w:rPr>
              <w:t xml:space="preserve">Net Pole Space Rendered Unusable </w:t>
            </w:r>
            <w:r w:rsidR="005C70A1" w:rsidRPr="009B60E2">
              <w:rPr>
                <w:sz w:val="24"/>
                <w:szCs w:val="24"/>
              </w:rPr>
              <w:t xml:space="preserve">for </w:t>
            </w:r>
            <w:r w:rsidR="009B60E2" w:rsidRPr="009B60E2">
              <w:rPr>
                <w:sz w:val="24"/>
                <w:szCs w:val="24"/>
              </w:rPr>
              <w:t>non</w:t>
            </w:r>
            <w:r w:rsidR="009B60E2" w:rsidRPr="009B60E2">
              <w:rPr>
                <w:sz w:val="24"/>
                <w:szCs w:val="24"/>
              </w:rPr>
              <w:noBreakHyphen/>
              <w:t>CMRS</w:t>
            </w:r>
            <w:r w:rsidR="005C70A1" w:rsidRPr="009B60E2">
              <w:rPr>
                <w:sz w:val="24"/>
                <w:szCs w:val="24"/>
              </w:rPr>
              <w:t xml:space="preserve"> Attachments</w:t>
            </w:r>
          </w:p>
        </w:tc>
        <w:tc>
          <w:tcPr>
            <w:tcW w:w="1668" w:type="dxa"/>
            <w:shd w:val="clear" w:color="auto" w:fill="auto"/>
            <w:vAlign w:val="center"/>
          </w:tcPr>
          <w:p w:rsidR="00693EAD" w:rsidRDefault="00C3066E" w:rsidP="005776A0">
            <w:pPr>
              <w:pStyle w:val="standard"/>
              <w:widowControl w:val="0"/>
              <w:spacing w:before="40" w:after="40" w:line="240" w:lineRule="auto"/>
              <w:ind w:right="553" w:firstLine="0"/>
              <w:jc w:val="right"/>
            </w:pPr>
            <w:r>
              <w:t xml:space="preserve">= </w:t>
            </w:r>
            <w:r w:rsidRPr="000E3E59">
              <w:rPr>
                <w:b/>
              </w:rPr>
              <w:t>6 feet</w:t>
            </w:r>
          </w:p>
        </w:tc>
      </w:tr>
    </w:tbl>
    <w:p w:rsidR="00693EAD" w:rsidRDefault="00693EAD" w:rsidP="00C3066E">
      <w:pPr>
        <w:pStyle w:val="standard"/>
        <w:spacing w:line="240" w:lineRule="auto"/>
      </w:pPr>
    </w:p>
    <w:p w:rsidR="00F838A3" w:rsidRDefault="00187EFA" w:rsidP="00485E80">
      <w:pPr>
        <w:pStyle w:val="standard"/>
      </w:pPr>
      <w:r>
        <w:t>In the above example, the annu</w:t>
      </w:r>
      <w:r w:rsidR="00450DA4">
        <w:t>a</w:t>
      </w:r>
      <w:r>
        <w:t xml:space="preserve">l pole-attachment </w:t>
      </w:r>
      <w:r w:rsidR="008306CF">
        <w:t xml:space="preserve">fee </w:t>
      </w:r>
      <w:r>
        <w:t>applicable to the CMRS</w:t>
      </w:r>
      <w:r w:rsidR="00D74D2B">
        <w:t> </w:t>
      </w:r>
      <w:r>
        <w:t xml:space="preserve">antenna pursuant to today’s decision </w:t>
      </w:r>
      <w:r w:rsidR="00EB6744">
        <w:t>is</w:t>
      </w:r>
      <w:r>
        <w:t xml:space="preserve"> 44.4% (6 feet x 7.4%) </w:t>
      </w:r>
      <w:r w:rsidR="000C34E6">
        <w:t xml:space="preserve">of </w:t>
      </w:r>
      <w:r>
        <w:t xml:space="preserve">the pole owner’s </w:t>
      </w:r>
      <w:r w:rsidR="00EB6744">
        <w:t xml:space="preserve">annual </w:t>
      </w:r>
      <w:r>
        <w:t>cost-of-ownership</w:t>
      </w:r>
      <w:r w:rsidR="00D334D0">
        <w:t xml:space="preserve"> for the pole</w:t>
      </w:r>
      <w:r>
        <w:t xml:space="preserve">. </w:t>
      </w:r>
      <w:r w:rsidR="00EB6744">
        <w:t xml:space="preserve"> </w:t>
      </w:r>
      <w:r w:rsidR="00C1758D">
        <w:t>Appendix</w:t>
      </w:r>
      <w:r w:rsidR="00F725B9">
        <w:t> </w:t>
      </w:r>
      <w:r w:rsidR="00F838A3">
        <w:t xml:space="preserve">D of today’s decision contains additional examples of the pole space occupied by CMRS attachments that is subject to the 7.4% </w:t>
      </w:r>
      <w:r w:rsidR="002F75D0">
        <w:t xml:space="preserve">per-foot </w:t>
      </w:r>
      <w:r w:rsidR="00F838A3">
        <w:t xml:space="preserve">fee.  </w:t>
      </w:r>
    </w:p>
    <w:p w:rsidR="00485E80" w:rsidRDefault="00D334D0" w:rsidP="00485E80">
      <w:pPr>
        <w:pStyle w:val="standard"/>
      </w:pPr>
      <w:r>
        <w:t xml:space="preserve">Today’s decision applies </w:t>
      </w:r>
      <w:r w:rsidR="008A125D">
        <w:t xml:space="preserve">the 7.4% per-foot fee to </w:t>
      </w:r>
      <w:r w:rsidR="005D7167">
        <w:t>the</w:t>
      </w:r>
      <w:r w:rsidR="008A125D">
        <w:t xml:space="preserve"> pole space </w:t>
      </w:r>
      <w:r w:rsidR="005D7167">
        <w:t xml:space="preserve">that </w:t>
      </w:r>
      <w:r w:rsidR="008A125D">
        <w:t xml:space="preserve">is </w:t>
      </w:r>
      <w:r w:rsidR="00485E80">
        <w:t xml:space="preserve">dedicated </w:t>
      </w:r>
      <w:r w:rsidR="00044DE4">
        <w:t>exclusively</w:t>
      </w:r>
      <w:r w:rsidR="00485E80">
        <w:t xml:space="preserve"> to a CMRS attachment.  </w:t>
      </w:r>
      <w:r w:rsidR="005D7167">
        <w:t>Th</w:t>
      </w:r>
      <w:r w:rsidR="00F725B9">
        <w:t>is</w:t>
      </w:r>
      <w:r w:rsidR="005D7167">
        <w:t xml:space="preserve"> </w:t>
      </w:r>
      <w:r w:rsidR="00912AAC">
        <w:t xml:space="preserve">is </w:t>
      </w:r>
      <w:r w:rsidR="00F725B9">
        <w:t xml:space="preserve">a </w:t>
      </w:r>
      <w:r w:rsidR="00912AAC">
        <w:t>reasonable</w:t>
      </w:r>
      <w:r w:rsidR="00F725B9">
        <w:t xml:space="preserve"> </w:t>
      </w:r>
      <w:r w:rsidR="00912AAC">
        <w:t xml:space="preserve">because it </w:t>
      </w:r>
      <w:r w:rsidR="005D7167">
        <w:t xml:space="preserve">requires CMRS carriers to pay for </w:t>
      </w:r>
      <w:r w:rsidR="00912AAC">
        <w:t xml:space="preserve">the </w:t>
      </w:r>
      <w:r w:rsidR="005D7167">
        <w:t xml:space="preserve">pole space that their </w:t>
      </w:r>
      <w:r w:rsidR="00912AAC">
        <w:t>attachments render</w:t>
      </w:r>
      <w:r w:rsidR="005D7167">
        <w:t xml:space="preserve"> unusable for </w:t>
      </w:r>
      <w:r w:rsidR="009B60E2">
        <w:t>non</w:t>
      </w:r>
      <w:r w:rsidR="009B60E2">
        <w:noBreakHyphen/>
        <w:t>CMRS</w:t>
      </w:r>
      <w:r w:rsidR="005D7167">
        <w:t xml:space="preserve"> attachments</w:t>
      </w:r>
      <w:r w:rsidR="00912AAC">
        <w:t xml:space="preserve">; and it </w:t>
      </w:r>
      <w:r w:rsidR="005D7167">
        <w:t>ensu</w:t>
      </w:r>
      <w:r w:rsidR="00912AAC">
        <w:t>r</w:t>
      </w:r>
      <w:r w:rsidR="005D7167">
        <w:t xml:space="preserve">es that </w:t>
      </w:r>
      <w:r w:rsidR="00485E80">
        <w:t xml:space="preserve">pole owners (and their customers) </w:t>
      </w:r>
      <w:r w:rsidR="00912AAC">
        <w:t xml:space="preserve">do not bear </w:t>
      </w:r>
      <w:r w:rsidR="00485E80">
        <w:t xml:space="preserve">the cost-of-ownership for pole space that is </w:t>
      </w:r>
      <w:r w:rsidR="00912AAC">
        <w:t>dedicated</w:t>
      </w:r>
      <w:r w:rsidR="00485E80">
        <w:t xml:space="preserve"> solely </w:t>
      </w:r>
      <w:r w:rsidR="00912AAC">
        <w:t>to</w:t>
      </w:r>
      <w:r w:rsidR="00485E80">
        <w:t xml:space="preserve"> CMRS attachments.  </w:t>
      </w:r>
    </w:p>
    <w:p w:rsidR="00294F70" w:rsidRDefault="00D671C9" w:rsidP="005A1000">
      <w:pPr>
        <w:pStyle w:val="standard"/>
      </w:pPr>
      <w:r>
        <w:t>AT&amp;T Mobility and other</w:t>
      </w:r>
      <w:r w:rsidR="00DE2689">
        <w:t xml:space="preserve"> </w:t>
      </w:r>
      <w:r w:rsidR="003A10F4">
        <w:t>Opponents</w:t>
      </w:r>
      <w:r w:rsidR="00DE2689">
        <w:t xml:space="preserve"> argue unpersuasively </w:t>
      </w:r>
      <w:r w:rsidR="006F665D">
        <w:t xml:space="preserve">that it is discriminatory to </w:t>
      </w:r>
      <w:r w:rsidR="00F725B9">
        <w:t>apply</w:t>
      </w:r>
      <w:r w:rsidR="006F665D">
        <w:t xml:space="preserve"> the 7.4% fee </w:t>
      </w:r>
      <w:r w:rsidR="00F725B9">
        <w:t>to</w:t>
      </w:r>
      <w:r w:rsidR="006F665D">
        <w:t xml:space="preserve"> the pole space rendered </w:t>
      </w:r>
      <w:r w:rsidR="003A10F4">
        <w:t>unusable</w:t>
      </w:r>
      <w:r w:rsidR="006F665D">
        <w:t xml:space="preserve"> by the </w:t>
      </w:r>
      <w:r w:rsidR="006F665D">
        <w:lastRenderedPageBreak/>
        <w:t>safety clearances associated with CMRS attachments when the 7.4%</w:t>
      </w:r>
      <w:r w:rsidR="001847BE">
        <w:t> </w:t>
      </w:r>
      <w:r w:rsidR="006F665D">
        <w:t xml:space="preserve">fee is not imposed on the safety clearances associated with </w:t>
      </w:r>
      <w:r w:rsidR="004F131D">
        <w:t>CLEC</w:t>
      </w:r>
      <w:r w:rsidR="006F665D">
        <w:t xml:space="preserve"> and CATV attachments.  </w:t>
      </w:r>
      <w:r w:rsidR="008306CF">
        <w:t xml:space="preserve">In particular, </w:t>
      </w:r>
      <w:r w:rsidR="00C30862">
        <w:t xml:space="preserve">because </w:t>
      </w:r>
      <w:r w:rsidR="00EA1031">
        <w:t>GO 95 mandates a 1</w:t>
      </w:r>
      <w:r w:rsidR="00044676">
        <w:noBreakHyphen/>
      </w:r>
      <w:r w:rsidR="00EA1031">
        <w:t xml:space="preserve">foot </w:t>
      </w:r>
      <w:r w:rsidR="00C70D6D">
        <w:t xml:space="preserve">safety </w:t>
      </w:r>
      <w:r w:rsidR="00EA1031">
        <w:t>clearance between communication conductors</w:t>
      </w:r>
      <w:r w:rsidR="00C30862">
        <w:t xml:space="preserve">, </w:t>
      </w:r>
      <w:r w:rsidR="00EA1031">
        <w:t xml:space="preserve">every communication conductor </w:t>
      </w:r>
      <w:r w:rsidR="00C30862">
        <w:t>uses</w:t>
      </w:r>
      <w:r w:rsidR="00EA1031">
        <w:t xml:space="preserve"> </w:t>
      </w:r>
      <w:r w:rsidR="00052D5F">
        <w:t>2 </w:t>
      </w:r>
      <w:r w:rsidR="00EA1031">
        <w:t xml:space="preserve">feet </w:t>
      </w:r>
      <w:r w:rsidR="00C30862">
        <w:t>of</w:t>
      </w:r>
      <w:r w:rsidR="00EA1031">
        <w:t xml:space="preserve"> pole space for safety clearances</w:t>
      </w:r>
      <w:r w:rsidR="001847BE">
        <w:t xml:space="preserve">, i.e., </w:t>
      </w:r>
      <w:r w:rsidR="00EA1031">
        <w:t xml:space="preserve">1 foot above the conductor and 1 foot below the conductor.  Yet despite </w:t>
      </w:r>
      <w:r w:rsidR="003F0390">
        <w:t>using</w:t>
      </w:r>
      <w:r w:rsidR="00EA1031">
        <w:t xml:space="preserve"> </w:t>
      </w:r>
      <w:r w:rsidR="003F0390">
        <w:t>2</w:t>
      </w:r>
      <w:r w:rsidR="00EA1031">
        <w:t xml:space="preserve"> feet of pole space, the ROW Ru</w:t>
      </w:r>
      <w:r w:rsidR="00052D5F">
        <w:t>les levy the 7.4%</w:t>
      </w:r>
      <w:r w:rsidR="001847BE">
        <w:t> </w:t>
      </w:r>
      <w:r w:rsidR="00052D5F">
        <w:t xml:space="preserve">fee only once per pole for a </w:t>
      </w:r>
      <w:r w:rsidR="004F131D">
        <w:t>CLEC</w:t>
      </w:r>
      <w:r w:rsidR="00EA1031">
        <w:t xml:space="preserve"> </w:t>
      </w:r>
      <w:r w:rsidR="00052D5F">
        <w:t xml:space="preserve">or </w:t>
      </w:r>
      <w:r w:rsidR="00EA1031">
        <w:t xml:space="preserve">CATV </w:t>
      </w:r>
      <w:r w:rsidR="00052D5F">
        <w:t>installation.</w:t>
      </w:r>
    </w:p>
    <w:p w:rsidR="00CF1824" w:rsidRDefault="00DE2689" w:rsidP="00C70D6D">
      <w:pPr>
        <w:pStyle w:val="standard"/>
      </w:pPr>
      <w:r>
        <w:t xml:space="preserve">The flaw in the Opponents’ argument is their </w:t>
      </w:r>
      <w:r w:rsidR="00133827">
        <w:t>mis</w:t>
      </w:r>
      <w:r w:rsidR="001847BE">
        <w:t xml:space="preserve">calculation of the amount of pole spaced used by </w:t>
      </w:r>
      <w:r>
        <w:t>the 1</w:t>
      </w:r>
      <w:r w:rsidR="00133827">
        <w:noBreakHyphen/>
      </w:r>
      <w:r>
        <w:t xml:space="preserve">foot safety clearance for communication conductors.  </w:t>
      </w:r>
      <w:r w:rsidR="00374F5E">
        <w:t xml:space="preserve">In order to maintain a safety clearance of </w:t>
      </w:r>
      <w:r w:rsidR="000A6E79">
        <w:t>1</w:t>
      </w:r>
      <w:r w:rsidR="00374F5E">
        <w:t xml:space="preserve"> foot above and </w:t>
      </w:r>
      <w:r w:rsidR="000A6E79">
        <w:t>1</w:t>
      </w:r>
      <w:r w:rsidR="00374F5E">
        <w:t xml:space="preserve"> foot bel</w:t>
      </w:r>
      <w:r w:rsidR="00201AEA">
        <w:t>ow</w:t>
      </w:r>
      <w:r w:rsidR="00374F5E">
        <w:t xml:space="preserve"> a communication conductor as required by GO 95,</w:t>
      </w:r>
      <w:r w:rsidR="00133827">
        <w:t xml:space="preserve"> </w:t>
      </w:r>
      <w:r w:rsidR="00201AEA">
        <w:t xml:space="preserve">such conductors must be attached to a pole at least </w:t>
      </w:r>
      <w:r w:rsidR="003F0390">
        <w:t>1</w:t>
      </w:r>
      <w:r w:rsidR="00201AEA">
        <w:t xml:space="preserve"> foot apart.</w:t>
      </w:r>
      <w:r w:rsidR="0040148E">
        <w:t xml:space="preserve">  For </w:t>
      </w:r>
      <w:r>
        <w:t>a 5</w:t>
      </w:r>
      <w:r>
        <w:noBreakHyphen/>
        <w:t xml:space="preserve">foot section of </w:t>
      </w:r>
      <w:r w:rsidR="000A6E79">
        <w:t xml:space="preserve">vertical </w:t>
      </w:r>
      <w:r>
        <w:t xml:space="preserve">pole space, it would be possible to attach 5 communication conductors and </w:t>
      </w:r>
      <w:r w:rsidR="0040148E">
        <w:t>maintain 1</w:t>
      </w:r>
      <w:r w:rsidR="000A6E79">
        <w:t> </w:t>
      </w:r>
      <w:r w:rsidR="0040148E">
        <w:t xml:space="preserve">foot of safety clearance above each conductor and </w:t>
      </w:r>
      <w:r w:rsidR="00201AEA">
        <w:t>1 </w:t>
      </w:r>
      <w:r w:rsidR="0040148E">
        <w:t>foot below each conductor.</w:t>
      </w:r>
      <w:r w:rsidR="00F725B9">
        <w:rPr>
          <w:rStyle w:val="FootnoteReference"/>
        </w:rPr>
        <w:footnoteReference w:id="37"/>
      </w:r>
      <w:r w:rsidR="0040148E">
        <w:t xml:space="preserve">  </w:t>
      </w:r>
      <w:r w:rsidR="00641B06">
        <w:t xml:space="preserve">As a result, </w:t>
      </w:r>
      <w:r w:rsidR="005916A7">
        <w:t xml:space="preserve">a typical </w:t>
      </w:r>
      <w:r w:rsidR="004F131D">
        <w:t>CLEC</w:t>
      </w:r>
      <w:r w:rsidR="005916A7">
        <w:t xml:space="preserve"> or CATV </w:t>
      </w:r>
      <w:r w:rsidR="00641B06">
        <w:t>pole</w:t>
      </w:r>
      <w:r w:rsidR="005916A7">
        <w:t xml:space="preserve"> attachment uses only 1 foot of pole space</w:t>
      </w:r>
      <w:r w:rsidR="00FE7D1D">
        <w:t>, including safety clearances</w:t>
      </w:r>
      <w:r w:rsidR="005916A7">
        <w:t xml:space="preserve">.  </w:t>
      </w:r>
    </w:p>
    <w:p w:rsidR="00EA1031" w:rsidRDefault="00D95597" w:rsidP="00C70D6D">
      <w:pPr>
        <w:pStyle w:val="standard"/>
      </w:pPr>
      <w:r>
        <w:t xml:space="preserve">In sum, </w:t>
      </w:r>
      <w:r w:rsidR="00AC754C">
        <w:t xml:space="preserve">the </w:t>
      </w:r>
      <w:r w:rsidR="00CF1824">
        <w:t xml:space="preserve">existing </w:t>
      </w:r>
      <w:r w:rsidR="00AC754C">
        <w:t xml:space="preserve">7.4% </w:t>
      </w:r>
      <w:r w:rsidR="008306CF">
        <w:t xml:space="preserve">per-pole </w:t>
      </w:r>
      <w:r w:rsidR="00AC754C">
        <w:t xml:space="preserve">fee </w:t>
      </w:r>
      <w:r>
        <w:t xml:space="preserve">applies to </w:t>
      </w:r>
      <w:r w:rsidR="00CF1824">
        <w:t xml:space="preserve">CLEC and CATV attachments </w:t>
      </w:r>
      <w:r>
        <w:t>that typically use 1 foot of vertical pole space, including safety clearances.  To ensure nondiscriminatory treatment, today’s decision applies the</w:t>
      </w:r>
      <w:r w:rsidR="00AC754C">
        <w:t xml:space="preserve"> 7.4% fee to the safety clearances associated with CMRS attachments.</w:t>
      </w:r>
      <w:r w:rsidR="00C70D6D">
        <w:t xml:space="preserve">  </w:t>
      </w:r>
    </w:p>
    <w:p w:rsidR="00450DA4" w:rsidRDefault="00450DA4" w:rsidP="00A845DC">
      <w:pPr>
        <w:pStyle w:val="Heading4"/>
      </w:pPr>
      <w:bookmarkStart w:id="36" w:name="_Toc424321898"/>
      <w:bookmarkStart w:id="37" w:name="_Toc436647322"/>
      <w:r w:rsidRPr="00F50793">
        <w:t>Rounding</w:t>
      </w:r>
      <w:r w:rsidRPr="004813DF">
        <w:t xml:space="preserve"> </w:t>
      </w:r>
      <w:r>
        <w:t xml:space="preserve">and Minimum </w:t>
      </w:r>
      <w:bookmarkEnd w:id="36"/>
      <w:r w:rsidR="005C7D11">
        <w:t>Fee</w:t>
      </w:r>
      <w:bookmarkEnd w:id="37"/>
      <w:r>
        <w:t xml:space="preserve"> </w:t>
      </w:r>
    </w:p>
    <w:p w:rsidR="00450DA4" w:rsidRDefault="00450DA4" w:rsidP="005C7D11">
      <w:pPr>
        <w:pStyle w:val="standard"/>
      </w:pPr>
      <w:r>
        <w:t xml:space="preserve">For administrative ease, the amount of pole space occupied by a CMRS attachment shall be rounded to the nearest whole foot for the purpose of </w:t>
      </w:r>
      <w:r>
        <w:lastRenderedPageBreak/>
        <w:t>applying the 7.4% per-foot fee</w:t>
      </w:r>
      <w:r w:rsidR="005C7D11">
        <w:t>.  E</w:t>
      </w:r>
      <w:r>
        <w:t xml:space="preserve">ach attachment </w:t>
      </w:r>
      <w:r w:rsidR="005C7D11">
        <w:t xml:space="preserve">shall be </w:t>
      </w:r>
      <w:r>
        <w:t xml:space="preserve">subject to a minimum annual fee of 7.4% of the utility’s annual cost-of-ownership for the pole.  </w:t>
      </w:r>
    </w:p>
    <w:p w:rsidR="00855471" w:rsidRDefault="00D112BD" w:rsidP="00A845DC">
      <w:pPr>
        <w:pStyle w:val="Heading4"/>
      </w:pPr>
      <w:bookmarkStart w:id="38" w:name="_Toc436647323"/>
      <w:bookmarkStart w:id="39" w:name="_Toc424321901"/>
      <w:r>
        <w:t>Pole</w:t>
      </w:r>
      <w:r w:rsidR="00740B37">
        <w:noBreakHyphen/>
      </w:r>
      <w:r w:rsidR="009D009E">
        <w:t>Top Antenna</w:t>
      </w:r>
      <w:r w:rsidR="00740B37">
        <w:t>s</w:t>
      </w:r>
      <w:bookmarkEnd w:id="38"/>
      <w:r>
        <w:t xml:space="preserve"> </w:t>
      </w:r>
      <w:bookmarkEnd w:id="39"/>
    </w:p>
    <w:p w:rsidR="00021888" w:rsidRDefault="00B15DF1" w:rsidP="0030670C">
      <w:pPr>
        <w:pStyle w:val="standard"/>
      </w:pPr>
      <w:r>
        <w:t>We</w:t>
      </w:r>
      <w:r w:rsidR="00021888">
        <w:t xml:space="preserve"> decline to adopt the Electric IOU</w:t>
      </w:r>
      <w:r w:rsidR="00B44606">
        <w:t>s</w:t>
      </w:r>
      <w:r w:rsidR="00E6041E">
        <w:t>’</w:t>
      </w:r>
      <w:r w:rsidR="00740B37">
        <w:t xml:space="preserve"> </w:t>
      </w:r>
      <w:r w:rsidR="00021888">
        <w:t xml:space="preserve">proposal to apply the 7.4% </w:t>
      </w:r>
      <w:r w:rsidR="005C7D11">
        <w:t>per-foot</w:t>
      </w:r>
      <w:r w:rsidR="00021888">
        <w:t xml:space="preserve"> fee to the greater of (1) the </w:t>
      </w:r>
      <w:r w:rsidR="00726B81">
        <w:t xml:space="preserve">vertical </w:t>
      </w:r>
      <w:r w:rsidR="00021888">
        <w:t>size</w:t>
      </w:r>
      <w:r w:rsidR="00B44606">
        <w:t xml:space="preserve"> of the pole-top antenna</w:t>
      </w:r>
      <w:r w:rsidR="00021888">
        <w:t xml:space="preserve">, or (2) the </w:t>
      </w:r>
      <w:r w:rsidR="005C7D11">
        <w:t>GO</w:t>
      </w:r>
      <w:r w:rsidR="00AF3E73">
        <w:t> </w:t>
      </w:r>
      <w:r w:rsidR="005C7D11">
        <w:t xml:space="preserve">95 </w:t>
      </w:r>
      <w:r w:rsidR="00021888">
        <w:t xml:space="preserve">safety clearance between the antenna and the power lines below the antenna.  </w:t>
      </w:r>
      <w:r w:rsidR="009B64A5">
        <w:t>B</w:t>
      </w:r>
      <w:r w:rsidR="00021888">
        <w:t>ecause safety clearances for pole-top antennas range from 4 feet to 10</w:t>
      </w:r>
      <w:r w:rsidR="00B44606">
        <w:t> </w:t>
      </w:r>
      <w:r w:rsidR="00021888">
        <w:t xml:space="preserve">feet, depending on the voltage of the power lines below the antenna, </w:t>
      </w:r>
      <w:r w:rsidR="00740B37">
        <w:t>th</w:t>
      </w:r>
      <w:r w:rsidR="00726B81">
        <w:t>i</w:t>
      </w:r>
      <w:r w:rsidR="00740B37">
        <w:t>s</w:t>
      </w:r>
      <w:r w:rsidR="00021888">
        <w:t xml:space="preserve"> proposal would result in a</w:t>
      </w:r>
      <w:r w:rsidR="00B44606">
        <w:t>n</w:t>
      </w:r>
      <w:r w:rsidR="00021888">
        <w:t xml:space="preserve"> attachment fee </w:t>
      </w:r>
      <w:r w:rsidR="0019156E">
        <w:t xml:space="preserve">for pole-top antennas in the range of </w:t>
      </w:r>
      <w:r w:rsidR="00021888">
        <w:t xml:space="preserve">29.4% to 74.0% (plus additional </w:t>
      </w:r>
      <w:r w:rsidR="00087ECA">
        <w:t xml:space="preserve">attachment </w:t>
      </w:r>
      <w:r w:rsidR="00021888">
        <w:t xml:space="preserve">fees for other CMRS </w:t>
      </w:r>
      <w:r w:rsidR="00087ECA">
        <w:t>equipment</w:t>
      </w:r>
      <w:r w:rsidR="009B64A5">
        <w:t xml:space="preserve"> on the same pole).  </w:t>
      </w:r>
      <w:r w:rsidR="00664979">
        <w:t xml:space="preserve">Such a large fee is reasonable only if </w:t>
      </w:r>
      <w:r w:rsidR="0030670C">
        <w:t>pole-top antennas use 29.4% to 74</w:t>
      </w:r>
      <w:r w:rsidR="00726B81">
        <w:t>.0</w:t>
      </w:r>
      <w:r w:rsidR="0030670C">
        <w:t>% of a pole’s total space</w:t>
      </w:r>
      <w:r w:rsidR="00726B81">
        <w:t xml:space="preserve"> and/or </w:t>
      </w:r>
      <w:r w:rsidR="0030670C">
        <w:t xml:space="preserve">load capacity.  </w:t>
      </w:r>
    </w:p>
    <w:p w:rsidR="00187BA8" w:rsidRDefault="00507300" w:rsidP="008E33A0">
      <w:pPr>
        <w:pStyle w:val="standard"/>
      </w:pPr>
      <w:r>
        <w:t>There is no credible information in the record of this proceeding that pole</w:t>
      </w:r>
      <w:r w:rsidR="0050692B">
        <w:noBreakHyphen/>
      </w:r>
      <w:r>
        <w:t xml:space="preserve">top antennas </w:t>
      </w:r>
      <w:r w:rsidR="0019156E">
        <w:t>use</w:t>
      </w:r>
      <w:r w:rsidR="00DA3D91">
        <w:t xml:space="preserve"> </w:t>
      </w:r>
      <w:r w:rsidR="005A7B24">
        <w:t>29.4% to 74% of a pole’s total space</w:t>
      </w:r>
      <w:r w:rsidR="00726B81">
        <w:t xml:space="preserve"> and/or load capacity</w:t>
      </w:r>
      <w:r w:rsidR="00386269">
        <w:t xml:space="preserve">.  To the contrary, AT&amp;T </w:t>
      </w:r>
      <w:r w:rsidR="00A63B13">
        <w:t>Mobility</w:t>
      </w:r>
      <w:r w:rsidR="00386269">
        <w:t xml:space="preserve"> </w:t>
      </w:r>
      <w:r w:rsidR="00087ECA">
        <w:t xml:space="preserve">demonstrated </w:t>
      </w:r>
      <w:r w:rsidR="00386269">
        <w:t xml:space="preserve">that pole-top antennas </w:t>
      </w:r>
      <w:r w:rsidR="0019156E">
        <w:t xml:space="preserve">typically </w:t>
      </w:r>
      <w:r w:rsidR="00386269">
        <w:t>use 3% </w:t>
      </w:r>
      <w:r w:rsidR="00087ECA">
        <w:t>to</w:t>
      </w:r>
      <w:r w:rsidR="00386269">
        <w:t> 5% of pole’s total load capacity</w:t>
      </w:r>
      <w:r w:rsidR="00D13094">
        <w:t>.</w:t>
      </w:r>
      <w:r w:rsidR="00D13094">
        <w:rPr>
          <w:rStyle w:val="FootnoteReference"/>
        </w:rPr>
        <w:footnoteReference w:id="38"/>
      </w:r>
      <w:r w:rsidR="00D13094">
        <w:t xml:space="preserve">  The record further shows </w:t>
      </w:r>
      <w:r w:rsidR="00187BA8">
        <w:t xml:space="preserve">that the loads </w:t>
      </w:r>
      <w:r w:rsidR="0050692B">
        <w:t>imposed</w:t>
      </w:r>
      <w:r w:rsidR="00187BA8">
        <w:t xml:space="preserve"> on poles by pole</w:t>
      </w:r>
      <w:r w:rsidR="00187BA8">
        <w:noBreakHyphen/>
        <w:t xml:space="preserve">top antennas are the same order of magnitude as the loads imposed by </w:t>
      </w:r>
      <w:r w:rsidR="004F131D">
        <w:t>CLEC</w:t>
      </w:r>
      <w:r w:rsidR="00187BA8">
        <w:t xml:space="preserve"> and CATV</w:t>
      </w:r>
      <w:r w:rsidR="004937C9">
        <w:t xml:space="preserve"> wireline</w:t>
      </w:r>
      <w:r w:rsidR="00187BA8">
        <w:t xml:space="preserve"> attachments in the communication space.</w:t>
      </w:r>
      <w:r w:rsidR="00187BA8">
        <w:rPr>
          <w:rStyle w:val="FootnoteReference"/>
        </w:rPr>
        <w:footnoteReference w:id="39"/>
      </w:r>
      <w:r w:rsidR="00187BA8">
        <w:t xml:space="preserve">  </w:t>
      </w:r>
      <w:r w:rsidR="0019156E">
        <w:t>Based on this information</w:t>
      </w:r>
      <w:r w:rsidR="0050692B">
        <w:t>, we conclude that</w:t>
      </w:r>
      <w:r w:rsidR="00D13094">
        <w:t xml:space="preserve"> it would be und</w:t>
      </w:r>
      <w:r w:rsidR="00726B81">
        <w:t>u</w:t>
      </w:r>
      <w:r w:rsidR="00D13094">
        <w:t xml:space="preserve">ly discriminatory to </w:t>
      </w:r>
      <w:r w:rsidR="00A63B13">
        <w:t>levy</w:t>
      </w:r>
      <w:r w:rsidR="00D13094">
        <w:t xml:space="preserve"> an attachment fee on pole</w:t>
      </w:r>
      <w:r w:rsidR="00D13094">
        <w:noBreakHyphen/>
        <w:t>top antennas that is 4</w:t>
      </w:r>
      <w:r w:rsidR="00726B81">
        <w:t> </w:t>
      </w:r>
      <w:r w:rsidR="00D13094">
        <w:t xml:space="preserve">to </w:t>
      </w:r>
      <w:r w:rsidR="00D13094">
        <w:lastRenderedPageBreak/>
        <w:t xml:space="preserve">10 times the attachment fee levied on </w:t>
      </w:r>
      <w:r w:rsidR="004F131D">
        <w:t>CLEC</w:t>
      </w:r>
      <w:r w:rsidR="00D13094">
        <w:t xml:space="preserve"> and CATV attachments (absent some other justification for a larger fee).</w:t>
      </w:r>
      <w:r w:rsidR="00187BA8">
        <w:rPr>
          <w:rStyle w:val="FootnoteReference"/>
        </w:rPr>
        <w:footnoteReference w:id="40"/>
      </w:r>
      <w:r w:rsidR="00187BA8">
        <w:t xml:space="preserve">  </w:t>
      </w:r>
    </w:p>
    <w:p w:rsidR="003234A1" w:rsidRDefault="00570F26" w:rsidP="003234A1">
      <w:pPr>
        <w:pStyle w:val="standard"/>
      </w:pPr>
      <w:r>
        <w:t xml:space="preserve">We </w:t>
      </w:r>
      <w:r w:rsidR="00F96769">
        <w:t xml:space="preserve">disagree with </w:t>
      </w:r>
      <w:r>
        <w:t xml:space="preserve">the Electric </w:t>
      </w:r>
      <w:r w:rsidR="00F96769">
        <w:t>IOU</w:t>
      </w:r>
      <w:r w:rsidR="003A10F4">
        <w:t>s</w:t>
      </w:r>
      <w:r w:rsidR="00F96769">
        <w:t>’</w:t>
      </w:r>
      <w:r w:rsidR="004B21F0">
        <w:t xml:space="preserve"> </w:t>
      </w:r>
      <w:r w:rsidR="003234A1">
        <w:t>position</w:t>
      </w:r>
      <w:r w:rsidR="00F96769">
        <w:t xml:space="preserve"> </w:t>
      </w:r>
      <w:r>
        <w:t xml:space="preserve">that it is </w:t>
      </w:r>
      <w:r w:rsidR="00870C7C">
        <w:t>necessary</w:t>
      </w:r>
      <w:r>
        <w:t xml:space="preserve"> to charge a </w:t>
      </w:r>
      <w:r w:rsidR="00A63B13">
        <w:t xml:space="preserve">much </w:t>
      </w:r>
      <w:r w:rsidR="00F96769">
        <w:t>higher attachment</w:t>
      </w:r>
      <w:r w:rsidR="001F5A6A">
        <w:t xml:space="preserve"> </w:t>
      </w:r>
      <w:r>
        <w:t>fee for pole-top antennas</w:t>
      </w:r>
      <w:r w:rsidR="00870C7C">
        <w:t xml:space="preserve"> </w:t>
      </w:r>
      <w:r>
        <w:t xml:space="preserve">because </w:t>
      </w:r>
      <w:r w:rsidR="001F5A6A">
        <w:t xml:space="preserve">electric utilities </w:t>
      </w:r>
      <w:r w:rsidR="00F96769">
        <w:t xml:space="preserve">incur higher </w:t>
      </w:r>
      <w:r w:rsidR="001F5A6A">
        <w:t>inspection</w:t>
      </w:r>
      <w:r w:rsidR="00F96769">
        <w:t xml:space="preserve"> </w:t>
      </w:r>
      <w:r w:rsidR="001F5A6A">
        <w:t xml:space="preserve">and maintenance </w:t>
      </w:r>
      <w:r w:rsidR="00F96769">
        <w:t xml:space="preserve">costs for pole-top antennas </w:t>
      </w:r>
      <w:r w:rsidR="001F5A6A">
        <w:t xml:space="preserve">pursuant to GO 165.  </w:t>
      </w:r>
      <w:r w:rsidR="00870C7C">
        <w:t xml:space="preserve">As the Electric IOUs know, </w:t>
      </w:r>
      <w:r w:rsidR="00F96769">
        <w:t>GO 165 specifies the</w:t>
      </w:r>
      <w:r w:rsidR="00FF7824">
        <w:t xml:space="preserve"> minimum inspection </w:t>
      </w:r>
      <w:r w:rsidR="003A10F4">
        <w:t>cycles</w:t>
      </w:r>
      <w:r w:rsidR="00FF7824">
        <w:t xml:space="preserve"> </w:t>
      </w:r>
      <w:r w:rsidR="00CE393C">
        <w:t xml:space="preserve">for </w:t>
      </w:r>
      <w:r w:rsidR="00FF7824">
        <w:t xml:space="preserve">electric </w:t>
      </w:r>
      <w:r w:rsidR="0095491B">
        <w:t xml:space="preserve">distribution and </w:t>
      </w:r>
      <w:r w:rsidR="00FF7824">
        <w:t>transmission facilities.</w:t>
      </w:r>
      <w:r w:rsidR="00932C9A">
        <w:rPr>
          <w:rStyle w:val="FootnoteReference"/>
        </w:rPr>
        <w:footnoteReference w:id="41"/>
      </w:r>
      <w:r w:rsidR="00FF7824">
        <w:t xml:space="preserve">  </w:t>
      </w:r>
      <w:r w:rsidR="00A63B13">
        <w:t xml:space="preserve">CMRS antennas </w:t>
      </w:r>
      <w:r w:rsidR="00FF7824">
        <w:t xml:space="preserve">are not electric </w:t>
      </w:r>
      <w:r w:rsidR="0095491B">
        <w:t xml:space="preserve">distribution or transmission </w:t>
      </w:r>
      <w:r w:rsidR="00FF7824">
        <w:t>facilities</w:t>
      </w:r>
      <w:r w:rsidR="00870C7C">
        <w:t>,</w:t>
      </w:r>
      <w:r w:rsidR="00FF7824">
        <w:t xml:space="preserve"> and</w:t>
      </w:r>
      <w:r w:rsidR="00870C7C">
        <w:t xml:space="preserve"> </w:t>
      </w:r>
      <w:r w:rsidR="00701F4D">
        <w:t>thus</w:t>
      </w:r>
      <w:r w:rsidR="00FF7824">
        <w:t xml:space="preserve"> are not subject to GO 165.</w:t>
      </w:r>
      <w:r w:rsidR="007F41AD">
        <w:rPr>
          <w:rStyle w:val="FootnoteReference"/>
        </w:rPr>
        <w:footnoteReference w:id="42"/>
      </w:r>
      <w:r w:rsidR="00FF7824">
        <w:t xml:space="preserve">  </w:t>
      </w:r>
      <w:r w:rsidR="00D653E3">
        <w:t>Rather, t</w:t>
      </w:r>
      <w:r w:rsidR="007F41AD">
        <w:t xml:space="preserve">he responsibility to inspect and </w:t>
      </w:r>
      <w:r w:rsidR="005916F3">
        <w:t xml:space="preserve">maintain CMRS pole attachments belongs to </w:t>
      </w:r>
      <w:r w:rsidR="007F41AD">
        <w:t>the owners of these attachments</w:t>
      </w:r>
      <w:r w:rsidR="004B21F0">
        <w:t>—</w:t>
      </w:r>
      <w:r w:rsidR="007F41AD">
        <w:t>the CMRS carriers.</w:t>
      </w:r>
      <w:r w:rsidR="009C0279">
        <w:rPr>
          <w:rStyle w:val="FootnoteReference"/>
        </w:rPr>
        <w:footnoteReference w:id="43"/>
      </w:r>
      <w:r w:rsidR="007F41AD">
        <w:t xml:space="preserve">  As set forth in GO</w:t>
      </w:r>
      <w:r w:rsidR="00870C7C">
        <w:t> </w:t>
      </w:r>
      <w:r w:rsidR="007F41AD">
        <w:t>95, Rules</w:t>
      </w:r>
      <w:r w:rsidR="00CE393C">
        <w:t> </w:t>
      </w:r>
      <w:r w:rsidR="007F41AD">
        <w:t>31.2 and 94.</w:t>
      </w:r>
      <w:r w:rsidR="0095491B">
        <w:t>2</w:t>
      </w:r>
      <w:r w:rsidR="007F41AD">
        <w:t xml:space="preserve">, CMRS carriers must inspect their pole </w:t>
      </w:r>
      <w:r w:rsidR="003A10F4">
        <w:t>attachments</w:t>
      </w:r>
      <w:r w:rsidR="007F41AD">
        <w:t xml:space="preserve"> </w:t>
      </w:r>
      <w:r w:rsidR="0095491B">
        <w:t>“</w:t>
      </w:r>
      <w:r w:rsidR="007F41AD">
        <w:t xml:space="preserve">frequently and thoroughly </w:t>
      </w:r>
      <w:r w:rsidR="0095491B">
        <w:t>for the purpose of ensuring that they are in good condition and conform to [GO</w:t>
      </w:r>
      <w:r w:rsidR="004A4E6F">
        <w:t> </w:t>
      </w:r>
      <w:r w:rsidR="0095491B">
        <w:t>95].”</w:t>
      </w:r>
      <w:r w:rsidR="00CE393C">
        <w:t xml:space="preserve"> </w:t>
      </w:r>
      <w:r w:rsidR="002B4B8C">
        <w:t xml:space="preserve"> </w:t>
      </w:r>
    </w:p>
    <w:p w:rsidR="003234A1" w:rsidRDefault="003234A1" w:rsidP="003234A1">
      <w:pPr>
        <w:pStyle w:val="standard"/>
      </w:pPr>
      <w:r>
        <w:t>E</w:t>
      </w:r>
      <w:r w:rsidR="00CE393C">
        <w:t>ven if the Electric</w:t>
      </w:r>
      <w:r w:rsidR="002B4B8C">
        <w:t> </w:t>
      </w:r>
      <w:r w:rsidR="00CE393C">
        <w:t xml:space="preserve">IOUs </w:t>
      </w:r>
      <w:r w:rsidR="009C008E">
        <w:t>were to</w:t>
      </w:r>
      <w:r w:rsidR="00CE393C">
        <w:t xml:space="preserve"> incur higher inspection and maintenance costs for pole-top antennas, </w:t>
      </w:r>
      <w:r w:rsidR="00701F4D">
        <w:t>the</w:t>
      </w:r>
      <w:r w:rsidR="00870C7C">
        <w:t xml:space="preserve"> </w:t>
      </w:r>
      <w:r w:rsidR="004A4E6F">
        <w:t xml:space="preserve">default </w:t>
      </w:r>
      <w:r w:rsidR="007709DB">
        <w:t xml:space="preserve">pole-attachment fee </w:t>
      </w:r>
      <w:r w:rsidR="00870C7C">
        <w:t>adopted by today’s decision for CMRS attachments ensure</w:t>
      </w:r>
      <w:r w:rsidR="007709DB">
        <w:t>s</w:t>
      </w:r>
      <w:r w:rsidR="00870C7C">
        <w:t xml:space="preserve"> that the Electric</w:t>
      </w:r>
      <w:r w:rsidR="00E35542">
        <w:t> </w:t>
      </w:r>
      <w:r w:rsidR="00870C7C">
        <w:t xml:space="preserve">IOUs are compensated </w:t>
      </w:r>
      <w:r w:rsidR="00870C7C">
        <w:lastRenderedPageBreak/>
        <w:t>for the</w:t>
      </w:r>
      <w:r w:rsidR="00BC4363">
        <w:t>ir</w:t>
      </w:r>
      <w:r w:rsidR="00870C7C">
        <w:t xml:space="preserve"> costs.</w:t>
      </w:r>
      <w:r w:rsidR="00BC4363">
        <w:rPr>
          <w:rStyle w:val="FootnoteReference"/>
        </w:rPr>
        <w:footnoteReference w:id="44"/>
      </w:r>
      <w:r w:rsidR="00870C7C">
        <w:t xml:space="preserve">  </w:t>
      </w:r>
      <w:r w:rsidR="00404CD7">
        <w:t xml:space="preserve">CLECs and CATV corporations have been attaching facilities to utility poles for decades.  </w:t>
      </w:r>
      <w:r>
        <w:t>Consequently, inspection and maintenance costs for pole attachments should already be embedded in the annual cost-of-ownership for poles and recovered through the 7.4% annual fee for pole attachments.</w:t>
      </w:r>
      <w:r>
        <w:rPr>
          <w:rStyle w:val="FootnoteReference"/>
        </w:rPr>
        <w:footnoteReference w:id="45"/>
      </w:r>
      <w:r>
        <w:t xml:space="preserve">  </w:t>
      </w:r>
    </w:p>
    <w:p w:rsidR="001F5A6A" w:rsidRDefault="00AB1679" w:rsidP="0095491B">
      <w:pPr>
        <w:pStyle w:val="standard"/>
      </w:pPr>
      <w:r>
        <w:t xml:space="preserve">We </w:t>
      </w:r>
      <w:r w:rsidR="00CB1C94">
        <w:t xml:space="preserve">disagree with </w:t>
      </w:r>
      <w:r>
        <w:t>the Electric IOUs</w:t>
      </w:r>
      <w:r w:rsidR="00CB1C94">
        <w:t>’ argument that it</w:t>
      </w:r>
      <w:r>
        <w:t xml:space="preserve"> is </w:t>
      </w:r>
      <w:r w:rsidR="00786109">
        <w:t>reasonable</w:t>
      </w:r>
      <w:r>
        <w:t xml:space="preserve"> to charge a </w:t>
      </w:r>
      <w:r w:rsidR="007709DB">
        <w:t xml:space="preserve">much </w:t>
      </w:r>
      <w:r>
        <w:t xml:space="preserve">higher </w:t>
      </w:r>
      <w:r w:rsidR="00786109">
        <w:t>attachment</w:t>
      </w:r>
      <w:r>
        <w:t xml:space="preserve"> fee for pole-top antennas because when a pole with a pole-top antenna is </w:t>
      </w:r>
      <w:r w:rsidR="00CB1C94">
        <w:t>retired</w:t>
      </w:r>
      <w:r>
        <w:t xml:space="preserve">, the </w:t>
      </w:r>
      <w:r w:rsidR="003A10F4">
        <w:t>replacement</w:t>
      </w:r>
      <w:r>
        <w:t xml:space="preserve"> pole will </w:t>
      </w:r>
      <w:r w:rsidR="00D653E3">
        <w:t xml:space="preserve">need to </w:t>
      </w:r>
      <w:r>
        <w:t xml:space="preserve">be taller – and costlier </w:t>
      </w:r>
      <w:r w:rsidR="005C2349">
        <w:t>-</w:t>
      </w:r>
      <w:r>
        <w:t xml:space="preserve">- to accommodate the </w:t>
      </w:r>
      <w:r w:rsidR="000749F2">
        <w:t xml:space="preserve">clearance and strength requirements for the </w:t>
      </w:r>
      <w:r>
        <w:t xml:space="preserve">pole-top antenna.  </w:t>
      </w:r>
      <w:r w:rsidR="00786109">
        <w:t>W</w:t>
      </w:r>
      <w:r>
        <w:t>e believe the ROW</w:t>
      </w:r>
      <w:r w:rsidR="00723543">
        <w:t> </w:t>
      </w:r>
      <w:r>
        <w:t xml:space="preserve">Rules are clear that if </w:t>
      </w:r>
      <w:r w:rsidR="002B0C3C">
        <w:t xml:space="preserve">a </w:t>
      </w:r>
      <w:r>
        <w:t xml:space="preserve">CMRS pole-attachment requires a taller </w:t>
      </w:r>
      <w:r w:rsidR="00723543">
        <w:t xml:space="preserve">replacement </w:t>
      </w:r>
      <w:r>
        <w:t>pole than would be the case without the attachment, the CMRS</w:t>
      </w:r>
      <w:r w:rsidR="00837EA5">
        <w:t> </w:t>
      </w:r>
      <w:r>
        <w:t>carrier must pay the extra cost for the taller pole.</w:t>
      </w:r>
      <w:r w:rsidR="000B6A8E">
        <w:rPr>
          <w:rStyle w:val="FootnoteReference"/>
        </w:rPr>
        <w:footnoteReference w:id="46"/>
      </w:r>
      <w:r>
        <w:t xml:space="preserve">  </w:t>
      </w:r>
      <w:r w:rsidR="00CE393C">
        <w:t xml:space="preserve"> </w:t>
      </w:r>
    </w:p>
    <w:p w:rsidR="00152EF8" w:rsidRDefault="00A1791E" w:rsidP="00A845DC">
      <w:pPr>
        <w:pStyle w:val="Heading4"/>
      </w:pPr>
      <w:bookmarkStart w:id="40" w:name="_Toc424321902"/>
      <w:bookmarkStart w:id="41" w:name="_Toc436647324"/>
      <w:r>
        <w:t xml:space="preserve">Shared Pole </w:t>
      </w:r>
      <w:r w:rsidR="00152EF8">
        <w:t>Space</w:t>
      </w:r>
      <w:bookmarkEnd w:id="40"/>
      <w:bookmarkEnd w:id="41"/>
      <w:r w:rsidR="00152EF8">
        <w:t xml:space="preserve">  </w:t>
      </w:r>
    </w:p>
    <w:p w:rsidR="00275C8D" w:rsidRDefault="00A1791E" w:rsidP="00241F75">
      <w:pPr>
        <w:pStyle w:val="standard"/>
      </w:pPr>
      <w:r>
        <w:t xml:space="preserve">In some circumstances, it may be possible for </w:t>
      </w:r>
      <w:r w:rsidR="00950A52">
        <w:t>multiple</w:t>
      </w:r>
      <w:r>
        <w:t xml:space="preserve"> </w:t>
      </w:r>
      <w:r w:rsidR="00275C8D">
        <w:t>CMRS attachments</w:t>
      </w:r>
      <w:r w:rsidR="003430E5">
        <w:t xml:space="preserve"> </w:t>
      </w:r>
      <w:r w:rsidR="00837EA5">
        <w:t>to</w:t>
      </w:r>
      <w:r w:rsidR="003430E5">
        <w:t xml:space="preserve"> </w:t>
      </w:r>
      <w:r>
        <w:t>share</w:t>
      </w:r>
      <w:r w:rsidR="003430E5">
        <w:t xml:space="preserve"> the same pole space</w:t>
      </w:r>
      <w:r w:rsidR="00275C8D">
        <w:t xml:space="preserve"> (</w:t>
      </w:r>
      <w:r w:rsidR="00F82B11">
        <w:t xml:space="preserve">i.e., attached </w:t>
      </w:r>
      <w:r>
        <w:t xml:space="preserve">to the pole </w:t>
      </w:r>
      <w:r w:rsidR="00F82B11">
        <w:t xml:space="preserve">in the same horizontal plane </w:t>
      </w:r>
      <w:r>
        <w:t>but on</w:t>
      </w:r>
      <w:r w:rsidR="00275C8D">
        <w:t xml:space="preserve"> different sides of the pole)</w:t>
      </w:r>
      <w:r w:rsidR="003430E5">
        <w:t xml:space="preserve">.  </w:t>
      </w:r>
      <w:r w:rsidR="00347A03">
        <w:t xml:space="preserve">When this occurs, the 7.4% attachment fee </w:t>
      </w:r>
      <w:r w:rsidR="003430E5">
        <w:t>shall</w:t>
      </w:r>
      <w:r w:rsidR="00347A03">
        <w:t xml:space="preserve"> app</w:t>
      </w:r>
      <w:r w:rsidR="003430E5">
        <w:t>l</w:t>
      </w:r>
      <w:r w:rsidR="00347A03">
        <w:t>y</w:t>
      </w:r>
      <w:r w:rsidR="003430E5">
        <w:t xml:space="preserve"> once</w:t>
      </w:r>
      <w:r w:rsidR="00347A03">
        <w:t xml:space="preserve"> </w:t>
      </w:r>
      <w:r w:rsidR="003430E5">
        <w:t>per</w:t>
      </w:r>
      <w:r w:rsidR="00347A03">
        <w:t xml:space="preserve"> each </w:t>
      </w:r>
      <w:r w:rsidR="00275C8D">
        <w:t xml:space="preserve">vertical </w:t>
      </w:r>
      <w:r w:rsidR="00347A03">
        <w:t xml:space="preserve">foot of pole </w:t>
      </w:r>
      <w:r w:rsidR="00275C8D">
        <w:t>length</w:t>
      </w:r>
      <w:r w:rsidR="00347A03">
        <w:t xml:space="preserve">, </w:t>
      </w:r>
      <w:r w:rsidR="00CB1C94">
        <w:t xml:space="preserve">regardless of the number of CMRS attachments that share </w:t>
      </w:r>
      <w:r w:rsidR="00347A03">
        <w:t xml:space="preserve">the same </w:t>
      </w:r>
      <w:r w:rsidR="00CB1C94">
        <w:t>pole</w:t>
      </w:r>
      <w:r w:rsidR="00347A03">
        <w:t xml:space="preserve"> space.  </w:t>
      </w:r>
      <w:r w:rsidR="00837EA5">
        <w:t xml:space="preserve">If </w:t>
      </w:r>
      <w:r w:rsidR="00241F75">
        <w:t xml:space="preserve">multiple </w:t>
      </w:r>
      <w:r w:rsidR="00837EA5">
        <w:t xml:space="preserve">CMRS </w:t>
      </w:r>
      <w:r w:rsidR="00275C8D">
        <w:lastRenderedPageBreak/>
        <w:t xml:space="preserve">attachments </w:t>
      </w:r>
      <w:r w:rsidR="00241F75">
        <w:t xml:space="preserve">in the same pole space are owned by different entities, </w:t>
      </w:r>
      <w:r w:rsidR="00275C8D">
        <w:t>the 7.4%</w:t>
      </w:r>
      <w:r w:rsidR="00837EA5">
        <w:t> </w:t>
      </w:r>
      <w:r w:rsidR="00241F75">
        <w:t xml:space="preserve">per-foot </w:t>
      </w:r>
      <w:r w:rsidR="00275C8D">
        <w:t xml:space="preserve">fee shall be allocated equally to each attachment.  </w:t>
      </w:r>
    </w:p>
    <w:p w:rsidR="008D6867" w:rsidRDefault="0095531A" w:rsidP="008E33A0">
      <w:pPr>
        <w:pStyle w:val="standard"/>
      </w:pPr>
      <w:r>
        <w:t>We decline to ad</w:t>
      </w:r>
      <w:r w:rsidR="00451B2A">
        <w:t>o</w:t>
      </w:r>
      <w:r>
        <w:t>pt the Electric IOU</w:t>
      </w:r>
      <w:r w:rsidR="00425641">
        <w:t>/T</w:t>
      </w:r>
      <w:r w:rsidR="00950A52">
        <w:t>U</w:t>
      </w:r>
      <w:r w:rsidR="00425641">
        <w:t>R</w:t>
      </w:r>
      <w:r w:rsidR="00950A52">
        <w:t>N</w:t>
      </w:r>
      <w:r>
        <w:t xml:space="preserve"> proposal to charge a separate 7.4% </w:t>
      </w:r>
      <w:r w:rsidR="0069126D">
        <w:t xml:space="preserve">attachment </w:t>
      </w:r>
      <w:r>
        <w:t xml:space="preserve">fee for each </w:t>
      </w:r>
      <w:r w:rsidR="000B6A8E">
        <w:t>CMRS attachment</w:t>
      </w:r>
      <w:r>
        <w:t xml:space="preserve"> that occupies the same vertical pole space</w:t>
      </w:r>
      <w:r w:rsidR="008D6867">
        <w:t xml:space="preserve">.  </w:t>
      </w:r>
      <w:r w:rsidR="00950A52">
        <w:t>Under t</w:t>
      </w:r>
      <w:r w:rsidR="008D6867">
        <w:t>his proposal</w:t>
      </w:r>
      <w:r w:rsidR="00950A52">
        <w:t xml:space="preserve">, </w:t>
      </w:r>
      <w:r w:rsidR="008D6867">
        <w:t xml:space="preserve">two </w:t>
      </w:r>
      <w:r w:rsidR="000B6A8E">
        <w:t>attachments</w:t>
      </w:r>
      <w:r w:rsidR="008D6867">
        <w:t xml:space="preserve"> that share the same pole space </w:t>
      </w:r>
      <w:r w:rsidR="00950A52">
        <w:t>would</w:t>
      </w:r>
      <w:r w:rsidR="008D6867">
        <w:t xml:space="preserve"> pay twice for the space, and three </w:t>
      </w:r>
      <w:r w:rsidR="000B6A8E">
        <w:t>attachments</w:t>
      </w:r>
      <w:r w:rsidR="008D6867">
        <w:t xml:space="preserve"> that share the same pole space </w:t>
      </w:r>
      <w:r w:rsidR="00950A52">
        <w:t>would</w:t>
      </w:r>
      <w:r w:rsidR="008D6867">
        <w:t xml:space="preserve"> pay thrice.  </w:t>
      </w:r>
      <w:r w:rsidR="00950A52">
        <w:t xml:space="preserve">We conclude that it would be unduly discriminatory to charge </w:t>
      </w:r>
      <w:r w:rsidR="008D6867">
        <w:t xml:space="preserve">CMRS attachments a fee that is double or triple the fee levied on </w:t>
      </w:r>
      <w:r w:rsidR="004F131D">
        <w:t>CLEC</w:t>
      </w:r>
      <w:r w:rsidR="008D6867">
        <w:t xml:space="preserve"> and CATV attachments for the same </w:t>
      </w:r>
      <w:r w:rsidR="000B6A8E">
        <w:t xml:space="preserve">amount of </w:t>
      </w:r>
      <w:r w:rsidR="008D6867">
        <w:t xml:space="preserve">pole space.  </w:t>
      </w:r>
      <w:r w:rsidR="00950A52">
        <w:t xml:space="preserve"> </w:t>
      </w:r>
      <w:r w:rsidR="008D6867">
        <w:t xml:space="preserve">  </w:t>
      </w:r>
    </w:p>
    <w:p w:rsidR="000C5F3E" w:rsidRDefault="000C5F3E" w:rsidP="00A845DC">
      <w:pPr>
        <w:pStyle w:val="Heading4"/>
      </w:pPr>
      <w:bookmarkStart w:id="42" w:name="_Toc424321903"/>
      <w:bookmarkStart w:id="43" w:name="_Toc436647325"/>
      <w:r>
        <w:t>Common Space</w:t>
      </w:r>
      <w:bookmarkEnd w:id="42"/>
      <w:bookmarkEnd w:id="43"/>
      <w:r>
        <w:t xml:space="preserve"> </w:t>
      </w:r>
    </w:p>
    <w:p w:rsidR="003062AA" w:rsidRDefault="0005207A" w:rsidP="008E33A0">
      <w:pPr>
        <w:pStyle w:val="standard"/>
      </w:pPr>
      <w:r>
        <w:t>T</w:t>
      </w:r>
      <w:r w:rsidR="00F36EA9">
        <w:t xml:space="preserve">he first </w:t>
      </w:r>
      <w:r>
        <w:t xml:space="preserve">15 to </w:t>
      </w:r>
      <w:r w:rsidR="00F36EA9">
        <w:t xml:space="preserve">18 feet of pole space above ground level is known as the “common space.”  </w:t>
      </w:r>
      <w:r w:rsidR="00116EA5">
        <w:t xml:space="preserve">Communication lines and power lines </w:t>
      </w:r>
      <w:r w:rsidR="00F36EA9">
        <w:t xml:space="preserve">are not allowed in the common space in order to provide sufficient clearance for vehicles and other traffic to pass safely underneath the lines.  However, </w:t>
      </w:r>
      <w:r w:rsidR="00116EA5">
        <w:t xml:space="preserve">CMRS </w:t>
      </w:r>
      <w:r w:rsidR="00F36EA9">
        <w:t>equipment may be att</w:t>
      </w:r>
      <w:r w:rsidR="00116EA5">
        <w:t xml:space="preserve">ached </w:t>
      </w:r>
      <w:r w:rsidR="008D6867">
        <w:t xml:space="preserve">to </w:t>
      </w:r>
      <w:r w:rsidR="00116EA5">
        <w:t>a pole</w:t>
      </w:r>
      <w:r w:rsidR="008D6867">
        <w:t xml:space="preserve"> in the</w:t>
      </w:r>
      <w:r w:rsidR="00116EA5">
        <w:t xml:space="preserve"> common space</w:t>
      </w:r>
      <w:r w:rsidR="00F36EA9">
        <w:t>.</w:t>
      </w:r>
      <w:r w:rsidR="00116EA5">
        <w:t xml:space="preserve">  </w:t>
      </w:r>
      <w:r w:rsidR="009B51A8">
        <w:t>A</w:t>
      </w:r>
      <w:r w:rsidR="00595526">
        <w:t xml:space="preserve"> typical CMRS installation includes two or more </w:t>
      </w:r>
      <w:r w:rsidR="00BF4292">
        <w:t xml:space="preserve">attachments </w:t>
      </w:r>
      <w:r w:rsidR="00595526">
        <w:t>in a pole’s common space</w:t>
      </w:r>
      <w:r w:rsidR="009B51A8">
        <w:t xml:space="preserve"> that together </w:t>
      </w:r>
      <w:r w:rsidR="00595526">
        <w:t xml:space="preserve">can occupy </w:t>
      </w:r>
      <w:r w:rsidR="00EE2335">
        <w:t xml:space="preserve">several feet of pole </w:t>
      </w:r>
      <w:r w:rsidR="00BF4292">
        <w:t>space.</w:t>
      </w:r>
      <w:r w:rsidR="00EE2335">
        <w:rPr>
          <w:rStyle w:val="FootnoteReference"/>
        </w:rPr>
        <w:footnoteReference w:id="47"/>
      </w:r>
      <w:r w:rsidR="00BF4292">
        <w:t xml:space="preserve">  </w:t>
      </w:r>
    </w:p>
    <w:p w:rsidR="00C40E8D" w:rsidRDefault="00C40E8D" w:rsidP="00C40E8D">
      <w:pPr>
        <w:pStyle w:val="standard"/>
      </w:pPr>
      <w:r>
        <w:t>We conclude that applying the 7.4% fee to CMRS attachments in the common space is consistent with the Commission</w:t>
      </w:r>
      <w:r w:rsidR="009B51A8">
        <w:t>’s</w:t>
      </w:r>
      <w:r>
        <w:t xml:space="preserve"> </w:t>
      </w:r>
      <w:r w:rsidR="009B51A8">
        <w:t xml:space="preserve">holding in D.98-10-058 </w:t>
      </w:r>
      <w:r>
        <w:t xml:space="preserve">that </w:t>
      </w:r>
      <w:r w:rsidR="004F131D">
        <w:t>CLEC</w:t>
      </w:r>
      <w:r>
        <w:t xml:space="preserve"> attachments </w:t>
      </w:r>
      <w:r w:rsidR="009B51A8">
        <w:t>which</w:t>
      </w:r>
      <w:r>
        <w:t xml:space="preserve"> occupy more pole space than CATV attachment</w:t>
      </w:r>
      <w:r w:rsidR="009B51A8">
        <w:t>s</w:t>
      </w:r>
      <w:r>
        <w:t>, or which otherwise encumber property to a greater degree than CATV attachments, may be charged a higher pole</w:t>
      </w:r>
      <w:r w:rsidR="00916F85">
        <w:t>-</w:t>
      </w:r>
      <w:r>
        <w:t>attachment fee than CATV attachments.</w:t>
      </w:r>
      <w:r>
        <w:rPr>
          <w:rStyle w:val="FootnoteReference"/>
        </w:rPr>
        <w:footnoteReference w:id="48"/>
      </w:r>
      <w:r>
        <w:t xml:space="preserve">  CMRS pole installations </w:t>
      </w:r>
      <w:r w:rsidR="00E8539F">
        <w:t>occupy</w:t>
      </w:r>
      <w:r>
        <w:t xml:space="preserve"> more pole space than </w:t>
      </w:r>
      <w:r w:rsidR="005D2389">
        <w:t>CATV</w:t>
      </w:r>
      <w:r>
        <w:t xml:space="preserve"> (and </w:t>
      </w:r>
      <w:r w:rsidR="004F131D">
        <w:t>CLEC</w:t>
      </w:r>
      <w:r>
        <w:t>) installations</w:t>
      </w:r>
      <w:r w:rsidR="00D43AF5">
        <w:t xml:space="preserve"> </w:t>
      </w:r>
      <w:r w:rsidR="00CF1E38">
        <w:lastRenderedPageBreak/>
        <w:t xml:space="preserve">and, therefore, </w:t>
      </w:r>
      <w:r w:rsidR="00D43AF5">
        <w:t xml:space="preserve">may </w:t>
      </w:r>
      <w:r>
        <w:t xml:space="preserve">be charged a higher pole-attachment fee than CATV </w:t>
      </w:r>
      <w:r w:rsidR="00D43AF5">
        <w:t xml:space="preserve">(and CLEC) </w:t>
      </w:r>
      <w:r>
        <w:t>installations.</w:t>
      </w:r>
      <w:r w:rsidR="006751F0">
        <w:rPr>
          <w:rStyle w:val="FootnoteReference"/>
        </w:rPr>
        <w:footnoteReference w:id="49"/>
      </w:r>
      <w:r>
        <w:t xml:space="preserve"> </w:t>
      </w:r>
    </w:p>
    <w:p w:rsidR="009B51A8" w:rsidRDefault="009B51A8" w:rsidP="009B51A8">
      <w:pPr>
        <w:pStyle w:val="standard"/>
      </w:pPr>
      <w:r>
        <w:t xml:space="preserve">We are not persuaded by AT&amp;T Mobility and other Opponents that it is discriminatory to levy the 7.4% per-foot fee on CMRS attachments in the common space, but not on CLEC and CATV attachments in the common space.  Most CMRS pole installations include attachments in the common space, while the vast majority of CLEC and CATV installations do not.  Thus, CMRS installations are differently situated with respect to attachments in the common space.  We conclude that because attachments in the common space comprise a significant proportion of all CMRS pole attachments, while the vast majority of CLEC and CATV attachments are in the usable space, it would be </w:t>
      </w:r>
      <w:r w:rsidR="00044DE4">
        <w:t>unduly</w:t>
      </w:r>
      <w:r>
        <w:t xml:space="preserve"> discriminatory to exempt a significant proportion of CMRS attachments from the 7.4% fee when almost all CLEC and CATV attachments are subject to the fee.</w:t>
      </w:r>
      <w:r>
        <w:rPr>
          <w:rStyle w:val="FootnoteReference"/>
        </w:rPr>
        <w:footnoteReference w:id="50"/>
      </w:r>
    </w:p>
    <w:p w:rsidR="00F73972" w:rsidRDefault="00060C8E" w:rsidP="008E33A0">
      <w:pPr>
        <w:pStyle w:val="standard"/>
      </w:pPr>
      <w:r>
        <w:t xml:space="preserve">It would also be unfair to pole owners </w:t>
      </w:r>
      <w:r w:rsidR="006751F0">
        <w:t xml:space="preserve">if </w:t>
      </w:r>
      <w:r w:rsidR="009B51A8">
        <w:t xml:space="preserve">CMRS attachments in the common space were exempt from the 7.4% fee.  </w:t>
      </w:r>
      <w:r w:rsidR="003645F0">
        <w:t xml:space="preserve">Because a pole has finite </w:t>
      </w:r>
      <w:r w:rsidR="00C40E8D">
        <w:t xml:space="preserve">space and </w:t>
      </w:r>
      <w:r w:rsidR="005C44AD">
        <w:t xml:space="preserve">load-bearing </w:t>
      </w:r>
      <w:r w:rsidR="003645F0">
        <w:t xml:space="preserve">capacity, </w:t>
      </w:r>
      <w:r w:rsidR="001807AA">
        <w:t xml:space="preserve">the pole </w:t>
      </w:r>
      <w:r w:rsidR="00C40E8D">
        <w:t xml:space="preserve">space </w:t>
      </w:r>
      <w:r w:rsidR="001807AA">
        <w:t xml:space="preserve">and load bearing capacity </w:t>
      </w:r>
      <w:r w:rsidR="00BD48FC">
        <w:t>that is devoted to</w:t>
      </w:r>
      <w:r w:rsidR="00C40E8D">
        <w:t xml:space="preserve"> CMRS attachments in the common space</w:t>
      </w:r>
      <w:r w:rsidR="001807AA">
        <w:t xml:space="preserve"> detracts from </w:t>
      </w:r>
      <w:r w:rsidR="003645F0">
        <w:t xml:space="preserve">the </w:t>
      </w:r>
      <w:r w:rsidR="001807AA">
        <w:t xml:space="preserve">common space available </w:t>
      </w:r>
      <w:r w:rsidR="00916F85">
        <w:t>for o</w:t>
      </w:r>
      <w:r w:rsidR="001807AA">
        <w:t>ther attach</w:t>
      </w:r>
      <w:r w:rsidR="00916F85">
        <w:t>ments</w:t>
      </w:r>
      <w:r w:rsidR="001807AA">
        <w:t>,</w:t>
      </w:r>
      <w:r w:rsidR="00356F75">
        <w:rPr>
          <w:rStyle w:val="FootnoteReference"/>
        </w:rPr>
        <w:footnoteReference w:id="51"/>
      </w:r>
      <w:r w:rsidR="001807AA">
        <w:t xml:space="preserve"> and detracts from the load-bearing </w:t>
      </w:r>
      <w:r w:rsidR="003645F0">
        <w:lastRenderedPageBreak/>
        <w:t xml:space="preserve">capacity available </w:t>
      </w:r>
      <w:r w:rsidR="00635AF4">
        <w:t xml:space="preserve">for other attachments </w:t>
      </w:r>
      <w:r w:rsidR="005C44AD">
        <w:t>anywhere on the pole</w:t>
      </w:r>
      <w:r w:rsidR="003645F0">
        <w:t xml:space="preserve">. </w:t>
      </w:r>
      <w:r w:rsidR="00F73972">
        <w:t xml:space="preserve"> </w:t>
      </w:r>
      <w:r w:rsidR="00950A52">
        <w:t>Applying the 7.4%</w:t>
      </w:r>
      <w:r w:rsidR="00916F85">
        <w:t> </w:t>
      </w:r>
      <w:r w:rsidR="00950A52">
        <w:t xml:space="preserve">fee to CMRS attachments in the common space </w:t>
      </w:r>
      <w:r w:rsidR="00916F85">
        <w:t xml:space="preserve">compensates pole owners for the opportunity costs they incur for such attachments.  </w:t>
      </w:r>
      <w:r w:rsidR="00950A52">
        <w:t xml:space="preserve">  </w:t>
      </w:r>
    </w:p>
    <w:p w:rsidR="00C23DC4" w:rsidRDefault="008C03FA" w:rsidP="00316E77">
      <w:pPr>
        <w:pStyle w:val="standard"/>
      </w:pPr>
      <w:r>
        <w:t xml:space="preserve">We are not persuaded by AT&amp;T </w:t>
      </w:r>
      <w:r w:rsidR="009914D7">
        <w:t xml:space="preserve">Mobility </w:t>
      </w:r>
      <w:r>
        <w:t xml:space="preserve">and other </w:t>
      </w:r>
      <w:r w:rsidR="009914D7">
        <w:t>O</w:t>
      </w:r>
      <w:r>
        <w:t xml:space="preserve">pponents that because the cost of the pole is apportioned over 13.5 feet of </w:t>
      </w:r>
      <w:r w:rsidR="00BD25E5">
        <w:t xml:space="preserve">usable </w:t>
      </w:r>
      <w:r>
        <w:t xml:space="preserve">pole space </w:t>
      </w:r>
      <w:r w:rsidR="00702188">
        <w:t>(resulting in an annual attachment fee of 7.4% for each foot of usable space)</w:t>
      </w:r>
      <w:r>
        <w:t>, CMRS attachments in the usable space pay a fair share of the pole’s cost</w:t>
      </w:r>
      <w:r w:rsidR="00BD48FC">
        <w:t>-</w:t>
      </w:r>
      <w:r>
        <w:t>of</w:t>
      </w:r>
      <w:r w:rsidR="00BD48FC">
        <w:t>-</w:t>
      </w:r>
      <w:r>
        <w:t xml:space="preserve">ownership, without an additional </w:t>
      </w:r>
      <w:r w:rsidR="00A17CCB">
        <w:t xml:space="preserve">7.4% </w:t>
      </w:r>
      <w:r>
        <w:t xml:space="preserve">fee on CMRS attachments in the common space.  </w:t>
      </w:r>
      <w:r w:rsidR="00BD48FC">
        <w:t>The flaw in the Opponents’ argument is that t</w:t>
      </w:r>
      <w:r w:rsidR="00513747">
        <w:t>he 7.4% </w:t>
      </w:r>
      <w:r w:rsidR="00B408CF">
        <w:t xml:space="preserve">fee </w:t>
      </w:r>
      <w:r w:rsidR="00734585">
        <w:t xml:space="preserve">was adopted </w:t>
      </w:r>
      <w:r w:rsidR="00B476FF">
        <w:t xml:space="preserve">at a time </w:t>
      </w:r>
      <w:r w:rsidR="00734585">
        <w:t xml:space="preserve">when the vast majority of pole attachments were </w:t>
      </w:r>
      <w:r w:rsidR="0005207A">
        <w:t xml:space="preserve">confined to </w:t>
      </w:r>
      <w:r w:rsidR="00513747">
        <w:t xml:space="preserve">the </w:t>
      </w:r>
      <w:r w:rsidR="007A530C">
        <w:t>usable space</w:t>
      </w:r>
      <w:r w:rsidR="00B408CF">
        <w:t xml:space="preserve">.  This paradigm has been upended by </w:t>
      </w:r>
      <w:r w:rsidR="00A451AD">
        <w:t>the</w:t>
      </w:r>
      <w:r w:rsidR="00BD25E5">
        <w:t xml:space="preserve"> </w:t>
      </w:r>
      <w:r w:rsidR="00B408CF">
        <w:t xml:space="preserve">rapidly growing CMRS industry that </w:t>
      </w:r>
      <w:r w:rsidR="00BD48FC">
        <w:t>routinely</w:t>
      </w:r>
      <w:r w:rsidR="00B408CF">
        <w:t xml:space="preserve"> </w:t>
      </w:r>
      <w:r w:rsidR="00BD48FC">
        <w:t xml:space="preserve">places </w:t>
      </w:r>
      <w:r w:rsidR="00734585">
        <w:t xml:space="preserve">pole </w:t>
      </w:r>
      <w:r w:rsidR="00BD48FC">
        <w:t xml:space="preserve">attachments in </w:t>
      </w:r>
      <w:r w:rsidR="00B408CF">
        <w:t>the common space.  In effect, a pole’s usable space now encompass</w:t>
      </w:r>
      <w:r w:rsidR="0005207A">
        <w:t>es the common space</w:t>
      </w:r>
      <w:r w:rsidR="00B408CF">
        <w:t xml:space="preserve">.  </w:t>
      </w:r>
      <w:r w:rsidR="006D5B09">
        <w:t xml:space="preserve"> </w:t>
      </w:r>
    </w:p>
    <w:p w:rsidR="00017176" w:rsidRDefault="002C35EF" w:rsidP="00A845DC">
      <w:pPr>
        <w:pStyle w:val="Heading4"/>
      </w:pPr>
      <w:bookmarkStart w:id="44" w:name="_Toc424321905"/>
      <w:bookmarkStart w:id="45" w:name="_Toc436647326"/>
      <w:r>
        <w:t>Pole</w:t>
      </w:r>
      <w:r w:rsidR="00916F85">
        <w:t>-</w:t>
      </w:r>
      <w:r w:rsidRPr="00F50793">
        <w:t>Attachment</w:t>
      </w:r>
      <w:r>
        <w:t xml:space="preserve"> Fees </w:t>
      </w:r>
      <w:r w:rsidR="00AB7EE8">
        <w:t>i</w:t>
      </w:r>
      <w:r w:rsidR="006A4D83">
        <w:t xml:space="preserve">n Excess of </w:t>
      </w:r>
      <w:r>
        <w:t>100%</w:t>
      </w:r>
      <w:bookmarkEnd w:id="44"/>
      <w:bookmarkEnd w:id="45"/>
      <w:r w:rsidR="00E42D0E">
        <w:t xml:space="preserve"> </w:t>
      </w:r>
    </w:p>
    <w:p w:rsidR="00B40E62" w:rsidRDefault="002846FB" w:rsidP="00B40E62">
      <w:pPr>
        <w:pStyle w:val="standard"/>
      </w:pPr>
      <w:r>
        <w:t xml:space="preserve">The pole space occupied by a CMRS installation can </w:t>
      </w:r>
      <w:r w:rsidR="003A10F4">
        <w:t>exceed</w:t>
      </w:r>
      <w:r w:rsidR="006E3EFF">
        <w:t xml:space="preserve"> 10</w:t>
      </w:r>
      <w:r w:rsidR="00FD7FD4">
        <w:t> </w:t>
      </w:r>
      <w:r>
        <w:t>feet</w:t>
      </w:r>
      <w:r w:rsidR="006E3EFF">
        <w:t>, depending on the configuration and applicable safety clearances</w:t>
      </w:r>
      <w:r>
        <w:t xml:space="preserve">.  </w:t>
      </w:r>
      <w:r w:rsidR="00A73F11">
        <w:t xml:space="preserve">This can </w:t>
      </w:r>
      <w:r w:rsidR="006E3EFF">
        <w:t xml:space="preserve">lead to </w:t>
      </w:r>
      <w:r w:rsidR="005A4FCF">
        <w:t>an</w:t>
      </w:r>
      <w:r w:rsidR="00A73F11">
        <w:t xml:space="preserve"> annual pole</w:t>
      </w:r>
      <w:r w:rsidR="00A44DDB">
        <w:noBreakHyphen/>
      </w:r>
      <w:r w:rsidR="00A73F11">
        <w:t xml:space="preserve">attachment fee </w:t>
      </w:r>
      <w:r w:rsidR="00FD7FD4">
        <w:t xml:space="preserve">for a CMRS </w:t>
      </w:r>
      <w:r w:rsidR="003A10F4">
        <w:t>installation</w:t>
      </w:r>
      <w:r w:rsidR="00FD7FD4">
        <w:t xml:space="preserve"> that is</w:t>
      </w:r>
      <w:r w:rsidR="00A73F11">
        <w:t xml:space="preserve"> 74</w:t>
      </w:r>
      <w:r w:rsidR="00FD7FD4">
        <w:t>.0</w:t>
      </w:r>
      <w:r w:rsidR="00A73F11">
        <w:t>% or more of the pole’s annual cost</w:t>
      </w:r>
      <w:r w:rsidR="00E42D0E">
        <w:t>-</w:t>
      </w:r>
      <w:r w:rsidR="00A73F11">
        <w:t>of</w:t>
      </w:r>
      <w:r w:rsidR="00E42D0E">
        <w:t>-</w:t>
      </w:r>
      <w:r w:rsidR="00A73F11">
        <w:t>ownership</w:t>
      </w:r>
      <w:r w:rsidR="00380C1A">
        <w:t xml:space="preserve">.  </w:t>
      </w:r>
      <w:r w:rsidR="000117FE">
        <w:t xml:space="preserve">The following table shows that the </w:t>
      </w:r>
      <w:r w:rsidR="00380C1A">
        <w:t xml:space="preserve">implied </w:t>
      </w:r>
      <w:r w:rsidR="000117FE">
        <w:t xml:space="preserve">fee </w:t>
      </w:r>
      <w:r w:rsidR="00FD7FD4">
        <w:t xml:space="preserve">for all </w:t>
      </w:r>
      <w:r w:rsidR="005A4FCF">
        <w:t xml:space="preserve">pole </w:t>
      </w:r>
      <w:r w:rsidR="00FD7FD4">
        <w:t>attachments c</w:t>
      </w:r>
      <w:r w:rsidR="000117FE">
        <w:t xml:space="preserve">an exceed 100%:  </w:t>
      </w:r>
    </w:p>
    <w:p w:rsidR="002846FB" w:rsidRDefault="002846FB" w:rsidP="00BF33EC">
      <w:pPr>
        <w:pStyle w:val="standard"/>
        <w:spacing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3177"/>
        <w:gridCol w:w="2394"/>
      </w:tblGrid>
      <w:tr w:rsidR="00BF33EC" w:rsidRPr="008149C9" w:rsidTr="00E82BF5">
        <w:trPr>
          <w:cantSplit/>
          <w:tblHeader/>
          <w:jc w:val="center"/>
        </w:trPr>
        <w:tc>
          <w:tcPr>
            <w:tcW w:w="3353" w:type="dxa"/>
            <w:shd w:val="clear" w:color="auto" w:fill="D9D9D9"/>
            <w:vAlign w:val="bottom"/>
          </w:tcPr>
          <w:p w:rsidR="00BF33EC" w:rsidRPr="008149C9" w:rsidRDefault="00BF33EC" w:rsidP="002B75D5">
            <w:pPr>
              <w:pStyle w:val="standard"/>
              <w:keepNext/>
              <w:widowControl w:val="0"/>
              <w:spacing w:before="40" w:after="40" w:line="240" w:lineRule="auto"/>
              <w:ind w:firstLine="0"/>
              <w:jc w:val="center"/>
              <w:rPr>
                <w:b/>
              </w:rPr>
            </w:pPr>
            <w:r w:rsidRPr="008149C9">
              <w:rPr>
                <w:b/>
              </w:rPr>
              <w:lastRenderedPageBreak/>
              <w:t>Attachment</w:t>
            </w:r>
          </w:p>
        </w:tc>
        <w:tc>
          <w:tcPr>
            <w:tcW w:w="3177" w:type="dxa"/>
            <w:shd w:val="clear" w:color="auto" w:fill="D9D9D9"/>
            <w:vAlign w:val="bottom"/>
          </w:tcPr>
          <w:p w:rsidR="00BF33EC" w:rsidRPr="008149C9" w:rsidRDefault="00BF33EC" w:rsidP="002B75D5">
            <w:pPr>
              <w:pStyle w:val="standard"/>
              <w:keepNext/>
              <w:widowControl w:val="0"/>
              <w:spacing w:before="40" w:after="40" w:line="240" w:lineRule="auto"/>
              <w:ind w:firstLine="0"/>
              <w:jc w:val="center"/>
              <w:rPr>
                <w:b/>
              </w:rPr>
            </w:pPr>
            <w:r w:rsidRPr="008149C9">
              <w:rPr>
                <w:b/>
              </w:rPr>
              <w:t>Occupied Pole Space (with Safety Clearances)</w:t>
            </w:r>
          </w:p>
        </w:tc>
        <w:tc>
          <w:tcPr>
            <w:tcW w:w="2394" w:type="dxa"/>
            <w:shd w:val="clear" w:color="auto" w:fill="D9D9D9"/>
            <w:vAlign w:val="bottom"/>
          </w:tcPr>
          <w:p w:rsidR="00BF33EC" w:rsidRPr="008149C9" w:rsidRDefault="00BF33EC" w:rsidP="003D2772">
            <w:pPr>
              <w:pStyle w:val="standard"/>
              <w:keepNext/>
              <w:widowControl w:val="0"/>
              <w:spacing w:before="40" w:after="40" w:line="240" w:lineRule="auto"/>
              <w:ind w:firstLine="0"/>
              <w:jc w:val="center"/>
              <w:rPr>
                <w:b/>
              </w:rPr>
            </w:pPr>
            <w:r w:rsidRPr="008149C9">
              <w:rPr>
                <w:b/>
              </w:rPr>
              <w:t xml:space="preserve">Annual Fee </w:t>
            </w:r>
            <w:r w:rsidR="003D2772">
              <w:rPr>
                <w:b/>
              </w:rPr>
              <w:t>at</w:t>
            </w:r>
            <w:r w:rsidRPr="008149C9">
              <w:rPr>
                <w:b/>
              </w:rPr>
              <w:t xml:space="preserve"> 7.4% per Foot</w:t>
            </w:r>
          </w:p>
        </w:tc>
      </w:tr>
      <w:tr w:rsidR="00BF33EC" w:rsidTr="008149C9">
        <w:trPr>
          <w:cantSplit/>
          <w:jc w:val="center"/>
        </w:trPr>
        <w:tc>
          <w:tcPr>
            <w:tcW w:w="3353" w:type="dxa"/>
            <w:shd w:val="clear" w:color="auto" w:fill="auto"/>
            <w:vAlign w:val="center"/>
          </w:tcPr>
          <w:p w:rsidR="00BF33EC" w:rsidRDefault="00BF33EC" w:rsidP="005A5C1D">
            <w:pPr>
              <w:pStyle w:val="standard"/>
              <w:keepNext/>
              <w:widowControl w:val="0"/>
              <w:spacing w:before="40" w:after="40" w:line="240" w:lineRule="auto"/>
              <w:ind w:firstLine="0"/>
            </w:pPr>
            <w:r>
              <w:t>CMRS Installation</w:t>
            </w:r>
          </w:p>
        </w:tc>
        <w:tc>
          <w:tcPr>
            <w:tcW w:w="3177" w:type="dxa"/>
            <w:shd w:val="clear" w:color="auto" w:fill="auto"/>
            <w:vAlign w:val="center"/>
          </w:tcPr>
          <w:p w:rsidR="009F4D6F" w:rsidRDefault="009F4D6F" w:rsidP="009F4D6F">
            <w:pPr>
              <w:pStyle w:val="standard"/>
              <w:keepNext/>
              <w:widowControl w:val="0"/>
              <w:spacing w:before="40" w:after="40" w:line="240" w:lineRule="auto"/>
              <w:ind w:firstLine="0"/>
              <w:jc w:val="center"/>
            </w:pPr>
            <w:r>
              <w:t xml:space="preserve">10 Feet </w:t>
            </w:r>
            <w:r w:rsidRPr="009F4D6F">
              <w:rPr>
                <w:sz w:val="22"/>
                <w:szCs w:val="22"/>
              </w:rPr>
              <w:t>(</w:t>
            </w:r>
            <w:r>
              <w:rPr>
                <w:sz w:val="22"/>
                <w:szCs w:val="22"/>
              </w:rPr>
              <w:t>Will Vary</w:t>
            </w:r>
            <w:r w:rsidRPr="009F4D6F">
              <w:rPr>
                <w:sz w:val="22"/>
                <w:szCs w:val="22"/>
              </w:rPr>
              <w:t>)</w:t>
            </w:r>
          </w:p>
        </w:tc>
        <w:tc>
          <w:tcPr>
            <w:tcW w:w="2394" w:type="dxa"/>
            <w:shd w:val="clear" w:color="auto" w:fill="auto"/>
            <w:vAlign w:val="center"/>
          </w:tcPr>
          <w:p w:rsidR="00BF33EC" w:rsidRDefault="00BF33EC" w:rsidP="005A5C1D">
            <w:pPr>
              <w:pStyle w:val="standard"/>
              <w:keepNext/>
              <w:widowControl w:val="0"/>
              <w:spacing w:before="40" w:after="40" w:line="240" w:lineRule="auto"/>
              <w:ind w:firstLine="0"/>
              <w:jc w:val="center"/>
            </w:pPr>
            <w:r>
              <w:t>74.0%</w:t>
            </w:r>
          </w:p>
        </w:tc>
      </w:tr>
      <w:tr w:rsidR="00BF33EC" w:rsidTr="008149C9">
        <w:trPr>
          <w:cantSplit/>
          <w:jc w:val="center"/>
        </w:trPr>
        <w:tc>
          <w:tcPr>
            <w:tcW w:w="3353" w:type="dxa"/>
            <w:shd w:val="clear" w:color="auto" w:fill="auto"/>
            <w:vAlign w:val="center"/>
          </w:tcPr>
          <w:p w:rsidR="00BF33EC" w:rsidRDefault="00BF33EC" w:rsidP="005A5C1D">
            <w:pPr>
              <w:pStyle w:val="standard"/>
              <w:keepNext/>
              <w:widowControl w:val="0"/>
              <w:spacing w:before="40" w:after="40" w:line="240" w:lineRule="auto"/>
              <w:ind w:firstLine="0"/>
            </w:pPr>
            <w:r>
              <w:t>7</w:t>
            </w:r>
            <w:r w:rsidR="00D50757">
              <w:t>,</w:t>
            </w:r>
            <w:r>
              <w:t>5</w:t>
            </w:r>
            <w:r w:rsidR="00D50757">
              <w:t>0</w:t>
            </w:r>
            <w:r>
              <w:t>0 Volt Power Lines</w:t>
            </w:r>
          </w:p>
        </w:tc>
        <w:tc>
          <w:tcPr>
            <w:tcW w:w="3177" w:type="dxa"/>
            <w:shd w:val="clear" w:color="auto" w:fill="auto"/>
            <w:vAlign w:val="center"/>
          </w:tcPr>
          <w:p w:rsidR="009F4D6F" w:rsidRPr="009F4D6F" w:rsidRDefault="00D50757" w:rsidP="009F4D6F">
            <w:pPr>
              <w:pStyle w:val="standard"/>
              <w:keepNext/>
              <w:widowControl w:val="0"/>
              <w:spacing w:before="40" w:after="40" w:line="240" w:lineRule="auto"/>
              <w:ind w:firstLine="0"/>
              <w:jc w:val="center"/>
              <w:rPr>
                <w:sz w:val="22"/>
                <w:szCs w:val="22"/>
              </w:rPr>
            </w:pPr>
            <w:r>
              <w:t>6</w:t>
            </w:r>
            <w:r w:rsidR="00BF33EC">
              <w:t xml:space="preserve"> Feet</w:t>
            </w:r>
            <w:r w:rsidR="009F4D6F">
              <w:t xml:space="preserve"> </w:t>
            </w:r>
            <w:r w:rsidR="009F4D6F" w:rsidRPr="009F4D6F">
              <w:rPr>
                <w:sz w:val="22"/>
                <w:szCs w:val="22"/>
              </w:rPr>
              <w:t>(</w:t>
            </w:r>
            <w:r w:rsidR="009F4D6F">
              <w:rPr>
                <w:sz w:val="22"/>
                <w:szCs w:val="22"/>
              </w:rPr>
              <w:t>Will Vary</w:t>
            </w:r>
            <w:r w:rsidR="009F4D6F" w:rsidRPr="009F4D6F">
              <w:rPr>
                <w:sz w:val="22"/>
                <w:szCs w:val="22"/>
              </w:rPr>
              <w:t>)</w:t>
            </w:r>
          </w:p>
        </w:tc>
        <w:tc>
          <w:tcPr>
            <w:tcW w:w="2394" w:type="dxa"/>
            <w:shd w:val="clear" w:color="auto" w:fill="auto"/>
            <w:vAlign w:val="center"/>
          </w:tcPr>
          <w:p w:rsidR="00BF33EC" w:rsidRDefault="00C62872" w:rsidP="00C62872">
            <w:pPr>
              <w:pStyle w:val="standard"/>
              <w:keepNext/>
              <w:widowControl w:val="0"/>
              <w:spacing w:before="40" w:after="40" w:line="240" w:lineRule="auto"/>
              <w:ind w:firstLine="0"/>
              <w:jc w:val="center"/>
            </w:pPr>
            <w:r>
              <w:t>44</w:t>
            </w:r>
            <w:r w:rsidR="00BF33EC">
              <w:t>.</w:t>
            </w:r>
            <w:r>
              <w:t>4</w:t>
            </w:r>
            <w:r w:rsidR="006E3EFF">
              <w:t>%</w:t>
            </w:r>
          </w:p>
        </w:tc>
      </w:tr>
      <w:tr w:rsidR="00BF33EC" w:rsidTr="008149C9">
        <w:trPr>
          <w:cantSplit/>
          <w:jc w:val="center"/>
        </w:trPr>
        <w:tc>
          <w:tcPr>
            <w:tcW w:w="3353" w:type="dxa"/>
            <w:shd w:val="clear" w:color="auto" w:fill="auto"/>
            <w:vAlign w:val="center"/>
          </w:tcPr>
          <w:p w:rsidR="00BF33EC" w:rsidRDefault="00BF33EC" w:rsidP="00DC0B2B">
            <w:pPr>
              <w:pStyle w:val="standard"/>
              <w:keepNext/>
              <w:widowControl w:val="0"/>
              <w:spacing w:before="40" w:after="40" w:line="240" w:lineRule="auto"/>
              <w:ind w:firstLine="0"/>
            </w:pPr>
            <w:r>
              <w:t>Telephone Cable</w:t>
            </w:r>
          </w:p>
        </w:tc>
        <w:tc>
          <w:tcPr>
            <w:tcW w:w="3177" w:type="dxa"/>
            <w:shd w:val="clear" w:color="auto" w:fill="auto"/>
            <w:vAlign w:val="center"/>
          </w:tcPr>
          <w:p w:rsidR="00BF33EC" w:rsidRDefault="00BF33EC" w:rsidP="005A5C1D">
            <w:pPr>
              <w:pStyle w:val="standard"/>
              <w:keepNext/>
              <w:widowControl w:val="0"/>
              <w:spacing w:before="40" w:after="40" w:line="240" w:lineRule="auto"/>
              <w:ind w:firstLine="0"/>
              <w:jc w:val="center"/>
            </w:pPr>
            <w:r>
              <w:t>1 Foot</w:t>
            </w:r>
          </w:p>
        </w:tc>
        <w:tc>
          <w:tcPr>
            <w:tcW w:w="2394" w:type="dxa"/>
            <w:shd w:val="clear" w:color="auto" w:fill="auto"/>
            <w:vAlign w:val="center"/>
          </w:tcPr>
          <w:p w:rsidR="00BF33EC" w:rsidRDefault="00BF33EC" w:rsidP="005A5C1D">
            <w:pPr>
              <w:pStyle w:val="standard"/>
              <w:keepNext/>
              <w:widowControl w:val="0"/>
              <w:spacing w:before="40" w:after="40" w:line="240" w:lineRule="auto"/>
              <w:ind w:firstLine="0"/>
              <w:jc w:val="center"/>
            </w:pPr>
            <w:r>
              <w:t>7.4%</w:t>
            </w:r>
          </w:p>
        </w:tc>
      </w:tr>
      <w:tr w:rsidR="00BF33EC" w:rsidTr="008149C9">
        <w:trPr>
          <w:cantSplit/>
          <w:jc w:val="center"/>
        </w:trPr>
        <w:tc>
          <w:tcPr>
            <w:tcW w:w="3353" w:type="dxa"/>
            <w:shd w:val="clear" w:color="auto" w:fill="auto"/>
            <w:vAlign w:val="center"/>
          </w:tcPr>
          <w:p w:rsidR="00BF33EC" w:rsidRDefault="0090633D" w:rsidP="005A5C1D">
            <w:pPr>
              <w:pStyle w:val="standard"/>
              <w:keepNext/>
              <w:widowControl w:val="0"/>
              <w:spacing w:before="40" w:after="40" w:line="240" w:lineRule="auto"/>
              <w:ind w:firstLine="0"/>
            </w:pPr>
            <w:r>
              <w:t>CATV Cable</w:t>
            </w:r>
          </w:p>
        </w:tc>
        <w:tc>
          <w:tcPr>
            <w:tcW w:w="3177" w:type="dxa"/>
            <w:shd w:val="clear" w:color="auto" w:fill="auto"/>
            <w:vAlign w:val="center"/>
          </w:tcPr>
          <w:p w:rsidR="00BF33EC" w:rsidRDefault="00BF33EC" w:rsidP="005A5C1D">
            <w:pPr>
              <w:pStyle w:val="standard"/>
              <w:keepNext/>
              <w:widowControl w:val="0"/>
              <w:spacing w:before="40" w:after="40" w:line="240" w:lineRule="auto"/>
              <w:ind w:firstLine="0"/>
              <w:jc w:val="center"/>
            </w:pPr>
            <w:r>
              <w:t>1 Foot</w:t>
            </w:r>
          </w:p>
        </w:tc>
        <w:tc>
          <w:tcPr>
            <w:tcW w:w="2394" w:type="dxa"/>
            <w:shd w:val="clear" w:color="auto" w:fill="auto"/>
            <w:vAlign w:val="center"/>
          </w:tcPr>
          <w:p w:rsidR="00BF33EC" w:rsidRDefault="00BF33EC" w:rsidP="005A5C1D">
            <w:pPr>
              <w:pStyle w:val="standard"/>
              <w:keepNext/>
              <w:widowControl w:val="0"/>
              <w:spacing w:before="40" w:after="40" w:line="240" w:lineRule="auto"/>
              <w:ind w:firstLine="0"/>
              <w:jc w:val="center"/>
            </w:pPr>
            <w:r>
              <w:t>7.4%</w:t>
            </w:r>
          </w:p>
        </w:tc>
      </w:tr>
      <w:tr w:rsidR="00BF33EC" w:rsidRPr="008149C9" w:rsidTr="008149C9">
        <w:trPr>
          <w:cantSplit/>
          <w:jc w:val="center"/>
        </w:trPr>
        <w:tc>
          <w:tcPr>
            <w:tcW w:w="3353" w:type="dxa"/>
            <w:shd w:val="clear" w:color="auto" w:fill="auto"/>
            <w:vAlign w:val="center"/>
          </w:tcPr>
          <w:p w:rsidR="00BF33EC" w:rsidRPr="008149C9" w:rsidRDefault="00BF33EC" w:rsidP="008149C9">
            <w:pPr>
              <w:pStyle w:val="standard"/>
              <w:widowControl w:val="0"/>
              <w:spacing w:before="40" w:after="40" w:line="240" w:lineRule="auto"/>
              <w:ind w:firstLine="0"/>
              <w:rPr>
                <w:b/>
              </w:rPr>
            </w:pPr>
            <w:r w:rsidRPr="008149C9">
              <w:rPr>
                <w:b/>
              </w:rPr>
              <w:t>Total</w:t>
            </w:r>
          </w:p>
        </w:tc>
        <w:tc>
          <w:tcPr>
            <w:tcW w:w="3177" w:type="dxa"/>
            <w:shd w:val="clear" w:color="auto" w:fill="auto"/>
            <w:vAlign w:val="center"/>
          </w:tcPr>
          <w:p w:rsidR="00BF33EC" w:rsidRPr="008149C9" w:rsidRDefault="00BF33EC" w:rsidP="00C62872">
            <w:pPr>
              <w:pStyle w:val="standard"/>
              <w:widowControl w:val="0"/>
              <w:spacing w:before="40" w:after="40" w:line="240" w:lineRule="auto"/>
              <w:ind w:firstLine="0"/>
              <w:jc w:val="center"/>
              <w:rPr>
                <w:b/>
              </w:rPr>
            </w:pPr>
            <w:r w:rsidRPr="008149C9">
              <w:rPr>
                <w:b/>
              </w:rPr>
              <w:t>1</w:t>
            </w:r>
            <w:r w:rsidR="00C62872">
              <w:rPr>
                <w:b/>
              </w:rPr>
              <w:t>8 Feet</w:t>
            </w:r>
          </w:p>
        </w:tc>
        <w:tc>
          <w:tcPr>
            <w:tcW w:w="2394" w:type="dxa"/>
            <w:shd w:val="clear" w:color="auto" w:fill="auto"/>
            <w:vAlign w:val="center"/>
          </w:tcPr>
          <w:p w:rsidR="00BF33EC" w:rsidRPr="008149C9" w:rsidRDefault="00BF33EC" w:rsidP="00C62872">
            <w:pPr>
              <w:pStyle w:val="standard"/>
              <w:widowControl w:val="0"/>
              <w:spacing w:before="40" w:after="40" w:line="240" w:lineRule="auto"/>
              <w:ind w:firstLine="0"/>
              <w:jc w:val="center"/>
              <w:rPr>
                <w:b/>
              </w:rPr>
            </w:pPr>
            <w:r w:rsidRPr="008149C9">
              <w:rPr>
                <w:b/>
              </w:rPr>
              <w:t>1</w:t>
            </w:r>
            <w:r w:rsidR="00C62872">
              <w:rPr>
                <w:b/>
              </w:rPr>
              <w:t>33</w:t>
            </w:r>
            <w:r w:rsidRPr="008149C9">
              <w:rPr>
                <w:b/>
              </w:rPr>
              <w:t>.</w:t>
            </w:r>
            <w:r w:rsidR="00C62872">
              <w:rPr>
                <w:b/>
              </w:rPr>
              <w:t>2</w:t>
            </w:r>
            <w:r w:rsidRPr="008149C9">
              <w:rPr>
                <w:b/>
              </w:rPr>
              <w:t>%</w:t>
            </w:r>
          </w:p>
        </w:tc>
      </w:tr>
    </w:tbl>
    <w:p w:rsidR="000117FE" w:rsidRDefault="000117FE" w:rsidP="00BF33EC">
      <w:pPr>
        <w:pStyle w:val="standard"/>
        <w:spacing w:line="240" w:lineRule="auto"/>
      </w:pPr>
    </w:p>
    <w:p w:rsidR="00DC0B2B" w:rsidRDefault="00046174" w:rsidP="00B40E62">
      <w:pPr>
        <w:pStyle w:val="standard"/>
      </w:pPr>
      <w:r>
        <w:t>The purpose of the 7.4% pole</w:t>
      </w:r>
      <w:r>
        <w:noBreakHyphen/>
        <w:t xml:space="preserve">attachment fee </w:t>
      </w:r>
      <w:r w:rsidR="00E04EC2">
        <w:rPr>
          <w:rStyle w:val="standardChar"/>
        </w:rPr>
        <w:t>embodied in the ROW Rules is to ensure that attachers pay a reasonable share of a pole’s cost-of-ownership</w:t>
      </w:r>
      <w:r w:rsidR="00A17CCB">
        <w:rPr>
          <w:rStyle w:val="standardChar"/>
        </w:rPr>
        <w:t xml:space="preserve">. </w:t>
      </w:r>
      <w:r w:rsidR="003C326A">
        <w:t xml:space="preserve"> </w:t>
      </w:r>
      <w:r w:rsidR="00A17CCB">
        <w:t>T</w:t>
      </w:r>
      <w:r w:rsidR="00BD26A2">
        <w:t>h</w:t>
      </w:r>
      <w:r w:rsidR="00316E77">
        <w:t>is</w:t>
      </w:r>
      <w:r w:rsidR="00BD26A2">
        <w:t xml:space="preserve"> fee is not meant to </w:t>
      </w:r>
      <w:r w:rsidR="009F4D6F">
        <w:t>provide</w:t>
      </w:r>
      <w:r w:rsidR="00BD26A2">
        <w:t xml:space="preserve"> pole</w:t>
      </w:r>
      <w:r w:rsidR="009F4D6F">
        <w:t> </w:t>
      </w:r>
      <w:r w:rsidR="00BD26A2">
        <w:t xml:space="preserve">owners </w:t>
      </w:r>
      <w:r w:rsidR="009F4D6F">
        <w:t>with revenues that exceed their cost-of-</w:t>
      </w:r>
      <w:r w:rsidR="00A63B13">
        <w:t>ownership</w:t>
      </w:r>
      <w:r w:rsidR="009F4D6F">
        <w:t xml:space="preserve"> </w:t>
      </w:r>
      <w:r w:rsidR="00BD26A2">
        <w:t xml:space="preserve">for </w:t>
      </w:r>
      <w:r w:rsidR="009F4D6F">
        <w:t xml:space="preserve">a pole.  </w:t>
      </w:r>
    </w:p>
    <w:p w:rsidR="00046174" w:rsidRDefault="00A17CCB" w:rsidP="00B40E62">
      <w:pPr>
        <w:pStyle w:val="standard"/>
      </w:pPr>
      <w:r>
        <w:t>W</w:t>
      </w:r>
      <w:r w:rsidR="00BD26A2">
        <w:t>e conclude that the pole</w:t>
      </w:r>
      <w:r w:rsidR="004D4C52">
        <w:noBreakHyphen/>
      </w:r>
      <w:r w:rsidR="00BD26A2">
        <w:t xml:space="preserve">attachment fee for </w:t>
      </w:r>
      <w:r w:rsidR="004D4C52">
        <w:t xml:space="preserve">all components of a </w:t>
      </w:r>
      <w:r w:rsidR="00BD26A2">
        <w:t>CMRS</w:t>
      </w:r>
      <w:r>
        <w:t> </w:t>
      </w:r>
      <w:r w:rsidR="00BD26A2">
        <w:t xml:space="preserve">installation should not exceed 100% of the </w:t>
      </w:r>
      <w:r w:rsidR="00C80EE3">
        <w:t xml:space="preserve">host </w:t>
      </w:r>
      <w:r w:rsidR="004D4C52">
        <w:t xml:space="preserve">pole’s </w:t>
      </w:r>
      <w:r w:rsidR="00BD26A2">
        <w:t>cost</w:t>
      </w:r>
      <w:r w:rsidR="004D4C52">
        <w:t>-of-ownership</w:t>
      </w:r>
      <w:r w:rsidR="00BD26A2">
        <w:t xml:space="preserve">, less </w:t>
      </w:r>
      <w:r w:rsidR="006F3ABD">
        <w:t>the proportion of the pole’s cost</w:t>
      </w:r>
      <w:r w:rsidR="004D4C52">
        <w:t>-of-ownership</w:t>
      </w:r>
      <w:r w:rsidR="006F3ABD">
        <w:t xml:space="preserve"> that is </w:t>
      </w:r>
      <w:r w:rsidR="003A10F4">
        <w:t>allocable</w:t>
      </w:r>
      <w:r w:rsidR="00BD26A2">
        <w:t xml:space="preserve"> to </w:t>
      </w:r>
      <w:r w:rsidR="006F3ABD">
        <w:t xml:space="preserve">the pole space occupied by </w:t>
      </w:r>
      <w:r w:rsidR="004D4C52">
        <w:t>other attachments</w:t>
      </w:r>
      <w:r w:rsidR="00BD26A2">
        <w:t xml:space="preserve">.  </w:t>
      </w:r>
      <w:r w:rsidR="006F3ABD">
        <w:t xml:space="preserve">Using the above table as an example, the CMRS installation </w:t>
      </w:r>
      <w:r>
        <w:t>uses</w:t>
      </w:r>
      <w:r w:rsidR="006F3ABD">
        <w:t xml:space="preserve"> 10 feet out of 1</w:t>
      </w:r>
      <w:r w:rsidR="009F4D6F">
        <w:t>8</w:t>
      </w:r>
      <w:r w:rsidR="006F3ABD">
        <w:t xml:space="preserve"> feet of total occupied pole space.  </w:t>
      </w:r>
      <w:r>
        <w:t>T</w:t>
      </w:r>
      <w:r w:rsidR="006F3ABD">
        <w:t xml:space="preserve">he proportion of the pole’s </w:t>
      </w:r>
      <w:r w:rsidR="00316E77">
        <w:t xml:space="preserve">total </w:t>
      </w:r>
      <w:r w:rsidR="006F3ABD">
        <w:t>cost</w:t>
      </w:r>
      <w:r w:rsidR="00DC0B2B">
        <w:t>-of-ownership</w:t>
      </w:r>
      <w:r w:rsidR="006F3ABD">
        <w:t xml:space="preserve"> that </w:t>
      </w:r>
      <w:r>
        <w:t>is</w:t>
      </w:r>
      <w:r w:rsidR="006E3EFF">
        <w:t xml:space="preserve"> </w:t>
      </w:r>
      <w:r w:rsidR="006F3ABD">
        <w:t>allocable to the CMRS installation is 10/1</w:t>
      </w:r>
      <w:r w:rsidR="009F4D6F">
        <w:t>8</w:t>
      </w:r>
      <w:r w:rsidR="006F3ABD">
        <w:t xml:space="preserve">, or </w:t>
      </w:r>
      <w:r w:rsidR="009F4D6F">
        <w:t>55</w:t>
      </w:r>
      <w:r w:rsidR="006F3ABD">
        <w:t>.</w:t>
      </w:r>
      <w:r w:rsidR="009F4D6F">
        <w:t>6</w:t>
      </w:r>
      <w:r w:rsidR="006F3ABD">
        <w:t xml:space="preserve">%.  </w:t>
      </w:r>
      <w:r w:rsidR="00C8358C">
        <w:t>In situations where less than 100% of the pole’s cost</w:t>
      </w:r>
      <w:r w:rsidR="00DC0B2B">
        <w:t xml:space="preserve">-of-ownership </w:t>
      </w:r>
      <w:r w:rsidR="00C8358C">
        <w:t xml:space="preserve">is recovered (including the costs </w:t>
      </w:r>
      <w:r w:rsidR="003A10F4">
        <w:t>allocable</w:t>
      </w:r>
      <w:r w:rsidR="00C8358C">
        <w:t xml:space="preserve"> to the pole space occupied by </w:t>
      </w:r>
      <w:r w:rsidR="00DC0B2B">
        <w:t>other attachers</w:t>
      </w:r>
      <w:r w:rsidR="00C8358C">
        <w:t>), the pole</w:t>
      </w:r>
      <w:r w:rsidR="009F4D6F">
        <w:noBreakHyphen/>
      </w:r>
      <w:r w:rsidR="00C8358C">
        <w:t>attachment fee of 7.4% per foot shall apply</w:t>
      </w:r>
      <w:r w:rsidR="00E34457">
        <w:t xml:space="preserve"> </w:t>
      </w:r>
      <w:r w:rsidR="003B29D1">
        <w:t xml:space="preserve">to CMRS installations </w:t>
      </w:r>
      <w:r w:rsidR="00DA664A">
        <w:t>u</w:t>
      </w:r>
      <w:r w:rsidR="00E34457">
        <w:t>ntil the 100% cost</w:t>
      </w:r>
      <w:r w:rsidR="009F4D6F">
        <w:noBreakHyphen/>
      </w:r>
      <w:r w:rsidR="00E34457">
        <w:t>recovery limit is reached</w:t>
      </w:r>
      <w:r w:rsidR="00C8358C">
        <w:t>.</w:t>
      </w:r>
      <w:r w:rsidR="007547AD" w:rsidRPr="00E15E99">
        <w:rPr>
          <w:rStyle w:val="StandardFootnoteReferenceChar"/>
        </w:rPr>
        <w:footnoteReference w:id="52"/>
      </w:r>
    </w:p>
    <w:p w:rsidR="00E6449B" w:rsidRDefault="0044537E" w:rsidP="00B40E62">
      <w:pPr>
        <w:pStyle w:val="standard"/>
      </w:pPr>
      <w:r>
        <w:lastRenderedPageBreak/>
        <w:t xml:space="preserve">We </w:t>
      </w:r>
      <w:r w:rsidR="001148A2">
        <w:t>realize</w:t>
      </w:r>
      <w:r>
        <w:t xml:space="preserve"> that </w:t>
      </w:r>
      <w:r w:rsidR="001148A2">
        <w:t>t</w:t>
      </w:r>
      <w:r>
        <w:t xml:space="preserve">he 100% cap on </w:t>
      </w:r>
      <w:r w:rsidR="00DC0B2B">
        <w:t>cost recovery</w:t>
      </w:r>
      <w:r>
        <w:t xml:space="preserve"> for </w:t>
      </w:r>
      <w:r w:rsidR="006E695F">
        <w:t>each</w:t>
      </w:r>
      <w:r>
        <w:t xml:space="preserve"> pole may be complex to administer</w:t>
      </w:r>
      <w:r w:rsidR="001148A2">
        <w:t xml:space="preserve"> </w:t>
      </w:r>
      <w:r w:rsidR="00576E07">
        <w:t>o</w:t>
      </w:r>
      <w:r w:rsidR="001148A2">
        <w:t>n a pole-by-pole basis</w:t>
      </w:r>
      <w:r>
        <w:t>.  As permitted by the ROW</w:t>
      </w:r>
      <w:r w:rsidR="001148A2">
        <w:t> </w:t>
      </w:r>
      <w:r>
        <w:t xml:space="preserve">Rules, parties </w:t>
      </w:r>
      <w:r w:rsidR="009F4D6F">
        <w:t>may</w:t>
      </w:r>
      <w:r>
        <w:t xml:space="preserve"> negotiate </w:t>
      </w:r>
      <w:r w:rsidR="00AE068A">
        <w:t xml:space="preserve">terms and conditions that </w:t>
      </w:r>
      <w:r w:rsidR="00DC0B2B">
        <w:t>suit</w:t>
      </w:r>
      <w:r w:rsidR="00AE068A">
        <w:t xml:space="preserve"> their </w:t>
      </w:r>
      <w:r w:rsidR="00DC0B2B">
        <w:t>needs</w:t>
      </w:r>
      <w:r w:rsidR="00AE068A">
        <w:t>.</w:t>
      </w:r>
      <w:r w:rsidR="00A35916">
        <w:rPr>
          <w:rStyle w:val="FootnoteReference"/>
        </w:rPr>
        <w:footnoteReference w:id="53"/>
      </w:r>
      <w:r w:rsidR="002D5633">
        <w:t xml:space="preserve"> </w:t>
      </w:r>
    </w:p>
    <w:p w:rsidR="00C80EE3" w:rsidRDefault="00C80EE3" w:rsidP="00B40E62">
      <w:pPr>
        <w:pStyle w:val="standard"/>
      </w:pPr>
      <w:r>
        <w:t xml:space="preserve">We recognize that because the scope of today’s decision is limited to CMRS carriers, the 100% cap on cost recovery applies only to CMRS pole attachments, and not to CLEC and CATV </w:t>
      </w:r>
      <w:r w:rsidR="00B35D22">
        <w:t>pole</w:t>
      </w:r>
      <w:r w:rsidR="00862938">
        <w:t xml:space="preserve"> </w:t>
      </w:r>
      <w:r>
        <w:t>attachments.  CLECs and CATV</w:t>
      </w:r>
      <w:r w:rsidR="00B35D22">
        <w:t> </w:t>
      </w:r>
      <w:r>
        <w:t>corporations may request that the 100% cap on cost recovery apply to their pole</w:t>
      </w:r>
      <w:r w:rsidR="00B35D22">
        <w:t> </w:t>
      </w:r>
      <w:r>
        <w:t>attachments, too, by filing a petition for rulemaking pursuant to Rule</w:t>
      </w:r>
      <w:r w:rsidR="00B35D22">
        <w:t> </w:t>
      </w:r>
      <w:r>
        <w:t xml:space="preserve">6.3 of the Commission’s Rules of Practice and Procedure.  </w:t>
      </w:r>
      <w:r w:rsidR="008C74FB">
        <w:t>Any such petition should address, as appropriate, the issues in Section 3.2.3.8 of today’s decision.</w:t>
      </w:r>
    </w:p>
    <w:p w:rsidR="00E42D0E" w:rsidRDefault="00E42D0E" w:rsidP="00A845DC">
      <w:pPr>
        <w:pStyle w:val="Heading4"/>
      </w:pPr>
      <w:bookmarkStart w:id="46" w:name="_Toc424321904"/>
      <w:bookmarkStart w:id="47" w:name="_Toc436647327"/>
      <w:bookmarkStart w:id="48" w:name="_Toc424321906"/>
      <w:r>
        <w:t xml:space="preserve">Conduits, Risers, and </w:t>
      </w:r>
      <w:r w:rsidRPr="00F50793">
        <w:t>Electric</w:t>
      </w:r>
      <w:r>
        <w:t xml:space="preserve"> Meters</w:t>
      </w:r>
      <w:bookmarkEnd w:id="46"/>
      <w:bookmarkEnd w:id="47"/>
      <w:r>
        <w:t xml:space="preserve">  </w:t>
      </w:r>
    </w:p>
    <w:p w:rsidR="00BA4A69" w:rsidRDefault="00E42D0E" w:rsidP="00E42D0E">
      <w:pPr>
        <w:pStyle w:val="standard"/>
      </w:pPr>
      <w:r>
        <w:t xml:space="preserve">We agree with the parties that the 7.4% </w:t>
      </w:r>
      <w:r w:rsidR="00DC0B2B">
        <w:t xml:space="preserve">per-foot attachment </w:t>
      </w:r>
      <w:r>
        <w:t xml:space="preserve">fee should not apply to conduits, risers, and electric utility meters that are attached to a pole as part of a CMRS installation.  </w:t>
      </w:r>
      <w:r w:rsidR="00BA4A69">
        <w:t xml:space="preserve">In our opinion, it is neither necessary nor feasible to devise a rule that specifies the amount of pole space that a CMRS </w:t>
      </w:r>
      <w:r w:rsidR="00E8539F">
        <w:t>conduit</w:t>
      </w:r>
      <w:r w:rsidR="00BA4A69">
        <w:t xml:space="preserve"> or riser renders unusable for </w:t>
      </w:r>
      <w:r w:rsidR="009B60E2">
        <w:t>non</w:t>
      </w:r>
      <w:r w:rsidR="009B60E2">
        <w:noBreakHyphen/>
        <w:t>CMRS</w:t>
      </w:r>
      <w:r w:rsidR="00BA4A69">
        <w:t xml:space="preserve"> attachments.  </w:t>
      </w:r>
    </w:p>
    <w:p w:rsidR="00E42D0E" w:rsidRDefault="00E42D0E" w:rsidP="00E42D0E">
      <w:pPr>
        <w:pStyle w:val="standard"/>
      </w:pPr>
      <w:r>
        <w:t xml:space="preserve">The electric utility meter for a CMRS installation is owned by the electric utility.  Because the electric utility decides where to place the meter (e.g., on the pole, on a </w:t>
      </w:r>
      <w:r w:rsidR="00E8539F">
        <w:t>surface</w:t>
      </w:r>
      <w:r w:rsidR="00223F39">
        <w:t xml:space="preserve">-mound enclosure, </w:t>
      </w:r>
      <w:r>
        <w:t>or in an underground vault), the CMRS</w:t>
      </w:r>
      <w:r w:rsidR="00BA4A69">
        <w:t> </w:t>
      </w:r>
      <w:r>
        <w:t>carrier should not be charged a pole</w:t>
      </w:r>
      <w:r w:rsidR="00916F85">
        <w:t>-</w:t>
      </w:r>
      <w:r>
        <w:t xml:space="preserve">attachment fee if the electric utility elects to place the meter on the pole.   </w:t>
      </w:r>
    </w:p>
    <w:p w:rsidR="002D5633" w:rsidRDefault="002D5633" w:rsidP="00A845DC">
      <w:pPr>
        <w:pStyle w:val="Heading4"/>
      </w:pPr>
      <w:bookmarkStart w:id="49" w:name="_Toc436647328"/>
      <w:r>
        <w:lastRenderedPageBreak/>
        <w:t xml:space="preserve">No </w:t>
      </w:r>
      <w:r w:rsidRPr="00F50793">
        <w:t>Changes</w:t>
      </w:r>
      <w:r>
        <w:t xml:space="preserve"> t</w:t>
      </w:r>
      <w:r w:rsidR="00F578A3">
        <w:t xml:space="preserve">o </w:t>
      </w:r>
      <w:r w:rsidR="00001AD9">
        <w:t xml:space="preserve">Charges and Fees </w:t>
      </w:r>
      <w:r w:rsidR="00425641">
        <w:br/>
        <w:t xml:space="preserve">for </w:t>
      </w:r>
      <w:r w:rsidR="004F131D">
        <w:t>CLEC</w:t>
      </w:r>
      <w:r>
        <w:t xml:space="preserve"> and CATV Attachments</w:t>
      </w:r>
      <w:bookmarkEnd w:id="48"/>
      <w:bookmarkEnd w:id="49"/>
    </w:p>
    <w:p w:rsidR="002D5633" w:rsidRDefault="002D5633" w:rsidP="00B40E62">
      <w:pPr>
        <w:pStyle w:val="standard"/>
      </w:pPr>
      <w:r>
        <w:t xml:space="preserve">Today’s decision does not alter the </w:t>
      </w:r>
      <w:r w:rsidR="004F2E15">
        <w:t xml:space="preserve">existing </w:t>
      </w:r>
      <w:r w:rsidR="00001AD9">
        <w:t xml:space="preserve">charges and fees </w:t>
      </w:r>
      <w:r w:rsidR="00DB605D">
        <w:t xml:space="preserve">established by the ROW Rules for CLEC and </w:t>
      </w:r>
      <w:r w:rsidR="00F578A3">
        <w:t>CATV</w:t>
      </w:r>
      <w:r w:rsidR="004F2E15">
        <w:t xml:space="preserve"> </w:t>
      </w:r>
      <w:r w:rsidR="00BB065B">
        <w:t xml:space="preserve">wireline </w:t>
      </w:r>
      <w:r w:rsidR="004F2E15">
        <w:t xml:space="preserve">attachments.  </w:t>
      </w:r>
    </w:p>
    <w:p w:rsidR="00BB065B" w:rsidRDefault="00BB065B" w:rsidP="00BB065B">
      <w:pPr>
        <w:pStyle w:val="standard"/>
      </w:pPr>
      <w:bookmarkStart w:id="50" w:name="_Toc424321907"/>
      <w:r>
        <w:t>We decline to adopt CCTA and PCIA’s recommendation to apply the revised ROW Rules adopted by today decision for CMRS carriers to wireless facilities installed by CLECs and CATV corporations.  The Scoping Memo specifically excluded from the scope of this proceeding “revised fees and charges for [CLEC] and cable TV pole attachments.</w:t>
      </w:r>
      <w:r>
        <w:rPr>
          <w:rStyle w:val="FootnoteReference"/>
        </w:rPr>
        <w:footnoteReference w:id="54"/>
      </w:r>
      <w:r>
        <w:t>” However, there is no obvious reason why the revised ROW Rules adopted by today’s decision for CMRS facilities should not apply to wireless facilities installed by CLECs and CATV</w:t>
      </w:r>
      <w:r w:rsidR="006942CF">
        <w:t> </w:t>
      </w:r>
      <w:r>
        <w:t xml:space="preserve">corporations once certain issues, identified below, are resolved.  </w:t>
      </w:r>
    </w:p>
    <w:p w:rsidR="00BB065B" w:rsidRDefault="00BB065B" w:rsidP="00BB065B">
      <w:pPr>
        <w:pStyle w:val="standard"/>
      </w:pPr>
      <w:r>
        <w:t xml:space="preserve">We encourage CLECs and CATV corporations to file at their earliest convenience, pursuant to Rule 6.3 of the Commission’s Rules of Practice and Procedure, a petition for a rulemaking proceeding to extend the ROW Rules for CMRS facilities to the wireless facilities installed by CLECs and CATV corporations.  Any such petition should address the following issues: </w:t>
      </w:r>
    </w:p>
    <w:p w:rsidR="00BB065B" w:rsidRDefault="00BB065B" w:rsidP="00BB065B">
      <w:pPr>
        <w:pStyle w:val="standard"/>
        <w:numPr>
          <w:ilvl w:val="0"/>
          <w:numId w:val="20"/>
        </w:numPr>
        <w:spacing w:after="80" w:line="240" w:lineRule="auto"/>
        <w:ind w:left="1080" w:right="720"/>
      </w:pPr>
      <w:r>
        <w:t xml:space="preserve">How to harmonize the “per foot” pole-attachment fee adopted by today’s decision for CMRS pole attachments with the statutory provision in Pub. Util. Code </w:t>
      </w:r>
      <w:r>
        <w:rPr>
          <w:rFonts w:ascii="Book Antiqua" w:hAnsi="Book Antiqua"/>
        </w:rPr>
        <w:t>§</w:t>
      </w:r>
      <w:r>
        <w:t xml:space="preserve"> 767.5(a)(3) that establishes a 7.4% “per pole” fee for CATV wireline communication system attachments (and which applies to CLEC pole attachments pursuant to D.98-10-058). </w:t>
      </w:r>
    </w:p>
    <w:p w:rsidR="00BB065B" w:rsidRDefault="00BB065B" w:rsidP="00001AD9">
      <w:pPr>
        <w:pStyle w:val="standard"/>
        <w:keepLines/>
        <w:numPr>
          <w:ilvl w:val="0"/>
          <w:numId w:val="20"/>
        </w:numPr>
        <w:spacing w:after="80" w:line="240" w:lineRule="auto"/>
        <w:ind w:left="1080" w:right="720"/>
      </w:pPr>
      <w:r>
        <w:t xml:space="preserve">For CLEC and CATV pole installations that include both wireline communication system components and wireless communication system components, how to identify and distinguish the components that are subject to the “per pole” fee and the components that are subject to the “per foot” fee.  </w:t>
      </w:r>
    </w:p>
    <w:p w:rsidR="000135C5" w:rsidRDefault="004F5D92" w:rsidP="00D94EAA">
      <w:pPr>
        <w:pStyle w:val="standard"/>
        <w:keepLines/>
        <w:numPr>
          <w:ilvl w:val="0"/>
          <w:numId w:val="20"/>
        </w:numPr>
        <w:spacing w:after="240" w:line="240" w:lineRule="auto"/>
        <w:ind w:left="1080" w:right="720"/>
      </w:pPr>
      <w:r>
        <w:lastRenderedPageBreak/>
        <w:t xml:space="preserve">The Commission’s authority to apply and enforce its ROW Rules and safety regulations with respect </w:t>
      </w:r>
      <w:r w:rsidR="000135C5">
        <w:t>to CATV corporations’ wireless facilities in light of the Commission’s conclusion in D.15</w:t>
      </w:r>
      <w:r>
        <w:noBreakHyphen/>
      </w:r>
      <w:r w:rsidR="000135C5">
        <w:t>05</w:t>
      </w:r>
      <w:r>
        <w:noBreakHyphen/>
      </w:r>
      <w:r w:rsidR="000135C5">
        <w:t xml:space="preserve">002 that the term “cable” in Pub. Util. Code § 216.4 does not include satellites and other </w:t>
      </w:r>
      <w:r w:rsidR="0052729F">
        <w:t>forms</w:t>
      </w:r>
      <w:r w:rsidR="000135C5">
        <w:t xml:space="preserve"> of wireless transmission.</w:t>
      </w:r>
      <w:r w:rsidR="000135C5">
        <w:rPr>
          <w:rStyle w:val="FootnoteReference"/>
        </w:rPr>
        <w:footnoteReference w:id="55"/>
      </w:r>
      <w:r w:rsidR="009B28F3">
        <w:t xml:space="preserve"> </w:t>
      </w:r>
    </w:p>
    <w:p w:rsidR="00112F3F" w:rsidRDefault="00112F3F" w:rsidP="00214651">
      <w:pPr>
        <w:pStyle w:val="Heading2"/>
      </w:pPr>
      <w:bookmarkStart w:id="51" w:name="_Toc436640213"/>
      <w:bookmarkStart w:id="52" w:name="_Toc436647329"/>
      <w:bookmarkStart w:id="53" w:name="_Toc436647330"/>
      <w:bookmarkEnd w:id="51"/>
      <w:bookmarkEnd w:id="52"/>
      <w:r>
        <w:t>Adopted Changes to the Text of the ROW Rules</w:t>
      </w:r>
      <w:bookmarkEnd w:id="50"/>
      <w:bookmarkEnd w:id="53"/>
      <w:r>
        <w:t xml:space="preserve">  </w:t>
      </w:r>
    </w:p>
    <w:p w:rsidR="00112F3F" w:rsidRDefault="002E3FE8" w:rsidP="00112F3F">
      <w:pPr>
        <w:pStyle w:val="standard"/>
      </w:pPr>
      <w:r>
        <w:t xml:space="preserve">The </w:t>
      </w:r>
      <w:r w:rsidR="002C449E">
        <w:t xml:space="preserve">adopted </w:t>
      </w:r>
      <w:r>
        <w:t xml:space="preserve">amendments to the </w:t>
      </w:r>
      <w:r w:rsidR="002C449E">
        <w:t xml:space="preserve">text of the </w:t>
      </w:r>
      <w:r>
        <w:t xml:space="preserve">ROW Rules are </w:t>
      </w:r>
      <w:r w:rsidR="00B316AC">
        <w:t>contained</w:t>
      </w:r>
      <w:r>
        <w:t xml:space="preserve"> in Appendix A of today’s decision.  The adopted amendments consist of the following.  First, we </w:t>
      </w:r>
      <w:r w:rsidR="00223F39">
        <w:t xml:space="preserve">add </w:t>
      </w:r>
      <w:r>
        <w:t>the follow</w:t>
      </w:r>
      <w:r w:rsidR="00E60D22">
        <w:t>ing definition of “CMRS carrier</w:t>
      </w:r>
      <w:r w:rsidR="00446312">
        <w:t>”</w:t>
      </w:r>
      <w:r>
        <w:t xml:space="preserve">:      </w:t>
      </w:r>
    </w:p>
    <w:p w:rsidR="002E3FE8" w:rsidRDefault="002E3FE8" w:rsidP="00E60D22">
      <w:pPr>
        <w:pStyle w:val="standard"/>
        <w:spacing w:after="200" w:line="240" w:lineRule="auto"/>
        <w:ind w:left="1066" w:right="1080" w:hanging="144"/>
      </w:pPr>
      <w:r w:rsidRPr="00DC2E48">
        <w:t>“Commercial Mobile Radio Service (CMRS)</w:t>
      </w:r>
      <w:r>
        <w:t xml:space="preserve"> carrier</w:t>
      </w:r>
      <w:r w:rsidRPr="00DC2E48">
        <w:t xml:space="preserve">” </w:t>
      </w:r>
      <w:r>
        <w:t xml:space="preserve">is </w:t>
      </w:r>
      <w:r w:rsidRPr="00DC2E48">
        <w:t>a</w:t>
      </w:r>
      <w:r>
        <w:t xml:space="preserve">n entity that </w:t>
      </w:r>
      <w:r w:rsidRPr="00DC2E48">
        <w:t xml:space="preserve">holds </w:t>
      </w:r>
      <w:r w:rsidR="002B1767">
        <w:t xml:space="preserve">(1) </w:t>
      </w:r>
      <w:r w:rsidRPr="00DC2E48">
        <w:t>a current Wireless Identification Registration with the California Public Utilities Commission</w:t>
      </w:r>
      <w:r w:rsidR="002B1767">
        <w:t xml:space="preserve">, or (2) a current Certificate of Public Convenience and Necessity issued by the </w:t>
      </w:r>
      <w:r w:rsidR="002B1767" w:rsidRPr="00DC2E48">
        <w:t>California Public Utilities Commission</w:t>
      </w:r>
      <w:r w:rsidR="002B1767">
        <w:t xml:space="preserve"> that authorizes the holder to provide </w:t>
      </w:r>
      <w:r w:rsidR="002B1767" w:rsidRPr="00DC2E48">
        <w:t>Commercial Mobile Radio Service</w:t>
      </w:r>
      <w:r w:rsidRPr="00DC2E48">
        <w:t>.</w:t>
      </w:r>
    </w:p>
    <w:p w:rsidR="002D5633" w:rsidRDefault="00F1550D" w:rsidP="00A53601">
      <w:pPr>
        <w:pStyle w:val="standard"/>
      </w:pPr>
      <w:r>
        <w:t xml:space="preserve">As recommended by </w:t>
      </w:r>
      <w:r w:rsidR="004F09EE">
        <w:t xml:space="preserve">SED, </w:t>
      </w:r>
      <w:r w:rsidR="00A53601">
        <w:t>our</w:t>
      </w:r>
      <w:r w:rsidR="00FA4BE4">
        <w:t xml:space="preserve"> adopted definition of “CMRS carrier” </w:t>
      </w:r>
      <w:r w:rsidR="00A53601">
        <w:t xml:space="preserve">uses the term “Wireless </w:t>
      </w:r>
      <w:r w:rsidR="00E8539F">
        <w:t>Identification</w:t>
      </w:r>
      <w:r w:rsidR="00A53601">
        <w:t xml:space="preserve"> Registration” instead of the terms </w:t>
      </w:r>
      <w:r w:rsidR="00FA4BE4" w:rsidRPr="009C07D6">
        <w:t>“cellular services, personal communications services, wide area specialized mobile radio services, and two-way radiotelephone services</w:t>
      </w:r>
      <w:r w:rsidR="00FA4BE4">
        <w:t>.</w:t>
      </w:r>
      <w:r w:rsidR="00FA4BE4" w:rsidRPr="009C07D6">
        <w:t xml:space="preserve">” </w:t>
      </w:r>
      <w:r w:rsidR="00FA4BE4">
        <w:t xml:space="preserve"> </w:t>
      </w:r>
      <w:r w:rsidR="00FA4BE4" w:rsidRPr="009C07D6">
        <w:t xml:space="preserve">This was done in recognition of the fact that </w:t>
      </w:r>
      <w:r w:rsidR="00B316AC">
        <w:t xml:space="preserve">wireless </w:t>
      </w:r>
      <w:r w:rsidR="00FA4BE4" w:rsidRPr="009C07D6">
        <w:t xml:space="preserve">technology </w:t>
      </w:r>
      <w:r w:rsidR="00E60D22">
        <w:t xml:space="preserve">and services </w:t>
      </w:r>
      <w:r w:rsidR="00FA4BE4" w:rsidRPr="009C07D6">
        <w:t>continue to evolve.  It is possible that these terms may not always describe CMRS</w:t>
      </w:r>
      <w:r w:rsidR="003375D6">
        <w:t> </w:t>
      </w:r>
      <w:r w:rsidR="00FA4BE4">
        <w:t>carriers</w:t>
      </w:r>
      <w:r w:rsidR="00FA4BE4" w:rsidRPr="009C07D6">
        <w:t>.</w:t>
      </w:r>
      <w:r w:rsidR="00A53601">
        <w:rPr>
          <w:rStyle w:val="FootnoteReference"/>
        </w:rPr>
        <w:footnoteReference w:id="56"/>
      </w:r>
      <w:r w:rsidR="00FA4BE4">
        <w:t xml:space="preserve"> </w:t>
      </w:r>
    </w:p>
    <w:p w:rsidR="00890542" w:rsidRPr="00446312" w:rsidRDefault="00890542" w:rsidP="00446312">
      <w:pPr>
        <w:pStyle w:val="standard"/>
        <w:rPr>
          <w:rFonts w:eastAsia="Arial"/>
        </w:rPr>
      </w:pPr>
      <w:r>
        <w:t>Second, we insert the defined term “CMRS carrier” in</w:t>
      </w:r>
      <w:r w:rsidR="00CD0071">
        <w:t>to</w:t>
      </w:r>
      <w:r>
        <w:t xml:space="preserve"> the operative provisions of the ROW</w:t>
      </w:r>
      <w:r w:rsidR="00CD0071">
        <w:t> </w:t>
      </w:r>
      <w:r>
        <w:t>Rules where the defined terms “</w:t>
      </w:r>
      <w:r w:rsidR="00F742F9">
        <w:t>telecommunications carri</w:t>
      </w:r>
      <w:r w:rsidR="00CA63BF">
        <w:t>e</w:t>
      </w:r>
      <w:r w:rsidR="00F742F9">
        <w:t>r</w:t>
      </w:r>
      <w:r>
        <w:t>” and “cable television</w:t>
      </w:r>
      <w:r w:rsidR="00F742F9">
        <w:t xml:space="preserve"> company</w:t>
      </w:r>
      <w:r>
        <w:t>” appear.</w:t>
      </w:r>
      <w:r w:rsidR="0027581C">
        <w:t xml:space="preserve">  </w:t>
      </w:r>
      <w:r w:rsidR="0027581C">
        <w:rPr>
          <w:rFonts w:eastAsia="Arial"/>
        </w:rPr>
        <w:t>We also adopt ancillary changes to the ROW Rules that are necessary to integrate CM</w:t>
      </w:r>
      <w:r w:rsidR="005C2349">
        <w:rPr>
          <w:rFonts w:eastAsia="Arial"/>
        </w:rPr>
        <w:t xml:space="preserve">RS carriers into the </w:t>
      </w:r>
      <w:r w:rsidR="005C2349">
        <w:rPr>
          <w:rFonts w:eastAsia="Arial"/>
        </w:rPr>
        <w:lastRenderedPageBreak/>
        <w:t>rules, but</w:t>
      </w:r>
      <w:r w:rsidR="0027581C">
        <w:rPr>
          <w:rFonts w:eastAsia="Arial"/>
        </w:rPr>
        <w:t xml:space="preserve"> which are otherwise non-substantive.  </w:t>
      </w:r>
      <w:r w:rsidR="00F742F9">
        <w:rPr>
          <w:rFonts w:eastAsia="Arial"/>
        </w:rPr>
        <w:t xml:space="preserve">These </w:t>
      </w:r>
      <w:r w:rsidR="00E8539F">
        <w:rPr>
          <w:rFonts w:eastAsia="Arial"/>
        </w:rPr>
        <w:t>ancillary</w:t>
      </w:r>
      <w:r w:rsidR="00F742F9">
        <w:rPr>
          <w:rFonts w:eastAsia="Arial"/>
        </w:rPr>
        <w:t xml:space="preserve"> changes include the addition of the adjective “telecommunications” </w:t>
      </w:r>
      <w:r w:rsidR="00446312">
        <w:rPr>
          <w:rFonts w:eastAsia="Arial"/>
        </w:rPr>
        <w:t xml:space="preserve">before the noun “carrier” </w:t>
      </w:r>
      <w:r w:rsidR="00F742F9">
        <w:rPr>
          <w:rFonts w:eastAsia="Arial"/>
        </w:rPr>
        <w:t>at several places in the ROW Rules</w:t>
      </w:r>
      <w:r w:rsidR="00446312">
        <w:rPr>
          <w:rFonts w:eastAsia="Arial"/>
        </w:rPr>
        <w:t xml:space="preserve"> so that the rules </w:t>
      </w:r>
      <w:r w:rsidR="00F742F9">
        <w:rPr>
          <w:rFonts w:eastAsia="Arial"/>
        </w:rPr>
        <w:t xml:space="preserve">clearly distinguish between “telecommunications carriers” and “CMRS carriers.”  </w:t>
      </w:r>
    </w:p>
    <w:p w:rsidR="0027581C" w:rsidRDefault="0027581C" w:rsidP="00B40E62">
      <w:pPr>
        <w:pStyle w:val="standard"/>
      </w:pPr>
      <w:r>
        <w:t>Third, we correct a non-substantive error in the text of the ROW Rules</w:t>
      </w:r>
      <w:r w:rsidR="00FB4566">
        <w:t xml:space="preserve">, at Section VI.A, </w:t>
      </w:r>
      <w:r>
        <w:t>as recommended by AT&amp;T Mobility.</w:t>
      </w:r>
      <w:r w:rsidR="00EF08C9">
        <w:rPr>
          <w:rStyle w:val="FootnoteReference"/>
        </w:rPr>
        <w:footnoteReference w:id="57"/>
      </w:r>
      <w:r>
        <w:t xml:space="preserve">  </w:t>
      </w:r>
    </w:p>
    <w:p w:rsidR="00FA4BE4" w:rsidRDefault="00252A02" w:rsidP="00B40E62">
      <w:pPr>
        <w:pStyle w:val="standard"/>
      </w:pPr>
      <w:r>
        <w:t>Fourth</w:t>
      </w:r>
      <w:r w:rsidR="00890542">
        <w:t xml:space="preserve">, </w:t>
      </w:r>
      <w:r w:rsidR="00B32B2D">
        <w:t xml:space="preserve">as suggested by </w:t>
      </w:r>
      <w:r w:rsidR="003D4425">
        <w:t xml:space="preserve">CCTA, </w:t>
      </w:r>
      <w:r w:rsidR="00890542">
        <w:t>we add a new section to the ROW</w:t>
      </w:r>
      <w:r w:rsidR="003D4425">
        <w:t> </w:t>
      </w:r>
      <w:r w:rsidR="00890542">
        <w:t xml:space="preserve">Rules that separately lists the charges </w:t>
      </w:r>
      <w:r w:rsidR="00B316AC">
        <w:t xml:space="preserve">and fees </w:t>
      </w:r>
      <w:r w:rsidR="00E60D22">
        <w:t>for</w:t>
      </w:r>
      <w:r w:rsidR="00890542">
        <w:t xml:space="preserve"> CMRS pole attachments so that it is clear that such charges </w:t>
      </w:r>
      <w:r w:rsidR="009B3F08">
        <w:t xml:space="preserve">and fees </w:t>
      </w:r>
      <w:r w:rsidR="00890542">
        <w:t xml:space="preserve">are </w:t>
      </w:r>
      <w:r w:rsidR="00B32B2D">
        <w:t>distinct</w:t>
      </w:r>
      <w:r w:rsidR="00890542">
        <w:t xml:space="preserve"> from, and do not apply to, </w:t>
      </w:r>
      <w:r w:rsidR="004F131D">
        <w:t>CLEC</w:t>
      </w:r>
      <w:r w:rsidR="00890542">
        <w:t xml:space="preserve"> and CATV wi</w:t>
      </w:r>
      <w:r w:rsidR="003D4425">
        <w:t>reline attachments.</w:t>
      </w:r>
      <w:r w:rsidR="00B32B2D">
        <w:rPr>
          <w:rStyle w:val="FootnoteReference"/>
        </w:rPr>
        <w:footnoteReference w:id="58"/>
      </w:r>
      <w:r w:rsidR="003D4425">
        <w:t xml:space="preserve">  The existing sections are renumbered to reflect the addition of the new section for CMRS charges</w:t>
      </w:r>
      <w:r w:rsidR="009B3F08">
        <w:t xml:space="preserve"> and fees</w:t>
      </w:r>
      <w:r w:rsidR="003D4425">
        <w:t xml:space="preserve">.  </w:t>
      </w:r>
    </w:p>
    <w:p w:rsidR="00CF612B" w:rsidRDefault="00252A02" w:rsidP="00B40E62">
      <w:pPr>
        <w:pStyle w:val="standard"/>
        <w:rPr>
          <w:rFonts w:eastAsia="Arial"/>
        </w:rPr>
      </w:pPr>
      <w:r>
        <w:rPr>
          <w:rFonts w:eastAsia="Arial"/>
        </w:rPr>
        <w:t>Finally, as recommended by the Electric IOUs</w:t>
      </w:r>
      <w:r w:rsidR="00CF612B">
        <w:rPr>
          <w:rFonts w:eastAsia="Arial"/>
        </w:rPr>
        <w:t xml:space="preserve">, </w:t>
      </w:r>
      <w:r w:rsidR="009B3F08">
        <w:rPr>
          <w:rFonts w:eastAsia="Arial"/>
        </w:rPr>
        <w:t>our</w:t>
      </w:r>
      <w:r w:rsidR="00CF612B">
        <w:rPr>
          <w:rFonts w:eastAsia="Arial"/>
        </w:rPr>
        <w:t xml:space="preserve"> adopted revisions to the ROW</w:t>
      </w:r>
      <w:r>
        <w:rPr>
          <w:rFonts w:eastAsia="Arial"/>
        </w:rPr>
        <w:t> </w:t>
      </w:r>
      <w:r w:rsidR="00CF612B">
        <w:rPr>
          <w:rFonts w:eastAsia="Arial"/>
        </w:rPr>
        <w:t xml:space="preserve">Rules </w:t>
      </w:r>
      <w:r w:rsidR="007856EB">
        <w:rPr>
          <w:rFonts w:eastAsia="Arial"/>
        </w:rPr>
        <w:t xml:space="preserve">include a </w:t>
      </w:r>
      <w:r>
        <w:rPr>
          <w:rFonts w:eastAsia="Arial"/>
        </w:rPr>
        <w:t xml:space="preserve">new </w:t>
      </w:r>
      <w:r w:rsidR="007856EB">
        <w:rPr>
          <w:rFonts w:eastAsia="Arial"/>
        </w:rPr>
        <w:t xml:space="preserve">requirement </w:t>
      </w:r>
      <w:r>
        <w:rPr>
          <w:rFonts w:eastAsia="Arial"/>
        </w:rPr>
        <w:t xml:space="preserve">in </w:t>
      </w:r>
      <w:r w:rsidR="00E8539F">
        <w:rPr>
          <w:rFonts w:eastAsia="Arial"/>
        </w:rPr>
        <w:t>Section</w:t>
      </w:r>
      <w:r w:rsidR="007856EB">
        <w:rPr>
          <w:rFonts w:eastAsia="Arial"/>
        </w:rPr>
        <w:t xml:space="preserve"> VI.B.1.c that a public utility must apply the same charges </w:t>
      </w:r>
      <w:r w:rsidR="009B3F08">
        <w:rPr>
          <w:rFonts w:eastAsia="Arial"/>
        </w:rPr>
        <w:t xml:space="preserve">and fees </w:t>
      </w:r>
      <w:r w:rsidR="007856EB">
        <w:rPr>
          <w:rFonts w:eastAsia="Arial"/>
        </w:rPr>
        <w:t>to all similarly situated CMRS carriers.</w:t>
      </w:r>
      <w:r w:rsidR="007856EB">
        <w:rPr>
          <w:rStyle w:val="FootnoteReference"/>
          <w:rFonts w:eastAsia="Arial"/>
        </w:rPr>
        <w:footnoteReference w:id="59"/>
      </w:r>
      <w:r w:rsidR="007856EB">
        <w:rPr>
          <w:rFonts w:eastAsia="Arial"/>
        </w:rPr>
        <w:t xml:space="preserve">  </w:t>
      </w:r>
    </w:p>
    <w:p w:rsidR="0012103F" w:rsidRDefault="00FB4566" w:rsidP="00B40E62">
      <w:pPr>
        <w:pStyle w:val="standard"/>
        <w:rPr>
          <w:rFonts w:eastAsia="Arial"/>
        </w:rPr>
      </w:pPr>
      <w:r>
        <w:rPr>
          <w:rFonts w:eastAsia="Arial"/>
        </w:rPr>
        <w:t>We decline to adopt AT&amp;T Mobility’s recommendation to revise the definition of “usable space” in the ROW Rules to include “</w:t>
      </w:r>
      <w:r w:rsidRPr="00FB4566">
        <w:rPr>
          <w:rFonts w:eastAsia="Arial"/>
        </w:rPr>
        <w:t>any attachment at the top of the pole or on a pole top extension</w:t>
      </w:r>
      <w:r>
        <w:rPr>
          <w:rFonts w:eastAsia="Arial"/>
        </w:rPr>
        <w:t xml:space="preserve">.”  </w:t>
      </w:r>
      <w:r w:rsidR="009D23F8">
        <w:rPr>
          <w:rFonts w:eastAsia="Arial"/>
        </w:rPr>
        <w:t xml:space="preserve">The proposed text </w:t>
      </w:r>
      <w:r w:rsidR="0012103F">
        <w:rPr>
          <w:rFonts w:eastAsia="Arial"/>
        </w:rPr>
        <w:t xml:space="preserve">could be misinterpreted as defining pole-top attachments and extensions as being an integral part of the pole instead of an attachment to the pole.   </w:t>
      </w:r>
    </w:p>
    <w:p w:rsidR="002C1C54" w:rsidRDefault="002C1C54" w:rsidP="00214651">
      <w:pPr>
        <w:pStyle w:val="Heading2"/>
      </w:pPr>
      <w:bookmarkStart w:id="54" w:name="_Toc436647331"/>
      <w:r>
        <w:t xml:space="preserve">No Tariffs for </w:t>
      </w:r>
      <w:r w:rsidR="005A683E">
        <w:t>CMRS Attachments</w:t>
      </w:r>
      <w:bookmarkEnd w:id="54"/>
    </w:p>
    <w:p w:rsidR="002C1C54" w:rsidRDefault="002C1C54" w:rsidP="002C1C54">
      <w:pPr>
        <w:pStyle w:val="standard"/>
        <w:rPr>
          <w:szCs w:val="24"/>
        </w:rPr>
      </w:pPr>
      <w:r>
        <w:t xml:space="preserve">We decline to adopt </w:t>
      </w:r>
      <w:r w:rsidRPr="002E556C">
        <w:t>TURN</w:t>
      </w:r>
      <w:r>
        <w:t xml:space="preserve">’s </w:t>
      </w:r>
      <w:r w:rsidRPr="002E556C">
        <w:t>recommend</w:t>
      </w:r>
      <w:r>
        <w:t xml:space="preserve">ation to </w:t>
      </w:r>
      <w:r w:rsidRPr="002E556C">
        <w:t xml:space="preserve">order PG&amp;E, SCE and SDG&amp;E to file advice letters for approval of tariffs that establish:  (a) CMRS pole </w:t>
      </w:r>
      <w:r w:rsidRPr="002E556C">
        <w:lastRenderedPageBreak/>
        <w:t>attachment eligibility; (b) service priority; (c) </w:t>
      </w:r>
      <w:r w:rsidR="005A683E">
        <w:t xml:space="preserve">fees and charges for CMRS </w:t>
      </w:r>
      <w:r w:rsidR="00E8539F">
        <w:t>attachments</w:t>
      </w:r>
      <w:r w:rsidR="005A683E">
        <w:t>; and (d</w:t>
      </w:r>
      <w:r w:rsidRPr="002E556C">
        <w:t xml:space="preserve">) a standard contract form </w:t>
      </w:r>
      <w:r w:rsidR="005A683E">
        <w:t>for CMRS attachments.</w:t>
      </w:r>
      <w:r w:rsidRPr="00E15E99">
        <w:rPr>
          <w:rStyle w:val="StandardFootnoteReferenceChar"/>
        </w:rPr>
        <w:footnoteReference w:id="60"/>
      </w:r>
      <w:r w:rsidRPr="002E556C">
        <w:t xml:space="preserve">  </w:t>
      </w:r>
      <w:r>
        <w:rPr>
          <w:szCs w:val="24"/>
        </w:rPr>
        <w:t>A core principle of the ROW Rules is that attachers and pole owners should negotiate their own contracts for prices and access to utility infrastructure, and fall back on the ROW Rules only as necessary.</w:t>
      </w:r>
      <w:r w:rsidRPr="00E15E99">
        <w:rPr>
          <w:rStyle w:val="StandardFootnoteReferenceChar"/>
        </w:rPr>
        <w:footnoteReference w:id="61"/>
      </w:r>
      <w:r>
        <w:rPr>
          <w:szCs w:val="24"/>
        </w:rPr>
        <w:t xml:space="preserve">  In accordance with </w:t>
      </w:r>
      <w:r w:rsidR="00BC08B1">
        <w:rPr>
          <w:szCs w:val="24"/>
        </w:rPr>
        <w:t xml:space="preserve">this </w:t>
      </w:r>
      <w:r>
        <w:rPr>
          <w:szCs w:val="24"/>
        </w:rPr>
        <w:t>principle, the Commission specifically rejected a tariff requirement like TURN proposes here</w:t>
      </w:r>
      <w:r w:rsidR="005A683E">
        <w:rPr>
          <w:szCs w:val="24"/>
        </w:rPr>
        <w:t>.</w:t>
      </w:r>
      <w:r w:rsidR="005A683E">
        <w:rPr>
          <w:rStyle w:val="FootnoteReference"/>
          <w:szCs w:val="24"/>
        </w:rPr>
        <w:footnoteReference w:id="62"/>
      </w:r>
      <w:r w:rsidR="00BE77EE">
        <w:rPr>
          <w:szCs w:val="24"/>
        </w:rPr>
        <w:t xml:space="preserve"> </w:t>
      </w:r>
    </w:p>
    <w:p w:rsidR="00F23EED" w:rsidRDefault="00F23EED" w:rsidP="00214651">
      <w:pPr>
        <w:pStyle w:val="Heading2"/>
      </w:pPr>
      <w:bookmarkStart w:id="55" w:name="_Toc424321919"/>
      <w:bookmarkStart w:id="56" w:name="_Toc436647332"/>
      <w:bookmarkStart w:id="57" w:name="_Toc424321908"/>
      <w:r>
        <w:t>Accounting and Ratemaking</w:t>
      </w:r>
      <w:bookmarkEnd w:id="55"/>
      <w:r>
        <w:t xml:space="preserve"> for CMRS Attachments</w:t>
      </w:r>
      <w:bookmarkEnd w:id="56"/>
    </w:p>
    <w:p w:rsidR="002B2D75" w:rsidRDefault="002B2D75" w:rsidP="00F23EED">
      <w:pPr>
        <w:pStyle w:val="standard"/>
      </w:pPr>
      <w:r>
        <w:t>The record of this proceeding indicates that the adopted charges and fees for CMRS attachments will result in revenues for pole owners</w:t>
      </w:r>
      <w:r w:rsidR="00E60D22">
        <w:t>,</w:t>
      </w:r>
      <w:r>
        <w:t xml:space="preserve"> and expenses for CMRS</w:t>
      </w:r>
      <w:r w:rsidR="00E60D22">
        <w:t> </w:t>
      </w:r>
      <w:r>
        <w:t>carriers</w:t>
      </w:r>
      <w:r w:rsidR="00E60D22">
        <w:t>,</w:t>
      </w:r>
      <w:r>
        <w:t xml:space="preserve"> that are </w:t>
      </w:r>
      <w:r w:rsidR="004814C9">
        <w:t xml:space="preserve">immaterial </w:t>
      </w:r>
      <w:r w:rsidR="00E60D22">
        <w:t xml:space="preserve">compared to </w:t>
      </w:r>
      <w:r>
        <w:t>their total revenues</w:t>
      </w:r>
      <w:r w:rsidR="00E60D22">
        <w:t xml:space="preserve"> and </w:t>
      </w:r>
      <w:r w:rsidR="00295CEA">
        <w:t>costs</w:t>
      </w:r>
      <w:r>
        <w:t>.</w:t>
      </w:r>
      <w:r w:rsidR="00E60D22">
        <w:rPr>
          <w:rStyle w:val="FootnoteReference"/>
        </w:rPr>
        <w:footnoteReference w:id="63"/>
      </w:r>
      <w:r>
        <w:t xml:space="preserve">  </w:t>
      </w:r>
    </w:p>
    <w:p w:rsidR="00F23EED" w:rsidRDefault="004814C9" w:rsidP="00F23EED">
      <w:pPr>
        <w:pStyle w:val="standard"/>
        <w:rPr>
          <w:rStyle w:val="standardChar"/>
        </w:rPr>
      </w:pPr>
      <w:r>
        <w:t xml:space="preserve">Consistent </w:t>
      </w:r>
      <w:r w:rsidR="00F23EED">
        <w:t xml:space="preserve">with TURN’s recommendation, public </w:t>
      </w:r>
      <w:r w:rsidR="00F23EED" w:rsidRPr="000E76F8">
        <w:rPr>
          <w:rStyle w:val="standardChar"/>
        </w:rPr>
        <w:t xml:space="preserve">utilities </w:t>
      </w:r>
      <w:r w:rsidR="00F23EED">
        <w:rPr>
          <w:rStyle w:val="standardChar"/>
        </w:rPr>
        <w:t xml:space="preserve">shall record attachment fees for CMRS facilities </w:t>
      </w:r>
      <w:r w:rsidR="00F23EED" w:rsidRPr="000E76F8">
        <w:rPr>
          <w:rStyle w:val="standardChar"/>
        </w:rPr>
        <w:t>as Other Operating Revenues</w:t>
      </w:r>
      <w:r w:rsidR="00F23EED">
        <w:rPr>
          <w:rStyle w:val="standardChar"/>
        </w:rPr>
        <w:t>, and record make-ready charges</w:t>
      </w:r>
      <w:r w:rsidR="00F23EED" w:rsidRPr="000E76F8">
        <w:rPr>
          <w:rStyle w:val="standardChar"/>
        </w:rPr>
        <w:t xml:space="preserve"> as </w:t>
      </w:r>
      <w:r w:rsidR="00F23EED">
        <w:rPr>
          <w:rStyle w:val="standardChar"/>
        </w:rPr>
        <w:t xml:space="preserve">either Other Operating Revenue or </w:t>
      </w:r>
      <w:r w:rsidR="00F23EED" w:rsidRPr="000E76F8">
        <w:rPr>
          <w:rStyle w:val="standardChar"/>
        </w:rPr>
        <w:t>contributed plant</w:t>
      </w:r>
      <w:r w:rsidR="00F23EED">
        <w:rPr>
          <w:rStyle w:val="standardChar"/>
        </w:rPr>
        <w:t>, depending on whether the utility’s make-ready expenditures are expensed or capitalized</w:t>
      </w:r>
      <w:r w:rsidR="00F23EED" w:rsidRPr="000E76F8">
        <w:rPr>
          <w:rStyle w:val="standardChar"/>
        </w:rPr>
        <w:t>.</w:t>
      </w:r>
      <w:r w:rsidR="00F23EED" w:rsidRPr="00E15E99">
        <w:rPr>
          <w:rStyle w:val="StandardFootnoteReferenceChar"/>
        </w:rPr>
        <w:footnoteReference w:id="64"/>
      </w:r>
      <w:r w:rsidR="00F23EED" w:rsidRPr="000E76F8">
        <w:rPr>
          <w:rStyle w:val="standardChar"/>
        </w:rPr>
        <w:t xml:space="preserve">  </w:t>
      </w:r>
      <w:r w:rsidR="00F23EED">
        <w:rPr>
          <w:rStyle w:val="standardChar"/>
        </w:rPr>
        <w:t>This accounting treatment benefits utility ratepayers</w:t>
      </w:r>
      <w:r w:rsidR="00006853">
        <w:rPr>
          <w:rStyle w:val="standardChar"/>
        </w:rPr>
        <w:t xml:space="preserve"> by </w:t>
      </w:r>
      <w:r w:rsidR="00F23EED">
        <w:rPr>
          <w:rStyle w:val="standardChar"/>
        </w:rPr>
        <w:t>reduc</w:t>
      </w:r>
      <w:r w:rsidR="00006853">
        <w:rPr>
          <w:rStyle w:val="standardChar"/>
        </w:rPr>
        <w:t>ing</w:t>
      </w:r>
      <w:r w:rsidR="00F23EED">
        <w:rPr>
          <w:rStyle w:val="standardChar"/>
        </w:rPr>
        <w:t xml:space="preserve"> the utility’s overall revenue requirement collected from ratepayers.</w:t>
      </w:r>
      <w:r w:rsidR="00F23EED">
        <w:rPr>
          <w:rStyle w:val="FootnoteReference"/>
        </w:rPr>
        <w:footnoteReference w:id="65"/>
      </w:r>
      <w:r w:rsidR="00F23EED">
        <w:rPr>
          <w:rStyle w:val="standardChar"/>
        </w:rPr>
        <w:t xml:space="preserve">  For cost-of-</w:t>
      </w:r>
      <w:r w:rsidR="00F23EED">
        <w:rPr>
          <w:rStyle w:val="standardChar"/>
        </w:rPr>
        <w:lastRenderedPageBreak/>
        <w:t xml:space="preserve">service utilities, </w:t>
      </w:r>
      <w:r w:rsidR="001F4322">
        <w:rPr>
          <w:rStyle w:val="standardChar"/>
        </w:rPr>
        <w:t xml:space="preserve">Other Operating Revenue and contributed plant </w:t>
      </w:r>
      <w:r w:rsidR="00F23EED" w:rsidRPr="000E76F8">
        <w:rPr>
          <w:rStyle w:val="standardChar"/>
        </w:rPr>
        <w:t xml:space="preserve">are typically forecast in general </w:t>
      </w:r>
      <w:r w:rsidR="00F23EED" w:rsidRPr="00BC5FF3">
        <w:t>rate</w:t>
      </w:r>
      <w:r w:rsidR="00F23EED" w:rsidRPr="000E76F8">
        <w:rPr>
          <w:rStyle w:val="standardChar"/>
        </w:rPr>
        <w:t xml:space="preserve"> case</w:t>
      </w:r>
      <w:r w:rsidR="00F23EED">
        <w:rPr>
          <w:rStyle w:val="standardChar"/>
        </w:rPr>
        <w:t xml:space="preserve"> proceeding</w:t>
      </w:r>
      <w:r w:rsidR="00F23EED" w:rsidRPr="000E76F8">
        <w:rPr>
          <w:rStyle w:val="standardChar"/>
        </w:rPr>
        <w:t xml:space="preserve">s.  </w:t>
      </w:r>
    </w:p>
    <w:p w:rsidR="001F4EB3" w:rsidRDefault="001553D2" w:rsidP="00006853">
      <w:pPr>
        <w:pStyle w:val="Heading2"/>
      </w:pPr>
      <w:bookmarkStart w:id="58" w:name="_Toc436647333"/>
      <w:r>
        <w:t xml:space="preserve">Certification </w:t>
      </w:r>
      <w:r w:rsidR="00006853">
        <w:t xml:space="preserve">of Compliance with </w:t>
      </w:r>
      <w:r w:rsidR="00006853" w:rsidRPr="00CA3655">
        <w:rPr>
          <w:rStyle w:val="standardChar"/>
        </w:rPr>
        <w:t>47</w:t>
      </w:r>
      <w:r w:rsidR="00006853">
        <w:rPr>
          <w:rStyle w:val="standardChar"/>
        </w:rPr>
        <w:t> </w:t>
      </w:r>
      <w:r w:rsidR="00006853" w:rsidRPr="00CA3655">
        <w:rPr>
          <w:rStyle w:val="standardChar"/>
        </w:rPr>
        <w:t>U.S.C.</w:t>
      </w:r>
      <w:r w:rsidR="00006853">
        <w:rPr>
          <w:rStyle w:val="standardChar"/>
        </w:rPr>
        <w:t> </w:t>
      </w:r>
      <w:r w:rsidR="00006853">
        <w:t>§§ 224(c)</w:t>
      </w:r>
      <w:bookmarkEnd w:id="58"/>
      <w:r w:rsidR="001F4EB3">
        <w:t xml:space="preserve"> </w:t>
      </w:r>
    </w:p>
    <w:p w:rsidR="001F4EB3" w:rsidRDefault="001F4EB3" w:rsidP="001F4EB3">
      <w:pPr>
        <w:pStyle w:val="standard"/>
      </w:pPr>
      <w:r>
        <w:t xml:space="preserve">By virtue of the </w:t>
      </w:r>
      <w:r w:rsidR="00006853">
        <w:t xml:space="preserve">amended </w:t>
      </w:r>
      <w:r w:rsidR="00736C80">
        <w:t>ROW Rules</w:t>
      </w:r>
      <w:r>
        <w:t xml:space="preserve"> adopt</w:t>
      </w:r>
      <w:r w:rsidR="00A15805">
        <w:t>ed</w:t>
      </w:r>
      <w:r>
        <w:t xml:space="preserve"> </w:t>
      </w:r>
      <w:r w:rsidR="00006853">
        <w:t>by</w:t>
      </w:r>
      <w:r>
        <w:t xml:space="preserve"> today’s</w:t>
      </w:r>
      <w:r w:rsidR="007E5343">
        <w:t xml:space="preserve"> decision</w:t>
      </w:r>
      <w:r>
        <w:t xml:space="preserve">, we hereby certify to the FCC that we regulate the rate, terms, and conditions of access to poles, ducts, conduits, and </w:t>
      </w:r>
      <w:r w:rsidR="00A15805">
        <w:t xml:space="preserve">rights-of-way </w:t>
      </w:r>
      <w:r>
        <w:t xml:space="preserve">by CMRS carriers in conformance with </w:t>
      </w:r>
      <w:r w:rsidR="00A15805" w:rsidRPr="00CA3655">
        <w:rPr>
          <w:rStyle w:val="standardChar"/>
        </w:rPr>
        <w:t>47</w:t>
      </w:r>
      <w:r w:rsidR="00A15805">
        <w:rPr>
          <w:rStyle w:val="standardChar"/>
        </w:rPr>
        <w:t> </w:t>
      </w:r>
      <w:r w:rsidR="00A15805" w:rsidRPr="00CA3655">
        <w:rPr>
          <w:rStyle w:val="standardChar"/>
        </w:rPr>
        <w:t>U.S.C.</w:t>
      </w:r>
      <w:r w:rsidR="00A15805">
        <w:rPr>
          <w:rStyle w:val="standardChar"/>
        </w:rPr>
        <w:t> </w:t>
      </w:r>
      <w:r>
        <w:t>§§ 224(c)(2) and (3).</w:t>
      </w:r>
    </w:p>
    <w:p w:rsidR="00006853" w:rsidRDefault="00006853" w:rsidP="00006853">
      <w:pPr>
        <w:pStyle w:val="Heading2"/>
      </w:pPr>
      <w:bookmarkStart w:id="59" w:name="_Toc436647334"/>
      <w:r>
        <w:t>Implementation of Revised ROW Rules</w:t>
      </w:r>
      <w:bookmarkEnd w:id="59"/>
      <w:r>
        <w:t xml:space="preserve"> </w:t>
      </w:r>
    </w:p>
    <w:p w:rsidR="00A15805" w:rsidRDefault="00516914" w:rsidP="00A15805">
      <w:pPr>
        <w:pStyle w:val="standard"/>
      </w:pPr>
      <w:r>
        <w:t xml:space="preserve">Pursuant to </w:t>
      </w:r>
      <w:r w:rsidR="00A15805">
        <w:t xml:space="preserve">Rule 6.3(a) of the Commission’s Rules of Practice and Procedure, </w:t>
      </w:r>
      <w:r>
        <w:t>and for the reasons set forth in the Electric IOUs’ comments on the proposed decision,</w:t>
      </w:r>
      <w:r>
        <w:rPr>
          <w:rStyle w:val="FootnoteReference"/>
        </w:rPr>
        <w:footnoteReference w:id="66"/>
      </w:r>
      <w:r>
        <w:t xml:space="preserve"> </w:t>
      </w:r>
      <w:r w:rsidR="00A15805">
        <w:t xml:space="preserve">the </w:t>
      </w:r>
      <w:r w:rsidR="00281CD0">
        <w:t>revisions</w:t>
      </w:r>
      <w:r w:rsidR="00A15805">
        <w:t xml:space="preserve"> to the ROW Rules adopted by today’s decision shall apply prospectively to CMRS installations beginning </w:t>
      </w:r>
      <w:r>
        <w:t xml:space="preserve">120 days after </w:t>
      </w:r>
      <w:r w:rsidR="00A15805">
        <w:t xml:space="preserve">the </w:t>
      </w:r>
      <w:r w:rsidR="00ED0545">
        <w:t>effective date of today’</w:t>
      </w:r>
      <w:r w:rsidR="00281CD0">
        <w:t xml:space="preserve">s decision.  </w:t>
      </w:r>
      <w:r w:rsidR="00736C80">
        <w:t xml:space="preserve">The </w:t>
      </w:r>
      <w:r w:rsidR="008B7B47">
        <w:t xml:space="preserve">adopted </w:t>
      </w:r>
      <w:r w:rsidR="00281CD0">
        <w:t>revisions</w:t>
      </w:r>
      <w:r w:rsidR="008B7B47">
        <w:t xml:space="preserve"> to the ROW</w:t>
      </w:r>
      <w:r w:rsidR="00BB0B81">
        <w:t> </w:t>
      </w:r>
      <w:r w:rsidR="008B7B47">
        <w:t xml:space="preserve">Rules do not apply to </w:t>
      </w:r>
      <w:r w:rsidR="00736C80">
        <w:t xml:space="preserve">the contractual rates, terms, and conditions for existing CMRS installations.  </w:t>
      </w:r>
    </w:p>
    <w:p w:rsidR="008504A4" w:rsidRDefault="00E75FD4" w:rsidP="00214651">
      <w:pPr>
        <w:pStyle w:val="Heading2"/>
      </w:pPr>
      <w:bookmarkStart w:id="60" w:name="_Toc436647335"/>
      <w:r>
        <w:t xml:space="preserve">New </w:t>
      </w:r>
      <w:r w:rsidR="008504A4">
        <w:t xml:space="preserve">Safety </w:t>
      </w:r>
      <w:r>
        <w:t>Regulations for CMRS Pole Attachments</w:t>
      </w:r>
      <w:bookmarkEnd w:id="57"/>
      <w:bookmarkEnd w:id="60"/>
    </w:p>
    <w:p w:rsidR="00C818FD" w:rsidRDefault="00CC2B58" w:rsidP="00132267">
      <w:pPr>
        <w:pStyle w:val="standard"/>
      </w:pPr>
      <w:r>
        <w:t xml:space="preserve">To </w:t>
      </w:r>
      <w:r w:rsidR="007E4966">
        <w:t>protect</w:t>
      </w:r>
      <w:r>
        <w:t xml:space="preserve"> safety and system reliability, GO 95 </w:t>
      </w:r>
      <w:r w:rsidR="007E4966">
        <w:t>prescribes</w:t>
      </w:r>
      <w:r>
        <w:t xml:space="preserve"> </w:t>
      </w:r>
      <w:r w:rsidR="0089521E">
        <w:t>rules</w:t>
      </w:r>
      <w:r>
        <w:t xml:space="preserve"> </w:t>
      </w:r>
      <w:r w:rsidR="00C818FD">
        <w:t>for</w:t>
      </w:r>
      <w:r>
        <w:t xml:space="preserve"> the design, construction, maint</w:t>
      </w:r>
      <w:r w:rsidR="00E71449">
        <w:t>e</w:t>
      </w:r>
      <w:r>
        <w:t xml:space="preserve">nance, </w:t>
      </w:r>
      <w:r w:rsidR="00E71449">
        <w:t xml:space="preserve">repair, </w:t>
      </w:r>
      <w:r w:rsidR="00C818FD">
        <w:t xml:space="preserve">and </w:t>
      </w:r>
      <w:r w:rsidR="00E71449">
        <w:t>replacement</w:t>
      </w:r>
      <w:r w:rsidR="00C818FD">
        <w:t xml:space="preserve"> of </w:t>
      </w:r>
      <w:r>
        <w:t>overhead lines and support structures.  In D.08</w:t>
      </w:r>
      <w:r>
        <w:noBreakHyphen/>
      </w:r>
      <w:r w:rsidR="0089521E">
        <w:t>10</w:t>
      </w:r>
      <w:r w:rsidR="0089521E">
        <w:noBreakHyphen/>
        <w:t xml:space="preserve">017 and </w:t>
      </w:r>
      <w:r>
        <w:t>D.07</w:t>
      </w:r>
      <w:r>
        <w:noBreakHyphen/>
        <w:t>02</w:t>
      </w:r>
      <w:r>
        <w:noBreakHyphen/>
        <w:t xml:space="preserve">030, </w:t>
      </w:r>
      <w:r w:rsidR="0089521E">
        <w:t>the Commission amended GO</w:t>
      </w:r>
      <w:r w:rsidR="00C818FD">
        <w:t> </w:t>
      </w:r>
      <w:r w:rsidR="0089521E">
        <w:t>95 to inc</w:t>
      </w:r>
      <w:r w:rsidR="00C818FD">
        <w:t xml:space="preserve">lude </w:t>
      </w:r>
      <w:r w:rsidR="0089521E">
        <w:t xml:space="preserve">rules for </w:t>
      </w:r>
      <w:r w:rsidR="00AF7DA0">
        <w:t xml:space="preserve">antennas </w:t>
      </w:r>
      <w:r w:rsidR="0089521E">
        <w:t xml:space="preserve">attached to utility poles and towers.  </w:t>
      </w:r>
    </w:p>
    <w:p w:rsidR="00132267" w:rsidRPr="00743B10" w:rsidRDefault="00C818FD" w:rsidP="00132267">
      <w:pPr>
        <w:pStyle w:val="standard"/>
      </w:pPr>
      <w:r>
        <w:t xml:space="preserve">To </w:t>
      </w:r>
      <w:r w:rsidR="00111925">
        <w:t xml:space="preserve">further </w:t>
      </w:r>
      <w:r>
        <w:t xml:space="preserve">ensure safety and reliability, </w:t>
      </w:r>
      <w:r w:rsidR="00132267">
        <w:t>t</w:t>
      </w:r>
      <w:r w:rsidR="00132267" w:rsidRPr="00743B10">
        <w:t>he ROW</w:t>
      </w:r>
      <w:r w:rsidR="00132267">
        <w:t xml:space="preserve"> Rules </w:t>
      </w:r>
      <w:r w:rsidR="00006853">
        <w:t>require that</w:t>
      </w:r>
      <w:r w:rsidR="00132267">
        <w:t xml:space="preserve"> “</w:t>
      </w:r>
      <w:r w:rsidR="004814C9">
        <w:t>[a]</w:t>
      </w:r>
      <w:r w:rsidR="00132267" w:rsidRPr="00ED331B">
        <w:t>ccess to utility rights of way and support structures shall be governed at all times by</w:t>
      </w:r>
      <w:r w:rsidR="00111925">
        <w:t xml:space="preserve">… </w:t>
      </w:r>
      <w:r w:rsidR="00132267" w:rsidRPr="00ED331B">
        <w:t>General Order Nos. 95 and 128 and by Cal/OSHA Title</w:t>
      </w:r>
      <w:r>
        <w:t> </w:t>
      </w:r>
      <w:r w:rsidR="00132267" w:rsidRPr="00ED331B">
        <w:t xml:space="preserve">8.  Where necessary and appropriate, said General Orders shall be supplemented by the </w:t>
      </w:r>
      <w:r w:rsidR="00132267" w:rsidRPr="00ED331B">
        <w:lastRenderedPageBreak/>
        <w:t>National Electric Safety Code, and any reasonable and justifiable safety and construction standards which are required by the utility.</w:t>
      </w:r>
      <w:r w:rsidR="00132267">
        <w:rPr>
          <w:rStyle w:val="FootnoteReference"/>
        </w:rPr>
        <w:footnoteReference w:id="67"/>
      </w:r>
      <w:r w:rsidR="00132267">
        <w:t xml:space="preserve">”  </w:t>
      </w:r>
    </w:p>
    <w:p w:rsidR="001C2618" w:rsidRPr="00322CC6" w:rsidRDefault="00AE6C2F" w:rsidP="004814C9">
      <w:pPr>
        <w:pStyle w:val="standard"/>
      </w:pPr>
      <w:r>
        <w:t xml:space="preserve">In </w:t>
      </w:r>
      <w:r w:rsidR="004C01B9" w:rsidRPr="00E75FD4">
        <w:t xml:space="preserve">keeping with </w:t>
      </w:r>
      <w:r>
        <w:t>our</w:t>
      </w:r>
      <w:r w:rsidR="004C01B9" w:rsidRPr="00E75FD4">
        <w:t xml:space="preserve"> focus on safety and reliability, the scope of this proceeding includes </w:t>
      </w:r>
      <w:r w:rsidR="001066C4">
        <w:t xml:space="preserve">the adoption </w:t>
      </w:r>
      <w:r w:rsidR="00D43368">
        <w:t xml:space="preserve">of </w:t>
      </w:r>
      <w:r>
        <w:t>new</w:t>
      </w:r>
      <w:r w:rsidR="004C01B9" w:rsidRPr="00E75FD4">
        <w:t xml:space="preserve"> </w:t>
      </w:r>
      <w:r>
        <w:t xml:space="preserve">regulations </w:t>
      </w:r>
      <w:r w:rsidR="004C01B9" w:rsidRPr="00E75FD4">
        <w:t>to ensure that CMRS pole attachments are designed, constructed, and maintained to (1)</w:t>
      </w:r>
      <w:r w:rsidR="007C0629">
        <w:t> </w:t>
      </w:r>
      <w:r w:rsidR="004C01B9" w:rsidRPr="00E75FD4">
        <w:t>protect the safety of workers and the public</w:t>
      </w:r>
      <w:r w:rsidR="00111925">
        <w:t>,</w:t>
      </w:r>
      <w:r w:rsidR="004C01B9" w:rsidRPr="00E75FD4">
        <w:t xml:space="preserve"> and (2)</w:t>
      </w:r>
      <w:r w:rsidR="00E75FD4">
        <w:t> </w:t>
      </w:r>
      <w:r w:rsidR="004C01B9" w:rsidRPr="00E75FD4">
        <w:t xml:space="preserve">preserve the reliability of co-located utility facilities such </w:t>
      </w:r>
      <w:r w:rsidR="00C818FD">
        <w:t xml:space="preserve">as </w:t>
      </w:r>
      <w:r w:rsidR="004C01B9" w:rsidRPr="00E75FD4">
        <w:t>power lines and telephone lines.</w:t>
      </w:r>
      <w:r w:rsidR="00E75FD4" w:rsidRPr="00E15E99">
        <w:rPr>
          <w:rStyle w:val="StandardFootnoteReferenceChar"/>
        </w:rPr>
        <w:footnoteReference w:id="68"/>
      </w:r>
      <w:r w:rsidR="004814C9">
        <w:t xml:space="preserve">  </w:t>
      </w:r>
      <w:r w:rsidR="00485A02">
        <w:t xml:space="preserve">The Commission has authority to adopt such regulations pursuant to Pub. Util. Code §§ 701 and 761 et seq.  </w:t>
      </w:r>
      <w:r w:rsidR="003A2AB4">
        <w:t xml:space="preserve">In accordance with these objectives, </w:t>
      </w:r>
      <w:r w:rsidR="0089521E">
        <w:t xml:space="preserve">parties were invited to submit proposed safety regulations for wireless attachments.  </w:t>
      </w:r>
      <w:r w:rsidR="00724DDD">
        <w:t>The Electric</w:t>
      </w:r>
      <w:r w:rsidR="00485A02">
        <w:t> </w:t>
      </w:r>
      <w:r w:rsidR="00724DDD">
        <w:t xml:space="preserve">IOUs proposed several </w:t>
      </w:r>
      <w:r w:rsidR="00111925">
        <w:t>revisions</w:t>
      </w:r>
      <w:r w:rsidR="00724DDD">
        <w:t xml:space="preserve"> GO 95 in their comments filed in July 2014.  </w:t>
      </w:r>
      <w:r w:rsidR="00DE7939">
        <w:t>SED proposed additional revisions to GO</w:t>
      </w:r>
      <w:r w:rsidR="00111925">
        <w:t> </w:t>
      </w:r>
      <w:r w:rsidR="00DE7939">
        <w:t>95 in its report filed on December 5, 2014.</w:t>
      </w:r>
    </w:p>
    <w:p w:rsidR="008443F0" w:rsidRPr="00A83655" w:rsidRDefault="00111925" w:rsidP="008443F0">
      <w:pPr>
        <w:pStyle w:val="standard"/>
        <w:rPr>
          <w:rFonts w:eastAsia="Calibri"/>
        </w:rPr>
      </w:pPr>
      <w:r>
        <w:t>W</w:t>
      </w:r>
      <w:r w:rsidR="006276C1">
        <w:t xml:space="preserve">orkshops were held </w:t>
      </w:r>
      <w:r w:rsidR="007E4966">
        <w:t xml:space="preserve">in February and March of 2015 </w:t>
      </w:r>
      <w:r w:rsidR="006276C1">
        <w:t xml:space="preserve">to provide </w:t>
      </w:r>
      <w:r w:rsidR="00241804">
        <w:t xml:space="preserve">parties an opportunity </w:t>
      </w:r>
      <w:r w:rsidR="006276C1">
        <w:t xml:space="preserve">to </w:t>
      </w:r>
      <w:r w:rsidR="001066C4">
        <w:t xml:space="preserve">evaluate </w:t>
      </w:r>
      <w:r w:rsidR="00456370">
        <w:t xml:space="preserve">the Electric IOUs’ and SED’s proposed revisions to GO 95.  </w:t>
      </w:r>
      <w:r w:rsidR="008443F0" w:rsidRPr="00A83655">
        <w:rPr>
          <w:rFonts w:eastAsia="Calibri"/>
        </w:rPr>
        <w:t>As a result of this process, certain</w:t>
      </w:r>
      <w:r w:rsidR="00E71449">
        <w:rPr>
          <w:rFonts w:eastAsia="Calibri"/>
        </w:rPr>
        <w:t xml:space="preserve"> </w:t>
      </w:r>
      <w:r w:rsidR="00241804">
        <w:rPr>
          <w:rFonts w:eastAsia="Calibri"/>
        </w:rPr>
        <w:t>proposed revisions to GO</w:t>
      </w:r>
      <w:r>
        <w:rPr>
          <w:rFonts w:eastAsia="Calibri"/>
        </w:rPr>
        <w:t> </w:t>
      </w:r>
      <w:r w:rsidR="00241804">
        <w:rPr>
          <w:rFonts w:eastAsia="Calibri"/>
        </w:rPr>
        <w:t xml:space="preserve">95 </w:t>
      </w:r>
      <w:r w:rsidR="008443F0" w:rsidRPr="00A83655">
        <w:rPr>
          <w:rFonts w:eastAsia="Calibri"/>
        </w:rPr>
        <w:t xml:space="preserve">were withdrawn </w:t>
      </w:r>
      <w:r w:rsidR="00E71449">
        <w:rPr>
          <w:rFonts w:eastAsia="Calibri"/>
        </w:rPr>
        <w:t xml:space="preserve">or revised, </w:t>
      </w:r>
      <w:r w:rsidR="008443F0" w:rsidRPr="00A83655">
        <w:rPr>
          <w:rFonts w:eastAsia="Calibri"/>
        </w:rPr>
        <w:t>and</w:t>
      </w:r>
      <w:r w:rsidR="00E71449">
        <w:rPr>
          <w:rFonts w:eastAsia="Calibri"/>
        </w:rPr>
        <w:t xml:space="preserve"> several </w:t>
      </w:r>
      <w:r w:rsidR="008443F0" w:rsidRPr="00A83655">
        <w:rPr>
          <w:rFonts w:eastAsia="Calibri"/>
        </w:rPr>
        <w:t xml:space="preserve">alternative </w:t>
      </w:r>
      <w:r w:rsidR="00E71449">
        <w:rPr>
          <w:rFonts w:eastAsia="Calibri"/>
        </w:rPr>
        <w:t xml:space="preserve">proposals </w:t>
      </w:r>
      <w:r w:rsidR="008443F0" w:rsidRPr="00A83655">
        <w:rPr>
          <w:rFonts w:eastAsia="Calibri"/>
        </w:rPr>
        <w:t>were offered.</w:t>
      </w:r>
    </w:p>
    <w:p w:rsidR="003A2AB4" w:rsidRDefault="003D77B4" w:rsidP="009864EF">
      <w:pPr>
        <w:pStyle w:val="standard"/>
      </w:pPr>
      <w:r>
        <w:t xml:space="preserve">On April 7, 2015, </w:t>
      </w:r>
      <w:r w:rsidR="006276C1">
        <w:t xml:space="preserve">AT&amp;T Mobility filed </w:t>
      </w:r>
      <w:r>
        <w:t xml:space="preserve">a </w:t>
      </w:r>
      <w:r w:rsidR="006276C1">
        <w:t>W</w:t>
      </w:r>
      <w:r>
        <w:t xml:space="preserve">orkshop </w:t>
      </w:r>
      <w:r w:rsidR="006276C1">
        <w:t>R</w:t>
      </w:r>
      <w:r>
        <w:t xml:space="preserve">eport </w:t>
      </w:r>
      <w:r w:rsidR="006276C1">
        <w:t xml:space="preserve">on behalf of the parties </w:t>
      </w:r>
      <w:r>
        <w:t xml:space="preserve">that contained the final set of proposed revisions to GO 95.  </w:t>
      </w:r>
      <w:r w:rsidR="001950C6">
        <w:t xml:space="preserve">We address each of the proposed </w:t>
      </w:r>
      <w:r>
        <w:t>revisions</w:t>
      </w:r>
      <w:r w:rsidR="001950C6">
        <w:t xml:space="preserve"> below.</w:t>
      </w:r>
    </w:p>
    <w:p w:rsidR="00826F82" w:rsidRDefault="00AF5FC0" w:rsidP="00077BAC">
      <w:pPr>
        <w:pStyle w:val="Heading3"/>
      </w:pPr>
      <w:bookmarkStart w:id="61" w:name="_Toc424321909"/>
      <w:bookmarkStart w:id="62" w:name="_Toc436647336"/>
      <w:r>
        <w:t xml:space="preserve">Proposed </w:t>
      </w:r>
      <w:r w:rsidR="001F62AD">
        <w:t>Revis</w:t>
      </w:r>
      <w:r>
        <w:t xml:space="preserve">ions to </w:t>
      </w:r>
      <w:r w:rsidR="00826F82">
        <w:t>Rule</w:t>
      </w:r>
      <w:r w:rsidR="001F62AD">
        <w:t>s</w:t>
      </w:r>
      <w:r w:rsidR="001011E5">
        <w:t> </w:t>
      </w:r>
      <w:r w:rsidR="00235B37">
        <w:t>21.0</w:t>
      </w:r>
      <w:r w:rsidR="001011E5">
        <w:noBreakHyphen/>
      </w:r>
      <w:r w:rsidR="00235B37">
        <w:t xml:space="preserve">D </w:t>
      </w:r>
      <w:r w:rsidR="001652E8">
        <w:t>and 87.7</w:t>
      </w:r>
      <w:r w:rsidR="001652E8">
        <w:noBreakHyphen/>
        <w:t xml:space="preserve">B </w:t>
      </w:r>
      <w:r w:rsidR="00235B37">
        <w:t>(Guard Arm</w:t>
      </w:r>
      <w:r w:rsidR="0058606B">
        <w:t>s</w:t>
      </w:r>
      <w:r w:rsidR="00235B37">
        <w:t>)</w:t>
      </w:r>
      <w:bookmarkEnd w:id="61"/>
      <w:bookmarkEnd w:id="62"/>
    </w:p>
    <w:p w:rsidR="000B4465" w:rsidRDefault="000B4465" w:rsidP="00A845DC">
      <w:pPr>
        <w:pStyle w:val="Heading4"/>
      </w:pPr>
      <w:bookmarkStart w:id="63" w:name="_Toc424321910"/>
      <w:bookmarkStart w:id="64" w:name="_Toc436647337"/>
      <w:r>
        <w:t>Summary of the Proposal</w:t>
      </w:r>
      <w:r w:rsidR="001652E8">
        <w:t>s</w:t>
      </w:r>
      <w:bookmarkEnd w:id="63"/>
      <w:bookmarkEnd w:id="64"/>
      <w:r>
        <w:t xml:space="preserve"> </w:t>
      </w:r>
    </w:p>
    <w:p w:rsidR="001A5CD5" w:rsidRDefault="001011E5" w:rsidP="009864EF">
      <w:pPr>
        <w:pStyle w:val="standard"/>
      </w:pPr>
      <w:r>
        <w:t>Currently, Rule 21.0-D</w:t>
      </w:r>
      <w:r w:rsidR="001A5CD5">
        <w:t xml:space="preserve"> of GO 95 prohibits the installation of conductors on the bottom side of </w:t>
      </w:r>
      <w:r>
        <w:t>guard</w:t>
      </w:r>
      <w:r w:rsidR="001A5CD5">
        <w:t> </w:t>
      </w:r>
      <w:r>
        <w:t xml:space="preserve">arms </w:t>
      </w:r>
      <w:r w:rsidR="001652E8">
        <w:t>(with certain exceptions)</w:t>
      </w:r>
      <w:r>
        <w:t xml:space="preserve">.  </w:t>
      </w:r>
      <w:r w:rsidR="001652E8">
        <w:t>Similarly, Rule</w:t>
      </w:r>
      <w:r w:rsidR="001A5CD5">
        <w:t> </w:t>
      </w:r>
      <w:r w:rsidR="001652E8">
        <w:t>87.7</w:t>
      </w:r>
      <w:r w:rsidR="001A5CD5">
        <w:noBreakHyphen/>
      </w:r>
      <w:r w:rsidR="001652E8">
        <w:t xml:space="preserve">B </w:t>
      </w:r>
      <w:r w:rsidR="001652E8">
        <w:lastRenderedPageBreak/>
        <w:t xml:space="preserve">prohibits the installation of </w:t>
      </w:r>
      <w:r w:rsidR="00D25C14">
        <w:t xml:space="preserve">communication </w:t>
      </w:r>
      <w:r w:rsidR="001652E8">
        <w:t>conductors, cables, or messengers on the top or side of guard arm</w:t>
      </w:r>
      <w:r w:rsidR="001A5CD5">
        <w:t>s</w:t>
      </w:r>
      <w:r w:rsidR="001652E8">
        <w:t xml:space="preserve"> (with certain exceptions).  </w:t>
      </w:r>
    </w:p>
    <w:p w:rsidR="00166C45" w:rsidRDefault="001A5CD5" w:rsidP="009864EF">
      <w:pPr>
        <w:pStyle w:val="standard"/>
      </w:pPr>
      <w:r>
        <w:t>In the Workshop Report, the parties submitted two consensus proposals to revise Rules 21.0-D and 87.7</w:t>
      </w:r>
      <w:r>
        <w:noBreakHyphen/>
        <w:t xml:space="preserve">B to prohibit the installation of antennas on guard arms.  </w:t>
      </w:r>
      <w:r w:rsidR="001652E8">
        <w:t>The proposed revisions to text of Rules 21.0-D and 87.7</w:t>
      </w:r>
      <w:r w:rsidR="001652E8">
        <w:noBreakHyphen/>
        <w:t>B are contained in Appendix </w:t>
      </w:r>
      <w:r w:rsidR="00291B85">
        <w:t>B</w:t>
      </w:r>
      <w:r w:rsidR="001652E8">
        <w:t xml:space="preserve"> of today’s decision.  </w:t>
      </w:r>
      <w:r w:rsidR="00166C45">
        <w:t xml:space="preserve">The parties </w:t>
      </w:r>
      <w:r w:rsidR="000539C8">
        <w:t>anticipate</w:t>
      </w:r>
      <w:r w:rsidR="001652E8">
        <w:t xml:space="preserve"> </w:t>
      </w:r>
      <w:r>
        <w:t xml:space="preserve">that these proposed revisions to GO 95 </w:t>
      </w:r>
      <w:r w:rsidR="00166C45">
        <w:t xml:space="preserve">will have </w:t>
      </w:r>
      <w:r>
        <w:t>no</w:t>
      </w:r>
      <w:r w:rsidR="00166C45">
        <w:t xml:space="preserve"> </w:t>
      </w:r>
      <w:r>
        <w:t xml:space="preserve">financial or </w:t>
      </w:r>
      <w:r w:rsidR="00166C45">
        <w:t>env</w:t>
      </w:r>
      <w:r w:rsidR="00291B85">
        <w:t>i</w:t>
      </w:r>
      <w:r w:rsidR="00166C45">
        <w:t>ro</w:t>
      </w:r>
      <w:r w:rsidR="00291B85">
        <w:t>n</w:t>
      </w:r>
      <w:r w:rsidR="00166C45">
        <w:t>mental impacts</w:t>
      </w:r>
      <w:r w:rsidR="001652E8">
        <w:t>.</w:t>
      </w:r>
    </w:p>
    <w:p w:rsidR="000B4465" w:rsidRDefault="000B4465" w:rsidP="00A845DC">
      <w:pPr>
        <w:pStyle w:val="Heading4"/>
      </w:pPr>
      <w:bookmarkStart w:id="65" w:name="_Toc424321911"/>
      <w:bookmarkStart w:id="66" w:name="_Toc436647338"/>
      <w:r>
        <w:t>Positions of the Parties</w:t>
      </w:r>
      <w:bookmarkEnd w:id="65"/>
      <w:bookmarkEnd w:id="66"/>
      <w:r>
        <w:t xml:space="preserve"> </w:t>
      </w:r>
    </w:p>
    <w:p w:rsidR="00166C45" w:rsidRPr="00342675" w:rsidRDefault="00CF3E26" w:rsidP="00166C45">
      <w:pPr>
        <w:pStyle w:val="standard"/>
        <w:rPr>
          <w:szCs w:val="24"/>
        </w:rPr>
      </w:pPr>
      <w:r>
        <w:rPr>
          <w:szCs w:val="24"/>
        </w:rPr>
        <w:t>G</w:t>
      </w:r>
      <w:r w:rsidR="00166C45" w:rsidRPr="00342675">
        <w:rPr>
          <w:szCs w:val="24"/>
        </w:rPr>
        <w:t xml:space="preserve">uard arms </w:t>
      </w:r>
      <w:r>
        <w:rPr>
          <w:szCs w:val="24"/>
        </w:rPr>
        <w:t xml:space="preserve">are oftentimes attached to utility poles </w:t>
      </w:r>
      <w:r w:rsidR="001A5CD5">
        <w:rPr>
          <w:szCs w:val="24"/>
        </w:rPr>
        <w:t>above</w:t>
      </w:r>
      <w:r w:rsidR="00166C45" w:rsidRPr="00342675">
        <w:rPr>
          <w:szCs w:val="24"/>
        </w:rPr>
        <w:t xml:space="preserve"> communication cables </w:t>
      </w:r>
      <w:r w:rsidR="00E26CEE">
        <w:rPr>
          <w:szCs w:val="24"/>
        </w:rPr>
        <w:t xml:space="preserve">in order </w:t>
      </w:r>
      <w:r>
        <w:rPr>
          <w:szCs w:val="24"/>
        </w:rPr>
        <w:t xml:space="preserve">to provide </w:t>
      </w:r>
      <w:r w:rsidR="00166C45" w:rsidRPr="00342675">
        <w:rPr>
          <w:szCs w:val="24"/>
        </w:rPr>
        <w:t>electric utility worker</w:t>
      </w:r>
      <w:r w:rsidR="00166C45">
        <w:rPr>
          <w:szCs w:val="24"/>
        </w:rPr>
        <w:t>s</w:t>
      </w:r>
      <w:r w:rsidR="00166C45" w:rsidRPr="00342675">
        <w:rPr>
          <w:szCs w:val="24"/>
        </w:rPr>
        <w:t xml:space="preserve"> </w:t>
      </w:r>
      <w:r>
        <w:rPr>
          <w:szCs w:val="24"/>
        </w:rPr>
        <w:t xml:space="preserve">with </w:t>
      </w:r>
      <w:r w:rsidR="00166C45" w:rsidRPr="00342675">
        <w:rPr>
          <w:szCs w:val="24"/>
        </w:rPr>
        <w:t xml:space="preserve">a place </w:t>
      </w:r>
      <w:r>
        <w:rPr>
          <w:szCs w:val="24"/>
        </w:rPr>
        <w:t xml:space="preserve">to rest their feet </w:t>
      </w:r>
      <w:r w:rsidR="00166C45" w:rsidRPr="00342675">
        <w:rPr>
          <w:szCs w:val="24"/>
        </w:rPr>
        <w:t>that is uncluttered and free from inadvertent contact with ground wire</w:t>
      </w:r>
      <w:r w:rsidR="001A5CD5">
        <w:rPr>
          <w:szCs w:val="24"/>
        </w:rPr>
        <w:t>s</w:t>
      </w:r>
      <w:r w:rsidR="00166C45" w:rsidRPr="00342675">
        <w:rPr>
          <w:szCs w:val="24"/>
        </w:rPr>
        <w:t xml:space="preserve"> or messenger</w:t>
      </w:r>
      <w:r w:rsidR="001A5CD5">
        <w:rPr>
          <w:szCs w:val="24"/>
        </w:rPr>
        <w:t>s</w:t>
      </w:r>
      <w:r w:rsidR="00166C45" w:rsidRPr="00342675">
        <w:rPr>
          <w:szCs w:val="24"/>
        </w:rPr>
        <w:t xml:space="preserve">. </w:t>
      </w:r>
      <w:r w:rsidR="00166C45">
        <w:rPr>
          <w:szCs w:val="24"/>
        </w:rPr>
        <w:t xml:space="preserve"> </w:t>
      </w:r>
      <w:r w:rsidR="00F569A3">
        <w:rPr>
          <w:szCs w:val="24"/>
        </w:rPr>
        <w:t xml:space="preserve">The parties </w:t>
      </w:r>
      <w:r w:rsidR="001A5CD5">
        <w:rPr>
          <w:szCs w:val="24"/>
        </w:rPr>
        <w:t>concur</w:t>
      </w:r>
      <w:r w:rsidR="00F569A3">
        <w:rPr>
          <w:szCs w:val="24"/>
        </w:rPr>
        <w:t xml:space="preserve"> that p</w:t>
      </w:r>
      <w:r w:rsidR="00166C45" w:rsidRPr="00342675">
        <w:rPr>
          <w:szCs w:val="24"/>
        </w:rPr>
        <w:t xml:space="preserve">rohibiting the installation of antennas on guard arms </w:t>
      </w:r>
      <w:r w:rsidR="00F569A3">
        <w:rPr>
          <w:szCs w:val="24"/>
        </w:rPr>
        <w:t xml:space="preserve">will </w:t>
      </w:r>
      <w:r w:rsidR="00D25C14">
        <w:rPr>
          <w:szCs w:val="24"/>
        </w:rPr>
        <w:t>enhance safety by (1) keeping guard arms free of clutter; and (2)</w:t>
      </w:r>
      <w:r>
        <w:rPr>
          <w:szCs w:val="24"/>
        </w:rPr>
        <w:t> </w:t>
      </w:r>
      <w:r w:rsidR="00D25C14">
        <w:rPr>
          <w:szCs w:val="24"/>
        </w:rPr>
        <w:t xml:space="preserve">preventing </w:t>
      </w:r>
      <w:r w:rsidR="00166C45" w:rsidRPr="00342675">
        <w:rPr>
          <w:szCs w:val="24"/>
        </w:rPr>
        <w:t xml:space="preserve">unnecessary or unexpected exposure to radio frequency </w:t>
      </w:r>
      <w:r w:rsidR="009A7738">
        <w:rPr>
          <w:szCs w:val="24"/>
        </w:rPr>
        <w:t>radiation</w:t>
      </w:r>
      <w:r w:rsidR="00166C45" w:rsidRPr="00342675">
        <w:rPr>
          <w:szCs w:val="24"/>
        </w:rPr>
        <w:t xml:space="preserve"> to workers </w:t>
      </w:r>
      <w:r w:rsidR="00D25C14">
        <w:rPr>
          <w:szCs w:val="24"/>
        </w:rPr>
        <w:t xml:space="preserve">who </w:t>
      </w:r>
      <w:r w:rsidR="00166C45" w:rsidRPr="00342675">
        <w:rPr>
          <w:szCs w:val="24"/>
        </w:rPr>
        <w:t>ascend</w:t>
      </w:r>
      <w:r w:rsidR="00D25C14">
        <w:rPr>
          <w:szCs w:val="24"/>
        </w:rPr>
        <w:t>/</w:t>
      </w:r>
      <w:r w:rsidR="00166C45" w:rsidRPr="00342675">
        <w:rPr>
          <w:szCs w:val="24"/>
        </w:rPr>
        <w:t xml:space="preserve">descend </w:t>
      </w:r>
      <w:r w:rsidR="00D25C14">
        <w:rPr>
          <w:szCs w:val="24"/>
        </w:rPr>
        <w:t xml:space="preserve">utility </w:t>
      </w:r>
      <w:r w:rsidR="00166C45" w:rsidRPr="00342675">
        <w:rPr>
          <w:szCs w:val="24"/>
        </w:rPr>
        <w:t>pole</w:t>
      </w:r>
      <w:r w:rsidR="00D25C14">
        <w:rPr>
          <w:szCs w:val="24"/>
        </w:rPr>
        <w:t>s</w:t>
      </w:r>
      <w:r w:rsidR="00166C45" w:rsidRPr="00342675">
        <w:rPr>
          <w:szCs w:val="24"/>
        </w:rPr>
        <w:t>.</w:t>
      </w:r>
    </w:p>
    <w:p w:rsidR="000B4465" w:rsidRDefault="000B4465" w:rsidP="00A845DC">
      <w:pPr>
        <w:pStyle w:val="Heading4"/>
      </w:pPr>
      <w:bookmarkStart w:id="67" w:name="_Toc424321912"/>
      <w:bookmarkStart w:id="68" w:name="_Toc436647339"/>
      <w:r>
        <w:t>Discussion</w:t>
      </w:r>
      <w:bookmarkEnd w:id="67"/>
      <w:bookmarkEnd w:id="68"/>
      <w:r>
        <w:t xml:space="preserve"> </w:t>
      </w:r>
    </w:p>
    <w:p w:rsidR="001818A3" w:rsidRDefault="00784F61" w:rsidP="009864EF">
      <w:pPr>
        <w:pStyle w:val="standard"/>
      </w:pPr>
      <w:r>
        <w:t>We a</w:t>
      </w:r>
      <w:r w:rsidR="005E0F35">
        <w:t xml:space="preserve">gree with </w:t>
      </w:r>
      <w:r>
        <w:t xml:space="preserve">the parties that </w:t>
      </w:r>
      <w:r w:rsidR="00B77F4F">
        <w:t xml:space="preserve">it is reasonable to </w:t>
      </w:r>
      <w:r w:rsidR="006524FE">
        <w:t xml:space="preserve">revise GO 95 to </w:t>
      </w:r>
      <w:r w:rsidR="00B77F4F">
        <w:t xml:space="preserve">prohibit </w:t>
      </w:r>
      <w:r>
        <w:t xml:space="preserve">the </w:t>
      </w:r>
      <w:r w:rsidR="00D25C14">
        <w:t>installation</w:t>
      </w:r>
      <w:r>
        <w:t xml:space="preserve"> of antennas on guard</w:t>
      </w:r>
      <w:r w:rsidR="00B77F4F">
        <w:t> </w:t>
      </w:r>
      <w:r>
        <w:t xml:space="preserve">arms </w:t>
      </w:r>
      <w:r w:rsidR="00B77F4F">
        <w:t xml:space="preserve">in order to protect the </w:t>
      </w:r>
      <w:r>
        <w:t xml:space="preserve">safety of </w:t>
      </w:r>
      <w:r w:rsidR="00B77F4F">
        <w:t>utility personnel and contractors</w:t>
      </w:r>
      <w:r>
        <w:t xml:space="preserve">.  </w:t>
      </w:r>
      <w:r w:rsidR="001818A3" w:rsidRPr="00902B0C">
        <w:rPr>
          <w:rFonts w:eastAsia="Calibri"/>
        </w:rPr>
        <w:t xml:space="preserve">While </w:t>
      </w:r>
      <w:r w:rsidR="001818A3">
        <w:rPr>
          <w:rFonts w:eastAsia="Calibri"/>
        </w:rPr>
        <w:t xml:space="preserve">no party </w:t>
      </w:r>
      <w:r w:rsidR="001818A3" w:rsidRPr="009D3A5F">
        <w:rPr>
          <w:rFonts w:eastAsia="Calibri"/>
        </w:rPr>
        <w:t xml:space="preserve">is </w:t>
      </w:r>
      <w:r w:rsidR="001818A3" w:rsidRPr="00902B0C">
        <w:rPr>
          <w:rFonts w:eastAsia="Calibri"/>
        </w:rPr>
        <w:t>aware</w:t>
      </w:r>
      <w:r w:rsidR="001818A3" w:rsidRPr="009D3A5F">
        <w:rPr>
          <w:rFonts w:eastAsia="Calibri"/>
        </w:rPr>
        <w:t xml:space="preserve"> of any </w:t>
      </w:r>
      <w:r w:rsidR="00D25C14">
        <w:rPr>
          <w:rFonts w:eastAsia="Calibri"/>
        </w:rPr>
        <w:t xml:space="preserve">CMRS carrier </w:t>
      </w:r>
      <w:r w:rsidR="001818A3" w:rsidRPr="009D3A5F">
        <w:rPr>
          <w:rFonts w:eastAsia="Calibri"/>
        </w:rPr>
        <w:t>attempting to attach antennas to guard arms, the codification of existing practice will ensure its continued use.</w:t>
      </w:r>
    </w:p>
    <w:p w:rsidR="006F21E3" w:rsidRDefault="00466791" w:rsidP="009864EF">
      <w:pPr>
        <w:pStyle w:val="standard"/>
      </w:pPr>
      <w:r>
        <w:t>The adopted revisions to Rules 21.0</w:t>
      </w:r>
      <w:r>
        <w:noBreakHyphen/>
        <w:t>D and 87.7</w:t>
      </w:r>
      <w:r>
        <w:noBreakHyphen/>
        <w:t xml:space="preserve">B are contained in Appendix C of today’s decision. </w:t>
      </w:r>
    </w:p>
    <w:p w:rsidR="00112F3F" w:rsidRDefault="00AF5FC0" w:rsidP="005719C6">
      <w:pPr>
        <w:pStyle w:val="Heading3"/>
      </w:pPr>
      <w:bookmarkStart w:id="69" w:name="_Toc424321913"/>
      <w:bookmarkStart w:id="70" w:name="_Toc436647340"/>
      <w:r>
        <w:lastRenderedPageBreak/>
        <w:t xml:space="preserve">Proposed </w:t>
      </w:r>
      <w:r w:rsidR="00103F64">
        <w:t xml:space="preserve">New </w:t>
      </w:r>
      <w:r w:rsidR="00112F3F">
        <w:t>Rule </w:t>
      </w:r>
      <w:r w:rsidR="00103F64">
        <w:t>94</w:t>
      </w:r>
      <w:r w:rsidR="00112F3F">
        <w:t>.</w:t>
      </w:r>
      <w:r w:rsidR="00103F64">
        <w:t>3</w:t>
      </w:r>
      <w:r w:rsidR="00112F3F">
        <w:noBreakHyphen/>
        <w:t>D (</w:t>
      </w:r>
      <w:r w:rsidR="00A61EB7">
        <w:t>Load</w:t>
      </w:r>
      <w:r w:rsidR="00103F64">
        <w:t> Calculation</w:t>
      </w:r>
      <w:r w:rsidR="00112F3F">
        <w:t>)</w:t>
      </w:r>
      <w:bookmarkEnd w:id="69"/>
      <w:bookmarkEnd w:id="70"/>
    </w:p>
    <w:p w:rsidR="00112F3F" w:rsidRDefault="00112F3F" w:rsidP="00A845DC">
      <w:pPr>
        <w:pStyle w:val="Heading4"/>
      </w:pPr>
      <w:bookmarkStart w:id="71" w:name="_Toc424321914"/>
      <w:bookmarkStart w:id="72" w:name="_Toc436647341"/>
      <w:r>
        <w:t>Summary of the Proposal</w:t>
      </w:r>
      <w:bookmarkEnd w:id="71"/>
      <w:bookmarkEnd w:id="72"/>
      <w:r>
        <w:t xml:space="preserve"> </w:t>
      </w:r>
    </w:p>
    <w:p w:rsidR="00C31508" w:rsidRDefault="00C31508" w:rsidP="00C31508">
      <w:pPr>
        <w:pStyle w:val="standard"/>
      </w:pPr>
      <w:r>
        <w:t xml:space="preserve">Rule 43 </w:t>
      </w:r>
      <w:r w:rsidR="003F1261">
        <w:t xml:space="preserve">of GO 95 </w:t>
      </w:r>
      <w:r>
        <w:t xml:space="preserve">specifies the </w:t>
      </w:r>
      <w:r w:rsidR="0087206E">
        <w:t xml:space="preserve">minimum </w:t>
      </w:r>
      <w:r>
        <w:t xml:space="preserve">ice, temperature, and wind loads that must be used to determine the required strength of </w:t>
      </w:r>
      <w:r w:rsidR="00060002">
        <w:t>overhead</w:t>
      </w:r>
      <w:r>
        <w:t xml:space="preserve"> structures.  Rule</w:t>
      </w:r>
      <w:r w:rsidR="00060002">
        <w:t> </w:t>
      </w:r>
      <w:r>
        <w:t xml:space="preserve">44 specifies the </w:t>
      </w:r>
      <w:r w:rsidR="00060002">
        <w:t xml:space="preserve">minimum </w:t>
      </w:r>
      <w:r>
        <w:t xml:space="preserve">safety factors for the design, construction, and maintenance of </w:t>
      </w:r>
      <w:r w:rsidR="00060002">
        <w:t xml:space="preserve">overhead </w:t>
      </w:r>
      <w:r>
        <w:t>structures.  Rule 44</w:t>
      </w:r>
      <w:r w:rsidR="00C3499E">
        <w:t xml:space="preserve"> </w:t>
      </w:r>
      <w:r>
        <w:t>defines “safety factors</w:t>
      </w:r>
      <w:r w:rsidR="00C3499E">
        <w:t>”</w:t>
      </w:r>
      <w:r>
        <w:t xml:space="preserve"> as:</w:t>
      </w:r>
    </w:p>
    <w:p w:rsidR="00C31508" w:rsidRDefault="00C31508" w:rsidP="00946343">
      <w:pPr>
        <w:pStyle w:val="Quote1"/>
        <w:keepNext/>
        <w:keepLines/>
        <w:spacing w:before="60" w:after="200"/>
        <w:ind w:left="1080" w:right="1080"/>
      </w:pPr>
      <w:r w:rsidRPr="00E16A16">
        <w:t>The safety factors specified in these rules are the minimum allowable ratios of material and/or line element strengths to the effect of design loads as specified in Rule 43.</w:t>
      </w:r>
      <w:r>
        <w:t xml:space="preserve">  </w:t>
      </w:r>
    </w:p>
    <w:p w:rsidR="00FE56E5" w:rsidRDefault="00FE56E5" w:rsidP="00FE56E5">
      <w:pPr>
        <w:pStyle w:val="standard"/>
      </w:pPr>
      <w:r>
        <w:t xml:space="preserve">Rule 44.2 requires an entity planning to add facilities to a structure that materially increase the load on the structure to perform a load calculation to ensure that the additional facilities do not reduce the safety factors for the structure below </w:t>
      </w:r>
      <w:r w:rsidR="0087206E">
        <w:t xml:space="preserve">minimum requirements.  </w:t>
      </w:r>
      <w:r w:rsidR="00946343">
        <w:t>Rule</w:t>
      </w:r>
      <w:r w:rsidR="0087206E">
        <w:t> </w:t>
      </w:r>
      <w:r w:rsidR="00946343">
        <w:t xml:space="preserve">44.2 also </w:t>
      </w:r>
      <w:r w:rsidR="009D2631">
        <w:t xml:space="preserve">requires that such load </w:t>
      </w:r>
      <w:r w:rsidR="00044DE4">
        <w:t>calculations</w:t>
      </w:r>
      <w:r w:rsidR="009D2631">
        <w:t xml:space="preserve"> be based on “the </w:t>
      </w:r>
      <w:r w:rsidR="00044DE4">
        <w:t>existing</w:t>
      </w:r>
      <w:r w:rsidR="009D2631">
        <w:t xml:space="preserve"> condition and proposed </w:t>
      </w:r>
      <w:r w:rsidR="00044DE4">
        <w:t>configuration</w:t>
      </w:r>
      <w:r w:rsidR="009D2631">
        <w:t xml:space="preserve">, information provided under Rule 44.4, conservative values of </w:t>
      </w:r>
      <w:r w:rsidR="00044DE4">
        <w:t>relevant</w:t>
      </w:r>
      <w:r w:rsidR="009D2631">
        <w:t xml:space="preserve"> parameters, industry recognized values of </w:t>
      </w:r>
      <w:r w:rsidR="00044DE4">
        <w:t>relevant</w:t>
      </w:r>
      <w:r w:rsidR="009D2631">
        <w:t xml:space="preserve"> parameters, or any combination thereof.”  </w:t>
      </w:r>
      <w:r w:rsidR="00946343">
        <w:t xml:space="preserve">  </w:t>
      </w:r>
    </w:p>
    <w:p w:rsidR="00E569FB" w:rsidRDefault="00FA19FC" w:rsidP="009864EF">
      <w:pPr>
        <w:pStyle w:val="standard"/>
      </w:pPr>
      <w:r>
        <w:t xml:space="preserve">SED proposes a new Rule 94.3-D that would require a </w:t>
      </w:r>
      <w:r w:rsidR="008417C9">
        <w:t>load</w:t>
      </w:r>
      <w:r>
        <w:t xml:space="preserve"> calculation </w:t>
      </w:r>
      <w:r w:rsidR="00E569FB">
        <w:t xml:space="preserve">prior to </w:t>
      </w:r>
      <w:r w:rsidR="00A61EB7">
        <w:t xml:space="preserve">the installation of any wireless facilities </w:t>
      </w:r>
      <w:r w:rsidR="00E569FB">
        <w:t xml:space="preserve">on utility poles, or </w:t>
      </w:r>
      <w:r w:rsidR="00E26ED1">
        <w:t xml:space="preserve">when </w:t>
      </w:r>
      <w:r w:rsidR="00E569FB">
        <w:t>pole load</w:t>
      </w:r>
      <w:r w:rsidR="00AB0095">
        <w:t xml:space="preserve">s are </w:t>
      </w:r>
      <w:r w:rsidR="00E569FB">
        <w:t xml:space="preserve">altered </w:t>
      </w:r>
      <w:r w:rsidR="00AB0095">
        <w:t xml:space="preserve">due to </w:t>
      </w:r>
      <w:r w:rsidR="005116D5">
        <w:t xml:space="preserve">any </w:t>
      </w:r>
      <w:r w:rsidR="00E569FB">
        <w:t xml:space="preserve">other </w:t>
      </w:r>
      <w:r w:rsidR="000539C8">
        <w:t>condition</w:t>
      </w:r>
      <w:r w:rsidR="00E569FB">
        <w:t xml:space="preserve">.  </w:t>
      </w:r>
      <w:r w:rsidR="005116D5">
        <w:t>SED’s</w:t>
      </w:r>
      <w:r w:rsidR="00DB172A">
        <w:t xml:space="preserve"> </w:t>
      </w:r>
      <w:r w:rsidR="00E569FB">
        <w:t xml:space="preserve">proposed </w:t>
      </w:r>
      <w:r w:rsidR="00DB172A">
        <w:t>rule w</w:t>
      </w:r>
      <w:r w:rsidR="00E569FB">
        <w:t xml:space="preserve">ould </w:t>
      </w:r>
      <w:r w:rsidR="005E0F35">
        <w:t>also</w:t>
      </w:r>
      <w:r w:rsidR="00E569FB">
        <w:t xml:space="preserve"> require that </w:t>
      </w:r>
      <w:r w:rsidR="00A61EB7">
        <w:t xml:space="preserve">“actual specifications” be </w:t>
      </w:r>
      <w:r w:rsidR="00E569FB">
        <w:t xml:space="preserve">used in </w:t>
      </w:r>
      <w:r w:rsidR="0087206E">
        <w:t>load</w:t>
      </w:r>
      <w:r w:rsidR="00E569FB">
        <w:t xml:space="preserve"> calculation</w:t>
      </w:r>
      <w:r w:rsidR="0087206E">
        <w:t>s</w:t>
      </w:r>
      <w:r w:rsidR="00E569FB">
        <w:t xml:space="preserve">, not assumptions </w:t>
      </w:r>
      <w:r w:rsidR="00A61EB7">
        <w:t>or</w:t>
      </w:r>
      <w:r w:rsidR="00E569FB">
        <w:t xml:space="preserve"> estimates.</w:t>
      </w:r>
      <w:r w:rsidR="007A5D92">
        <w:t xml:space="preserve">  </w:t>
      </w:r>
      <w:r w:rsidR="00A61EB7">
        <w:t xml:space="preserve">SED defines </w:t>
      </w:r>
      <w:r w:rsidR="005116D5">
        <w:t xml:space="preserve">the term </w:t>
      </w:r>
      <w:r w:rsidR="00AF4717">
        <w:t xml:space="preserve">“actual specifications” </w:t>
      </w:r>
      <w:r w:rsidR="00A61EB7">
        <w:t xml:space="preserve">to </w:t>
      </w:r>
      <w:r w:rsidR="008417C9">
        <w:t>mean</w:t>
      </w:r>
      <w:r w:rsidR="00AF4717">
        <w:t xml:space="preserve"> “as</w:t>
      </w:r>
      <w:r w:rsidR="00AF4717">
        <w:noBreakHyphen/>
        <w:t>built conditions.</w:t>
      </w:r>
      <w:r w:rsidR="005116D5">
        <w:t>”</w:t>
      </w:r>
      <w:r w:rsidR="006F42CF">
        <w:t xml:space="preserve">  The text of SED’s proposed Rule 94.3</w:t>
      </w:r>
      <w:r w:rsidR="006F42CF">
        <w:noBreakHyphen/>
        <w:t xml:space="preserve">D is contained in Appendix B of today’s decision.  </w:t>
      </w:r>
    </w:p>
    <w:p w:rsidR="00207101" w:rsidRDefault="00CC3840" w:rsidP="009864EF">
      <w:pPr>
        <w:pStyle w:val="standard"/>
      </w:pPr>
      <w:r>
        <w:t xml:space="preserve">SED anticipates </w:t>
      </w:r>
      <w:r w:rsidR="006F42CF">
        <w:t>that its proposed Rule 94.3</w:t>
      </w:r>
      <w:r w:rsidR="009D2631">
        <w:t>-</w:t>
      </w:r>
      <w:r w:rsidR="006F42CF">
        <w:t xml:space="preserve">D will not have significant costs or environmental impacts.  </w:t>
      </w:r>
      <w:r>
        <w:t xml:space="preserve">  </w:t>
      </w:r>
    </w:p>
    <w:p w:rsidR="00F94200" w:rsidRDefault="00F94200" w:rsidP="00A845DC">
      <w:pPr>
        <w:pStyle w:val="Heading4"/>
      </w:pPr>
      <w:bookmarkStart w:id="73" w:name="_Toc424321915"/>
      <w:bookmarkStart w:id="74" w:name="_Toc436647342"/>
      <w:r>
        <w:lastRenderedPageBreak/>
        <w:t>Positions of the Parties</w:t>
      </w:r>
      <w:bookmarkEnd w:id="73"/>
      <w:bookmarkEnd w:id="74"/>
      <w:r>
        <w:t xml:space="preserve"> </w:t>
      </w:r>
    </w:p>
    <w:p w:rsidR="00B124AD" w:rsidRPr="00345589" w:rsidRDefault="00B124AD" w:rsidP="00B124AD">
      <w:pPr>
        <w:pStyle w:val="standard"/>
      </w:pPr>
      <w:r>
        <w:t xml:space="preserve">SED declares that </w:t>
      </w:r>
      <w:r w:rsidR="00E26ED1">
        <w:t>p</w:t>
      </w:r>
      <w:r w:rsidR="00E26ED1" w:rsidRPr="00345589">
        <w:t xml:space="preserve">ole overloading </w:t>
      </w:r>
      <w:r w:rsidR="00E26ED1">
        <w:t xml:space="preserve">is </w:t>
      </w:r>
      <w:r w:rsidR="00782494">
        <w:t xml:space="preserve">a </w:t>
      </w:r>
      <w:r w:rsidR="00E26ED1" w:rsidRPr="00345589">
        <w:t xml:space="preserve">significant problem </w:t>
      </w:r>
      <w:r w:rsidR="006F42CF">
        <w:t>in</w:t>
      </w:r>
      <w:r w:rsidR="00E26ED1">
        <w:t xml:space="preserve"> </w:t>
      </w:r>
      <w:r w:rsidR="00E26ED1" w:rsidRPr="00345589">
        <w:t>California</w:t>
      </w:r>
      <w:r w:rsidR="006F42CF">
        <w:t xml:space="preserve">. </w:t>
      </w:r>
      <w:r w:rsidR="00E26ED1">
        <w:t xml:space="preserve"> </w:t>
      </w:r>
      <w:r w:rsidR="00FC3E7D">
        <w:t xml:space="preserve">This has public safety implications because overloaded poles can fail and </w:t>
      </w:r>
      <w:r w:rsidR="00E26ED1">
        <w:t xml:space="preserve">ignite fires.  </w:t>
      </w:r>
      <w:r>
        <w:t xml:space="preserve">SED </w:t>
      </w:r>
      <w:r w:rsidR="00E26ED1">
        <w:t xml:space="preserve">cites </w:t>
      </w:r>
      <w:r>
        <w:t xml:space="preserve">the </w:t>
      </w:r>
      <w:r w:rsidR="00E26ED1">
        <w:t xml:space="preserve">Commission’s </w:t>
      </w:r>
      <w:r w:rsidRPr="00C643F4">
        <w:t xml:space="preserve">Malibu Canyon </w:t>
      </w:r>
      <w:r w:rsidRPr="00F572EB">
        <w:t xml:space="preserve">Fire </w:t>
      </w:r>
      <w:r w:rsidR="005D4706">
        <w:t>proceeding (Investigation 09-01-018)</w:t>
      </w:r>
      <w:r>
        <w:t xml:space="preserve"> as an example where an overloaded pole failed and caused a </w:t>
      </w:r>
      <w:r w:rsidR="00E26ED1">
        <w:t xml:space="preserve">major </w:t>
      </w:r>
      <w:r>
        <w:t>fi</w:t>
      </w:r>
      <w:r w:rsidR="00E26ED1">
        <w:t xml:space="preserve">re.  </w:t>
      </w:r>
      <w:r w:rsidR="00FC3E7D">
        <w:t>SED</w:t>
      </w:r>
      <w:r w:rsidR="006F42CF">
        <w:t xml:space="preserve">’s </w:t>
      </w:r>
      <w:r w:rsidR="000539C8">
        <w:t>proposed</w:t>
      </w:r>
      <w:r w:rsidR="00FC3E7D">
        <w:t xml:space="preserve"> Rule</w:t>
      </w:r>
      <w:r w:rsidR="00EF0600">
        <w:t> </w:t>
      </w:r>
      <w:r w:rsidR="00FC3E7D">
        <w:t>94.3</w:t>
      </w:r>
      <w:r w:rsidR="00FC3E7D">
        <w:noBreakHyphen/>
        <w:t xml:space="preserve">D is intended to </w:t>
      </w:r>
      <w:r w:rsidR="003C55DD">
        <w:t>reduce incidents of overloaded poles</w:t>
      </w:r>
      <w:r w:rsidR="00FC3E7D">
        <w:t xml:space="preserve"> by requiring a load calculation before </w:t>
      </w:r>
      <w:r w:rsidR="006F42CF">
        <w:t xml:space="preserve">wireless facilities are </w:t>
      </w:r>
      <w:r w:rsidR="005D4706">
        <w:t xml:space="preserve">attached to </w:t>
      </w:r>
      <w:r w:rsidR="003C55DD">
        <w:t>a pole</w:t>
      </w:r>
      <w:r w:rsidR="005D4706">
        <w:t xml:space="preserve">, or when pole loading is altered </w:t>
      </w:r>
      <w:r w:rsidR="00FC3E7D">
        <w:t>due to</w:t>
      </w:r>
      <w:r w:rsidR="005D4706">
        <w:t xml:space="preserve"> any other condition.  </w:t>
      </w:r>
    </w:p>
    <w:p w:rsidR="009E66AE" w:rsidRPr="00345589" w:rsidRDefault="00934743" w:rsidP="004B7F8C">
      <w:pPr>
        <w:pStyle w:val="standard"/>
      </w:pPr>
      <w:r>
        <w:t>SED states that load</w:t>
      </w:r>
      <w:r w:rsidRPr="00345589">
        <w:t xml:space="preserve"> calculation</w:t>
      </w:r>
      <w:r>
        <w:t xml:space="preserve">s which </w:t>
      </w:r>
      <w:r w:rsidRPr="00345589">
        <w:t>use incorrect input</w:t>
      </w:r>
      <w:r>
        <w:t>s</w:t>
      </w:r>
      <w:r w:rsidRPr="00345589">
        <w:t xml:space="preserve"> yield invalid results</w:t>
      </w:r>
      <w:r>
        <w:t>,</w:t>
      </w:r>
      <w:r w:rsidRPr="00345589">
        <w:t xml:space="preserve"> potentially leading to overloaded pole</w:t>
      </w:r>
      <w:r>
        <w:t>s</w:t>
      </w:r>
      <w:r w:rsidRPr="00345589">
        <w:t xml:space="preserve"> that appear on </w:t>
      </w:r>
      <w:r>
        <w:t xml:space="preserve">utility </w:t>
      </w:r>
      <w:r w:rsidRPr="00345589">
        <w:t xml:space="preserve">records as </w:t>
      </w:r>
      <w:r>
        <w:t xml:space="preserve">meeting </w:t>
      </w:r>
      <w:r w:rsidRPr="00345589">
        <w:t>safety</w:t>
      </w:r>
      <w:r w:rsidR="00775E25">
        <w:noBreakHyphen/>
      </w:r>
      <w:r w:rsidRPr="00345589">
        <w:t xml:space="preserve">factor requirements. </w:t>
      </w:r>
      <w:r>
        <w:t xml:space="preserve"> </w:t>
      </w:r>
      <w:r w:rsidR="000A14A7">
        <w:t>T</w:t>
      </w:r>
      <w:r w:rsidR="005E5221">
        <w:t xml:space="preserve">o </w:t>
      </w:r>
      <w:r>
        <w:t>ensure</w:t>
      </w:r>
      <w:r w:rsidR="005E5221">
        <w:t xml:space="preserve"> accura</w:t>
      </w:r>
      <w:r>
        <w:t>te load calculations</w:t>
      </w:r>
      <w:r w:rsidR="005E5221">
        <w:t>, SED’s proposed Rule 94.3</w:t>
      </w:r>
      <w:r w:rsidR="005E5221">
        <w:noBreakHyphen/>
        <w:t xml:space="preserve">D would require the “actual specifications” of </w:t>
      </w:r>
      <w:r w:rsidR="009D2631">
        <w:t xml:space="preserve">all pole </w:t>
      </w:r>
      <w:r w:rsidR="005E5221">
        <w:t xml:space="preserve">attachments </w:t>
      </w:r>
      <w:r w:rsidR="00775E25">
        <w:t xml:space="preserve">to </w:t>
      </w:r>
      <w:r w:rsidR="005E5221">
        <w:t xml:space="preserve">be used in </w:t>
      </w:r>
      <w:r w:rsidR="00775E25">
        <w:t>load</w:t>
      </w:r>
      <w:r w:rsidR="000A14A7">
        <w:t xml:space="preserve"> </w:t>
      </w:r>
      <w:r w:rsidR="00BC465C">
        <w:t>calculations.</w:t>
      </w:r>
      <w:r w:rsidR="007A4B95">
        <w:t xml:space="preserve"> </w:t>
      </w:r>
      <w:r w:rsidR="00BC465C">
        <w:t xml:space="preserve"> </w:t>
      </w:r>
    </w:p>
    <w:p w:rsidR="00C6294E" w:rsidRDefault="00C6294E" w:rsidP="00C6294E">
      <w:pPr>
        <w:pStyle w:val="standard"/>
      </w:pPr>
      <w:r>
        <w:rPr>
          <w:szCs w:val="26"/>
        </w:rPr>
        <w:t>SED disagrees with the position of several parties</w:t>
      </w:r>
      <w:r w:rsidR="00C1431B">
        <w:rPr>
          <w:szCs w:val="26"/>
        </w:rPr>
        <w:t>, summarized below,</w:t>
      </w:r>
      <w:r>
        <w:rPr>
          <w:szCs w:val="26"/>
        </w:rPr>
        <w:t xml:space="preserve"> that </w:t>
      </w:r>
      <w:r w:rsidR="005116D5">
        <w:rPr>
          <w:szCs w:val="26"/>
        </w:rPr>
        <w:t xml:space="preserve">it is reasonable to use </w:t>
      </w:r>
      <w:r>
        <w:rPr>
          <w:szCs w:val="26"/>
        </w:rPr>
        <w:t xml:space="preserve">conservative </w:t>
      </w:r>
      <w:r w:rsidR="00C1431B">
        <w:rPr>
          <w:szCs w:val="26"/>
        </w:rPr>
        <w:t>a</w:t>
      </w:r>
      <w:r>
        <w:rPr>
          <w:szCs w:val="26"/>
        </w:rPr>
        <w:t xml:space="preserve">ssumptions in </w:t>
      </w:r>
      <w:r w:rsidR="00934743">
        <w:rPr>
          <w:szCs w:val="26"/>
        </w:rPr>
        <w:t xml:space="preserve">load </w:t>
      </w:r>
      <w:r w:rsidR="000539C8">
        <w:rPr>
          <w:szCs w:val="26"/>
        </w:rPr>
        <w:t>calculations</w:t>
      </w:r>
      <w:r>
        <w:rPr>
          <w:szCs w:val="26"/>
        </w:rPr>
        <w:t xml:space="preserve"> </w:t>
      </w:r>
      <w:r w:rsidR="005116D5">
        <w:rPr>
          <w:szCs w:val="26"/>
        </w:rPr>
        <w:t xml:space="preserve">instead of </w:t>
      </w:r>
      <w:r w:rsidR="00C1431B">
        <w:rPr>
          <w:szCs w:val="26"/>
        </w:rPr>
        <w:t>“</w:t>
      </w:r>
      <w:r>
        <w:rPr>
          <w:szCs w:val="26"/>
        </w:rPr>
        <w:t xml:space="preserve">actual </w:t>
      </w:r>
      <w:r w:rsidR="000539C8">
        <w:rPr>
          <w:szCs w:val="26"/>
        </w:rPr>
        <w:t>specifications</w:t>
      </w:r>
      <w:r>
        <w:rPr>
          <w:szCs w:val="26"/>
        </w:rPr>
        <w:t>.</w:t>
      </w:r>
      <w:r w:rsidR="00C1431B">
        <w:rPr>
          <w:szCs w:val="26"/>
        </w:rPr>
        <w:t>”</w:t>
      </w:r>
      <w:r>
        <w:rPr>
          <w:szCs w:val="26"/>
        </w:rPr>
        <w:t xml:space="preserve">  SED </w:t>
      </w:r>
      <w:r w:rsidR="00C1431B">
        <w:rPr>
          <w:szCs w:val="26"/>
        </w:rPr>
        <w:t>responds</w:t>
      </w:r>
      <w:r>
        <w:rPr>
          <w:szCs w:val="26"/>
        </w:rPr>
        <w:t xml:space="preserve"> that </w:t>
      </w:r>
      <w:r w:rsidR="00C1431B">
        <w:rPr>
          <w:szCs w:val="26"/>
        </w:rPr>
        <w:t xml:space="preserve">the </w:t>
      </w:r>
      <w:r w:rsidR="00462A7E">
        <w:t xml:space="preserve">use of </w:t>
      </w:r>
      <w:r>
        <w:t xml:space="preserve">conservative assumptions </w:t>
      </w:r>
      <w:r w:rsidR="00955566">
        <w:t xml:space="preserve">can result in </w:t>
      </w:r>
      <w:r w:rsidR="009D2631">
        <w:t xml:space="preserve">poles that are </w:t>
      </w:r>
      <w:r w:rsidR="00955566">
        <w:t xml:space="preserve">unbalanced </w:t>
      </w:r>
      <w:r w:rsidR="009D2631">
        <w:t>or overloaded</w:t>
      </w:r>
      <w:r w:rsidR="00955566">
        <w:t xml:space="preserve">.  </w:t>
      </w:r>
      <w:r>
        <w:t>SED warns that if its proposed Rule</w:t>
      </w:r>
      <w:r w:rsidR="005116D5">
        <w:t> </w:t>
      </w:r>
      <w:r>
        <w:t>94.3</w:t>
      </w:r>
      <w:r w:rsidR="005116D5">
        <w:noBreakHyphen/>
      </w:r>
      <w:r>
        <w:t xml:space="preserve">D is rejected, utilities will continue </w:t>
      </w:r>
      <w:r w:rsidR="008B3E87">
        <w:t xml:space="preserve">to </w:t>
      </w:r>
      <w:r>
        <w:t>us</w:t>
      </w:r>
      <w:r w:rsidR="008B3E87">
        <w:t>e</w:t>
      </w:r>
      <w:r>
        <w:t xml:space="preserve"> unsafe assumptions </w:t>
      </w:r>
      <w:r w:rsidR="00B82403">
        <w:t xml:space="preserve">in load </w:t>
      </w:r>
      <w:r w:rsidR="009553B1">
        <w:t>calculations</w:t>
      </w:r>
      <w:r>
        <w:t xml:space="preserve">.  </w:t>
      </w:r>
    </w:p>
    <w:p w:rsidR="009E66AE" w:rsidRPr="00345589" w:rsidRDefault="00D861BD" w:rsidP="009E66AE">
      <w:pPr>
        <w:pStyle w:val="standard"/>
      </w:pPr>
      <w:r>
        <w:t>SED acknowledges that t</w:t>
      </w:r>
      <w:r w:rsidR="009E66AE" w:rsidRPr="00345589">
        <w:t xml:space="preserve">he problem </w:t>
      </w:r>
      <w:r w:rsidR="008B3E87">
        <w:t xml:space="preserve">addressed by </w:t>
      </w:r>
      <w:r w:rsidR="004B7F8C">
        <w:t xml:space="preserve">its </w:t>
      </w:r>
      <w:r>
        <w:t>proposed Rule</w:t>
      </w:r>
      <w:r w:rsidR="008B3E87">
        <w:t> </w:t>
      </w:r>
      <w:r>
        <w:t>94.3</w:t>
      </w:r>
      <w:r w:rsidR="008B3E87">
        <w:noBreakHyphen/>
      </w:r>
      <w:r>
        <w:t xml:space="preserve">D </w:t>
      </w:r>
      <w:r w:rsidR="009E66AE" w:rsidRPr="00345589">
        <w:t xml:space="preserve">is not unique to CMRS facilities. </w:t>
      </w:r>
      <w:r w:rsidR="009E66AE">
        <w:t xml:space="preserve"> </w:t>
      </w:r>
      <w:r w:rsidR="009E66AE" w:rsidRPr="00345589">
        <w:t xml:space="preserve">However, </w:t>
      </w:r>
      <w:r w:rsidR="000539C8">
        <w:t>because</w:t>
      </w:r>
      <w:r w:rsidR="009E66AE" w:rsidRPr="00345589">
        <w:t xml:space="preserve"> this proceeding focuses on CMRS</w:t>
      </w:r>
      <w:r w:rsidR="007F38E8">
        <w:t xml:space="preserve"> carriers</w:t>
      </w:r>
      <w:r w:rsidR="009E66AE" w:rsidRPr="00345589">
        <w:t xml:space="preserve">, </w:t>
      </w:r>
      <w:r w:rsidR="008B3E87">
        <w:t xml:space="preserve">SED’s </w:t>
      </w:r>
      <w:r w:rsidR="005116D5">
        <w:t>proposed rule</w:t>
      </w:r>
      <w:r w:rsidR="008B3E87">
        <w:t xml:space="preserve"> must likewise focus on CMRS facilities.  SED recommends that its propos</w:t>
      </w:r>
      <w:r w:rsidR="00023054">
        <w:t xml:space="preserve">ed rule </w:t>
      </w:r>
      <w:r w:rsidR="008B3E87">
        <w:t>be applie</w:t>
      </w:r>
      <w:r w:rsidR="007F38E8">
        <w:t>d</w:t>
      </w:r>
      <w:r w:rsidR="008B3E87">
        <w:t xml:space="preserve"> to all pole attachments </w:t>
      </w:r>
      <w:r w:rsidR="009E66AE" w:rsidRPr="00345589">
        <w:t xml:space="preserve">in future Commission proceedings. </w:t>
      </w:r>
    </w:p>
    <w:p w:rsidR="00D97099" w:rsidRDefault="00601157" w:rsidP="00D97099">
      <w:pPr>
        <w:pStyle w:val="standard"/>
      </w:pPr>
      <w:r>
        <w:t xml:space="preserve">CFC, </w:t>
      </w:r>
      <w:r w:rsidR="00764E58">
        <w:t>IBEW 1245</w:t>
      </w:r>
      <w:r w:rsidR="00B60153">
        <w:t xml:space="preserve">, </w:t>
      </w:r>
      <w:r w:rsidR="00764E58">
        <w:t xml:space="preserve">and </w:t>
      </w:r>
      <w:r w:rsidR="00D97099">
        <w:t>TURN take a</w:t>
      </w:r>
      <w:r w:rsidR="00764E58">
        <w:t xml:space="preserve"> </w:t>
      </w:r>
      <w:r w:rsidR="00D97099">
        <w:t xml:space="preserve">neutral position on </w:t>
      </w:r>
      <w:r w:rsidR="007F38E8">
        <w:t>SED’s</w:t>
      </w:r>
      <w:r w:rsidR="00D97099">
        <w:t xml:space="preserve"> propos</w:t>
      </w:r>
      <w:r w:rsidR="00023054">
        <w:t>ed rule</w:t>
      </w:r>
      <w:r w:rsidR="00D97099">
        <w:t xml:space="preserve">.  TURN </w:t>
      </w:r>
      <w:r w:rsidR="00764E58">
        <w:t xml:space="preserve">comments that </w:t>
      </w:r>
      <w:r w:rsidR="00986FBF">
        <w:t xml:space="preserve">while it agrees the proposed rule will </w:t>
      </w:r>
      <w:r w:rsidR="00D97099">
        <w:t xml:space="preserve">strengthen </w:t>
      </w:r>
      <w:r w:rsidR="00D97099">
        <w:lastRenderedPageBreak/>
        <w:t>protections against pole overloading</w:t>
      </w:r>
      <w:r w:rsidR="00986FBF">
        <w:t xml:space="preserve"> and will not have significant costs for ratepayers, </w:t>
      </w:r>
      <w:r w:rsidR="00D97099">
        <w:t xml:space="preserve">TURN is concerned </w:t>
      </w:r>
      <w:r w:rsidR="007F38E8">
        <w:t>that the proposed Rule 94.3</w:t>
      </w:r>
      <w:r w:rsidR="007F38E8">
        <w:noBreakHyphen/>
        <w:t xml:space="preserve">D </w:t>
      </w:r>
      <w:r w:rsidR="00D97099">
        <w:t xml:space="preserve">does not specify who would perform and retain </w:t>
      </w:r>
      <w:r w:rsidR="00023054">
        <w:t>load</w:t>
      </w:r>
      <w:r w:rsidR="00D97099">
        <w:t xml:space="preserve"> calculations.  </w:t>
      </w:r>
    </w:p>
    <w:p w:rsidR="00E16D1D" w:rsidRPr="00B15830" w:rsidRDefault="005B6B8B" w:rsidP="00E16D1D">
      <w:pPr>
        <w:pStyle w:val="standard"/>
      </w:pPr>
      <w:r>
        <w:t>SED’s propos</w:t>
      </w:r>
      <w:r w:rsidR="00675C42">
        <w:t xml:space="preserve">ed rule </w:t>
      </w:r>
      <w:r>
        <w:t xml:space="preserve">is opposed by </w:t>
      </w:r>
      <w:r w:rsidR="005116D5">
        <w:t xml:space="preserve">AT&amp;T Mobility, </w:t>
      </w:r>
      <w:r>
        <w:t xml:space="preserve">CCTA, CTIA, </w:t>
      </w:r>
      <w:r w:rsidR="00127A4D">
        <w:t xml:space="preserve">JVSV, </w:t>
      </w:r>
      <w:r w:rsidR="000936CA">
        <w:t>PCIA, and the Electric</w:t>
      </w:r>
      <w:r w:rsidR="00601157">
        <w:t> </w:t>
      </w:r>
      <w:r w:rsidR="000936CA">
        <w:t>IOUs.</w:t>
      </w:r>
      <w:r w:rsidR="001F62AD">
        <w:t xml:space="preserve">  </w:t>
      </w:r>
      <w:r w:rsidR="00675C42">
        <w:t>Several of the</w:t>
      </w:r>
      <w:r w:rsidR="001F62AD">
        <w:t xml:space="preserve"> O</w:t>
      </w:r>
      <w:r w:rsidR="00E16D1D">
        <w:t>ppone</w:t>
      </w:r>
      <w:r w:rsidR="00FA03C6">
        <w:t>n</w:t>
      </w:r>
      <w:r w:rsidR="00E16D1D">
        <w:t xml:space="preserve">ts state </w:t>
      </w:r>
      <w:r w:rsidR="00986FBF">
        <w:t xml:space="preserve">that wireless attachments do not pose a greater risk for pole overloading </w:t>
      </w:r>
      <w:r w:rsidR="00782494">
        <w:t>than</w:t>
      </w:r>
      <w:r w:rsidR="00986FBF">
        <w:t xml:space="preserve"> other types of attachments.  </w:t>
      </w:r>
      <w:r w:rsidR="00E16D1D">
        <w:t xml:space="preserve">To the contrary, wireless attachments generally impose less wind load than electric </w:t>
      </w:r>
      <w:r w:rsidR="00601157">
        <w:t xml:space="preserve">utility </w:t>
      </w:r>
      <w:r w:rsidR="00E16D1D">
        <w:t xml:space="preserve">attachments, and </w:t>
      </w:r>
      <w:r w:rsidR="00986FBF">
        <w:t xml:space="preserve">approximately the same </w:t>
      </w:r>
      <w:r w:rsidR="00601157">
        <w:t xml:space="preserve">wind </w:t>
      </w:r>
      <w:r w:rsidR="00E16D1D">
        <w:t xml:space="preserve">load as </w:t>
      </w:r>
      <w:r w:rsidR="00782494">
        <w:t xml:space="preserve">CLEC and CATV </w:t>
      </w:r>
      <w:r w:rsidR="00E16D1D">
        <w:t xml:space="preserve">attachments.  </w:t>
      </w:r>
      <w:r w:rsidR="00644978">
        <w:t xml:space="preserve">As a result, </w:t>
      </w:r>
      <w:r w:rsidR="005E7806">
        <w:t>adopting</w:t>
      </w:r>
      <w:r w:rsidR="00E16D1D" w:rsidRPr="00B15830">
        <w:t xml:space="preserve"> </w:t>
      </w:r>
      <w:r w:rsidR="00644978">
        <w:t xml:space="preserve">stricter </w:t>
      </w:r>
      <w:r w:rsidR="00E16D1D" w:rsidRPr="00B15830">
        <w:t>load</w:t>
      </w:r>
      <w:r w:rsidR="00644978">
        <w:noBreakHyphen/>
      </w:r>
      <w:r w:rsidR="00E16D1D" w:rsidRPr="00B15830">
        <w:t xml:space="preserve">calculation requirements </w:t>
      </w:r>
      <w:r w:rsidR="005E7806">
        <w:t>for</w:t>
      </w:r>
      <w:r w:rsidR="00E16D1D" w:rsidRPr="00B15830">
        <w:t xml:space="preserve"> wireless attachments is </w:t>
      </w:r>
      <w:r w:rsidR="00896544">
        <w:t xml:space="preserve">not only </w:t>
      </w:r>
      <w:r w:rsidR="00E16D1D" w:rsidRPr="00B15830">
        <w:t>unnecessary</w:t>
      </w:r>
      <w:r w:rsidR="00896544">
        <w:t xml:space="preserve">, </w:t>
      </w:r>
      <w:r w:rsidR="00896376">
        <w:t xml:space="preserve">it </w:t>
      </w:r>
      <w:r w:rsidR="00644978">
        <w:t xml:space="preserve">would be </w:t>
      </w:r>
      <w:r w:rsidR="00896544">
        <w:t>unlawfully</w:t>
      </w:r>
      <w:r w:rsidR="005E7806">
        <w:t xml:space="preserve"> </w:t>
      </w:r>
      <w:r w:rsidR="00E16D1D" w:rsidRPr="00B15830">
        <w:t xml:space="preserve">discriminatory.  </w:t>
      </w:r>
    </w:p>
    <w:p w:rsidR="0033511D" w:rsidRPr="00B15830" w:rsidRDefault="00675C42" w:rsidP="0033511D">
      <w:pPr>
        <w:pStyle w:val="standard"/>
      </w:pPr>
      <w:r>
        <w:t>All of t</w:t>
      </w:r>
      <w:r w:rsidR="005E7806">
        <w:t xml:space="preserve">he </w:t>
      </w:r>
      <w:r w:rsidR="001F62AD">
        <w:t>O</w:t>
      </w:r>
      <w:r w:rsidR="005E7806">
        <w:t xml:space="preserve">pponents </w:t>
      </w:r>
      <w:r>
        <w:t xml:space="preserve">agree </w:t>
      </w:r>
      <w:r w:rsidR="00601157">
        <w:t xml:space="preserve">that SED’s proposal is unnecessary </w:t>
      </w:r>
      <w:r w:rsidR="00D22503">
        <w:t xml:space="preserve">because </w:t>
      </w:r>
      <w:r w:rsidR="005E7806">
        <w:t>Rule</w:t>
      </w:r>
      <w:r w:rsidR="0033511D">
        <w:t> </w:t>
      </w:r>
      <w:r w:rsidR="005E7806">
        <w:t>44.2</w:t>
      </w:r>
      <w:r w:rsidR="00D22503">
        <w:t xml:space="preserve"> already </w:t>
      </w:r>
      <w:r w:rsidR="0033511D">
        <w:t>require</w:t>
      </w:r>
      <w:r w:rsidR="00601157">
        <w:t>s</w:t>
      </w:r>
      <w:r w:rsidR="0033511D">
        <w:t xml:space="preserve"> a load calculation for new pole attachments that </w:t>
      </w:r>
      <w:r w:rsidR="0033511D" w:rsidRPr="00116F44">
        <w:t>materially increase the load on a structure</w:t>
      </w:r>
      <w:r w:rsidR="0033511D">
        <w:t xml:space="preserve">. </w:t>
      </w:r>
      <w:r w:rsidR="001F62AD">
        <w:t xml:space="preserve"> </w:t>
      </w:r>
      <w:r w:rsidR="00125DFB">
        <w:t xml:space="preserve">The only new aspect of </w:t>
      </w:r>
      <w:r w:rsidR="00E55056">
        <w:t>SED’s proposed Rule</w:t>
      </w:r>
      <w:r>
        <w:t> 9</w:t>
      </w:r>
      <w:r w:rsidR="00E55056">
        <w:t xml:space="preserve">4.3-D </w:t>
      </w:r>
      <w:r w:rsidR="00125DFB">
        <w:t xml:space="preserve">is that it </w:t>
      </w:r>
      <w:r>
        <w:t xml:space="preserve">would </w:t>
      </w:r>
      <w:r w:rsidR="00125DFB">
        <w:t xml:space="preserve">require </w:t>
      </w:r>
      <w:r>
        <w:t xml:space="preserve">load calculations </w:t>
      </w:r>
      <w:r w:rsidR="00782494">
        <w:t>for</w:t>
      </w:r>
      <w:r>
        <w:t xml:space="preserve"> </w:t>
      </w:r>
      <w:r w:rsidR="00E55056">
        <w:t xml:space="preserve">attachments that </w:t>
      </w:r>
      <w:r w:rsidR="00782494">
        <w:t xml:space="preserve">do not </w:t>
      </w:r>
      <w:r w:rsidR="00E55056">
        <w:t xml:space="preserve">materially increase the load on a structure.  </w:t>
      </w:r>
      <w:r w:rsidR="00EF0600">
        <w:t xml:space="preserve">In the </w:t>
      </w:r>
      <w:r w:rsidR="001F62AD">
        <w:t>O</w:t>
      </w:r>
      <w:r w:rsidR="000539C8">
        <w:t>pponents’</w:t>
      </w:r>
      <w:r w:rsidR="00EF0600">
        <w:t xml:space="preserve"> view, </w:t>
      </w:r>
      <w:r w:rsidR="00123A6C">
        <w:t xml:space="preserve">public </w:t>
      </w:r>
      <w:r w:rsidR="0033511D">
        <w:t xml:space="preserve">safety is </w:t>
      </w:r>
      <w:r w:rsidR="00EF0600">
        <w:t xml:space="preserve">better served </w:t>
      </w:r>
      <w:r w:rsidR="0033511D">
        <w:t xml:space="preserve">by focusing resources on issues that have a </w:t>
      </w:r>
      <w:r w:rsidR="0033511D" w:rsidRPr="00123A6C">
        <w:t>material</w:t>
      </w:r>
      <w:r w:rsidR="0033511D">
        <w:t xml:space="preserve"> effect on safety, not on those that, by definition, are </w:t>
      </w:r>
      <w:r w:rsidR="0033511D" w:rsidRPr="00123A6C">
        <w:t>immaterial</w:t>
      </w:r>
      <w:r w:rsidR="0033511D">
        <w:t>.</w:t>
      </w:r>
    </w:p>
    <w:p w:rsidR="006F21E4" w:rsidRDefault="006F21E4" w:rsidP="000F3CB8">
      <w:pPr>
        <w:pStyle w:val="standard"/>
      </w:pPr>
      <w:r>
        <w:t xml:space="preserve">The </w:t>
      </w:r>
      <w:r w:rsidR="001F62AD">
        <w:t>O</w:t>
      </w:r>
      <w:r>
        <w:t>pponents are al</w:t>
      </w:r>
      <w:r w:rsidR="00C93E77">
        <w:t>s</w:t>
      </w:r>
      <w:r>
        <w:t xml:space="preserve">o concerned </w:t>
      </w:r>
      <w:r w:rsidR="008002B8">
        <w:t>that</w:t>
      </w:r>
      <w:r>
        <w:t xml:space="preserve"> SED’s proposed rule would require </w:t>
      </w:r>
      <w:r w:rsidR="00601157">
        <w:t xml:space="preserve">a new load calculation </w:t>
      </w:r>
      <w:r>
        <w:t xml:space="preserve">whenever </w:t>
      </w:r>
      <w:r w:rsidR="00601157">
        <w:t>“loading is altered as a result</w:t>
      </w:r>
      <w:r w:rsidR="001F62AD">
        <w:t xml:space="preserve"> of any other condition.”  The O</w:t>
      </w:r>
      <w:r w:rsidR="00601157">
        <w:t xml:space="preserve">pponents </w:t>
      </w:r>
      <w:r w:rsidR="00C93E77">
        <w:t xml:space="preserve">state </w:t>
      </w:r>
      <w:r>
        <w:t xml:space="preserve">that </w:t>
      </w:r>
      <w:r w:rsidR="00C93E77">
        <w:t xml:space="preserve">because </w:t>
      </w:r>
      <w:r>
        <w:t xml:space="preserve">the term </w:t>
      </w:r>
      <w:r w:rsidR="00601157">
        <w:t xml:space="preserve">“other condition” </w:t>
      </w:r>
      <w:r w:rsidR="00C93E77">
        <w:t xml:space="preserve">is not defined, the term does not provide useful guidance for enhancing safety.  </w:t>
      </w:r>
      <w:r>
        <w:t xml:space="preserve"> </w:t>
      </w:r>
    </w:p>
    <w:p w:rsidR="00760F67" w:rsidRDefault="00310AA1" w:rsidP="00760F67">
      <w:pPr>
        <w:pStyle w:val="standard"/>
      </w:pPr>
      <w:r>
        <w:t xml:space="preserve">The </w:t>
      </w:r>
      <w:r w:rsidR="001F62AD">
        <w:t>O</w:t>
      </w:r>
      <w:r w:rsidR="000539C8">
        <w:t>pponents</w:t>
      </w:r>
      <w:r>
        <w:t xml:space="preserve"> </w:t>
      </w:r>
      <w:r w:rsidR="00C93E77">
        <w:t xml:space="preserve">are </w:t>
      </w:r>
      <w:r w:rsidR="000539C8">
        <w:t>adamantly</w:t>
      </w:r>
      <w:r w:rsidR="00C93E77">
        <w:t xml:space="preserve"> against the part of SED’s proposed Rule 94.3</w:t>
      </w:r>
      <w:r w:rsidR="00C93E77">
        <w:noBreakHyphen/>
        <w:t>D</w:t>
      </w:r>
      <w:r w:rsidR="00753623">
        <w:t xml:space="preserve"> that would require the use of “actual specifications” in load calculations.  </w:t>
      </w:r>
      <w:r w:rsidR="001F62AD">
        <w:t>The O</w:t>
      </w:r>
      <w:r w:rsidR="00760F67">
        <w:t xml:space="preserve">pponents </w:t>
      </w:r>
      <w:r w:rsidR="005116D5">
        <w:t>argue</w:t>
      </w:r>
      <w:r w:rsidR="00760F67">
        <w:t xml:space="preserve"> that this element of SED’s proposal conflicts with the </w:t>
      </w:r>
      <w:r w:rsidR="005116D5">
        <w:t xml:space="preserve">current </w:t>
      </w:r>
      <w:r w:rsidR="00760F67">
        <w:t>provision in R</w:t>
      </w:r>
      <w:r w:rsidR="00320B3C" w:rsidRPr="00B15830">
        <w:t>ule</w:t>
      </w:r>
      <w:r w:rsidR="00320B3C">
        <w:t> </w:t>
      </w:r>
      <w:r w:rsidR="00320B3C" w:rsidRPr="00B15830">
        <w:t>44.2</w:t>
      </w:r>
      <w:r w:rsidR="00397EA0">
        <w:t xml:space="preserve"> that requires </w:t>
      </w:r>
      <w:r w:rsidR="00320B3C" w:rsidRPr="00B15830">
        <w:t xml:space="preserve">load calculations </w:t>
      </w:r>
      <w:r w:rsidR="00397EA0">
        <w:t>to</w:t>
      </w:r>
      <w:r w:rsidR="00320B3C" w:rsidRPr="00B15830">
        <w:t xml:space="preserve"> </w:t>
      </w:r>
      <w:r w:rsidR="00397EA0">
        <w:t>“</w:t>
      </w:r>
      <w:r w:rsidR="00320B3C" w:rsidRPr="00B15830">
        <w:t xml:space="preserve">be </w:t>
      </w:r>
      <w:r w:rsidR="00320B3C" w:rsidRPr="00B15830">
        <w:lastRenderedPageBreak/>
        <w:t>based on existing conditions and proposed configuration, information provided under Rule</w:t>
      </w:r>
      <w:r w:rsidR="00320B3C">
        <w:t> </w:t>
      </w:r>
      <w:r w:rsidR="00320B3C" w:rsidRPr="00B15830">
        <w:t xml:space="preserve">44.4, conservative values of relevant parameters, industry recognized values of relevant parameters, or any combination thereof.”  </w:t>
      </w:r>
    </w:p>
    <w:p w:rsidR="002B6709" w:rsidRDefault="001F62AD" w:rsidP="00FA03C6">
      <w:pPr>
        <w:pStyle w:val="standard"/>
      </w:pPr>
      <w:r>
        <w:t>The O</w:t>
      </w:r>
      <w:r w:rsidR="00431602">
        <w:t xml:space="preserve">pponents </w:t>
      </w:r>
      <w:r w:rsidR="00675C42">
        <w:t xml:space="preserve">dispute </w:t>
      </w:r>
      <w:r w:rsidR="007F06ED">
        <w:t>SED</w:t>
      </w:r>
      <w:r w:rsidR="00675C42">
        <w:t xml:space="preserve">’s </w:t>
      </w:r>
      <w:r w:rsidR="00431602">
        <w:t xml:space="preserve">assertion that </w:t>
      </w:r>
      <w:r w:rsidR="000539C8">
        <w:t>performing</w:t>
      </w:r>
      <w:r w:rsidR="004A63FA">
        <w:t xml:space="preserve"> load calculations with </w:t>
      </w:r>
      <w:r w:rsidR="00431602">
        <w:t xml:space="preserve">anything </w:t>
      </w:r>
      <w:r w:rsidR="004A63FA">
        <w:t>besides</w:t>
      </w:r>
      <w:r w:rsidR="00431602">
        <w:t xml:space="preserve"> “actual </w:t>
      </w:r>
      <w:r w:rsidR="004A63FA">
        <w:t>specifications</w:t>
      </w:r>
      <w:r w:rsidR="00431602">
        <w:t xml:space="preserve">” </w:t>
      </w:r>
      <w:r w:rsidR="00856CF8">
        <w:t>may result in overloaded poles</w:t>
      </w:r>
      <w:r w:rsidR="00F35387">
        <w:t xml:space="preserve">. </w:t>
      </w:r>
      <w:r w:rsidR="00856CF8">
        <w:t xml:space="preserve"> </w:t>
      </w:r>
      <w:r w:rsidR="00431602">
        <w:t xml:space="preserve">This </w:t>
      </w:r>
      <w:r w:rsidR="004A63FA">
        <w:t xml:space="preserve">is simply untrue, according to the </w:t>
      </w:r>
      <w:r>
        <w:t>O</w:t>
      </w:r>
      <w:r w:rsidR="004A63FA">
        <w:t xml:space="preserve">pponents.  </w:t>
      </w:r>
      <w:r w:rsidR="00F44CA8">
        <w:t xml:space="preserve">The </w:t>
      </w:r>
      <w:r>
        <w:t>O</w:t>
      </w:r>
      <w:r w:rsidR="000539C8">
        <w:t>pponents</w:t>
      </w:r>
      <w:r w:rsidR="00F44CA8">
        <w:t xml:space="preserve"> state that </w:t>
      </w:r>
      <w:r w:rsidR="002B6709">
        <w:t>Rule</w:t>
      </w:r>
      <w:r w:rsidR="00E4440C">
        <w:t> </w:t>
      </w:r>
      <w:r w:rsidR="002B6709">
        <w:t>44.2 allows the use of “conservative values</w:t>
      </w:r>
      <w:r w:rsidR="00F35387">
        <w:t>,</w:t>
      </w:r>
      <w:r w:rsidR="002B6709">
        <w:t xml:space="preserve">” </w:t>
      </w:r>
      <w:r w:rsidR="00F35387">
        <w:t>which</w:t>
      </w:r>
      <w:r w:rsidR="002B6709">
        <w:t xml:space="preserve"> means </w:t>
      </w:r>
      <w:r w:rsidR="007F06ED">
        <w:t xml:space="preserve">that load </w:t>
      </w:r>
      <w:r w:rsidR="002B6709">
        <w:t xml:space="preserve">calculations can </w:t>
      </w:r>
      <w:r w:rsidR="00F35387">
        <w:t xml:space="preserve">use </w:t>
      </w:r>
      <w:r w:rsidR="00E4440C">
        <w:t xml:space="preserve">parameters </w:t>
      </w:r>
      <w:r w:rsidR="002B6709">
        <w:t xml:space="preserve">that </w:t>
      </w:r>
      <w:r w:rsidR="002B6709" w:rsidRPr="00FA03C6">
        <w:t>overes</w:t>
      </w:r>
      <w:r w:rsidR="002B6709">
        <w:t xml:space="preserve">timate the load on the pole.  </w:t>
      </w:r>
      <w:r>
        <w:t>The O</w:t>
      </w:r>
      <w:r w:rsidR="00D56BA4">
        <w:t xml:space="preserve">pponents </w:t>
      </w:r>
      <w:r w:rsidR="00F35387">
        <w:t>submit</w:t>
      </w:r>
      <w:r w:rsidR="00D56BA4">
        <w:t xml:space="preserve"> that o</w:t>
      </w:r>
      <w:r w:rsidR="002B6709">
        <w:t>verestimating load</w:t>
      </w:r>
      <w:r w:rsidR="00FA03C6">
        <w:t>s</w:t>
      </w:r>
      <w:r w:rsidR="002B6709">
        <w:t xml:space="preserve"> </w:t>
      </w:r>
      <w:r w:rsidR="00D56BA4">
        <w:t>is an inherently safer practice tha</w:t>
      </w:r>
      <w:r w:rsidR="00F35387">
        <w:t>n</w:t>
      </w:r>
      <w:r w:rsidR="00D56BA4">
        <w:t xml:space="preserve"> using SED’s “actual specifications.”  </w:t>
      </w:r>
    </w:p>
    <w:p w:rsidR="00710008" w:rsidRDefault="00386F26" w:rsidP="002B6709">
      <w:pPr>
        <w:pStyle w:val="standard"/>
      </w:pPr>
      <w:r>
        <w:t xml:space="preserve">The </w:t>
      </w:r>
      <w:r w:rsidR="001F62AD">
        <w:t>O</w:t>
      </w:r>
      <w:r w:rsidR="000539C8">
        <w:t>pponents</w:t>
      </w:r>
      <w:r>
        <w:t xml:space="preserve"> also believe that </w:t>
      </w:r>
      <w:r w:rsidR="002B6709">
        <w:t>the costs of performing</w:t>
      </w:r>
      <w:r w:rsidR="00396C65">
        <w:t xml:space="preserve"> load </w:t>
      </w:r>
      <w:r w:rsidR="002B6709">
        <w:t xml:space="preserve">calculations using “actual specifications” would be </w:t>
      </w:r>
      <w:r w:rsidR="008056D0">
        <w:t>prohibitive</w:t>
      </w:r>
      <w:r w:rsidR="002B6709">
        <w:t xml:space="preserve">.  The Electric IOUs </w:t>
      </w:r>
      <w:r w:rsidR="00684D32">
        <w:t xml:space="preserve">admit that they do not always have </w:t>
      </w:r>
      <w:r w:rsidR="002B6709">
        <w:t xml:space="preserve">“actual specifications” for </w:t>
      </w:r>
      <w:r w:rsidR="00684D32">
        <w:t>electric utility</w:t>
      </w:r>
      <w:r w:rsidR="002B6709">
        <w:t xml:space="preserve"> conductors and equipment </w:t>
      </w:r>
      <w:r w:rsidR="00684D32">
        <w:t>that were attached to poles many years ago</w:t>
      </w:r>
      <w:r w:rsidR="002B6709">
        <w:t xml:space="preserve">.  </w:t>
      </w:r>
      <w:r w:rsidR="00710008">
        <w:t>In these situations, the only way to obtain actual specifications would be to physically measure and weigh attachments at great expense.  Alternatively, CMRS carrier</w:t>
      </w:r>
      <w:r w:rsidR="007E0EED">
        <w:t>s</w:t>
      </w:r>
      <w:r w:rsidR="00710008">
        <w:t xml:space="preserve"> could </w:t>
      </w:r>
      <w:r w:rsidR="00675C42">
        <w:t>attach</w:t>
      </w:r>
      <w:r w:rsidR="00710008">
        <w:t xml:space="preserve"> to less optimally located pole</w:t>
      </w:r>
      <w:r w:rsidR="007E0EED">
        <w:t>s</w:t>
      </w:r>
      <w:r w:rsidR="00710008">
        <w:t xml:space="preserve"> where the actual specifications of the </w:t>
      </w:r>
      <w:r w:rsidR="008056D0">
        <w:t xml:space="preserve">existing </w:t>
      </w:r>
      <w:r w:rsidR="00710008">
        <w:t>attachments are known, or forgo service improvement</w:t>
      </w:r>
      <w:r w:rsidR="007E0EED">
        <w:t>s</w:t>
      </w:r>
      <w:r w:rsidR="00710008">
        <w:t xml:space="preserve"> or expansion altogether. </w:t>
      </w:r>
    </w:p>
    <w:p w:rsidR="00F94200" w:rsidRDefault="00F94200" w:rsidP="00A845DC">
      <w:pPr>
        <w:pStyle w:val="Heading4"/>
      </w:pPr>
      <w:bookmarkStart w:id="75" w:name="_Toc424321916"/>
      <w:bookmarkStart w:id="76" w:name="_Toc436647343"/>
      <w:r w:rsidRPr="00F50793">
        <w:t>Discussion</w:t>
      </w:r>
      <w:bookmarkEnd w:id="75"/>
      <w:bookmarkEnd w:id="76"/>
      <w:r>
        <w:t xml:space="preserve"> </w:t>
      </w:r>
    </w:p>
    <w:p w:rsidR="00B624EE" w:rsidRDefault="00B624EE" w:rsidP="00B624EE">
      <w:pPr>
        <w:pStyle w:val="standard"/>
      </w:pPr>
      <w:r>
        <w:t xml:space="preserve">The issue before us is whether to </w:t>
      </w:r>
      <w:r w:rsidR="000539C8">
        <w:t>adopt</w:t>
      </w:r>
      <w:r>
        <w:t xml:space="preserve"> SED’s proposed Rule 94.3-D.  The </w:t>
      </w:r>
      <w:r w:rsidR="00E4440C">
        <w:t>key</w:t>
      </w:r>
      <w:r>
        <w:t xml:space="preserve"> elements of the proposed rule are:  </w:t>
      </w:r>
    </w:p>
    <w:p w:rsidR="00E850FF" w:rsidRDefault="00B624EE" w:rsidP="00782494">
      <w:pPr>
        <w:pStyle w:val="standard"/>
        <w:numPr>
          <w:ilvl w:val="0"/>
          <w:numId w:val="18"/>
        </w:numPr>
        <w:tabs>
          <w:tab w:val="left" w:pos="1080"/>
        </w:tabs>
        <w:spacing w:after="100" w:line="240" w:lineRule="auto"/>
        <w:ind w:left="1080"/>
      </w:pPr>
      <w:r>
        <w:t xml:space="preserve">A requirement to perform a </w:t>
      </w:r>
      <w:r w:rsidR="009E7C7C">
        <w:t xml:space="preserve">load </w:t>
      </w:r>
      <w:r w:rsidR="00E850FF">
        <w:t xml:space="preserve">calculation </w:t>
      </w:r>
      <w:r w:rsidR="00AD0F43">
        <w:t xml:space="preserve">each time </w:t>
      </w:r>
      <w:r w:rsidR="009E7C7C">
        <w:t xml:space="preserve">wireless </w:t>
      </w:r>
      <w:r w:rsidR="00AD0F43">
        <w:t xml:space="preserve">facilities are installed on a pole, or </w:t>
      </w:r>
      <w:r w:rsidR="00E21695">
        <w:t xml:space="preserve">when </w:t>
      </w:r>
      <w:r w:rsidR="00CE4368">
        <w:t xml:space="preserve">loading is altered as a result of any other condition.  </w:t>
      </w:r>
    </w:p>
    <w:p w:rsidR="00E850FF" w:rsidRDefault="00E850FF" w:rsidP="00C114B0">
      <w:pPr>
        <w:pStyle w:val="standard"/>
        <w:numPr>
          <w:ilvl w:val="0"/>
          <w:numId w:val="18"/>
        </w:numPr>
        <w:tabs>
          <w:tab w:val="left" w:pos="1080"/>
        </w:tabs>
        <w:spacing w:after="200" w:line="240" w:lineRule="auto"/>
        <w:ind w:left="1080"/>
      </w:pPr>
      <w:r>
        <w:t xml:space="preserve">A requirement that </w:t>
      </w:r>
      <w:r w:rsidR="00710008">
        <w:t xml:space="preserve">the </w:t>
      </w:r>
      <w:r>
        <w:t xml:space="preserve">parameters used in the </w:t>
      </w:r>
      <w:r w:rsidR="00F35387">
        <w:t xml:space="preserve">load </w:t>
      </w:r>
      <w:r>
        <w:t xml:space="preserve">calculation </w:t>
      </w:r>
      <w:r w:rsidR="00CE4368">
        <w:t>be based on</w:t>
      </w:r>
      <w:r>
        <w:t xml:space="preserve"> the “actual specifications” of the </w:t>
      </w:r>
      <w:r w:rsidR="00DB172A">
        <w:t xml:space="preserve">facilities </w:t>
      </w:r>
      <w:r>
        <w:t xml:space="preserve">attached to the pole, and not </w:t>
      </w:r>
      <w:r w:rsidR="00111925">
        <w:t xml:space="preserve">on </w:t>
      </w:r>
      <w:r w:rsidR="00E24D6F">
        <w:t xml:space="preserve">conservative values and/or industry recognized values of relevant parameters.  </w:t>
      </w:r>
      <w:r>
        <w:t xml:space="preserve"> </w:t>
      </w:r>
    </w:p>
    <w:p w:rsidR="004078C5" w:rsidRDefault="004078C5" w:rsidP="004078C5">
      <w:pPr>
        <w:pStyle w:val="standard"/>
      </w:pPr>
      <w:r>
        <w:lastRenderedPageBreak/>
        <w:t xml:space="preserve">As a general principle, we will adopt </w:t>
      </w:r>
      <w:r w:rsidR="009D6C30">
        <w:t>a new</w:t>
      </w:r>
      <w:r>
        <w:t xml:space="preserve"> safety </w:t>
      </w:r>
      <w:r w:rsidR="009D6C30">
        <w:t>regulation</w:t>
      </w:r>
      <w:r>
        <w:t xml:space="preserve"> </w:t>
      </w:r>
      <w:r w:rsidR="00E01C6C">
        <w:t xml:space="preserve">in this proceeding for CMRS facilities </w:t>
      </w:r>
      <w:r w:rsidR="009D6C30">
        <w:t>if</w:t>
      </w:r>
      <w:r>
        <w:t xml:space="preserve"> there is a demonstrated need for </w:t>
      </w:r>
      <w:r w:rsidR="009D6C30">
        <w:t xml:space="preserve">the new regulation </w:t>
      </w:r>
      <w:r>
        <w:t xml:space="preserve">to protect worker </w:t>
      </w:r>
      <w:r w:rsidR="00B941FE">
        <w:t xml:space="preserve">safety </w:t>
      </w:r>
      <w:r>
        <w:t xml:space="preserve">and/or public safety.  The adopted </w:t>
      </w:r>
      <w:r w:rsidR="009D6C30">
        <w:t>regulation</w:t>
      </w:r>
      <w:r>
        <w:t xml:space="preserve"> should be carefully tailored to remedy </w:t>
      </w:r>
      <w:r w:rsidR="009D6C30">
        <w:t xml:space="preserve">an </w:t>
      </w:r>
      <w:r>
        <w:t xml:space="preserve">identified safety hazard while avoiding unnecessary expenditures of time, money, and resources.  </w:t>
      </w:r>
    </w:p>
    <w:p w:rsidR="008062EF" w:rsidRDefault="00961A0A" w:rsidP="00985174">
      <w:pPr>
        <w:pStyle w:val="standard"/>
      </w:pPr>
      <w:r>
        <w:t>T</w:t>
      </w:r>
      <w:r w:rsidR="00707850">
        <w:t xml:space="preserve">o </w:t>
      </w:r>
      <w:r w:rsidR="0005539B">
        <w:t>assess</w:t>
      </w:r>
      <w:r w:rsidR="00707850">
        <w:t xml:space="preserve"> the merits of SED’s proposal, it is helpful to first review the Commission’s regulations regarding pole overloading.</w:t>
      </w:r>
      <w:r w:rsidR="00F12C3C">
        <w:rPr>
          <w:rStyle w:val="FootnoteReference"/>
        </w:rPr>
        <w:footnoteReference w:id="69"/>
      </w:r>
      <w:r w:rsidR="00707850">
        <w:t xml:space="preserve">  We interpret GO 95</w:t>
      </w:r>
      <w:r w:rsidR="00985174">
        <w:t>’s</w:t>
      </w:r>
      <w:r w:rsidR="00707850">
        <w:t xml:space="preserve"> </w:t>
      </w:r>
      <w:r w:rsidR="00985174">
        <w:t>Rule</w:t>
      </w:r>
      <w:r>
        <w:t> </w:t>
      </w:r>
      <w:r w:rsidR="00985174">
        <w:t>40 et seq., together with P</w:t>
      </w:r>
      <w:r w:rsidR="00707850">
        <w:t xml:space="preserve">ub. Util. Code </w:t>
      </w:r>
      <w:r w:rsidR="00707850">
        <w:rPr>
          <w:rFonts w:ascii="Book Antiqua" w:hAnsi="Book Antiqua"/>
        </w:rPr>
        <w:t>§</w:t>
      </w:r>
      <w:r w:rsidR="00707850">
        <w:t> 451</w:t>
      </w:r>
      <w:r w:rsidR="00985174">
        <w:t>,</w:t>
      </w:r>
      <w:r w:rsidR="00707850">
        <w:t xml:space="preserve"> as prohibiting pole overloading.  </w:t>
      </w:r>
      <w:r w:rsidR="008062EF">
        <w:t xml:space="preserve">Both pole owners and </w:t>
      </w:r>
      <w:r w:rsidR="009156FA">
        <w:t xml:space="preserve">attachers </w:t>
      </w:r>
      <w:r w:rsidR="008062EF">
        <w:t xml:space="preserve">have an affirmative duty to </w:t>
      </w:r>
      <w:r w:rsidR="00C15B5A">
        <w:t>prevent</w:t>
      </w:r>
      <w:r w:rsidR="008062EF">
        <w:t xml:space="preserve"> any pole attachments that would cause, or </w:t>
      </w:r>
      <w:r w:rsidR="000539C8">
        <w:t>exacerbate</w:t>
      </w:r>
      <w:r w:rsidR="008062EF">
        <w:t xml:space="preserve">, pole overloading.  To </w:t>
      </w:r>
      <w:r w:rsidR="00214C23">
        <w:t xml:space="preserve">prevent pole overloading, </w:t>
      </w:r>
      <w:r w:rsidR="008062EF">
        <w:t xml:space="preserve">Rule 44.2 requires a load calculation for new pole attachments that </w:t>
      </w:r>
      <w:r w:rsidR="008062EF" w:rsidRPr="00116F44">
        <w:t>“materially increase the load on a structure</w:t>
      </w:r>
      <w:r w:rsidR="00985174">
        <w:t xml:space="preserve"> </w:t>
      </w:r>
      <w:r w:rsidR="00985174" w:rsidRPr="00B941FE">
        <w:rPr>
          <w:u w:val="single"/>
        </w:rPr>
        <w:t>to ensure that the addition of the facilities will not reduce the safety factors below the values specified by Rule 44.3</w:t>
      </w:r>
      <w:r w:rsidR="00985174" w:rsidRPr="00985174">
        <w:t>.</w:t>
      </w:r>
      <w:r w:rsidR="008062EF" w:rsidRPr="00116F44">
        <w:t>”</w:t>
      </w:r>
      <w:r w:rsidR="00985174">
        <w:t xml:space="preserve"> (Emphasis added.)  </w:t>
      </w:r>
      <w:r w:rsidR="00B941FE">
        <w:t xml:space="preserve">Rule 44.2 </w:t>
      </w:r>
      <w:r w:rsidR="008062EF">
        <w:t>is a minimum requirement</w:t>
      </w:r>
      <w:r w:rsidR="00306799">
        <w:t>, however</w:t>
      </w:r>
      <w:r w:rsidR="008062EF">
        <w:t xml:space="preserve">.  </w:t>
      </w:r>
      <w:r w:rsidR="00C15B5A">
        <w:t xml:space="preserve">Pole owners and </w:t>
      </w:r>
      <w:r w:rsidR="009156FA">
        <w:t xml:space="preserve">attachers </w:t>
      </w:r>
      <w:r w:rsidR="00C15B5A">
        <w:t xml:space="preserve">must take </w:t>
      </w:r>
      <w:r w:rsidR="008056D0">
        <w:t>all</w:t>
      </w:r>
      <w:r w:rsidR="00C15B5A">
        <w:t xml:space="preserve"> precautions</w:t>
      </w:r>
      <w:r w:rsidR="0080412F">
        <w:t xml:space="preserve"> that </w:t>
      </w:r>
      <w:r w:rsidR="00B941FE">
        <w:t>may be</w:t>
      </w:r>
      <w:r w:rsidR="0080412F">
        <w:t xml:space="preserve"> necessary </w:t>
      </w:r>
      <w:r w:rsidR="00C15B5A">
        <w:t xml:space="preserve">to </w:t>
      </w:r>
      <w:r w:rsidR="00985174">
        <w:t xml:space="preserve">ensure that poles are not </w:t>
      </w:r>
      <w:r w:rsidR="00920E0E">
        <w:t>overloaded</w:t>
      </w:r>
      <w:r w:rsidR="00C15B5A">
        <w:t xml:space="preserve">.  </w:t>
      </w:r>
      <w:r w:rsidR="0080412F">
        <w:t xml:space="preserve">Such precautions may include load calculations </w:t>
      </w:r>
      <w:r w:rsidR="00C62182">
        <w:t xml:space="preserve">for new attachments in situations not required by Rule 44.2.  </w:t>
      </w:r>
    </w:p>
    <w:p w:rsidR="00AE296F" w:rsidRDefault="00985174" w:rsidP="00B624EE">
      <w:pPr>
        <w:pStyle w:val="standard"/>
      </w:pPr>
      <w:r>
        <w:t>With our regulations regarding pole overloading in mind, we next consider the merits of SED’s proposed Rule 94.3</w:t>
      </w:r>
      <w:r>
        <w:noBreakHyphen/>
        <w:t xml:space="preserve">D.  </w:t>
      </w:r>
      <w:r w:rsidR="00B941FE">
        <w:t>T</w:t>
      </w:r>
      <w:r w:rsidR="00134DC9">
        <w:t xml:space="preserve">he proposed rule is premised on SED’s claim that pole overloading is a significant problem.  This is </w:t>
      </w:r>
      <w:r w:rsidR="00C62182">
        <w:t xml:space="preserve">a </w:t>
      </w:r>
      <w:r w:rsidR="0047408A">
        <w:t>troubling</w:t>
      </w:r>
      <w:r w:rsidR="00134DC9">
        <w:t xml:space="preserve"> claim, as it implies widespread violations of GO 95 and Pub. Util. </w:t>
      </w:r>
      <w:r w:rsidR="00134DC9">
        <w:lastRenderedPageBreak/>
        <w:t>Code</w:t>
      </w:r>
      <w:r w:rsidR="00306799">
        <w:t> </w:t>
      </w:r>
      <w:r w:rsidR="00134DC9">
        <w:rPr>
          <w:rFonts w:ascii="Book Antiqua" w:hAnsi="Book Antiqua"/>
        </w:rPr>
        <w:t>§</w:t>
      </w:r>
      <w:r w:rsidR="00134DC9">
        <w:t xml:space="preserve"> 451.  </w:t>
      </w:r>
      <w:r w:rsidR="0047408A">
        <w:t xml:space="preserve">The only support that SED </w:t>
      </w:r>
      <w:r w:rsidR="00277DFC">
        <w:t>offers</w:t>
      </w:r>
      <w:r w:rsidR="0047408A">
        <w:t xml:space="preserve"> for its claim is </w:t>
      </w:r>
      <w:r w:rsidR="00277DFC">
        <w:t>the Commission’s Malibu Canyon Fire Investigation (I</w:t>
      </w:r>
      <w:r w:rsidR="00783996">
        <w:t>.</w:t>
      </w:r>
      <w:r w:rsidR="00277DFC">
        <w:t>) 09-01-018.</w:t>
      </w:r>
      <w:r w:rsidR="00D070CD">
        <w:rPr>
          <w:rStyle w:val="FootnoteReference"/>
        </w:rPr>
        <w:footnoteReference w:id="70"/>
      </w:r>
      <w:r w:rsidR="00277DFC">
        <w:t xml:space="preserve">  </w:t>
      </w:r>
    </w:p>
    <w:p w:rsidR="008062EF" w:rsidRDefault="00277DFC" w:rsidP="00B624EE">
      <w:pPr>
        <w:pStyle w:val="standard"/>
      </w:pPr>
      <w:r>
        <w:t>We have reviewed the Commission dec</w:t>
      </w:r>
      <w:r w:rsidR="00532110">
        <w:t xml:space="preserve">isions in </w:t>
      </w:r>
      <w:r w:rsidR="00C62182">
        <w:t xml:space="preserve">I.09-01-018, </w:t>
      </w:r>
      <w:r w:rsidR="00532110">
        <w:t>two of which are relevant here</w:t>
      </w:r>
      <w:r>
        <w:t xml:space="preserve">.  </w:t>
      </w:r>
      <w:r w:rsidR="00AE296F">
        <w:t>In D.13</w:t>
      </w:r>
      <w:r w:rsidR="00AE296F">
        <w:noBreakHyphen/>
        <w:t>09</w:t>
      </w:r>
      <w:r w:rsidR="00AE296F">
        <w:noBreakHyphen/>
        <w:t xml:space="preserve">026, one of the </w:t>
      </w:r>
      <w:r w:rsidR="00BE5DF5">
        <w:t>R</w:t>
      </w:r>
      <w:r w:rsidR="00AE296F">
        <w:t>espondents</w:t>
      </w:r>
      <w:r w:rsidR="009B7765">
        <w:t xml:space="preserve">, </w:t>
      </w:r>
      <w:r w:rsidR="009B7765">
        <w:rPr>
          <w:szCs w:val="26"/>
        </w:rPr>
        <w:t>NextG</w:t>
      </w:r>
      <w:r w:rsidR="004C2050">
        <w:rPr>
          <w:szCs w:val="26"/>
        </w:rPr>
        <w:t xml:space="preserve"> Networks of California, Inc. (</w:t>
      </w:r>
      <w:r w:rsidR="00306799">
        <w:rPr>
          <w:szCs w:val="26"/>
        </w:rPr>
        <w:t>“</w:t>
      </w:r>
      <w:r w:rsidR="009B7765">
        <w:rPr>
          <w:szCs w:val="26"/>
        </w:rPr>
        <w:t>NextG</w:t>
      </w:r>
      <w:r w:rsidR="00306799">
        <w:rPr>
          <w:szCs w:val="26"/>
        </w:rPr>
        <w:t>”</w:t>
      </w:r>
      <w:r w:rsidR="009B7765">
        <w:rPr>
          <w:szCs w:val="26"/>
        </w:rPr>
        <w:t xml:space="preserve">), </w:t>
      </w:r>
      <w:r w:rsidR="00485CE8">
        <w:t>conceded</w:t>
      </w:r>
      <w:r w:rsidR="00AE296F">
        <w:t xml:space="preserve"> that it </w:t>
      </w:r>
      <w:r w:rsidR="00C62182">
        <w:t xml:space="preserve">had </w:t>
      </w:r>
      <w:r w:rsidR="00AE296F">
        <w:t xml:space="preserve">attached a fiber optic cable to a pole despite being informed by </w:t>
      </w:r>
      <w:r w:rsidR="009B7765">
        <w:t xml:space="preserve">SCE </w:t>
      </w:r>
      <w:r w:rsidR="00AE296F">
        <w:t xml:space="preserve">that the attachment would overload the pole, and despite </w:t>
      </w:r>
      <w:r w:rsidR="009B7765">
        <w:t>SCE</w:t>
      </w:r>
      <w:r w:rsidR="004C2050">
        <w:t>’s</w:t>
      </w:r>
      <w:r w:rsidR="009B7765">
        <w:t xml:space="preserve"> </w:t>
      </w:r>
      <w:r w:rsidR="00AE296F">
        <w:t xml:space="preserve">denying </w:t>
      </w:r>
      <w:r w:rsidR="004C2050">
        <w:t xml:space="preserve">NextG </w:t>
      </w:r>
      <w:r w:rsidR="00AE296F">
        <w:t>permission to attach to the pole because of pole overloading.</w:t>
      </w:r>
      <w:r w:rsidR="00485CE8">
        <w:rPr>
          <w:rStyle w:val="FootnoteReference"/>
        </w:rPr>
        <w:footnoteReference w:id="71"/>
      </w:r>
      <w:r w:rsidR="00AE296F">
        <w:t xml:space="preserve">  </w:t>
      </w:r>
      <w:r w:rsidR="00485CE8">
        <w:t xml:space="preserve">The overloaded pole </w:t>
      </w:r>
      <w:r w:rsidR="00920E0E">
        <w:t>subsequently</w:t>
      </w:r>
      <w:r w:rsidR="00485CE8">
        <w:t xml:space="preserve"> failed </w:t>
      </w:r>
      <w:r w:rsidR="00C62182">
        <w:t>durin</w:t>
      </w:r>
      <w:r w:rsidR="004204DF">
        <w:t>g</w:t>
      </w:r>
      <w:r w:rsidR="00C62182">
        <w:t xml:space="preserve"> a Santa</w:t>
      </w:r>
      <w:r w:rsidR="005124A5">
        <w:t> </w:t>
      </w:r>
      <w:r w:rsidR="00C62182">
        <w:t xml:space="preserve">Ana </w:t>
      </w:r>
      <w:r w:rsidR="004204DF">
        <w:t>w</w:t>
      </w:r>
      <w:r w:rsidR="00485CE8">
        <w:t xml:space="preserve">indstorm.  </w:t>
      </w:r>
      <w:r w:rsidR="00BE5DF5">
        <w:t>Although not stated explicitly in D.13</w:t>
      </w:r>
      <w:r w:rsidR="00BE5DF5">
        <w:noBreakHyphen/>
        <w:t>09</w:t>
      </w:r>
      <w:r w:rsidR="00BE5DF5">
        <w:noBreakHyphen/>
        <w:t xml:space="preserve">026, it </w:t>
      </w:r>
      <w:r w:rsidR="002B2784">
        <w:t xml:space="preserve">is apparent </w:t>
      </w:r>
      <w:r w:rsidR="00BE5DF5">
        <w:t xml:space="preserve">that a load calculation </w:t>
      </w:r>
      <w:r w:rsidR="00C62182">
        <w:t>had been</w:t>
      </w:r>
      <w:r w:rsidR="00BE5DF5">
        <w:t xml:space="preserve"> performed </w:t>
      </w:r>
      <w:r w:rsidR="003E3F7C">
        <w:t xml:space="preserve">by </w:t>
      </w:r>
      <w:r w:rsidR="009B7765">
        <w:t>NextG and/or SCE</w:t>
      </w:r>
      <w:r w:rsidR="00B3699C">
        <w:t>.</w:t>
      </w:r>
      <w:r w:rsidR="00C62182" w:rsidRPr="00C62182">
        <w:rPr>
          <w:rStyle w:val="FootnoteReference"/>
        </w:rPr>
        <w:t xml:space="preserve"> </w:t>
      </w:r>
      <w:r w:rsidR="00C62182">
        <w:rPr>
          <w:rStyle w:val="FootnoteReference"/>
        </w:rPr>
        <w:footnoteReference w:id="72"/>
      </w:r>
      <w:r w:rsidR="00C62182">
        <w:t xml:space="preserve"> </w:t>
      </w:r>
    </w:p>
    <w:p w:rsidR="004C2050" w:rsidRPr="004C2050" w:rsidRDefault="004C2050" w:rsidP="00E21F31">
      <w:pPr>
        <w:pStyle w:val="standard"/>
        <w:rPr>
          <w:rFonts w:ascii="Book Antiqua" w:hAnsi="Book Antiqua" w:cs="Book Antiqua"/>
          <w:color w:val="000000"/>
          <w:szCs w:val="26"/>
        </w:rPr>
      </w:pPr>
      <w:r>
        <w:t xml:space="preserve">In D.13-09-028, SCE admitted that (1) a utility pole </w:t>
      </w:r>
      <w:r w:rsidRPr="004C2050">
        <w:rPr>
          <w:rFonts w:ascii="Book Antiqua" w:hAnsi="Book Antiqua" w:cs="Book Antiqua"/>
          <w:color w:val="000000"/>
          <w:szCs w:val="26"/>
        </w:rPr>
        <w:t>did not comply with GO</w:t>
      </w:r>
      <w:r w:rsidR="00E21F31">
        <w:rPr>
          <w:rFonts w:ascii="Book Antiqua" w:hAnsi="Book Antiqua" w:cs="Book Antiqua"/>
          <w:color w:val="000000"/>
          <w:szCs w:val="26"/>
        </w:rPr>
        <w:t> </w:t>
      </w:r>
      <w:r w:rsidRPr="004C2050">
        <w:rPr>
          <w:rFonts w:ascii="Book Antiqua" w:hAnsi="Book Antiqua" w:cs="Book Antiqua"/>
          <w:color w:val="000000"/>
          <w:szCs w:val="26"/>
        </w:rPr>
        <w:t>95 safety factor requirements as a result of NextG’s attachment of fiber optic cable facilities to the pole</w:t>
      </w:r>
      <w:r w:rsidR="00E21F31">
        <w:rPr>
          <w:rFonts w:ascii="Book Antiqua" w:hAnsi="Book Antiqua" w:cs="Book Antiqua"/>
          <w:color w:val="000000"/>
          <w:szCs w:val="26"/>
        </w:rPr>
        <w:t>; and (2) </w:t>
      </w:r>
      <w:r w:rsidRPr="004C2050">
        <w:rPr>
          <w:rFonts w:ascii="Book Antiqua" w:hAnsi="Book Antiqua" w:cs="Book Antiqua"/>
          <w:color w:val="000000"/>
          <w:szCs w:val="26"/>
        </w:rPr>
        <w:t xml:space="preserve">SCE violated Pub. Util. Code § 451 by not taking prompt action to prevent NextG from attaching facilities to </w:t>
      </w:r>
      <w:r w:rsidR="0005539B">
        <w:rPr>
          <w:rFonts w:ascii="Book Antiqua" w:hAnsi="Book Antiqua" w:cs="Book Antiqua"/>
          <w:color w:val="000000"/>
          <w:szCs w:val="26"/>
        </w:rPr>
        <w:t>several</w:t>
      </w:r>
      <w:r w:rsidRPr="004C2050">
        <w:rPr>
          <w:rFonts w:ascii="Book Antiqua" w:hAnsi="Book Antiqua" w:cs="Book Antiqua"/>
          <w:color w:val="000000"/>
          <w:szCs w:val="26"/>
        </w:rPr>
        <w:t xml:space="preserve"> poles after an SCE employee </w:t>
      </w:r>
      <w:r w:rsidR="0005539B">
        <w:rPr>
          <w:rFonts w:ascii="Book Antiqua" w:hAnsi="Book Antiqua" w:cs="Book Antiqua"/>
          <w:color w:val="000000"/>
          <w:szCs w:val="26"/>
        </w:rPr>
        <w:t xml:space="preserve">had </w:t>
      </w:r>
      <w:r w:rsidRPr="004C2050">
        <w:rPr>
          <w:rFonts w:ascii="Book Antiqua" w:hAnsi="Book Antiqua" w:cs="Book Antiqua"/>
          <w:color w:val="000000"/>
          <w:szCs w:val="26"/>
        </w:rPr>
        <w:t xml:space="preserve">determined that NextG’s attachments would </w:t>
      </w:r>
      <w:r w:rsidR="00C62182">
        <w:rPr>
          <w:rFonts w:ascii="Book Antiqua" w:hAnsi="Book Antiqua" w:cs="Book Antiqua"/>
          <w:color w:val="000000"/>
          <w:szCs w:val="26"/>
        </w:rPr>
        <w:t>overload the poles</w:t>
      </w:r>
      <w:r w:rsidRPr="004C2050">
        <w:rPr>
          <w:rFonts w:ascii="Book Antiqua" w:hAnsi="Book Antiqua" w:cs="Book Antiqua"/>
          <w:color w:val="000000"/>
          <w:szCs w:val="26"/>
        </w:rPr>
        <w:t xml:space="preserve">. </w:t>
      </w:r>
      <w:r w:rsidR="00E21F31">
        <w:rPr>
          <w:rFonts w:ascii="Book Antiqua" w:hAnsi="Book Antiqua" w:cs="Book Antiqua"/>
          <w:color w:val="000000"/>
          <w:szCs w:val="26"/>
        </w:rPr>
        <w:t xml:space="preserve"> </w:t>
      </w:r>
      <w:r w:rsidR="00991B83">
        <w:rPr>
          <w:rFonts w:ascii="Book Antiqua" w:hAnsi="Book Antiqua" w:cs="Book Antiqua"/>
          <w:color w:val="000000"/>
          <w:szCs w:val="26"/>
        </w:rPr>
        <w:t>On</w:t>
      </w:r>
      <w:r w:rsidR="0005539B">
        <w:rPr>
          <w:rFonts w:ascii="Book Antiqua" w:hAnsi="Book Antiqua" w:cs="Book Antiqua"/>
          <w:color w:val="000000"/>
          <w:szCs w:val="26"/>
        </w:rPr>
        <w:t>c</w:t>
      </w:r>
      <w:r w:rsidR="00991B83">
        <w:rPr>
          <w:rFonts w:ascii="Book Antiqua" w:hAnsi="Book Antiqua" w:cs="Book Antiqua"/>
          <w:color w:val="000000"/>
          <w:szCs w:val="26"/>
        </w:rPr>
        <w:t>e a</w:t>
      </w:r>
      <w:r w:rsidR="00E21F31">
        <w:rPr>
          <w:rFonts w:ascii="Book Antiqua" w:hAnsi="Book Antiqua" w:cs="Book Antiqua"/>
          <w:color w:val="000000"/>
          <w:szCs w:val="26"/>
        </w:rPr>
        <w:t xml:space="preserve">gain, </w:t>
      </w:r>
      <w:r w:rsidR="00E21F31">
        <w:t>although not stated explicitly in D.13</w:t>
      </w:r>
      <w:r w:rsidR="00E21F31">
        <w:noBreakHyphen/>
        <w:t>09</w:t>
      </w:r>
      <w:r w:rsidR="00E21F31">
        <w:noBreakHyphen/>
        <w:t xml:space="preserve">028, it </w:t>
      </w:r>
      <w:r w:rsidR="002B2784">
        <w:t xml:space="preserve">is apparent </w:t>
      </w:r>
      <w:r w:rsidR="00E21F31">
        <w:t xml:space="preserve">that load calculations </w:t>
      </w:r>
      <w:r w:rsidR="00C62182">
        <w:t>had been</w:t>
      </w:r>
      <w:r w:rsidR="00E21F31">
        <w:t xml:space="preserve"> performed.</w:t>
      </w:r>
    </w:p>
    <w:p w:rsidR="00E52517" w:rsidRDefault="00807863" w:rsidP="00B624EE">
      <w:pPr>
        <w:pStyle w:val="standard"/>
      </w:pPr>
      <w:r>
        <w:t>The</w:t>
      </w:r>
      <w:r w:rsidR="00B3699C">
        <w:t xml:space="preserve">se two </w:t>
      </w:r>
      <w:r w:rsidR="00B31B80">
        <w:t xml:space="preserve">decisions in I.09-01-018 </w:t>
      </w:r>
      <w:r w:rsidR="00AF1376">
        <w:t>reveal</w:t>
      </w:r>
      <w:r>
        <w:t xml:space="preserve"> that </w:t>
      </w:r>
      <w:r w:rsidR="00B31B80">
        <w:t xml:space="preserve">pole overloading </w:t>
      </w:r>
      <w:r w:rsidR="003B079F">
        <w:t xml:space="preserve">occurred because NextG and SCE </w:t>
      </w:r>
      <w:r w:rsidR="00344733">
        <w:t>disregarded</w:t>
      </w:r>
      <w:r w:rsidR="003B079F">
        <w:t xml:space="preserve"> load </w:t>
      </w:r>
      <w:r w:rsidR="00920E0E">
        <w:t>calculations</w:t>
      </w:r>
      <w:r w:rsidR="00344733">
        <w:t xml:space="preserve"> that had been performed.  SED’s proposed Rule 94.3-D, which would require load </w:t>
      </w:r>
      <w:r w:rsidR="00920E0E">
        <w:t>calculations</w:t>
      </w:r>
      <w:r w:rsidR="00344733">
        <w:t xml:space="preserve"> for all new </w:t>
      </w:r>
      <w:r w:rsidR="00AF1376">
        <w:lastRenderedPageBreak/>
        <w:t>wireless</w:t>
      </w:r>
      <w:r w:rsidR="00344733">
        <w:t xml:space="preserve"> </w:t>
      </w:r>
      <w:r w:rsidR="00920E0E">
        <w:t>attachments</w:t>
      </w:r>
      <w:r w:rsidR="00344733">
        <w:t xml:space="preserve">, would </w:t>
      </w:r>
      <w:r w:rsidR="00344733" w:rsidRPr="004204DF">
        <w:rPr>
          <w:u w:val="single"/>
        </w:rPr>
        <w:t>no</w:t>
      </w:r>
      <w:r w:rsidR="00344733" w:rsidRPr="00E37DAF">
        <w:rPr>
          <w:u w:val="single"/>
        </w:rPr>
        <w:t>t</w:t>
      </w:r>
      <w:r w:rsidR="00344733">
        <w:t xml:space="preserve"> have prevented the overloaded poles at issue in I.09</w:t>
      </w:r>
      <w:r w:rsidR="00344733">
        <w:noBreakHyphen/>
        <w:t>01</w:t>
      </w:r>
      <w:r w:rsidR="00344733">
        <w:noBreakHyphen/>
        <w:t xml:space="preserve">018.  More broadly, </w:t>
      </w:r>
      <w:r>
        <w:t xml:space="preserve">none of </w:t>
      </w:r>
      <w:r w:rsidR="00344733">
        <w:t xml:space="preserve">the </w:t>
      </w:r>
      <w:r>
        <w:t xml:space="preserve">decisions </w:t>
      </w:r>
      <w:r w:rsidR="00344733">
        <w:t>in I.09</w:t>
      </w:r>
      <w:r w:rsidR="002B2784">
        <w:noBreakHyphen/>
      </w:r>
      <w:r w:rsidR="00344733">
        <w:t>01</w:t>
      </w:r>
      <w:r w:rsidR="002B2784">
        <w:noBreakHyphen/>
      </w:r>
      <w:r w:rsidR="00344733">
        <w:t xml:space="preserve">018 </w:t>
      </w:r>
      <w:r>
        <w:t>demonstrates that pole overloading is</w:t>
      </w:r>
      <w:r w:rsidR="00B31B80">
        <w:t xml:space="preserve"> a widespread problem in general, or with respect to CMRS attachments in particular.</w:t>
      </w:r>
      <w:r w:rsidR="00705CA4">
        <w:rPr>
          <w:rStyle w:val="FootnoteReference"/>
        </w:rPr>
        <w:footnoteReference w:id="73"/>
      </w:r>
      <w:r w:rsidR="00B31B80">
        <w:t xml:space="preserve">  </w:t>
      </w:r>
    </w:p>
    <w:p w:rsidR="00B31B80" w:rsidRDefault="000E5149" w:rsidP="00B624EE">
      <w:pPr>
        <w:pStyle w:val="standard"/>
      </w:pPr>
      <w:r>
        <w:t>For the preceding reasons, we conclude that there is not a sufficient record in this proceeding to adopt SED’s proposed Rule</w:t>
      </w:r>
      <w:r w:rsidR="00D43368">
        <w:t> </w:t>
      </w:r>
      <w:r>
        <w:t xml:space="preserve">94.3-D.  </w:t>
      </w:r>
      <w:r w:rsidR="00064F83">
        <w:t xml:space="preserve">In its comments on the </w:t>
      </w:r>
      <w:r w:rsidR="00235789">
        <w:t>p</w:t>
      </w:r>
      <w:r w:rsidR="00064F83">
        <w:t xml:space="preserve">roposed </w:t>
      </w:r>
      <w:r w:rsidR="00235789">
        <w:t>d</w:t>
      </w:r>
      <w:r w:rsidR="00064F83">
        <w:t xml:space="preserve">ecision, SED cites </w:t>
      </w:r>
      <w:r w:rsidR="00003D3E">
        <w:t xml:space="preserve">for the first time </w:t>
      </w:r>
      <w:r w:rsidR="00064F83">
        <w:t>D.15</w:t>
      </w:r>
      <w:r w:rsidR="00064F83">
        <w:noBreakHyphen/>
        <w:t>11</w:t>
      </w:r>
      <w:r w:rsidR="00064F83">
        <w:noBreakHyphen/>
        <w:t>021,</w:t>
      </w:r>
      <w:r w:rsidR="00E37DAF">
        <w:rPr>
          <w:rStyle w:val="FootnoteReference"/>
        </w:rPr>
        <w:footnoteReference w:id="74"/>
      </w:r>
      <w:r w:rsidR="00064F83">
        <w:t xml:space="preserve"> issued in A.13</w:t>
      </w:r>
      <w:r w:rsidR="00064F83">
        <w:noBreakHyphen/>
        <w:t>11</w:t>
      </w:r>
      <w:r w:rsidR="00064F83">
        <w:noBreakHyphen/>
        <w:t xml:space="preserve">003, wherein the Commission found that the record of that proceeding </w:t>
      </w:r>
      <w:r w:rsidR="00E37DAF">
        <w:t xml:space="preserve">suggests that </w:t>
      </w:r>
      <w:r w:rsidR="00064F83">
        <w:t>nearly 19% of SCE’s poles are overloaded.</w:t>
      </w:r>
      <w:r w:rsidR="00064F83">
        <w:rPr>
          <w:rStyle w:val="FootnoteReference"/>
        </w:rPr>
        <w:footnoteReference w:id="75"/>
      </w:r>
      <w:r w:rsidR="00064F83">
        <w:t xml:space="preserve">  We appreciate SED’s citation of D.15-11-021</w:t>
      </w:r>
      <w:r w:rsidR="00E37DAF">
        <w:t xml:space="preserve">, but </w:t>
      </w:r>
      <w:r w:rsidR="00064F83">
        <w:t xml:space="preserve">it comes too late to support the adoption of SED’s </w:t>
      </w:r>
      <w:r w:rsidR="00A821A0">
        <w:t xml:space="preserve">proposed </w:t>
      </w:r>
      <w:r w:rsidR="00064F83">
        <w:t>Rule 94.3-D.</w:t>
      </w:r>
      <w:r w:rsidR="00A55C02">
        <w:rPr>
          <w:rStyle w:val="FootnoteReference"/>
        </w:rPr>
        <w:footnoteReference w:id="76"/>
      </w:r>
      <w:r w:rsidR="00064F83">
        <w:t xml:space="preserve">  </w:t>
      </w:r>
      <w:r w:rsidR="00E37DAF">
        <w:t>Furthermore, neither D.15</w:t>
      </w:r>
      <w:r w:rsidR="00E37DAF">
        <w:noBreakHyphen/>
        <w:t>11</w:t>
      </w:r>
      <w:r w:rsidR="00E37DAF">
        <w:noBreakHyphen/>
        <w:t xml:space="preserve">021 nor </w:t>
      </w:r>
      <w:r w:rsidR="00E52517">
        <w:t>SED explain why pole overloading is occurring.  Without such information, we cannot be confident that SED’s proposed solution – to require a load calculation every time CMRS facilities are installed on a pole, or when pole loading is altered as a result of any other condition – is an appropriate remedy.</w:t>
      </w:r>
      <w:r w:rsidR="00953881">
        <w:t xml:space="preserve">  </w:t>
      </w:r>
      <w:r w:rsidR="00B31B80">
        <w:t xml:space="preserve">  </w:t>
      </w:r>
    </w:p>
    <w:p w:rsidR="009156FA" w:rsidRDefault="00111925" w:rsidP="00B624EE">
      <w:pPr>
        <w:pStyle w:val="standard"/>
      </w:pPr>
      <w:r>
        <w:t xml:space="preserve">We also question the efficacy of the requirement in </w:t>
      </w:r>
      <w:r w:rsidR="00073229">
        <w:t>SED’s proposed Rule</w:t>
      </w:r>
      <w:r>
        <w:t> </w:t>
      </w:r>
      <w:r w:rsidR="00073229">
        <w:t>94.3</w:t>
      </w:r>
      <w:r>
        <w:noBreakHyphen/>
      </w:r>
      <w:r w:rsidR="00073229">
        <w:t xml:space="preserve">D </w:t>
      </w:r>
      <w:r w:rsidR="00B941FE">
        <w:t xml:space="preserve">to </w:t>
      </w:r>
      <w:r w:rsidR="00044DE4">
        <w:t>perform</w:t>
      </w:r>
      <w:r w:rsidR="00B941FE">
        <w:t xml:space="preserve"> </w:t>
      </w:r>
      <w:r w:rsidR="003D11D9">
        <w:t xml:space="preserve">a </w:t>
      </w:r>
      <w:r w:rsidR="00073229">
        <w:t xml:space="preserve">load calculation </w:t>
      </w:r>
      <w:r w:rsidR="00E54714">
        <w:t xml:space="preserve">each time </w:t>
      </w:r>
      <w:r w:rsidR="00073229">
        <w:t xml:space="preserve">CMRS </w:t>
      </w:r>
      <w:r w:rsidR="00E54714">
        <w:t xml:space="preserve">facilities are </w:t>
      </w:r>
      <w:r w:rsidR="00073229">
        <w:t>attach</w:t>
      </w:r>
      <w:r w:rsidR="00E54714">
        <w:t>ed to a pole</w:t>
      </w:r>
      <w:r w:rsidR="00073229">
        <w:t xml:space="preserve">.  </w:t>
      </w:r>
      <w:r w:rsidR="007338B5">
        <w:t xml:space="preserve">Rule 44.2 </w:t>
      </w:r>
      <w:r w:rsidR="00400280">
        <w:t xml:space="preserve">already </w:t>
      </w:r>
      <w:r w:rsidR="007338B5">
        <w:t xml:space="preserve">requires </w:t>
      </w:r>
      <w:r w:rsidR="00306799">
        <w:t xml:space="preserve">a </w:t>
      </w:r>
      <w:r w:rsidR="007338B5">
        <w:t xml:space="preserve">load </w:t>
      </w:r>
      <w:r w:rsidR="00306799">
        <w:t>calculation</w:t>
      </w:r>
      <w:r w:rsidR="007338B5">
        <w:t xml:space="preserve"> for </w:t>
      </w:r>
      <w:r w:rsidR="00306799">
        <w:t xml:space="preserve">any </w:t>
      </w:r>
      <w:r w:rsidR="007338B5">
        <w:t>att</w:t>
      </w:r>
      <w:r w:rsidR="00306799">
        <w:t>achment</w:t>
      </w:r>
      <w:r w:rsidR="007338B5">
        <w:t xml:space="preserve"> that </w:t>
      </w:r>
      <w:r w:rsidR="007338B5">
        <w:lastRenderedPageBreak/>
        <w:t>materially increase</w:t>
      </w:r>
      <w:r w:rsidR="00306799">
        <w:t>s</w:t>
      </w:r>
      <w:r w:rsidR="007338B5">
        <w:t xml:space="preserve"> the load on a structure.  SED’s propos</w:t>
      </w:r>
      <w:r w:rsidR="00400280">
        <w:t xml:space="preserve">ed rule would go further by requiring </w:t>
      </w:r>
      <w:r w:rsidR="00306799">
        <w:t xml:space="preserve">a </w:t>
      </w:r>
      <w:r w:rsidR="00400280">
        <w:t>l</w:t>
      </w:r>
      <w:r w:rsidR="007338B5">
        <w:t>o</w:t>
      </w:r>
      <w:r w:rsidR="003D11D9">
        <w:t>a</w:t>
      </w:r>
      <w:r w:rsidR="007338B5">
        <w:t xml:space="preserve">d calculation </w:t>
      </w:r>
      <w:r w:rsidR="002233FB">
        <w:t xml:space="preserve">when there is </w:t>
      </w:r>
      <w:r w:rsidR="00B3699C">
        <w:t>an im</w:t>
      </w:r>
      <w:r w:rsidR="002233FB">
        <w:t xml:space="preserve">material increase in load, no change in load, or </w:t>
      </w:r>
      <w:r w:rsidR="00B3699C">
        <w:t xml:space="preserve">a decrease in </w:t>
      </w:r>
      <w:r w:rsidR="002233FB">
        <w:t>load</w:t>
      </w:r>
      <w:r w:rsidR="007338B5">
        <w:t xml:space="preserve">.  </w:t>
      </w:r>
      <w:r w:rsidR="000E5149">
        <w:t>Based on the record of this proceeding, w</w:t>
      </w:r>
      <w:r w:rsidR="00902349">
        <w:t>e</w:t>
      </w:r>
      <w:r w:rsidR="007338B5">
        <w:t xml:space="preserve"> </w:t>
      </w:r>
      <w:r w:rsidR="00306799">
        <w:t xml:space="preserve">do not believe that </w:t>
      </w:r>
      <w:r w:rsidR="007338B5">
        <w:t xml:space="preserve">requiring load </w:t>
      </w:r>
      <w:r w:rsidR="00920E0E">
        <w:t>calculations</w:t>
      </w:r>
      <w:r w:rsidR="007338B5">
        <w:t xml:space="preserve"> </w:t>
      </w:r>
      <w:r w:rsidR="00B3699C">
        <w:t xml:space="preserve">in these </w:t>
      </w:r>
      <w:r w:rsidR="002233FB">
        <w:t>situations</w:t>
      </w:r>
      <w:r w:rsidR="00306799">
        <w:t xml:space="preserve"> would meaningfully increase public safety</w:t>
      </w:r>
      <w:r w:rsidR="002233FB">
        <w:t>.</w:t>
      </w:r>
      <w:r w:rsidR="007338B5">
        <w:t xml:space="preserve">  </w:t>
      </w:r>
      <w:r w:rsidR="00B31B80">
        <w:t xml:space="preserve"> </w:t>
      </w:r>
    </w:p>
    <w:p w:rsidR="00E54714" w:rsidRDefault="002146E2" w:rsidP="00B624EE">
      <w:pPr>
        <w:pStyle w:val="standard"/>
      </w:pPr>
      <w:r>
        <w:t>We ar</w:t>
      </w:r>
      <w:r w:rsidR="00150A23">
        <w:t>e</w:t>
      </w:r>
      <w:r>
        <w:t xml:space="preserve"> </w:t>
      </w:r>
      <w:r w:rsidR="00AE15DA">
        <w:t xml:space="preserve">not convinced that the requirement </w:t>
      </w:r>
      <w:r>
        <w:t xml:space="preserve">in </w:t>
      </w:r>
      <w:r w:rsidR="00E54714">
        <w:t>SED’s proposed Rule</w:t>
      </w:r>
      <w:r>
        <w:t> </w:t>
      </w:r>
      <w:r w:rsidR="00E54714">
        <w:t>94.3</w:t>
      </w:r>
      <w:r>
        <w:noBreakHyphen/>
      </w:r>
      <w:r w:rsidR="00E54714">
        <w:t xml:space="preserve">D </w:t>
      </w:r>
      <w:r w:rsidR="00AE15DA">
        <w:t>to perform</w:t>
      </w:r>
      <w:r>
        <w:t xml:space="preserve"> a </w:t>
      </w:r>
      <w:r w:rsidR="00E54714">
        <w:t>loa</w:t>
      </w:r>
      <w:r w:rsidR="00314C60">
        <w:t>d</w:t>
      </w:r>
      <w:r w:rsidR="00E54714">
        <w:t xml:space="preserve"> </w:t>
      </w:r>
      <w:r w:rsidR="00D601AC">
        <w:t>calculation</w:t>
      </w:r>
      <w:r w:rsidR="00E54714">
        <w:t xml:space="preserve"> </w:t>
      </w:r>
      <w:r w:rsidR="00A50B98">
        <w:t>e</w:t>
      </w:r>
      <w:r w:rsidR="00E54714">
        <w:t xml:space="preserve">ach time “loading is altered as a result of any other </w:t>
      </w:r>
      <w:r w:rsidR="00685B7F">
        <w:t xml:space="preserve">condition” </w:t>
      </w:r>
      <w:r w:rsidR="00B90A2C">
        <w:t>would</w:t>
      </w:r>
      <w:r w:rsidR="00AE15DA">
        <w:t xml:space="preserve"> </w:t>
      </w:r>
      <w:r w:rsidR="00685B7F">
        <w:t>enhance</w:t>
      </w:r>
      <w:r w:rsidR="00AE15DA">
        <w:t xml:space="preserve"> safety.</w:t>
      </w:r>
      <w:r w:rsidR="00E54714">
        <w:t xml:space="preserve">  </w:t>
      </w:r>
      <w:r w:rsidR="00150A23">
        <w:t xml:space="preserve">SED did not define the term “other condition” or explain why “other conditions” would </w:t>
      </w:r>
      <w:r w:rsidR="00685B7F">
        <w:t xml:space="preserve">materially increase </w:t>
      </w:r>
      <w:r w:rsidR="00150A23">
        <w:t xml:space="preserve">the load on a pole.  </w:t>
      </w:r>
      <w:r w:rsidR="00685B7F">
        <w:t>In situations where there is no material increase in load</w:t>
      </w:r>
      <w:r w:rsidR="00150A23">
        <w:t xml:space="preserve">, </w:t>
      </w:r>
      <w:r w:rsidR="0070243B">
        <w:t xml:space="preserve">we are not persuaded </w:t>
      </w:r>
      <w:r w:rsidR="003468F5">
        <w:t xml:space="preserve">at this time that </w:t>
      </w:r>
      <w:r w:rsidR="00150A23">
        <w:t xml:space="preserve">there </w:t>
      </w:r>
      <w:r w:rsidR="00B90A2C">
        <w:t>would</w:t>
      </w:r>
      <w:r w:rsidR="00150A23">
        <w:t xml:space="preserve"> be a meaningful </w:t>
      </w:r>
      <w:r w:rsidR="00685B7F">
        <w:t>increase</w:t>
      </w:r>
      <w:r w:rsidR="00150A23">
        <w:t xml:space="preserve"> in </w:t>
      </w:r>
      <w:r w:rsidR="0070243B">
        <w:t>public safet</w:t>
      </w:r>
      <w:r w:rsidR="00DD0844">
        <w:t>y</w:t>
      </w:r>
      <w:r w:rsidR="0070243B">
        <w:t xml:space="preserve"> </w:t>
      </w:r>
      <w:r w:rsidR="00AE15DA">
        <w:t xml:space="preserve">by </w:t>
      </w:r>
      <w:r w:rsidR="0070243B">
        <w:t xml:space="preserve">requiring load calculations </w:t>
      </w:r>
      <w:r w:rsidR="00AE15DA">
        <w:t xml:space="preserve">every time </w:t>
      </w:r>
      <w:r w:rsidR="0070243B">
        <w:t xml:space="preserve">“other conditions” cause an immaterial increase in load, no increase at all, or a decrease in load.  </w:t>
      </w:r>
    </w:p>
    <w:p w:rsidR="00A310A7" w:rsidRDefault="002146E2" w:rsidP="0088631F">
      <w:pPr>
        <w:pStyle w:val="standard"/>
      </w:pPr>
      <w:r>
        <w:t xml:space="preserve">We share the concern raised by AT&amp;T Mobility, the Electric IOUs, and others about the mandate in </w:t>
      </w:r>
      <w:r w:rsidR="0088631F">
        <w:t>SED’s propos</w:t>
      </w:r>
      <w:r>
        <w:t xml:space="preserve">ed rule to </w:t>
      </w:r>
      <w:r w:rsidR="0088631F">
        <w:t>use “actual specifications</w:t>
      </w:r>
      <w:r w:rsidR="00B53CF1">
        <w:t xml:space="preserve">” </w:t>
      </w:r>
      <w:r w:rsidR="0088631F">
        <w:t xml:space="preserve">in load calculations.  Currently, Rule 44.2 requires </w:t>
      </w:r>
      <w:r w:rsidR="0088631F" w:rsidRPr="00946343">
        <w:t xml:space="preserve">load calculations </w:t>
      </w:r>
      <w:r w:rsidR="0088631F">
        <w:t>to</w:t>
      </w:r>
      <w:r w:rsidR="0088631F" w:rsidRPr="00946343">
        <w:t xml:space="preserve"> </w:t>
      </w:r>
      <w:r w:rsidR="0088631F">
        <w:t>“</w:t>
      </w:r>
      <w:r w:rsidR="0088631F" w:rsidRPr="00946343">
        <w:t>be based on existing condition and proposed configuration, information provided under Rule</w:t>
      </w:r>
      <w:r w:rsidR="00111925">
        <w:t> </w:t>
      </w:r>
      <w:r w:rsidR="0088631F" w:rsidRPr="00946343">
        <w:t>44.4, conservative values of relevant parameters, industry recognized values of relevant paramete</w:t>
      </w:r>
      <w:r w:rsidR="003E751C">
        <w:t>rs, or any combination thereof.</w:t>
      </w:r>
      <w:r w:rsidR="0088631F">
        <w:t xml:space="preserve">”  This </w:t>
      </w:r>
      <w:r w:rsidR="00DC6DF6">
        <w:t>Rule 44.</w:t>
      </w:r>
      <w:r w:rsidR="00B53CF1">
        <w:t>2</w:t>
      </w:r>
      <w:r w:rsidR="00DC6DF6">
        <w:t xml:space="preserve"> </w:t>
      </w:r>
      <w:r w:rsidR="0088631F">
        <w:t>requirement was adopted in D.14</w:t>
      </w:r>
      <w:r w:rsidR="00DA7380">
        <w:noBreakHyphen/>
      </w:r>
      <w:r w:rsidR="0088631F">
        <w:t xml:space="preserve">02-015 at SED’s behest. </w:t>
      </w:r>
      <w:r w:rsidR="003D7D5F">
        <w:t xml:space="preserve"> </w:t>
      </w:r>
      <w:r w:rsidR="00A310A7">
        <w:t xml:space="preserve">There, the Commission held: </w:t>
      </w:r>
    </w:p>
    <w:p w:rsidR="00A310A7" w:rsidRDefault="00A310A7" w:rsidP="00A310A7">
      <w:pPr>
        <w:pStyle w:val="StandardQuotation"/>
      </w:pPr>
      <w:r w:rsidRPr="00C277E6">
        <w:t>Loading calculations are essential for determining if an existing structure can safely support the planned addition of facilities, or if the struc</w:t>
      </w:r>
      <w:r w:rsidRPr="00053426">
        <w:t>t</w:t>
      </w:r>
      <w:r w:rsidRPr="00C277E6">
        <w:t>ure needs to be reinforced or replaced before the planned facilities are added.</w:t>
      </w:r>
      <w:r>
        <w:t xml:space="preserve"> </w:t>
      </w:r>
      <w:r w:rsidRPr="00C277E6">
        <w:t xml:space="preserve"> It is imperative to public safety that electric utilities and CIPs use relevant and accurate information in their loading calculations.</w:t>
      </w:r>
      <w:r w:rsidR="00B53CF1">
        <w:t xml:space="preserve"> </w:t>
      </w:r>
      <w:r w:rsidRPr="00C277E6">
        <w:t xml:space="preserve"> SED’s </w:t>
      </w:r>
      <w:r w:rsidRPr="00C277E6">
        <w:lastRenderedPageBreak/>
        <w:t>proposed revisions to Rule 44.2 will help ensure that appropriate information is used.</w:t>
      </w:r>
      <w:r w:rsidR="00620B09">
        <w:t xml:space="preserve"> (</w:t>
      </w:r>
      <w:r w:rsidR="00620B09" w:rsidRPr="00053426">
        <w:t>D</w:t>
      </w:r>
      <w:r w:rsidR="00620B09">
        <w:t>.</w:t>
      </w:r>
      <w:r w:rsidR="00620B09" w:rsidRPr="00046051">
        <w:t xml:space="preserve">14-02-015 </w:t>
      </w:r>
      <w:r w:rsidR="00620B09">
        <w:t xml:space="preserve">at </w:t>
      </w:r>
      <w:r w:rsidR="00620B09" w:rsidRPr="00046051">
        <w:t>44.</w:t>
      </w:r>
      <w:r w:rsidR="00620B09">
        <w:t>)</w:t>
      </w:r>
    </w:p>
    <w:p w:rsidR="00874B1A" w:rsidRDefault="003D7D5F" w:rsidP="00874B1A">
      <w:pPr>
        <w:pStyle w:val="standard"/>
        <w:ind w:firstLine="0"/>
      </w:pPr>
      <w:r>
        <w:t xml:space="preserve">SED did not cite </w:t>
      </w:r>
      <w:r w:rsidR="0005539B">
        <w:t>any</w:t>
      </w:r>
      <w:r>
        <w:t xml:space="preserve"> instance</w:t>
      </w:r>
      <w:r w:rsidR="0005539B">
        <w:t>s</w:t>
      </w:r>
      <w:r>
        <w:t xml:space="preserve"> where th</w:t>
      </w:r>
      <w:r w:rsidR="00A310A7">
        <w:t xml:space="preserve">e </w:t>
      </w:r>
      <w:r>
        <w:t xml:space="preserve">recently adopted </w:t>
      </w:r>
      <w:r w:rsidR="00A310A7">
        <w:t xml:space="preserve">Rule 44.2 </w:t>
      </w:r>
      <w:r>
        <w:t xml:space="preserve">is being </w:t>
      </w:r>
      <w:r w:rsidR="00485E80">
        <w:t>misinterpreted</w:t>
      </w:r>
      <w:r>
        <w:t xml:space="preserve">, misapplied, or has resulted in an unsafe condition. </w:t>
      </w:r>
    </w:p>
    <w:p w:rsidR="00993F63" w:rsidRDefault="008C0AA3" w:rsidP="00C50DDB">
      <w:pPr>
        <w:pStyle w:val="standard"/>
      </w:pPr>
      <w:r>
        <w:t xml:space="preserve">We are not persuaded </w:t>
      </w:r>
      <w:r w:rsidR="003468F5">
        <w:t xml:space="preserve">at this time </w:t>
      </w:r>
      <w:r>
        <w:t xml:space="preserve">by </w:t>
      </w:r>
      <w:r w:rsidR="006B269D">
        <w:t xml:space="preserve">SED’s </w:t>
      </w:r>
      <w:r w:rsidR="00EB47FD">
        <w:t>assertion</w:t>
      </w:r>
      <w:r w:rsidR="006B269D">
        <w:t xml:space="preserve"> that </w:t>
      </w:r>
      <w:r w:rsidR="00EB47FD">
        <w:t xml:space="preserve">using conservative </w:t>
      </w:r>
      <w:r w:rsidR="00E24D6F">
        <w:t xml:space="preserve">values </w:t>
      </w:r>
      <w:r w:rsidR="00993F63">
        <w:t>as allowed by Rule</w:t>
      </w:r>
      <w:r w:rsidR="00B522BD">
        <w:t> </w:t>
      </w:r>
      <w:r w:rsidR="00993F63">
        <w:t xml:space="preserve">44.2 </w:t>
      </w:r>
      <w:r w:rsidR="00EB47FD">
        <w:t>is unsafe</w:t>
      </w:r>
      <w:r>
        <w:t xml:space="preserve">.  </w:t>
      </w:r>
      <w:r w:rsidR="00A40804">
        <w:t>It is a common practice among u</w:t>
      </w:r>
      <w:r w:rsidR="003D7D5F">
        <w:t xml:space="preserve">tilities </w:t>
      </w:r>
      <w:r w:rsidR="00A40804">
        <w:t xml:space="preserve">to </w:t>
      </w:r>
      <w:r w:rsidR="003D7D5F" w:rsidRPr="003D7D5F">
        <w:t xml:space="preserve">use </w:t>
      </w:r>
      <w:r w:rsidR="00B522BD">
        <w:t xml:space="preserve">conservative </w:t>
      </w:r>
      <w:r w:rsidR="003D7D5F" w:rsidRPr="003D7D5F">
        <w:t xml:space="preserve">values </w:t>
      </w:r>
      <w:r w:rsidR="003D7D5F">
        <w:t>to ensure</w:t>
      </w:r>
      <w:r w:rsidR="003D7D5F" w:rsidRPr="003D7D5F">
        <w:t xml:space="preserve"> that </w:t>
      </w:r>
      <w:r w:rsidR="00B522BD">
        <w:t>a pole can support the added load.</w:t>
      </w:r>
      <w:r w:rsidR="00993F63" w:rsidRPr="00E15E99">
        <w:rPr>
          <w:rStyle w:val="StandardFootnoteReferenceChar"/>
        </w:rPr>
        <w:footnoteReference w:id="77"/>
      </w:r>
      <w:r w:rsidR="006B269D">
        <w:t xml:space="preserve"> </w:t>
      </w:r>
      <w:r w:rsidR="00993F63">
        <w:t xml:space="preserve"> As AT&amp;T</w:t>
      </w:r>
      <w:r w:rsidR="009D1550">
        <w:t> </w:t>
      </w:r>
      <w:r w:rsidR="00993F63">
        <w:t>Mobility explains:</w:t>
      </w:r>
    </w:p>
    <w:p w:rsidR="00993F63" w:rsidRPr="00993F63" w:rsidRDefault="00993F63" w:rsidP="00993F63">
      <w:pPr>
        <w:pStyle w:val="StandardQuotation"/>
      </w:pPr>
      <w:r>
        <w:t xml:space="preserve">Among other things, Rule 44.2 allows the use of “conservative values.”  That means calculations can be made using weights, dimensions and other data that would </w:t>
      </w:r>
      <w:r>
        <w:rPr>
          <w:rFonts w:ascii="TimesNewRomanPS-ItalicMT" w:hAnsi="TimesNewRomanPS-ItalicMT" w:cs="TimesNewRomanPS-ItalicMT"/>
          <w:i/>
          <w:iCs/>
        </w:rPr>
        <w:t>over</w:t>
      </w:r>
      <w:r>
        <w:t xml:space="preserve">estimate the load on the pole. </w:t>
      </w:r>
      <w:r w:rsidR="00102057">
        <w:t xml:space="preserve"> </w:t>
      </w:r>
      <w:r>
        <w:t xml:space="preserve">Overestimating weight and load results in </w:t>
      </w:r>
      <w:r>
        <w:rPr>
          <w:rFonts w:ascii="TimesNewRomanPS-ItalicMT" w:hAnsi="TimesNewRomanPS-ItalicMT" w:cs="TimesNewRomanPS-ItalicMT"/>
          <w:i/>
          <w:iCs/>
        </w:rPr>
        <w:t xml:space="preserve">more stringent </w:t>
      </w:r>
      <w:r>
        <w:t>safety requirements</w:t>
      </w:r>
      <w:r w:rsidR="00102057">
        <w:t xml:space="preserve">… </w:t>
      </w:r>
      <w:r>
        <w:t xml:space="preserve">By definition, “actual data” (being less </w:t>
      </w:r>
      <w:r w:rsidRPr="00993F63">
        <w:t>conservative than conservative data) would result in the calculation of lower loads on the pole,</w:t>
      </w:r>
      <w:r>
        <w:t xml:space="preserve"> </w:t>
      </w:r>
      <w:r w:rsidRPr="00993F63">
        <w:t>which in turn would cause more poles to pass the load calculations.  (AT&amp;T</w:t>
      </w:r>
      <w:r w:rsidR="00111925">
        <w:t> </w:t>
      </w:r>
      <w:r w:rsidR="009D1550">
        <w:t xml:space="preserve">Mobility </w:t>
      </w:r>
      <w:r w:rsidRPr="00993F63">
        <w:t xml:space="preserve">Reply Comments (April </w:t>
      </w:r>
      <w:r>
        <w:t>24</w:t>
      </w:r>
      <w:r w:rsidRPr="00993F63">
        <w:t>, 2015)</w:t>
      </w:r>
      <w:r w:rsidR="009D1550">
        <w:t>,</w:t>
      </w:r>
      <w:r w:rsidRPr="00993F63">
        <w:t xml:space="preserve"> at 7.  Emphasis in original.  Footnotes omitted.) </w:t>
      </w:r>
    </w:p>
    <w:p w:rsidR="00C511DF" w:rsidRDefault="000E5149" w:rsidP="00C50DDB">
      <w:pPr>
        <w:pStyle w:val="standard"/>
      </w:pPr>
      <w:r>
        <w:t>Based on the record of this proceeding, w</w:t>
      </w:r>
      <w:r w:rsidR="001E61CD">
        <w:t>e</w:t>
      </w:r>
      <w:r w:rsidR="008C0AA3">
        <w:t xml:space="preserve"> </w:t>
      </w:r>
      <w:r w:rsidR="00B90A2C">
        <w:t xml:space="preserve">agree with </w:t>
      </w:r>
      <w:r w:rsidR="00993F63">
        <w:t xml:space="preserve">AT&amp;T </w:t>
      </w:r>
      <w:r w:rsidR="00A40804">
        <w:t xml:space="preserve">Mobility </w:t>
      </w:r>
      <w:r w:rsidR="00993F63">
        <w:t xml:space="preserve">and other </w:t>
      </w:r>
      <w:r w:rsidR="00C50DDB">
        <w:t xml:space="preserve">parties that </w:t>
      </w:r>
      <w:r w:rsidR="009D1550">
        <w:t xml:space="preserve">using conservative </w:t>
      </w:r>
      <w:r w:rsidR="00E72FD5">
        <w:t xml:space="preserve">values </w:t>
      </w:r>
      <w:r w:rsidR="009D1550">
        <w:t xml:space="preserve">in </w:t>
      </w:r>
      <w:r w:rsidR="00426CB3">
        <w:t xml:space="preserve">load </w:t>
      </w:r>
      <w:r w:rsidR="00CB6491">
        <w:t>calculations</w:t>
      </w:r>
      <w:r w:rsidR="00A74BBA">
        <w:t xml:space="preserve">, as allowed by </w:t>
      </w:r>
      <w:r w:rsidR="00993F63">
        <w:t>Rule 44.2</w:t>
      </w:r>
      <w:r w:rsidR="00A74BBA">
        <w:t>,</w:t>
      </w:r>
      <w:r w:rsidR="00993F63">
        <w:t xml:space="preserve"> </w:t>
      </w:r>
      <w:r w:rsidR="007D2DE1">
        <w:t xml:space="preserve">is safe. </w:t>
      </w:r>
      <w:r w:rsidR="00E72FD5">
        <w:t xml:space="preserve"> We emphasize, however, that a utility’s decision to use conservative values in load calculations should always result in </w:t>
      </w:r>
      <w:r w:rsidR="003B435B">
        <w:t xml:space="preserve">equal or greater safety compared to using </w:t>
      </w:r>
      <w:r w:rsidR="00E72FD5">
        <w:t>actual specifications</w:t>
      </w:r>
      <w:r w:rsidR="003B435B">
        <w:t xml:space="preserve"> in load calculations</w:t>
      </w:r>
      <w:r w:rsidR="00E72FD5">
        <w:t xml:space="preserve">.  If this is not the case, the utility must use actual specifications.  </w:t>
      </w:r>
    </w:p>
    <w:p w:rsidR="006B269D" w:rsidRPr="00650F5E" w:rsidRDefault="00941768" w:rsidP="0079052F">
      <w:pPr>
        <w:pStyle w:val="standard"/>
      </w:pPr>
      <w:r>
        <w:lastRenderedPageBreak/>
        <w:t xml:space="preserve">For the previous reasons, we decline to adopt </w:t>
      </w:r>
      <w:r w:rsidR="000E5149">
        <w:t xml:space="preserve">at this time </w:t>
      </w:r>
      <w:r>
        <w:t>SE</w:t>
      </w:r>
      <w:r w:rsidR="008C4159">
        <w:t>D</w:t>
      </w:r>
      <w:r>
        <w:t>’s proposed Rule</w:t>
      </w:r>
      <w:r w:rsidR="00A40804">
        <w:t> </w:t>
      </w:r>
      <w:r>
        <w:t xml:space="preserve">94.3-D.  </w:t>
      </w:r>
      <w:r w:rsidR="008C4159">
        <w:t xml:space="preserve">However, the issues raised by SED have caused us to closely examine Rule 44.2, resulting in our finding </w:t>
      </w:r>
      <w:r w:rsidR="00C50B5D">
        <w:t>a</w:t>
      </w:r>
      <w:r w:rsidR="008C4159">
        <w:t xml:space="preserve"> potential </w:t>
      </w:r>
      <w:r w:rsidR="00503C57">
        <w:t>defect</w:t>
      </w:r>
      <w:r w:rsidR="00C50B5D">
        <w:t xml:space="preserve"> </w:t>
      </w:r>
      <w:r w:rsidR="005C2349">
        <w:t xml:space="preserve">in </w:t>
      </w:r>
      <w:r w:rsidR="008C4159">
        <w:t xml:space="preserve">the rule.  </w:t>
      </w:r>
      <w:r w:rsidR="00C50B5D">
        <w:t>Specifically</w:t>
      </w:r>
      <w:r w:rsidR="008C4159">
        <w:t>, Rule</w:t>
      </w:r>
      <w:r w:rsidR="00650F5E">
        <w:t> </w:t>
      </w:r>
      <w:r w:rsidR="008C4159">
        <w:t xml:space="preserve">44.2 requires a load calculation for any </w:t>
      </w:r>
      <w:r w:rsidR="00A74BBA">
        <w:t xml:space="preserve">attachment </w:t>
      </w:r>
      <w:r w:rsidR="008C4159">
        <w:t xml:space="preserve">that </w:t>
      </w:r>
      <w:r w:rsidR="00A74BBA">
        <w:t>will result in</w:t>
      </w:r>
      <w:r w:rsidR="008C4159">
        <w:t xml:space="preserve"> a material increase in load.  </w:t>
      </w:r>
      <w:r w:rsidR="00650F5E">
        <w:t>Rule</w:t>
      </w:r>
      <w:r w:rsidR="00110F84">
        <w:t> </w:t>
      </w:r>
      <w:r w:rsidR="00650F5E">
        <w:t>44.2 defines “material increase” a</w:t>
      </w:r>
      <w:r w:rsidR="00650F5E" w:rsidRPr="00650F5E">
        <w:t xml:space="preserve">s </w:t>
      </w:r>
      <w:r w:rsidR="00650F5E">
        <w:t>“</w:t>
      </w:r>
      <w:r w:rsidR="00650F5E" w:rsidRPr="00650F5E">
        <w:t>an addition which increases the load on a structure by more than five percent per installation, or ten percent over a 12-month span, of the electric utility’s or Communication Infrastructure Provider’s current load.</w:t>
      </w:r>
      <w:r w:rsidR="00650F5E">
        <w:t>”</w:t>
      </w:r>
      <w:r w:rsidR="00110F84">
        <w:t xml:space="preserve">  </w:t>
      </w:r>
      <w:r w:rsidR="00C52532">
        <w:t xml:space="preserve">This definition does not address situations where (i) an increase in load of less than 5% would overload the pole; </w:t>
      </w:r>
      <w:r w:rsidR="00DC1EB8">
        <w:t xml:space="preserve">and </w:t>
      </w:r>
      <w:r w:rsidR="00C52532">
        <w:t>(ii) an increase in load of less than 10% over a 12</w:t>
      </w:r>
      <w:r w:rsidR="00C52532">
        <w:noBreakHyphen/>
        <w:t>mon</w:t>
      </w:r>
      <w:r w:rsidR="00DC1EB8">
        <w:t>th span would overload the pole</w:t>
      </w:r>
      <w:r w:rsidR="00874B1A">
        <w:t xml:space="preserve">.  </w:t>
      </w:r>
    </w:p>
    <w:p w:rsidR="00DA60A4" w:rsidRDefault="00C50B5D" w:rsidP="00DA60A4">
      <w:pPr>
        <w:pStyle w:val="standard"/>
      </w:pPr>
      <w:r>
        <w:t xml:space="preserve">We will direct SED to evaluate whether </w:t>
      </w:r>
      <w:r w:rsidR="00D10CBA">
        <w:t xml:space="preserve">Rule 44.2’s </w:t>
      </w:r>
      <w:r>
        <w:t xml:space="preserve">definition of “material increase” should be revised.  As part of its </w:t>
      </w:r>
      <w:r w:rsidR="00BA2E23">
        <w:t>evaluation</w:t>
      </w:r>
      <w:r>
        <w:t>, SED should confer with the General Order 95 Rules Committee</w:t>
      </w:r>
      <w:r w:rsidR="00126A22">
        <w:t xml:space="preserve"> (“Rules Committee”)</w:t>
      </w:r>
      <w:r>
        <w:t>.</w:t>
      </w:r>
      <w:r w:rsidR="00DC1EB8">
        <w:rPr>
          <w:rStyle w:val="FootnoteReference"/>
        </w:rPr>
        <w:footnoteReference w:id="78"/>
      </w:r>
      <w:r>
        <w:t xml:space="preserve">  </w:t>
      </w:r>
      <w:r w:rsidR="00154AAC">
        <w:t xml:space="preserve">SED </w:t>
      </w:r>
      <w:r w:rsidR="00685E95">
        <w:t>shall</w:t>
      </w:r>
      <w:r w:rsidR="00154AAC">
        <w:t xml:space="preserve"> complete its evaluation within </w:t>
      </w:r>
      <w:r w:rsidR="00366990">
        <w:t xml:space="preserve">12 </w:t>
      </w:r>
      <w:r w:rsidR="00154AAC">
        <w:t>months.  At that time, SED shall either (1)</w:t>
      </w:r>
      <w:r w:rsidR="00685E95">
        <w:t> </w:t>
      </w:r>
      <w:r w:rsidR="00154AAC">
        <w:t xml:space="preserve">file a petition for rulemaking pursuant to </w:t>
      </w:r>
      <w:r w:rsidR="00DC1EB8">
        <w:t xml:space="preserve">Rule </w:t>
      </w:r>
      <w:r w:rsidR="00154AAC">
        <w:t>6.</w:t>
      </w:r>
      <w:r w:rsidR="00C736C0">
        <w:t>3</w:t>
      </w:r>
      <w:r w:rsidR="00154AAC">
        <w:t xml:space="preserve"> of the Commission’s Rules of Practice and Procedure to revise Rule 44.2</w:t>
      </w:r>
      <w:r w:rsidR="00154AAC">
        <w:rPr>
          <w:rStyle w:val="FootnoteReference"/>
        </w:rPr>
        <w:footnoteReference w:id="79"/>
      </w:r>
      <w:r w:rsidR="00154AAC">
        <w:t>; or (2)</w:t>
      </w:r>
      <w:r w:rsidR="00D10CBA">
        <w:t> </w:t>
      </w:r>
      <w:r w:rsidR="00154AAC">
        <w:t>serv</w:t>
      </w:r>
      <w:r w:rsidR="00A40804">
        <w:t>e</w:t>
      </w:r>
      <w:r w:rsidR="00154AAC">
        <w:t xml:space="preserve"> notice that SED concludes, as a result </w:t>
      </w:r>
      <w:r w:rsidR="00945BC2">
        <w:t>o</w:t>
      </w:r>
      <w:r w:rsidR="00154AAC">
        <w:t xml:space="preserve">f its evaluation, that no changes to Rule 44.2 are necessary.  </w:t>
      </w:r>
    </w:p>
    <w:p w:rsidR="00145B36" w:rsidRDefault="00D74B4B" w:rsidP="00F114CE">
      <w:pPr>
        <w:pStyle w:val="standard"/>
      </w:pPr>
      <w:r>
        <w:t>We emphasize that there is no</w:t>
      </w:r>
      <w:r w:rsidR="001F62AD">
        <w:t>thing</w:t>
      </w:r>
      <w:r>
        <w:t xml:space="preserve"> in the record of this proceeding </w:t>
      </w:r>
      <w:r w:rsidR="001F62AD">
        <w:t xml:space="preserve">which indicates </w:t>
      </w:r>
      <w:r>
        <w:t xml:space="preserve">that the definition of “material increase” in Rule 44.2 has resulted in unsafe </w:t>
      </w:r>
      <w:r w:rsidR="00341936">
        <w:t>attachments</w:t>
      </w:r>
      <w:r>
        <w:t xml:space="preserve">.  </w:t>
      </w:r>
      <w:r w:rsidR="0039247B">
        <w:t>Furthermore</w:t>
      </w:r>
      <w:r w:rsidR="000379A2">
        <w:t xml:space="preserve">, </w:t>
      </w:r>
      <w:r w:rsidR="001C3697">
        <w:t xml:space="preserve">as described </w:t>
      </w:r>
      <w:r w:rsidR="00341936">
        <w:t>previously</w:t>
      </w:r>
      <w:r w:rsidR="001C3697">
        <w:t xml:space="preserve">, </w:t>
      </w:r>
      <w:r w:rsidR="000379A2">
        <w:t>both pole owners and pole attach</w:t>
      </w:r>
      <w:r w:rsidR="0039247B">
        <w:t>ers</w:t>
      </w:r>
      <w:r w:rsidR="000379A2">
        <w:t xml:space="preserve"> are </w:t>
      </w:r>
      <w:r w:rsidR="0039247B">
        <w:t>required</w:t>
      </w:r>
      <w:r w:rsidR="000379A2">
        <w:t xml:space="preserve"> by GO</w:t>
      </w:r>
      <w:r w:rsidR="0039247B">
        <w:t> </w:t>
      </w:r>
      <w:r w:rsidR="000379A2">
        <w:t xml:space="preserve">95 </w:t>
      </w:r>
      <w:r w:rsidR="00503C57">
        <w:t xml:space="preserve">and Pub. Util. Code </w:t>
      </w:r>
      <w:r w:rsidR="00503C57">
        <w:rPr>
          <w:rFonts w:ascii="Book Antiqua" w:hAnsi="Book Antiqua"/>
        </w:rPr>
        <w:t>§</w:t>
      </w:r>
      <w:r w:rsidR="00503C57">
        <w:t xml:space="preserve"> 451 </w:t>
      </w:r>
      <w:r w:rsidR="000379A2">
        <w:t xml:space="preserve">to ensure that </w:t>
      </w:r>
      <w:r w:rsidR="005531A0">
        <w:lastRenderedPageBreak/>
        <w:t>new</w:t>
      </w:r>
      <w:r w:rsidR="000379A2">
        <w:t xml:space="preserve"> </w:t>
      </w:r>
      <w:r w:rsidR="001F62AD">
        <w:t xml:space="preserve">pole attachments </w:t>
      </w:r>
      <w:r w:rsidR="000379A2">
        <w:t xml:space="preserve">do not cause overloading.  </w:t>
      </w:r>
      <w:r w:rsidR="001C3697">
        <w:t>Consequently, regardless of the definition of “material increase” currently in Rule 44.2, both pole owners and pole attachers must ensure that new attachment</w:t>
      </w:r>
      <w:r w:rsidR="00D10CBA">
        <w:t>s</w:t>
      </w:r>
      <w:r w:rsidR="001C3697">
        <w:t xml:space="preserve"> do</w:t>
      </w:r>
      <w:r w:rsidR="00D10CBA">
        <w:t xml:space="preserve"> </w:t>
      </w:r>
      <w:r w:rsidR="001C3697">
        <w:t>not overload pole</w:t>
      </w:r>
      <w:r w:rsidR="00D10CBA">
        <w:t>s</w:t>
      </w:r>
      <w:r w:rsidR="001C3697">
        <w:t>.</w:t>
      </w:r>
      <w:r w:rsidR="00685E95">
        <w:rPr>
          <w:rStyle w:val="FootnoteReference"/>
        </w:rPr>
        <w:footnoteReference w:id="80"/>
      </w:r>
      <w:r w:rsidR="001C3697">
        <w:t xml:space="preserve">  </w:t>
      </w:r>
    </w:p>
    <w:p w:rsidR="00EF7A98" w:rsidRDefault="00AF5FC0" w:rsidP="005719C6">
      <w:pPr>
        <w:pStyle w:val="Heading3"/>
      </w:pPr>
      <w:bookmarkStart w:id="77" w:name="_Toc436647344"/>
      <w:r>
        <w:t xml:space="preserve">Proposed Revisions to </w:t>
      </w:r>
      <w:r w:rsidR="00EF7A98">
        <w:t>Rule 94.5</w:t>
      </w:r>
      <w:r w:rsidR="007F55F6">
        <w:t>-A</w:t>
      </w:r>
      <w:r w:rsidR="00EF7A98">
        <w:t xml:space="preserve"> (Marking)</w:t>
      </w:r>
      <w:bookmarkEnd w:id="77"/>
      <w:r w:rsidR="001631BC">
        <w:t xml:space="preserve"> </w:t>
      </w:r>
    </w:p>
    <w:p w:rsidR="00EF7A98" w:rsidRDefault="00EF7A98" w:rsidP="00A845DC">
      <w:pPr>
        <w:pStyle w:val="Heading4"/>
      </w:pPr>
      <w:bookmarkStart w:id="78" w:name="_Toc436647345"/>
      <w:r>
        <w:t>Summary of the Proposal</w:t>
      </w:r>
      <w:bookmarkEnd w:id="78"/>
      <w:r>
        <w:t xml:space="preserve"> </w:t>
      </w:r>
    </w:p>
    <w:p w:rsidR="00C246CF" w:rsidRDefault="006524FD" w:rsidP="00F114CE">
      <w:pPr>
        <w:pStyle w:val="standard"/>
      </w:pPr>
      <w:r>
        <w:t xml:space="preserve">Rule 94.5-A of GO 95 </w:t>
      </w:r>
      <w:r w:rsidR="005D4138">
        <w:t xml:space="preserve">requires </w:t>
      </w:r>
      <w:r w:rsidR="007E6D1F">
        <w:t xml:space="preserve">the owners and operators of antennas installed on utility poles (together, “antenna owners”) </w:t>
      </w:r>
      <w:r w:rsidR="005D4138">
        <w:t xml:space="preserve">to enter into </w:t>
      </w:r>
      <w:r w:rsidR="00A20773">
        <w:t xml:space="preserve">an agreement with the pole owners that includes </w:t>
      </w:r>
      <w:r w:rsidR="005D4138">
        <w:t>“</w:t>
      </w:r>
      <w:r w:rsidR="00A20773">
        <w:t xml:space="preserve">marking requirements that are substantially similar to and achieve at least the same safety standards as those set forth in </w:t>
      </w:r>
      <w:r w:rsidR="002975F3">
        <w:t>Appendix</w:t>
      </w:r>
      <w:r w:rsidR="00A20773">
        <w:t> H of GO</w:t>
      </w:r>
      <w:r w:rsidR="005D4138">
        <w:t> </w:t>
      </w:r>
      <w:r w:rsidR="00A20773">
        <w:t>95.</w:t>
      </w:r>
      <w:r w:rsidR="005D4138">
        <w:t>”</w:t>
      </w:r>
      <w:r w:rsidR="00A20773">
        <w:t xml:space="preserve">  </w:t>
      </w:r>
    </w:p>
    <w:p w:rsidR="007D50BD" w:rsidRDefault="002975F3" w:rsidP="00F114CE">
      <w:pPr>
        <w:pStyle w:val="standard"/>
      </w:pPr>
      <w:r>
        <w:t>Appendix</w:t>
      </w:r>
      <w:r w:rsidR="00217312">
        <w:t xml:space="preserve"> H </w:t>
      </w:r>
      <w:r w:rsidR="00C246CF">
        <w:t xml:space="preserve">of GO 95 </w:t>
      </w:r>
      <w:r w:rsidR="008471E2">
        <w:t xml:space="preserve">is </w:t>
      </w:r>
      <w:r w:rsidR="00217312">
        <w:t xml:space="preserve">the text of a </w:t>
      </w:r>
      <w:r w:rsidR="00C246CF">
        <w:t>S</w:t>
      </w:r>
      <w:r w:rsidR="00217312">
        <w:t xml:space="preserve">ettlement </w:t>
      </w:r>
      <w:r w:rsidR="00341936">
        <w:t>Agreement</w:t>
      </w:r>
      <w:r w:rsidR="00217312">
        <w:t xml:space="preserve"> </w:t>
      </w:r>
      <w:r w:rsidR="008471E2">
        <w:t xml:space="preserve">that was </w:t>
      </w:r>
      <w:r>
        <w:t>approved</w:t>
      </w:r>
      <w:r w:rsidR="00217312">
        <w:t xml:space="preserve"> by the Commission in D.07-02-030.  </w:t>
      </w:r>
      <w:r>
        <w:t>Among other things, Appendix</w:t>
      </w:r>
      <w:r w:rsidR="00C246CF">
        <w:t> </w:t>
      </w:r>
      <w:r>
        <w:t xml:space="preserve">H requires </w:t>
      </w:r>
      <w:r w:rsidR="0033253F">
        <w:t xml:space="preserve">those </w:t>
      </w:r>
      <w:r w:rsidR="00C246CF">
        <w:t xml:space="preserve">antenna owners </w:t>
      </w:r>
      <w:r w:rsidR="007E6D1F">
        <w:t xml:space="preserve">who are </w:t>
      </w:r>
      <w:r w:rsidR="0033253F">
        <w:t>parties</w:t>
      </w:r>
      <w:r w:rsidR="007E6D1F">
        <w:t xml:space="preserve"> to the Settlement Agreement </w:t>
      </w:r>
      <w:r>
        <w:t xml:space="preserve">to </w:t>
      </w:r>
      <w:r w:rsidR="00C246CF">
        <w:t>attach</w:t>
      </w:r>
      <w:r>
        <w:t xml:space="preserve"> a sign </w:t>
      </w:r>
      <w:r w:rsidR="00C246CF">
        <w:t>to</w:t>
      </w:r>
      <w:r>
        <w:t xml:space="preserve"> </w:t>
      </w:r>
      <w:r w:rsidR="00685E95">
        <w:t>the host</w:t>
      </w:r>
      <w:r>
        <w:t xml:space="preserve"> utility pole that (1)</w:t>
      </w:r>
      <w:r w:rsidR="00C246CF">
        <w:t> </w:t>
      </w:r>
      <w:r>
        <w:t xml:space="preserve">identifies federal radio frequency </w:t>
      </w:r>
      <w:r w:rsidR="00FB4A0B">
        <w:t xml:space="preserve">(RF) </w:t>
      </w:r>
      <w:r>
        <w:t>exposure categories and exposure limits, (2)</w:t>
      </w:r>
      <w:r w:rsidR="00C246CF">
        <w:t> </w:t>
      </w:r>
      <w:r>
        <w:t xml:space="preserve">is visible to workers who </w:t>
      </w:r>
      <w:r w:rsidR="00C246CF">
        <w:t>ascend</w:t>
      </w:r>
      <w:r>
        <w:t xml:space="preserve"> the pole, and (3) is made of weather resistant material. </w:t>
      </w:r>
    </w:p>
    <w:p w:rsidR="002975F3" w:rsidRDefault="0078735C" w:rsidP="00F114CE">
      <w:pPr>
        <w:pStyle w:val="standard"/>
      </w:pPr>
      <w:r>
        <w:t>SED</w:t>
      </w:r>
      <w:r w:rsidR="005D4138">
        <w:t>’s</w:t>
      </w:r>
      <w:r>
        <w:t xml:space="preserve"> propos</w:t>
      </w:r>
      <w:r w:rsidR="00685E95">
        <w:t xml:space="preserve">ed revisions to </w:t>
      </w:r>
      <w:r>
        <w:t xml:space="preserve">Rule 94.5-A </w:t>
      </w:r>
      <w:r w:rsidR="00685E95">
        <w:t xml:space="preserve">would require </w:t>
      </w:r>
      <w:r>
        <w:t xml:space="preserve">antennas </w:t>
      </w:r>
      <w:r w:rsidR="00685E95">
        <w:t>to</w:t>
      </w:r>
      <w:r>
        <w:t xml:space="preserve"> be marked </w:t>
      </w:r>
      <w:r w:rsidR="00685E95">
        <w:t xml:space="preserve">exactly as set </w:t>
      </w:r>
      <w:r w:rsidR="00044DE4">
        <w:t>forth</w:t>
      </w:r>
      <w:r w:rsidR="00685E95">
        <w:t xml:space="preserve"> in </w:t>
      </w:r>
      <w:r>
        <w:t xml:space="preserve">Appendix H.  </w:t>
      </w:r>
      <w:r w:rsidR="00C246CF">
        <w:t xml:space="preserve">The text of SED’s proposed </w:t>
      </w:r>
      <w:r w:rsidR="0033253F">
        <w:t>revisions</w:t>
      </w:r>
      <w:r w:rsidR="00C246CF">
        <w:t xml:space="preserve"> to </w:t>
      </w:r>
      <w:r w:rsidR="00B24AF6">
        <w:t>Rule 94.5</w:t>
      </w:r>
      <w:r w:rsidR="002F4D3F">
        <w:noBreakHyphen/>
        <w:t>A</w:t>
      </w:r>
      <w:r w:rsidR="00B24AF6">
        <w:t xml:space="preserve"> are in Appendix B of today’s decision.  SED anticipates </w:t>
      </w:r>
      <w:r w:rsidR="0033253F">
        <w:t xml:space="preserve">that its proposal will </w:t>
      </w:r>
      <w:r w:rsidR="00503C57">
        <w:t xml:space="preserve">not </w:t>
      </w:r>
      <w:r w:rsidR="0033253F">
        <w:t xml:space="preserve">have significant financial or </w:t>
      </w:r>
      <w:r w:rsidR="00B24AF6">
        <w:t xml:space="preserve">environmental impacts.   </w:t>
      </w:r>
      <w:r>
        <w:t xml:space="preserve"> </w:t>
      </w:r>
    </w:p>
    <w:p w:rsidR="00EF7A98" w:rsidRDefault="00EF7A98" w:rsidP="00A845DC">
      <w:pPr>
        <w:pStyle w:val="Heading4"/>
      </w:pPr>
      <w:bookmarkStart w:id="79" w:name="_Toc436647346"/>
      <w:r>
        <w:t>Positions of the Parties</w:t>
      </w:r>
      <w:bookmarkEnd w:id="79"/>
      <w:r>
        <w:t xml:space="preserve">  </w:t>
      </w:r>
    </w:p>
    <w:p w:rsidR="00310D0C" w:rsidRDefault="007910E8" w:rsidP="00F114CE">
      <w:pPr>
        <w:pStyle w:val="standard"/>
      </w:pPr>
      <w:r>
        <w:t xml:space="preserve">SED </w:t>
      </w:r>
      <w:r w:rsidR="009B418C">
        <w:t>believes</w:t>
      </w:r>
      <w:r>
        <w:t xml:space="preserve"> that Rule 94.5-A </w:t>
      </w:r>
      <w:r w:rsidR="00B80DC7">
        <w:t xml:space="preserve">is </w:t>
      </w:r>
      <w:r w:rsidR="009B418C">
        <w:t xml:space="preserve">vague </w:t>
      </w:r>
      <w:r w:rsidR="00B80DC7">
        <w:t xml:space="preserve">because it </w:t>
      </w:r>
      <w:r w:rsidR="00E24960">
        <w:t>requir</w:t>
      </w:r>
      <w:r w:rsidR="00B80DC7">
        <w:t>es</w:t>
      </w:r>
      <w:r w:rsidR="00E24960">
        <w:t xml:space="preserve"> antenna owner</w:t>
      </w:r>
      <w:r w:rsidR="005D4138">
        <w:t>s</w:t>
      </w:r>
      <w:r w:rsidR="00C246CF">
        <w:t xml:space="preserve"> </w:t>
      </w:r>
      <w:r w:rsidR="00E24960">
        <w:t xml:space="preserve">to </w:t>
      </w:r>
      <w:r w:rsidR="00C246CF">
        <w:t>attach signs to pol</w:t>
      </w:r>
      <w:r w:rsidR="00AB1E10">
        <w:t>e</w:t>
      </w:r>
      <w:r w:rsidR="00C246CF">
        <w:t xml:space="preserve">s that are </w:t>
      </w:r>
      <w:r>
        <w:t>“substantially similar</w:t>
      </w:r>
      <w:r w:rsidR="00E24960">
        <w:t xml:space="preserve"> to </w:t>
      </w:r>
      <w:r>
        <w:t xml:space="preserve">and achieve at least the </w:t>
      </w:r>
      <w:r>
        <w:lastRenderedPageBreak/>
        <w:t>same safety standard</w:t>
      </w:r>
      <w:r w:rsidR="00E24960">
        <w:t xml:space="preserve"> as</w:t>
      </w:r>
      <w:r>
        <w:t xml:space="preserve"> </w:t>
      </w:r>
      <w:r w:rsidR="00E24960">
        <w:t>Appendix H of GO 95.</w:t>
      </w:r>
      <w:r w:rsidR="00C246CF">
        <w:t>”</w:t>
      </w:r>
      <w:r w:rsidR="00E24960">
        <w:t xml:space="preserve">  </w:t>
      </w:r>
      <w:r w:rsidR="0033253F">
        <w:t xml:space="preserve">SED states that its proposal would remove ambiguity by requiring that RF warning signs must comply with Appendix H of GO 95.  </w:t>
      </w:r>
      <w:r w:rsidR="00FB4A0B">
        <w:t xml:space="preserve">SED </w:t>
      </w:r>
      <w:r w:rsidR="009B418C">
        <w:t>submits</w:t>
      </w:r>
      <w:r w:rsidR="00FB4A0B">
        <w:t xml:space="preserve"> that c</w:t>
      </w:r>
      <w:r w:rsidR="00FB4A0B" w:rsidRPr="00F51E6A">
        <w:t xml:space="preserve">larifying the applicability of </w:t>
      </w:r>
      <w:r w:rsidR="00FB4A0B">
        <w:t xml:space="preserve">a </w:t>
      </w:r>
      <w:r w:rsidR="00FB4A0B" w:rsidRPr="00F51E6A">
        <w:t>rule that protect</w:t>
      </w:r>
      <w:r w:rsidR="002F4D3F">
        <w:t>s</w:t>
      </w:r>
      <w:r w:rsidR="00FB4A0B" w:rsidRPr="00F51E6A">
        <w:t xml:space="preserve"> workers from </w:t>
      </w:r>
      <w:r w:rsidR="00FB4A0B">
        <w:t>exposure to RF</w:t>
      </w:r>
      <w:r w:rsidR="002F4D3F">
        <w:t> </w:t>
      </w:r>
      <w:r w:rsidR="00FB4A0B">
        <w:t>radiation</w:t>
      </w:r>
      <w:r w:rsidR="00FB4A0B" w:rsidRPr="00F51E6A">
        <w:t xml:space="preserve"> would increase safety. </w:t>
      </w:r>
      <w:r w:rsidR="00FB4A0B">
        <w:t xml:space="preserve"> </w:t>
      </w:r>
    </w:p>
    <w:p w:rsidR="00EF7A98" w:rsidRDefault="00B252D8" w:rsidP="00F114CE">
      <w:pPr>
        <w:pStyle w:val="standard"/>
      </w:pPr>
      <w:r>
        <w:t>In response to criticisms</w:t>
      </w:r>
      <w:r w:rsidR="00E16266">
        <w:t xml:space="preserve"> of its proposal</w:t>
      </w:r>
      <w:r>
        <w:t xml:space="preserve">, </w:t>
      </w:r>
      <w:r w:rsidR="005D4138">
        <w:t>summarized</w:t>
      </w:r>
      <w:r>
        <w:t xml:space="preserve"> below, SED </w:t>
      </w:r>
      <w:r w:rsidR="00B80DC7">
        <w:t>asserts</w:t>
      </w:r>
      <w:r>
        <w:t xml:space="preserve"> that its</w:t>
      </w:r>
      <w:r w:rsidR="002F4D3F">
        <w:t xml:space="preserve"> proposal would not modify the S</w:t>
      </w:r>
      <w:r>
        <w:t xml:space="preserve">ettlement </w:t>
      </w:r>
      <w:r w:rsidR="002F4D3F">
        <w:t>A</w:t>
      </w:r>
      <w:r>
        <w:t>greement in Appendix</w:t>
      </w:r>
      <w:r w:rsidR="00B80DC7">
        <w:t> </w:t>
      </w:r>
      <w:r>
        <w:t xml:space="preserve">H of GO 95 that was signed by SED’s </w:t>
      </w:r>
      <w:r w:rsidR="005D4138">
        <w:t>predecessor</w:t>
      </w:r>
      <w:r>
        <w:t xml:space="preserve">, the Consumer Protection and Safety Division (CPSD).  </w:t>
      </w:r>
      <w:r w:rsidR="00663CB9">
        <w:t xml:space="preserve">Rather, SED’s proposal would modify the text of </w:t>
      </w:r>
      <w:r w:rsidR="00AB1E10">
        <w:t>Rule</w:t>
      </w:r>
      <w:r w:rsidR="00503C57">
        <w:t> </w:t>
      </w:r>
      <w:r w:rsidR="00AB1E10">
        <w:t xml:space="preserve">94.5-A, which </w:t>
      </w:r>
      <w:r w:rsidR="00663CB9">
        <w:t xml:space="preserve">was not part of the settlement.  </w:t>
      </w:r>
    </w:p>
    <w:p w:rsidR="00280898" w:rsidRDefault="00B252D8" w:rsidP="00F114CE">
      <w:pPr>
        <w:pStyle w:val="standard"/>
      </w:pPr>
      <w:r>
        <w:t xml:space="preserve">SED’s proposal is supported by IBEW 1245.  </w:t>
      </w:r>
      <w:r w:rsidR="00C246CF">
        <w:t>Other</w:t>
      </w:r>
      <w:r>
        <w:t xml:space="preserve"> parties take a neutral position on the proposal</w:t>
      </w:r>
      <w:r w:rsidR="00C246CF">
        <w:t>, including</w:t>
      </w:r>
      <w:r>
        <w:t xml:space="preserve"> </w:t>
      </w:r>
      <w:r w:rsidR="00956847">
        <w:t xml:space="preserve">CFC, </w:t>
      </w:r>
      <w:r w:rsidR="00051F33">
        <w:t>SDG&amp;E</w:t>
      </w:r>
      <w:r w:rsidR="00956847">
        <w:t xml:space="preserve">, and TURN.  </w:t>
      </w:r>
    </w:p>
    <w:p w:rsidR="0028346A" w:rsidRDefault="00956847" w:rsidP="000E0B5F">
      <w:pPr>
        <w:pStyle w:val="standard"/>
        <w:rPr>
          <w:rFonts w:eastAsia="Calibri"/>
        </w:rPr>
      </w:pPr>
      <w:r>
        <w:t>The proposal is opposed by AT&amp;T Mobility, CCTA, CTIA</w:t>
      </w:r>
      <w:r w:rsidR="009B6D0A">
        <w:t xml:space="preserve">, </w:t>
      </w:r>
      <w:r w:rsidR="00864CDE">
        <w:t xml:space="preserve">JVSV, </w:t>
      </w:r>
      <w:r w:rsidR="009B6D0A">
        <w:t>PCIA</w:t>
      </w:r>
      <w:r w:rsidR="00051F33">
        <w:t>, PG&amp;E, and SCE</w:t>
      </w:r>
      <w:r>
        <w:t xml:space="preserve">.  </w:t>
      </w:r>
      <w:r w:rsidR="00C91E68">
        <w:t>The O</w:t>
      </w:r>
      <w:r w:rsidR="00B779BE">
        <w:t xml:space="preserve">pponents </w:t>
      </w:r>
      <w:r w:rsidR="00C53381">
        <w:t xml:space="preserve">dispute SED’s claim </w:t>
      </w:r>
      <w:r w:rsidR="00B779BE">
        <w:t xml:space="preserve">that </w:t>
      </w:r>
      <w:r w:rsidR="002F4D3F">
        <w:t>Rule 94.5-A</w:t>
      </w:r>
      <w:r w:rsidR="00AB1E10">
        <w:t xml:space="preserve"> is </w:t>
      </w:r>
      <w:r w:rsidR="00E16266">
        <w:t xml:space="preserve">too </w:t>
      </w:r>
      <w:r w:rsidR="00EF33FF">
        <w:t xml:space="preserve">vague </w:t>
      </w:r>
      <w:r w:rsidR="00E16266">
        <w:t>to</w:t>
      </w:r>
      <w:r w:rsidR="00EF33FF">
        <w:t xml:space="preserve"> protect worker safety</w:t>
      </w:r>
      <w:r w:rsidR="00C53381">
        <w:t xml:space="preserve">.  </w:t>
      </w:r>
      <w:r w:rsidR="00EF33FF">
        <w:rPr>
          <w:szCs w:val="24"/>
        </w:rPr>
        <w:t>The</w:t>
      </w:r>
      <w:r w:rsidR="006F120D">
        <w:rPr>
          <w:szCs w:val="24"/>
        </w:rPr>
        <w:t xml:space="preserve"> </w:t>
      </w:r>
      <w:r w:rsidR="00C91E68">
        <w:rPr>
          <w:szCs w:val="24"/>
        </w:rPr>
        <w:t>O</w:t>
      </w:r>
      <w:r w:rsidR="0028346A">
        <w:rPr>
          <w:szCs w:val="24"/>
        </w:rPr>
        <w:t xml:space="preserve">pponents </w:t>
      </w:r>
      <w:r w:rsidR="00110E38">
        <w:rPr>
          <w:szCs w:val="24"/>
        </w:rPr>
        <w:t xml:space="preserve">cite </w:t>
      </w:r>
      <w:r w:rsidR="0028346A">
        <w:rPr>
          <w:szCs w:val="24"/>
        </w:rPr>
        <w:t xml:space="preserve">the </w:t>
      </w:r>
      <w:r w:rsidR="006F120D">
        <w:rPr>
          <w:szCs w:val="24"/>
        </w:rPr>
        <w:t>Commission</w:t>
      </w:r>
      <w:r w:rsidR="00110E38">
        <w:rPr>
          <w:szCs w:val="24"/>
        </w:rPr>
        <w:t xml:space="preserve">’s holding </w:t>
      </w:r>
      <w:r w:rsidR="006F120D">
        <w:rPr>
          <w:szCs w:val="24"/>
        </w:rPr>
        <w:t>in D.07</w:t>
      </w:r>
      <w:r w:rsidR="00A928C5">
        <w:rPr>
          <w:szCs w:val="24"/>
        </w:rPr>
        <w:noBreakHyphen/>
      </w:r>
      <w:r w:rsidR="006F120D">
        <w:rPr>
          <w:szCs w:val="24"/>
        </w:rPr>
        <w:t>03</w:t>
      </w:r>
      <w:r w:rsidR="00A928C5">
        <w:rPr>
          <w:szCs w:val="24"/>
        </w:rPr>
        <w:noBreakHyphen/>
      </w:r>
      <w:r w:rsidR="006F120D">
        <w:rPr>
          <w:szCs w:val="24"/>
        </w:rPr>
        <w:t xml:space="preserve">020 that </w:t>
      </w:r>
      <w:r w:rsidR="006F120D">
        <w:rPr>
          <w:rFonts w:eastAsia="Calibri"/>
        </w:rPr>
        <w:t>Rule 94.5-A</w:t>
      </w:r>
      <w:r w:rsidR="006F120D" w:rsidRPr="00B637BD">
        <w:rPr>
          <w:rFonts w:eastAsia="Calibri"/>
        </w:rPr>
        <w:t>, as currently written, do</w:t>
      </w:r>
      <w:r w:rsidR="006F120D">
        <w:rPr>
          <w:rFonts w:eastAsia="Calibri"/>
        </w:rPr>
        <w:t>es</w:t>
      </w:r>
      <w:r w:rsidR="00A928C5">
        <w:rPr>
          <w:rFonts w:eastAsia="Calibri"/>
        </w:rPr>
        <w:t xml:space="preserve"> protect worker safety</w:t>
      </w:r>
      <w:r w:rsidR="006F120D" w:rsidRPr="00B637BD">
        <w:rPr>
          <w:rFonts w:eastAsia="Calibri"/>
        </w:rPr>
        <w:t>.</w:t>
      </w:r>
      <w:r w:rsidR="006F120D" w:rsidRPr="00E15E99">
        <w:rPr>
          <w:rStyle w:val="StandardFootnoteReferenceChar"/>
          <w:rFonts w:eastAsia="Calibri"/>
        </w:rPr>
        <w:footnoteReference w:id="81"/>
      </w:r>
      <w:r w:rsidR="006F120D" w:rsidRPr="00B637BD">
        <w:rPr>
          <w:rFonts w:eastAsia="Calibri"/>
        </w:rPr>
        <w:t xml:space="preserve"> </w:t>
      </w:r>
      <w:r w:rsidR="006F120D">
        <w:rPr>
          <w:rFonts w:eastAsia="Calibri"/>
        </w:rPr>
        <w:t xml:space="preserve"> </w:t>
      </w:r>
    </w:p>
    <w:p w:rsidR="00C53381" w:rsidRPr="00B1781D" w:rsidRDefault="00EF33FF" w:rsidP="00A928C5">
      <w:pPr>
        <w:pStyle w:val="standard"/>
      </w:pPr>
      <w:r>
        <w:t>A few</w:t>
      </w:r>
      <w:r w:rsidR="00A928C5">
        <w:t xml:space="preserve"> </w:t>
      </w:r>
      <w:r w:rsidR="00C91E68">
        <w:t>O</w:t>
      </w:r>
      <w:r w:rsidR="005D4138">
        <w:t>pponents</w:t>
      </w:r>
      <w:r w:rsidR="00A928C5">
        <w:t xml:space="preserve"> </w:t>
      </w:r>
      <w:r>
        <w:t>allege</w:t>
      </w:r>
      <w:r w:rsidR="00A928C5">
        <w:t xml:space="preserve"> that SED’s attempt to revi</w:t>
      </w:r>
      <w:r w:rsidR="002F4D3F">
        <w:t>se Rule 94.5-A may violate the S</w:t>
      </w:r>
      <w:r w:rsidR="00A928C5">
        <w:t xml:space="preserve">ettlement </w:t>
      </w:r>
      <w:r w:rsidR="002F4D3F">
        <w:t>A</w:t>
      </w:r>
      <w:r w:rsidR="00A928C5">
        <w:t xml:space="preserve">greement </w:t>
      </w:r>
      <w:r w:rsidR="00E41699">
        <w:t xml:space="preserve">in Appendix H of GO 95 </w:t>
      </w:r>
      <w:r w:rsidR="001652B8">
        <w:t xml:space="preserve">that was </w:t>
      </w:r>
      <w:r w:rsidR="00A928C5">
        <w:t xml:space="preserve">signed by </w:t>
      </w:r>
      <w:r w:rsidR="00E41699">
        <w:t>SED’s</w:t>
      </w:r>
      <w:r w:rsidR="00A928C5">
        <w:t xml:space="preserve"> predecessor, CPSD.</w:t>
      </w:r>
      <w:r w:rsidR="00C53381">
        <w:t xml:space="preserve">  </w:t>
      </w:r>
      <w:r w:rsidR="00F603A4">
        <w:t>According to these Opponents</w:t>
      </w:r>
      <w:r w:rsidR="00C53381">
        <w:t xml:space="preserve">, </w:t>
      </w:r>
      <w:r w:rsidR="001652B8">
        <w:t>CPSD</w:t>
      </w:r>
      <w:r w:rsidR="00C53381">
        <w:t xml:space="preserve"> agreed to </w:t>
      </w:r>
      <w:r w:rsidR="00E41699">
        <w:rPr>
          <w:rFonts w:eastAsia="Calibri"/>
        </w:rPr>
        <w:t>Rule</w:t>
      </w:r>
      <w:r>
        <w:rPr>
          <w:rFonts w:eastAsia="Calibri"/>
        </w:rPr>
        <w:t> </w:t>
      </w:r>
      <w:r w:rsidR="00E41699">
        <w:rPr>
          <w:rFonts w:eastAsia="Calibri"/>
        </w:rPr>
        <w:t>94.5</w:t>
      </w:r>
      <w:r>
        <w:rPr>
          <w:rFonts w:eastAsia="Calibri"/>
        </w:rPr>
        <w:noBreakHyphen/>
      </w:r>
      <w:r w:rsidR="00E41699">
        <w:rPr>
          <w:rFonts w:eastAsia="Calibri"/>
        </w:rPr>
        <w:t>A</w:t>
      </w:r>
      <w:r w:rsidR="00E41699">
        <w:t xml:space="preserve"> </w:t>
      </w:r>
      <w:r w:rsidR="001652B8">
        <w:t xml:space="preserve">that </w:t>
      </w:r>
      <w:r w:rsidR="00C53381">
        <w:t>SED now seeks to modify</w:t>
      </w:r>
      <w:r w:rsidR="001652B8">
        <w:t>,</w:t>
      </w:r>
      <w:r w:rsidR="00C53381">
        <w:t xml:space="preserve"> and </w:t>
      </w:r>
      <w:r w:rsidR="0074517F">
        <w:t>CPSD</w:t>
      </w:r>
      <w:r w:rsidR="00C53381">
        <w:t xml:space="preserve"> waived all rights to challenge the</w:t>
      </w:r>
      <w:r w:rsidR="001652B8">
        <w:t xml:space="preserve"> rule</w:t>
      </w:r>
      <w:r w:rsidR="00C53381">
        <w:t xml:space="preserve">.  </w:t>
      </w:r>
      <w:r w:rsidR="00E41699">
        <w:t>T</w:t>
      </w:r>
      <w:r w:rsidR="0074517F">
        <w:t>he S</w:t>
      </w:r>
      <w:r w:rsidR="00C53381">
        <w:t xml:space="preserve">ettlement </w:t>
      </w:r>
      <w:r w:rsidR="0074517F">
        <w:t>A</w:t>
      </w:r>
      <w:r w:rsidR="00C53381">
        <w:t xml:space="preserve">greement expressly binds successor entities such as SED.  </w:t>
      </w:r>
    </w:p>
    <w:p w:rsidR="001631BC" w:rsidRPr="00E17D62" w:rsidRDefault="00EF33FF" w:rsidP="00F650CB">
      <w:pPr>
        <w:pStyle w:val="standard"/>
      </w:pPr>
      <w:r>
        <w:t>Several</w:t>
      </w:r>
      <w:r w:rsidR="00C91E68">
        <w:t xml:space="preserve"> O</w:t>
      </w:r>
      <w:r w:rsidR="00D77A94">
        <w:t xml:space="preserve">pponents </w:t>
      </w:r>
      <w:r w:rsidR="00F650CB">
        <w:t xml:space="preserve">contend that the Commission lacks </w:t>
      </w:r>
      <w:r w:rsidR="005D4138">
        <w:t>jurisdiction</w:t>
      </w:r>
      <w:r w:rsidR="00F650CB">
        <w:t xml:space="preserve"> to adopt SED’s proposed revisions to Rule 94.5-A.  </w:t>
      </w:r>
      <w:r w:rsidR="00EE15FC">
        <w:t xml:space="preserve">They assert that </w:t>
      </w:r>
      <w:r w:rsidR="0074517F">
        <w:t xml:space="preserve">the FCC has </w:t>
      </w:r>
      <w:r w:rsidR="0074517F">
        <w:lastRenderedPageBreak/>
        <w:t xml:space="preserve">exclusive </w:t>
      </w:r>
      <w:r w:rsidR="00EE15FC" w:rsidRPr="009407BE">
        <w:t xml:space="preserve">jurisdiction to </w:t>
      </w:r>
      <w:r w:rsidR="0074517F">
        <w:t xml:space="preserve">regulate </w:t>
      </w:r>
      <w:r w:rsidR="00EE15FC" w:rsidRPr="009407BE">
        <w:rPr>
          <w:color w:val="212121"/>
          <w:shd w:val="clear" w:color="auto" w:fill="FFFFFF"/>
        </w:rPr>
        <w:t>RF</w:t>
      </w:r>
      <w:r w:rsidR="00D77A94">
        <w:rPr>
          <w:color w:val="212121"/>
          <w:shd w:val="clear" w:color="auto" w:fill="FFFFFF"/>
        </w:rPr>
        <w:t> </w:t>
      </w:r>
      <w:r w:rsidR="00EE15FC" w:rsidRPr="009407BE">
        <w:rPr>
          <w:color w:val="212121"/>
          <w:shd w:val="clear" w:color="auto" w:fill="FFFFFF"/>
        </w:rPr>
        <w:t>emissions</w:t>
      </w:r>
      <w:r w:rsidR="0074517F">
        <w:rPr>
          <w:color w:val="212121"/>
          <w:shd w:val="clear" w:color="auto" w:fill="FFFFFF"/>
        </w:rPr>
        <w:t xml:space="preserve"> pursuant to </w:t>
      </w:r>
      <w:r w:rsidR="001631BC" w:rsidRPr="00E17D62">
        <w:t>47</w:t>
      </w:r>
      <w:r w:rsidR="001631BC">
        <w:t> </w:t>
      </w:r>
      <w:r w:rsidR="001631BC" w:rsidRPr="00E17D62">
        <w:t>U.S.C. §</w:t>
      </w:r>
      <w:r w:rsidR="000B7987">
        <w:t> </w:t>
      </w:r>
      <w:r w:rsidR="001631BC" w:rsidRPr="00E17D62">
        <w:t>332(c)(7)(B)(iv)</w:t>
      </w:r>
      <w:r w:rsidR="00EE15FC">
        <w:t>, which</w:t>
      </w:r>
      <w:r w:rsidR="001631BC" w:rsidRPr="00E17D62">
        <w:t xml:space="preserve"> </w:t>
      </w:r>
      <w:r w:rsidR="0074517F">
        <w:t>states as follows</w:t>
      </w:r>
      <w:r w:rsidR="001631BC" w:rsidRPr="00E17D62">
        <w:t>:</w:t>
      </w:r>
    </w:p>
    <w:p w:rsidR="001631BC" w:rsidRDefault="001631BC" w:rsidP="001631BC">
      <w:pPr>
        <w:pStyle w:val="StandardQuotation"/>
      </w:pPr>
      <w:r w:rsidRPr="00B15830">
        <w:t xml:space="preserve">No State or local government or instrumentality thereof may regulate the placement, construction, and modification of personal wireless service facilities on the basis of the environmental effects of radio frequency emissions to the extent that such facilities comply with the </w:t>
      </w:r>
      <w:r>
        <w:t>[FCC’s]</w:t>
      </w:r>
      <w:r w:rsidRPr="00B15830">
        <w:t xml:space="preserve"> regulat</w:t>
      </w:r>
      <w:r>
        <w:t>ions concerning such emissions.</w:t>
      </w:r>
    </w:p>
    <w:p w:rsidR="00A550F4" w:rsidRDefault="00C91E68" w:rsidP="002825DA">
      <w:pPr>
        <w:pStyle w:val="standard"/>
        <w:ind w:firstLine="0"/>
      </w:pPr>
      <w:r>
        <w:rPr>
          <w:color w:val="212121"/>
          <w:shd w:val="clear" w:color="auto" w:fill="FFFFFF"/>
        </w:rPr>
        <w:t>The O</w:t>
      </w:r>
      <w:r w:rsidR="00C5036E">
        <w:rPr>
          <w:color w:val="212121"/>
          <w:shd w:val="clear" w:color="auto" w:fill="FFFFFF"/>
        </w:rPr>
        <w:t xml:space="preserve">pponents </w:t>
      </w:r>
      <w:r w:rsidR="00EF33FF">
        <w:rPr>
          <w:color w:val="212121"/>
          <w:shd w:val="clear" w:color="auto" w:fill="FFFFFF"/>
        </w:rPr>
        <w:t>argue</w:t>
      </w:r>
      <w:r w:rsidR="00C5036E">
        <w:rPr>
          <w:color w:val="212121"/>
          <w:shd w:val="clear" w:color="auto" w:fill="FFFFFF"/>
        </w:rPr>
        <w:t xml:space="preserve"> that b</w:t>
      </w:r>
      <w:r w:rsidR="00A550F4">
        <w:rPr>
          <w:color w:val="212121"/>
          <w:shd w:val="clear" w:color="auto" w:fill="FFFFFF"/>
        </w:rPr>
        <w:t xml:space="preserve">ecause </w:t>
      </w:r>
      <w:r w:rsidR="00A550F4" w:rsidRPr="009407BE">
        <w:rPr>
          <w:color w:val="212121"/>
          <w:shd w:val="clear" w:color="auto" w:fill="FFFFFF"/>
        </w:rPr>
        <w:t xml:space="preserve">SED’s proposed </w:t>
      </w:r>
      <w:r w:rsidR="002F4D3F">
        <w:rPr>
          <w:color w:val="212121"/>
          <w:shd w:val="clear" w:color="auto" w:fill="FFFFFF"/>
        </w:rPr>
        <w:t>revisions</w:t>
      </w:r>
      <w:r w:rsidR="00A550F4" w:rsidRPr="009407BE">
        <w:rPr>
          <w:color w:val="212121"/>
          <w:shd w:val="clear" w:color="auto" w:fill="FFFFFF"/>
        </w:rPr>
        <w:t xml:space="preserve"> to </w:t>
      </w:r>
      <w:r w:rsidR="00A550F4" w:rsidRPr="009407BE">
        <w:t>Rule</w:t>
      </w:r>
      <w:r w:rsidR="00A550F4">
        <w:t> </w:t>
      </w:r>
      <w:r w:rsidR="00A550F4" w:rsidRPr="009407BE">
        <w:t>94.5</w:t>
      </w:r>
      <w:r w:rsidR="00503C57">
        <w:noBreakHyphen/>
        <w:t>A</w:t>
      </w:r>
      <w:r w:rsidR="00A550F4" w:rsidRPr="009407BE">
        <w:t xml:space="preserve"> </w:t>
      </w:r>
      <w:r w:rsidR="007D5B64">
        <w:t xml:space="preserve">require the placement of signs on </w:t>
      </w:r>
      <w:r w:rsidR="00A550F4" w:rsidRPr="009407BE">
        <w:t xml:space="preserve">wireless </w:t>
      </w:r>
      <w:r w:rsidR="00A550F4" w:rsidRPr="002C6235">
        <w:rPr>
          <w:color w:val="212121"/>
          <w:shd w:val="clear" w:color="auto" w:fill="FFFFFF"/>
        </w:rPr>
        <w:t>facilities</w:t>
      </w:r>
      <w:r w:rsidR="00A550F4" w:rsidRPr="009407BE">
        <w:t xml:space="preserve"> </w:t>
      </w:r>
      <w:r w:rsidR="007D5B64">
        <w:t xml:space="preserve">that pertain to </w:t>
      </w:r>
      <w:r w:rsidR="00A550F4" w:rsidRPr="009407BE">
        <w:t>RF emissions,</w:t>
      </w:r>
      <w:r w:rsidR="00A550F4">
        <w:t xml:space="preserve"> the proposed </w:t>
      </w:r>
      <w:r w:rsidR="002F4D3F">
        <w:t>revisions</w:t>
      </w:r>
      <w:r w:rsidR="00A550F4">
        <w:t xml:space="preserve"> directly conflict with</w:t>
      </w:r>
      <w:r w:rsidR="00A550F4" w:rsidRPr="009407BE">
        <w:rPr>
          <w:color w:val="212121"/>
          <w:shd w:val="clear" w:color="auto" w:fill="FFFFFF"/>
        </w:rPr>
        <w:t xml:space="preserve"> </w:t>
      </w:r>
      <w:r w:rsidR="00A550F4" w:rsidRPr="009407BE">
        <w:t>47 U.S.C. §</w:t>
      </w:r>
      <w:r w:rsidR="00A550F4">
        <w:t> </w:t>
      </w:r>
      <w:r w:rsidR="00A550F4" w:rsidRPr="009407BE">
        <w:t>332(c)(7)(B)(iv).</w:t>
      </w:r>
    </w:p>
    <w:p w:rsidR="00EF33FF" w:rsidRDefault="00C62A88" w:rsidP="00864942">
      <w:pPr>
        <w:pStyle w:val="standard"/>
      </w:pPr>
      <w:r>
        <w:t xml:space="preserve">The </w:t>
      </w:r>
      <w:r w:rsidR="00C91E68">
        <w:t>O</w:t>
      </w:r>
      <w:r>
        <w:t xml:space="preserve">pponents </w:t>
      </w:r>
      <w:r w:rsidR="002F6F0E">
        <w:t>aver</w:t>
      </w:r>
      <w:r w:rsidR="00280898">
        <w:t xml:space="preserve"> that</w:t>
      </w:r>
      <w:r w:rsidR="00A550F4">
        <w:t xml:space="preserve"> the current Rule</w:t>
      </w:r>
      <w:r w:rsidR="00975A23">
        <w:t> </w:t>
      </w:r>
      <w:r w:rsidR="00A550F4">
        <w:t xml:space="preserve">94.5-A avoids conflict with federal </w:t>
      </w:r>
      <w:r w:rsidR="005D4138">
        <w:t>jurisdiction</w:t>
      </w:r>
      <w:r w:rsidR="00A550F4">
        <w:t xml:space="preserve"> because of the way the rule was adopted.  Specifically,</w:t>
      </w:r>
      <w:r w:rsidR="00864942" w:rsidRPr="00AD3A0F">
        <w:t xml:space="preserve"> </w:t>
      </w:r>
      <w:r w:rsidR="00864942">
        <w:t>Rule</w:t>
      </w:r>
      <w:r w:rsidR="00975A23">
        <w:t> </w:t>
      </w:r>
      <w:r w:rsidR="00864942">
        <w:t>94.5</w:t>
      </w:r>
      <w:r w:rsidR="00A550F4">
        <w:noBreakHyphen/>
        <w:t>A</w:t>
      </w:r>
      <w:r w:rsidR="00864942">
        <w:t xml:space="preserve">, and the </w:t>
      </w:r>
      <w:r w:rsidR="00F41255">
        <w:t>S</w:t>
      </w:r>
      <w:r w:rsidR="00864942">
        <w:t xml:space="preserve">ettlement </w:t>
      </w:r>
      <w:r w:rsidR="00F41255">
        <w:t>A</w:t>
      </w:r>
      <w:r w:rsidR="00864942">
        <w:t xml:space="preserve">greement to </w:t>
      </w:r>
      <w:r w:rsidR="00864942" w:rsidRPr="008F1712">
        <w:t>which</w:t>
      </w:r>
      <w:r w:rsidR="00864942">
        <w:t xml:space="preserve"> it </w:t>
      </w:r>
      <w:r w:rsidR="00864942" w:rsidRPr="00C85F45">
        <w:t>refer</w:t>
      </w:r>
      <w:r w:rsidR="00864942">
        <w:t>s</w:t>
      </w:r>
      <w:r w:rsidR="00864942" w:rsidRPr="00C85F45">
        <w:t>,</w:t>
      </w:r>
      <w:r w:rsidR="00864942" w:rsidRPr="008F1712">
        <w:t xml:space="preserve"> were the result of negotiation</w:t>
      </w:r>
      <w:r w:rsidR="00864942">
        <w:t>s</w:t>
      </w:r>
      <w:r w:rsidR="00864942" w:rsidRPr="008F1712">
        <w:t xml:space="preserve"> between </w:t>
      </w:r>
      <w:r w:rsidR="00864942" w:rsidRPr="007D7A32">
        <w:rPr>
          <w:rFonts w:eastAsia="Calibri"/>
        </w:rPr>
        <w:t xml:space="preserve">national wireless </w:t>
      </w:r>
      <w:r w:rsidR="005C669E">
        <w:rPr>
          <w:rFonts w:eastAsia="Calibri"/>
        </w:rPr>
        <w:t>carriers</w:t>
      </w:r>
      <w:r w:rsidR="00864942" w:rsidRPr="007D7A32">
        <w:rPr>
          <w:rFonts w:eastAsia="Calibri"/>
        </w:rPr>
        <w:t xml:space="preserve">, </w:t>
      </w:r>
      <w:r w:rsidR="00864942" w:rsidRPr="008F1712">
        <w:t>Commission</w:t>
      </w:r>
      <w:r w:rsidR="00864942">
        <w:t xml:space="preserve"> staff, and other stakeholders</w:t>
      </w:r>
      <w:r w:rsidR="00864942" w:rsidRPr="008F1712">
        <w:t>.</w:t>
      </w:r>
      <w:r w:rsidR="00FE3430" w:rsidRPr="00A83655">
        <w:rPr>
          <w:rFonts w:eastAsia="Calibri"/>
          <w:szCs w:val="24"/>
        </w:rPr>
        <w:t xml:space="preserve"> </w:t>
      </w:r>
      <w:r w:rsidR="00FE3430">
        <w:rPr>
          <w:rFonts w:eastAsia="Calibri"/>
          <w:szCs w:val="24"/>
        </w:rPr>
        <w:t xml:space="preserve"> </w:t>
      </w:r>
      <w:r w:rsidR="00864942" w:rsidRPr="002905E0">
        <w:t xml:space="preserve">By </w:t>
      </w:r>
      <w:r w:rsidR="00F41255">
        <w:t>approving</w:t>
      </w:r>
      <w:r w:rsidR="00864942" w:rsidRPr="002905E0">
        <w:t xml:space="preserve"> a settlement </w:t>
      </w:r>
      <w:r w:rsidR="00F41255">
        <w:t xml:space="preserve">that </w:t>
      </w:r>
      <w:r w:rsidR="001652B8" w:rsidRPr="00C85F45">
        <w:t xml:space="preserve">binds the </w:t>
      </w:r>
      <w:r w:rsidR="001652B8">
        <w:t>national</w:t>
      </w:r>
      <w:r w:rsidR="001652B8" w:rsidRPr="00C85F45">
        <w:t xml:space="preserve"> wireless </w:t>
      </w:r>
      <w:r w:rsidR="005C669E">
        <w:t>carriers</w:t>
      </w:r>
      <w:r w:rsidR="001652B8" w:rsidRPr="00C85F45">
        <w:t xml:space="preserve"> to specific </w:t>
      </w:r>
      <w:r w:rsidR="001652B8">
        <w:t xml:space="preserve">signage requirements regarding </w:t>
      </w:r>
      <w:r w:rsidR="00F41255">
        <w:t>RF</w:t>
      </w:r>
      <w:r w:rsidR="005C669E">
        <w:t> </w:t>
      </w:r>
      <w:r w:rsidR="001652B8" w:rsidRPr="00C85F45">
        <w:t>exposure</w:t>
      </w:r>
      <w:r w:rsidR="00864942" w:rsidRPr="002905E0">
        <w:t>, rather than a Commission rule</w:t>
      </w:r>
      <w:r w:rsidR="001652B8">
        <w:t xml:space="preserve"> on this topic</w:t>
      </w:r>
      <w:r w:rsidR="00864942" w:rsidRPr="002905E0">
        <w:t xml:space="preserve">, </w:t>
      </w:r>
      <w:r w:rsidR="00F41255">
        <w:t xml:space="preserve">the Commission avoided </w:t>
      </w:r>
      <w:r w:rsidR="00864942" w:rsidRPr="002905E0">
        <w:t>con</w:t>
      </w:r>
      <w:r w:rsidR="001652B8">
        <w:t>flict with federal jurisdiction</w:t>
      </w:r>
      <w:r w:rsidR="00864942" w:rsidRPr="002905E0">
        <w:t>.</w:t>
      </w:r>
      <w:r w:rsidR="00864942">
        <w:t xml:space="preserve">  </w:t>
      </w:r>
    </w:p>
    <w:p w:rsidR="00864942" w:rsidRPr="002905E0" w:rsidRDefault="005C669E" w:rsidP="00864942">
      <w:pPr>
        <w:pStyle w:val="standard"/>
      </w:pPr>
      <w:r>
        <w:rPr>
          <w:rFonts w:eastAsia="Calibri"/>
        </w:rPr>
        <w:t>The Opponents state that w</w:t>
      </w:r>
      <w:r w:rsidR="00864942" w:rsidRPr="00902B0C">
        <w:rPr>
          <w:rFonts w:eastAsia="Calibri"/>
        </w:rPr>
        <w:t xml:space="preserve">hile the </w:t>
      </w:r>
      <w:r w:rsidR="00503C57">
        <w:rPr>
          <w:rFonts w:eastAsia="Calibri"/>
        </w:rPr>
        <w:t xml:space="preserve">settling </w:t>
      </w:r>
      <w:r>
        <w:rPr>
          <w:rFonts w:eastAsia="Calibri"/>
        </w:rPr>
        <w:t>parties</w:t>
      </w:r>
      <w:r w:rsidR="00864942" w:rsidRPr="00902B0C">
        <w:rPr>
          <w:rFonts w:eastAsia="Calibri"/>
        </w:rPr>
        <w:t xml:space="preserve"> include</w:t>
      </w:r>
      <w:r w:rsidR="000E7828">
        <w:rPr>
          <w:rFonts w:eastAsia="Calibri"/>
        </w:rPr>
        <w:t>d</w:t>
      </w:r>
      <w:r w:rsidR="00864942" w:rsidRPr="00902B0C">
        <w:rPr>
          <w:rFonts w:eastAsia="Calibri"/>
        </w:rPr>
        <w:t xml:space="preserve"> </w:t>
      </w:r>
      <w:r w:rsidR="00AF48BA">
        <w:rPr>
          <w:rFonts w:eastAsia="Calibri"/>
        </w:rPr>
        <w:t xml:space="preserve">most </w:t>
      </w:r>
      <w:r w:rsidR="00864942" w:rsidRPr="00902B0C">
        <w:rPr>
          <w:rFonts w:eastAsia="Calibri"/>
        </w:rPr>
        <w:t xml:space="preserve">pole owners and wireless carriers, the Commission recognized that some antenna installations </w:t>
      </w:r>
      <w:r w:rsidR="00F41255">
        <w:rPr>
          <w:rFonts w:eastAsia="Calibri"/>
        </w:rPr>
        <w:t>might</w:t>
      </w:r>
      <w:r w:rsidR="00864942" w:rsidRPr="00902B0C">
        <w:rPr>
          <w:rFonts w:eastAsia="Calibri"/>
        </w:rPr>
        <w:t xml:space="preserve"> not </w:t>
      </w:r>
      <w:r w:rsidR="00F41255">
        <w:rPr>
          <w:rFonts w:eastAsia="Calibri"/>
        </w:rPr>
        <w:t>be covered by the S</w:t>
      </w:r>
      <w:r w:rsidR="00864942" w:rsidRPr="00902B0C">
        <w:rPr>
          <w:rFonts w:eastAsia="Calibri"/>
        </w:rPr>
        <w:t xml:space="preserve">ettlement </w:t>
      </w:r>
      <w:r w:rsidR="00F41255">
        <w:rPr>
          <w:rFonts w:eastAsia="Calibri"/>
        </w:rPr>
        <w:t>A</w:t>
      </w:r>
      <w:r w:rsidR="00864942" w:rsidRPr="00902B0C">
        <w:rPr>
          <w:rFonts w:eastAsia="Calibri"/>
        </w:rPr>
        <w:t xml:space="preserve">greement. </w:t>
      </w:r>
      <w:r w:rsidR="00864942">
        <w:rPr>
          <w:rFonts w:eastAsia="Calibri"/>
        </w:rPr>
        <w:t xml:space="preserve"> </w:t>
      </w:r>
      <w:r w:rsidR="00864942" w:rsidRPr="00902B0C">
        <w:rPr>
          <w:rFonts w:eastAsia="Calibri"/>
        </w:rPr>
        <w:t xml:space="preserve">In response to this incomplete coverage, the Commission adopted </w:t>
      </w:r>
      <w:r w:rsidR="000C438C">
        <w:rPr>
          <w:rFonts w:eastAsia="Calibri"/>
        </w:rPr>
        <w:t xml:space="preserve">Rule 94.5-A, which </w:t>
      </w:r>
      <w:r w:rsidR="00AF48BA">
        <w:rPr>
          <w:rFonts w:eastAsia="Calibri"/>
        </w:rPr>
        <w:t xml:space="preserve">requires </w:t>
      </w:r>
      <w:r w:rsidR="000E7828">
        <w:rPr>
          <w:rFonts w:eastAsia="Calibri"/>
        </w:rPr>
        <w:t xml:space="preserve">antenna owners </w:t>
      </w:r>
      <w:r w:rsidR="00AF48BA">
        <w:rPr>
          <w:rFonts w:eastAsia="Calibri"/>
        </w:rPr>
        <w:t xml:space="preserve">to have an </w:t>
      </w:r>
      <w:r w:rsidR="00864942" w:rsidRPr="00902B0C">
        <w:rPr>
          <w:rFonts w:eastAsia="Calibri"/>
        </w:rPr>
        <w:t xml:space="preserve">agreement with the pole owner(s) that includes </w:t>
      </w:r>
      <w:r w:rsidR="002F4D3F">
        <w:rPr>
          <w:rFonts w:eastAsia="Calibri"/>
        </w:rPr>
        <w:t>signage</w:t>
      </w:r>
      <w:r w:rsidR="00864942" w:rsidRPr="00902B0C">
        <w:rPr>
          <w:rFonts w:eastAsia="Calibri"/>
        </w:rPr>
        <w:t xml:space="preserve"> </w:t>
      </w:r>
      <w:r w:rsidR="00AF48BA">
        <w:rPr>
          <w:rFonts w:eastAsia="Calibri"/>
        </w:rPr>
        <w:t xml:space="preserve">requirements </w:t>
      </w:r>
      <w:r w:rsidR="00864942" w:rsidRPr="00902B0C">
        <w:rPr>
          <w:rFonts w:eastAsia="Calibri"/>
        </w:rPr>
        <w:t xml:space="preserve">that are substantially similar to and achieve at least the same safety standards as those in the </w:t>
      </w:r>
      <w:r w:rsidR="00AF48BA">
        <w:rPr>
          <w:rFonts w:eastAsia="Calibri"/>
        </w:rPr>
        <w:t>S</w:t>
      </w:r>
      <w:r w:rsidR="00864942" w:rsidRPr="00902B0C">
        <w:rPr>
          <w:rFonts w:eastAsia="Calibri"/>
        </w:rPr>
        <w:t xml:space="preserve">ettlement </w:t>
      </w:r>
      <w:r w:rsidR="00AF48BA">
        <w:rPr>
          <w:rFonts w:eastAsia="Calibri"/>
        </w:rPr>
        <w:t>A</w:t>
      </w:r>
      <w:r w:rsidR="00864942" w:rsidRPr="00902B0C">
        <w:rPr>
          <w:rFonts w:eastAsia="Calibri"/>
        </w:rPr>
        <w:t xml:space="preserve">greement </w:t>
      </w:r>
      <w:r w:rsidR="00AF48BA">
        <w:rPr>
          <w:rFonts w:eastAsia="Calibri"/>
        </w:rPr>
        <w:t>in Appendix H of GO 95</w:t>
      </w:r>
      <w:r w:rsidR="00864942" w:rsidRPr="00902B0C">
        <w:rPr>
          <w:rFonts w:eastAsia="Calibri"/>
        </w:rPr>
        <w:t xml:space="preserve">. </w:t>
      </w:r>
      <w:r w:rsidR="00864942">
        <w:rPr>
          <w:rFonts w:eastAsia="Calibri"/>
        </w:rPr>
        <w:t xml:space="preserve"> </w:t>
      </w:r>
      <w:r w:rsidR="00864942" w:rsidRPr="00C85F45">
        <w:t xml:space="preserve">The </w:t>
      </w:r>
      <w:r w:rsidR="00C91E68">
        <w:t>O</w:t>
      </w:r>
      <w:r w:rsidR="005D4138">
        <w:t>pponents</w:t>
      </w:r>
      <w:r w:rsidR="00031F65">
        <w:t xml:space="preserve"> </w:t>
      </w:r>
      <w:r w:rsidR="000C438C">
        <w:t>claim</w:t>
      </w:r>
      <w:r w:rsidR="00031F65">
        <w:t xml:space="preserve"> </w:t>
      </w:r>
      <w:r w:rsidR="001652B8">
        <w:t>this</w:t>
      </w:r>
      <w:r w:rsidR="00864942" w:rsidRPr="00C85F45">
        <w:t xml:space="preserve"> language</w:t>
      </w:r>
      <w:r w:rsidR="001652B8">
        <w:t xml:space="preserve"> in Rule</w:t>
      </w:r>
      <w:r w:rsidR="000C438C">
        <w:t> </w:t>
      </w:r>
      <w:r w:rsidR="001652B8">
        <w:t>94.</w:t>
      </w:r>
      <w:r w:rsidR="000C438C">
        <w:t>5</w:t>
      </w:r>
      <w:r w:rsidR="000C438C">
        <w:noBreakHyphen/>
        <w:t>A</w:t>
      </w:r>
      <w:r w:rsidR="000E7828">
        <w:t xml:space="preserve"> </w:t>
      </w:r>
      <w:r w:rsidR="00864942">
        <w:t>was specifically crafted to solve the Commission’s jurisdictional restrictions</w:t>
      </w:r>
      <w:r w:rsidR="00864942" w:rsidRPr="00C85F45">
        <w:t xml:space="preserve">.  </w:t>
      </w:r>
    </w:p>
    <w:p w:rsidR="00D457F3" w:rsidRDefault="00AB32FC" w:rsidP="00D457F3">
      <w:pPr>
        <w:pStyle w:val="standard"/>
        <w:rPr>
          <w:rFonts w:eastAsia="Calibri"/>
          <w:szCs w:val="24"/>
        </w:rPr>
      </w:pPr>
      <w:r>
        <w:rPr>
          <w:rFonts w:eastAsia="Calibri"/>
          <w:szCs w:val="24"/>
        </w:rPr>
        <w:lastRenderedPageBreak/>
        <w:t xml:space="preserve">The </w:t>
      </w:r>
      <w:r w:rsidR="00C91E68">
        <w:rPr>
          <w:rFonts w:eastAsia="Calibri"/>
          <w:szCs w:val="24"/>
        </w:rPr>
        <w:t>O</w:t>
      </w:r>
      <w:r>
        <w:rPr>
          <w:rFonts w:eastAsia="Calibri"/>
          <w:szCs w:val="24"/>
        </w:rPr>
        <w:t xml:space="preserve">pponents caution that </w:t>
      </w:r>
      <w:r w:rsidR="00D41FF3">
        <w:rPr>
          <w:rFonts w:eastAsia="Calibri"/>
          <w:szCs w:val="24"/>
        </w:rPr>
        <w:t xml:space="preserve">if the Commission adopts SED’s proposed revisions to Rule 94.5-A, there will likely be </w:t>
      </w:r>
      <w:r w:rsidR="000C438C">
        <w:rPr>
          <w:rFonts w:eastAsia="Calibri"/>
          <w:szCs w:val="24"/>
        </w:rPr>
        <w:t xml:space="preserve">legal </w:t>
      </w:r>
      <w:r w:rsidR="00AF48BA">
        <w:rPr>
          <w:rFonts w:eastAsia="Calibri"/>
          <w:szCs w:val="24"/>
        </w:rPr>
        <w:t>challenges</w:t>
      </w:r>
      <w:r w:rsidR="00D457F3" w:rsidRPr="00122FF1">
        <w:rPr>
          <w:rFonts w:eastAsia="Calibri"/>
          <w:szCs w:val="24"/>
        </w:rPr>
        <w:t xml:space="preserve"> to address the jurisdictional issues at stake.  </w:t>
      </w:r>
    </w:p>
    <w:p w:rsidR="00EF7A98" w:rsidRDefault="00EF7A98" w:rsidP="00A845DC">
      <w:pPr>
        <w:pStyle w:val="Heading4"/>
      </w:pPr>
      <w:bookmarkStart w:id="80" w:name="_Toc436647347"/>
      <w:r>
        <w:t>Discussion</w:t>
      </w:r>
      <w:bookmarkEnd w:id="80"/>
      <w:r>
        <w:t xml:space="preserve"> </w:t>
      </w:r>
    </w:p>
    <w:p w:rsidR="0084179D" w:rsidRDefault="0084179D" w:rsidP="00F114CE">
      <w:pPr>
        <w:pStyle w:val="standard"/>
      </w:pPr>
      <w:r>
        <w:t>The issue before us is whether to adopt SED’s proposed revisions to Rule 94.</w:t>
      </w:r>
      <w:r w:rsidR="00AF48BA">
        <w:t>5</w:t>
      </w:r>
      <w:r>
        <w:t xml:space="preserve">-A.  Our primary standard for deciding </w:t>
      </w:r>
      <w:r w:rsidR="00193DCA">
        <w:t xml:space="preserve">this issue is </w:t>
      </w:r>
      <w:r>
        <w:t xml:space="preserve">whether SED’s proposal will improve safety at a reasonable cost.  </w:t>
      </w:r>
    </w:p>
    <w:p w:rsidR="00EF7A98" w:rsidRDefault="00692762" w:rsidP="0087634A">
      <w:pPr>
        <w:pStyle w:val="standard"/>
        <w:tabs>
          <w:tab w:val="left" w:pos="2475"/>
        </w:tabs>
      </w:pPr>
      <w:r>
        <w:t>The text of the current Rule</w:t>
      </w:r>
      <w:r w:rsidR="00A02806">
        <w:t> </w:t>
      </w:r>
      <w:r>
        <w:t>94.5-A and SED’s proposed revisions to the rule are shown below:</w:t>
      </w:r>
    </w:p>
    <w:p w:rsidR="0084179D" w:rsidRPr="00692762" w:rsidRDefault="00692762" w:rsidP="00ED7BAC">
      <w:pPr>
        <w:pStyle w:val="standard"/>
        <w:keepNext/>
        <w:spacing w:line="240" w:lineRule="auto"/>
        <w:ind w:left="1080" w:firstLine="0"/>
        <w:rPr>
          <w:b/>
          <w:u w:val="single"/>
        </w:rPr>
      </w:pPr>
      <w:r w:rsidRPr="00692762">
        <w:rPr>
          <w:b/>
          <w:u w:val="single"/>
        </w:rPr>
        <w:t>Current Rule 94.5-A</w:t>
      </w:r>
    </w:p>
    <w:p w:rsidR="00692762" w:rsidRDefault="00692762" w:rsidP="00ED7BAC">
      <w:pPr>
        <w:pStyle w:val="StandardQuotation"/>
        <w:ind w:right="900"/>
      </w:pPr>
      <w:r>
        <w:t>No antenna owner or operator shall install an antenna on a joint use pole unless such installation is subject to an agreement with the pole owner(s) that includes marking requirements that are substantially similar to and achieve at least the same safety standards as those set forth in Appendix H to GO 95.</w:t>
      </w:r>
    </w:p>
    <w:p w:rsidR="00692762" w:rsidRPr="00692762" w:rsidRDefault="00692762" w:rsidP="00ED7BAC">
      <w:pPr>
        <w:pStyle w:val="standard"/>
        <w:keepNext/>
        <w:spacing w:line="240" w:lineRule="auto"/>
        <w:ind w:left="1080" w:firstLine="0"/>
        <w:rPr>
          <w:b/>
          <w:u w:val="single"/>
        </w:rPr>
      </w:pPr>
      <w:r w:rsidRPr="00692762">
        <w:rPr>
          <w:b/>
          <w:u w:val="single"/>
        </w:rPr>
        <w:t xml:space="preserve">SED’s Revised </w:t>
      </w:r>
      <w:r w:rsidR="0080007C">
        <w:rPr>
          <w:b/>
          <w:u w:val="single"/>
        </w:rPr>
        <w:t xml:space="preserve">Rule </w:t>
      </w:r>
      <w:r w:rsidRPr="00692762">
        <w:rPr>
          <w:b/>
          <w:u w:val="single"/>
        </w:rPr>
        <w:t>94.5-A</w:t>
      </w:r>
    </w:p>
    <w:p w:rsidR="00D546EA" w:rsidRPr="00DE60D8" w:rsidRDefault="00D546EA" w:rsidP="00ED7BAC">
      <w:pPr>
        <w:pStyle w:val="StandardQuotation"/>
        <w:ind w:right="900"/>
      </w:pPr>
      <w:r w:rsidRPr="00BE752B">
        <w:t>Antennas shall be marked in accordance with Appendi</w:t>
      </w:r>
      <w:r>
        <w:t>x H, including Exhibit A, to GO </w:t>
      </w:r>
      <w:r w:rsidRPr="00BE752B">
        <w:t>95.</w:t>
      </w:r>
    </w:p>
    <w:p w:rsidR="00692762" w:rsidRDefault="00D546EA" w:rsidP="00F114CE">
      <w:pPr>
        <w:pStyle w:val="standard"/>
      </w:pPr>
      <w:r>
        <w:t xml:space="preserve">The current Rule 94.5-A and SED’s revised Rule 94.5-A both refer to Appendix H of GO 95.  </w:t>
      </w:r>
      <w:r w:rsidR="001C4985">
        <w:t xml:space="preserve">Appendix H is a </w:t>
      </w:r>
      <w:r w:rsidR="00292332">
        <w:t>S</w:t>
      </w:r>
      <w:r w:rsidR="001C4985">
        <w:t xml:space="preserve">ettlement </w:t>
      </w:r>
      <w:r w:rsidR="00292332">
        <w:t>A</w:t>
      </w:r>
      <w:r w:rsidR="001C4985">
        <w:t xml:space="preserve">greement that was approved by the Commission in D.07-02-030.  </w:t>
      </w:r>
      <w:r w:rsidR="00292332">
        <w:t>T</w:t>
      </w:r>
      <w:r>
        <w:t xml:space="preserve">he relevant parts of </w:t>
      </w:r>
      <w:r w:rsidR="005D4138">
        <w:t>Appendix</w:t>
      </w:r>
      <w:r w:rsidR="001C4985">
        <w:t> </w:t>
      </w:r>
      <w:r>
        <w:t xml:space="preserve">H are </w:t>
      </w:r>
      <w:r w:rsidR="001C4985">
        <w:t>Sections 1</w:t>
      </w:r>
      <w:r w:rsidR="00A02806">
        <w:t xml:space="preserve"> and</w:t>
      </w:r>
      <w:r w:rsidR="001C4985">
        <w:t xml:space="preserve"> 4, and Exhibit A, which state as follows:  </w:t>
      </w:r>
    </w:p>
    <w:p w:rsidR="001C4985" w:rsidRPr="001C4985" w:rsidRDefault="001C4985" w:rsidP="001C4985">
      <w:pPr>
        <w:pStyle w:val="StandardQuotation"/>
        <w:ind w:left="720" w:right="720"/>
      </w:pPr>
      <w:r w:rsidRPr="001C4985">
        <w:t>The Settling Parties agree that, in the event any party, as a joint owner, lessee or licensee (“Antenna Owner/Operator”) seeks to install or causes the installation of an Antenna (as defined in General Order (GO) 95 Rule 20.0) on a joint use utility pole, it is agreed that:</w:t>
      </w:r>
    </w:p>
    <w:p w:rsidR="001C4985" w:rsidRPr="001C4985" w:rsidRDefault="001C4985" w:rsidP="003E3D9A">
      <w:pPr>
        <w:pStyle w:val="StandardQuotation"/>
        <w:keepNext/>
        <w:spacing w:after="120"/>
        <w:ind w:left="720"/>
      </w:pPr>
      <w:r w:rsidRPr="001C4985">
        <w:rPr>
          <w:b/>
        </w:rPr>
        <w:t>1.  Markings Related to the FCC’s MPE Limits</w:t>
      </w:r>
      <w:r w:rsidRPr="001C4985">
        <w:t>.</w:t>
      </w:r>
    </w:p>
    <w:p w:rsidR="00D546EA" w:rsidRDefault="001C4985" w:rsidP="001C4985">
      <w:pPr>
        <w:pStyle w:val="StandardQuotation"/>
        <w:ind w:left="720" w:right="720"/>
      </w:pPr>
      <w:r w:rsidRPr="001C4985">
        <w:t xml:space="preserve">The Antenna Owner/Operator shall provide, and update as necessary, accurate information regarding compliance with the Federal Communications Commission’s Maximum Permissible </w:t>
      </w:r>
      <w:r w:rsidRPr="001C4985">
        <w:lastRenderedPageBreak/>
        <w:t xml:space="preserve">Exposure (MPE) limits as set forth in Title 47 of the Code of Federal Regulations (CFR) for each particular Antenna installation. </w:t>
      </w:r>
      <w:r w:rsidR="00CA3D80">
        <w:t xml:space="preserve"> </w:t>
      </w:r>
      <w:r w:rsidRPr="001C4985">
        <w:t>The Antenna Owner/Operator shall communicate such information through the use of a pole mounted marking as described in Exhibit</w:t>
      </w:r>
      <w:r w:rsidR="00CA3D80">
        <w:t> </w:t>
      </w:r>
      <w:r w:rsidRPr="001C4985">
        <w:t>A (Additional Marking Requirements) and in writing to the other utilities and/or companies with facilities affixed to the pole in accordance with Paragraph 4 of this Agreement.</w:t>
      </w:r>
    </w:p>
    <w:p w:rsidR="00692762" w:rsidRDefault="001C4985" w:rsidP="001C4985">
      <w:pPr>
        <w:pStyle w:val="standard"/>
        <w:spacing w:line="240" w:lineRule="auto"/>
        <w:ind w:firstLine="0"/>
        <w:jc w:val="center"/>
      </w:pPr>
      <w:r>
        <w:t>************************</w:t>
      </w:r>
    </w:p>
    <w:p w:rsidR="001C4985" w:rsidRPr="001C4985" w:rsidRDefault="001C4985" w:rsidP="00E37DAF">
      <w:pPr>
        <w:pStyle w:val="StandardQuotation"/>
        <w:keepNext/>
        <w:spacing w:after="120"/>
        <w:ind w:left="720"/>
        <w:rPr>
          <w:b/>
        </w:rPr>
      </w:pPr>
      <w:r w:rsidRPr="001C4985">
        <w:rPr>
          <w:b/>
        </w:rPr>
        <w:t>4. Adoption of Operating Procedures.</w:t>
      </w:r>
    </w:p>
    <w:p w:rsidR="00692762" w:rsidRDefault="001C4985" w:rsidP="001C4985">
      <w:pPr>
        <w:pStyle w:val="StandardQuotation"/>
        <w:ind w:left="720" w:right="720"/>
      </w:pPr>
      <w:r w:rsidRPr="001C4985">
        <w:t>The Settling Parties further agree to memorialize the agreements set forth in Section 1 and 2 of this Agreement (including the procedures and protocols to be adopted thereunder) in separate, private agreements with affected utilities, companies or municipalities or in the Northern California Joint Pole Association’s Operating Routine. Such agreements and procedures shall be adopted in a timely manner and Settling Parties agree to execute any and all supplementary documents and take all actions which may be necessary or appropriate to give full force and effect to the terms and intent of this Agreement.</w:t>
      </w:r>
    </w:p>
    <w:p w:rsidR="001C4985" w:rsidRDefault="001C4985" w:rsidP="001C4985">
      <w:pPr>
        <w:pStyle w:val="standard"/>
        <w:spacing w:line="240" w:lineRule="auto"/>
        <w:ind w:firstLine="0"/>
        <w:jc w:val="center"/>
      </w:pPr>
      <w:r>
        <w:t>************************</w:t>
      </w:r>
    </w:p>
    <w:p w:rsidR="001C4985" w:rsidRPr="001C4985" w:rsidRDefault="001C4985" w:rsidP="005C669E">
      <w:pPr>
        <w:pStyle w:val="StandardQuotation"/>
        <w:keepNext/>
        <w:spacing w:after="120"/>
        <w:ind w:left="720"/>
        <w:rPr>
          <w:b/>
        </w:rPr>
      </w:pPr>
      <w:r w:rsidRPr="001C4985">
        <w:rPr>
          <w:b/>
        </w:rPr>
        <w:t>Exhibit A - Additional Marking Requirements</w:t>
      </w:r>
    </w:p>
    <w:p w:rsidR="001C4985" w:rsidRPr="001C4985" w:rsidRDefault="001C4985" w:rsidP="001C4985">
      <w:pPr>
        <w:pStyle w:val="StandardQuotation"/>
        <w:spacing w:after="60"/>
        <w:ind w:left="720" w:right="720"/>
      </w:pPr>
      <w:r w:rsidRPr="001C4985">
        <w:t>Antenna Owner/Operators are responsible for the installation and upkeep of their sign or signs at each joint use site.</w:t>
      </w:r>
    </w:p>
    <w:p w:rsidR="001C4985" w:rsidRPr="001C4985" w:rsidRDefault="001C4985" w:rsidP="00CA3D80">
      <w:pPr>
        <w:pStyle w:val="StandardQuotation"/>
        <w:tabs>
          <w:tab w:val="left" w:pos="1080"/>
        </w:tabs>
        <w:spacing w:after="60"/>
        <w:ind w:right="360" w:hanging="360"/>
      </w:pPr>
      <w:r w:rsidRPr="001C4985">
        <w:rPr>
          <w:b/>
        </w:rPr>
        <w:t>a</w:t>
      </w:r>
      <w:r w:rsidRPr="001C4985">
        <w:t xml:space="preserve">. </w:t>
      </w:r>
      <w:r>
        <w:tab/>
      </w:r>
      <w:r w:rsidRPr="001C4985">
        <w:t>In addition to the requirements of GO 95, Rule 94.5 (Marking), at a minimum, each Antenna Owner/Operator will also affix a sign that:</w:t>
      </w:r>
    </w:p>
    <w:p w:rsidR="001C4985" w:rsidRPr="001C4985" w:rsidRDefault="001C4985" w:rsidP="00CA3D80">
      <w:pPr>
        <w:pStyle w:val="StandardQuotation"/>
        <w:tabs>
          <w:tab w:val="left" w:pos="1530"/>
        </w:tabs>
        <w:spacing w:after="60"/>
        <w:ind w:left="1526" w:right="720" w:hanging="446"/>
      </w:pPr>
      <w:r w:rsidRPr="001C4985">
        <w:t>(i)</w:t>
      </w:r>
      <w:r w:rsidR="00CA3D80">
        <w:tab/>
      </w:r>
      <w:r w:rsidRPr="001C4985">
        <w:t>identifies the applicable FCC exposure category (General Population/Uncontrolled or Occupational/Controlled),</w:t>
      </w:r>
    </w:p>
    <w:p w:rsidR="001C4985" w:rsidRPr="00CA3D80" w:rsidRDefault="001C4985" w:rsidP="00CA3D80">
      <w:pPr>
        <w:pStyle w:val="StandardQuotation"/>
        <w:tabs>
          <w:tab w:val="left" w:pos="1530"/>
        </w:tabs>
        <w:spacing w:after="60"/>
        <w:ind w:left="1526" w:right="720" w:hanging="446"/>
      </w:pPr>
      <w:r w:rsidRPr="00CA3D80">
        <w:t xml:space="preserve">(ii) </w:t>
      </w:r>
      <w:r w:rsidR="00CA3D80">
        <w:tab/>
      </w:r>
      <w:r w:rsidRPr="00CA3D80">
        <w:t>identifies the FCC’s recommended minimum approach distance as set</w:t>
      </w:r>
      <w:r w:rsidR="00CA3D80" w:rsidRPr="00CA3D80">
        <w:t xml:space="preserve"> </w:t>
      </w:r>
      <w:r w:rsidRPr="00CA3D80">
        <w:t>forth in 47 C.F.R.; and</w:t>
      </w:r>
    </w:p>
    <w:p w:rsidR="001C4985" w:rsidRPr="00CA3D80" w:rsidRDefault="001C4985" w:rsidP="00AB32FC">
      <w:pPr>
        <w:pStyle w:val="StandardQuotation"/>
        <w:tabs>
          <w:tab w:val="left" w:pos="1530"/>
        </w:tabs>
        <w:spacing w:after="80"/>
        <w:ind w:left="1526" w:right="720" w:hanging="446"/>
      </w:pPr>
      <w:r w:rsidRPr="00CA3D80">
        <w:t>(iii)</w:t>
      </w:r>
      <w:r w:rsidR="00CA3D80">
        <w:t xml:space="preserve"> </w:t>
      </w:r>
      <w:r w:rsidRPr="00CA3D80">
        <w:t>is of weather and corrosion resistant material.</w:t>
      </w:r>
    </w:p>
    <w:p w:rsidR="001C4985" w:rsidRPr="00CA3D80" w:rsidRDefault="001C4985" w:rsidP="00CA3D80">
      <w:pPr>
        <w:pStyle w:val="StandardQuotation"/>
        <w:tabs>
          <w:tab w:val="left" w:pos="1080"/>
        </w:tabs>
        <w:spacing w:after="60"/>
        <w:ind w:right="360" w:hanging="360"/>
      </w:pPr>
      <w:r w:rsidRPr="00CA3D80">
        <w:rPr>
          <w:b/>
        </w:rPr>
        <w:t>b.</w:t>
      </w:r>
      <w:r w:rsidRPr="00CA3D80">
        <w:t xml:space="preserve"> </w:t>
      </w:r>
      <w:r w:rsidR="00CA3D80">
        <w:tab/>
      </w:r>
      <w:r w:rsidRPr="00CA3D80">
        <w:t>The Antenna Owner/Operator will place the sign so that it is clearly visible</w:t>
      </w:r>
      <w:r w:rsidR="00CA3D80" w:rsidRPr="00CA3D80">
        <w:t xml:space="preserve"> </w:t>
      </w:r>
      <w:r w:rsidRPr="00CA3D80">
        <w:t>to workers who otherwise climb the pole or ascend by mechanical means</w:t>
      </w:r>
      <w:r w:rsidR="00CA3D80" w:rsidRPr="00CA3D80">
        <w:t xml:space="preserve"> </w:t>
      </w:r>
      <w:r w:rsidRPr="00CA3D80">
        <w:t>and affix said sign:</w:t>
      </w:r>
    </w:p>
    <w:p w:rsidR="001C4985" w:rsidRPr="00CA3D80" w:rsidRDefault="001C4985" w:rsidP="00CA3D80">
      <w:pPr>
        <w:pStyle w:val="StandardQuotation"/>
        <w:tabs>
          <w:tab w:val="left" w:pos="1530"/>
        </w:tabs>
        <w:spacing w:after="60"/>
        <w:ind w:left="1526" w:right="720" w:hanging="446"/>
      </w:pPr>
      <w:r w:rsidRPr="00CA3D80">
        <w:t xml:space="preserve">(i) </w:t>
      </w:r>
      <w:r w:rsidR="00CA3D80">
        <w:tab/>
      </w:r>
      <w:r w:rsidRPr="00CA3D80">
        <w:t>no less than three (3) feet below the Antenna (measured from the top</w:t>
      </w:r>
      <w:r w:rsidR="00CA3D80">
        <w:t xml:space="preserve"> </w:t>
      </w:r>
      <w:r w:rsidRPr="00CA3D80">
        <w:t>of the sign); and</w:t>
      </w:r>
    </w:p>
    <w:p w:rsidR="001C4985" w:rsidRPr="00CA3D80" w:rsidRDefault="001C4985" w:rsidP="00CA3D80">
      <w:pPr>
        <w:pStyle w:val="StandardQuotation"/>
        <w:tabs>
          <w:tab w:val="left" w:pos="1530"/>
        </w:tabs>
        <w:spacing w:after="60"/>
        <w:ind w:left="1526" w:right="720" w:hanging="446"/>
      </w:pPr>
      <w:r w:rsidRPr="00CA3D80">
        <w:lastRenderedPageBreak/>
        <w:t>(i</w:t>
      </w:r>
      <w:r w:rsidR="00CA3D80">
        <w:t>i</w:t>
      </w:r>
      <w:r w:rsidRPr="00CA3D80">
        <w:t xml:space="preserve">) </w:t>
      </w:r>
      <w:r w:rsidR="00CA3D80">
        <w:tab/>
      </w:r>
      <w:r w:rsidRPr="00CA3D80">
        <w:t>no less than nine (9) feet above the ground line (measured from the</w:t>
      </w:r>
      <w:r w:rsidR="00CA3D80" w:rsidRPr="00CA3D80">
        <w:t xml:space="preserve"> </w:t>
      </w:r>
      <w:r w:rsidRPr="00CA3D80">
        <w:t>bottom of the sign)</w:t>
      </w:r>
    </w:p>
    <w:p w:rsidR="00692762" w:rsidRDefault="001C4985" w:rsidP="00CA3D80">
      <w:pPr>
        <w:pStyle w:val="StandardQuotation"/>
        <w:tabs>
          <w:tab w:val="left" w:pos="1080"/>
        </w:tabs>
        <w:ind w:right="360" w:hanging="360"/>
      </w:pPr>
      <w:r w:rsidRPr="00CA3D80">
        <w:rPr>
          <w:b/>
        </w:rPr>
        <w:t>c</w:t>
      </w:r>
      <w:r w:rsidRPr="00CA3D80">
        <w:t xml:space="preserve">. </w:t>
      </w:r>
      <w:r w:rsidR="00CA3D80">
        <w:tab/>
      </w:r>
      <w:r w:rsidRPr="00CA3D80">
        <w:t>The Antenna Owner/Operator may install a single sign that contains the</w:t>
      </w:r>
      <w:r w:rsidR="00CA3D80" w:rsidRPr="00CA3D80">
        <w:t xml:space="preserve"> </w:t>
      </w:r>
      <w:r w:rsidRPr="00CA3D80">
        <w:t>information required by GO 95, Rule 94 and section</w:t>
      </w:r>
      <w:r w:rsidR="00CA3D80">
        <w:t> </w:t>
      </w:r>
      <w:r w:rsidRPr="00CA3D80">
        <w:t>(a) above, or separate</w:t>
      </w:r>
      <w:r w:rsidR="00CA3D80" w:rsidRPr="00CA3D80">
        <w:t xml:space="preserve"> </w:t>
      </w:r>
      <w:r w:rsidRPr="00CA3D80">
        <w:t xml:space="preserve">signs. </w:t>
      </w:r>
      <w:r w:rsidR="00CA3D80">
        <w:t xml:space="preserve"> </w:t>
      </w:r>
      <w:r w:rsidRPr="00CA3D80">
        <w:t>In the event one or more Antennas are affixed to a pole, each</w:t>
      </w:r>
      <w:r w:rsidR="00CA3D80" w:rsidRPr="00CA3D80">
        <w:t xml:space="preserve"> </w:t>
      </w:r>
      <w:r w:rsidRPr="00CA3D80">
        <w:t>Antenna Owner/Operator shall provide a sign with sufficient information to</w:t>
      </w:r>
      <w:r w:rsidR="00CA3D80" w:rsidRPr="00CA3D80">
        <w:t xml:space="preserve"> </w:t>
      </w:r>
      <w:r w:rsidRPr="00CA3D80">
        <w:t>allow workers to identify its Antennas.</w:t>
      </w:r>
    </w:p>
    <w:p w:rsidR="003D6D5E" w:rsidRDefault="00CA3D80" w:rsidP="004E4DBE">
      <w:pPr>
        <w:pStyle w:val="standard"/>
      </w:pPr>
      <w:r>
        <w:t>We find that the signage requirement in GO</w:t>
      </w:r>
      <w:r w:rsidR="00BD7720">
        <w:t> </w:t>
      </w:r>
      <w:r>
        <w:t>95’s Appendix H</w:t>
      </w:r>
      <w:r w:rsidR="00292332">
        <w:t xml:space="preserve"> </w:t>
      </w:r>
      <w:r w:rsidR="004E4DBE">
        <w:t xml:space="preserve">is a </w:t>
      </w:r>
      <w:r w:rsidR="00AB32FC">
        <w:t xml:space="preserve">reasonable, </w:t>
      </w:r>
      <w:r w:rsidR="004E4DBE">
        <w:t xml:space="preserve">clear, </w:t>
      </w:r>
      <w:r w:rsidR="00AB32FC">
        <w:t xml:space="preserve">and </w:t>
      </w:r>
      <w:r w:rsidR="004E4DBE">
        <w:t>enforceable</w:t>
      </w:r>
      <w:r w:rsidR="00AB32FC">
        <w:t xml:space="preserve"> </w:t>
      </w:r>
      <w:r w:rsidR="004E4DBE">
        <w:t>regulation for protecting the safety of people working near antennas</w:t>
      </w:r>
      <w:r w:rsidR="00BA5454">
        <w:t xml:space="preserve"> attached to utility poles</w:t>
      </w:r>
      <w:r w:rsidR="004E4DBE">
        <w:t xml:space="preserve">.  </w:t>
      </w:r>
      <w:r w:rsidR="00BD7720">
        <w:t>We agree with SED that the current text of Rule</w:t>
      </w:r>
      <w:r w:rsidR="00BA5454">
        <w:t> </w:t>
      </w:r>
      <w:r w:rsidR="00BD7720">
        <w:t>94.5-A, which allows sign</w:t>
      </w:r>
      <w:r w:rsidR="0080007C">
        <w:t>s</w:t>
      </w:r>
      <w:r w:rsidR="00BD7720">
        <w:t xml:space="preserve"> that </w:t>
      </w:r>
      <w:r w:rsidR="0080007C">
        <w:t>are</w:t>
      </w:r>
      <w:r w:rsidR="00BD7720">
        <w:t xml:space="preserve"> “substantially similar to and achieve at least the same safety standards as those set forth in Appendix H to GO 95</w:t>
      </w:r>
      <w:r w:rsidR="004E47C8">
        <w:t>,</w:t>
      </w:r>
      <w:r w:rsidR="00BD7720">
        <w:t xml:space="preserve">” </w:t>
      </w:r>
      <w:r w:rsidR="0080007C">
        <w:t>is a vague</w:t>
      </w:r>
      <w:r w:rsidR="00B828E8">
        <w:t xml:space="preserve"> safety standard, as it allows each </w:t>
      </w:r>
      <w:r w:rsidR="00280898">
        <w:t xml:space="preserve">pole-attachment agreement to define </w:t>
      </w:r>
      <w:r w:rsidR="00B828E8">
        <w:t>what is “</w:t>
      </w:r>
      <w:r w:rsidR="00341936">
        <w:t>substantially</w:t>
      </w:r>
      <w:r w:rsidR="00B828E8">
        <w:t xml:space="preserve"> similar to” and achieves “at least the same safety standards” as Appendix H of GO 95.  </w:t>
      </w:r>
      <w:r w:rsidR="004E47C8">
        <w:t xml:space="preserve">Such ambiguity allows the safety standard to </w:t>
      </w:r>
      <w:r w:rsidR="005C669E">
        <w:t>vary</w:t>
      </w:r>
      <w:r w:rsidR="004E47C8">
        <w:t xml:space="preserve"> </w:t>
      </w:r>
      <w:r w:rsidR="00292332">
        <w:t xml:space="preserve">from pole to pole, </w:t>
      </w:r>
      <w:r w:rsidR="00640CB4">
        <w:t>across antenna owners</w:t>
      </w:r>
      <w:r w:rsidR="00292332">
        <w:t xml:space="preserve">, and </w:t>
      </w:r>
      <w:r w:rsidR="002C2235">
        <w:t>over time</w:t>
      </w:r>
      <w:r w:rsidR="004E47C8">
        <w:t xml:space="preserve">.  </w:t>
      </w:r>
      <w:r w:rsidR="00A822CD">
        <w:t>Ultimately, i</w:t>
      </w:r>
      <w:r w:rsidR="003D6D5E">
        <w:t xml:space="preserve">f a safety incident occurs, </w:t>
      </w:r>
      <w:r w:rsidR="002C2235">
        <w:t xml:space="preserve">an after-the-fact investigation of the incident is the worst time to determine if the </w:t>
      </w:r>
      <w:r w:rsidR="003D6D5E">
        <w:t>sign</w:t>
      </w:r>
      <w:r w:rsidR="00B828E8">
        <w:t>s</w:t>
      </w:r>
      <w:r w:rsidR="003D6D5E">
        <w:t xml:space="preserve"> </w:t>
      </w:r>
      <w:r w:rsidR="004E47C8">
        <w:t xml:space="preserve">at issue </w:t>
      </w:r>
      <w:r w:rsidR="00B828E8">
        <w:t>are</w:t>
      </w:r>
      <w:r w:rsidR="004E47C8">
        <w:t xml:space="preserve"> </w:t>
      </w:r>
      <w:r w:rsidR="00A822CD">
        <w:t>“</w:t>
      </w:r>
      <w:r w:rsidR="004E47C8">
        <w:t xml:space="preserve">substantially similar to” and “achieve at least the same safety standards” as </w:t>
      </w:r>
      <w:r w:rsidR="005D4138">
        <w:t>Appendix</w:t>
      </w:r>
      <w:r w:rsidR="004E47C8">
        <w:t> H of GO</w:t>
      </w:r>
      <w:r w:rsidR="00B828E8">
        <w:t> </w:t>
      </w:r>
      <w:r w:rsidR="004E47C8">
        <w:t xml:space="preserve">95.  </w:t>
      </w:r>
      <w:r w:rsidR="00330441">
        <w:t xml:space="preserve">In our opinion, the public interest is better served with a clear safety standard that must be consistently applied across all antenna installations, with no ambiguity in its application or enforcement.  </w:t>
      </w:r>
    </w:p>
    <w:p w:rsidR="00BD7720" w:rsidRDefault="0015738E" w:rsidP="004E4DBE">
      <w:pPr>
        <w:pStyle w:val="standard"/>
      </w:pPr>
      <w:r>
        <w:t xml:space="preserve">No party disputes SED’s </w:t>
      </w:r>
      <w:r w:rsidR="00292332">
        <w:t xml:space="preserve">position </w:t>
      </w:r>
      <w:r>
        <w:t xml:space="preserve">that its </w:t>
      </w:r>
      <w:r w:rsidR="00292332">
        <w:t xml:space="preserve">proposed </w:t>
      </w:r>
      <w:r>
        <w:t>revis</w:t>
      </w:r>
      <w:r w:rsidR="00292332">
        <w:t xml:space="preserve">ions to </w:t>
      </w:r>
      <w:r>
        <w:t>Rule 94.5</w:t>
      </w:r>
      <w:r w:rsidR="00292332">
        <w:noBreakHyphen/>
      </w:r>
      <w:r>
        <w:t>A will not have a significant financial impact.  We do not find anything in the record that causes us to question SED’s claim.</w:t>
      </w:r>
    </w:p>
    <w:p w:rsidR="0015738E" w:rsidRDefault="0015738E" w:rsidP="004E4DBE">
      <w:pPr>
        <w:pStyle w:val="standard"/>
      </w:pPr>
      <w:r>
        <w:lastRenderedPageBreak/>
        <w:t xml:space="preserve">For the </w:t>
      </w:r>
      <w:r w:rsidR="005D4138">
        <w:t>preceding</w:t>
      </w:r>
      <w:r>
        <w:t xml:space="preserve"> reasons, we conclude that SED’s proposed revisions to Rule 94.5-A are reasonable</w:t>
      </w:r>
      <w:r w:rsidR="002C2235">
        <w:t xml:space="preserve">.  </w:t>
      </w:r>
      <w:r w:rsidR="005D4138">
        <w:t>Therefore</w:t>
      </w:r>
      <w:r w:rsidR="002C2235">
        <w:t xml:space="preserve">, we will </w:t>
      </w:r>
      <w:r>
        <w:t xml:space="preserve">adopt the </w:t>
      </w:r>
      <w:r w:rsidR="005D4138">
        <w:t>revisions</w:t>
      </w:r>
      <w:r>
        <w:t xml:space="preserve">.  The text of </w:t>
      </w:r>
      <w:r w:rsidR="00785A9D">
        <w:t xml:space="preserve">the </w:t>
      </w:r>
      <w:r w:rsidR="002C2235">
        <w:t xml:space="preserve">revised </w:t>
      </w:r>
      <w:r>
        <w:t>Rule 94.5</w:t>
      </w:r>
      <w:r>
        <w:noBreakHyphen/>
        <w:t>A</w:t>
      </w:r>
      <w:r w:rsidR="00785A9D">
        <w:t xml:space="preserve"> </w:t>
      </w:r>
      <w:r>
        <w:t xml:space="preserve">is contained in Appendix C of today’s decision.  </w:t>
      </w:r>
    </w:p>
    <w:p w:rsidR="009D328A" w:rsidRPr="00BE752B" w:rsidRDefault="009D328A" w:rsidP="0080007C">
      <w:pPr>
        <w:pStyle w:val="standard"/>
        <w:tabs>
          <w:tab w:val="left" w:pos="1710"/>
        </w:tabs>
        <w:rPr>
          <w:rFonts w:eastAsia="Calibri"/>
          <w:szCs w:val="24"/>
        </w:rPr>
      </w:pPr>
      <w:r>
        <w:t>We disagree with the Opponents</w:t>
      </w:r>
      <w:r w:rsidR="00016E52">
        <w:t>’</w:t>
      </w:r>
      <w:r>
        <w:t xml:space="preserve"> </w:t>
      </w:r>
      <w:r w:rsidR="00F00769">
        <w:t xml:space="preserve">claim </w:t>
      </w:r>
      <w:r>
        <w:t xml:space="preserve">that </w:t>
      </w:r>
      <w:r w:rsidR="00607751">
        <w:t>the current text of Rule 94.5</w:t>
      </w:r>
      <w:r w:rsidR="00607751">
        <w:noBreakHyphen/>
        <w:t xml:space="preserve">A is clear and protects worker safety.  </w:t>
      </w:r>
      <w:r w:rsidR="0080007C">
        <w:t xml:space="preserve">Like SED, we find </w:t>
      </w:r>
      <w:r>
        <w:t xml:space="preserve">the existing Rule 94.5-A is </w:t>
      </w:r>
      <w:r w:rsidR="00607751">
        <w:t xml:space="preserve">vague.  Such </w:t>
      </w:r>
      <w:r w:rsidR="00CE380D">
        <w:t xml:space="preserve">ambiguity is inconsistent with the purpose of </w:t>
      </w:r>
      <w:r w:rsidR="0080007C">
        <w:t>Rule 94.5-A</w:t>
      </w:r>
      <w:r w:rsidR="00CE380D">
        <w:t xml:space="preserve">, </w:t>
      </w:r>
      <w:r w:rsidR="00CE380D">
        <w:rPr>
          <w:rFonts w:eastAsia="Calibri"/>
          <w:szCs w:val="24"/>
        </w:rPr>
        <w:t>which</w:t>
      </w:r>
      <w:r>
        <w:rPr>
          <w:rFonts w:eastAsia="Calibri"/>
          <w:szCs w:val="24"/>
        </w:rPr>
        <w:t xml:space="preserve"> </w:t>
      </w:r>
      <w:r w:rsidR="00640CB4">
        <w:rPr>
          <w:rFonts w:eastAsia="Calibri"/>
          <w:szCs w:val="24"/>
        </w:rPr>
        <w:t>is</w:t>
      </w:r>
      <w:r w:rsidRPr="00BD61DE">
        <w:rPr>
          <w:rFonts w:eastAsia="Calibri"/>
          <w:szCs w:val="24"/>
        </w:rPr>
        <w:t xml:space="preserve"> to “ensure that all utility linemen in </w:t>
      </w:r>
      <w:r w:rsidRPr="009D328A">
        <w:t>California</w:t>
      </w:r>
      <w:r w:rsidRPr="00BD61DE">
        <w:rPr>
          <w:rFonts w:eastAsia="Calibri"/>
          <w:szCs w:val="24"/>
        </w:rPr>
        <w:t xml:space="preserve"> will benefit from the protections established in the settlement.”</w:t>
      </w:r>
      <w:r w:rsidRPr="00BE752B">
        <w:rPr>
          <w:rFonts w:eastAsia="Calibri"/>
          <w:szCs w:val="24"/>
          <w:vertAlign w:val="superscript"/>
        </w:rPr>
        <w:footnoteReference w:id="82"/>
      </w:r>
      <w:r w:rsidRPr="00BE752B">
        <w:rPr>
          <w:rFonts w:eastAsia="Calibri"/>
          <w:szCs w:val="24"/>
        </w:rPr>
        <w:t xml:space="preserve">  </w:t>
      </w:r>
      <w:r w:rsidR="00CE380D">
        <w:rPr>
          <w:rFonts w:eastAsia="Calibri"/>
          <w:szCs w:val="24"/>
        </w:rPr>
        <w:t>The revisions to Rule</w:t>
      </w:r>
      <w:r w:rsidR="00640CB4">
        <w:rPr>
          <w:rFonts w:eastAsia="Calibri"/>
          <w:szCs w:val="24"/>
        </w:rPr>
        <w:t> </w:t>
      </w:r>
      <w:r w:rsidR="00CE380D">
        <w:rPr>
          <w:rFonts w:eastAsia="Calibri"/>
          <w:szCs w:val="24"/>
        </w:rPr>
        <w:t>94.5</w:t>
      </w:r>
      <w:r w:rsidR="0080007C">
        <w:rPr>
          <w:rFonts w:eastAsia="Calibri"/>
          <w:szCs w:val="24"/>
        </w:rPr>
        <w:noBreakHyphen/>
      </w:r>
      <w:r w:rsidR="00CE380D">
        <w:rPr>
          <w:rFonts w:eastAsia="Calibri"/>
          <w:szCs w:val="24"/>
        </w:rPr>
        <w:t xml:space="preserve">A adopted </w:t>
      </w:r>
      <w:r w:rsidR="00B346DD">
        <w:rPr>
          <w:rFonts w:eastAsia="Calibri"/>
          <w:szCs w:val="24"/>
        </w:rPr>
        <w:t>by</w:t>
      </w:r>
      <w:r w:rsidR="00CE380D">
        <w:rPr>
          <w:rFonts w:eastAsia="Calibri"/>
          <w:szCs w:val="24"/>
        </w:rPr>
        <w:t xml:space="preserve"> today’s decision </w:t>
      </w:r>
      <w:r w:rsidR="00B346DD">
        <w:rPr>
          <w:rFonts w:eastAsia="Calibri"/>
          <w:szCs w:val="24"/>
        </w:rPr>
        <w:t xml:space="preserve">provide the </w:t>
      </w:r>
      <w:r w:rsidR="0080007C">
        <w:rPr>
          <w:rFonts w:eastAsia="Calibri"/>
          <w:szCs w:val="24"/>
        </w:rPr>
        <w:t xml:space="preserve">contemplated </w:t>
      </w:r>
      <w:r w:rsidR="00B346DD">
        <w:rPr>
          <w:rFonts w:eastAsia="Calibri"/>
          <w:szCs w:val="24"/>
        </w:rPr>
        <w:t xml:space="preserve">assurance. </w:t>
      </w:r>
    </w:p>
    <w:p w:rsidR="00967B18" w:rsidRPr="00DE60D8" w:rsidRDefault="00C62A88" w:rsidP="00967B18">
      <w:pPr>
        <w:pStyle w:val="standard"/>
        <w:rPr>
          <w:rFonts w:eastAsia="Calibri"/>
          <w:szCs w:val="24"/>
        </w:rPr>
      </w:pPr>
      <w:r>
        <w:t xml:space="preserve">There is no merit to the </w:t>
      </w:r>
      <w:r w:rsidR="00C91E68">
        <w:t>O</w:t>
      </w:r>
      <w:r w:rsidR="00CF7299">
        <w:t>p</w:t>
      </w:r>
      <w:r w:rsidR="004E029B">
        <w:t>p</w:t>
      </w:r>
      <w:r w:rsidR="00CF7299">
        <w:t xml:space="preserve">onents’ </w:t>
      </w:r>
      <w:r w:rsidR="00044DE4">
        <w:t>allegation</w:t>
      </w:r>
      <w:r>
        <w:t xml:space="preserve"> that SED</w:t>
      </w:r>
      <w:r w:rsidR="009258C9">
        <w:t>’s</w:t>
      </w:r>
      <w:r>
        <w:t xml:space="preserve"> </w:t>
      </w:r>
      <w:r w:rsidR="00CF7299">
        <w:t xml:space="preserve">proposed revisions to Rule 94.5-A </w:t>
      </w:r>
      <w:r w:rsidR="002A2CAA">
        <w:t xml:space="preserve">constitute a breach of </w:t>
      </w:r>
      <w:r w:rsidRPr="00FE1DB1">
        <w:t xml:space="preserve">the Settlement Agreement </w:t>
      </w:r>
      <w:r>
        <w:t xml:space="preserve">that was </w:t>
      </w:r>
      <w:r w:rsidR="00CF7299">
        <w:t xml:space="preserve">signed by SED’s </w:t>
      </w:r>
      <w:r w:rsidR="00341936">
        <w:t>predecessor</w:t>
      </w:r>
      <w:r w:rsidR="004E029B">
        <w:t xml:space="preserve">, </w:t>
      </w:r>
      <w:r>
        <w:t>approved by D.07-02-030</w:t>
      </w:r>
      <w:r w:rsidR="004E029B">
        <w:t>, and added to GO</w:t>
      </w:r>
      <w:r w:rsidR="00785A9D">
        <w:t> </w:t>
      </w:r>
      <w:r w:rsidR="004E029B">
        <w:t>95 as Appendix H</w:t>
      </w:r>
      <w:r w:rsidR="00CF7299">
        <w:t xml:space="preserve">.  </w:t>
      </w:r>
      <w:r w:rsidR="004E029B">
        <w:t xml:space="preserve">The current Rule 94.5-A was not part of the </w:t>
      </w:r>
      <w:r>
        <w:rPr>
          <w:rFonts w:eastAsia="Calibri"/>
          <w:szCs w:val="24"/>
        </w:rPr>
        <w:t>Settlement Agreement</w:t>
      </w:r>
      <w:r w:rsidR="004E029B">
        <w:rPr>
          <w:rFonts w:eastAsia="Calibri"/>
          <w:szCs w:val="24"/>
        </w:rPr>
        <w:t>.</w:t>
      </w:r>
      <w:r w:rsidR="00601306">
        <w:rPr>
          <w:rStyle w:val="FootnoteReference"/>
          <w:rFonts w:eastAsia="Calibri"/>
          <w:szCs w:val="24"/>
        </w:rPr>
        <w:footnoteReference w:id="83"/>
      </w:r>
      <w:r>
        <w:rPr>
          <w:rFonts w:eastAsia="Calibri"/>
          <w:szCs w:val="24"/>
        </w:rPr>
        <w:t xml:space="preserve">  </w:t>
      </w:r>
      <w:r w:rsidR="00BB7007">
        <w:rPr>
          <w:rFonts w:eastAsia="Calibri"/>
          <w:szCs w:val="24"/>
        </w:rPr>
        <w:t>SED’s proposal applies only to Rule</w:t>
      </w:r>
      <w:r w:rsidR="00CF7299">
        <w:rPr>
          <w:rFonts w:eastAsia="Calibri"/>
          <w:szCs w:val="24"/>
        </w:rPr>
        <w:t> </w:t>
      </w:r>
      <w:r w:rsidR="00BB7007">
        <w:rPr>
          <w:rFonts w:eastAsia="Calibri"/>
          <w:szCs w:val="24"/>
        </w:rPr>
        <w:t>94.5-A</w:t>
      </w:r>
      <w:r w:rsidR="00640CB4">
        <w:rPr>
          <w:rFonts w:eastAsia="Calibri"/>
          <w:szCs w:val="24"/>
        </w:rPr>
        <w:t xml:space="preserve"> and does not alter </w:t>
      </w:r>
      <w:r w:rsidR="00BB7007">
        <w:rPr>
          <w:rFonts w:eastAsia="Calibri"/>
          <w:szCs w:val="24"/>
        </w:rPr>
        <w:t>Settlement</w:t>
      </w:r>
      <w:r w:rsidR="00D37F23">
        <w:rPr>
          <w:rFonts w:eastAsia="Calibri"/>
          <w:szCs w:val="24"/>
        </w:rPr>
        <w:t> </w:t>
      </w:r>
      <w:r w:rsidR="00BB7007">
        <w:rPr>
          <w:rFonts w:eastAsia="Calibri"/>
          <w:szCs w:val="24"/>
        </w:rPr>
        <w:t>Agreement</w:t>
      </w:r>
      <w:r w:rsidR="00D37F23">
        <w:rPr>
          <w:rFonts w:eastAsia="Calibri"/>
          <w:szCs w:val="24"/>
        </w:rPr>
        <w:t xml:space="preserve"> in any respect</w:t>
      </w:r>
      <w:r w:rsidR="00BB7007">
        <w:rPr>
          <w:rFonts w:eastAsia="Calibri"/>
          <w:szCs w:val="24"/>
        </w:rPr>
        <w:t>.</w:t>
      </w:r>
      <w:r w:rsidR="00D37F23">
        <w:rPr>
          <w:rStyle w:val="FootnoteReference"/>
          <w:rFonts w:eastAsia="Calibri"/>
          <w:szCs w:val="24"/>
        </w:rPr>
        <w:footnoteReference w:id="84"/>
      </w:r>
      <w:r w:rsidR="00BB7007">
        <w:rPr>
          <w:rFonts w:eastAsia="Calibri"/>
          <w:szCs w:val="24"/>
        </w:rPr>
        <w:t xml:space="preserve">  </w:t>
      </w:r>
    </w:p>
    <w:p w:rsidR="00960CAB" w:rsidRDefault="00960CAB" w:rsidP="004E4DBE">
      <w:pPr>
        <w:pStyle w:val="standard"/>
      </w:pPr>
      <w:r>
        <w:t xml:space="preserve">We </w:t>
      </w:r>
      <w:r w:rsidR="0097317D">
        <w:t xml:space="preserve">disagree with </w:t>
      </w:r>
      <w:r w:rsidR="00C91E68">
        <w:t xml:space="preserve">the </w:t>
      </w:r>
      <w:r w:rsidR="00341936">
        <w:t>Opponents’</w:t>
      </w:r>
      <w:r w:rsidR="00CC29EF">
        <w:t xml:space="preserve"> claim</w:t>
      </w:r>
      <w:r>
        <w:t xml:space="preserve"> that the </w:t>
      </w:r>
      <w:r w:rsidR="0097317D">
        <w:t>Commission lacks authority to adopt SED’s proposed r</w:t>
      </w:r>
      <w:r>
        <w:t>evisions to Rule 94.5</w:t>
      </w:r>
      <w:r>
        <w:noBreakHyphen/>
        <w:t xml:space="preserve">A </w:t>
      </w:r>
      <w:r w:rsidR="0097317D">
        <w:t xml:space="preserve">because </w:t>
      </w:r>
      <w:r>
        <w:t xml:space="preserve">the FCC has exclusive </w:t>
      </w:r>
      <w:r w:rsidR="00341936">
        <w:t>jurisdiction</w:t>
      </w:r>
      <w:r>
        <w:t xml:space="preserve"> under federal law </w:t>
      </w:r>
      <w:r w:rsidR="00A22A92">
        <w:t xml:space="preserve">over matters pertaining to </w:t>
      </w:r>
      <w:r>
        <w:t>RF</w:t>
      </w:r>
      <w:r w:rsidR="00D37F23">
        <w:t> </w:t>
      </w:r>
      <w:r w:rsidR="0097317D">
        <w:t>emissions</w:t>
      </w:r>
      <w:r>
        <w:t xml:space="preserve">.  It </w:t>
      </w:r>
      <w:r w:rsidR="00D37F23">
        <w:t xml:space="preserve">makes no </w:t>
      </w:r>
      <w:r>
        <w:t xml:space="preserve">sense that the existing Rule 94.5-A is not preempted, but the revised </w:t>
      </w:r>
      <w:r w:rsidR="00CC29EF">
        <w:t>Rule</w:t>
      </w:r>
      <w:r w:rsidR="00400272">
        <w:t> 94.5-A</w:t>
      </w:r>
      <w:r>
        <w:t xml:space="preserve"> is </w:t>
      </w:r>
      <w:r w:rsidR="00CC29EF">
        <w:t xml:space="preserve">preempted, as both </w:t>
      </w:r>
      <w:r w:rsidR="00400272">
        <w:t xml:space="preserve">rules </w:t>
      </w:r>
      <w:r w:rsidR="00CC29EF">
        <w:t xml:space="preserve">are fundamentally alike in that both </w:t>
      </w:r>
      <w:r w:rsidR="00EE3B28">
        <w:lastRenderedPageBreak/>
        <w:t xml:space="preserve">require </w:t>
      </w:r>
      <w:r w:rsidR="00A22A92">
        <w:t xml:space="preserve">antenna owners to place signs on poles </w:t>
      </w:r>
      <w:r w:rsidR="00CC29EF">
        <w:t xml:space="preserve">that </w:t>
      </w:r>
      <w:r w:rsidR="00607751">
        <w:t>alert</w:t>
      </w:r>
      <w:r w:rsidR="00CC29EF">
        <w:t xml:space="preserve"> workers </w:t>
      </w:r>
      <w:r w:rsidR="00607751">
        <w:t>to</w:t>
      </w:r>
      <w:r w:rsidR="00CC29EF">
        <w:t xml:space="preserve"> </w:t>
      </w:r>
      <w:r w:rsidR="00016E52">
        <w:t xml:space="preserve">the presence of </w:t>
      </w:r>
      <w:r w:rsidR="00EE3B28">
        <w:t>RF</w:t>
      </w:r>
      <w:r w:rsidR="00400272">
        <w:t> </w:t>
      </w:r>
      <w:r w:rsidR="00341936">
        <w:t>radiation</w:t>
      </w:r>
      <w:r w:rsidR="00CC29EF">
        <w:t xml:space="preserve"> from</w:t>
      </w:r>
      <w:r w:rsidR="00EE3B28">
        <w:t xml:space="preserve"> antennas affixed to poles.</w:t>
      </w:r>
    </w:p>
    <w:p w:rsidR="00500BCC" w:rsidRDefault="00092815" w:rsidP="00175005">
      <w:pPr>
        <w:pStyle w:val="standard"/>
        <w:rPr>
          <w:rFonts w:eastAsia="Calibri"/>
          <w:szCs w:val="24"/>
        </w:rPr>
      </w:pPr>
      <w:r>
        <w:rPr>
          <w:rFonts w:eastAsia="Calibri"/>
          <w:szCs w:val="24"/>
        </w:rPr>
        <w:t>In any event, the Commission has authority under federal law</w:t>
      </w:r>
      <w:r w:rsidR="00EC6F26">
        <w:rPr>
          <w:rFonts w:eastAsia="Calibri"/>
          <w:szCs w:val="24"/>
        </w:rPr>
        <w:t xml:space="preserve"> to reg</w:t>
      </w:r>
      <w:r w:rsidR="005C6380">
        <w:rPr>
          <w:rFonts w:eastAsia="Calibri"/>
          <w:szCs w:val="24"/>
        </w:rPr>
        <w:t>u</w:t>
      </w:r>
      <w:r w:rsidR="00EC6F26">
        <w:rPr>
          <w:rFonts w:eastAsia="Calibri"/>
          <w:szCs w:val="24"/>
        </w:rPr>
        <w:t xml:space="preserve">late pole attachments pursuant to </w:t>
      </w:r>
      <w:r w:rsidR="003E1281">
        <w:t>47 U.S.C. § 224</w:t>
      </w:r>
      <w:r w:rsidR="00500BCC">
        <w:t>,</w:t>
      </w:r>
      <w:r w:rsidR="003E1281">
        <w:t xml:space="preserve"> </w:t>
      </w:r>
      <w:r w:rsidR="006061FB">
        <w:t xml:space="preserve">to </w:t>
      </w:r>
      <w:r>
        <w:rPr>
          <w:rFonts w:eastAsia="Calibri"/>
          <w:szCs w:val="24"/>
        </w:rPr>
        <w:t xml:space="preserve">establish safety regulations for </w:t>
      </w:r>
      <w:r w:rsidR="00EC6F26">
        <w:rPr>
          <w:rFonts w:eastAsia="Calibri"/>
          <w:szCs w:val="24"/>
        </w:rPr>
        <w:t>p</w:t>
      </w:r>
      <w:r>
        <w:rPr>
          <w:rFonts w:eastAsia="Calibri"/>
          <w:szCs w:val="24"/>
        </w:rPr>
        <w:t>ole attachments</w:t>
      </w:r>
      <w:r w:rsidR="00EC6F26">
        <w:rPr>
          <w:rFonts w:eastAsia="Calibri"/>
          <w:szCs w:val="24"/>
        </w:rPr>
        <w:t xml:space="preserve"> pursuant to </w:t>
      </w:r>
      <w:r w:rsidR="00EC6F26">
        <w:t xml:space="preserve">47 U.S.C. § 253(b), and to regulate other terms and conditions of </w:t>
      </w:r>
      <w:r w:rsidR="00F277CC">
        <w:t>commercial mobile radio services pursuant to 47 U.S.C. § 332(c)(3)</w:t>
      </w:r>
      <w:r>
        <w:rPr>
          <w:rFonts w:eastAsia="Calibri"/>
          <w:szCs w:val="24"/>
        </w:rPr>
        <w:t xml:space="preserve">. </w:t>
      </w:r>
      <w:r w:rsidR="00500BCC">
        <w:rPr>
          <w:rFonts w:eastAsia="Calibri"/>
          <w:szCs w:val="24"/>
        </w:rPr>
        <w:t xml:space="preserve"> </w:t>
      </w:r>
      <w:r w:rsidR="00D37F23">
        <w:rPr>
          <w:rFonts w:eastAsia="Calibri"/>
          <w:szCs w:val="24"/>
        </w:rPr>
        <w:t xml:space="preserve">We conclude that the </w:t>
      </w:r>
      <w:r w:rsidR="006061FB">
        <w:rPr>
          <w:rFonts w:eastAsia="Calibri"/>
          <w:szCs w:val="24"/>
        </w:rPr>
        <w:t>sc</w:t>
      </w:r>
      <w:r w:rsidR="00CC29EF">
        <w:rPr>
          <w:rFonts w:eastAsia="Calibri"/>
          <w:szCs w:val="24"/>
        </w:rPr>
        <w:t>o</w:t>
      </w:r>
      <w:r w:rsidR="006061FB">
        <w:rPr>
          <w:rFonts w:eastAsia="Calibri"/>
          <w:szCs w:val="24"/>
        </w:rPr>
        <w:t xml:space="preserve">pe of the Commission’s authority under these federal statutes encompasses the revisions to Rule 94.5-A adopted by </w:t>
      </w:r>
      <w:r w:rsidR="00341936">
        <w:rPr>
          <w:rFonts w:eastAsia="Calibri"/>
          <w:szCs w:val="24"/>
        </w:rPr>
        <w:t>today’s</w:t>
      </w:r>
      <w:r w:rsidR="006061FB">
        <w:rPr>
          <w:rFonts w:eastAsia="Calibri"/>
          <w:szCs w:val="24"/>
        </w:rPr>
        <w:t xml:space="preserve"> decision.  </w:t>
      </w:r>
      <w:r w:rsidR="00500BCC">
        <w:rPr>
          <w:rFonts w:eastAsia="Calibri"/>
          <w:szCs w:val="24"/>
        </w:rPr>
        <w:t xml:space="preserve">  </w:t>
      </w:r>
      <w:r>
        <w:rPr>
          <w:rFonts w:eastAsia="Calibri"/>
          <w:szCs w:val="24"/>
        </w:rPr>
        <w:t xml:space="preserve"> </w:t>
      </w:r>
    </w:p>
    <w:p w:rsidR="00092815" w:rsidRDefault="00C91E68" w:rsidP="00031F65">
      <w:pPr>
        <w:pStyle w:val="standard"/>
      </w:pPr>
      <w:r>
        <w:rPr>
          <w:rFonts w:eastAsia="Calibri"/>
          <w:szCs w:val="24"/>
        </w:rPr>
        <w:t>We disagree with the O</w:t>
      </w:r>
      <w:r w:rsidR="005E0112">
        <w:rPr>
          <w:rFonts w:eastAsia="Calibri"/>
          <w:szCs w:val="24"/>
        </w:rPr>
        <w:t xml:space="preserve">pponents that </w:t>
      </w:r>
      <w:r w:rsidR="00C90FE1">
        <w:rPr>
          <w:rFonts w:eastAsia="Calibri"/>
          <w:szCs w:val="24"/>
        </w:rPr>
        <w:t xml:space="preserve">the </w:t>
      </w:r>
      <w:r w:rsidR="003E1281">
        <w:rPr>
          <w:rFonts w:eastAsia="Calibri"/>
          <w:szCs w:val="24"/>
        </w:rPr>
        <w:t xml:space="preserve">adopted </w:t>
      </w:r>
      <w:r w:rsidR="00C90FE1">
        <w:rPr>
          <w:rFonts w:eastAsia="Calibri"/>
          <w:szCs w:val="24"/>
        </w:rPr>
        <w:t>revisions to Rule</w:t>
      </w:r>
      <w:r w:rsidR="003E1281">
        <w:rPr>
          <w:rFonts w:eastAsia="Calibri"/>
          <w:szCs w:val="24"/>
        </w:rPr>
        <w:t> </w:t>
      </w:r>
      <w:r w:rsidR="00C90FE1">
        <w:rPr>
          <w:rFonts w:eastAsia="Calibri"/>
          <w:szCs w:val="24"/>
        </w:rPr>
        <w:t xml:space="preserve">94.5-A conflict with </w:t>
      </w:r>
      <w:r w:rsidR="00C90FE1" w:rsidRPr="009407BE">
        <w:t>47 U.S.C. §</w:t>
      </w:r>
      <w:r w:rsidR="00C90FE1">
        <w:t> </w:t>
      </w:r>
      <w:r w:rsidR="00C90FE1" w:rsidRPr="009407BE">
        <w:t>332(c)(7)(B)(iv)</w:t>
      </w:r>
      <w:r w:rsidR="003E1281">
        <w:t xml:space="preserve">, which states </w:t>
      </w:r>
      <w:r w:rsidR="009C167A">
        <w:t>as follows:</w:t>
      </w:r>
    </w:p>
    <w:p w:rsidR="00F66292" w:rsidRPr="00F66292" w:rsidRDefault="00F66292" w:rsidP="00BB51F9">
      <w:pPr>
        <w:pStyle w:val="StandardQuotation"/>
        <w:keepNext/>
        <w:spacing w:after="120"/>
        <w:ind w:left="720"/>
        <w:rPr>
          <w:b/>
        </w:rPr>
      </w:pPr>
      <w:r w:rsidRPr="00A27526">
        <w:rPr>
          <w:b/>
        </w:rPr>
        <w:t>4</w:t>
      </w:r>
      <w:r w:rsidR="00A27526">
        <w:rPr>
          <w:b/>
        </w:rPr>
        <w:t>7</w:t>
      </w:r>
      <w:r w:rsidRPr="00A27526">
        <w:rPr>
          <w:b/>
        </w:rPr>
        <w:t xml:space="preserve"> U.S.C</w:t>
      </w:r>
      <w:r w:rsidR="00A27526">
        <w:rPr>
          <w:b/>
        </w:rPr>
        <w:t xml:space="preserve">. </w:t>
      </w:r>
      <w:r w:rsidRPr="00A27526">
        <w:rPr>
          <w:b/>
        </w:rPr>
        <w:t>332(c)</w:t>
      </w:r>
      <w:r w:rsidR="00EA27B0">
        <w:rPr>
          <w:b/>
        </w:rPr>
        <w:t>(7)</w:t>
      </w:r>
      <w:r w:rsidRPr="00F66292">
        <w:rPr>
          <w:b/>
        </w:rPr>
        <w:t xml:space="preserve"> Preservation of </w:t>
      </w:r>
      <w:r w:rsidR="003E1281">
        <w:rPr>
          <w:b/>
        </w:rPr>
        <w:t>L</w:t>
      </w:r>
      <w:r w:rsidRPr="00F66292">
        <w:rPr>
          <w:b/>
        </w:rPr>
        <w:t xml:space="preserve">ocal </w:t>
      </w:r>
      <w:r w:rsidR="003E1281">
        <w:rPr>
          <w:b/>
        </w:rPr>
        <w:t>Z</w:t>
      </w:r>
      <w:r w:rsidRPr="00F66292">
        <w:rPr>
          <w:b/>
        </w:rPr>
        <w:t xml:space="preserve">oning </w:t>
      </w:r>
      <w:r w:rsidR="003E1281">
        <w:rPr>
          <w:b/>
        </w:rPr>
        <w:t>A</w:t>
      </w:r>
      <w:r w:rsidRPr="00F66292">
        <w:rPr>
          <w:b/>
        </w:rPr>
        <w:t xml:space="preserve">uthority </w:t>
      </w:r>
    </w:p>
    <w:p w:rsidR="00F66292" w:rsidRPr="00F66292" w:rsidRDefault="00F66292" w:rsidP="00BB51F9">
      <w:pPr>
        <w:pStyle w:val="StandardQuotation"/>
        <w:keepNext/>
        <w:spacing w:after="60"/>
        <w:ind w:left="720"/>
        <w:rPr>
          <w:b/>
        </w:rPr>
      </w:pPr>
      <w:bookmarkStart w:id="81" w:name="c_7_A"/>
      <w:bookmarkEnd w:id="81"/>
      <w:r w:rsidRPr="00A27526">
        <w:rPr>
          <w:b/>
        </w:rPr>
        <w:t>(A)</w:t>
      </w:r>
      <w:r w:rsidRPr="00F66292">
        <w:rPr>
          <w:b/>
        </w:rPr>
        <w:t xml:space="preserve"> General </w:t>
      </w:r>
      <w:r w:rsidR="00A27526">
        <w:rPr>
          <w:b/>
        </w:rPr>
        <w:t>A</w:t>
      </w:r>
      <w:r w:rsidRPr="00F66292">
        <w:rPr>
          <w:b/>
        </w:rPr>
        <w:t xml:space="preserve">uthority </w:t>
      </w:r>
    </w:p>
    <w:p w:rsidR="00F66292" w:rsidRPr="00F66292" w:rsidRDefault="00F66292" w:rsidP="00607751">
      <w:pPr>
        <w:pStyle w:val="StandardQuotation"/>
        <w:spacing w:after="120"/>
        <w:ind w:left="720" w:right="720"/>
      </w:pPr>
      <w:r w:rsidRPr="00F66292">
        <w:t xml:space="preserve">Except as provided in this paragraph, nothing in this chapter shall limit or affect the authority of a State or local government or instrumentality thereof over decisions regarding the placement, construction, and modification of personal wireless service facilities. </w:t>
      </w:r>
    </w:p>
    <w:p w:rsidR="00F66292" w:rsidRPr="00F66292" w:rsidRDefault="00F66292" w:rsidP="00280898">
      <w:pPr>
        <w:pStyle w:val="StandardQuotation"/>
        <w:keepNext/>
        <w:spacing w:before="120" w:after="0"/>
        <w:ind w:left="720"/>
        <w:rPr>
          <w:b/>
        </w:rPr>
      </w:pPr>
      <w:bookmarkStart w:id="82" w:name="c_7_B"/>
      <w:bookmarkEnd w:id="82"/>
      <w:r w:rsidRPr="00A27526">
        <w:rPr>
          <w:b/>
        </w:rPr>
        <w:t>(B)</w:t>
      </w:r>
      <w:r w:rsidRPr="00F66292">
        <w:rPr>
          <w:b/>
        </w:rPr>
        <w:t xml:space="preserve"> Limitations </w:t>
      </w:r>
    </w:p>
    <w:p w:rsidR="00A02806" w:rsidRDefault="00A02806" w:rsidP="00607751">
      <w:pPr>
        <w:pStyle w:val="standard"/>
        <w:keepNext/>
        <w:spacing w:before="60" w:line="240" w:lineRule="auto"/>
        <w:ind w:firstLine="0"/>
        <w:jc w:val="center"/>
      </w:pPr>
      <w:bookmarkStart w:id="83" w:name="c_7_B_i"/>
      <w:bookmarkStart w:id="84" w:name="c_7_B_ii"/>
      <w:bookmarkStart w:id="85" w:name="c_7_B_iv"/>
      <w:bookmarkEnd w:id="83"/>
      <w:bookmarkEnd w:id="84"/>
      <w:bookmarkEnd w:id="85"/>
      <w:r>
        <w:t>************************</w:t>
      </w:r>
    </w:p>
    <w:p w:rsidR="00F66292" w:rsidRPr="00F66292" w:rsidRDefault="00F66292" w:rsidP="000F2539">
      <w:pPr>
        <w:pStyle w:val="StandardQuotation"/>
        <w:tabs>
          <w:tab w:val="left" w:pos="1170"/>
        </w:tabs>
        <w:spacing w:before="0"/>
        <w:ind w:left="1166" w:right="360" w:hanging="446"/>
      </w:pPr>
      <w:r w:rsidRPr="00E84BD6">
        <w:t>(iv)</w:t>
      </w:r>
      <w:r w:rsidRPr="00F66292">
        <w:t xml:space="preserve"> </w:t>
      </w:r>
      <w:r w:rsidRPr="00E84BD6">
        <w:t xml:space="preserve">No State or local government or instrumentality thereof may regulate the placement, construction, and modification of personal wireless service facilities on the basis of the environmental effects of radio frequency emissions to the extent that such facilities comply with the </w:t>
      </w:r>
      <w:r w:rsidR="00155BE9">
        <w:t xml:space="preserve">[FCC’s] </w:t>
      </w:r>
      <w:r w:rsidRPr="00E84BD6">
        <w:t xml:space="preserve">regulations concerning such emissions. </w:t>
      </w:r>
    </w:p>
    <w:p w:rsidR="00A57EC5" w:rsidRDefault="0073048A" w:rsidP="00031F65">
      <w:pPr>
        <w:pStyle w:val="standard"/>
        <w:rPr>
          <w:rFonts w:eastAsia="Calibri"/>
          <w:szCs w:val="24"/>
        </w:rPr>
      </w:pPr>
      <w:bookmarkStart w:id="86" w:name="c_7_B_v"/>
      <w:bookmarkStart w:id="87" w:name="c_7_C"/>
      <w:bookmarkEnd w:id="86"/>
      <w:bookmarkEnd w:id="87"/>
      <w:r>
        <w:t xml:space="preserve">The </w:t>
      </w:r>
      <w:r w:rsidR="00EA32FB">
        <w:t xml:space="preserve">flaw in </w:t>
      </w:r>
      <w:r w:rsidR="00C91E68">
        <w:t>the O</w:t>
      </w:r>
      <w:r w:rsidR="00940F28">
        <w:t>pponents’</w:t>
      </w:r>
      <w:r w:rsidR="00EA32FB">
        <w:t xml:space="preserve"> argument is that </w:t>
      </w:r>
      <w:r w:rsidR="00615B7F">
        <w:rPr>
          <w:rFonts w:eastAsia="Calibri"/>
          <w:szCs w:val="24"/>
        </w:rPr>
        <w:t>47 U.S.C 332(c)</w:t>
      </w:r>
      <w:r w:rsidR="00EA27B0">
        <w:rPr>
          <w:rFonts w:eastAsia="Calibri"/>
          <w:szCs w:val="24"/>
        </w:rPr>
        <w:t>(7)</w:t>
      </w:r>
      <w:r w:rsidR="00615B7F">
        <w:rPr>
          <w:rFonts w:eastAsia="Calibri"/>
          <w:szCs w:val="24"/>
        </w:rPr>
        <w:t xml:space="preserve">(B)(iv) pertains to the </w:t>
      </w:r>
      <w:r w:rsidR="00EA27B0">
        <w:rPr>
          <w:rFonts w:eastAsia="Calibri"/>
          <w:szCs w:val="24"/>
        </w:rPr>
        <w:t xml:space="preserve">siting and </w:t>
      </w:r>
      <w:r w:rsidR="00615B7F">
        <w:rPr>
          <w:rFonts w:eastAsia="Calibri"/>
          <w:szCs w:val="24"/>
        </w:rPr>
        <w:t xml:space="preserve">zoning of wireless facilities.  </w:t>
      </w:r>
      <w:r w:rsidR="00371454">
        <w:rPr>
          <w:rFonts w:eastAsia="Calibri"/>
          <w:szCs w:val="24"/>
        </w:rPr>
        <w:t xml:space="preserve">In contrast, </w:t>
      </w:r>
      <w:r w:rsidR="00940F28">
        <w:t>Rule</w:t>
      </w:r>
      <w:r w:rsidR="00C91E68">
        <w:t> </w:t>
      </w:r>
      <w:r w:rsidR="00940F28">
        <w:t xml:space="preserve">94.5-A is a safety regulation.  The </w:t>
      </w:r>
      <w:r>
        <w:t>revis</w:t>
      </w:r>
      <w:r w:rsidR="00802966">
        <w:t>ions to Rule</w:t>
      </w:r>
      <w:r w:rsidR="00940F28">
        <w:t> </w:t>
      </w:r>
      <w:r w:rsidR="00802966">
        <w:t>94.5</w:t>
      </w:r>
      <w:r w:rsidR="00607751">
        <w:noBreakHyphen/>
      </w:r>
      <w:r w:rsidR="00802966">
        <w:t>A a</w:t>
      </w:r>
      <w:r>
        <w:t xml:space="preserve">dopted by today’s decision </w:t>
      </w:r>
      <w:r w:rsidR="00EA32FB">
        <w:t xml:space="preserve">do not affect </w:t>
      </w:r>
      <w:r>
        <w:t>the placement, construction, modification</w:t>
      </w:r>
      <w:r w:rsidR="0068600A">
        <w:t>, or operation</w:t>
      </w:r>
      <w:r>
        <w:t xml:space="preserve"> of wireless facilities.  </w:t>
      </w:r>
      <w:r w:rsidR="00371454">
        <w:t xml:space="preserve">Nor do the adopted revisions regulate RF emissions.  </w:t>
      </w:r>
      <w:r>
        <w:t xml:space="preserve">Rather, </w:t>
      </w:r>
      <w:r w:rsidR="00885E11">
        <w:t xml:space="preserve">the adopted revisions </w:t>
      </w:r>
      <w:r w:rsidR="00371454">
        <w:t xml:space="preserve">simply </w:t>
      </w:r>
      <w:r w:rsidR="00EA32FB">
        <w:t xml:space="preserve">require that signs be placed near antennas </w:t>
      </w:r>
      <w:r w:rsidR="00EA27B0">
        <w:t>to</w:t>
      </w:r>
      <w:r w:rsidR="00EA32FB">
        <w:t xml:space="preserve"> </w:t>
      </w:r>
      <w:r w:rsidR="00607751">
        <w:t>alert</w:t>
      </w:r>
      <w:r w:rsidR="00EA32FB">
        <w:t xml:space="preserve"> </w:t>
      </w:r>
      <w:r w:rsidR="00EA32FB">
        <w:lastRenderedPageBreak/>
        <w:t xml:space="preserve">workers about </w:t>
      </w:r>
      <w:r w:rsidR="00341936">
        <w:t>presence</w:t>
      </w:r>
      <w:r w:rsidR="00EA32FB">
        <w:t xml:space="preserve"> of </w:t>
      </w:r>
      <w:r w:rsidR="00885E11">
        <w:t>RF radiation</w:t>
      </w:r>
      <w:r w:rsidR="00371454">
        <w:t xml:space="preserve"> and </w:t>
      </w:r>
      <w:r w:rsidR="00280898">
        <w:t xml:space="preserve">to </w:t>
      </w:r>
      <w:r w:rsidR="00371454">
        <w:t xml:space="preserve">provide information about </w:t>
      </w:r>
      <w:r w:rsidR="00016E52">
        <w:t xml:space="preserve">exposure limits and </w:t>
      </w:r>
      <w:r w:rsidR="00885E11">
        <w:t>minimum approach distances recommended by the FCC</w:t>
      </w:r>
      <w:r w:rsidR="00A57EC5">
        <w:t>.</w:t>
      </w:r>
      <w:r w:rsidR="00371454">
        <w:rPr>
          <w:rStyle w:val="FootnoteReference"/>
          <w:rFonts w:eastAsia="Calibri"/>
          <w:szCs w:val="24"/>
        </w:rPr>
        <w:footnoteReference w:id="85"/>
      </w:r>
      <w:r w:rsidR="00A57EC5">
        <w:t xml:space="preserve"> </w:t>
      </w:r>
      <w:r w:rsidR="00EA32FB">
        <w:t xml:space="preserve"> This signage requirement </w:t>
      </w:r>
      <w:r w:rsidR="00802966">
        <w:t xml:space="preserve">is consistent with the FCC’s policy to encourage </w:t>
      </w:r>
      <w:r w:rsidR="00E739CA">
        <w:t xml:space="preserve">safety by </w:t>
      </w:r>
      <w:r w:rsidR="00745DDF">
        <w:rPr>
          <w:rFonts w:eastAsia="Calibri"/>
          <w:szCs w:val="24"/>
        </w:rPr>
        <w:t>plac</w:t>
      </w:r>
      <w:r w:rsidR="00E739CA">
        <w:rPr>
          <w:rFonts w:eastAsia="Calibri"/>
          <w:szCs w:val="24"/>
        </w:rPr>
        <w:t xml:space="preserve">ing </w:t>
      </w:r>
      <w:r w:rsidR="00745DDF">
        <w:rPr>
          <w:rFonts w:eastAsia="Calibri"/>
          <w:szCs w:val="24"/>
        </w:rPr>
        <w:t>signs near antennas that alert workers to presence of RF</w:t>
      </w:r>
      <w:r w:rsidR="00E92297">
        <w:rPr>
          <w:rFonts w:eastAsia="Calibri"/>
          <w:szCs w:val="24"/>
        </w:rPr>
        <w:t> </w:t>
      </w:r>
      <w:r w:rsidR="00745DDF">
        <w:rPr>
          <w:rFonts w:eastAsia="Calibri"/>
          <w:szCs w:val="24"/>
        </w:rPr>
        <w:t>radiation and provide information about avoiding exposure to the potential hazard.</w:t>
      </w:r>
      <w:r w:rsidR="00885E11">
        <w:rPr>
          <w:rStyle w:val="FootnoteReference"/>
          <w:rFonts w:eastAsia="Calibri"/>
          <w:szCs w:val="24"/>
        </w:rPr>
        <w:footnoteReference w:id="86"/>
      </w:r>
      <w:r w:rsidR="00745DDF">
        <w:rPr>
          <w:rFonts w:eastAsia="Calibri"/>
          <w:szCs w:val="24"/>
        </w:rPr>
        <w:t xml:space="preserve">  </w:t>
      </w:r>
      <w:r w:rsidR="00E739CA">
        <w:rPr>
          <w:rFonts w:eastAsia="Calibri"/>
          <w:szCs w:val="24"/>
        </w:rPr>
        <w:t xml:space="preserve">Hence, today’s Decision does not conflict with any federal laws, regulations, or policies. </w:t>
      </w:r>
    </w:p>
    <w:p w:rsidR="0068600A" w:rsidRPr="00D94EAA" w:rsidRDefault="0068600A">
      <w:pPr>
        <w:pStyle w:val="standard"/>
      </w:pPr>
      <w:r>
        <w:rPr>
          <w:rFonts w:eastAsia="Calibri"/>
          <w:szCs w:val="24"/>
        </w:rPr>
        <w:t xml:space="preserve">In its comments on the </w:t>
      </w:r>
      <w:r w:rsidR="00235789">
        <w:rPr>
          <w:rFonts w:eastAsia="Calibri"/>
          <w:szCs w:val="24"/>
        </w:rPr>
        <w:t>p</w:t>
      </w:r>
      <w:r>
        <w:rPr>
          <w:rFonts w:eastAsia="Calibri"/>
          <w:szCs w:val="24"/>
        </w:rPr>
        <w:t xml:space="preserve">roposed </w:t>
      </w:r>
      <w:r w:rsidR="00235789">
        <w:rPr>
          <w:rFonts w:eastAsia="Calibri"/>
          <w:szCs w:val="24"/>
        </w:rPr>
        <w:t>d</w:t>
      </w:r>
      <w:r>
        <w:rPr>
          <w:rFonts w:eastAsia="Calibri"/>
          <w:szCs w:val="24"/>
        </w:rPr>
        <w:t xml:space="preserve">ecision, AT&amp;T Mobility argues unpersuasively that our adopted revisions to Rule 94.5-A are prohibited by FCC 97-303 wherein the FCC held that </w:t>
      </w:r>
      <w:r w:rsidR="00E85865">
        <w:rPr>
          <w:rFonts w:eastAsia="Calibri"/>
          <w:szCs w:val="24"/>
        </w:rPr>
        <w:t xml:space="preserve">States do not have authority under </w:t>
      </w:r>
      <w:r w:rsidRPr="009407BE">
        <w:t>47</w:t>
      </w:r>
      <w:r w:rsidR="00E85865">
        <w:t> </w:t>
      </w:r>
      <w:r w:rsidRPr="009407BE">
        <w:t>U.S.C. §</w:t>
      </w:r>
      <w:r>
        <w:t> </w:t>
      </w:r>
      <w:r w:rsidRPr="009407BE">
        <w:t>332(c)(7)</w:t>
      </w:r>
      <w:r>
        <w:t xml:space="preserve"> to regulate the operation of wireless facilities</w:t>
      </w:r>
      <w:r w:rsidR="0058726B">
        <w:t xml:space="preserve"> based on RF</w:t>
      </w:r>
      <w:r w:rsidR="0058726B">
        <w:noBreakHyphen/>
        <w:t>emissions considerations</w:t>
      </w:r>
      <w:r>
        <w:t>.</w:t>
      </w:r>
      <w:r w:rsidR="00826194">
        <w:rPr>
          <w:rStyle w:val="FootnoteReference"/>
        </w:rPr>
        <w:footnoteReference w:id="87"/>
      </w:r>
      <w:r w:rsidR="00826194">
        <w:t xml:space="preserve">  </w:t>
      </w:r>
      <w:r w:rsidR="00E92297">
        <w:t>Again, t</w:t>
      </w:r>
      <w:r w:rsidR="00826194">
        <w:t>oday’s decision does no</w:t>
      </w:r>
      <w:r w:rsidR="001807C0">
        <w:t>t</w:t>
      </w:r>
      <w:r w:rsidR="00826194">
        <w:t xml:space="preserve"> </w:t>
      </w:r>
      <w:r w:rsidR="001807C0">
        <w:t xml:space="preserve">regulate the operation of wireless facilities.  </w:t>
      </w:r>
      <w:r w:rsidR="00E85865">
        <w:t>Rather, t</w:t>
      </w:r>
      <w:r w:rsidR="00675C62">
        <w:t xml:space="preserve">oday’s decision regulates safety pursuant to the Commission’s authority under </w:t>
      </w:r>
      <w:r w:rsidR="00675C62" w:rsidRPr="009407BE">
        <w:t>47 U.S.C.</w:t>
      </w:r>
      <w:r w:rsidR="00675C62">
        <w:t xml:space="preserve"> 224, 332(c)(3), and 253(b), and Pub. Util. Code §§ 701 and 761 et seq. </w:t>
      </w:r>
    </w:p>
    <w:p w:rsidR="00BF63EA" w:rsidRDefault="00AF5FC0" w:rsidP="005719C6">
      <w:pPr>
        <w:pStyle w:val="Heading3"/>
      </w:pPr>
      <w:bookmarkStart w:id="88" w:name="_Toc436647348"/>
      <w:r>
        <w:t xml:space="preserve">Proposed Revisions to </w:t>
      </w:r>
      <w:r w:rsidR="00BF63EA">
        <w:t>Rule 94.6-C (Climbing Space)</w:t>
      </w:r>
      <w:bookmarkEnd w:id="88"/>
      <w:r w:rsidR="00BF63EA">
        <w:t xml:space="preserve"> </w:t>
      </w:r>
    </w:p>
    <w:p w:rsidR="00BF63EA" w:rsidRDefault="00BF63EA" w:rsidP="00A845DC">
      <w:pPr>
        <w:pStyle w:val="Heading4"/>
      </w:pPr>
      <w:bookmarkStart w:id="89" w:name="_Toc436647349"/>
      <w:r>
        <w:t>Summary of the Proposals</w:t>
      </w:r>
      <w:bookmarkEnd w:id="89"/>
      <w:r>
        <w:t xml:space="preserve"> </w:t>
      </w:r>
    </w:p>
    <w:p w:rsidR="000404A2" w:rsidRDefault="008D3D55" w:rsidP="008504A4">
      <w:pPr>
        <w:pStyle w:val="standard"/>
      </w:pPr>
      <w:r>
        <w:t>Rule 94.6 requires antenna</w:t>
      </w:r>
      <w:r w:rsidR="00A76BA4">
        <w:t xml:space="preserve">s </w:t>
      </w:r>
      <w:r>
        <w:t xml:space="preserve">to be attached to poles in a way that maintains “climbing space” </w:t>
      </w:r>
      <w:r w:rsidR="00470682">
        <w:t xml:space="preserve">for workers </w:t>
      </w:r>
      <w:r>
        <w:t xml:space="preserve">in accordance with Rule 54.7-A and Rule 84.7.  </w:t>
      </w:r>
      <w:r w:rsidR="0082463B">
        <w:t>Workers who climb poles must use fall-</w:t>
      </w:r>
      <w:r w:rsidR="00D94E3E">
        <w:t>gear</w:t>
      </w:r>
      <w:r w:rsidR="0082463B">
        <w:t xml:space="preserve"> </w:t>
      </w:r>
      <w:r w:rsidR="00470682">
        <w:t xml:space="preserve">and fall-restraint equipment </w:t>
      </w:r>
      <w:r w:rsidR="00470682">
        <w:lastRenderedPageBreak/>
        <w:t xml:space="preserve">(together, “fall-protection </w:t>
      </w:r>
      <w:r w:rsidR="00D94E3E">
        <w:t>gear</w:t>
      </w:r>
      <w:r w:rsidR="00470682">
        <w:t xml:space="preserve">”) </w:t>
      </w:r>
      <w:r w:rsidR="000404A2">
        <w:t xml:space="preserve">pursuant to regulations promulgated by the Federal </w:t>
      </w:r>
      <w:r w:rsidR="00327D29">
        <w:t>Occupational</w:t>
      </w:r>
      <w:r w:rsidR="000404A2">
        <w:t xml:space="preserve"> Safety and Health </w:t>
      </w:r>
      <w:r w:rsidR="00327D29">
        <w:t>Administration</w:t>
      </w:r>
      <w:r w:rsidR="000404A2">
        <w:t xml:space="preserve"> (</w:t>
      </w:r>
      <w:r w:rsidR="00470682">
        <w:t>“</w:t>
      </w:r>
      <w:r w:rsidR="000404A2">
        <w:t>Fed</w:t>
      </w:r>
      <w:r w:rsidR="00176B0A">
        <w:t>eral</w:t>
      </w:r>
      <w:r w:rsidR="00723314">
        <w:t> </w:t>
      </w:r>
      <w:r w:rsidR="000404A2">
        <w:t>OSHA</w:t>
      </w:r>
      <w:r w:rsidR="00470682">
        <w:t>”</w:t>
      </w:r>
      <w:r w:rsidR="000404A2">
        <w:t>).</w:t>
      </w:r>
    </w:p>
    <w:p w:rsidR="00BF63EA" w:rsidRDefault="008D3D55" w:rsidP="008504A4">
      <w:pPr>
        <w:pStyle w:val="standard"/>
      </w:pPr>
      <w:r>
        <w:t xml:space="preserve">The parties </w:t>
      </w:r>
      <w:r w:rsidR="001E44A0">
        <w:t>offered</w:t>
      </w:r>
      <w:r>
        <w:t xml:space="preserve"> three alternative proposals for a new Rule 94.6</w:t>
      </w:r>
      <w:r w:rsidR="000404A2">
        <w:noBreakHyphen/>
      </w:r>
      <w:r>
        <w:t xml:space="preserve">C </w:t>
      </w:r>
      <w:r w:rsidR="0082463B">
        <w:t xml:space="preserve">regarding interference with fall-protection </w:t>
      </w:r>
      <w:r w:rsidR="00D94E3E">
        <w:t>gear</w:t>
      </w:r>
      <w:r w:rsidR="00280898">
        <w:t xml:space="preserve"> by CMRS pole attachments</w:t>
      </w:r>
      <w:r w:rsidR="0082463B">
        <w:t>.  The text of each proposal is reproduced below:</w:t>
      </w:r>
    </w:p>
    <w:p w:rsidR="00BF63EA" w:rsidRPr="0082463B" w:rsidRDefault="0082463B" w:rsidP="00A76BA4">
      <w:pPr>
        <w:pStyle w:val="standard"/>
        <w:keepNext/>
        <w:spacing w:after="120" w:line="240" w:lineRule="auto"/>
        <w:ind w:left="1080" w:firstLine="0"/>
        <w:rPr>
          <w:b/>
          <w:u w:val="single"/>
        </w:rPr>
      </w:pPr>
      <w:r w:rsidRPr="0082463B">
        <w:rPr>
          <w:b/>
          <w:u w:val="single"/>
        </w:rPr>
        <w:t>Electric IOUs’ Proposed Rule 94.6-C</w:t>
      </w:r>
    </w:p>
    <w:p w:rsidR="0082463B" w:rsidRPr="0082463B" w:rsidRDefault="0082463B" w:rsidP="00470682">
      <w:pPr>
        <w:pStyle w:val="standard"/>
        <w:spacing w:after="240" w:line="240" w:lineRule="auto"/>
        <w:ind w:left="1080" w:right="720" w:firstLine="0"/>
      </w:pPr>
      <w:r w:rsidRPr="0082463B">
        <w:t>Unnecessary impairment of the climbing space or interference with fall restraint and fall protection equipment is not permitted by the application of Rule 54.7 or Rule 84.7.</w:t>
      </w:r>
    </w:p>
    <w:p w:rsidR="0082463B" w:rsidRPr="0082463B" w:rsidRDefault="00042BC1" w:rsidP="00A76BA4">
      <w:pPr>
        <w:pStyle w:val="standard"/>
        <w:keepNext/>
        <w:spacing w:after="120" w:line="240" w:lineRule="auto"/>
        <w:ind w:left="1080" w:firstLine="0"/>
        <w:rPr>
          <w:b/>
          <w:u w:val="single"/>
        </w:rPr>
      </w:pPr>
      <w:r>
        <w:rPr>
          <w:b/>
          <w:u w:val="single"/>
        </w:rPr>
        <w:t xml:space="preserve">AT&amp;T </w:t>
      </w:r>
      <w:r w:rsidR="00327D29">
        <w:rPr>
          <w:b/>
          <w:u w:val="single"/>
        </w:rPr>
        <w:t>Mobility</w:t>
      </w:r>
      <w:r>
        <w:rPr>
          <w:b/>
          <w:u w:val="single"/>
        </w:rPr>
        <w:t xml:space="preserve"> and CTIA’s</w:t>
      </w:r>
      <w:r w:rsidR="0082463B">
        <w:rPr>
          <w:b/>
          <w:u w:val="single"/>
        </w:rPr>
        <w:t xml:space="preserve"> </w:t>
      </w:r>
      <w:r w:rsidR="0082463B" w:rsidRPr="0082463B">
        <w:rPr>
          <w:b/>
          <w:u w:val="single"/>
        </w:rPr>
        <w:t>Proposed Rule 94.6-C</w:t>
      </w:r>
    </w:p>
    <w:p w:rsidR="0082463B" w:rsidRPr="0082463B" w:rsidRDefault="0082463B" w:rsidP="00470682">
      <w:pPr>
        <w:pStyle w:val="standard"/>
        <w:spacing w:after="80" w:line="240" w:lineRule="auto"/>
        <w:ind w:left="1080" w:right="720" w:firstLine="0"/>
      </w:pPr>
      <w:r w:rsidRPr="0082463B">
        <w:t>This Rule is not intended to authorize unnecessary interference with fall restraint and fall protection equipment.  Examples of obstructions that shall not be considered to interfere with fall restraint and fall protection equipment include, but are not limited to, the following:</w:t>
      </w:r>
    </w:p>
    <w:p w:rsidR="0082463B" w:rsidRPr="0082463B" w:rsidRDefault="0082463B" w:rsidP="00470682">
      <w:pPr>
        <w:pStyle w:val="standard"/>
        <w:tabs>
          <w:tab w:val="left" w:pos="1530"/>
        </w:tabs>
        <w:spacing w:after="120" w:line="240" w:lineRule="auto"/>
        <w:ind w:left="1530" w:right="720" w:hanging="446"/>
      </w:pPr>
      <w:r w:rsidRPr="0082463B">
        <w:t>(1)</w:t>
      </w:r>
      <w:r w:rsidRPr="0082463B">
        <w:tab/>
        <w:t>Surface-mounted equipment that occupies no more than 18</w:t>
      </w:r>
      <w:r w:rsidR="00D37B1F">
        <w:t> </w:t>
      </w:r>
      <w:r w:rsidRPr="0082463B">
        <w:t>inches of vertical space;</w:t>
      </w:r>
    </w:p>
    <w:p w:rsidR="0082463B" w:rsidRPr="0082463B" w:rsidRDefault="0082463B" w:rsidP="00470682">
      <w:pPr>
        <w:pStyle w:val="standard"/>
        <w:tabs>
          <w:tab w:val="left" w:pos="1530"/>
        </w:tabs>
        <w:spacing w:after="120" w:line="240" w:lineRule="auto"/>
        <w:ind w:left="1530" w:right="720" w:hanging="450"/>
      </w:pPr>
      <w:r w:rsidRPr="0082463B">
        <w:t>(2)</w:t>
      </w:r>
      <w:r w:rsidRPr="0082463B">
        <w:tab/>
        <w:t>Equipment stood off from the pole to maintain a minimum of 4</w:t>
      </w:r>
      <w:r w:rsidR="00325D62">
        <w:t> </w:t>
      </w:r>
      <w:r w:rsidRPr="0082463B">
        <w:t>inches of clear space between the equipment and the pole;</w:t>
      </w:r>
    </w:p>
    <w:p w:rsidR="0082463B" w:rsidRPr="0082463B" w:rsidRDefault="0082463B" w:rsidP="00470682">
      <w:pPr>
        <w:pStyle w:val="standard"/>
        <w:tabs>
          <w:tab w:val="left" w:pos="1530"/>
        </w:tabs>
        <w:spacing w:after="120" w:line="240" w:lineRule="auto"/>
        <w:ind w:left="1530" w:right="720" w:hanging="450"/>
      </w:pPr>
      <w:r w:rsidRPr="0082463B">
        <w:t xml:space="preserve">(3) </w:t>
      </w:r>
      <w:r w:rsidRPr="0082463B">
        <w:tab/>
        <w:t>Appropriately designed and installed surface-mounted risers;</w:t>
      </w:r>
    </w:p>
    <w:p w:rsidR="0082463B" w:rsidRPr="0082463B" w:rsidRDefault="0082463B" w:rsidP="00470682">
      <w:pPr>
        <w:pStyle w:val="standard"/>
        <w:tabs>
          <w:tab w:val="left" w:pos="1530"/>
        </w:tabs>
        <w:spacing w:after="240" w:line="240" w:lineRule="auto"/>
        <w:ind w:left="1530" w:right="720" w:hanging="446"/>
      </w:pPr>
      <w:r w:rsidRPr="0082463B">
        <w:t xml:space="preserve">(4) </w:t>
      </w:r>
      <w:r w:rsidRPr="0082463B">
        <w:tab/>
        <w:t xml:space="preserve">Obstructions detailed in Rules 54.7-A2c(3) and 84.7-A(5).  </w:t>
      </w:r>
    </w:p>
    <w:p w:rsidR="003734C3" w:rsidRPr="0082463B" w:rsidRDefault="003734C3" w:rsidP="00F620C1">
      <w:pPr>
        <w:pStyle w:val="standard"/>
        <w:keepNext/>
        <w:spacing w:after="120" w:line="240" w:lineRule="auto"/>
        <w:ind w:left="1080" w:firstLine="0"/>
        <w:rPr>
          <w:b/>
          <w:u w:val="single"/>
        </w:rPr>
      </w:pPr>
      <w:r>
        <w:rPr>
          <w:b/>
          <w:u w:val="single"/>
        </w:rPr>
        <w:t>SED</w:t>
      </w:r>
      <w:r w:rsidRPr="0082463B">
        <w:rPr>
          <w:b/>
          <w:u w:val="single"/>
        </w:rPr>
        <w:t>’</w:t>
      </w:r>
      <w:r>
        <w:rPr>
          <w:b/>
          <w:u w:val="single"/>
        </w:rPr>
        <w:t>s</w:t>
      </w:r>
      <w:r w:rsidRPr="0082463B">
        <w:rPr>
          <w:b/>
          <w:u w:val="single"/>
        </w:rPr>
        <w:t xml:space="preserve"> Proposed Rule 94.6-C</w:t>
      </w:r>
    </w:p>
    <w:p w:rsidR="003734C3" w:rsidRPr="003734C3" w:rsidRDefault="003734C3" w:rsidP="00470682">
      <w:pPr>
        <w:pStyle w:val="standard"/>
        <w:spacing w:after="240" w:line="240" w:lineRule="auto"/>
        <w:ind w:left="1080" w:right="720" w:firstLine="0"/>
      </w:pPr>
      <w:r w:rsidRPr="003734C3">
        <w:t>Interference with fall restraint and fall protection equipment is not permitted by the application of Rule</w:t>
      </w:r>
      <w:r w:rsidR="00E85865">
        <w:t> </w:t>
      </w:r>
      <w:r w:rsidRPr="003734C3">
        <w:t>54.7 or Rule</w:t>
      </w:r>
      <w:r w:rsidR="00E85865">
        <w:t> </w:t>
      </w:r>
      <w:r w:rsidRPr="003734C3">
        <w:t>84.7.</w:t>
      </w:r>
    </w:p>
    <w:p w:rsidR="0082463B" w:rsidRDefault="00607751" w:rsidP="00607751">
      <w:pPr>
        <w:pStyle w:val="standard"/>
      </w:pPr>
      <w:r>
        <w:t xml:space="preserve">No </w:t>
      </w:r>
      <w:r w:rsidR="00F603A4">
        <w:t>party</w:t>
      </w:r>
      <w:r>
        <w:t xml:space="preserve"> </w:t>
      </w:r>
      <w:r w:rsidR="00327D29">
        <w:t>anticipate</w:t>
      </w:r>
      <w:r w:rsidR="00016E52">
        <w:t>s</w:t>
      </w:r>
      <w:r w:rsidR="003734C3">
        <w:t xml:space="preserve"> that </w:t>
      </w:r>
      <w:r w:rsidR="00016E52">
        <w:t>its</w:t>
      </w:r>
      <w:r w:rsidR="003734C3">
        <w:t xml:space="preserve"> proposal will </w:t>
      </w:r>
      <w:r>
        <w:t xml:space="preserve">have a significant financial or </w:t>
      </w:r>
      <w:r w:rsidR="003734C3">
        <w:t>environmental impact</w:t>
      </w:r>
      <w:r w:rsidR="000404A2">
        <w:t>s</w:t>
      </w:r>
      <w:r w:rsidR="003734C3">
        <w:t xml:space="preserve">.   </w:t>
      </w:r>
    </w:p>
    <w:p w:rsidR="00BA4280" w:rsidRDefault="00BA4280" w:rsidP="00A845DC">
      <w:pPr>
        <w:pStyle w:val="Heading4"/>
      </w:pPr>
      <w:bookmarkStart w:id="90" w:name="_Toc436647350"/>
      <w:r>
        <w:lastRenderedPageBreak/>
        <w:t>Positions of the Parties</w:t>
      </w:r>
      <w:bookmarkEnd w:id="90"/>
      <w:r>
        <w:t xml:space="preserve"> </w:t>
      </w:r>
    </w:p>
    <w:p w:rsidR="00DE4FAC" w:rsidRDefault="00DE4FAC" w:rsidP="00A845DC">
      <w:pPr>
        <w:pStyle w:val="Heading5"/>
      </w:pPr>
      <w:bookmarkStart w:id="91" w:name="_Toc436647351"/>
      <w:r>
        <w:t>Electric IOU</w:t>
      </w:r>
      <w:r w:rsidR="00550D73">
        <w:t>s</w:t>
      </w:r>
      <w:r>
        <w:t xml:space="preserve"> Propos</w:t>
      </w:r>
      <w:r w:rsidR="00AD234B">
        <w:t>al</w:t>
      </w:r>
      <w:bookmarkEnd w:id="91"/>
    </w:p>
    <w:p w:rsidR="008F5773" w:rsidRDefault="00691568" w:rsidP="008504A4">
      <w:pPr>
        <w:pStyle w:val="standard"/>
      </w:pPr>
      <w:r>
        <w:t>The Electric IOU</w:t>
      </w:r>
      <w:r w:rsidR="00562C6A">
        <w:t>s</w:t>
      </w:r>
      <w:r w:rsidR="00607751">
        <w:t>’</w:t>
      </w:r>
      <w:r w:rsidR="00562C6A">
        <w:t xml:space="preserve"> </w:t>
      </w:r>
      <w:r>
        <w:t xml:space="preserve">proposed Rule 94.6-C </w:t>
      </w:r>
      <w:r w:rsidRPr="00E02C77">
        <w:t xml:space="preserve">would </w:t>
      </w:r>
      <w:r w:rsidR="00327D29">
        <w:t>prohibit</w:t>
      </w:r>
      <w:r w:rsidRPr="00E02C77">
        <w:t xml:space="preserve"> CMRS </w:t>
      </w:r>
      <w:r w:rsidR="000E4BB4">
        <w:t>attachments installed on joint-use pole</w:t>
      </w:r>
      <w:r w:rsidR="00470682">
        <w:t>s</w:t>
      </w:r>
      <w:r w:rsidR="000E4BB4">
        <w:t xml:space="preserve"> </w:t>
      </w:r>
      <w:r w:rsidR="003977CD">
        <w:t xml:space="preserve">from causing </w:t>
      </w:r>
      <w:r w:rsidR="00327D29">
        <w:t>unnecessary</w:t>
      </w:r>
      <w:r w:rsidR="00FF5E68">
        <w:t xml:space="preserve"> impair</w:t>
      </w:r>
      <w:r w:rsidR="003977CD">
        <w:t xml:space="preserve">ment to </w:t>
      </w:r>
      <w:r w:rsidR="00FF5E68">
        <w:t>climbing space or interfere</w:t>
      </w:r>
      <w:r w:rsidR="003977CD">
        <w:t>nce</w:t>
      </w:r>
      <w:r w:rsidR="00FF5E68">
        <w:t xml:space="preserve"> with </w:t>
      </w:r>
      <w:r w:rsidRPr="00E02C77">
        <w:t>fall</w:t>
      </w:r>
      <w:r w:rsidR="000404A2">
        <w:t>-</w:t>
      </w:r>
      <w:r w:rsidRPr="00E02C77">
        <w:t xml:space="preserve">protection </w:t>
      </w:r>
      <w:r w:rsidR="00D94E3E">
        <w:t>gear</w:t>
      </w:r>
      <w:r w:rsidRPr="00E02C77">
        <w:t xml:space="preserve">.  </w:t>
      </w:r>
      <w:r w:rsidR="001C514B">
        <w:t>The Electric IOUs</w:t>
      </w:r>
      <w:r w:rsidR="00562C6A">
        <w:t xml:space="preserve"> explain that their </w:t>
      </w:r>
      <w:r w:rsidR="001C514B">
        <w:t>proposal fill</w:t>
      </w:r>
      <w:r w:rsidR="00562C6A">
        <w:t>s</w:t>
      </w:r>
      <w:r w:rsidR="001C514B">
        <w:t xml:space="preserve"> a gap in Fed</w:t>
      </w:r>
      <w:r w:rsidR="00176B0A">
        <w:t>eral</w:t>
      </w:r>
      <w:r w:rsidR="001C514B">
        <w:t xml:space="preserve"> OSHA regulations.  The Electric IOUs </w:t>
      </w:r>
      <w:r w:rsidR="00562C6A">
        <w:t>state</w:t>
      </w:r>
      <w:r w:rsidR="001C514B">
        <w:t xml:space="preserve"> that although </w:t>
      </w:r>
      <w:r w:rsidR="003977CD">
        <w:t>Fed</w:t>
      </w:r>
      <w:r w:rsidR="00176B0A">
        <w:t>eral</w:t>
      </w:r>
      <w:r w:rsidR="003977CD">
        <w:t xml:space="preserve"> OSHA requires the </w:t>
      </w:r>
      <w:r w:rsidR="001C514B">
        <w:t>use of fall</w:t>
      </w:r>
      <w:r w:rsidR="003977CD">
        <w:noBreakHyphen/>
      </w:r>
      <w:r w:rsidR="001C514B">
        <w:t xml:space="preserve">protection </w:t>
      </w:r>
      <w:r w:rsidR="00D94E3E">
        <w:t>gear</w:t>
      </w:r>
      <w:r w:rsidR="001C514B">
        <w:t>, Fed</w:t>
      </w:r>
      <w:r w:rsidR="00176B0A">
        <w:t>eral</w:t>
      </w:r>
      <w:r w:rsidR="001C514B">
        <w:t xml:space="preserve"> O</w:t>
      </w:r>
      <w:r w:rsidR="00962356">
        <w:t>SHA</w:t>
      </w:r>
      <w:r w:rsidR="001C514B">
        <w:t xml:space="preserve"> </w:t>
      </w:r>
      <w:r w:rsidR="003977CD">
        <w:t xml:space="preserve">does not </w:t>
      </w:r>
      <w:r w:rsidR="001C514B">
        <w:t xml:space="preserve">have regulations to prevent unnecessary interference with such </w:t>
      </w:r>
      <w:r w:rsidR="00D94E3E">
        <w:t>gear</w:t>
      </w:r>
      <w:r w:rsidR="001C514B">
        <w:t>.</w:t>
      </w:r>
      <w:r w:rsidR="00607751">
        <w:rPr>
          <w:rStyle w:val="FootnoteReference"/>
        </w:rPr>
        <w:footnoteReference w:id="88"/>
      </w:r>
      <w:r w:rsidR="001C514B">
        <w:t xml:space="preserve">  </w:t>
      </w:r>
    </w:p>
    <w:p w:rsidR="008A5A68" w:rsidRDefault="008A5A68" w:rsidP="008504A4">
      <w:pPr>
        <w:pStyle w:val="standard"/>
      </w:pPr>
      <w:r>
        <w:t xml:space="preserve">PG&amp;E and SCE represent that they are aware of CMRS installations on joint-use poles that interfere with fall-protection </w:t>
      </w:r>
      <w:r w:rsidR="00D94E3E">
        <w:t>gear</w:t>
      </w:r>
      <w:r>
        <w:t>.</w:t>
      </w:r>
      <w:r w:rsidR="00AB7F4F" w:rsidRPr="00E15E99">
        <w:rPr>
          <w:rStyle w:val="StandardFootnoteReferenceChar"/>
        </w:rPr>
        <w:footnoteReference w:id="89"/>
      </w:r>
      <w:r>
        <w:t xml:space="preserve"> </w:t>
      </w:r>
      <w:r w:rsidR="00CB4CCF">
        <w:t xml:space="preserve"> </w:t>
      </w:r>
      <w:r>
        <w:t>SDG&amp;E is not aware of any such interference</w:t>
      </w:r>
      <w:r w:rsidR="00AA36B6">
        <w:t>, which is to be expected because SDG&amp;E’s pole</w:t>
      </w:r>
      <w:r w:rsidR="00016E52">
        <w:noBreakHyphen/>
      </w:r>
      <w:r w:rsidR="00AA36B6">
        <w:t>attachment agree</w:t>
      </w:r>
      <w:r w:rsidR="003977CD">
        <w:t>me</w:t>
      </w:r>
      <w:r w:rsidR="00AA36B6">
        <w:t>nts prohibit such interference</w:t>
      </w:r>
      <w:r>
        <w:t xml:space="preserve">.  </w:t>
      </w:r>
    </w:p>
    <w:p w:rsidR="00DE4FAC" w:rsidRDefault="003F739E" w:rsidP="008504A4">
      <w:pPr>
        <w:pStyle w:val="standard"/>
      </w:pPr>
      <w:r>
        <w:t xml:space="preserve">The Electric IOUs acknowledge that non-CMRS pole attachments can also interfere with fall-protection </w:t>
      </w:r>
      <w:r w:rsidR="00D94E3E">
        <w:t>gear</w:t>
      </w:r>
      <w:r>
        <w:t xml:space="preserve">.  In fact, SCE admits that it currently </w:t>
      </w:r>
      <w:r w:rsidR="00327D29">
        <w:t>installs</w:t>
      </w:r>
      <w:r>
        <w:t xml:space="preserve"> </w:t>
      </w:r>
      <w:r w:rsidR="00D94E3E">
        <w:t>gear</w:t>
      </w:r>
      <w:r>
        <w:t xml:space="preserve"> in a way that causes interference.  </w:t>
      </w:r>
      <w:r w:rsidR="006C073B">
        <w:t xml:space="preserve">This is not true of the other Electric IOUs, however.  </w:t>
      </w:r>
      <w:r w:rsidR="006A1481">
        <w:t xml:space="preserve">SDG&amp;E </w:t>
      </w:r>
      <w:r w:rsidR="003977CD">
        <w:t>asserts</w:t>
      </w:r>
      <w:r w:rsidR="006A1481">
        <w:t xml:space="preserve"> that it</w:t>
      </w:r>
      <w:r w:rsidR="00366457">
        <w:t xml:space="preserve">s </w:t>
      </w:r>
      <w:r w:rsidR="006A1481">
        <w:t xml:space="preserve">pole attachments </w:t>
      </w:r>
      <w:r w:rsidR="00366457">
        <w:t xml:space="preserve">do not </w:t>
      </w:r>
      <w:r w:rsidR="006A1481">
        <w:t xml:space="preserve">interfere with fall-protection </w:t>
      </w:r>
      <w:r w:rsidR="00FD459E">
        <w:t>gear</w:t>
      </w:r>
      <w:r w:rsidR="006A1481">
        <w:t xml:space="preserve">, and PG&amp;E is not aware of any of its </w:t>
      </w:r>
      <w:r w:rsidR="00366457">
        <w:t>attachments</w:t>
      </w:r>
      <w:r w:rsidR="006A1481">
        <w:t xml:space="preserve"> interfering with fall-protection </w:t>
      </w:r>
      <w:r w:rsidR="00FD459E">
        <w:t>gear</w:t>
      </w:r>
      <w:r w:rsidR="006A1481">
        <w:t xml:space="preserve">. </w:t>
      </w:r>
    </w:p>
    <w:p w:rsidR="00AB7F4F" w:rsidRDefault="00981167" w:rsidP="00AB7F4F">
      <w:pPr>
        <w:pStyle w:val="standard"/>
      </w:pPr>
      <w:r>
        <w:t xml:space="preserve">The Electric IOUs dismiss the objection </w:t>
      </w:r>
      <w:r w:rsidR="00327D29">
        <w:t>raised</w:t>
      </w:r>
      <w:r>
        <w:t xml:space="preserve"> by several parties, summarized below, that the terms “unnecessary impairment” and “unnecessary interference” in the Electric IOUs’ proposed Rule 94.6-C are vague.  The</w:t>
      </w:r>
      <w:r w:rsidR="00455194" w:rsidRPr="009D68E0">
        <w:t xml:space="preserve"> </w:t>
      </w:r>
      <w:r w:rsidR="00455194" w:rsidRPr="009D68E0">
        <w:lastRenderedPageBreak/>
        <w:t>Electric</w:t>
      </w:r>
      <w:r w:rsidR="002665CE">
        <w:t> </w:t>
      </w:r>
      <w:r w:rsidR="00455194" w:rsidRPr="009D68E0">
        <w:t xml:space="preserve">IOUs </w:t>
      </w:r>
      <w:r>
        <w:t>respond that these are c</w:t>
      </w:r>
      <w:r w:rsidR="00455194" w:rsidRPr="009D68E0">
        <w:t>ommonly used term</w:t>
      </w:r>
      <w:r>
        <w:t>s</w:t>
      </w:r>
      <w:r w:rsidR="00455194" w:rsidRPr="009D68E0">
        <w:t xml:space="preserve"> </w:t>
      </w:r>
      <w:r>
        <w:t>that are well understood</w:t>
      </w:r>
      <w:r w:rsidR="00455194" w:rsidRPr="009D68E0">
        <w:t xml:space="preserve">.  </w:t>
      </w:r>
      <w:r w:rsidR="00AB7F4F">
        <w:t xml:space="preserve">They cite Rule 84.7(A)(5)(f) as an example, which </w:t>
      </w:r>
      <w:r w:rsidR="00EB0B36">
        <w:t xml:space="preserve">states that </w:t>
      </w:r>
      <w:r w:rsidR="00AB7F4F">
        <w:t>“</w:t>
      </w:r>
      <w:r w:rsidR="00AB7F4F" w:rsidRPr="00AB7F4F">
        <w:t>Unnecessary impairment of the climbing space is not</w:t>
      </w:r>
      <w:r w:rsidR="00AB7F4F">
        <w:t xml:space="preserve"> </w:t>
      </w:r>
      <w:r w:rsidR="00AB7F4F" w:rsidRPr="00AB7F4F">
        <w:t>permitted by the application of</w:t>
      </w:r>
      <w:r w:rsidR="00AB7F4F">
        <w:t>…</w:t>
      </w:r>
      <w:r w:rsidR="00AB7F4F" w:rsidRPr="00AB7F4F">
        <w:t xml:space="preserve"> Rule 84.7-E.</w:t>
      </w:r>
      <w:r w:rsidR="00AB7F4F">
        <w:t>”</w:t>
      </w:r>
    </w:p>
    <w:p w:rsidR="003526D9" w:rsidRDefault="0028757E" w:rsidP="003526D9">
      <w:pPr>
        <w:pStyle w:val="standard"/>
      </w:pPr>
      <w:r>
        <w:t xml:space="preserve">The Electric IOUs </w:t>
      </w:r>
      <w:r w:rsidR="00EB0B36">
        <w:t xml:space="preserve">reject </w:t>
      </w:r>
      <w:r w:rsidR="003526D9">
        <w:t xml:space="preserve">the </w:t>
      </w:r>
      <w:r w:rsidR="006C073B">
        <w:t>O</w:t>
      </w:r>
      <w:r w:rsidR="003526D9">
        <w:t xml:space="preserve">pponents’ objection, summarized below, </w:t>
      </w:r>
      <w:r w:rsidR="00BD304C">
        <w:t xml:space="preserve">that </w:t>
      </w:r>
      <w:r w:rsidR="003526D9">
        <w:t>the Electric</w:t>
      </w:r>
      <w:r w:rsidR="00BD304C">
        <w:t> </w:t>
      </w:r>
      <w:r w:rsidR="003526D9">
        <w:t xml:space="preserve">IOUs’ proposed Rule 94.6-C is discriminatory </w:t>
      </w:r>
      <w:r w:rsidR="00455194" w:rsidRPr="009D68E0">
        <w:t xml:space="preserve">because it would </w:t>
      </w:r>
      <w:r w:rsidR="008B0549">
        <w:t>apply only</w:t>
      </w:r>
      <w:r w:rsidR="00455194" w:rsidRPr="009D68E0">
        <w:t xml:space="preserve"> to CMRS attachments</w:t>
      </w:r>
      <w:r w:rsidR="003526D9">
        <w:t xml:space="preserve"> and</w:t>
      </w:r>
      <w:r w:rsidR="00580259">
        <w:t>,</w:t>
      </w:r>
      <w:r w:rsidR="003526D9">
        <w:t xml:space="preserve"> therefore</w:t>
      </w:r>
      <w:r w:rsidR="00580259">
        <w:t>,</w:t>
      </w:r>
      <w:r w:rsidR="003526D9">
        <w:t xml:space="preserve"> </w:t>
      </w:r>
      <w:r w:rsidR="00580259">
        <w:t>should not be addressed in</w:t>
      </w:r>
      <w:r w:rsidR="003526D9">
        <w:t xml:space="preserve"> this proceeding</w:t>
      </w:r>
      <w:r>
        <w:t>.  T</w:t>
      </w:r>
      <w:r w:rsidR="00455194" w:rsidRPr="009D68E0">
        <w:t xml:space="preserve">he </w:t>
      </w:r>
      <w:r w:rsidR="00327D29">
        <w:t>Electric</w:t>
      </w:r>
      <w:r w:rsidR="003526D9">
        <w:t xml:space="preserve"> IOUs </w:t>
      </w:r>
      <w:r>
        <w:t xml:space="preserve">respond that the Scoping Memo </w:t>
      </w:r>
      <w:r w:rsidR="00455194" w:rsidRPr="009D68E0">
        <w:t>determined that propos</w:t>
      </w:r>
      <w:r w:rsidR="00EB0B36">
        <w:t xml:space="preserve">als </w:t>
      </w:r>
      <w:r w:rsidR="00455194" w:rsidRPr="009D68E0">
        <w:t>to prohibit unnecessary impairment of climbing space or interference with fall-</w:t>
      </w:r>
      <w:r w:rsidR="006C073B">
        <w:t>protection</w:t>
      </w:r>
      <w:r w:rsidR="00455194" w:rsidRPr="009D68E0">
        <w:t xml:space="preserve"> </w:t>
      </w:r>
      <w:r w:rsidR="00FD459E">
        <w:t>gear</w:t>
      </w:r>
      <w:r w:rsidR="00455194" w:rsidRPr="009D68E0">
        <w:t xml:space="preserve"> </w:t>
      </w:r>
      <w:r>
        <w:t>are</w:t>
      </w:r>
      <w:r w:rsidR="00455194" w:rsidRPr="009D68E0">
        <w:t xml:space="preserve"> within the scope of this proceeding.</w:t>
      </w:r>
      <w:r w:rsidR="00455194" w:rsidRPr="00E15E99">
        <w:rPr>
          <w:rStyle w:val="StandardFootnoteReferenceChar"/>
        </w:rPr>
        <w:footnoteReference w:id="90"/>
      </w:r>
      <w:r w:rsidR="00455194" w:rsidRPr="009D68E0">
        <w:t xml:space="preserve">  </w:t>
      </w:r>
    </w:p>
    <w:p w:rsidR="00677CCC" w:rsidRDefault="00126282" w:rsidP="00126282">
      <w:pPr>
        <w:pStyle w:val="standard"/>
      </w:pPr>
      <w:r>
        <w:t>The Electric IOUs</w:t>
      </w:r>
      <w:r w:rsidR="00952C67">
        <w:t>’</w:t>
      </w:r>
      <w:r>
        <w:t xml:space="preserve"> proposed Rule 94.6-C is supported by </w:t>
      </w:r>
      <w:r w:rsidR="009A7E31">
        <w:t xml:space="preserve">CFC and </w:t>
      </w:r>
      <w:r>
        <w:t>IBEW 1245</w:t>
      </w:r>
      <w:r w:rsidR="009A7E31">
        <w:t>.</w:t>
      </w:r>
      <w:r>
        <w:t xml:space="preserve">  </w:t>
      </w:r>
      <w:r w:rsidR="00677CCC">
        <w:t xml:space="preserve">IBEW 1245 </w:t>
      </w:r>
      <w:r w:rsidR="00B60ED2">
        <w:t>states</w:t>
      </w:r>
      <w:r w:rsidR="00677CCC">
        <w:t xml:space="preserve"> that </w:t>
      </w:r>
      <w:r w:rsidR="00952C67">
        <w:t xml:space="preserve">worker safety is degraded </w:t>
      </w:r>
      <w:r w:rsidR="00B60ED2">
        <w:t xml:space="preserve">when </w:t>
      </w:r>
      <w:r w:rsidR="00677CCC">
        <w:t xml:space="preserve">large </w:t>
      </w:r>
      <w:r w:rsidR="009649D8">
        <w:t xml:space="preserve">CMRS </w:t>
      </w:r>
      <w:r w:rsidR="00677CCC">
        <w:t xml:space="preserve">equipment </w:t>
      </w:r>
      <w:r w:rsidR="00EB0B36">
        <w:t>is</w:t>
      </w:r>
      <w:r w:rsidR="00B60ED2">
        <w:t xml:space="preserve"> </w:t>
      </w:r>
      <w:r w:rsidR="00677CCC">
        <w:t>attached to the non</w:t>
      </w:r>
      <w:r w:rsidR="00677CCC">
        <w:noBreakHyphen/>
        <w:t>climbing side of a po</w:t>
      </w:r>
      <w:r w:rsidR="00677CCC" w:rsidRPr="00432AB7">
        <w:t>l</w:t>
      </w:r>
      <w:r w:rsidR="00677CCC">
        <w:t xml:space="preserve">e </w:t>
      </w:r>
      <w:r w:rsidR="00B60ED2">
        <w:t xml:space="preserve">in a way that does not allow </w:t>
      </w:r>
      <w:r w:rsidR="00677CCC">
        <w:t>worker</w:t>
      </w:r>
      <w:r w:rsidR="00B60ED2">
        <w:t>s</w:t>
      </w:r>
      <w:r w:rsidR="00677CCC">
        <w:t xml:space="preserve"> to be </w:t>
      </w:r>
      <w:r w:rsidR="00A411CD">
        <w:t>belted</w:t>
      </w:r>
      <w:r w:rsidR="00677CCC" w:rsidRPr="00D0355E">
        <w:t xml:space="preserve"> </w:t>
      </w:r>
      <w:r w:rsidR="00B60ED2">
        <w:t xml:space="preserve">to the pole </w:t>
      </w:r>
      <w:r w:rsidR="00677CCC">
        <w:t>at all ti</w:t>
      </w:r>
      <w:r w:rsidR="00677CCC" w:rsidRPr="00930429">
        <w:t>m</w:t>
      </w:r>
      <w:r w:rsidR="00677CCC">
        <w:t>es while asce</w:t>
      </w:r>
      <w:r w:rsidR="00677CCC" w:rsidRPr="00D0355E">
        <w:t>n</w:t>
      </w:r>
      <w:r w:rsidR="00677CCC">
        <w:t xml:space="preserve">ding or descending a pole.  </w:t>
      </w:r>
      <w:r w:rsidR="00952C67">
        <w:t>IBEW 1245 believes the Electric IOUs’ proposed Rule</w:t>
      </w:r>
      <w:r w:rsidR="009649D8">
        <w:t> </w:t>
      </w:r>
      <w:r w:rsidR="00952C67">
        <w:t>94.6</w:t>
      </w:r>
      <w:r w:rsidR="009649D8">
        <w:noBreakHyphen/>
      </w:r>
      <w:r w:rsidR="00952C67">
        <w:t xml:space="preserve">C would improve safety by requiring that CMRS pole attachments must not create problems for workers belted to the pole.  </w:t>
      </w:r>
    </w:p>
    <w:p w:rsidR="00126282" w:rsidRDefault="00126282" w:rsidP="008504A4">
      <w:pPr>
        <w:pStyle w:val="standard"/>
      </w:pPr>
      <w:r>
        <w:t>TURN takes a neutral position</w:t>
      </w:r>
      <w:r w:rsidR="00B60ED2">
        <w:t xml:space="preserve"> on the Electric IOUs’ proposed Rule 94.6</w:t>
      </w:r>
      <w:r w:rsidR="00B60ED2">
        <w:noBreakHyphen/>
        <w:t>C</w:t>
      </w:r>
      <w:r>
        <w:t xml:space="preserve">.  </w:t>
      </w:r>
      <w:r w:rsidR="002777A6">
        <w:t xml:space="preserve">TURN does not anticipate that the proposed rule </w:t>
      </w:r>
      <w:r w:rsidR="00B60ED2">
        <w:t>will</w:t>
      </w:r>
      <w:r w:rsidR="002777A6">
        <w:t xml:space="preserve"> have substantial cost impacts on ratepayers.  </w:t>
      </w:r>
    </w:p>
    <w:p w:rsidR="00386621" w:rsidRDefault="00DA1608" w:rsidP="008504A4">
      <w:pPr>
        <w:pStyle w:val="standard"/>
        <w:rPr>
          <w:szCs w:val="24"/>
        </w:rPr>
      </w:pPr>
      <w:r>
        <w:t>The Electric IOUs’ proposed Rule 94.6-C is</w:t>
      </w:r>
      <w:r w:rsidR="00126282">
        <w:t xml:space="preserve"> opposed by AT&amp;T Mobility, JVSV, CCTA, CTIA, PCIA, and SED.</w:t>
      </w:r>
      <w:r w:rsidR="00EB0B36">
        <w:t xml:space="preserve">  </w:t>
      </w:r>
      <w:r w:rsidR="00E42C4C">
        <w:t>AT&amp;T Mobility</w:t>
      </w:r>
      <w:r w:rsidR="00386621">
        <w:t xml:space="preserve">, </w:t>
      </w:r>
      <w:r w:rsidR="00E42C4C">
        <w:t>CTIA</w:t>
      </w:r>
      <w:r w:rsidR="00386621">
        <w:t>, and PCIA</w:t>
      </w:r>
      <w:r w:rsidR="00E42C4C">
        <w:t xml:space="preserve"> </w:t>
      </w:r>
      <w:r w:rsidR="00120A8A">
        <w:t xml:space="preserve">raise several objections.  First, </w:t>
      </w:r>
      <w:r w:rsidR="00350D9C">
        <w:rPr>
          <w:szCs w:val="24"/>
        </w:rPr>
        <w:t xml:space="preserve">they </w:t>
      </w:r>
      <w:r w:rsidR="00E17344">
        <w:rPr>
          <w:szCs w:val="24"/>
        </w:rPr>
        <w:t xml:space="preserve">contend there is no demonstrated need for the </w:t>
      </w:r>
      <w:r w:rsidR="00A411CD">
        <w:rPr>
          <w:szCs w:val="24"/>
        </w:rPr>
        <w:t xml:space="preserve">rule </w:t>
      </w:r>
      <w:r w:rsidR="00E17344">
        <w:rPr>
          <w:szCs w:val="24"/>
        </w:rPr>
        <w:t>because CMRS</w:t>
      </w:r>
      <w:r w:rsidR="00A411CD">
        <w:rPr>
          <w:szCs w:val="24"/>
        </w:rPr>
        <w:t> </w:t>
      </w:r>
      <w:r w:rsidR="00E17344">
        <w:rPr>
          <w:szCs w:val="24"/>
        </w:rPr>
        <w:t xml:space="preserve">carriers work </w:t>
      </w:r>
      <w:r w:rsidR="00350D9C">
        <w:rPr>
          <w:szCs w:val="24"/>
        </w:rPr>
        <w:t xml:space="preserve">closely </w:t>
      </w:r>
      <w:r w:rsidR="00E17344">
        <w:rPr>
          <w:szCs w:val="24"/>
        </w:rPr>
        <w:t xml:space="preserve">with pole owners to comply with Federal </w:t>
      </w:r>
      <w:r w:rsidR="00E17344">
        <w:rPr>
          <w:szCs w:val="24"/>
        </w:rPr>
        <w:lastRenderedPageBreak/>
        <w:t xml:space="preserve">and California OSHA requirements.  </w:t>
      </w:r>
      <w:r w:rsidR="00A411CD">
        <w:rPr>
          <w:szCs w:val="24"/>
        </w:rPr>
        <w:t xml:space="preserve">The existing practice is working, according to </w:t>
      </w:r>
      <w:r w:rsidR="00E17344">
        <w:rPr>
          <w:szCs w:val="24"/>
        </w:rPr>
        <w:t>AT&amp;T Mobility</w:t>
      </w:r>
      <w:r w:rsidR="00A411CD">
        <w:rPr>
          <w:szCs w:val="24"/>
        </w:rPr>
        <w:t xml:space="preserve">, because none </w:t>
      </w:r>
      <w:r w:rsidR="00386621">
        <w:rPr>
          <w:szCs w:val="24"/>
        </w:rPr>
        <w:t xml:space="preserve">of its </w:t>
      </w:r>
      <w:r w:rsidR="00E17344">
        <w:rPr>
          <w:szCs w:val="24"/>
        </w:rPr>
        <w:t xml:space="preserve">pole attachments interferes with fall-protection </w:t>
      </w:r>
      <w:r w:rsidR="00FD459E">
        <w:rPr>
          <w:szCs w:val="24"/>
        </w:rPr>
        <w:t>gear</w:t>
      </w:r>
      <w:r w:rsidR="00A411CD">
        <w:rPr>
          <w:szCs w:val="24"/>
        </w:rPr>
        <w:t xml:space="preserve">, to </w:t>
      </w:r>
      <w:r w:rsidR="005C2349">
        <w:rPr>
          <w:szCs w:val="24"/>
        </w:rPr>
        <w:t xml:space="preserve">the </w:t>
      </w:r>
      <w:r w:rsidR="00A411CD">
        <w:rPr>
          <w:szCs w:val="24"/>
        </w:rPr>
        <w:t>best of AT&amp;T Mobility’s knowledge</w:t>
      </w:r>
      <w:r w:rsidR="00E17344">
        <w:rPr>
          <w:szCs w:val="24"/>
        </w:rPr>
        <w:t xml:space="preserve">.  </w:t>
      </w:r>
    </w:p>
    <w:p w:rsidR="00386621" w:rsidRDefault="00120A8A" w:rsidP="008504A4">
      <w:pPr>
        <w:pStyle w:val="standard"/>
      </w:pPr>
      <w:r>
        <w:rPr>
          <w:szCs w:val="24"/>
        </w:rPr>
        <w:t xml:space="preserve">Second, </w:t>
      </w:r>
      <w:r w:rsidR="00E17344">
        <w:t>AT&amp;T Mobility</w:t>
      </w:r>
      <w:r w:rsidR="00386621">
        <w:t xml:space="preserve">, </w:t>
      </w:r>
      <w:r w:rsidR="00E17344">
        <w:t>CTIA</w:t>
      </w:r>
      <w:r w:rsidR="00386621">
        <w:t>, and PCIA</w:t>
      </w:r>
      <w:r w:rsidR="00E17344">
        <w:t xml:space="preserve"> contend the Electric IOUs’ proposed </w:t>
      </w:r>
      <w:r w:rsidR="00386621">
        <w:t xml:space="preserve">rule </w:t>
      </w:r>
      <w:r w:rsidR="00E17344">
        <w:t xml:space="preserve">is discriminatory because it would apply only </w:t>
      </w:r>
      <w:r w:rsidR="005C2349">
        <w:t xml:space="preserve">to </w:t>
      </w:r>
      <w:r w:rsidR="00E17344">
        <w:t xml:space="preserve">CMRS attachments, and not </w:t>
      </w:r>
      <w:r w:rsidR="002F4AB3">
        <w:t xml:space="preserve">to </w:t>
      </w:r>
      <w:r w:rsidR="00E17344">
        <w:t xml:space="preserve">attachments by Electric IOUs, </w:t>
      </w:r>
      <w:r w:rsidR="00952C67">
        <w:t xml:space="preserve">communication carriers, and </w:t>
      </w:r>
      <w:r w:rsidR="00E17344">
        <w:t xml:space="preserve">CATV corporations.  </w:t>
      </w:r>
      <w:r w:rsidR="00F075BD">
        <w:t xml:space="preserve">PCIA adds that no party has demonstrated that CMRS </w:t>
      </w:r>
      <w:r w:rsidR="00327D29">
        <w:t>installations</w:t>
      </w:r>
      <w:r w:rsidR="00F075BD">
        <w:t xml:space="preserve"> </w:t>
      </w:r>
      <w:r w:rsidR="00327D29">
        <w:t>uniquely</w:t>
      </w:r>
      <w:r w:rsidR="00F075BD">
        <w:t xml:space="preserve"> interfere with fall-protection </w:t>
      </w:r>
      <w:r w:rsidR="00FD459E">
        <w:t>gear</w:t>
      </w:r>
      <w:r w:rsidR="00F075BD">
        <w:t>.  To the contrary, SCE admits that it</w:t>
      </w:r>
      <w:r w:rsidR="009649D8">
        <w:t>s</w:t>
      </w:r>
      <w:r w:rsidR="00F075BD">
        <w:t xml:space="preserve"> electric utility attachments cause such interference.  </w:t>
      </w:r>
    </w:p>
    <w:p w:rsidR="00E17344" w:rsidRDefault="00120A8A" w:rsidP="008504A4">
      <w:pPr>
        <w:pStyle w:val="standard"/>
      </w:pPr>
      <w:r>
        <w:t xml:space="preserve">Finally, </w:t>
      </w:r>
      <w:r w:rsidR="00E17344">
        <w:t>AT&amp;T Mobility and CCTA are concerned that the phrase “unnecessary impairment of climbing space or interference with fall restraint</w:t>
      </w:r>
      <w:r>
        <w:t xml:space="preserve"> and fall protection equipment</w:t>
      </w:r>
      <w:r w:rsidR="00E17344">
        <w:t xml:space="preserve">” </w:t>
      </w:r>
      <w:r w:rsidRPr="00F95AB5">
        <w:rPr>
          <w:szCs w:val="24"/>
        </w:rPr>
        <w:t xml:space="preserve">is vague and could be used to deny access to poles.  </w:t>
      </w:r>
    </w:p>
    <w:p w:rsidR="00E42C4C" w:rsidRDefault="00A62B25" w:rsidP="008504A4">
      <w:pPr>
        <w:pStyle w:val="standard"/>
      </w:pPr>
      <w:r>
        <w:t>S</w:t>
      </w:r>
      <w:r w:rsidR="00120A8A">
        <w:t xml:space="preserve">ED agrees </w:t>
      </w:r>
      <w:r>
        <w:t xml:space="preserve">with the other </w:t>
      </w:r>
      <w:r w:rsidR="00952C67">
        <w:t>O</w:t>
      </w:r>
      <w:r>
        <w:t xml:space="preserve">pponents </w:t>
      </w:r>
      <w:r w:rsidR="00120A8A">
        <w:t xml:space="preserve">that the </w:t>
      </w:r>
      <w:r>
        <w:t xml:space="preserve">Electric IOUs’ proposed rule </w:t>
      </w:r>
      <w:r w:rsidR="00120A8A">
        <w:t xml:space="preserve">is vague, which would make the rule difficult to enforce.  </w:t>
      </w:r>
    </w:p>
    <w:p w:rsidR="00DE4FAC" w:rsidRDefault="00D24D68" w:rsidP="00A845DC">
      <w:pPr>
        <w:pStyle w:val="Heading5"/>
      </w:pPr>
      <w:bookmarkStart w:id="92" w:name="_Toc436647352"/>
      <w:r>
        <w:t>AT&amp;T Mobility</w:t>
      </w:r>
      <w:r w:rsidR="009928FF">
        <w:noBreakHyphen/>
      </w:r>
      <w:r>
        <w:t xml:space="preserve">CTIA </w:t>
      </w:r>
      <w:r w:rsidR="00DE4FAC">
        <w:t>Propos</w:t>
      </w:r>
      <w:r w:rsidR="00AD234B">
        <w:t>al</w:t>
      </w:r>
      <w:bookmarkEnd w:id="92"/>
    </w:p>
    <w:p w:rsidR="00DE4FAC" w:rsidRDefault="0095117F" w:rsidP="008504A4">
      <w:pPr>
        <w:pStyle w:val="standard"/>
      </w:pPr>
      <w:r>
        <w:t xml:space="preserve">AT&amp;T </w:t>
      </w:r>
      <w:r w:rsidR="00BD5D12">
        <w:t xml:space="preserve">Mobility </w:t>
      </w:r>
      <w:r>
        <w:t xml:space="preserve">and CTIA’s </w:t>
      </w:r>
      <w:r w:rsidR="002A0B04">
        <w:t xml:space="preserve">proposed Rule 94.6-C </w:t>
      </w:r>
      <w:r w:rsidR="002A0B04" w:rsidRPr="00924D84">
        <w:rPr>
          <w:bCs/>
          <w:szCs w:val="24"/>
        </w:rPr>
        <w:t>is</w:t>
      </w:r>
      <w:r w:rsidR="002A0B04">
        <w:rPr>
          <w:bCs/>
          <w:szCs w:val="24"/>
        </w:rPr>
        <w:t xml:space="preserve"> intended to reduce the chance </w:t>
      </w:r>
      <w:r w:rsidR="002A0B04" w:rsidRPr="00924D84">
        <w:rPr>
          <w:bCs/>
          <w:szCs w:val="24"/>
        </w:rPr>
        <w:t>that wireless attachments may in</w:t>
      </w:r>
      <w:r w:rsidR="00BD5D12">
        <w:rPr>
          <w:bCs/>
          <w:szCs w:val="24"/>
        </w:rPr>
        <w:t>terfere unnecessarily with fall-</w:t>
      </w:r>
      <w:r w:rsidR="002A0B04" w:rsidRPr="00924D84">
        <w:rPr>
          <w:bCs/>
          <w:szCs w:val="24"/>
        </w:rPr>
        <w:t xml:space="preserve">protection </w:t>
      </w:r>
      <w:r w:rsidR="00FD459E">
        <w:rPr>
          <w:bCs/>
          <w:szCs w:val="24"/>
        </w:rPr>
        <w:t>gear</w:t>
      </w:r>
      <w:r w:rsidR="002A0B04" w:rsidRPr="00924D84">
        <w:rPr>
          <w:bCs/>
          <w:szCs w:val="24"/>
        </w:rPr>
        <w:t>.</w:t>
      </w:r>
      <w:r w:rsidR="002A0B04">
        <w:rPr>
          <w:bCs/>
          <w:szCs w:val="24"/>
        </w:rPr>
        <w:t xml:space="preserve">  </w:t>
      </w:r>
      <w:r w:rsidR="00BD5D12">
        <w:t>AT&amp;T Mobility and CTIA</w:t>
      </w:r>
      <w:r w:rsidR="00BD5D12">
        <w:rPr>
          <w:bCs/>
          <w:szCs w:val="24"/>
        </w:rPr>
        <w:t xml:space="preserve"> </w:t>
      </w:r>
      <w:r w:rsidR="002A0B04">
        <w:rPr>
          <w:bCs/>
          <w:szCs w:val="24"/>
        </w:rPr>
        <w:t xml:space="preserve">emphasize that their proposed rule </w:t>
      </w:r>
      <w:r w:rsidR="00952C67">
        <w:rPr>
          <w:bCs/>
          <w:szCs w:val="24"/>
        </w:rPr>
        <w:t>is</w:t>
      </w:r>
      <w:r w:rsidR="002A0B04">
        <w:rPr>
          <w:bCs/>
          <w:szCs w:val="24"/>
        </w:rPr>
        <w:t xml:space="preserve"> not an admission that CMRS attachments </w:t>
      </w:r>
      <w:r w:rsidR="00327D29">
        <w:rPr>
          <w:bCs/>
          <w:szCs w:val="24"/>
        </w:rPr>
        <w:t>cause</w:t>
      </w:r>
      <w:r w:rsidR="007A49B3">
        <w:rPr>
          <w:bCs/>
          <w:szCs w:val="24"/>
        </w:rPr>
        <w:t xml:space="preserve"> disproportionate interference.  </w:t>
      </w:r>
      <w:r>
        <w:rPr>
          <w:bCs/>
          <w:szCs w:val="24"/>
        </w:rPr>
        <w:t xml:space="preserve">Rather, it is a good-faith </w:t>
      </w:r>
      <w:r w:rsidR="009649D8">
        <w:rPr>
          <w:bCs/>
          <w:szCs w:val="24"/>
        </w:rPr>
        <w:t>effort</w:t>
      </w:r>
      <w:r>
        <w:rPr>
          <w:bCs/>
          <w:szCs w:val="24"/>
        </w:rPr>
        <w:t xml:space="preserve"> to address unnecessary interference with respect to a subset of pole attachments (i.e., wireless attachments).</w:t>
      </w:r>
    </w:p>
    <w:p w:rsidR="00DE4FAC" w:rsidRDefault="0095117F" w:rsidP="0095117F">
      <w:pPr>
        <w:pStyle w:val="standard"/>
      </w:pPr>
      <w:r>
        <w:t xml:space="preserve">To reduce possible </w:t>
      </w:r>
      <w:r w:rsidR="00FC073E">
        <w:t xml:space="preserve">disputes and </w:t>
      </w:r>
      <w:r>
        <w:t xml:space="preserve">confusion about what </w:t>
      </w:r>
      <w:r w:rsidR="00327D29">
        <w:t>constitutes</w:t>
      </w:r>
      <w:r>
        <w:t xml:space="preserve"> “unnecessary interference” with fall</w:t>
      </w:r>
      <w:r w:rsidR="00BD5D12">
        <w:noBreakHyphen/>
      </w:r>
      <w:r>
        <w:t xml:space="preserve">protection </w:t>
      </w:r>
      <w:r w:rsidR="003B0769">
        <w:t>gear</w:t>
      </w:r>
      <w:r>
        <w:t xml:space="preserve">, </w:t>
      </w:r>
      <w:r w:rsidR="00BD5D12">
        <w:t>AT&amp;T Mobility and CTIA</w:t>
      </w:r>
      <w:r>
        <w:t>’</w:t>
      </w:r>
      <w:r w:rsidR="00952C67">
        <w:t>s</w:t>
      </w:r>
      <w:r>
        <w:t xml:space="preserve"> proposed Rule 94.6-C includes the following examples of attachments that do not </w:t>
      </w:r>
      <w:r w:rsidR="002579AF">
        <w:t xml:space="preserve">cause unnecessary </w:t>
      </w:r>
      <w:r w:rsidRPr="00CE4229">
        <w:rPr>
          <w:bCs/>
          <w:szCs w:val="24"/>
        </w:rPr>
        <w:t>interfere</w:t>
      </w:r>
      <w:r w:rsidR="002579AF">
        <w:rPr>
          <w:bCs/>
          <w:szCs w:val="24"/>
        </w:rPr>
        <w:t xml:space="preserve">nce:  </w:t>
      </w:r>
      <w:r>
        <w:t xml:space="preserve"> </w:t>
      </w:r>
    </w:p>
    <w:p w:rsidR="0095117F" w:rsidRPr="007E022C" w:rsidRDefault="0095117F" w:rsidP="0095117F">
      <w:pPr>
        <w:pStyle w:val="standard"/>
        <w:tabs>
          <w:tab w:val="left" w:pos="1080"/>
        </w:tabs>
        <w:spacing w:after="120" w:line="240" w:lineRule="auto"/>
        <w:ind w:left="1080" w:right="720" w:hanging="360"/>
        <w:rPr>
          <w:bCs/>
          <w:szCs w:val="24"/>
        </w:rPr>
      </w:pPr>
      <w:r>
        <w:rPr>
          <w:bCs/>
          <w:szCs w:val="24"/>
        </w:rPr>
        <w:lastRenderedPageBreak/>
        <w:t xml:space="preserve">1. </w:t>
      </w:r>
      <w:r>
        <w:rPr>
          <w:bCs/>
          <w:szCs w:val="24"/>
        </w:rPr>
        <w:tab/>
      </w:r>
      <w:r w:rsidRPr="007E022C">
        <w:rPr>
          <w:bCs/>
          <w:szCs w:val="24"/>
        </w:rPr>
        <w:t xml:space="preserve">Equipment that occupies no more than 18 inches of vertical space allows </w:t>
      </w:r>
      <w:r w:rsidR="00A66881">
        <w:rPr>
          <w:bCs/>
          <w:szCs w:val="24"/>
        </w:rPr>
        <w:t>safety</w:t>
      </w:r>
      <w:r w:rsidRPr="007E022C">
        <w:rPr>
          <w:bCs/>
          <w:szCs w:val="24"/>
        </w:rPr>
        <w:t xml:space="preserve"> belts to be simultaneously placed above and below the equipment, thus ensuring </w:t>
      </w:r>
      <w:r w:rsidR="00A66881">
        <w:rPr>
          <w:bCs/>
          <w:szCs w:val="24"/>
        </w:rPr>
        <w:t xml:space="preserve">that one belt </w:t>
      </w:r>
      <w:r w:rsidRPr="007E022C">
        <w:rPr>
          <w:bCs/>
          <w:szCs w:val="24"/>
        </w:rPr>
        <w:t xml:space="preserve">can </w:t>
      </w:r>
      <w:r w:rsidR="00A66881">
        <w:rPr>
          <w:bCs/>
          <w:szCs w:val="24"/>
        </w:rPr>
        <w:t>be</w:t>
      </w:r>
      <w:r w:rsidRPr="007E022C">
        <w:rPr>
          <w:bCs/>
          <w:szCs w:val="24"/>
        </w:rPr>
        <w:t xml:space="preserve"> in place at all times during climbing.</w:t>
      </w:r>
    </w:p>
    <w:p w:rsidR="0095117F" w:rsidRPr="007E022C" w:rsidRDefault="0095117F" w:rsidP="00952C67">
      <w:pPr>
        <w:pStyle w:val="standard"/>
        <w:keepLines/>
        <w:tabs>
          <w:tab w:val="left" w:pos="1080"/>
        </w:tabs>
        <w:spacing w:after="120" w:line="240" w:lineRule="auto"/>
        <w:ind w:left="1080" w:right="720" w:hanging="360"/>
        <w:rPr>
          <w:bCs/>
          <w:szCs w:val="24"/>
        </w:rPr>
      </w:pPr>
      <w:r>
        <w:rPr>
          <w:bCs/>
          <w:szCs w:val="24"/>
        </w:rPr>
        <w:t xml:space="preserve">2. </w:t>
      </w:r>
      <w:r>
        <w:rPr>
          <w:bCs/>
          <w:szCs w:val="24"/>
        </w:rPr>
        <w:tab/>
      </w:r>
      <w:r w:rsidRPr="007E022C">
        <w:rPr>
          <w:bCs/>
          <w:szCs w:val="24"/>
        </w:rPr>
        <w:t xml:space="preserve">Equipment stood off from the pole a minimum of 4 inches allows </w:t>
      </w:r>
      <w:r w:rsidR="00A66881">
        <w:rPr>
          <w:bCs/>
          <w:szCs w:val="24"/>
        </w:rPr>
        <w:t>safety</w:t>
      </w:r>
      <w:r w:rsidRPr="007E022C">
        <w:rPr>
          <w:bCs/>
          <w:szCs w:val="24"/>
        </w:rPr>
        <w:t xml:space="preserve"> belts to be placed between the equipment and the pole, and thus </w:t>
      </w:r>
      <w:r w:rsidR="00FC073E">
        <w:rPr>
          <w:bCs/>
          <w:szCs w:val="24"/>
        </w:rPr>
        <w:t>allows</w:t>
      </w:r>
      <w:r w:rsidRPr="007E022C">
        <w:rPr>
          <w:bCs/>
          <w:szCs w:val="24"/>
        </w:rPr>
        <w:t xml:space="preserve"> fall</w:t>
      </w:r>
      <w:r w:rsidR="00952C67">
        <w:rPr>
          <w:bCs/>
          <w:szCs w:val="24"/>
        </w:rPr>
        <w:t>-</w:t>
      </w:r>
      <w:r w:rsidRPr="007E022C">
        <w:rPr>
          <w:bCs/>
          <w:szCs w:val="24"/>
        </w:rPr>
        <w:t xml:space="preserve">protection </w:t>
      </w:r>
      <w:r w:rsidR="003B0769">
        <w:rPr>
          <w:bCs/>
          <w:szCs w:val="24"/>
        </w:rPr>
        <w:t>gear</w:t>
      </w:r>
      <w:r w:rsidRPr="007E022C">
        <w:rPr>
          <w:bCs/>
          <w:szCs w:val="24"/>
        </w:rPr>
        <w:t xml:space="preserve"> </w:t>
      </w:r>
      <w:r w:rsidR="006D3D68">
        <w:rPr>
          <w:bCs/>
          <w:szCs w:val="24"/>
        </w:rPr>
        <w:t>to</w:t>
      </w:r>
      <w:r w:rsidRPr="007E022C">
        <w:rPr>
          <w:bCs/>
          <w:szCs w:val="24"/>
        </w:rPr>
        <w:t xml:space="preserve"> remain in place at all times during climbing.</w:t>
      </w:r>
    </w:p>
    <w:p w:rsidR="0095117F" w:rsidRPr="007E022C" w:rsidRDefault="0095117F" w:rsidP="0095117F">
      <w:pPr>
        <w:pStyle w:val="standard"/>
        <w:tabs>
          <w:tab w:val="left" w:pos="1080"/>
        </w:tabs>
        <w:spacing w:after="120" w:line="240" w:lineRule="auto"/>
        <w:ind w:left="1080" w:right="720" w:hanging="360"/>
        <w:rPr>
          <w:bCs/>
          <w:szCs w:val="24"/>
        </w:rPr>
      </w:pPr>
      <w:r>
        <w:rPr>
          <w:bCs/>
          <w:szCs w:val="24"/>
        </w:rPr>
        <w:t xml:space="preserve">3. </w:t>
      </w:r>
      <w:r>
        <w:rPr>
          <w:bCs/>
          <w:szCs w:val="24"/>
        </w:rPr>
        <w:tab/>
      </w:r>
      <w:r w:rsidRPr="007E022C">
        <w:rPr>
          <w:bCs/>
          <w:szCs w:val="24"/>
        </w:rPr>
        <w:t xml:space="preserve">Risers, if properly designed and installed, allow </w:t>
      </w:r>
      <w:r w:rsidR="00A66881">
        <w:rPr>
          <w:bCs/>
          <w:szCs w:val="24"/>
        </w:rPr>
        <w:t>safety</w:t>
      </w:r>
      <w:r w:rsidRPr="007E022C">
        <w:rPr>
          <w:bCs/>
          <w:szCs w:val="24"/>
        </w:rPr>
        <w:t xml:space="preserve"> belts to be placed around them, and thus ensure that fall</w:t>
      </w:r>
      <w:r w:rsidR="009649D8">
        <w:rPr>
          <w:bCs/>
          <w:szCs w:val="24"/>
        </w:rPr>
        <w:t>-</w:t>
      </w:r>
      <w:r w:rsidRPr="007E022C">
        <w:rPr>
          <w:bCs/>
          <w:szCs w:val="24"/>
        </w:rPr>
        <w:t xml:space="preserve">protection </w:t>
      </w:r>
      <w:r w:rsidR="003B0769">
        <w:rPr>
          <w:bCs/>
          <w:szCs w:val="24"/>
        </w:rPr>
        <w:t>gear</w:t>
      </w:r>
      <w:r w:rsidRPr="007E022C">
        <w:rPr>
          <w:bCs/>
          <w:szCs w:val="24"/>
        </w:rPr>
        <w:t xml:space="preserve"> can remain in place at all times during climbing.</w:t>
      </w:r>
      <w:r w:rsidR="00041D1D">
        <w:rPr>
          <w:bCs/>
          <w:szCs w:val="24"/>
        </w:rPr>
        <w:t xml:space="preserve">  </w:t>
      </w:r>
    </w:p>
    <w:p w:rsidR="0095117F" w:rsidRPr="007E022C" w:rsidRDefault="0095117F" w:rsidP="00A66881">
      <w:pPr>
        <w:pStyle w:val="standard"/>
        <w:tabs>
          <w:tab w:val="left" w:pos="1080"/>
        </w:tabs>
        <w:spacing w:after="200" w:line="240" w:lineRule="auto"/>
        <w:ind w:left="1080" w:right="720" w:hanging="360"/>
        <w:rPr>
          <w:bCs/>
          <w:szCs w:val="24"/>
        </w:rPr>
      </w:pPr>
      <w:r>
        <w:rPr>
          <w:bCs/>
          <w:szCs w:val="24"/>
        </w:rPr>
        <w:t xml:space="preserve">4. </w:t>
      </w:r>
      <w:r>
        <w:rPr>
          <w:bCs/>
          <w:szCs w:val="24"/>
        </w:rPr>
        <w:tab/>
      </w:r>
      <w:r w:rsidRPr="007E022C">
        <w:rPr>
          <w:bCs/>
          <w:szCs w:val="24"/>
        </w:rPr>
        <w:t>The obstructions identified in Rules 54.7-A</w:t>
      </w:r>
      <w:r w:rsidR="006363B2">
        <w:rPr>
          <w:bCs/>
          <w:szCs w:val="24"/>
        </w:rPr>
        <w:t>(</w:t>
      </w:r>
      <w:r w:rsidRPr="007E022C">
        <w:rPr>
          <w:bCs/>
          <w:szCs w:val="24"/>
        </w:rPr>
        <w:t>2</w:t>
      </w:r>
      <w:r w:rsidR="00952C67">
        <w:rPr>
          <w:bCs/>
          <w:szCs w:val="24"/>
        </w:rPr>
        <w:t>)(</w:t>
      </w:r>
      <w:r w:rsidRPr="007E022C">
        <w:rPr>
          <w:bCs/>
          <w:szCs w:val="24"/>
        </w:rPr>
        <w:t>c</w:t>
      </w:r>
      <w:r w:rsidR="00952C67">
        <w:rPr>
          <w:bCs/>
          <w:szCs w:val="24"/>
        </w:rPr>
        <w:t>)</w:t>
      </w:r>
      <w:r w:rsidRPr="007E022C">
        <w:rPr>
          <w:bCs/>
          <w:szCs w:val="24"/>
        </w:rPr>
        <w:t>(3) and 84.7</w:t>
      </w:r>
      <w:r w:rsidR="009649D8">
        <w:rPr>
          <w:bCs/>
          <w:szCs w:val="24"/>
        </w:rPr>
        <w:noBreakHyphen/>
      </w:r>
      <w:r w:rsidRPr="007E022C">
        <w:rPr>
          <w:bCs/>
          <w:szCs w:val="24"/>
        </w:rPr>
        <w:t xml:space="preserve">A(5) are allowed in climbing space.  </w:t>
      </w:r>
      <w:r w:rsidR="009649D8">
        <w:rPr>
          <w:bCs/>
          <w:szCs w:val="24"/>
        </w:rPr>
        <w:t>A</w:t>
      </w:r>
      <w:r w:rsidRPr="007E022C">
        <w:rPr>
          <w:bCs/>
          <w:szCs w:val="24"/>
        </w:rPr>
        <w:t>ny attachments allowed in the climbing space should also be allowed in the area of the pole used for fall</w:t>
      </w:r>
      <w:r w:rsidR="006363B2">
        <w:rPr>
          <w:bCs/>
          <w:szCs w:val="24"/>
        </w:rPr>
        <w:t>-</w:t>
      </w:r>
      <w:r w:rsidRPr="007E022C">
        <w:rPr>
          <w:bCs/>
          <w:szCs w:val="24"/>
        </w:rPr>
        <w:t xml:space="preserve">protection </w:t>
      </w:r>
      <w:r w:rsidR="003B0769">
        <w:rPr>
          <w:bCs/>
          <w:szCs w:val="24"/>
        </w:rPr>
        <w:t>gear</w:t>
      </w:r>
      <w:r w:rsidR="009649D8">
        <w:rPr>
          <w:bCs/>
          <w:szCs w:val="24"/>
        </w:rPr>
        <w:t>, as belts may be placed around, above, and below these obstructions</w:t>
      </w:r>
      <w:r w:rsidRPr="007E022C">
        <w:rPr>
          <w:bCs/>
          <w:szCs w:val="24"/>
        </w:rPr>
        <w:t>.</w:t>
      </w:r>
    </w:p>
    <w:p w:rsidR="0095117F" w:rsidRDefault="00BD5D12" w:rsidP="0095117F">
      <w:pPr>
        <w:pStyle w:val="standard"/>
      </w:pPr>
      <w:r>
        <w:t>AT&amp;T Mobility and CTIA</w:t>
      </w:r>
      <w:r w:rsidR="00A66881">
        <w:t>’</w:t>
      </w:r>
      <w:r>
        <w:t>s</w:t>
      </w:r>
      <w:r w:rsidR="00A66881">
        <w:t xml:space="preserve"> proposed Rule 94.6-C is supported by CCTA, </w:t>
      </w:r>
      <w:r w:rsidR="00A87663">
        <w:t xml:space="preserve">CFC, </w:t>
      </w:r>
      <w:r w:rsidR="00A66881">
        <w:t xml:space="preserve">IBEW 1245, </w:t>
      </w:r>
      <w:r w:rsidR="00A87663">
        <w:t xml:space="preserve">JVSV, </w:t>
      </w:r>
      <w:r w:rsidR="007A6CE0">
        <w:t xml:space="preserve">PCIA, and PG&amp;E.  CCTA’s </w:t>
      </w:r>
      <w:r w:rsidR="00A66881">
        <w:t xml:space="preserve">support is conditioned on the rule applying only to antenna installations and associated equipment.  </w:t>
      </w:r>
    </w:p>
    <w:p w:rsidR="0095117F" w:rsidRDefault="003A295D" w:rsidP="0095117F">
      <w:pPr>
        <w:pStyle w:val="standard"/>
      </w:pPr>
      <w:r>
        <w:t xml:space="preserve">IBEW 1245 supports the proposed rule with some reservation.  Its preference would be a requirement that all </w:t>
      </w:r>
      <w:r w:rsidR="006363B2">
        <w:t>attachments</w:t>
      </w:r>
      <w:r>
        <w:t xml:space="preserve"> be stood off with brackets that allow a safety belt to be passed by hand around the pole.  </w:t>
      </w:r>
    </w:p>
    <w:p w:rsidR="003A295D" w:rsidRDefault="003A295D" w:rsidP="0095117F">
      <w:pPr>
        <w:pStyle w:val="standard"/>
      </w:pPr>
      <w:r>
        <w:t xml:space="preserve">PCIA agrees with </w:t>
      </w:r>
      <w:r w:rsidR="00244E5E">
        <w:t xml:space="preserve">AT&amp;T Mobility and CTIA </w:t>
      </w:r>
      <w:r>
        <w:t xml:space="preserve">that wireless </w:t>
      </w:r>
      <w:r w:rsidR="00A87663">
        <w:t xml:space="preserve">attachments do not create unique </w:t>
      </w:r>
      <w:r w:rsidR="00327D29">
        <w:t>interference</w:t>
      </w:r>
      <w:r w:rsidR="00A87663">
        <w:t xml:space="preserve"> compared to other types of attachments.  Hence, </w:t>
      </w:r>
      <w:r w:rsidR="00A87663" w:rsidRPr="00BA2DBD">
        <w:rPr>
          <w:bCs/>
          <w:szCs w:val="24"/>
        </w:rPr>
        <w:t xml:space="preserve">PCIA’s </w:t>
      </w:r>
      <w:r w:rsidR="00327D29" w:rsidRPr="00BA2DBD">
        <w:rPr>
          <w:bCs/>
          <w:szCs w:val="24"/>
        </w:rPr>
        <w:t>preferen</w:t>
      </w:r>
      <w:r w:rsidR="00327D29">
        <w:rPr>
          <w:bCs/>
          <w:szCs w:val="24"/>
        </w:rPr>
        <w:t>ce</w:t>
      </w:r>
      <w:r w:rsidR="00244E5E">
        <w:rPr>
          <w:bCs/>
          <w:szCs w:val="24"/>
        </w:rPr>
        <w:t xml:space="preserve"> </w:t>
      </w:r>
      <w:r w:rsidR="00A87663" w:rsidRPr="00BA2DBD">
        <w:rPr>
          <w:bCs/>
          <w:szCs w:val="24"/>
        </w:rPr>
        <w:t>is that rules prohibiting interference with fall</w:t>
      </w:r>
      <w:r w:rsidR="00244E5E">
        <w:rPr>
          <w:bCs/>
          <w:szCs w:val="24"/>
        </w:rPr>
        <w:t>-</w:t>
      </w:r>
      <w:r w:rsidR="00A87663" w:rsidRPr="00BA2DBD">
        <w:rPr>
          <w:bCs/>
          <w:szCs w:val="24"/>
        </w:rPr>
        <w:t xml:space="preserve">protection </w:t>
      </w:r>
      <w:r w:rsidR="003B0769">
        <w:rPr>
          <w:bCs/>
          <w:szCs w:val="24"/>
        </w:rPr>
        <w:t>gear</w:t>
      </w:r>
      <w:r w:rsidR="00A87663" w:rsidRPr="00BA2DBD">
        <w:rPr>
          <w:bCs/>
          <w:szCs w:val="24"/>
        </w:rPr>
        <w:t xml:space="preserve"> be </w:t>
      </w:r>
      <w:r w:rsidR="00244E5E">
        <w:rPr>
          <w:bCs/>
          <w:szCs w:val="24"/>
        </w:rPr>
        <w:t>addressed</w:t>
      </w:r>
      <w:r w:rsidR="00A87663" w:rsidRPr="00BA2DBD">
        <w:rPr>
          <w:bCs/>
          <w:szCs w:val="24"/>
        </w:rPr>
        <w:t xml:space="preserve"> in a broader proceeding that applies to all pole attachments.  </w:t>
      </w:r>
      <w:r w:rsidR="00EB0B36">
        <w:rPr>
          <w:bCs/>
          <w:szCs w:val="24"/>
        </w:rPr>
        <w:t>However</w:t>
      </w:r>
      <w:r w:rsidR="00A87663">
        <w:rPr>
          <w:bCs/>
          <w:szCs w:val="24"/>
        </w:rPr>
        <w:t>, if the Commission wishes</w:t>
      </w:r>
      <w:r w:rsidR="00A87663" w:rsidRPr="00760E81">
        <w:rPr>
          <w:bCs/>
          <w:szCs w:val="24"/>
        </w:rPr>
        <w:t xml:space="preserve"> to adopt a rule </w:t>
      </w:r>
      <w:r w:rsidR="00A87663">
        <w:rPr>
          <w:bCs/>
          <w:szCs w:val="24"/>
        </w:rPr>
        <w:t>i</w:t>
      </w:r>
      <w:r w:rsidR="00A87663" w:rsidRPr="00760E81">
        <w:rPr>
          <w:bCs/>
          <w:szCs w:val="24"/>
        </w:rPr>
        <w:t>n this docket, PCIA support</w:t>
      </w:r>
      <w:r w:rsidR="00A87663">
        <w:rPr>
          <w:bCs/>
          <w:szCs w:val="24"/>
        </w:rPr>
        <w:t>s</w:t>
      </w:r>
      <w:r w:rsidR="00A87663" w:rsidRPr="00760E81">
        <w:rPr>
          <w:bCs/>
          <w:szCs w:val="24"/>
        </w:rPr>
        <w:t xml:space="preserve"> </w:t>
      </w:r>
      <w:r w:rsidR="00042BC1">
        <w:t>AT&amp;T Mobility and CTIA</w:t>
      </w:r>
      <w:r w:rsidR="00A87663">
        <w:rPr>
          <w:bCs/>
          <w:szCs w:val="24"/>
        </w:rPr>
        <w:t>’</w:t>
      </w:r>
      <w:r w:rsidR="00042BC1">
        <w:rPr>
          <w:bCs/>
          <w:szCs w:val="24"/>
        </w:rPr>
        <w:t>s</w:t>
      </w:r>
      <w:r w:rsidR="00A87663">
        <w:rPr>
          <w:bCs/>
          <w:szCs w:val="24"/>
        </w:rPr>
        <w:t xml:space="preserve"> proposed rule. </w:t>
      </w:r>
    </w:p>
    <w:p w:rsidR="003A295D" w:rsidRDefault="00A87663" w:rsidP="0095117F">
      <w:pPr>
        <w:pStyle w:val="standard"/>
      </w:pPr>
      <w:r>
        <w:lastRenderedPageBreak/>
        <w:t xml:space="preserve">PG&amp;E avers that </w:t>
      </w:r>
      <w:r w:rsidR="00042BC1">
        <w:t>AT&amp;T Mobility and CTIA</w:t>
      </w:r>
      <w:r w:rsidR="00042BC1">
        <w:rPr>
          <w:bCs/>
          <w:szCs w:val="24"/>
        </w:rPr>
        <w:t xml:space="preserve">’s </w:t>
      </w:r>
      <w:r>
        <w:t xml:space="preserve">proposed rule will enhance worker safety, but prefers the Electric IOUs’ proposed rule because it uses the </w:t>
      </w:r>
      <w:r w:rsidRPr="00A13F5A">
        <w:t>same terminology “unnecessary impairment” found in Rule 84.7</w:t>
      </w:r>
      <w:r w:rsidR="006363B2">
        <w:noBreakHyphen/>
      </w:r>
      <w:r w:rsidRPr="00A13F5A">
        <w:t>A(5)(f).</w:t>
      </w:r>
    </w:p>
    <w:p w:rsidR="000B74B4" w:rsidRDefault="000B74B4" w:rsidP="0095117F">
      <w:pPr>
        <w:pStyle w:val="standard"/>
      </w:pPr>
      <w:r>
        <w:t xml:space="preserve">TURN takes a neutral position.  TURN does not </w:t>
      </w:r>
      <w:r w:rsidR="00327D29">
        <w:t>anticipate</w:t>
      </w:r>
      <w:r>
        <w:t xml:space="preserve"> </w:t>
      </w:r>
      <w:r w:rsidR="006363B2">
        <w:t>the</w:t>
      </w:r>
      <w:r>
        <w:t xml:space="preserve"> proposed rule will have a substantial cost impact on ratepayers.   </w:t>
      </w:r>
    </w:p>
    <w:p w:rsidR="00A87663" w:rsidRDefault="00042BC1" w:rsidP="0095117F">
      <w:pPr>
        <w:pStyle w:val="standard"/>
      </w:pPr>
      <w:r>
        <w:t>AT&amp;T Mobility and CTIA</w:t>
      </w:r>
      <w:r>
        <w:rPr>
          <w:bCs/>
          <w:szCs w:val="24"/>
        </w:rPr>
        <w:t xml:space="preserve">’s </w:t>
      </w:r>
      <w:r w:rsidR="008E5AA3">
        <w:t xml:space="preserve">proposed Rule 94.6-C is opposed by SCE, SDG&amp;E, and SED.  SCE and SDG&amp;E believe the proposed rule will cause more problems </w:t>
      </w:r>
      <w:r w:rsidR="00327D29">
        <w:t>than</w:t>
      </w:r>
      <w:r w:rsidR="008E5AA3">
        <w:t xml:space="preserve"> it solves.  This is because the proposed rule’s non-exclusive list of exceptions has not been vetted, </w:t>
      </w:r>
      <w:r w:rsidR="00807A93">
        <w:t xml:space="preserve">and </w:t>
      </w:r>
      <w:r>
        <w:t xml:space="preserve">the listed exceptions </w:t>
      </w:r>
      <w:r w:rsidR="00807A93">
        <w:t xml:space="preserve">do not address situations where one or more excepted items, alone or in combination, could create an unsafe condition.  </w:t>
      </w:r>
      <w:r w:rsidR="006363B2">
        <w:t>They</w:t>
      </w:r>
      <w:r w:rsidR="00352673">
        <w:t xml:space="preserve"> further argue that the propose</w:t>
      </w:r>
      <w:r w:rsidR="006B0036">
        <w:t>d</w:t>
      </w:r>
      <w:r w:rsidR="00352673">
        <w:t xml:space="preserve"> rule is improperly </w:t>
      </w:r>
      <w:r w:rsidR="006363B2">
        <w:t>constructed</w:t>
      </w:r>
      <w:r w:rsidR="00352673">
        <w:t xml:space="preserve"> because </w:t>
      </w:r>
      <w:r w:rsidR="006B0036">
        <w:t>(1) the new</w:t>
      </w:r>
      <w:r w:rsidR="006B0036" w:rsidRPr="00B52008">
        <w:t xml:space="preserve"> subpart “C” is essentially inserted into existing Rule</w:t>
      </w:r>
      <w:r w:rsidR="006B0036">
        <w:t> </w:t>
      </w:r>
      <w:r w:rsidR="006B0036" w:rsidRPr="00B52008">
        <w:t>94.6 as an exception to subparts A and B</w:t>
      </w:r>
      <w:r w:rsidR="006B0036">
        <w:t xml:space="preserve">; and (2) the </w:t>
      </w:r>
      <w:r>
        <w:t xml:space="preserve">list of exceptions is the type of </w:t>
      </w:r>
      <w:r w:rsidR="006B0036" w:rsidRPr="00B52008">
        <w:t>information typically presented in GO 95 in the form of a “Note</w:t>
      </w:r>
      <w:r w:rsidR="005C2349">
        <w:t>.</w:t>
      </w:r>
      <w:r w:rsidR="006B0036" w:rsidRPr="00B52008">
        <w:t xml:space="preserve">”  Similar notes are included in Rules 94.3 and 94.4-C.  </w:t>
      </w:r>
    </w:p>
    <w:p w:rsidR="00A87663" w:rsidRDefault="00807A93" w:rsidP="0095117F">
      <w:pPr>
        <w:pStyle w:val="standard"/>
      </w:pPr>
      <w:r>
        <w:t xml:space="preserve">SED states that the proposed rule is confusing and focuses on what is not required rather than what is. </w:t>
      </w:r>
    </w:p>
    <w:p w:rsidR="00DE4FAC" w:rsidRDefault="00DE4FAC" w:rsidP="00A845DC">
      <w:pPr>
        <w:pStyle w:val="Heading5"/>
      </w:pPr>
      <w:bookmarkStart w:id="93" w:name="_Toc436647353"/>
      <w:r>
        <w:t>SED Propos</w:t>
      </w:r>
      <w:r w:rsidR="00AD234B">
        <w:t>al</w:t>
      </w:r>
      <w:bookmarkEnd w:id="93"/>
    </w:p>
    <w:p w:rsidR="005D6208" w:rsidRDefault="004F2697" w:rsidP="008504A4">
      <w:pPr>
        <w:pStyle w:val="standard"/>
      </w:pPr>
      <w:r>
        <w:t>SED</w:t>
      </w:r>
      <w:r w:rsidR="004E065F">
        <w:t xml:space="preserve">‘s </w:t>
      </w:r>
      <w:r>
        <w:t xml:space="preserve">proposed Rule 94.6-C </w:t>
      </w:r>
      <w:r w:rsidR="006363B2">
        <w:t xml:space="preserve">would </w:t>
      </w:r>
      <w:r>
        <w:t xml:space="preserve">prohibit </w:t>
      </w:r>
      <w:r w:rsidR="00327D29">
        <w:t xml:space="preserve">all </w:t>
      </w:r>
      <w:r>
        <w:t>interference with</w:t>
      </w:r>
      <w:r w:rsidR="00042BC1">
        <w:t xml:space="preserve"> </w:t>
      </w:r>
      <w:r>
        <w:t>fall</w:t>
      </w:r>
      <w:r w:rsidR="006363B2">
        <w:noBreakHyphen/>
      </w:r>
      <w:r>
        <w:t xml:space="preserve">protection </w:t>
      </w:r>
      <w:r w:rsidR="003B0769">
        <w:t>gear</w:t>
      </w:r>
      <w:r>
        <w:t xml:space="preserve"> by CMRS </w:t>
      </w:r>
      <w:r w:rsidR="00327D29">
        <w:t>attachments</w:t>
      </w:r>
      <w:r>
        <w:t xml:space="preserve"> that are installed in accordance with Rule</w:t>
      </w:r>
      <w:r w:rsidR="00FF5E68">
        <w:t>s</w:t>
      </w:r>
      <w:r w:rsidR="00EE4B74">
        <w:t> </w:t>
      </w:r>
      <w:r w:rsidR="00042BC1">
        <w:t xml:space="preserve">54.7 and 84.7.  </w:t>
      </w:r>
      <w:r w:rsidR="00327D29">
        <w:t xml:space="preserve">In contrast, the previously summarized proposals would prohibit only “unnecessary impairment.”  </w:t>
      </w:r>
    </w:p>
    <w:p w:rsidR="00DE4FAC" w:rsidRDefault="0009014C" w:rsidP="008504A4">
      <w:pPr>
        <w:pStyle w:val="standard"/>
      </w:pPr>
      <w:r>
        <w:t xml:space="preserve">SED’s proposal is supported by CFC, IBEW 1245, </w:t>
      </w:r>
      <w:r w:rsidR="00A760D4">
        <w:t>and the Electric IOUs</w:t>
      </w:r>
      <w:r>
        <w:t xml:space="preserve">.  IBEW 1245 </w:t>
      </w:r>
      <w:r w:rsidR="006363B2">
        <w:t xml:space="preserve">considers </w:t>
      </w:r>
      <w:r>
        <w:t xml:space="preserve">SED’s proposed rule </w:t>
      </w:r>
      <w:r w:rsidR="006363B2">
        <w:t xml:space="preserve">to be </w:t>
      </w:r>
      <w:r w:rsidR="00AF5967">
        <w:t xml:space="preserve">a </w:t>
      </w:r>
      <w:r>
        <w:t>straightforward enhancement to worker safety</w:t>
      </w:r>
      <w:r w:rsidR="00AF5967">
        <w:t xml:space="preserve"> that </w:t>
      </w:r>
      <w:r>
        <w:t xml:space="preserve">places the responsibility for noninterference with fall protection </w:t>
      </w:r>
      <w:r w:rsidR="00EB0B36">
        <w:t xml:space="preserve">equipment </w:t>
      </w:r>
      <w:r>
        <w:t xml:space="preserve">squarely on the owners of </w:t>
      </w:r>
      <w:r w:rsidR="006363B2">
        <w:t>attached</w:t>
      </w:r>
      <w:r>
        <w:t xml:space="preserve"> facilities.</w:t>
      </w:r>
    </w:p>
    <w:p w:rsidR="0009014C" w:rsidRDefault="00A760D4" w:rsidP="0009014C">
      <w:pPr>
        <w:pStyle w:val="standard"/>
      </w:pPr>
      <w:r>
        <w:lastRenderedPageBreak/>
        <w:t xml:space="preserve">The Electric IOUs </w:t>
      </w:r>
      <w:r w:rsidR="0009014C">
        <w:t>support SED’s proposed rule, but prefer the</w:t>
      </w:r>
      <w:r>
        <w:t>ir own</w:t>
      </w:r>
      <w:r w:rsidR="0009014C">
        <w:t xml:space="preserve"> proposed rule because it uses the </w:t>
      </w:r>
      <w:r w:rsidR="0009014C" w:rsidRPr="00A13F5A">
        <w:t>same terminology “unnecessary impairment” found in Rule</w:t>
      </w:r>
      <w:r w:rsidR="00327D29">
        <w:t> </w:t>
      </w:r>
      <w:r w:rsidR="0009014C" w:rsidRPr="00A13F5A">
        <w:t>84.7</w:t>
      </w:r>
      <w:r w:rsidR="006363B2">
        <w:t>-</w:t>
      </w:r>
      <w:r w:rsidR="0009014C" w:rsidRPr="00A13F5A">
        <w:t>A(5)(f).</w:t>
      </w:r>
    </w:p>
    <w:p w:rsidR="00911983" w:rsidRDefault="0009014C" w:rsidP="008504A4">
      <w:pPr>
        <w:pStyle w:val="standard"/>
      </w:pPr>
      <w:r>
        <w:t>TURN takes a neutral position on SED’s proposed rule.</w:t>
      </w:r>
      <w:r w:rsidR="000B74B4">
        <w:t xml:space="preserve"> </w:t>
      </w:r>
      <w:r w:rsidR="00EE4B74">
        <w:t xml:space="preserve"> </w:t>
      </w:r>
      <w:r w:rsidR="000B74B4">
        <w:t xml:space="preserve">TURN does not </w:t>
      </w:r>
      <w:r w:rsidR="00327D29">
        <w:t>anticipate</w:t>
      </w:r>
      <w:r w:rsidR="000B74B4">
        <w:t xml:space="preserve"> that </w:t>
      </w:r>
      <w:r w:rsidR="009649D8">
        <w:t>SED’s</w:t>
      </w:r>
      <w:r w:rsidR="000B74B4">
        <w:t xml:space="preserve"> proposed rule will have substantial cost</w:t>
      </w:r>
      <w:r w:rsidR="006363B2">
        <w:t xml:space="preserve">s. </w:t>
      </w:r>
      <w:r w:rsidR="000B74B4">
        <w:t xml:space="preserve">   </w:t>
      </w:r>
    </w:p>
    <w:p w:rsidR="00C1238E" w:rsidRDefault="0009014C" w:rsidP="008504A4">
      <w:pPr>
        <w:pStyle w:val="standard"/>
        <w:rPr>
          <w:szCs w:val="24"/>
        </w:rPr>
      </w:pPr>
      <w:r>
        <w:t xml:space="preserve">SED’s proposed </w:t>
      </w:r>
      <w:r w:rsidR="009649D8">
        <w:t>r</w:t>
      </w:r>
      <w:r>
        <w:t xml:space="preserve">ule is opposed by </w:t>
      </w:r>
      <w:r w:rsidR="009E58CB">
        <w:t xml:space="preserve">AT&amp;T Mobility, CCTA, CTIA, JVSV, </w:t>
      </w:r>
      <w:r w:rsidR="00A760D4">
        <w:t xml:space="preserve">and </w:t>
      </w:r>
      <w:r w:rsidR="009E58CB">
        <w:t xml:space="preserve">PCIA.  </w:t>
      </w:r>
      <w:r w:rsidR="006363B2">
        <w:t>T</w:t>
      </w:r>
      <w:r w:rsidR="005D4D77">
        <w:rPr>
          <w:szCs w:val="24"/>
        </w:rPr>
        <w:t xml:space="preserve">hey </w:t>
      </w:r>
      <w:r w:rsidR="00E61642">
        <w:rPr>
          <w:szCs w:val="24"/>
        </w:rPr>
        <w:t xml:space="preserve">assert that </w:t>
      </w:r>
      <w:r w:rsidR="005D4D77">
        <w:rPr>
          <w:szCs w:val="24"/>
        </w:rPr>
        <w:t>Fed</w:t>
      </w:r>
      <w:r w:rsidR="00176B0A">
        <w:rPr>
          <w:szCs w:val="24"/>
        </w:rPr>
        <w:t>eral</w:t>
      </w:r>
      <w:r w:rsidR="005D4D77">
        <w:rPr>
          <w:szCs w:val="24"/>
        </w:rPr>
        <w:t xml:space="preserve"> OSHA </w:t>
      </w:r>
      <w:r w:rsidR="005D4D77" w:rsidRPr="008E5DA2">
        <w:rPr>
          <w:szCs w:val="24"/>
        </w:rPr>
        <w:t>regulations address fall</w:t>
      </w:r>
      <w:r w:rsidR="006363B2">
        <w:rPr>
          <w:szCs w:val="24"/>
        </w:rPr>
        <w:noBreakHyphen/>
      </w:r>
      <w:r w:rsidR="005D4D77" w:rsidRPr="008E5DA2">
        <w:rPr>
          <w:szCs w:val="24"/>
        </w:rPr>
        <w:t>protection requirements</w:t>
      </w:r>
      <w:r w:rsidR="00E61642">
        <w:rPr>
          <w:szCs w:val="24"/>
        </w:rPr>
        <w:t>,</w:t>
      </w:r>
      <w:r w:rsidR="00E61642" w:rsidRPr="00E15E99">
        <w:rPr>
          <w:rStyle w:val="StandardFootnoteReferenceChar"/>
        </w:rPr>
        <w:footnoteReference w:id="91"/>
      </w:r>
      <w:r w:rsidR="00E61642">
        <w:rPr>
          <w:szCs w:val="24"/>
        </w:rPr>
        <w:t xml:space="preserve"> and t</w:t>
      </w:r>
      <w:r w:rsidR="005D4D77">
        <w:rPr>
          <w:szCs w:val="24"/>
        </w:rPr>
        <w:t xml:space="preserve">here has been no showing </w:t>
      </w:r>
      <w:r w:rsidR="005D4D77" w:rsidRPr="008E5DA2">
        <w:rPr>
          <w:szCs w:val="24"/>
        </w:rPr>
        <w:t xml:space="preserve">that </w:t>
      </w:r>
      <w:r w:rsidR="00E61642">
        <w:rPr>
          <w:szCs w:val="24"/>
        </w:rPr>
        <w:t>these</w:t>
      </w:r>
      <w:r w:rsidR="00AF5967">
        <w:rPr>
          <w:szCs w:val="24"/>
        </w:rPr>
        <w:t xml:space="preserve"> </w:t>
      </w:r>
      <w:r w:rsidR="005D4D77">
        <w:rPr>
          <w:szCs w:val="24"/>
        </w:rPr>
        <w:t xml:space="preserve">regulations </w:t>
      </w:r>
      <w:r w:rsidR="00E61642">
        <w:rPr>
          <w:szCs w:val="24"/>
        </w:rPr>
        <w:t>are in</w:t>
      </w:r>
      <w:r w:rsidR="00327D29">
        <w:rPr>
          <w:szCs w:val="24"/>
        </w:rPr>
        <w:t>adequate</w:t>
      </w:r>
      <w:r w:rsidR="005D4D77" w:rsidRPr="008E5DA2">
        <w:rPr>
          <w:szCs w:val="24"/>
        </w:rPr>
        <w:t xml:space="preserve">.  </w:t>
      </w:r>
      <w:r w:rsidR="006363B2">
        <w:rPr>
          <w:szCs w:val="24"/>
        </w:rPr>
        <w:t xml:space="preserve">Moreover, </w:t>
      </w:r>
      <w:r w:rsidR="00327D29">
        <w:rPr>
          <w:szCs w:val="24"/>
        </w:rPr>
        <w:t xml:space="preserve">CMRS carriers </w:t>
      </w:r>
      <w:r w:rsidR="00C1238E">
        <w:t xml:space="preserve">work with </w:t>
      </w:r>
      <w:r w:rsidR="00C1238E" w:rsidRPr="00DB68D3">
        <w:t xml:space="preserve">pole owners to ensure </w:t>
      </w:r>
      <w:r w:rsidR="00327D29">
        <w:t>that</w:t>
      </w:r>
      <w:r w:rsidR="00C1238E" w:rsidRPr="00DB68D3">
        <w:t xml:space="preserve"> pole installations do not interfere with fall-protection </w:t>
      </w:r>
      <w:r w:rsidR="003B0769">
        <w:t>gear</w:t>
      </w:r>
      <w:r w:rsidR="00C1238E" w:rsidRPr="00DB68D3">
        <w:t>.</w:t>
      </w:r>
      <w:r w:rsidR="00C1238E">
        <w:t xml:space="preserve">  </w:t>
      </w:r>
      <w:r w:rsidR="00C1238E" w:rsidRPr="00356506">
        <w:rPr>
          <w:rFonts w:eastAsia="Calibri"/>
        </w:rPr>
        <w:t xml:space="preserve">As such, </w:t>
      </w:r>
      <w:r w:rsidR="00EE4B74">
        <w:rPr>
          <w:rFonts w:eastAsia="Calibri"/>
        </w:rPr>
        <w:t>SED’s</w:t>
      </w:r>
      <w:r w:rsidR="00C1238E" w:rsidRPr="00356506">
        <w:rPr>
          <w:rFonts w:eastAsia="Calibri"/>
        </w:rPr>
        <w:t xml:space="preserve"> proposed </w:t>
      </w:r>
      <w:r w:rsidR="00EE4B74">
        <w:rPr>
          <w:rFonts w:eastAsia="Calibri"/>
        </w:rPr>
        <w:t>rule</w:t>
      </w:r>
      <w:r w:rsidR="00C1238E" w:rsidRPr="00356506">
        <w:rPr>
          <w:rFonts w:eastAsia="Calibri"/>
        </w:rPr>
        <w:t xml:space="preserve"> </w:t>
      </w:r>
      <w:r w:rsidR="00EE4B74">
        <w:rPr>
          <w:rFonts w:eastAsia="Calibri"/>
        </w:rPr>
        <w:t>is</w:t>
      </w:r>
      <w:r w:rsidR="00C1238E" w:rsidRPr="00356506">
        <w:rPr>
          <w:rFonts w:eastAsia="Calibri"/>
        </w:rPr>
        <w:t xml:space="preserve"> unnecessary.</w:t>
      </w:r>
    </w:p>
    <w:p w:rsidR="00C1238E" w:rsidRDefault="00C1238E" w:rsidP="008504A4">
      <w:pPr>
        <w:pStyle w:val="standard"/>
        <w:rPr>
          <w:szCs w:val="24"/>
        </w:rPr>
      </w:pPr>
      <w:r>
        <w:rPr>
          <w:szCs w:val="24"/>
        </w:rPr>
        <w:t>Th</w:t>
      </w:r>
      <w:r w:rsidR="00176B0A">
        <w:rPr>
          <w:szCs w:val="24"/>
        </w:rPr>
        <w:t xml:space="preserve">e Opponents also claim that </w:t>
      </w:r>
      <w:r w:rsidR="00AF5967">
        <w:rPr>
          <w:szCs w:val="24"/>
        </w:rPr>
        <w:t>SED’s</w:t>
      </w:r>
      <w:r w:rsidR="005D4D77" w:rsidRPr="008E5DA2">
        <w:rPr>
          <w:szCs w:val="24"/>
        </w:rPr>
        <w:t xml:space="preserve"> proposed </w:t>
      </w:r>
      <w:r w:rsidR="005D4D77">
        <w:rPr>
          <w:szCs w:val="24"/>
        </w:rPr>
        <w:t xml:space="preserve">rule is discriminatory because it </w:t>
      </w:r>
      <w:r w:rsidR="005D4D77" w:rsidRPr="008E5DA2">
        <w:rPr>
          <w:szCs w:val="24"/>
        </w:rPr>
        <w:t xml:space="preserve">would apply only </w:t>
      </w:r>
      <w:r w:rsidR="00EB0B36">
        <w:rPr>
          <w:szCs w:val="24"/>
        </w:rPr>
        <w:t xml:space="preserve">to </w:t>
      </w:r>
      <w:r w:rsidR="00176B0A">
        <w:rPr>
          <w:szCs w:val="24"/>
        </w:rPr>
        <w:t>CMRS attachments</w:t>
      </w:r>
      <w:r w:rsidR="005D4D77">
        <w:rPr>
          <w:szCs w:val="24"/>
        </w:rPr>
        <w:t xml:space="preserve">, even though </w:t>
      </w:r>
      <w:r w:rsidR="005D4D77" w:rsidRPr="008E5DA2">
        <w:rPr>
          <w:szCs w:val="24"/>
        </w:rPr>
        <w:t xml:space="preserve">attachments installed by </w:t>
      </w:r>
      <w:r w:rsidR="00176B0A">
        <w:rPr>
          <w:szCs w:val="24"/>
        </w:rPr>
        <w:t xml:space="preserve">electric utilities and </w:t>
      </w:r>
      <w:r w:rsidR="00EE4B74">
        <w:rPr>
          <w:szCs w:val="24"/>
        </w:rPr>
        <w:t>others can interfere with fall-</w:t>
      </w:r>
      <w:r w:rsidR="005D4D77" w:rsidRPr="008E5DA2">
        <w:rPr>
          <w:szCs w:val="24"/>
        </w:rPr>
        <w:t xml:space="preserve">protection </w:t>
      </w:r>
      <w:r w:rsidR="003B0769">
        <w:rPr>
          <w:szCs w:val="24"/>
        </w:rPr>
        <w:t>gear</w:t>
      </w:r>
      <w:r w:rsidR="00176B0A">
        <w:rPr>
          <w:szCs w:val="24"/>
        </w:rPr>
        <w:t xml:space="preserve"> as demonstrated by the Workshop Report</w:t>
      </w:r>
      <w:r w:rsidR="005D4D77" w:rsidRPr="008E5DA2">
        <w:rPr>
          <w:szCs w:val="24"/>
        </w:rPr>
        <w:t>.</w:t>
      </w:r>
      <w:r w:rsidRPr="00E15E99">
        <w:rPr>
          <w:rStyle w:val="StandardFootnoteReferenceChar"/>
          <w:rFonts w:eastAsia="Calibri"/>
        </w:rPr>
        <w:footnoteReference w:id="92"/>
      </w:r>
      <w:r w:rsidRPr="00902B0C">
        <w:rPr>
          <w:rFonts w:eastAsia="Calibri"/>
        </w:rPr>
        <w:t xml:space="preserve">  </w:t>
      </w:r>
    </w:p>
    <w:p w:rsidR="0009014C" w:rsidRDefault="005D4D77" w:rsidP="008504A4">
      <w:pPr>
        <w:pStyle w:val="standard"/>
      </w:pPr>
      <w:r w:rsidRPr="005D4D77">
        <w:rPr>
          <w:szCs w:val="24"/>
        </w:rPr>
        <w:t>Finally</w:t>
      </w:r>
      <w:r w:rsidRPr="008E5DA2">
        <w:rPr>
          <w:szCs w:val="24"/>
        </w:rPr>
        <w:t xml:space="preserve">, </w:t>
      </w:r>
      <w:r w:rsidR="00176B0A">
        <w:rPr>
          <w:szCs w:val="24"/>
        </w:rPr>
        <w:t xml:space="preserve">the Opponents are concerned that </w:t>
      </w:r>
      <w:r>
        <w:rPr>
          <w:szCs w:val="24"/>
        </w:rPr>
        <w:t xml:space="preserve">SED’s proposed rule </w:t>
      </w:r>
      <w:r w:rsidR="00147524">
        <w:t>would mandate that</w:t>
      </w:r>
      <w:r w:rsidR="00147524" w:rsidRPr="004E1534">
        <w:t xml:space="preserve"> “interference with fall restraint and fall protection equipment is not permitted</w:t>
      </w:r>
      <w:r w:rsidR="00147524">
        <w:t xml:space="preserve">.”  SED’s proposal </w:t>
      </w:r>
      <w:r w:rsidR="00327D29">
        <w:t>lacks the qualifier</w:t>
      </w:r>
      <w:r w:rsidR="00147524" w:rsidRPr="004E1534">
        <w:t xml:space="preserve"> “unnecessary”</w:t>
      </w:r>
      <w:r w:rsidR="00147524">
        <w:t xml:space="preserve"> </w:t>
      </w:r>
      <w:r w:rsidR="00176B0A">
        <w:t xml:space="preserve">that is </w:t>
      </w:r>
      <w:r w:rsidR="00147524">
        <w:t xml:space="preserve">in the </w:t>
      </w:r>
      <w:r w:rsidR="00327D29">
        <w:t>other proposals</w:t>
      </w:r>
      <w:r w:rsidR="00147524">
        <w:t xml:space="preserve">.  Without </w:t>
      </w:r>
      <w:r w:rsidR="00EE4B74">
        <w:t>this</w:t>
      </w:r>
      <w:r w:rsidR="00147524">
        <w:t xml:space="preserve"> qualifier, </w:t>
      </w:r>
      <w:r w:rsidR="00EE4B74">
        <w:t>SED’s proposed</w:t>
      </w:r>
      <w:r w:rsidR="00147524">
        <w:t xml:space="preserve"> rule </w:t>
      </w:r>
      <w:r w:rsidR="008C6BD2">
        <w:t>might</w:t>
      </w:r>
      <w:r w:rsidR="00147524">
        <w:t xml:space="preserve"> </w:t>
      </w:r>
      <w:r w:rsidR="00327D29">
        <w:t>bar</w:t>
      </w:r>
      <w:r w:rsidR="00147524">
        <w:t xml:space="preserve"> any </w:t>
      </w:r>
      <w:r w:rsidR="00327D29">
        <w:t xml:space="preserve">CMRS </w:t>
      </w:r>
      <w:r w:rsidR="00147524">
        <w:t>attachments</w:t>
      </w:r>
      <w:r w:rsidR="00327D29">
        <w:t xml:space="preserve">, as such attachments could be </w:t>
      </w:r>
      <w:r w:rsidR="00C51767">
        <w:t>viewed as interfering with fall</w:t>
      </w:r>
      <w:r w:rsidR="00C51767">
        <w:noBreakHyphen/>
      </w:r>
      <w:r w:rsidR="00327D29">
        <w:t xml:space="preserve">protection </w:t>
      </w:r>
      <w:r w:rsidR="003B0769">
        <w:t>gear</w:t>
      </w:r>
      <w:r w:rsidR="00147524">
        <w:t>.</w:t>
      </w:r>
      <w:r w:rsidR="00147524" w:rsidRPr="004E1534">
        <w:t xml:space="preserve"> </w:t>
      </w:r>
      <w:r w:rsidR="00147524">
        <w:t xml:space="preserve"> </w:t>
      </w:r>
      <w:r w:rsidR="00327D29">
        <w:t xml:space="preserve">The </w:t>
      </w:r>
      <w:r w:rsidR="00176B0A">
        <w:t>O</w:t>
      </w:r>
      <w:r w:rsidR="00327D29">
        <w:t xml:space="preserve">pponents </w:t>
      </w:r>
      <w:r w:rsidR="008C6BD2">
        <w:t>assert</w:t>
      </w:r>
      <w:r w:rsidR="00327D29">
        <w:t xml:space="preserve"> that a</w:t>
      </w:r>
      <w:r w:rsidR="00147524">
        <w:t xml:space="preserve"> complete </w:t>
      </w:r>
      <w:r w:rsidR="00327D29">
        <w:t xml:space="preserve">ban on </w:t>
      </w:r>
      <w:r w:rsidR="00147524">
        <w:t>attachments</w:t>
      </w:r>
      <w:r w:rsidR="00147524" w:rsidRPr="004E1534">
        <w:t xml:space="preserve"> is not supported by the record</w:t>
      </w:r>
      <w:r w:rsidRPr="008E5DA2">
        <w:rPr>
          <w:szCs w:val="24"/>
        </w:rPr>
        <w:t xml:space="preserve">, which indicates that attachments of certain sizes and designs </w:t>
      </w:r>
      <w:r w:rsidR="00EB0B36">
        <w:rPr>
          <w:szCs w:val="24"/>
        </w:rPr>
        <w:t xml:space="preserve">will not interfere </w:t>
      </w:r>
      <w:r w:rsidRPr="008E5DA2">
        <w:rPr>
          <w:szCs w:val="24"/>
        </w:rPr>
        <w:t>unduly with fall</w:t>
      </w:r>
      <w:r w:rsidR="003914EC">
        <w:rPr>
          <w:szCs w:val="24"/>
        </w:rPr>
        <w:noBreakHyphen/>
      </w:r>
      <w:r w:rsidRPr="008E5DA2">
        <w:rPr>
          <w:szCs w:val="24"/>
        </w:rPr>
        <w:t xml:space="preserve">protection </w:t>
      </w:r>
      <w:r w:rsidR="003B0769">
        <w:rPr>
          <w:szCs w:val="24"/>
        </w:rPr>
        <w:t>gear</w:t>
      </w:r>
      <w:r w:rsidRPr="008E5DA2">
        <w:rPr>
          <w:szCs w:val="24"/>
        </w:rPr>
        <w:t xml:space="preserve">.  </w:t>
      </w:r>
    </w:p>
    <w:p w:rsidR="00DE4FAC" w:rsidRDefault="00DE4FAC" w:rsidP="00A845DC">
      <w:pPr>
        <w:pStyle w:val="Heading4"/>
      </w:pPr>
      <w:bookmarkStart w:id="94" w:name="_Toc436647354"/>
      <w:r>
        <w:lastRenderedPageBreak/>
        <w:t>Discussion</w:t>
      </w:r>
      <w:bookmarkEnd w:id="94"/>
    </w:p>
    <w:p w:rsidR="00DE4FAC" w:rsidRDefault="007A6CE0" w:rsidP="008504A4">
      <w:pPr>
        <w:pStyle w:val="standard"/>
      </w:pPr>
      <w:r>
        <w:t xml:space="preserve">The issue before us is whether to adopt a new </w:t>
      </w:r>
      <w:r w:rsidR="00D403C0">
        <w:t xml:space="preserve">Rule 94.6-C </w:t>
      </w:r>
      <w:r>
        <w:t>that prohibits interference with climbing space and fall</w:t>
      </w:r>
      <w:r w:rsidR="005E5164">
        <w:noBreakHyphen/>
      </w:r>
      <w:r>
        <w:t xml:space="preserve">protection </w:t>
      </w:r>
      <w:r w:rsidR="003B0769">
        <w:t>gear</w:t>
      </w:r>
      <w:r>
        <w:t xml:space="preserve"> by CMRS attachments. </w:t>
      </w:r>
      <w:r w:rsidR="0089685F">
        <w:t xml:space="preserve"> Our primary standard for deciding this issue whether </w:t>
      </w:r>
      <w:r w:rsidR="008C6BD2">
        <w:t>a</w:t>
      </w:r>
      <w:r w:rsidR="0089685F">
        <w:t xml:space="preserve"> new </w:t>
      </w:r>
      <w:r w:rsidR="008C6BD2">
        <w:t>Rule 94.6</w:t>
      </w:r>
      <w:r w:rsidR="008C6BD2">
        <w:noBreakHyphen/>
        <w:t>C</w:t>
      </w:r>
      <w:r w:rsidR="0089685F">
        <w:t xml:space="preserve"> will enhance safety at a reasonable cost. </w:t>
      </w:r>
    </w:p>
    <w:p w:rsidR="00280309" w:rsidRDefault="00280309" w:rsidP="008504A4">
      <w:pPr>
        <w:pStyle w:val="standard"/>
      </w:pPr>
      <w:r>
        <w:t xml:space="preserve">Currently, Rule 94.6-A requires </w:t>
      </w:r>
      <w:r w:rsidR="00176B0A">
        <w:t>antenna</w:t>
      </w:r>
      <w:r w:rsidR="008C6BD2">
        <w:t xml:space="preserve">s </w:t>
      </w:r>
      <w:r>
        <w:t xml:space="preserve">to maintain </w:t>
      </w:r>
      <w:r w:rsidR="009553B1">
        <w:t>climbing</w:t>
      </w:r>
      <w:r>
        <w:t xml:space="preserve"> space above supply lines in accordance with Rule 54.7, and Rule 94.6</w:t>
      </w:r>
      <w:r>
        <w:noBreakHyphen/>
        <w:t xml:space="preserve">B requires </w:t>
      </w:r>
      <w:r w:rsidR="00176B0A">
        <w:t>antenna</w:t>
      </w:r>
      <w:r w:rsidR="008C6BD2">
        <w:t>s</w:t>
      </w:r>
      <w:r>
        <w:t xml:space="preserve"> to maintain </w:t>
      </w:r>
      <w:r w:rsidR="009553B1">
        <w:t>climbing</w:t>
      </w:r>
      <w:r>
        <w:t xml:space="preserve"> space above communication lines in accordance with Rule</w:t>
      </w:r>
      <w:r w:rsidR="00AB6DAD">
        <w:t> </w:t>
      </w:r>
      <w:r>
        <w:t xml:space="preserve">84.7.  There is no rule that </w:t>
      </w:r>
      <w:r w:rsidR="008C6BD2">
        <w:t xml:space="preserve">(1) </w:t>
      </w:r>
      <w:r>
        <w:t xml:space="preserve">requires </w:t>
      </w:r>
      <w:r w:rsidR="00176B0A">
        <w:t>antenna</w:t>
      </w:r>
      <w:r w:rsidR="008C6BD2">
        <w:t>s</w:t>
      </w:r>
      <w:r>
        <w:t xml:space="preserve"> to maintain climbing space below supply lines or communication lines</w:t>
      </w:r>
      <w:r w:rsidR="008C6BD2">
        <w:t xml:space="preserve">, and (2) prohibits interference with fall-protection </w:t>
      </w:r>
      <w:r w:rsidR="003B0769">
        <w:t>gear</w:t>
      </w:r>
      <w:r>
        <w:t xml:space="preserve">.   </w:t>
      </w:r>
    </w:p>
    <w:p w:rsidR="006D5CA3" w:rsidRDefault="008300D6" w:rsidP="008504A4">
      <w:pPr>
        <w:pStyle w:val="standard"/>
      </w:pPr>
      <w:r>
        <w:t xml:space="preserve">The record of this proceeding shows that </w:t>
      </w:r>
      <w:r w:rsidR="0088314C">
        <w:t>Fed</w:t>
      </w:r>
      <w:r w:rsidR="00176B0A">
        <w:t>eral</w:t>
      </w:r>
      <w:r w:rsidR="0088314C">
        <w:t xml:space="preserve"> OSHA regulations require </w:t>
      </w:r>
      <w:r>
        <w:t>worker</w:t>
      </w:r>
      <w:r w:rsidR="00EF4A6D">
        <w:t>s</w:t>
      </w:r>
      <w:r w:rsidR="008C6BD2">
        <w:t xml:space="preserve"> who</w:t>
      </w:r>
      <w:r>
        <w:t xml:space="preserve"> climb </w:t>
      </w:r>
      <w:r w:rsidR="008C6BD2">
        <w:t xml:space="preserve">a </w:t>
      </w:r>
      <w:r>
        <w:t>pole</w:t>
      </w:r>
      <w:r w:rsidR="00D403C0">
        <w:t xml:space="preserve"> </w:t>
      </w:r>
      <w:r w:rsidR="008C6BD2">
        <w:t xml:space="preserve">to </w:t>
      </w:r>
      <w:r>
        <w:t xml:space="preserve">be </w:t>
      </w:r>
      <w:r w:rsidR="00D403C0">
        <w:t>secured</w:t>
      </w:r>
      <w:r>
        <w:t xml:space="preserve"> to the pole at all times with a safety belt</w:t>
      </w:r>
      <w:r w:rsidR="0088314C">
        <w:t xml:space="preserve">.  The record further shows that CMRS </w:t>
      </w:r>
      <w:r w:rsidR="00176B0A">
        <w:t xml:space="preserve">pole </w:t>
      </w:r>
      <w:r w:rsidR="0088314C">
        <w:t xml:space="preserve">installations </w:t>
      </w:r>
      <w:r w:rsidR="00327D29">
        <w:t>typically</w:t>
      </w:r>
      <w:r w:rsidR="00AB5297">
        <w:t xml:space="preserve"> include an antenna, shut-off switch, power meter, battery backup, remote amplifiers, power cabinet, and risers that </w:t>
      </w:r>
      <w:r w:rsidR="0088314C">
        <w:t xml:space="preserve">together </w:t>
      </w:r>
      <w:r w:rsidR="00327D29">
        <w:t>occupy</w:t>
      </w:r>
      <w:r w:rsidR="0088314C">
        <w:t xml:space="preserve"> 6 to 12 feet of pole space (not including safety clearances</w:t>
      </w:r>
      <w:r w:rsidR="00AB5297">
        <w:t xml:space="preserve"> and risers</w:t>
      </w:r>
      <w:r w:rsidR="0088314C">
        <w:t>).</w:t>
      </w:r>
      <w:r w:rsidR="00847FA9">
        <w:rPr>
          <w:rStyle w:val="FootnoteReference"/>
        </w:rPr>
        <w:footnoteReference w:id="93"/>
      </w:r>
      <w:r w:rsidR="0088314C">
        <w:t xml:space="preserve">  </w:t>
      </w:r>
      <w:r w:rsidR="00CE20B5">
        <w:t xml:space="preserve">CMRS installations can </w:t>
      </w:r>
      <w:r w:rsidR="00D86E5C">
        <w:t>obstruct</w:t>
      </w:r>
      <w:r w:rsidR="004F1F16">
        <w:t xml:space="preserve"> climbing space and interfere w</w:t>
      </w:r>
      <w:r w:rsidR="0028608D">
        <w:t>ith fall</w:t>
      </w:r>
      <w:r w:rsidR="0028608D">
        <w:noBreakHyphen/>
        <w:t xml:space="preserve">protection </w:t>
      </w:r>
      <w:r w:rsidR="003B0769">
        <w:t>gear</w:t>
      </w:r>
      <w:r w:rsidR="0028608D">
        <w:t xml:space="preserve">.  </w:t>
      </w:r>
    </w:p>
    <w:p w:rsidR="002D5BA1" w:rsidRDefault="00594830" w:rsidP="008504A4">
      <w:pPr>
        <w:pStyle w:val="standard"/>
      </w:pPr>
      <w:r>
        <w:t xml:space="preserve">We conclude </w:t>
      </w:r>
      <w:r w:rsidR="00EF5C7E">
        <w:t>that in order to protect the safety of workers who climb pole</w:t>
      </w:r>
      <w:r w:rsidR="00176B0A">
        <w:t>s</w:t>
      </w:r>
      <w:r w:rsidR="00EF5C7E">
        <w:t xml:space="preserve">, it is reasonable to adopt a new Rule 94.6-C that </w:t>
      </w:r>
      <w:r w:rsidR="000C5F88">
        <w:t>prohibits impairment of climbin</w:t>
      </w:r>
      <w:r w:rsidR="00AB2A52">
        <w:t>g</w:t>
      </w:r>
      <w:r w:rsidR="000C5F88">
        <w:t xml:space="preserve"> space or interference with fall-protection </w:t>
      </w:r>
      <w:r w:rsidR="003B0769">
        <w:t>gear</w:t>
      </w:r>
      <w:r w:rsidR="00D4147A">
        <w:t>, except as allowed by GO 95</w:t>
      </w:r>
      <w:r w:rsidR="000C5F88">
        <w:t xml:space="preserve">.  </w:t>
      </w:r>
      <w:r w:rsidR="00A025A8">
        <w:t>Of the three alternative propos</w:t>
      </w:r>
      <w:r w:rsidR="002B2AEC">
        <w:t>als</w:t>
      </w:r>
      <w:r w:rsidR="00A025A8">
        <w:t>, only t</w:t>
      </w:r>
      <w:r w:rsidR="00AB2A52">
        <w:t>he Electric IOUs’ proposed Rule</w:t>
      </w:r>
      <w:r w:rsidR="00133994">
        <w:t> </w:t>
      </w:r>
      <w:r w:rsidR="00AB2A52">
        <w:t xml:space="preserve">94.6-C </w:t>
      </w:r>
      <w:r w:rsidR="00A025A8">
        <w:t>addresses both impairment of climbing space and interference with fall-restraint equipment.  We therefore adopt the Electric IOUs’ proposed rule</w:t>
      </w:r>
      <w:r w:rsidR="001B76BA">
        <w:t xml:space="preserve">, </w:t>
      </w:r>
      <w:r w:rsidR="001B76BA">
        <w:lastRenderedPageBreak/>
        <w:t xml:space="preserve">but with </w:t>
      </w:r>
      <w:r w:rsidR="008F4AF9">
        <w:t>three</w:t>
      </w:r>
      <w:r w:rsidR="0049344E">
        <w:t xml:space="preserve"> </w:t>
      </w:r>
      <w:r w:rsidR="00327D29">
        <w:t>significant</w:t>
      </w:r>
      <w:r w:rsidR="001B76BA">
        <w:t xml:space="preserve"> modifications</w:t>
      </w:r>
      <w:r w:rsidR="00A025A8">
        <w:t xml:space="preserve">.  </w:t>
      </w:r>
      <w:r w:rsidR="001B76BA">
        <w:t>First, the Electric</w:t>
      </w:r>
      <w:r w:rsidR="0049344E">
        <w:t> </w:t>
      </w:r>
      <w:r w:rsidR="001B76BA">
        <w:t>IOUs</w:t>
      </w:r>
      <w:r w:rsidR="0049344E">
        <w:t>’</w:t>
      </w:r>
      <w:r w:rsidR="001B76BA">
        <w:t xml:space="preserve"> proposed Rule 94.6-C states that “unnecessary” impairment or interference is not permitted.  We </w:t>
      </w:r>
      <w:r w:rsidR="007C2498">
        <w:t xml:space="preserve">agree with SED that </w:t>
      </w:r>
      <w:r w:rsidR="002D5BA1">
        <w:t xml:space="preserve">the term “unnecessary” </w:t>
      </w:r>
      <w:r w:rsidR="007C2498">
        <w:t xml:space="preserve">should not be included in the adopted rule.  </w:t>
      </w:r>
      <w:r w:rsidR="00E312C2">
        <w:t xml:space="preserve">We find the </w:t>
      </w:r>
      <w:r w:rsidR="007C2498">
        <w:t xml:space="preserve">term “unnecessary” is </w:t>
      </w:r>
      <w:r w:rsidR="00E312C2">
        <w:t xml:space="preserve">not only </w:t>
      </w:r>
      <w:r w:rsidR="002D5BA1">
        <w:t>vague</w:t>
      </w:r>
      <w:r w:rsidR="00E312C2">
        <w:t>, but</w:t>
      </w:r>
      <w:r w:rsidR="007C2498">
        <w:t xml:space="preserve"> </w:t>
      </w:r>
      <w:r w:rsidR="002D5BA1">
        <w:t xml:space="preserve">inconsistent with Rules 54.7 and 84.7, which do not allow </w:t>
      </w:r>
      <w:r w:rsidR="00327D29">
        <w:t>obstructions</w:t>
      </w:r>
      <w:r w:rsidR="002D5BA1">
        <w:t xml:space="preserve"> of climbing space except as authorized by these rules.</w:t>
      </w:r>
      <w:r w:rsidR="00796666">
        <w:rPr>
          <w:rStyle w:val="FootnoteReference"/>
        </w:rPr>
        <w:footnoteReference w:id="94"/>
      </w:r>
      <w:r w:rsidR="002D5BA1">
        <w:t xml:space="preserve">  </w:t>
      </w:r>
    </w:p>
    <w:p w:rsidR="00AB2A52" w:rsidRDefault="007003FC" w:rsidP="008504A4">
      <w:pPr>
        <w:pStyle w:val="standard"/>
      </w:pPr>
      <w:r>
        <w:t>Second, w</w:t>
      </w:r>
      <w:r w:rsidR="00A025A8">
        <w:t xml:space="preserve">e agree with AT&amp;T Mobility and CTIA that in order to avoid confusion and controversy about what constitutes interference with fall-protection </w:t>
      </w:r>
      <w:r w:rsidR="003B0769">
        <w:t>gear</w:t>
      </w:r>
      <w:r w:rsidR="00A025A8">
        <w:t>, it is helpful to include in the adopted Rule</w:t>
      </w:r>
      <w:r w:rsidR="00914B77">
        <w:t> </w:t>
      </w:r>
      <w:r w:rsidR="00A025A8">
        <w:t>94.6</w:t>
      </w:r>
      <w:r w:rsidR="00914B77">
        <w:noBreakHyphen/>
      </w:r>
      <w:r w:rsidR="00A025A8">
        <w:t xml:space="preserve">C </w:t>
      </w:r>
      <w:r w:rsidR="002B2AEC">
        <w:t xml:space="preserve">the </w:t>
      </w:r>
      <w:r w:rsidR="00A025A8">
        <w:t xml:space="preserve">examples </w:t>
      </w:r>
      <w:r w:rsidR="0049344E">
        <w:t xml:space="preserve">provided by these parties </w:t>
      </w:r>
      <w:r w:rsidR="00A025A8">
        <w:t xml:space="preserve">of attachments that </w:t>
      </w:r>
      <w:r w:rsidR="0049344E">
        <w:t>do</w:t>
      </w:r>
      <w:r w:rsidR="00A025A8">
        <w:t xml:space="preserve"> </w:t>
      </w:r>
      <w:r w:rsidR="00235FDB">
        <w:t xml:space="preserve">not </w:t>
      </w:r>
      <w:r w:rsidR="00A025A8">
        <w:t>cause interference</w:t>
      </w:r>
      <w:r w:rsidR="002B2AEC">
        <w:t xml:space="preserve">.  However, </w:t>
      </w:r>
      <w:r w:rsidR="005D05EB">
        <w:t>we decline to include in the adopted rule the statement that the</w:t>
      </w:r>
      <w:r w:rsidR="00914B77">
        <w:t>se</w:t>
      </w:r>
      <w:r w:rsidR="005D05EB">
        <w:t xml:space="preserve"> examples “</w:t>
      </w:r>
      <w:r w:rsidR="00D16B0C">
        <w:t>shall</w:t>
      </w:r>
      <w:r w:rsidR="005D05EB">
        <w:t xml:space="preserve"> not</w:t>
      </w:r>
      <w:r w:rsidR="00D16B0C">
        <w:t xml:space="preserve"> be considered to interfere</w:t>
      </w:r>
      <w:r w:rsidR="005D05EB">
        <w:t>” with fall</w:t>
      </w:r>
      <w:r w:rsidR="007B1638">
        <w:noBreakHyphen/>
      </w:r>
      <w:r w:rsidR="005D05EB">
        <w:t xml:space="preserve">protection </w:t>
      </w:r>
      <w:r w:rsidR="003B0769">
        <w:t>gear</w:t>
      </w:r>
      <w:r w:rsidR="005D05EB">
        <w:t xml:space="preserve">, as this might not be true in every situation.  Instead, </w:t>
      </w:r>
      <w:r w:rsidR="007B1638">
        <w:t>our</w:t>
      </w:r>
      <w:r w:rsidR="005D05EB">
        <w:t xml:space="preserve"> adopted text states that the examples “may not” cause interference.  Also, </w:t>
      </w:r>
      <w:r w:rsidR="002B2AEC">
        <w:t xml:space="preserve">instead of </w:t>
      </w:r>
      <w:r w:rsidR="005D05EB">
        <w:t>embedding</w:t>
      </w:r>
      <w:r w:rsidR="002B2AEC">
        <w:t xml:space="preserve"> these examples </w:t>
      </w:r>
      <w:r w:rsidR="005D05EB">
        <w:t xml:space="preserve">in Rule 94.6-C </w:t>
      </w:r>
      <w:r w:rsidR="002B2AEC">
        <w:t>itself, we will place the</w:t>
      </w:r>
      <w:r w:rsidR="007B1638">
        <w:t xml:space="preserve"> examples </w:t>
      </w:r>
      <w:r w:rsidR="002B2AEC">
        <w:t xml:space="preserve">in a note that accompanies </w:t>
      </w:r>
      <w:r w:rsidR="005D05EB">
        <w:t>the rule</w:t>
      </w:r>
      <w:r w:rsidR="002B2AEC">
        <w:t xml:space="preserve"> as </w:t>
      </w:r>
      <w:r w:rsidR="001B76BA">
        <w:t>suggested</w:t>
      </w:r>
      <w:r w:rsidR="002B2AEC">
        <w:t xml:space="preserve"> by the Electric</w:t>
      </w:r>
      <w:r w:rsidR="005D05EB">
        <w:t> </w:t>
      </w:r>
      <w:r w:rsidR="002B2AEC">
        <w:t>IOUs</w:t>
      </w:r>
      <w:r w:rsidR="00A025A8">
        <w:t>.</w:t>
      </w:r>
      <w:r w:rsidR="009D3D1C">
        <w:rPr>
          <w:rStyle w:val="FootnoteReference"/>
        </w:rPr>
        <w:footnoteReference w:id="95"/>
      </w:r>
      <w:r w:rsidR="00A025A8">
        <w:t xml:space="preserve"> </w:t>
      </w:r>
      <w:r w:rsidR="002B2AEC">
        <w:t xml:space="preserve"> </w:t>
      </w:r>
      <w:r w:rsidR="00A025A8">
        <w:t xml:space="preserve">  </w:t>
      </w:r>
    </w:p>
    <w:p w:rsidR="00AB2A52" w:rsidRDefault="008F4AF9" w:rsidP="008504A4">
      <w:pPr>
        <w:pStyle w:val="standard"/>
      </w:pPr>
      <w:r>
        <w:t xml:space="preserve">Finally, we have added text to our adopted Rule 94.6-C </w:t>
      </w:r>
      <w:r w:rsidR="00D4147A">
        <w:t xml:space="preserve">to make it clear that the rule </w:t>
      </w:r>
      <w:r>
        <w:t xml:space="preserve">applies to all </w:t>
      </w:r>
      <w:r w:rsidR="00BD2B1A">
        <w:t>attachments that comprise a</w:t>
      </w:r>
      <w:r>
        <w:t xml:space="preserve"> CMRS </w:t>
      </w:r>
      <w:r w:rsidR="00BD2B1A">
        <w:t xml:space="preserve">pole </w:t>
      </w:r>
      <w:r>
        <w:t>installation</w:t>
      </w:r>
      <w:r w:rsidR="00914B77">
        <w:t>, not just antennas</w:t>
      </w:r>
      <w:r>
        <w:t xml:space="preserve">.  </w:t>
      </w:r>
      <w:r w:rsidR="002B2AEC">
        <w:t>The text of the adopted Rule 94.6-C and its accompanying note are contained in Appendix</w:t>
      </w:r>
      <w:r w:rsidR="00BD2B1A">
        <w:t> </w:t>
      </w:r>
      <w:r w:rsidR="002B2AEC">
        <w:t>C of today’s decision.</w:t>
      </w:r>
    </w:p>
    <w:p w:rsidR="00181280" w:rsidRDefault="00181280" w:rsidP="008504A4">
      <w:pPr>
        <w:pStyle w:val="standard"/>
      </w:pPr>
      <w:r>
        <w:t>No party suggests, and we do not find, that the costs of the adopted Rule 94.6</w:t>
      </w:r>
      <w:r>
        <w:noBreakHyphen/>
        <w:t xml:space="preserve">C will be significant or </w:t>
      </w:r>
      <w:r w:rsidR="00115FAD">
        <w:t xml:space="preserve">exceed </w:t>
      </w:r>
      <w:r>
        <w:t xml:space="preserve">the rule’s safety benefits.  </w:t>
      </w:r>
    </w:p>
    <w:p w:rsidR="00D94E3E" w:rsidRDefault="003148D6" w:rsidP="00D94E3E">
      <w:pPr>
        <w:pStyle w:val="standard"/>
      </w:pPr>
      <w:r>
        <w:lastRenderedPageBreak/>
        <w:t>W</w:t>
      </w:r>
      <w:r w:rsidR="00D94E3E">
        <w:t xml:space="preserve">e disagree with AT&amp;T Mobility and others that the adopted Rule 94.6-C is unnecessary because there are Federal OSHA regulations regarding the use of fall-protection gear.  Today’s decision relies on the representation by the Electric IOUs that there are no Federal OSHA regulations regarding interference with fall-protection gear.  No party has rebutted the Electric IOUs’ representation.  </w:t>
      </w:r>
    </w:p>
    <w:p w:rsidR="00594830" w:rsidRDefault="000C5F88" w:rsidP="008504A4">
      <w:pPr>
        <w:pStyle w:val="standard"/>
      </w:pPr>
      <w:r>
        <w:t xml:space="preserve">We reject the argument by </w:t>
      </w:r>
      <w:r w:rsidR="00165274">
        <w:t xml:space="preserve">several parties </w:t>
      </w:r>
      <w:r>
        <w:t xml:space="preserve">that there is no need for </w:t>
      </w:r>
      <w:r w:rsidR="00FD1B97">
        <w:t>the adopted Rule 94.6</w:t>
      </w:r>
      <w:r w:rsidR="00FD1B97">
        <w:noBreakHyphen/>
        <w:t xml:space="preserve">C.  </w:t>
      </w:r>
      <w:r>
        <w:t xml:space="preserve">The record </w:t>
      </w:r>
      <w:r w:rsidR="007121DE">
        <w:t xml:space="preserve">of this </w:t>
      </w:r>
      <w:r w:rsidR="00327D29">
        <w:t>proceeding</w:t>
      </w:r>
      <w:r w:rsidR="007121DE">
        <w:t xml:space="preserve"> </w:t>
      </w:r>
      <w:r>
        <w:t xml:space="preserve">demonstrates that CMRS installations can impair climbing space and </w:t>
      </w:r>
      <w:r w:rsidR="0054199D">
        <w:t xml:space="preserve">interfere with </w:t>
      </w:r>
      <w:r>
        <w:t xml:space="preserve">fall-protection </w:t>
      </w:r>
      <w:r w:rsidR="003B0769">
        <w:t>gear</w:t>
      </w:r>
      <w:r>
        <w:t>.</w:t>
      </w:r>
      <w:r w:rsidR="00914B77">
        <w:rPr>
          <w:rStyle w:val="FootnoteReference"/>
        </w:rPr>
        <w:footnoteReference w:id="96"/>
      </w:r>
      <w:r w:rsidR="00FD1B97">
        <w:t xml:space="preserve">  The adopted rule </w:t>
      </w:r>
      <w:r w:rsidR="004A259F">
        <w:t xml:space="preserve">prohibits </w:t>
      </w:r>
      <w:r w:rsidR="0054199D">
        <w:t xml:space="preserve">such installations </w:t>
      </w:r>
      <w:r w:rsidR="006076E7">
        <w:t>except as permitted by GO</w:t>
      </w:r>
      <w:r w:rsidR="00914B77">
        <w:t> </w:t>
      </w:r>
      <w:r w:rsidR="006076E7">
        <w:t>95</w:t>
      </w:r>
      <w:r w:rsidR="00FD1B97">
        <w:t>.</w:t>
      </w:r>
      <w:r>
        <w:t xml:space="preserve">  </w:t>
      </w:r>
    </w:p>
    <w:p w:rsidR="0054199D" w:rsidRDefault="0049066E" w:rsidP="008504A4">
      <w:pPr>
        <w:pStyle w:val="standard"/>
      </w:pPr>
      <w:r>
        <w:t xml:space="preserve">We reject the argument by </w:t>
      </w:r>
      <w:r w:rsidR="00165274">
        <w:t>several</w:t>
      </w:r>
      <w:r>
        <w:t xml:space="preserve"> parties that </w:t>
      </w:r>
      <w:r w:rsidR="001639BD">
        <w:t xml:space="preserve">the adopted </w:t>
      </w:r>
      <w:r w:rsidR="0054199D">
        <w:t>Rule 94.6</w:t>
      </w:r>
      <w:r w:rsidR="0054199D">
        <w:noBreakHyphen/>
        <w:t>C</w:t>
      </w:r>
      <w:r w:rsidR="001639BD">
        <w:t xml:space="preserve"> is </w:t>
      </w:r>
      <w:r>
        <w:t xml:space="preserve">discriminatory </w:t>
      </w:r>
      <w:r w:rsidR="001639BD">
        <w:t xml:space="preserve">because it </w:t>
      </w:r>
      <w:r>
        <w:t xml:space="preserve">applies to CMRS </w:t>
      </w:r>
      <w:r w:rsidR="005D541A">
        <w:t>attachments</w:t>
      </w:r>
      <w:r>
        <w:t xml:space="preserve"> but not other attach</w:t>
      </w:r>
      <w:r w:rsidR="005D541A">
        <w:t>ments</w:t>
      </w:r>
      <w:r>
        <w:t xml:space="preserve">.  </w:t>
      </w:r>
      <w:r w:rsidR="003148D6">
        <w:t xml:space="preserve">This is simply not true with respect to interference with climbing space.  </w:t>
      </w:r>
      <w:r w:rsidR="0054199D">
        <w:t xml:space="preserve">Electric utilities, communication carriers, and CATV corporations are already prohibited by Rules 54.7 and 84.7 from attaching facilities that impair climbing space except as </w:t>
      </w:r>
      <w:r w:rsidR="00341936">
        <w:t>permitted</w:t>
      </w:r>
      <w:r w:rsidR="0054199D">
        <w:t xml:space="preserve"> by those rules.  The adopted Rule 94.6</w:t>
      </w:r>
      <w:r w:rsidR="0054199D">
        <w:noBreakHyphen/>
        <w:t xml:space="preserve">C does the same with respect to CMRS </w:t>
      </w:r>
      <w:r w:rsidR="005D541A">
        <w:t>attachments</w:t>
      </w:r>
      <w:r w:rsidR="0054199D">
        <w:t xml:space="preserve">.  </w:t>
      </w:r>
    </w:p>
    <w:p w:rsidR="00F86E57" w:rsidRDefault="00A8196E" w:rsidP="00A8196E">
      <w:pPr>
        <w:pStyle w:val="standard"/>
      </w:pPr>
      <w:r>
        <w:t xml:space="preserve">On the other hand, </w:t>
      </w:r>
      <w:r w:rsidR="00F86E57">
        <w:t>there are currently no rules in GO 95 regarding interference with fall</w:t>
      </w:r>
      <w:r w:rsidR="00F86E57">
        <w:noBreakHyphen/>
        <w:t xml:space="preserve">protection </w:t>
      </w:r>
      <w:r w:rsidR="003B0769">
        <w:t>gear</w:t>
      </w:r>
      <w:r w:rsidR="00F86E57">
        <w:t xml:space="preserve">.  </w:t>
      </w:r>
      <w:r w:rsidR="003148D6">
        <w:t>Furthermore, t</w:t>
      </w:r>
      <w:r w:rsidR="00F86E57">
        <w:t>he record of this proceeding shows that at least one entity</w:t>
      </w:r>
      <w:r w:rsidR="005C2349">
        <w:t xml:space="preserve"> </w:t>
      </w:r>
      <w:r w:rsidR="003148D6">
        <w:t>—</w:t>
      </w:r>
      <w:r w:rsidR="005C2349">
        <w:t xml:space="preserve"> </w:t>
      </w:r>
      <w:r w:rsidR="00F86E57">
        <w:t>SCE</w:t>
      </w:r>
      <w:r w:rsidR="005C2349">
        <w:t xml:space="preserve"> </w:t>
      </w:r>
      <w:r w:rsidR="003148D6">
        <w:t>—</w:t>
      </w:r>
      <w:r w:rsidR="005C2349">
        <w:t xml:space="preserve"> </w:t>
      </w:r>
      <w:r w:rsidR="00F86E57">
        <w:t xml:space="preserve">attaches facilities to poles in a way that interferes with fall-protection </w:t>
      </w:r>
      <w:r w:rsidR="003B0769">
        <w:t>gear</w:t>
      </w:r>
      <w:r w:rsidR="00F86E57">
        <w:t xml:space="preserve">.  However, we reject the argument that it is unduly discriminatory to adopt a rule that prohibits interference with fall-protection </w:t>
      </w:r>
      <w:r w:rsidR="003B0769">
        <w:t>gear</w:t>
      </w:r>
      <w:r w:rsidR="00F86E57">
        <w:t xml:space="preserve"> by CMRS attachments when there is no rule prohibiting </w:t>
      </w:r>
      <w:r w:rsidR="00F86E57">
        <w:lastRenderedPageBreak/>
        <w:t xml:space="preserve">interference by electric utility attachments.  Acceding to this argument would have the unacceptable result of allowing CMRS carriers to attach facilities that typically occupy 6 to 12 feet of pole space without regard to the interference that such facilities can create for fall-protection gear.  </w:t>
      </w:r>
    </w:p>
    <w:p w:rsidR="00A8196E" w:rsidRDefault="00A8196E" w:rsidP="00A8196E">
      <w:pPr>
        <w:pStyle w:val="standard"/>
      </w:pPr>
      <w:r>
        <w:t xml:space="preserve">At the same time, we </w:t>
      </w:r>
      <w:r w:rsidR="00D94E3E">
        <w:t>acknowledge that no pole attachments should interfere with fall-protection gear except as authorized by GO</w:t>
      </w:r>
      <w:r w:rsidR="00DE3B74">
        <w:t> </w:t>
      </w:r>
      <w:r w:rsidR="00D94E3E">
        <w:t xml:space="preserve">95.  </w:t>
      </w:r>
      <w:r>
        <w:t xml:space="preserve">However, </w:t>
      </w:r>
      <w:r w:rsidR="008F7BDA">
        <w:t xml:space="preserve">because </w:t>
      </w:r>
      <w:r>
        <w:t>the scope of this proceeding is limited to CMRS installations</w:t>
      </w:r>
      <w:r w:rsidR="008F7BDA">
        <w:t xml:space="preserve">, </w:t>
      </w:r>
      <w:r>
        <w:t xml:space="preserve">we cannot adopt GO 95 rules in this proceeding that extend beyond CMRS installations.  Nonetheless, to ensure that the </w:t>
      </w:r>
      <w:r w:rsidR="00D94E3E">
        <w:t xml:space="preserve">issue of interference with fall-protection gear is </w:t>
      </w:r>
      <w:r>
        <w:t>addressed and resolved, we will direct SED to develop a proposed rule for inclusion in GO 95 that is similar to Rule 94.</w:t>
      </w:r>
      <w:r w:rsidR="00D94E3E">
        <w:t>6</w:t>
      </w:r>
      <w:r w:rsidR="00D94E3E">
        <w:noBreakHyphen/>
        <w:t>C</w:t>
      </w:r>
      <w:r>
        <w:t xml:space="preserve"> adopted by today’s decision, but which applies to all pole</w:t>
      </w:r>
      <w:r w:rsidR="003B0769">
        <w:t xml:space="preserve"> </w:t>
      </w:r>
      <w:r>
        <w:t>installations.  The proposed rule may modify or replace Rule 94.</w:t>
      </w:r>
      <w:r w:rsidR="00D94E3E">
        <w:t xml:space="preserve">6-C </w:t>
      </w:r>
      <w:r w:rsidR="003B0769">
        <w:t>adopted by today’s decision</w:t>
      </w:r>
      <w:r>
        <w:t xml:space="preserve">.  </w:t>
      </w:r>
    </w:p>
    <w:p w:rsidR="00A8196E" w:rsidRDefault="00A8196E" w:rsidP="00A8196E">
      <w:pPr>
        <w:pStyle w:val="standard"/>
      </w:pPr>
      <w:r>
        <w:t xml:space="preserve">In developing the proposed rule, SED shall confer with the GO 95 Rules Committee.  SED shall submit the proposed rule within </w:t>
      </w:r>
      <w:r w:rsidR="00366990">
        <w:t>12</w:t>
      </w:r>
      <w:r w:rsidR="00DE3B74">
        <w:t> </w:t>
      </w:r>
      <w:r>
        <w:t xml:space="preserve">months from the effective date of today’s decision by filing a petition for rulemaking pursuant to Rule 6.3 of the Commission’s Rules of Practice and Procedure.  The petition may be filed in collaboration with other parties.  </w:t>
      </w:r>
    </w:p>
    <w:p w:rsidR="00441CD9" w:rsidRDefault="00AF5FC0" w:rsidP="005719C6">
      <w:pPr>
        <w:pStyle w:val="Heading3"/>
      </w:pPr>
      <w:bookmarkStart w:id="95" w:name="_Toc436647355"/>
      <w:r>
        <w:t xml:space="preserve">Proposed Revisions to </w:t>
      </w:r>
      <w:r w:rsidR="00441CD9">
        <w:t>Rule 94.9 (De</w:t>
      </w:r>
      <w:r w:rsidR="00441CD9">
        <w:noBreakHyphen/>
        <w:t>Energizing Protocols)</w:t>
      </w:r>
      <w:bookmarkEnd w:id="95"/>
      <w:r w:rsidR="00441CD9">
        <w:t xml:space="preserve"> </w:t>
      </w:r>
    </w:p>
    <w:p w:rsidR="00441CD9" w:rsidRDefault="00441CD9" w:rsidP="00A845DC">
      <w:pPr>
        <w:pStyle w:val="Heading4"/>
      </w:pPr>
      <w:bookmarkStart w:id="96" w:name="_Toc436647356"/>
      <w:r>
        <w:t>Summary of the Proposal</w:t>
      </w:r>
      <w:bookmarkEnd w:id="96"/>
      <w:r>
        <w:t xml:space="preserve"> </w:t>
      </w:r>
    </w:p>
    <w:p w:rsidR="00531911" w:rsidRDefault="008851E1" w:rsidP="00531911">
      <w:pPr>
        <w:pStyle w:val="standard"/>
      </w:pPr>
      <w:r>
        <w:t xml:space="preserve">Rule 94.9 of GO 95 requires </w:t>
      </w:r>
      <w:r w:rsidR="00812310">
        <w:t xml:space="preserve">the owner of an antenna attached to a </w:t>
      </w:r>
      <w:r>
        <w:t>joint</w:t>
      </w:r>
      <w:r w:rsidR="00A44180">
        <w:noBreakHyphen/>
      </w:r>
      <w:r>
        <w:t>use pole to enter into an agreement with the pole owner(s) “</w:t>
      </w:r>
      <w:r w:rsidRPr="008851E1">
        <w:t>that includes de</w:t>
      </w:r>
      <w:r w:rsidR="009E1756">
        <w:noBreakHyphen/>
      </w:r>
      <w:r w:rsidRPr="008851E1">
        <w:t xml:space="preserve">energizing protocols that are substantially similar to and achieve at least the </w:t>
      </w:r>
      <w:r w:rsidRPr="008851E1">
        <w:lastRenderedPageBreak/>
        <w:t>same safety standards as those set forth in Appendix</w:t>
      </w:r>
      <w:r>
        <w:t> </w:t>
      </w:r>
      <w:r w:rsidRPr="008851E1">
        <w:t>H to GO</w:t>
      </w:r>
      <w:r>
        <w:t> </w:t>
      </w:r>
      <w:r w:rsidRPr="008851E1">
        <w:t>95</w:t>
      </w:r>
      <w:r>
        <w:t>.</w:t>
      </w:r>
      <w:r w:rsidR="00A44180">
        <w:rPr>
          <w:rStyle w:val="FootnoteReference"/>
        </w:rPr>
        <w:footnoteReference w:id="97"/>
      </w:r>
      <w:r>
        <w:t xml:space="preserve">”  Appendix H is the text of a settlement agreement </w:t>
      </w:r>
      <w:r w:rsidR="009E1756">
        <w:t xml:space="preserve">(hereafter, “Settlement Agreement”) </w:t>
      </w:r>
      <w:r>
        <w:t xml:space="preserve">that was approved by the Commission in D.07-02-030.  </w:t>
      </w:r>
      <w:r w:rsidR="00531911">
        <w:t>Among other things, Appendix</w:t>
      </w:r>
      <w:r w:rsidR="003B4B51">
        <w:t> </w:t>
      </w:r>
      <w:r w:rsidR="00531911">
        <w:t>H</w:t>
      </w:r>
      <w:r w:rsidR="00812310">
        <w:t xml:space="preserve"> </w:t>
      </w:r>
      <w:r w:rsidR="00531911">
        <w:t>establishes protocols for de-energizing antenna</w:t>
      </w:r>
      <w:r w:rsidR="00812310">
        <w:t>s</w:t>
      </w:r>
      <w:r w:rsidR="00531911">
        <w:t xml:space="preserve"> </w:t>
      </w:r>
      <w:r w:rsidR="00756A5A">
        <w:t xml:space="preserve">on a pole </w:t>
      </w:r>
      <w:r w:rsidR="00BC5F03">
        <w:t xml:space="preserve">when necessary </w:t>
      </w:r>
      <w:r w:rsidR="00531911">
        <w:t xml:space="preserve">to perform </w:t>
      </w:r>
      <w:r w:rsidR="00756A5A">
        <w:t xml:space="preserve">routine </w:t>
      </w:r>
      <w:r w:rsidR="00BC5F03">
        <w:t>or</w:t>
      </w:r>
      <w:r w:rsidR="00756A5A">
        <w:t xml:space="preserve"> emergency work on</w:t>
      </w:r>
      <w:r w:rsidR="00531911">
        <w:t xml:space="preserve"> the pole </w:t>
      </w:r>
      <w:r w:rsidR="00756A5A">
        <w:t>and</w:t>
      </w:r>
      <w:r w:rsidR="00AF32E0">
        <w:t>/or</w:t>
      </w:r>
      <w:r w:rsidR="00756A5A">
        <w:t xml:space="preserve"> other facilities attached to the pole.  </w:t>
      </w:r>
      <w:r w:rsidR="00531911">
        <w:t xml:space="preserve">  </w:t>
      </w:r>
    </w:p>
    <w:p w:rsidR="00AE7198" w:rsidRDefault="00AE7198" w:rsidP="00AE7198">
      <w:pPr>
        <w:pStyle w:val="standard"/>
      </w:pPr>
      <w:r>
        <w:t>SED’s propos</w:t>
      </w:r>
      <w:r w:rsidR="00F24F80">
        <w:t xml:space="preserve">ed revisions to </w:t>
      </w:r>
      <w:r>
        <w:t xml:space="preserve">Rule 94.9 </w:t>
      </w:r>
      <w:r w:rsidR="00C623C6">
        <w:t xml:space="preserve">would require </w:t>
      </w:r>
      <w:r w:rsidR="00812310">
        <w:t xml:space="preserve">antenna owners </w:t>
      </w:r>
      <w:r w:rsidR="00C623C6">
        <w:t>to</w:t>
      </w:r>
      <w:r w:rsidR="00812310">
        <w:t xml:space="preserve"> comply with </w:t>
      </w:r>
      <w:r>
        <w:t xml:space="preserve">the </w:t>
      </w:r>
      <w:r w:rsidR="00812310">
        <w:t xml:space="preserve">antenna </w:t>
      </w:r>
      <w:r w:rsidRPr="0032304A">
        <w:t>de</w:t>
      </w:r>
      <w:r w:rsidR="00812310">
        <w:noBreakHyphen/>
      </w:r>
      <w:r w:rsidRPr="0032304A">
        <w:t>ene</w:t>
      </w:r>
      <w:r w:rsidR="00812310">
        <w:t>rgizing protocols in Appendix H</w:t>
      </w:r>
      <w:r>
        <w:t xml:space="preserve">.  </w:t>
      </w:r>
      <w:r w:rsidR="006275DD">
        <w:t>The text of S</w:t>
      </w:r>
      <w:r>
        <w:t xml:space="preserve">ED’s </w:t>
      </w:r>
      <w:r w:rsidR="006275DD">
        <w:t xml:space="preserve">proposed </w:t>
      </w:r>
      <w:r w:rsidR="009E1756">
        <w:t>revisions</w:t>
      </w:r>
      <w:r w:rsidR="006275DD">
        <w:t xml:space="preserve"> to</w:t>
      </w:r>
      <w:r>
        <w:t xml:space="preserve"> Rule 94.9 are set forth in Appendix B of today’s decision.  SED anticipates </w:t>
      </w:r>
      <w:r w:rsidR="00812310">
        <w:t>that its propos</w:t>
      </w:r>
      <w:r w:rsidR="00F754EB">
        <w:t xml:space="preserve">ed </w:t>
      </w:r>
      <w:r w:rsidR="00C623C6">
        <w:t>revisions</w:t>
      </w:r>
      <w:r w:rsidR="00F754EB">
        <w:t xml:space="preserve"> </w:t>
      </w:r>
      <w:r w:rsidR="00812310">
        <w:t xml:space="preserve">will have no significant financial or environmental </w:t>
      </w:r>
      <w:r>
        <w:t xml:space="preserve">impacts.    </w:t>
      </w:r>
    </w:p>
    <w:p w:rsidR="009F7CC4" w:rsidRDefault="009F7CC4" w:rsidP="00A845DC">
      <w:pPr>
        <w:pStyle w:val="Heading4"/>
      </w:pPr>
      <w:bookmarkStart w:id="97" w:name="_Toc436647357"/>
      <w:r>
        <w:t>Positions of the Parties</w:t>
      </w:r>
      <w:bookmarkEnd w:id="97"/>
      <w:r>
        <w:t xml:space="preserve">  </w:t>
      </w:r>
    </w:p>
    <w:p w:rsidR="0048176C" w:rsidRDefault="00CB40A5" w:rsidP="00CB40A5">
      <w:pPr>
        <w:pStyle w:val="standard"/>
        <w:rPr>
          <w:szCs w:val="24"/>
        </w:rPr>
      </w:pPr>
      <w:r>
        <w:rPr>
          <w:szCs w:val="24"/>
        </w:rPr>
        <w:t xml:space="preserve">SED </w:t>
      </w:r>
      <w:r w:rsidR="009B418C">
        <w:rPr>
          <w:szCs w:val="24"/>
        </w:rPr>
        <w:t xml:space="preserve">believes </w:t>
      </w:r>
      <w:r w:rsidR="00F24F80">
        <w:rPr>
          <w:szCs w:val="24"/>
        </w:rPr>
        <w:t>the current</w:t>
      </w:r>
      <w:r w:rsidR="009B418C">
        <w:rPr>
          <w:szCs w:val="24"/>
        </w:rPr>
        <w:t xml:space="preserve"> </w:t>
      </w:r>
      <w:r>
        <w:rPr>
          <w:szCs w:val="24"/>
        </w:rPr>
        <w:t xml:space="preserve">Rule 94.9 </w:t>
      </w:r>
      <w:r w:rsidR="009B418C">
        <w:rPr>
          <w:szCs w:val="24"/>
        </w:rPr>
        <w:t xml:space="preserve">is </w:t>
      </w:r>
      <w:r>
        <w:rPr>
          <w:szCs w:val="24"/>
        </w:rPr>
        <w:t xml:space="preserve">vague because it </w:t>
      </w:r>
      <w:r w:rsidR="0048176C">
        <w:rPr>
          <w:szCs w:val="24"/>
        </w:rPr>
        <w:t>requires antenna de</w:t>
      </w:r>
      <w:r w:rsidR="0048176C">
        <w:rPr>
          <w:szCs w:val="24"/>
        </w:rPr>
        <w:noBreakHyphen/>
        <w:t xml:space="preserve">energizing protocols </w:t>
      </w:r>
      <w:r w:rsidR="00242345">
        <w:rPr>
          <w:szCs w:val="24"/>
        </w:rPr>
        <w:t xml:space="preserve">to </w:t>
      </w:r>
      <w:r w:rsidR="0048176C">
        <w:rPr>
          <w:szCs w:val="24"/>
        </w:rPr>
        <w:t>be “substantial</w:t>
      </w:r>
      <w:r w:rsidR="00F754EB">
        <w:rPr>
          <w:szCs w:val="24"/>
        </w:rPr>
        <w:t>ly</w:t>
      </w:r>
      <w:r w:rsidR="0048176C">
        <w:rPr>
          <w:szCs w:val="24"/>
        </w:rPr>
        <w:t xml:space="preserve"> similar to” and “</w:t>
      </w:r>
      <w:r w:rsidR="00C604A6">
        <w:rPr>
          <w:szCs w:val="24"/>
        </w:rPr>
        <w:t>achieve</w:t>
      </w:r>
      <w:r w:rsidR="0048176C">
        <w:rPr>
          <w:szCs w:val="24"/>
        </w:rPr>
        <w:t xml:space="preserve"> at least</w:t>
      </w:r>
      <w:r w:rsidR="005540B8">
        <w:rPr>
          <w:szCs w:val="24"/>
        </w:rPr>
        <w:t xml:space="preserve"> </w:t>
      </w:r>
      <w:r w:rsidR="0048176C">
        <w:rPr>
          <w:szCs w:val="24"/>
        </w:rPr>
        <w:t xml:space="preserve">the same safety standards” </w:t>
      </w:r>
      <w:r w:rsidR="0048176C" w:rsidRPr="008851E1">
        <w:t>as those set forth in Appendix</w:t>
      </w:r>
      <w:r w:rsidR="0048176C">
        <w:t> </w:t>
      </w:r>
      <w:r w:rsidR="0048176C" w:rsidRPr="008851E1">
        <w:t xml:space="preserve">H </w:t>
      </w:r>
      <w:r w:rsidR="0048176C">
        <w:t>of</w:t>
      </w:r>
      <w:r w:rsidR="0048176C" w:rsidRPr="008851E1">
        <w:t xml:space="preserve"> GO</w:t>
      </w:r>
      <w:r w:rsidR="0048176C">
        <w:t> </w:t>
      </w:r>
      <w:r w:rsidR="0048176C" w:rsidRPr="008851E1">
        <w:t>95</w:t>
      </w:r>
      <w:r w:rsidR="0048176C">
        <w:t xml:space="preserve">.  </w:t>
      </w:r>
      <w:r w:rsidR="009E1756">
        <w:t>SED submits that c</w:t>
      </w:r>
      <w:r w:rsidR="009E1756" w:rsidRPr="00F51E6A">
        <w:t xml:space="preserve">larifying the applicability of </w:t>
      </w:r>
      <w:r w:rsidR="009E1756">
        <w:t xml:space="preserve">a </w:t>
      </w:r>
      <w:r w:rsidR="009E1756" w:rsidRPr="00F51E6A">
        <w:t xml:space="preserve">rule that </w:t>
      </w:r>
      <w:r w:rsidR="009E1756">
        <w:t xml:space="preserve">is intended to </w:t>
      </w:r>
      <w:r w:rsidR="009E1756" w:rsidRPr="00F51E6A">
        <w:t xml:space="preserve">protect workers from </w:t>
      </w:r>
      <w:r w:rsidR="009E1756">
        <w:t>exposure to RF</w:t>
      </w:r>
      <w:r w:rsidR="009E1756" w:rsidRPr="00F51E6A">
        <w:t xml:space="preserve"> </w:t>
      </w:r>
      <w:r w:rsidR="009E1756">
        <w:t>radiation</w:t>
      </w:r>
      <w:r w:rsidR="009E1756" w:rsidRPr="00F51E6A">
        <w:t xml:space="preserve"> would increase safety. </w:t>
      </w:r>
      <w:r w:rsidR="009E1756">
        <w:t xml:space="preserve"> </w:t>
      </w:r>
      <w:r w:rsidR="00242345">
        <w:t xml:space="preserve">SED’s proposal would remove ambiguity by </w:t>
      </w:r>
      <w:r w:rsidR="00812310">
        <w:t>mandating</w:t>
      </w:r>
      <w:r w:rsidR="00242345">
        <w:t xml:space="preserve"> that antenna de</w:t>
      </w:r>
      <w:r w:rsidR="00242345">
        <w:noBreakHyphen/>
        <w:t xml:space="preserve">energizing protocols must comply with those in </w:t>
      </w:r>
      <w:r w:rsidR="009E1756" w:rsidRPr="008851E1">
        <w:t>Appendix</w:t>
      </w:r>
      <w:r w:rsidR="009E1756">
        <w:t> </w:t>
      </w:r>
      <w:r w:rsidR="009E1756" w:rsidRPr="008851E1">
        <w:t>H</w:t>
      </w:r>
      <w:r w:rsidR="00242345">
        <w:t xml:space="preserve">.  </w:t>
      </w:r>
    </w:p>
    <w:p w:rsidR="00723314" w:rsidRDefault="00723314" w:rsidP="00B717D8">
      <w:pPr>
        <w:pStyle w:val="standard"/>
      </w:pPr>
      <w:r>
        <w:t xml:space="preserve">SED’s proposal is supported by CFC, IBEW 1245, and TURN.  </w:t>
      </w:r>
      <w:r w:rsidR="00940DAA">
        <w:t xml:space="preserve">IBEW 1245 </w:t>
      </w:r>
      <w:r w:rsidR="008D5FE2">
        <w:t xml:space="preserve">and TURN </w:t>
      </w:r>
      <w:r w:rsidR="00940DAA">
        <w:t xml:space="preserve">agree that the current Rule 94.9 </w:t>
      </w:r>
      <w:r w:rsidR="00242345">
        <w:t xml:space="preserve">is </w:t>
      </w:r>
      <w:r w:rsidR="00F24F80">
        <w:t>vague</w:t>
      </w:r>
      <w:r w:rsidR="00242345">
        <w:t xml:space="preserve">.  </w:t>
      </w:r>
      <w:r w:rsidR="00940DAA">
        <w:t xml:space="preserve">IBEW 1245 </w:t>
      </w:r>
      <w:r w:rsidR="00A03D20">
        <w:t>avers</w:t>
      </w:r>
      <w:r w:rsidR="00940DAA">
        <w:t xml:space="preserve"> that </w:t>
      </w:r>
      <w:r w:rsidR="00A03D20">
        <w:t xml:space="preserve">SED’s proposal would align safety regulations for antennas with existing </w:t>
      </w:r>
      <w:r w:rsidR="00940DAA">
        <w:t xml:space="preserve">safety regulations </w:t>
      </w:r>
      <w:r w:rsidR="00A03D20">
        <w:t xml:space="preserve">for </w:t>
      </w:r>
      <w:r w:rsidR="00940DAA">
        <w:t>power lines</w:t>
      </w:r>
      <w:r w:rsidR="00242345">
        <w:t xml:space="preserve">.  </w:t>
      </w:r>
      <w:r w:rsidR="00A03D20">
        <w:t>With respect to power lines, IBEW</w:t>
      </w:r>
      <w:r w:rsidR="00F00769">
        <w:t> </w:t>
      </w:r>
      <w:r w:rsidR="00A03D20">
        <w:t>1245 states t</w:t>
      </w:r>
      <w:r w:rsidR="00940DAA">
        <w:t xml:space="preserve">here </w:t>
      </w:r>
      <w:r w:rsidR="00940DAA">
        <w:lastRenderedPageBreak/>
        <w:t xml:space="preserve">are no rules that allow for approximate </w:t>
      </w:r>
      <w:r w:rsidR="00C604A6">
        <w:t>compliance</w:t>
      </w:r>
      <w:r w:rsidR="00940DAA">
        <w:t xml:space="preserve"> with minimum safety </w:t>
      </w:r>
      <w:r w:rsidR="00C604A6">
        <w:t>clearances</w:t>
      </w:r>
      <w:r w:rsidR="00940DAA">
        <w:t xml:space="preserve">, grounding, and de-energizing procedures.  IBEW 1245 </w:t>
      </w:r>
      <w:r w:rsidR="00372633">
        <w:t>posits</w:t>
      </w:r>
      <w:r w:rsidR="00940DAA">
        <w:t xml:space="preserve"> that similar certainty </w:t>
      </w:r>
      <w:r w:rsidR="00D47281">
        <w:t xml:space="preserve">is needed </w:t>
      </w:r>
      <w:r w:rsidR="00940DAA">
        <w:t xml:space="preserve">for utility </w:t>
      </w:r>
      <w:r w:rsidR="008D5FE2">
        <w:t>personnel</w:t>
      </w:r>
      <w:r w:rsidR="00940DAA">
        <w:t xml:space="preserve"> who work in close proximity to antennas in order to prevent harmful exposure to RF radiation.  </w:t>
      </w:r>
    </w:p>
    <w:p w:rsidR="00B717D8" w:rsidRDefault="005E0E5B" w:rsidP="00B717D8">
      <w:pPr>
        <w:pStyle w:val="standard"/>
      </w:pPr>
      <w:r>
        <w:t xml:space="preserve">SDG&amp;E takes a </w:t>
      </w:r>
      <w:r w:rsidR="00723314">
        <w:t xml:space="preserve">neutral position on </w:t>
      </w:r>
      <w:r w:rsidR="001B7D19">
        <w:t>SED’s</w:t>
      </w:r>
      <w:r w:rsidR="00723314">
        <w:t xml:space="preserve"> proposal.  </w:t>
      </w:r>
      <w:r w:rsidR="00400A6C">
        <w:rPr>
          <w:szCs w:val="24"/>
        </w:rPr>
        <w:t xml:space="preserve">SDG&amp;E </w:t>
      </w:r>
      <w:r w:rsidR="00252A3E">
        <w:rPr>
          <w:szCs w:val="24"/>
        </w:rPr>
        <w:t xml:space="preserve">states that because </w:t>
      </w:r>
      <w:r w:rsidR="00400A6C">
        <w:rPr>
          <w:szCs w:val="24"/>
        </w:rPr>
        <w:t>it was not a signat</w:t>
      </w:r>
      <w:r w:rsidR="007E6EE7">
        <w:rPr>
          <w:szCs w:val="24"/>
        </w:rPr>
        <w:t>ory</w:t>
      </w:r>
      <w:r w:rsidR="00400A6C">
        <w:rPr>
          <w:szCs w:val="24"/>
        </w:rPr>
        <w:t xml:space="preserve"> to the Settlement Agreement </w:t>
      </w:r>
      <w:r w:rsidR="007E6EE7">
        <w:rPr>
          <w:szCs w:val="24"/>
        </w:rPr>
        <w:t>in</w:t>
      </w:r>
      <w:r w:rsidR="00400A6C">
        <w:rPr>
          <w:szCs w:val="24"/>
        </w:rPr>
        <w:t xml:space="preserve"> Appendix H of </w:t>
      </w:r>
      <w:r w:rsidR="00400A6C" w:rsidRPr="00BD61DE">
        <w:rPr>
          <w:szCs w:val="24"/>
        </w:rPr>
        <w:t>GO</w:t>
      </w:r>
      <w:r w:rsidR="00400A6C">
        <w:rPr>
          <w:szCs w:val="24"/>
        </w:rPr>
        <w:t> </w:t>
      </w:r>
      <w:r w:rsidR="00400A6C" w:rsidRPr="00BD61DE">
        <w:rPr>
          <w:szCs w:val="24"/>
        </w:rPr>
        <w:t>95</w:t>
      </w:r>
      <w:r w:rsidR="00252A3E">
        <w:rPr>
          <w:szCs w:val="24"/>
        </w:rPr>
        <w:t xml:space="preserve">, </w:t>
      </w:r>
      <w:r w:rsidR="00400A6C" w:rsidRPr="00BD61DE">
        <w:rPr>
          <w:szCs w:val="24"/>
        </w:rPr>
        <w:t xml:space="preserve">SDG&amp;E </w:t>
      </w:r>
      <w:r w:rsidR="00252A3E">
        <w:rPr>
          <w:szCs w:val="24"/>
        </w:rPr>
        <w:t xml:space="preserve">has </w:t>
      </w:r>
      <w:r w:rsidR="00400A6C" w:rsidRPr="00BD61DE">
        <w:rPr>
          <w:szCs w:val="24"/>
        </w:rPr>
        <w:t xml:space="preserve">developed </w:t>
      </w:r>
      <w:r w:rsidR="00252A3E">
        <w:rPr>
          <w:szCs w:val="24"/>
        </w:rPr>
        <w:t>internal s</w:t>
      </w:r>
      <w:r w:rsidR="00400A6C" w:rsidRPr="00BD61DE">
        <w:rPr>
          <w:szCs w:val="24"/>
        </w:rPr>
        <w:t xml:space="preserve">tandards for </w:t>
      </w:r>
      <w:r w:rsidR="0050114D">
        <w:rPr>
          <w:szCs w:val="24"/>
        </w:rPr>
        <w:t>de</w:t>
      </w:r>
      <w:r w:rsidR="0050114D">
        <w:rPr>
          <w:szCs w:val="24"/>
        </w:rPr>
        <w:noBreakHyphen/>
      </w:r>
      <w:r w:rsidR="00C604A6">
        <w:rPr>
          <w:szCs w:val="24"/>
        </w:rPr>
        <w:t>energizing</w:t>
      </w:r>
      <w:r w:rsidR="00400A6C" w:rsidRPr="00BD61DE">
        <w:rPr>
          <w:szCs w:val="24"/>
        </w:rPr>
        <w:t xml:space="preserve"> </w:t>
      </w:r>
      <w:r w:rsidR="007E6EE7">
        <w:rPr>
          <w:szCs w:val="24"/>
        </w:rPr>
        <w:t xml:space="preserve">antennas on its wholly owned poles </w:t>
      </w:r>
      <w:r w:rsidR="00400A6C">
        <w:rPr>
          <w:szCs w:val="24"/>
        </w:rPr>
        <w:t xml:space="preserve">that meet or exceed </w:t>
      </w:r>
      <w:r w:rsidR="00400A6C" w:rsidRPr="00BD61DE">
        <w:rPr>
          <w:szCs w:val="24"/>
        </w:rPr>
        <w:t>the requirements of Appendix</w:t>
      </w:r>
      <w:r w:rsidR="00400A6C">
        <w:rPr>
          <w:szCs w:val="24"/>
        </w:rPr>
        <w:t> </w:t>
      </w:r>
      <w:r w:rsidR="00400A6C" w:rsidRPr="00BD61DE">
        <w:rPr>
          <w:szCs w:val="24"/>
        </w:rPr>
        <w:t>H.</w:t>
      </w:r>
    </w:p>
    <w:p w:rsidR="00723314" w:rsidRDefault="00723314" w:rsidP="00B717D8">
      <w:pPr>
        <w:pStyle w:val="standard"/>
      </w:pPr>
      <w:r>
        <w:t xml:space="preserve">SED’s proposal is opposed by AT&amp;T Mobility, CCTA, CTIA, </w:t>
      </w:r>
      <w:r w:rsidR="000116DC">
        <w:t xml:space="preserve">JVSV, </w:t>
      </w:r>
      <w:r w:rsidR="00940DAA">
        <w:t>PCIA</w:t>
      </w:r>
      <w:r w:rsidR="005E0E5B">
        <w:t>, PG&amp;E, and SCE</w:t>
      </w:r>
      <w:r w:rsidR="009B418C">
        <w:t xml:space="preserve"> (together, “the Opponents”).</w:t>
      </w:r>
      <w:r w:rsidR="00940DAA">
        <w:t xml:space="preserve">  </w:t>
      </w:r>
      <w:r w:rsidR="005F04CC">
        <w:t xml:space="preserve">The </w:t>
      </w:r>
      <w:r w:rsidR="004943C3">
        <w:t xml:space="preserve">Opponents’ objections to </w:t>
      </w:r>
      <w:r w:rsidR="005F04CC">
        <w:t>SED’s proposed revisions to Rule 94</w:t>
      </w:r>
      <w:r w:rsidR="005C2349">
        <w:t>.</w:t>
      </w:r>
      <w:r w:rsidR="005F04CC">
        <w:t xml:space="preserve">9 are essentially </w:t>
      </w:r>
      <w:r w:rsidR="00C604A6">
        <w:t>identical</w:t>
      </w:r>
      <w:r w:rsidR="005F04CC">
        <w:t xml:space="preserve"> to the </w:t>
      </w:r>
      <w:r w:rsidR="00C91E68">
        <w:t>objections that the O</w:t>
      </w:r>
      <w:r w:rsidR="005F04CC">
        <w:t>pponents raised against SED’s proposed revisions to Rule</w:t>
      </w:r>
      <w:r w:rsidR="001B469E">
        <w:t> </w:t>
      </w:r>
      <w:r w:rsidR="005F04CC">
        <w:t xml:space="preserve">94.5-A (marking) that </w:t>
      </w:r>
      <w:r w:rsidR="007E6EE7">
        <w:t>are</w:t>
      </w:r>
      <w:r w:rsidR="005F04CC">
        <w:t xml:space="preserve"> summarized previously in t</w:t>
      </w:r>
      <w:r w:rsidR="00C91E68">
        <w:t xml:space="preserve">oday’s decision.  </w:t>
      </w:r>
      <w:r w:rsidR="00C604A6">
        <w:t>Briefly</w:t>
      </w:r>
      <w:r w:rsidR="00C91E68">
        <w:t>, the O</w:t>
      </w:r>
      <w:r w:rsidR="005F04CC">
        <w:t xml:space="preserve">pponents claim that </w:t>
      </w:r>
      <w:r w:rsidR="00E61E24">
        <w:t xml:space="preserve">SED has failed to demonstrate that the existing Rule 94.9 is </w:t>
      </w:r>
      <w:r w:rsidR="00F24F80">
        <w:t>vague</w:t>
      </w:r>
      <w:r w:rsidR="00E61E24">
        <w:t xml:space="preserve"> or that SED’s proposed revisions would improve worker safety.  </w:t>
      </w:r>
      <w:r w:rsidR="00C91E68">
        <w:t xml:space="preserve">The </w:t>
      </w:r>
      <w:r w:rsidR="00C604A6">
        <w:t>Opponents</w:t>
      </w:r>
      <w:r w:rsidR="00BA7E8C">
        <w:t xml:space="preserve"> also </w:t>
      </w:r>
      <w:r w:rsidR="00F24F80">
        <w:t>allege</w:t>
      </w:r>
      <w:r w:rsidR="00BA7E8C">
        <w:t xml:space="preserve"> that SED’s proposed revisions </w:t>
      </w:r>
      <w:r w:rsidR="00C604A6">
        <w:t>constitute</w:t>
      </w:r>
      <w:r w:rsidR="001177A3">
        <w:t xml:space="preserve"> </w:t>
      </w:r>
      <w:r w:rsidR="00BA7E8C">
        <w:t>a breach of the Settlement Agreement in Appendix</w:t>
      </w:r>
      <w:r w:rsidR="001B469E">
        <w:t> </w:t>
      </w:r>
      <w:r w:rsidR="00BA7E8C">
        <w:t>H of GO</w:t>
      </w:r>
      <w:r w:rsidR="001B469E">
        <w:t xml:space="preserve"> 95 </w:t>
      </w:r>
      <w:r w:rsidR="00BA7E8C">
        <w:t xml:space="preserve">that was signed by SED’s predecessor, CPSD.  Lastly, the </w:t>
      </w:r>
      <w:r w:rsidR="00C91E68">
        <w:t>O</w:t>
      </w:r>
      <w:r w:rsidR="00BA7E8C">
        <w:t>pponents argue that S</w:t>
      </w:r>
      <w:r w:rsidR="005C2349">
        <w:t>ED’s proposed revisions are pre</w:t>
      </w:r>
      <w:r w:rsidR="00BA7E8C">
        <w:t xml:space="preserve">empted by the FCC’s </w:t>
      </w:r>
      <w:r w:rsidR="00C604A6">
        <w:t>jurisdiction</w:t>
      </w:r>
      <w:r w:rsidR="00BA7E8C">
        <w:t xml:space="preserve"> over antenna RF emissions, and that </w:t>
      </w:r>
      <w:r w:rsidR="00C604A6">
        <w:t>adopting</w:t>
      </w:r>
      <w:r w:rsidR="00BA7E8C">
        <w:t xml:space="preserve"> SED’s proposed revisions would mire the Commission in legal challenges over its </w:t>
      </w:r>
      <w:r w:rsidR="00C604A6">
        <w:t>jurisdiction</w:t>
      </w:r>
      <w:r w:rsidR="00BA7E8C">
        <w:t xml:space="preserve">.  </w:t>
      </w:r>
    </w:p>
    <w:p w:rsidR="009F7CC4" w:rsidRDefault="009F7CC4" w:rsidP="00A845DC">
      <w:pPr>
        <w:pStyle w:val="Heading4"/>
      </w:pPr>
      <w:bookmarkStart w:id="98" w:name="_Toc436647358"/>
      <w:r>
        <w:t>Discussion</w:t>
      </w:r>
      <w:bookmarkEnd w:id="98"/>
      <w:r>
        <w:t xml:space="preserve"> </w:t>
      </w:r>
    </w:p>
    <w:p w:rsidR="00632CA9" w:rsidRDefault="00632CA9" w:rsidP="00632CA9">
      <w:pPr>
        <w:pStyle w:val="standard"/>
      </w:pPr>
      <w:r>
        <w:t xml:space="preserve">The issue before us is whether to adopt SED’s proposed revisions to Rule 94.9.  Our primary standard for deciding this issue is whether SED’s proposal will improve safety at a reasonable cost.  </w:t>
      </w:r>
    </w:p>
    <w:p w:rsidR="00632CA9" w:rsidRDefault="00632CA9" w:rsidP="00632CA9">
      <w:pPr>
        <w:pStyle w:val="standard"/>
        <w:tabs>
          <w:tab w:val="left" w:pos="2475"/>
        </w:tabs>
      </w:pPr>
      <w:r>
        <w:t xml:space="preserve">The text of the current Rule 94.9 and SED’s </w:t>
      </w:r>
      <w:r w:rsidR="00D05D98">
        <w:t xml:space="preserve">revised rule </w:t>
      </w:r>
      <w:r>
        <w:t>are shown below:</w:t>
      </w:r>
    </w:p>
    <w:p w:rsidR="00632CA9" w:rsidRPr="00692762" w:rsidRDefault="00632CA9" w:rsidP="00ED7BAC">
      <w:pPr>
        <w:pStyle w:val="standard"/>
        <w:keepNext/>
        <w:spacing w:line="240" w:lineRule="auto"/>
        <w:ind w:left="1080" w:firstLine="0"/>
        <w:rPr>
          <w:b/>
          <w:u w:val="single"/>
        </w:rPr>
      </w:pPr>
      <w:r w:rsidRPr="00692762">
        <w:rPr>
          <w:b/>
          <w:u w:val="single"/>
        </w:rPr>
        <w:lastRenderedPageBreak/>
        <w:t>Current Rule 94.</w:t>
      </w:r>
      <w:r>
        <w:rPr>
          <w:b/>
          <w:u w:val="single"/>
        </w:rPr>
        <w:t>9</w:t>
      </w:r>
    </w:p>
    <w:p w:rsidR="00632CA9" w:rsidRDefault="00632CA9" w:rsidP="00ED7BAC">
      <w:pPr>
        <w:pStyle w:val="StandardQuotation"/>
        <w:ind w:right="900"/>
      </w:pPr>
      <w:r w:rsidRPr="00632CA9">
        <w:t>No antenna owner or operator shall install an antenna on a joint use pole unless such installation is subject to an agreement with the pole owner(s) that includes de-energizing protocols that are substantially similar to and achieve at least the same safety standards as those set forth in Appendix H to GO 95.</w:t>
      </w:r>
    </w:p>
    <w:p w:rsidR="00632CA9" w:rsidRPr="00692762" w:rsidRDefault="00632CA9" w:rsidP="00ED7BAC">
      <w:pPr>
        <w:pStyle w:val="standard"/>
        <w:keepNext/>
        <w:spacing w:line="240" w:lineRule="auto"/>
        <w:ind w:left="1080" w:firstLine="0"/>
        <w:rPr>
          <w:b/>
          <w:u w:val="single"/>
        </w:rPr>
      </w:pPr>
      <w:r w:rsidRPr="00692762">
        <w:rPr>
          <w:b/>
          <w:u w:val="single"/>
        </w:rPr>
        <w:t xml:space="preserve">SED’s Revised </w:t>
      </w:r>
      <w:r w:rsidR="00F24F80">
        <w:rPr>
          <w:b/>
          <w:u w:val="single"/>
        </w:rPr>
        <w:t xml:space="preserve">Rule </w:t>
      </w:r>
      <w:r w:rsidRPr="00692762">
        <w:rPr>
          <w:b/>
          <w:u w:val="single"/>
        </w:rPr>
        <w:t>94</w:t>
      </w:r>
      <w:r>
        <w:rPr>
          <w:b/>
          <w:u w:val="single"/>
        </w:rPr>
        <w:t>.9</w:t>
      </w:r>
    </w:p>
    <w:p w:rsidR="00D05D98" w:rsidRPr="0032304A" w:rsidRDefault="00D05D98" w:rsidP="00ED7BAC">
      <w:pPr>
        <w:pStyle w:val="StandardQuotation"/>
        <w:ind w:right="900"/>
      </w:pPr>
      <w:r w:rsidRPr="0032304A">
        <w:t>The de-energizing protocols in Appendix H, Exhibits B and C, to GO 95 shall be followed by antenna owners for routine and emergency working conditions respectively.</w:t>
      </w:r>
    </w:p>
    <w:p w:rsidR="00ED7BAC" w:rsidRDefault="00ED7BAC" w:rsidP="00ED7BAC">
      <w:pPr>
        <w:pStyle w:val="standard"/>
      </w:pPr>
      <w:r>
        <w:t>The current Rule 94.9 and SED’s revised Rule 94.9 both refer to Appendix H of GO 95.  Appendix H is a Settlement Agreement that was approved by the Commission in D.07-02-030.  The relevant parts of Appendix H are Sections 2</w:t>
      </w:r>
      <w:r w:rsidR="007E6EE7">
        <w:t xml:space="preserve"> and</w:t>
      </w:r>
      <w:r>
        <w:t xml:space="preserve"> 4, and Exhibits </w:t>
      </w:r>
      <w:r w:rsidR="005C6380">
        <w:t>B</w:t>
      </w:r>
      <w:r>
        <w:t xml:space="preserve"> and C, which state as follows:  </w:t>
      </w:r>
    </w:p>
    <w:p w:rsidR="00ED7BAC" w:rsidRDefault="00ED7BAC" w:rsidP="00ED7BAC">
      <w:pPr>
        <w:pStyle w:val="StandardQuotation"/>
        <w:ind w:left="720" w:right="720"/>
      </w:pPr>
      <w:r w:rsidRPr="001C4985">
        <w:t>The Settling Parties agree that, in the event any party, as a joint owner, lessee or licensee (“Antenna Owner/Operator”) seeks to install or causes the installation of an Antenna (as defined in General Order (GO) 95 Rule 20.0) on a joint use utility pole, it is agreed that:</w:t>
      </w:r>
    </w:p>
    <w:p w:rsidR="00ED7BAC" w:rsidRDefault="00ED7BAC" w:rsidP="00ED7BAC">
      <w:pPr>
        <w:pStyle w:val="standard"/>
        <w:spacing w:line="240" w:lineRule="auto"/>
        <w:ind w:firstLine="0"/>
        <w:jc w:val="center"/>
      </w:pPr>
      <w:r>
        <w:t>************************</w:t>
      </w:r>
    </w:p>
    <w:p w:rsidR="00ED7BAC" w:rsidRPr="00820F63" w:rsidRDefault="00ED7BAC" w:rsidP="005C6380">
      <w:pPr>
        <w:pStyle w:val="StandardQuotation"/>
        <w:keepNext/>
        <w:spacing w:after="120"/>
        <w:ind w:left="720"/>
        <w:rPr>
          <w:b/>
        </w:rPr>
      </w:pPr>
      <w:r w:rsidRPr="00820F63">
        <w:rPr>
          <w:b/>
        </w:rPr>
        <w:t>2. Means of De-energizing Antennas.</w:t>
      </w:r>
    </w:p>
    <w:p w:rsidR="00820F63" w:rsidRPr="00820F63" w:rsidRDefault="00ED7BAC" w:rsidP="00820F63">
      <w:pPr>
        <w:pStyle w:val="StandardQuotation"/>
        <w:ind w:left="720" w:right="720"/>
      </w:pPr>
      <w:r w:rsidRPr="00820F63">
        <w:t>The Antenna Owner/Operator shall not install an Antenna on a joint use</w:t>
      </w:r>
      <w:r w:rsidR="00820F63" w:rsidRPr="00820F63">
        <w:t xml:space="preserve"> </w:t>
      </w:r>
      <w:r w:rsidRPr="00820F63">
        <w:t>pole that emits RF energy in excess of the FCC’s General</w:t>
      </w:r>
      <w:r w:rsidR="00820F63" w:rsidRPr="00820F63">
        <w:t xml:space="preserve"> </w:t>
      </w:r>
      <w:r w:rsidRPr="00820F63">
        <w:t>Population/Uncontrolled maximum permissible exposure limits as set forth</w:t>
      </w:r>
      <w:r w:rsidR="00820F63" w:rsidRPr="00820F63">
        <w:t xml:space="preserve"> </w:t>
      </w:r>
      <w:r w:rsidRPr="00820F63">
        <w:t>in 47 C.F.R. or effect a change to an existing Antenna site that will cause</w:t>
      </w:r>
      <w:r w:rsidR="00820F63" w:rsidRPr="00820F63">
        <w:t xml:space="preserve"> </w:t>
      </w:r>
      <w:r w:rsidRPr="00820F63">
        <w:t>that Antenna to emit RF energy in excess of the FCC’s General</w:t>
      </w:r>
      <w:r w:rsidR="00820F63" w:rsidRPr="00820F63">
        <w:t xml:space="preserve"> </w:t>
      </w:r>
      <w:r w:rsidRPr="00820F63">
        <w:t>Population/Uncontrolled maximum permissible exposure limits as set forth</w:t>
      </w:r>
      <w:r w:rsidR="00820F63" w:rsidRPr="00820F63">
        <w:t xml:space="preserve"> </w:t>
      </w:r>
      <w:r w:rsidRPr="00820F63">
        <w:t>in 47 C.F.R. except by providing to any other utility or company with</w:t>
      </w:r>
      <w:r w:rsidR="00820F63" w:rsidRPr="00820F63">
        <w:t xml:space="preserve"> </w:t>
      </w:r>
      <w:r w:rsidRPr="00820F63">
        <w:t>facilities attached to the affected pole, a locally verifiable means to de</w:t>
      </w:r>
      <w:r w:rsidR="00C604A6">
        <w:t>-</w:t>
      </w:r>
      <w:r w:rsidRPr="00820F63">
        <w:t>energize</w:t>
      </w:r>
      <w:r w:rsidR="00820F63" w:rsidRPr="00820F63">
        <w:t xml:space="preserve"> </w:t>
      </w:r>
      <w:r w:rsidRPr="00820F63">
        <w:t xml:space="preserve">said Antenna. </w:t>
      </w:r>
      <w:r w:rsidR="00820F63">
        <w:t xml:space="preserve"> </w:t>
      </w:r>
      <w:r w:rsidRPr="00820F63">
        <w:t>The protocols set forth in Exhibit B shall apply to</w:t>
      </w:r>
      <w:r w:rsidR="00820F63" w:rsidRPr="00820F63">
        <w:t xml:space="preserve"> </w:t>
      </w:r>
      <w:r w:rsidRPr="00820F63">
        <w:t xml:space="preserve">non-emergency or routine working conditions. </w:t>
      </w:r>
      <w:r w:rsidR="00820F63">
        <w:t xml:space="preserve"> </w:t>
      </w:r>
      <w:r w:rsidRPr="00820F63">
        <w:t>The protocols set forth in</w:t>
      </w:r>
      <w:r w:rsidR="00820F63" w:rsidRPr="00820F63">
        <w:t xml:space="preserve"> </w:t>
      </w:r>
      <w:r w:rsidRPr="00820F63">
        <w:t>Exhibit C shall apply to emergency working conditions.</w:t>
      </w:r>
    </w:p>
    <w:p w:rsidR="00ED7BAC" w:rsidRDefault="00ED7BAC" w:rsidP="00E85865">
      <w:pPr>
        <w:pStyle w:val="standard"/>
        <w:keepNext/>
        <w:spacing w:line="240" w:lineRule="auto"/>
        <w:ind w:firstLine="0"/>
        <w:jc w:val="center"/>
      </w:pPr>
      <w:r>
        <w:lastRenderedPageBreak/>
        <w:t>************************</w:t>
      </w:r>
    </w:p>
    <w:p w:rsidR="00ED7BAC" w:rsidRPr="001C4985" w:rsidRDefault="00ED7BAC" w:rsidP="005C6380">
      <w:pPr>
        <w:pStyle w:val="StandardQuotation"/>
        <w:keepNext/>
        <w:spacing w:after="120"/>
        <w:ind w:left="720"/>
        <w:rPr>
          <w:b/>
        </w:rPr>
      </w:pPr>
      <w:r w:rsidRPr="001C4985">
        <w:rPr>
          <w:b/>
        </w:rPr>
        <w:t>4. Adoption of Operating Procedures.</w:t>
      </w:r>
    </w:p>
    <w:p w:rsidR="00ED7BAC" w:rsidRDefault="00ED7BAC" w:rsidP="00ED7BAC">
      <w:pPr>
        <w:pStyle w:val="StandardQuotation"/>
        <w:ind w:left="720" w:right="720"/>
      </w:pPr>
      <w:r w:rsidRPr="001C4985">
        <w:t>The Settling Parties further agree to memorialize the agreements set forth in Section 1 and 2 of this Agreement (including the procedures and protocols to be adopted thereunder) in separate, private agreements with affected utilities, companies or municipalities or in the Northern California Joint Pole Association’s Operating Routine. Such agreements and procedures shall be adopted in a timely manner and Settling Parties agree to execute any and all supplementary documents and take all actions which may be necessary or appropriate to give full force and effect to the terms and intent of this Agreement.</w:t>
      </w:r>
    </w:p>
    <w:p w:rsidR="00ED7BAC" w:rsidRDefault="00ED7BAC" w:rsidP="00ED7BAC">
      <w:pPr>
        <w:pStyle w:val="standard"/>
        <w:spacing w:line="240" w:lineRule="auto"/>
        <w:ind w:firstLine="0"/>
        <w:jc w:val="center"/>
      </w:pPr>
      <w:r>
        <w:t>************************</w:t>
      </w:r>
    </w:p>
    <w:p w:rsidR="009F7CC4" w:rsidRPr="005C6380" w:rsidRDefault="005C6380" w:rsidP="004E43A2">
      <w:pPr>
        <w:pStyle w:val="StandardQuotation"/>
        <w:keepNext/>
        <w:tabs>
          <w:tab w:val="left" w:pos="2070"/>
        </w:tabs>
        <w:spacing w:after="60"/>
        <w:ind w:left="2074" w:hanging="1354"/>
        <w:rPr>
          <w:b/>
        </w:rPr>
      </w:pPr>
      <w:r>
        <w:rPr>
          <w:b/>
        </w:rPr>
        <w:t>Exhibit B:</w:t>
      </w:r>
      <w:r w:rsidR="004E43A2">
        <w:rPr>
          <w:b/>
        </w:rPr>
        <w:tab/>
      </w:r>
      <w:r w:rsidRPr="005C6380">
        <w:rPr>
          <w:b/>
        </w:rPr>
        <w:t xml:space="preserve">Protocol </w:t>
      </w:r>
      <w:r w:rsidR="007E6EE7">
        <w:rPr>
          <w:b/>
        </w:rPr>
        <w:t>f</w:t>
      </w:r>
      <w:r w:rsidRPr="005C6380">
        <w:rPr>
          <w:b/>
        </w:rPr>
        <w:t xml:space="preserve">or De-Energizing Antennas </w:t>
      </w:r>
      <w:r>
        <w:rPr>
          <w:b/>
        </w:rPr>
        <w:t>in Non</w:t>
      </w:r>
      <w:r w:rsidR="004E43A2">
        <w:rPr>
          <w:b/>
        </w:rPr>
        <w:noBreakHyphen/>
      </w:r>
      <w:r>
        <w:rPr>
          <w:b/>
        </w:rPr>
        <w:t>Emergency o</w:t>
      </w:r>
      <w:r w:rsidRPr="005C6380">
        <w:rPr>
          <w:b/>
        </w:rPr>
        <w:t>r Routine Working Conditions</w:t>
      </w:r>
    </w:p>
    <w:p w:rsidR="005C6380" w:rsidRPr="005C6380" w:rsidRDefault="005C6380" w:rsidP="005C6380">
      <w:pPr>
        <w:pStyle w:val="StandardQuotation"/>
        <w:spacing w:after="60"/>
        <w:ind w:left="720" w:right="720"/>
      </w:pPr>
      <w:r w:rsidRPr="005C6380">
        <w:t>In the event an Antenna subj</w:t>
      </w:r>
      <w:r w:rsidR="00FC1204">
        <w:t>ect to Section 2 needs to be de</w:t>
      </w:r>
      <w:r w:rsidR="00FC1204">
        <w:noBreakHyphen/>
      </w:r>
      <w:r w:rsidRPr="005C6380">
        <w:t>energized to perform non-emergency work, e.g., routine maintenance and/or repairs, on a joint use distribution pole, the following shall apply:</w:t>
      </w:r>
    </w:p>
    <w:p w:rsidR="005C6380" w:rsidRPr="005C6380" w:rsidRDefault="005C6380" w:rsidP="005C6380">
      <w:pPr>
        <w:pStyle w:val="StandardQuotation"/>
        <w:tabs>
          <w:tab w:val="left" w:pos="1080"/>
        </w:tabs>
        <w:spacing w:after="60"/>
        <w:ind w:right="360" w:hanging="360"/>
      </w:pPr>
      <w:r w:rsidRPr="005C6380">
        <w:t xml:space="preserve">a. </w:t>
      </w:r>
      <w:r>
        <w:tab/>
      </w:r>
      <w:r w:rsidRPr="005C6380">
        <w:t>The utility or company shall contact the Antenna Owner/Operator (in the case of a wireless carrier they shall contact the carrier’s Network Operations Center) with a minimum of twenty-four (24) hours advance notice.  The following information shall be provided:</w:t>
      </w:r>
    </w:p>
    <w:p w:rsidR="005C6380" w:rsidRPr="005C6380" w:rsidRDefault="005C6380" w:rsidP="005C6380">
      <w:pPr>
        <w:pStyle w:val="StandardQuotation"/>
        <w:tabs>
          <w:tab w:val="left" w:pos="1530"/>
        </w:tabs>
        <w:spacing w:after="60"/>
        <w:ind w:left="1526" w:right="720" w:hanging="446"/>
      </w:pPr>
      <w:r w:rsidRPr="005C6380">
        <w:t xml:space="preserve">(i) </w:t>
      </w:r>
      <w:r>
        <w:tab/>
      </w:r>
      <w:r w:rsidRPr="005C6380">
        <w:t>identity of the utility/company representative and call back number</w:t>
      </w:r>
    </w:p>
    <w:p w:rsidR="005C6380" w:rsidRPr="005C6380" w:rsidRDefault="005C6380" w:rsidP="005C6380">
      <w:pPr>
        <w:pStyle w:val="StandardQuotation"/>
        <w:tabs>
          <w:tab w:val="left" w:pos="1530"/>
        </w:tabs>
        <w:spacing w:after="60"/>
        <w:ind w:left="1526" w:right="720" w:hanging="446"/>
      </w:pPr>
      <w:r w:rsidRPr="005C6380">
        <w:t xml:space="preserve">(ii) </w:t>
      </w:r>
      <w:r>
        <w:tab/>
      </w:r>
      <w:r w:rsidRPr="005C6380">
        <w:t>the unique identifier of the Antenna</w:t>
      </w:r>
    </w:p>
    <w:p w:rsidR="005C6380" w:rsidRPr="005C6380" w:rsidRDefault="005C6380" w:rsidP="005C6380">
      <w:pPr>
        <w:pStyle w:val="StandardQuotation"/>
        <w:tabs>
          <w:tab w:val="left" w:pos="1530"/>
        </w:tabs>
        <w:spacing w:after="60"/>
        <w:ind w:left="1526" w:right="720" w:hanging="446"/>
      </w:pPr>
      <w:r w:rsidRPr="005C6380">
        <w:t>(iii)</w:t>
      </w:r>
      <w:r>
        <w:tab/>
      </w:r>
      <w:r w:rsidRPr="005C6380">
        <w:t>the site address and/or location, if available.</w:t>
      </w:r>
    </w:p>
    <w:p w:rsidR="005C6380" w:rsidRPr="005C6380" w:rsidRDefault="005C6380" w:rsidP="005C6380">
      <w:pPr>
        <w:pStyle w:val="StandardQuotation"/>
        <w:tabs>
          <w:tab w:val="left" w:pos="1080"/>
        </w:tabs>
        <w:spacing w:after="60"/>
        <w:ind w:right="360" w:hanging="360"/>
      </w:pPr>
      <w:r w:rsidRPr="005C6380">
        <w:t xml:space="preserve">b. </w:t>
      </w:r>
      <w:r>
        <w:tab/>
      </w:r>
      <w:r w:rsidRPr="005C6380">
        <w:t>The Antenna Owner/Operator shall de-energize the Antenna at the</w:t>
      </w:r>
      <w:r>
        <w:t xml:space="preserve"> </w:t>
      </w:r>
      <w:r w:rsidRPr="005C6380">
        <w:t>requested time or at a time otherwise mutually agreed upon with the utility.</w:t>
      </w:r>
    </w:p>
    <w:p w:rsidR="005C6380" w:rsidRPr="005C6380" w:rsidRDefault="005C6380" w:rsidP="005C6380">
      <w:pPr>
        <w:pStyle w:val="StandardQuotation"/>
        <w:tabs>
          <w:tab w:val="left" w:pos="1080"/>
        </w:tabs>
        <w:spacing w:after="60"/>
        <w:ind w:right="360" w:hanging="360"/>
      </w:pPr>
      <w:r w:rsidRPr="005C6380">
        <w:t xml:space="preserve">c. </w:t>
      </w:r>
      <w:r>
        <w:tab/>
      </w:r>
      <w:r w:rsidRPr="005C6380">
        <w:t>The procedures for de-energizing the subject Antenna shall provide the</w:t>
      </w:r>
      <w:r>
        <w:t xml:space="preserve"> </w:t>
      </w:r>
      <w:r w:rsidRPr="005C6380">
        <w:t>requesting utility or company with a satisfactory on-site means to verify the</w:t>
      </w:r>
      <w:r>
        <w:t xml:space="preserve"> </w:t>
      </w:r>
      <w:r w:rsidRPr="005C6380">
        <w:t>Antenna is de-energized.</w:t>
      </w:r>
    </w:p>
    <w:p w:rsidR="005C6380" w:rsidRPr="006D3EEB" w:rsidRDefault="005C6380" w:rsidP="006D3EEB">
      <w:pPr>
        <w:pStyle w:val="StandardQuotation"/>
        <w:tabs>
          <w:tab w:val="left" w:pos="1080"/>
        </w:tabs>
        <w:spacing w:after="60"/>
        <w:ind w:right="360" w:hanging="360"/>
      </w:pPr>
      <w:r w:rsidRPr="006D3EEB">
        <w:t xml:space="preserve">d. </w:t>
      </w:r>
      <w:r w:rsidR="006D3EEB">
        <w:tab/>
      </w:r>
      <w:r w:rsidRPr="006D3EEB">
        <w:t>Upon completion of the work on the site, the utility or company shall</w:t>
      </w:r>
      <w:r w:rsidR="006D3EEB" w:rsidRPr="006D3EEB">
        <w:t xml:space="preserve"> </w:t>
      </w:r>
      <w:r w:rsidRPr="006D3EEB">
        <w:t xml:space="preserve">contact the Antenna Owner/Operator (in the case of a wireless </w:t>
      </w:r>
      <w:r w:rsidRPr="006D3EEB">
        <w:lastRenderedPageBreak/>
        <w:t>carrier, its</w:t>
      </w:r>
      <w:r w:rsidR="006D3EEB" w:rsidRPr="006D3EEB">
        <w:t xml:space="preserve"> </w:t>
      </w:r>
      <w:r w:rsidRPr="006D3EEB">
        <w:t>Network Operations Center shall be contacted) to inform them that the</w:t>
      </w:r>
      <w:r w:rsidR="006D3EEB" w:rsidRPr="006D3EEB">
        <w:t xml:space="preserve"> </w:t>
      </w:r>
      <w:r w:rsidRPr="006D3EEB">
        <w:t>Antenna may be re-energized.</w:t>
      </w:r>
    </w:p>
    <w:p w:rsidR="005C6380" w:rsidRPr="006D3EEB" w:rsidRDefault="005C6380" w:rsidP="006D3EEB">
      <w:pPr>
        <w:pStyle w:val="StandardQuotation"/>
        <w:tabs>
          <w:tab w:val="left" w:pos="1080"/>
        </w:tabs>
        <w:spacing w:after="60"/>
        <w:ind w:right="360" w:hanging="360"/>
      </w:pPr>
      <w:r w:rsidRPr="006D3EEB">
        <w:t xml:space="preserve">e. </w:t>
      </w:r>
      <w:r w:rsidR="006D3EEB">
        <w:tab/>
      </w:r>
      <w:r w:rsidRPr="006D3EEB">
        <w:t>The Antenna shall not be re-energized by the Antenna Owner/Operator</w:t>
      </w:r>
      <w:r w:rsidR="006D3EEB">
        <w:t xml:space="preserve"> </w:t>
      </w:r>
      <w:r w:rsidRPr="006D3EEB">
        <w:t>without confirmation from the utility or company.</w:t>
      </w:r>
    </w:p>
    <w:p w:rsidR="009F7CC4" w:rsidRDefault="005C6380" w:rsidP="004E43A2">
      <w:pPr>
        <w:pStyle w:val="StandardQuotation"/>
        <w:tabs>
          <w:tab w:val="left" w:pos="1080"/>
        </w:tabs>
        <w:ind w:right="360" w:hanging="360"/>
      </w:pPr>
      <w:r w:rsidRPr="006D3EEB">
        <w:t xml:space="preserve">f. </w:t>
      </w:r>
      <w:r w:rsidR="006D3EEB">
        <w:tab/>
      </w:r>
      <w:r w:rsidRPr="006D3EEB">
        <w:t>The requesting utility or company will only re-energize the Antenna with the</w:t>
      </w:r>
      <w:r w:rsidR="006D3EEB">
        <w:t xml:space="preserve"> </w:t>
      </w:r>
      <w:r w:rsidRPr="006D3EEB">
        <w:t>Antenna Owner/Operator’s prior written consent.</w:t>
      </w:r>
    </w:p>
    <w:p w:rsidR="004E43A2" w:rsidRPr="005C6380" w:rsidRDefault="004E43A2" w:rsidP="004E43A2">
      <w:pPr>
        <w:pStyle w:val="StandardQuotation"/>
        <w:keepNext/>
        <w:tabs>
          <w:tab w:val="left" w:pos="2070"/>
        </w:tabs>
        <w:spacing w:after="60"/>
        <w:ind w:left="2074" w:hanging="1354"/>
        <w:rPr>
          <w:b/>
        </w:rPr>
      </w:pPr>
      <w:r>
        <w:rPr>
          <w:b/>
        </w:rPr>
        <w:t>Exhibit C:</w:t>
      </w:r>
      <w:r>
        <w:rPr>
          <w:b/>
        </w:rPr>
        <w:tab/>
      </w:r>
      <w:r w:rsidRPr="005C6380">
        <w:rPr>
          <w:b/>
        </w:rPr>
        <w:t xml:space="preserve">Protocol </w:t>
      </w:r>
      <w:r w:rsidR="007E6EE7">
        <w:rPr>
          <w:b/>
        </w:rPr>
        <w:t>f</w:t>
      </w:r>
      <w:r w:rsidRPr="005C6380">
        <w:rPr>
          <w:b/>
        </w:rPr>
        <w:t xml:space="preserve">or De-Energizing Antennas </w:t>
      </w:r>
      <w:r>
        <w:rPr>
          <w:b/>
        </w:rPr>
        <w:t xml:space="preserve">in Emergency </w:t>
      </w:r>
      <w:r w:rsidRPr="005C6380">
        <w:rPr>
          <w:b/>
        </w:rPr>
        <w:t>Working Conditions</w:t>
      </w:r>
    </w:p>
    <w:p w:rsidR="004E43A2" w:rsidRPr="004E43A2" w:rsidRDefault="004E43A2" w:rsidP="004E43A2">
      <w:pPr>
        <w:pStyle w:val="StandardQuotation"/>
        <w:spacing w:after="60"/>
        <w:ind w:left="720" w:right="720"/>
      </w:pPr>
      <w:r w:rsidRPr="004E43A2">
        <w:t>In the event an Antenna subject to Section 2 needs to be de-energized in emergency working conditions, i.e., in a situation where there is an imminent or actual danger to public or worker safety necessitating immediate and non-routine work on the pole, for example in direct response to a fire, explosion, lightning, storm, earthquake, vehicular accident, terrorism, or some other unanticipated and catastrophic event, the following shall apply:</w:t>
      </w:r>
    </w:p>
    <w:p w:rsidR="004E43A2" w:rsidRPr="004E43A2" w:rsidRDefault="004E43A2" w:rsidP="004E43A2">
      <w:pPr>
        <w:pStyle w:val="StandardQuotation"/>
        <w:tabs>
          <w:tab w:val="left" w:pos="1080"/>
        </w:tabs>
        <w:spacing w:after="60"/>
        <w:ind w:right="360" w:hanging="360"/>
      </w:pPr>
      <w:r w:rsidRPr="004E43A2">
        <w:t xml:space="preserve">a. </w:t>
      </w:r>
      <w:r>
        <w:tab/>
      </w:r>
      <w:r w:rsidRPr="004E43A2">
        <w:t>The utility or company shall make a good faith effort to contact the Antenna Owner/Operator (in the case of a wireless carrier they shall contact the carrier’s Network Operations Center).  The following information shall be provided:</w:t>
      </w:r>
    </w:p>
    <w:p w:rsidR="004E43A2" w:rsidRPr="004E43A2" w:rsidRDefault="004E43A2" w:rsidP="004E43A2">
      <w:pPr>
        <w:pStyle w:val="StandardQuotation"/>
        <w:tabs>
          <w:tab w:val="left" w:pos="1530"/>
        </w:tabs>
        <w:spacing w:after="60"/>
        <w:ind w:left="1526" w:right="720" w:hanging="446"/>
      </w:pPr>
      <w:r w:rsidRPr="004E43A2">
        <w:t xml:space="preserve">(i) </w:t>
      </w:r>
      <w:r>
        <w:tab/>
      </w:r>
      <w:r w:rsidRPr="004E43A2">
        <w:t>identity of the utility/company representative and call back number</w:t>
      </w:r>
    </w:p>
    <w:p w:rsidR="004E43A2" w:rsidRPr="004E43A2" w:rsidRDefault="004E43A2" w:rsidP="004E43A2">
      <w:pPr>
        <w:pStyle w:val="StandardQuotation"/>
        <w:tabs>
          <w:tab w:val="left" w:pos="1530"/>
        </w:tabs>
        <w:spacing w:after="60"/>
        <w:ind w:left="1526" w:right="720" w:hanging="446"/>
      </w:pPr>
      <w:r w:rsidRPr="004E43A2">
        <w:t xml:space="preserve">(ii) </w:t>
      </w:r>
      <w:r>
        <w:tab/>
      </w:r>
      <w:r w:rsidRPr="004E43A2">
        <w:t>the unique identifier of the Antenna</w:t>
      </w:r>
    </w:p>
    <w:p w:rsidR="004E43A2" w:rsidRPr="004E43A2" w:rsidRDefault="004E43A2" w:rsidP="004E43A2">
      <w:pPr>
        <w:pStyle w:val="StandardQuotation"/>
        <w:tabs>
          <w:tab w:val="left" w:pos="1530"/>
        </w:tabs>
        <w:spacing w:after="60"/>
        <w:ind w:left="1526" w:right="720" w:hanging="446"/>
      </w:pPr>
      <w:r w:rsidRPr="004E43A2">
        <w:t>(iii)</w:t>
      </w:r>
      <w:r>
        <w:tab/>
      </w:r>
      <w:r w:rsidRPr="004E43A2">
        <w:t>the site address and/or location, if available</w:t>
      </w:r>
    </w:p>
    <w:p w:rsidR="004E43A2" w:rsidRPr="004E43A2" w:rsidRDefault="004E43A2" w:rsidP="004E43A2">
      <w:pPr>
        <w:pStyle w:val="StandardQuotation"/>
        <w:tabs>
          <w:tab w:val="left" w:pos="1530"/>
        </w:tabs>
        <w:spacing w:after="60"/>
        <w:ind w:left="1526" w:right="720" w:hanging="446"/>
      </w:pPr>
      <w:r w:rsidRPr="004E43A2">
        <w:t>(iii)</w:t>
      </w:r>
      <w:r>
        <w:tab/>
      </w:r>
      <w:r w:rsidRPr="004E43A2">
        <w:t>state nature of the emergency and/or site condition.</w:t>
      </w:r>
    </w:p>
    <w:p w:rsidR="004E43A2" w:rsidRPr="004E43A2" w:rsidRDefault="004E43A2" w:rsidP="004E43A2">
      <w:pPr>
        <w:pStyle w:val="StandardQuotation"/>
        <w:tabs>
          <w:tab w:val="left" w:pos="1080"/>
        </w:tabs>
        <w:spacing w:after="60"/>
        <w:ind w:right="360" w:hanging="360"/>
      </w:pPr>
      <w:r w:rsidRPr="004E43A2">
        <w:t xml:space="preserve">b. </w:t>
      </w:r>
      <w:r>
        <w:tab/>
      </w:r>
      <w:r w:rsidRPr="004E43A2">
        <w:t>The Antenna Owner/Operator shall de-energize the Antenna upon request in emergency working conditions.</w:t>
      </w:r>
    </w:p>
    <w:p w:rsidR="004E43A2" w:rsidRPr="004E43A2" w:rsidRDefault="004E43A2" w:rsidP="004E43A2">
      <w:pPr>
        <w:pStyle w:val="StandardQuotation"/>
        <w:tabs>
          <w:tab w:val="left" w:pos="1080"/>
        </w:tabs>
        <w:spacing w:after="60"/>
        <w:ind w:right="360" w:hanging="360"/>
      </w:pPr>
      <w:r w:rsidRPr="004E43A2">
        <w:t xml:space="preserve">c. </w:t>
      </w:r>
      <w:r>
        <w:tab/>
      </w:r>
      <w:r w:rsidRPr="004E43A2">
        <w:t>If the requesting utility or company is unable to contact the Antenna Owner/Operator, the request</w:t>
      </w:r>
      <w:r w:rsidR="00FC1204">
        <w:t>ing utility or company shall de</w:t>
      </w:r>
      <w:r w:rsidR="00FC1204">
        <w:noBreakHyphen/>
      </w:r>
      <w:r w:rsidRPr="004E43A2">
        <w:t>energize the subject antenna pursuant to mutually agreed upon procedures for that particular type of equipment or by using any necessary means available.  The procedures for de-energizing the subject Antenna referred to above shall provide the requesting utility or company with a satisfactory on-site means to de-energize the Antenna that is verifiable.</w:t>
      </w:r>
    </w:p>
    <w:p w:rsidR="004E43A2" w:rsidRPr="004E43A2" w:rsidRDefault="004E43A2" w:rsidP="004E43A2">
      <w:pPr>
        <w:pStyle w:val="StandardQuotation"/>
        <w:tabs>
          <w:tab w:val="left" w:pos="1080"/>
        </w:tabs>
        <w:spacing w:after="60"/>
        <w:ind w:right="360" w:hanging="360"/>
      </w:pPr>
      <w:r w:rsidRPr="004E43A2">
        <w:t xml:space="preserve">d. </w:t>
      </w:r>
      <w:r>
        <w:tab/>
      </w:r>
      <w:r w:rsidRPr="004E43A2">
        <w:t xml:space="preserve">Upon the completion of any necessary work to address the emergency, the utility or company shall notify the Antenna </w:t>
      </w:r>
      <w:r w:rsidRPr="004E43A2">
        <w:lastRenderedPageBreak/>
        <w:t>Owner/Operator (in the case of a wireless carrier, its Network Operations Center shall be contacted) that all work has been completed so that the Antenna Owner/Operator can take any necessary actions to re-energize the site.</w:t>
      </w:r>
    </w:p>
    <w:p w:rsidR="004E43A2" w:rsidRPr="004E43A2" w:rsidRDefault="004E43A2" w:rsidP="004E43A2">
      <w:pPr>
        <w:pStyle w:val="StandardQuotation"/>
        <w:tabs>
          <w:tab w:val="left" w:pos="1080"/>
        </w:tabs>
        <w:spacing w:after="60"/>
        <w:ind w:right="360" w:hanging="360"/>
      </w:pPr>
      <w:r w:rsidRPr="004E43A2">
        <w:t xml:space="preserve">e. </w:t>
      </w:r>
      <w:r>
        <w:tab/>
      </w:r>
      <w:r w:rsidRPr="004E43A2">
        <w:t>The Antenna shall not be re-energized by the Antenna Owner/Operator without confirmation from the utility or company.</w:t>
      </w:r>
    </w:p>
    <w:p w:rsidR="009F7CC4" w:rsidRDefault="004E43A2" w:rsidP="004E43A2">
      <w:pPr>
        <w:pStyle w:val="StandardQuotation"/>
        <w:tabs>
          <w:tab w:val="left" w:pos="1080"/>
        </w:tabs>
        <w:ind w:right="360" w:hanging="360"/>
      </w:pPr>
      <w:r w:rsidRPr="004E43A2">
        <w:t xml:space="preserve">f. </w:t>
      </w:r>
      <w:r>
        <w:tab/>
      </w:r>
      <w:r w:rsidRPr="004E43A2">
        <w:t>The requesting utility or company will only re-energize the Antenna with the Antenna Owner/Operator’s prior written consent.</w:t>
      </w:r>
    </w:p>
    <w:p w:rsidR="002749C8" w:rsidRDefault="002749C8" w:rsidP="002749C8">
      <w:pPr>
        <w:pStyle w:val="standard"/>
      </w:pPr>
      <w:r>
        <w:t xml:space="preserve">We find that the antenna de-energizing protocols in GO 95’s Appendix H provide a reasonable, clear, and enforceable regulation for protecting the safety of people working near antennas attached to utility poles.  </w:t>
      </w:r>
      <w:r w:rsidR="00C604A6">
        <w:t>We agree with SED that the current text of Rule 94.9, which allows de</w:t>
      </w:r>
      <w:r w:rsidR="00C604A6">
        <w:noBreakHyphen/>
        <w:t>energizing protocols that are “substantially similar to and achieve at least the same safety standards as those set forth in Appendix H to GO 95,” is a</w:t>
      </w:r>
      <w:r w:rsidR="00F24F80">
        <w:t xml:space="preserve"> vague</w:t>
      </w:r>
      <w:r w:rsidR="00C604A6">
        <w:t xml:space="preserve"> safety standard, as it allows each </w:t>
      </w:r>
      <w:r w:rsidR="009B11F5">
        <w:t xml:space="preserve">pole-attachment agreement to define </w:t>
      </w:r>
      <w:r w:rsidR="00C604A6">
        <w:t xml:space="preserve">what is “substantially similar to” and achieves “at least the same safety standards” as the de-energizing protocols in Appendix H of GO 95.  </w:t>
      </w:r>
      <w:r>
        <w:t xml:space="preserve">Such ambiguity allows the safety standard to </w:t>
      </w:r>
      <w:r w:rsidR="00F00769">
        <w:t>vary</w:t>
      </w:r>
      <w:r>
        <w:t xml:space="preserve"> from pole to pole, </w:t>
      </w:r>
      <w:r w:rsidR="00640CB4">
        <w:t>across</w:t>
      </w:r>
      <w:r w:rsidR="004623EE">
        <w:t xml:space="preserve"> antenna own</w:t>
      </w:r>
      <w:r w:rsidR="00640CB4">
        <w:t>e</w:t>
      </w:r>
      <w:r w:rsidR="004623EE">
        <w:t>r</w:t>
      </w:r>
      <w:r w:rsidR="00640CB4">
        <w:t>s</w:t>
      </w:r>
      <w:r>
        <w:t xml:space="preserve">, and over time.  Ultimately, if a safety incident occurs, an after-the-fact investigation of the incident is the worst time to determine if the </w:t>
      </w:r>
      <w:r w:rsidR="00593ECE">
        <w:t xml:space="preserve">de-energizing protocols </w:t>
      </w:r>
      <w:r>
        <w:t xml:space="preserve">at issue </w:t>
      </w:r>
      <w:r w:rsidR="00593ECE">
        <w:t>are</w:t>
      </w:r>
      <w:r>
        <w:t xml:space="preserve"> “substantially similar to” and “achieve at least the same safety standards” as Appendix H of GO 95.  In our opinion, the public interest is better served with a clear safety standard that must be consistently applied across all antenna installations, with no ambiguity in its application or enforcement.  </w:t>
      </w:r>
    </w:p>
    <w:p w:rsidR="002749C8" w:rsidRDefault="002749C8" w:rsidP="002749C8">
      <w:pPr>
        <w:pStyle w:val="standard"/>
      </w:pPr>
      <w:r>
        <w:t>No party disputes SED’s position that its proposed revisions to Rule 94.</w:t>
      </w:r>
      <w:r w:rsidR="00593ECE">
        <w:t>9</w:t>
      </w:r>
      <w:r>
        <w:t xml:space="preserve"> will not have a significant financial impact.  We do not find anything in the record that causes us to question SED’s claim.</w:t>
      </w:r>
    </w:p>
    <w:p w:rsidR="002749C8" w:rsidRDefault="002749C8" w:rsidP="002749C8">
      <w:pPr>
        <w:pStyle w:val="standard"/>
      </w:pPr>
      <w:r>
        <w:lastRenderedPageBreak/>
        <w:t>For the preceding reasons, we conclude that SED’s proposed revisions to Rule 94.</w:t>
      </w:r>
      <w:r w:rsidR="00593ECE">
        <w:t>9</w:t>
      </w:r>
      <w:r>
        <w:t xml:space="preserve"> are reasonable.  Therefore, we will adopt the revisions.  The text of the revised Rule 94.</w:t>
      </w:r>
      <w:r w:rsidR="00593ECE">
        <w:t>9</w:t>
      </w:r>
      <w:r>
        <w:t xml:space="preserve"> is contained in Appendix C of today’s decision.  </w:t>
      </w:r>
    </w:p>
    <w:p w:rsidR="00B346DD" w:rsidRPr="00BE752B" w:rsidRDefault="00B346DD" w:rsidP="00B346DD">
      <w:pPr>
        <w:pStyle w:val="standard"/>
        <w:rPr>
          <w:rFonts w:eastAsia="Calibri"/>
          <w:szCs w:val="24"/>
        </w:rPr>
      </w:pPr>
      <w:r>
        <w:t>We disagree with the Opponents</w:t>
      </w:r>
      <w:r w:rsidR="00FC0130">
        <w:t>’</w:t>
      </w:r>
      <w:r>
        <w:t xml:space="preserve"> </w:t>
      </w:r>
      <w:r w:rsidR="00F00769">
        <w:t xml:space="preserve">claim </w:t>
      </w:r>
      <w:r>
        <w:t xml:space="preserve">that SED has </w:t>
      </w:r>
      <w:r w:rsidR="00FC0130">
        <w:t xml:space="preserve">not </w:t>
      </w:r>
      <w:r>
        <w:t>show</w:t>
      </w:r>
      <w:r w:rsidR="00FC0130">
        <w:t>n</w:t>
      </w:r>
      <w:r>
        <w:t xml:space="preserve"> that its proposed revisions to Rule</w:t>
      </w:r>
      <w:r w:rsidR="00FC0130">
        <w:t> </w:t>
      </w:r>
      <w:r>
        <w:t>94.</w:t>
      </w:r>
      <w:r w:rsidR="009F39CB">
        <w:t>9</w:t>
      </w:r>
      <w:r>
        <w:t xml:space="preserve"> are needed.  We concur with SED that the existing Rule 94.</w:t>
      </w:r>
      <w:r w:rsidR="009F39CB">
        <w:t>9</w:t>
      </w:r>
      <w:r>
        <w:t xml:space="preserve"> is </w:t>
      </w:r>
      <w:r w:rsidR="00F24F80">
        <w:t xml:space="preserve">vague.  Such </w:t>
      </w:r>
      <w:r>
        <w:t>ambiguity in Rule</w:t>
      </w:r>
      <w:r w:rsidR="00F00769">
        <w:t> </w:t>
      </w:r>
      <w:r>
        <w:t>94.</w:t>
      </w:r>
      <w:r w:rsidR="009F39CB">
        <w:t>9</w:t>
      </w:r>
      <w:r>
        <w:t xml:space="preserve"> is inconsistent with the purpose of </w:t>
      </w:r>
      <w:r w:rsidR="00F24F80">
        <w:t>Rule 94.9</w:t>
      </w:r>
      <w:r>
        <w:t xml:space="preserve">, </w:t>
      </w:r>
      <w:r>
        <w:rPr>
          <w:rFonts w:eastAsia="Calibri"/>
          <w:szCs w:val="24"/>
        </w:rPr>
        <w:t xml:space="preserve">which </w:t>
      </w:r>
      <w:r w:rsidR="004623EE">
        <w:rPr>
          <w:rFonts w:eastAsia="Calibri"/>
          <w:szCs w:val="24"/>
        </w:rPr>
        <w:t>is</w:t>
      </w:r>
      <w:r>
        <w:rPr>
          <w:rFonts w:eastAsia="Calibri"/>
          <w:szCs w:val="24"/>
        </w:rPr>
        <w:t xml:space="preserve"> </w:t>
      </w:r>
      <w:r w:rsidRPr="00BD61DE">
        <w:rPr>
          <w:rFonts w:eastAsia="Calibri"/>
          <w:szCs w:val="24"/>
        </w:rPr>
        <w:t xml:space="preserve">to “ensure that all utility linemen in </w:t>
      </w:r>
      <w:r w:rsidRPr="009D328A">
        <w:t>California</w:t>
      </w:r>
      <w:r w:rsidRPr="00BD61DE">
        <w:rPr>
          <w:rFonts w:eastAsia="Calibri"/>
          <w:szCs w:val="24"/>
        </w:rPr>
        <w:t xml:space="preserve"> will benefit from the protections established in </w:t>
      </w:r>
      <w:r w:rsidR="004623EE">
        <w:rPr>
          <w:rFonts w:eastAsia="Calibri"/>
          <w:szCs w:val="24"/>
        </w:rPr>
        <w:t>[the Settlement Agreement contained in Appendix</w:t>
      </w:r>
      <w:r w:rsidR="0080007C">
        <w:rPr>
          <w:rFonts w:eastAsia="Calibri"/>
          <w:szCs w:val="24"/>
        </w:rPr>
        <w:t> </w:t>
      </w:r>
      <w:r w:rsidR="004623EE">
        <w:rPr>
          <w:rFonts w:eastAsia="Calibri"/>
          <w:szCs w:val="24"/>
        </w:rPr>
        <w:t>H of GO 95]</w:t>
      </w:r>
      <w:r w:rsidRPr="00BD61DE">
        <w:rPr>
          <w:rFonts w:eastAsia="Calibri"/>
          <w:szCs w:val="24"/>
        </w:rPr>
        <w:t>.”</w:t>
      </w:r>
      <w:r w:rsidRPr="00BE752B">
        <w:rPr>
          <w:rFonts w:eastAsia="Calibri"/>
          <w:szCs w:val="24"/>
          <w:vertAlign w:val="superscript"/>
        </w:rPr>
        <w:footnoteReference w:id="98"/>
      </w:r>
      <w:r w:rsidRPr="00BE752B">
        <w:rPr>
          <w:rFonts w:eastAsia="Calibri"/>
          <w:szCs w:val="24"/>
        </w:rPr>
        <w:t xml:space="preserve">  </w:t>
      </w:r>
      <w:r>
        <w:rPr>
          <w:rFonts w:eastAsia="Calibri"/>
          <w:szCs w:val="24"/>
        </w:rPr>
        <w:t>The revisions to Rule</w:t>
      </w:r>
      <w:r w:rsidR="00F00769">
        <w:rPr>
          <w:rFonts w:eastAsia="Calibri"/>
          <w:szCs w:val="24"/>
        </w:rPr>
        <w:t> </w:t>
      </w:r>
      <w:r>
        <w:rPr>
          <w:rFonts w:eastAsia="Calibri"/>
          <w:szCs w:val="24"/>
        </w:rPr>
        <w:t>94.</w:t>
      </w:r>
      <w:r w:rsidR="009F39CB">
        <w:rPr>
          <w:rFonts w:eastAsia="Calibri"/>
          <w:szCs w:val="24"/>
        </w:rPr>
        <w:t>9</w:t>
      </w:r>
      <w:r>
        <w:rPr>
          <w:rFonts w:eastAsia="Calibri"/>
          <w:szCs w:val="24"/>
        </w:rPr>
        <w:t xml:space="preserve"> adopted by today’s decision provide the </w:t>
      </w:r>
      <w:r w:rsidR="0080007C">
        <w:rPr>
          <w:rFonts w:eastAsia="Calibri"/>
          <w:szCs w:val="24"/>
        </w:rPr>
        <w:t xml:space="preserve">contemplated </w:t>
      </w:r>
      <w:r>
        <w:rPr>
          <w:rFonts w:eastAsia="Calibri"/>
          <w:szCs w:val="24"/>
        </w:rPr>
        <w:t xml:space="preserve">assurance. </w:t>
      </w:r>
    </w:p>
    <w:p w:rsidR="00EA56A6" w:rsidRPr="00DE60D8" w:rsidRDefault="00EA56A6" w:rsidP="00EA56A6">
      <w:pPr>
        <w:pStyle w:val="standard"/>
        <w:rPr>
          <w:rFonts w:eastAsia="Calibri"/>
          <w:szCs w:val="24"/>
        </w:rPr>
      </w:pPr>
      <w:r>
        <w:t xml:space="preserve">There is no merit to the Opponents’ </w:t>
      </w:r>
      <w:r w:rsidR="00F24F80">
        <w:t>allegation</w:t>
      </w:r>
      <w:r>
        <w:t xml:space="preserve"> that SED’s proposed revisions to Rule 94.9 constitute a breach of </w:t>
      </w:r>
      <w:r w:rsidRPr="00FE1DB1">
        <w:t xml:space="preserve">the Settlement Agreement </w:t>
      </w:r>
      <w:r>
        <w:t xml:space="preserve">that was signed by SED’s </w:t>
      </w:r>
      <w:r w:rsidR="00C604A6">
        <w:t>predecessor</w:t>
      </w:r>
      <w:r>
        <w:t xml:space="preserve">, approved by D.07-02-030, and added to GO 95 as Appendix H.  The current Rule 94.9 was not part of the </w:t>
      </w:r>
      <w:r>
        <w:rPr>
          <w:rFonts w:eastAsia="Calibri"/>
          <w:szCs w:val="24"/>
        </w:rPr>
        <w:t>Settlement Agreement.</w:t>
      </w:r>
      <w:r>
        <w:rPr>
          <w:rStyle w:val="FootnoteReference"/>
          <w:rFonts w:eastAsia="Calibri"/>
          <w:szCs w:val="24"/>
        </w:rPr>
        <w:footnoteReference w:id="99"/>
      </w:r>
      <w:r>
        <w:rPr>
          <w:rFonts w:eastAsia="Calibri"/>
          <w:szCs w:val="24"/>
        </w:rPr>
        <w:t xml:space="preserve">  SED’s proposal applies only to Rule 94.9</w:t>
      </w:r>
      <w:r w:rsidR="004623EE">
        <w:rPr>
          <w:rFonts w:eastAsia="Calibri"/>
          <w:szCs w:val="24"/>
        </w:rPr>
        <w:t xml:space="preserve"> and </w:t>
      </w:r>
      <w:r>
        <w:rPr>
          <w:rFonts w:eastAsia="Calibri"/>
          <w:szCs w:val="24"/>
        </w:rPr>
        <w:t>does not alter the Settlement Agreement</w:t>
      </w:r>
      <w:r w:rsidR="004623EE">
        <w:rPr>
          <w:rFonts w:eastAsia="Calibri"/>
          <w:szCs w:val="24"/>
        </w:rPr>
        <w:t xml:space="preserve"> in any respect</w:t>
      </w:r>
      <w:r>
        <w:rPr>
          <w:rFonts w:eastAsia="Calibri"/>
          <w:szCs w:val="24"/>
        </w:rPr>
        <w:t>.</w:t>
      </w:r>
      <w:r w:rsidR="004623EE">
        <w:rPr>
          <w:rStyle w:val="FootnoteReference"/>
          <w:rFonts w:eastAsia="Calibri"/>
          <w:szCs w:val="24"/>
        </w:rPr>
        <w:footnoteReference w:id="100"/>
      </w:r>
      <w:r>
        <w:rPr>
          <w:rFonts w:eastAsia="Calibri"/>
          <w:szCs w:val="24"/>
        </w:rPr>
        <w:t xml:space="preserve">  </w:t>
      </w:r>
    </w:p>
    <w:p w:rsidR="00FB4862" w:rsidRDefault="00FB4862" w:rsidP="00FB4862">
      <w:pPr>
        <w:pStyle w:val="standard"/>
      </w:pPr>
      <w:r>
        <w:t xml:space="preserve">We disagree with the </w:t>
      </w:r>
      <w:r w:rsidR="00C604A6">
        <w:t>Opponents’</w:t>
      </w:r>
      <w:r>
        <w:t xml:space="preserve"> claim that the Commission lacks authority to adopt SED’s proposed revisions to Rule 94.9 because the FCC has exclusive </w:t>
      </w:r>
      <w:r w:rsidR="00C604A6">
        <w:t>jurisdiction</w:t>
      </w:r>
      <w:r>
        <w:t xml:space="preserve"> under federal law over matters pertaining to RF emissions.  It </w:t>
      </w:r>
      <w:r w:rsidR="00EE52D0">
        <w:t xml:space="preserve">makes no sense </w:t>
      </w:r>
      <w:r>
        <w:t xml:space="preserve">that the existing Rule 94.9 is not preempted, but the revised </w:t>
      </w:r>
      <w:r>
        <w:lastRenderedPageBreak/>
        <w:t>Rule</w:t>
      </w:r>
      <w:r w:rsidR="00FC0130">
        <w:t> 94.9 is preempted, as both r</w:t>
      </w:r>
      <w:r>
        <w:t xml:space="preserve">ules are fundamentally alike in that both require antenna owners to </w:t>
      </w:r>
      <w:r w:rsidR="00C604A6">
        <w:t>establish</w:t>
      </w:r>
      <w:r>
        <w:t xml:space="preserve"> antenna de-energizing protocols with the owners of other facilities attached to the same pole as </w:t>
      </w:r>
      <w:r w:rsidR="00F00769">
        <w:t>an</w:t>
      </w:r>
      <w:r>
        <w:t xml:space="preserve"> antenna.  </w:t>
      </w:r>
    </w:p>
    <w:p w:rsidR="00FB4862" w:rsidRDefault="00FB4862" w:rsidP="00FB4862">
      <w:pPr>
        <w:pStyle w:val="standard"/>
        <w:rPr>
          <w:rFonts w:eastAsia="Calibri"/>
          <w:szCs w:val="24"/>
        </w:rPr>
      </w:pPr>
      <w:r>
        <w:rPr>
          <w:rFonts w:eastAsia="Calibri"/>
          <w:szCs w:val="24"/>
        </w:rPr>
        <w:t xml:space="preserve">In any event, the Commission has authority under federal law to regulate pole attachments pursuant to </w:t>
      </w:r>
      <w:r>
        <w:t xml:space="preserve">47 U.S.C. § 224, to </w:t>
      </w:r>
      <w:r>
        <w:rPr>
          <w:rFonts w:eastAsia="Calibri"/>
          <w:szCs w:val="24"/>
        </w:rPr>
        <w:t xml:space="preserve">establish safety regulations for pole attachments pursuant to </w:t>
      </w:r>
      <w:r>
        <w:t>47 U.S.C. § 253(b), and to regulate other terms and conditions of commercial mobile radio services pursuant to 47 U.S.C. § 332(c)(3)</w:t>
      </w:r>
      <w:r>
        <w:rPr>
          <w:rFonts w:eastAsia="Calibri"/>
          <w:szCs w:val="24"/>
        </w:rPr>
        <w:t xml:space="preserve">.  </w:t>
      </w:r>
      <w:r w:rsidR="00EE52D0">
        <w:rPr>
          <w:rFonts w:eastAsia="Calibri"/>
          <w:szCs w:val="24"/>
        </w:rPr>
        <w:t>We conclude that t</w:t>
      </w:r>
      <w:r>
        <w:rPr>
          <w:rFonts w:eastAsia="Calibri"/>
          <w:szCs w:val="24"/>
        </w:rPr>
        <w:t xml:space="preserve">he scope of the Commission’s authority under these federal statutes encompasses the revisions to Rule 94.9 adopted by </w:t>
      </w:r>
      <w:r w:rsidR="00C604A6">
        <w:rPr>
          <w:rFonts w:eastAsia="Calibri"/>
          <w:szCs w:val="24"/>
        </w:rPr>
        <w:t>today’s</w:t>
      </w:r>
      <w:r>
        <w:rPr>
          <w:rFonts w:eastAsia="Calibri"/>
          <w:szCs w:val="24"/>
        </w:rPr>
        <w:t xml:space="preserve"> decision.     </w:t>
      </w:r>
    </w:p>
    <w:p w:rsidR="00FB4862" w:rsidRDefault="00FB4862" w:rsidP="00FB4862">
      <w:pPr>
        <w:pStyle w:val="standard"/>
      </w:pPr>
      <w:r>
        <w:rPr>
          <w:rFonts w:eastAsia="Calibri"/>
          <w:szCs w:val="24"/>
        </w:rPr>
        <w:t xml:space="preserve">We disagree with the Opponents that the adopted revisions to Rule 94.9 conflict with </w:t>
      </w:r>
      <w:r w:rsidRPr="009407BE">
        <w:t>47 U.S.C. §</w:t>
      </w:r>
      <w:r>
        <w:t> </w:t>
      </w:r>
      <w:r w:rsidRPr="009407BE">
        <w:t>332(c)(7)(B)(iv)</w:t>
      </w:r>
      <w:r>
        <w:t>, which states as follows:</w:t>
      </w:r>
    </w:p>
    <w:p w:rsidR="00FB4862" w:rsidRPr="00F66292" w:rsidRDefault="00FB4862" w:rsidP="00FB4862">
      <w:pPr>
        <w:pStyle w:val="StandardQuotation"/>
        <w:keepNext/>
        <w:spacing w:after="120"/>
        <w:ind w:left="720"/>
        <w:rPr>
          <w:b/>
        </w:rPr>
      </w:pPr>
      <w:r w:rsidRPr="00A27526">
        <w:rPr>
          <w:b/>
        </w:rPr>
        <w:t>4</w:t>
      </w:r>
      <w:r>
        <w:rPr>
          <w:b/>
        </w:rPr>
        <w:t>7</w:t>
      </w:r>
      <w:r w:rsidRPr="00A27526">
        <w:rPr>
          <w:b/>
        </w:rPr>
        <w:t xml:space="preserve"> U.S.C</w:t>
      </w:r>
      <w:r>
        <w:rPr>
          <w:b/>
        </w:rPr>
        <w:t xml:space="preserve">. </w:t>
      </w:r>
      <w:r w:rsidRPr="00A27526">
        <w:rPr>
          <w:b/>
        </w:rPr>
        <w:t>332(c)</w:t>
      </w:r>
      <w:r>
        <w:rPr>
          <w:b/>
        </w:rPr>
        <w:t>(7)</w:t>
      </w:r>
      <w:r w:rsidRPr="00F66292">
        <w:rPr>
          <w:b/>
        </w:rPr>
        <w:t xml:space="preserve"> Preservation of </w:t>
      </w:r>
      <w:r>
        <w:rPr>
          <w:b/>
        </w:rPr>
        <w:t>L</w:t>
      </w:r>
      <w:r w:rsidRPr="00F66292">
        <w:rPr>
          <w:b/>
        </w:rPr>
        <w:t xml:space="preserve">ocal </w:t>
      </w:r>
      <w:r>
        <w:rPr>
          <w:b/>
        </w:rPr>
        <w:t>Z</w:t>
      </w:r>
      <w:r w:rsidRPr="00F66292">
        <w:rPr>
          <w:b/>
        </w:rPr>
        <w:t xml:space="preserve">oning </w:t>
      </w:r>
      <w:r>
        <w:rPr>
          <w:b/>
        </w:rPr>
        <w:t>A</w:t>
      </w:r>
      <w:r w:rsidRPr="00F66292">
        <w:rPr>
          <w:b/>
        </w:rPr>
        <w:t xml:space="preserve">uthority </w:t>
      </w:r>
    </w:p>
    <w:p w:rsidR="00FB4862" w:rsidRPr="00F66292" w:rsidRDefault="00FB4862" w:rsidP="00FB4862">
      <w:pPr>
        <w:pStyle w:val="StandardQuotation"/>
        <w:keepNext/>
        <w:spacing w:after="60"/>
        <w:ind w:left="720"/>
        <w:rPr>
          <w:b/>
        </w:rPr>
      </w:pPr>
      <w:r w:rsidRPr="00A27526">
        <w:rPr>
          <w:b/>
        </w:rPr>
        <w:t>(A)</w:t>
      </w:r>
      <w:r w:rsidRPr="00F66292">
        <w:rPr>
          <w:b/>
        </w:rPr>
        <w:t xml:space="preserve"> General </w:t>
      </w:r>
      <w:r>
        <w:rPr>
          <w:b/>
        </w:rPr>
        <w:t>A</w:t>
      </w:r>
      <w:r w:rsidRPr="00F66292">
        <w:rPr>
          <w:b/>
        </w:rPr>
        <w:t xml:space="preserve">uthority </w:t>
      </w:r>
    </w:p>
    <w:p w:rsidR="00FB4862" w:rsidRPr="00F66292" w:rsidRDefault="00FB4862" w:rsidP="00FB4862">
      <w:pPr>
        <w:pStyle w:val="StandardQuotation"/>
        <w:spacing w:after="60"/>
        <w:ind w:left="720" w:right="720"/>
      </w:pPr>
      <w:r w:rsidRPr="00F66292">
        <w:t xml:space="preserve">Except as provided in this paragraph, nothing in this chapter shall limit or affect the authority of a State or local government or instrumentality thereof over decisions regarding the placement, construction, and modification of personal wireless service facilities. </w:t>
      </w:r>
    </w:p>
    <w:p w:rsidR="00FB4862" w:rsidRPr="00F66292" w:rsidRDefault="00FB4862" w:rsidP="009B11F5">
      <w:pPr>
        <w:pStyle w:val="StandardQuotation"/>
        <w:keepNext/>
        <w:spacing w:before="120" w:after="0"/>
        <w:ind w:left="720"/>
        <w:rPr>
          <w:b/>
        </w:rPr>
      </w:pPr>
      <w:r w:rsidRPr="00A27526">
        <w:rPr>
          <w:b/>
        </w:rPr>
        <w:t>(B)</w:t>
      </w:r>
      <w:r w:rsidRPr="00F66292">
        <w:rPr>
          <w:b/>
        </w:rPr>
        <w:t xml:space="preserve"> Limitations </w:t>
      </w:r>
    </w:p>
    <w:p w:rsidR="004F0319" w:rsidRDefault="004F0319" w:rsidP="009B11F5">
      <w:pPr>
        <w:pStyle w:val="standard"/>
        <w:keepNext/>
        <w:spacing w:before="60" w:line="240" w:lineRule="auto"/>
        <w:ind w:firstLine="0"/>
        <w:jc w:val="center"/>
      </w:pPr>
      <w:r>
        <w:t>************************</w:t>
      </w:r>
    </w:p>
    <w:p w:rsidR="00FB4862" w:rsidRPr="00F66292" w:rsidRDefault="00FB4862" w:rsidP="00FC0130">
      <w:pPr>
        <w:pStyle w:val="StandardQuotation"/>
        <w:tabs>
          <w:tab w:val="left" w:pos="1170"/>
        </w:tabs>
        <w:spacing w:before="0"/>
        <w:ind w:left="1166" w:right="360" w:hanging="446"/>
      </w:pPr>
      <w:r w:rsidRPr="00E84BD6">
        <w:t>(iv)</w:t>
      </w:r>
      <w:r w:rsidR="00FC0130">
        <w:tab/>
      </w:r>
      <w:r w:rsidRPr="00E84BD6">
        <w:t xml:space="preserve">No State or local government or instrumentality thereof may regulate the placement, construction, and modification of personal wireless service facilities on the basis of the environmental effects of radio frequency emissions to the extent that such facilities comply with the </w:t>
      </w:r>
      <w:r>
        <w:t xml:space="preserve">[FCC’s] </w:t>
      </w:r>
      <w:r w:rsidRPr="00E84BD6">
        <w:t xml:space="preserve">regulations concerning such emissions. </w:t>
      </w:r>
    </w:p>
    <w:p w:rsidR="00FB4862" w:rsidRDefault="00FB4862" w:rsidP="00FB4862">
      <w:pPr>
        <w:pStyle w:val="standard"/>
        <w:rPr>
          <w:rFonts w:eastAsia="Calibri"/>
          <w:szCs w:val="24"/>
        </w:rPr>
      </w:pPr>
      <w:r>
        <w:t xml:space="preserve">The flaw in the Opponents’ argument is that </w:t>
      </w:r>
      <w:r>
        <w:rPr>
          <w:rFonts w:eastAsia="Calibri"/>
          <w:szCs w:val="24"/>
        </w:rPr>
        <w:t>47 U.S.C</w:t>
      </w:r>
      <w:r w:rsidR="00C604A6">
        <w:rPr>
          <w:rFonts w:eastAsia="Calibri"/>
          <w:szCs w:val="24"/>
        </w:rPr>
        <w:t>.</w:t>
      </w:r>
      <w:r>
        <w:rPr>
          <w:rFonts w:eastAsia="Calibri"/>
          <w:szCs w:val="24"/>
        </w:rPr>
        <w:t xml:space="preserve"> 332(c)(7)(B)(iv) pertains to the siting and zoning of wireless facilities.  </w:t>
      </w:r>
      <w:r w:rsidR="0038164C">
        <w:rPr>
          <w:rFonts w:eastAsia="Calibri"/>
          <w:szCs w:val="24"/>
        </w:rPr>
        <w:t>I</w:t>
      </w:r>
      <w:r w:rsidR="004F0319">
        <w:rPr>
          <w:rFonts w:eastAsia="Calibri"/>
          <w:szCs w:val="24"/>
        </w:rPr>
        <w:t>n</w:t>
      </w:r>
      <w:r w:rsidR="0038164C">
        <w:rPr>
          <w:rFonts w:eastAsia="Calibri"/>
          <w:szCs w:val="24"/>
        </w:rPr>
        <w:t xml:space="preserve"> contrast, </w:t>
      </w:r>
      <w:r>
        <w:t>Rule 94.9 is a safety regulation, not a siting or zoning regulation.  The revisions to Rule 94.9 adopted by today’s decision do not affect the placement, construction, modification</w:t>
      </w:r>
      <w:r w:rsidR="005231B2">
        <w:t>, or operation</w:t>
      </w:r>
      <w:r>
        <w:t xml:space="preserve"> of wireless facilities.  </w:t>
      </w:r>
      <w:r w:rsidR="00E1255B">
        <w:t xml:space="preserve">Nor do the adopted revisions </w:t>
      </w:r>
      <w:r w:rsidR="00E1255B">
        <w:lastRenderedPageBreak/>
        <w:t>regulate RF</w:t>
      </w:r>
      <w:r w:rsidR="009B11F5">
        <w:t> </w:t>
      </w:r>
      <w:r w:rsidR="00E1255B">
        <w:t xml:space="preserve">emissions.  </w:t>
      </w:r>
      <w:r>
        <w:t xml:space="preserve">Rather, the adopted revisions </w:t>
      </w:r>
      <w:r w:rsidR="00E1255B">
        <w:t>simply require that protocols be established to turn off power</w:t>
      </w:r>
      <w:r w:rsidR="004F0319">
        <w:t xml:space="preserve"> to antennas when necessary to protect the safety of people working on utility poles </w:t>
      </w:r>
      <w:r w:rsidR="00102BFB">
        <w:t>with</w:t>
      </w:r>
      <w:r w:rsidR="00D72D47">
        <w:t xml:space="preserve"> attached </w:t>
      </w:r>
      <w:r w:rsidR="004F0319">
        <w:t>antennas</w:t>
      </w:r>
      <w:r w:rsidR="00E1255B">
        <w:t>.</w:t>
      </w:r>
      <w:r w:rsidR="004F0319">
        <w:rPr>
          <w:rStyle w:val="FootnoteReference"/>
          <w:rFonts w:eastAsia="Calibri"/>
          <w:szCs w:val="24"/>
        </w:rPr>
        <w:footnoteReference w:id="101"/>
      </w:r>
      <w:r>
        <w:t xml:space="preserve">  This </w:t>
      </w:r>
      <w:r w:rsidR="004F0319">
        <w:t xml:space="preserve">safety </w:t>
      </w:r>
      <w:r>
        <w:t xml:space="preserve">requirement is consistent with the FCC’s </w:t>
      </w:r>
      <w:r w:rsidR="00DE5047">
        <w:t>suggestion that exposure to RF</w:t>
      </w:r>
      <w:r w:rsidR="00756A5A">
        <w:t> </w:t>
      </w:r>
      <w:r w:rsidR="00DE5047">
        <w:t xml:space="preserve">radiation that exceeds FCC </w:t>
      </w:r>
      <w:r w:rsidR="00270B54">
        <w:t>guidelines</w:t>
      </w:r>
      <w:r w:rsidR="00DE5047">
        <w:t xml:space="preserve"> may be controlled </w:t>
      </w:r>
      <w:r w:rsidR="00CC0C46">
        <w:t xml:space="preserve">by </w:t>
      </w:r>
      <w:r w:rsidR="00CC0C46" w:rsidRPr="00CC0C46">
        <w:rPr>
          <w:rFonts w:eastAsia="Calibri"/>
          <w:szCs w:val="24"/>
        </w:rPr>
        <w:t>“reducing or shutting off power when work is required in a high RF</w:t>
      </w:r>
      <w:r w:rsidR="009A625C">
        <w:rPr>
          <w:rFonts w:eastAsia="Calibri"/>
          <w:szCs w:val="24"/>
        </w:rPr>
        <w:t> </w:t>
      </w:r>
      <w:r w:rsidR="00CC0C46" w:rsidRPr="00CC0C46">
        <w:rPr>
          <w:rFonts w:eastAsia="Calibri"/>
          <w:szCs w:val="24"/>
        </w:rPr>
        <w:t>area.</w:t>
      </w:r>
      <w:r>
        <w:rPr>
          <w:rStyle w:val="FootnoteReference"/>
          <w:rFonts w:eastAsia="Calibri"/>
          <w:szCs w:val="24"/>
        </w:rPr>
        <w:footnoteReference w:id="102"/>
      </w:r>
      <w:r w:rsidR="00CC0C46">
        <w:rPr>
          <w:rFonts w:eastAsia="Calibri"/>
          <w:szCs w:val="24"/>
        </w:rPr>
        <w:t>”</w:t>
      </w:r>
      <w:r>
        <w:rPr>
          <w:rFonts w:eastAsia="Calibri"/>
          <w:szCs w:val="24"/>
        </w:rPr>
        <w:t xml:space="preserve">  </w:t>
      </w:r>
      <w:r w:rsidR="00AD765A">
        <w:rPr>
          <w:rFonts w:eastAsia="Calibri"/>
          <w:szCs w:val="24"/>
        </w:rPr>
        <w:t>Hence, today’s Decision does not conflict with any federal laws, regulations, or policies.</w:t>
      </w:r>
    </w:p>
    <w:p w:rsidR="003C2052" w:rsidRPr="00343744" w:rsidRDefault="003C2052" w:rsidP="003C2052">
      <w:pPr>
        <w:pStyle w:val="standard"/>
      </w:pPr>
      <w:r>
        <w:rPr>
          <w:rFonts w:eastAsia="Calibri"/>
          <w:szCs w:val="24"/>
        </w:rPr>
        <w:t xml:space="preserve">In its comments on the </w:t>
      </w:r>
      <w:r w:rsidR="00D55527">
        <w:rPr>
          <w:rFonts w:eastAsia="Calibri"/>
          <w:szCs w:val="24"/>
        </w:rPr>
        <w:t>p</w:t>
      </w:r>
      <w:r>
        <w:rPr>
          <w:rFonts w:eastAsia="Calibri"/>
          <w:szCs w:val="24"/>
        </w:rPr>
        <w:t xml:space="preserve">roposed </w:t>
      </w:r>
      <w:r w:rsidR="00D55527">
        <w:rPr>
          <w:rFonts w:eastAsia="Calibri"/>
          <w:szCs w:val="24"/>
        </w:rPr>
        <w:t>d</w:t>
      </w:r>
      <w:r>
        <w:rPr>
          <w:rFonts w:eastAsia="Calibri"/>
          <w:szCs w:val="24"/>
        </w:rPr>
        <w:t>ecision, AT&amp;T Mobility argues unpersuasively that our adopted revisions to Rule</w:t>
      </w:r>
      <w:r w:rsidR="00803053">
        <w:rPr>
          <w:rFonts w:eastAsia="Calibri"/>
          <w:szCs w:val="24"/>
        </w:rPr>
        <w:t> </w:t>
      </w:r>
      <w:r>
        <w:rPr>
          <w:rFonts w:eastAsia="Calibri"/>
          <w:szCs w:val="24"/>
        </w:rPr>
        <w:t>94.9 are prohibited by FCC 97</w:t>
      </w:r>
      <w:r>
        <w:rPr>
          <w:rFonts w:eastAsia="Calibri"/>
          <w:szCs w:val="24"/>
        </w:rPr>
        <w:noBreakHyphen/>
        <w:t xml:space="preserve">303 wherein the FCC held that </w:t>
      </w:r>
      <w:r w:rsidR="00675C62">
        <w:rPr>
          <w:rFonts w:eastAsia="Calibri"/>
          <w:szCs w:val="24"/>
        </w:rPr>
        <w:t xml:space="preserve">States do not have authority under </w:t>
      </w:r>
      <w:r w:rsidRPr="009407BE">
        <w:t>47</w:t>
      </w:r>
      <w:r w:rsidR="00675C62">
        <w:t> </w:t>
      </w:r>
      <w:r w:rsidRPr="009407BE">
        <w:t>U.S.C. §</w:t>
      </w:r>
      <w:r>
        <w:t> </w:t>
      </w:r>
      <w:r w:rsidRPr="009407BE">
        <w:t>332(c)(7)</w:t>
      </w:r>
      <w:r>
        <w:t xml:space="preserve"> to regulate the operation of wireless facilities based on RF</w:t>
      </w:r>
      <w:r>
        <w:noBreakHyphen/>
        <w:t>emissions considerations.</w:t>
      </w:r>
      <w:r>
        <w:rPr>
          <w:rStyle w:val="FootnoteReference"/>
        </w:rPr>
        <w:footnoteReference w:id="103"/>
      </w:r>
      <w:r>
        <w:t xml:space="preserve">  </w:t>
      </w:r>
      <w:r w:rsidR="00E92297">
        <w:t>Again, t</w:t>
      </w:r>
      <w:r>
        <w:t xml:space="preserve">oday’s decision does not regulate the operation of wireless facilities.  </w:t>
      </w:r>
      <w:r w:rsidR="00E85865">
        <w:t>Rather, t</w:t>
      </w:r>
      <w:r w:rsidR="00675C62">
        <w:t xml:space="preserve">oday’s decision regulates safety pursuant to the Commission’s authority under </w:t>
      </w:r>
      <w:r w:rsidR="00675C62" w:rsidRPr="009407BE">
        <w:t>47</w:t>
      </w:r>
      <w:r w:rsidR="00102BFB">
        <w:t> </w:t>
      </w:r>
      <w:r w:rsidR="00675C62" w:rsidRPr="009407BE">
        <w:t>U.S.C.</w:t>
      </w:r>
      <w:r w:rsidR="00675C62">
        <w:t xml:space="preserve"> 224, 332(c)(3), and 253(b), and Pub. Util. Code §§ 701 and 761 et seq.  </w:t>
      </w:r>
    </w:p>
    <w:p w:rsidR="002250EB" w:rsidRDefault="00AF5FC0" w:rsidP="005719C6">
      <w:pPr>
        <w:pStyle w:val="Heading3"/>
      </w:pPr>
      <w:bookmarkStart w:id="99" w:name="_Toc436134575"/>
      <w:bookmarkStart w:id="100" w:name="_Toc436224208"/>
      <w:bookmarkStart w:id="101" w:name="_Toc436227648"/>
      <w:bookmarkStart w:id="102" w:name="_Toc436640243"/>
      <w:bookmarkStart w:id="103" w:name="_Toc436647359"/>
      <w:bookmarkStart w:id="104" w:name="_Toc436647360"/>
      <w:bookmarkEnd w:id="99"/>
      <w:bookmarkEnd w:id="100"/>
      <w:bookmarkEnd w:id="101"/>
      <w:bookmarkEnd w:id="102"/>
      <w:bookmarkEnd w:id="103"/>
      <w:r>
        <w:t xml:space="preserve">Proposed </w:t>
      </w:r>
      <w:r w:rsidR="002250EB">
        <w:t>New Rule 94.10 (Pad Mounting)</w:t>
      </w:r>
      <w:bookmarkEnd w:id="104"/>
      <w:r w:rsidR="002250EB">
        <w:t xml:space="preserve"> </w:t>
      </w:r>
    </w:p>
    <w:p w:rsidR="002250EB" w:rsidRDefault="002250EB" w:rsidP="00A845DC">
      <w:pPr>
        <w:pStyle w:val="Heading4"/>
      </w:pPr>
      <w:bookmarkStart w:id="105" w:name="_Toc436647361"/>
      <w:r>
        <w:t>Summary of the Proposal</w:t>
      </w:r>
      <w:bookmarkEnd w:id="105"/>
      <w:r>
        <w:t xml:space="preserve"> </w:t>
      </w:r>
    </w:p>
    <w:p w:rsidR="001F00BD" w:rsidRDefault="002250EB" w:rsidP="00CC0C46">
      <w:pPr>
        <w:pStyle w:val="standard"/>
        <w:rPr>
          <w:rFonts w:eastAsia="Calibri"/>
          <w:szCs w:val="24"/>
        </w:rPr>
      </w:pPr>
      <w:r>
        <w:rPr>
          <w:rFonts w:eastAsia="Calibri"/>
          <w:szCs w:val="24"/>
        </w:rPr>
        <w:t>SED</w:t>
      </w:r>
      <w:r w:rsidR="001F00BD">
        <w:rPr>
          <w:rFonts w:eastAsia="Calibri"/>
          <w:szCs w:val="24"/>
        </w:rPr>
        <w:t xml:space="preserve">’s proposed </w:t>
      </w:r>
      <w:r>
        <w:rPr>
          <w:rFonts w:eastAsia="Calibri"/>
          <w:szCs w:val="24"/>
        </w:rPr>
        <w:t>Rule</w:t>
      </w:r>
      <w:r w:rsidR="00C268A8">
        <w:rPr>
          <w:rFonts w:eastAsia="Calibri"/>
          <w:szCs w:val="24"/>
        </w:rPr>
        <w:t> </w:t>
      </w:r>
      <w:r>
        <w:rPr>
          <w:rFonts w:eastAsia="Calibri"/>
          <w:szCs w:val="24"/>
        </w:rPr>
        <w:t xml:space="preserve">94.10 would require antenna-related equipment </w:t>
      </w:r>
      <w:r w:rsidR="00DD5DE5">
        <w:rPr>
          <w:szCs w:val="24"/>
        </w:rPr>
        <w:t>that</w:t>
      </w:r>
      <w:r w:rsidRPr="00F03567">
        <w:rPr>
          <w:szCs w:val="24"/>
        </w:rPr>
        <w:t xml:space="preserve"> increases load</w:t>
      </w:r>
      <w:r w:rsidR="00DD5DE5">
        <w:rPr>
          <w:szCs w:val="24"/>
        </w:rPr>
        <w:t xml:space="preserve">s </w:t>
      </w:r>
      <w:r w:rsidRPr="00F03567">
        <w:rPr>
          <w:szCs w:val="24"/>
        </w:rPr>
        <w:t xml:space="preserve">on a pole </w:t>
      </w:r>
      <w:r>
        <w:rPr>
          <w:szCs w:val="24"/>
        </w:rPr>
        <w:t>to</w:t>
      </w:r>
      <w:r w:rsidRPr="00F03567">
        <w:rPr>
          <w:szCs w:val="24"/>
        </w:rPr>
        <w:t xml:space="preserve"> be </w:t>
      </w:r>
      <w:r w:rsidR="009B11F5">
        <w:rPr>
          <w:szCs w:val="24"/>
        </w:rPr>
        <w:t>placed</w:t>
      </w:r>
      <w:r w:rsidRPr="00F03567">
        <w:rPr>
          <w:szCs w:val="24"/>
        </w:rPr>
        <w:t xml:space="preserve"> </w:t>
      </w:r>
      <w:r w:rsidR="009A625C">
        <w:rPr>
          <w:szCs w:val="24"/>
        </w:rPr>
        <w:t xml:space="preserve">off the pole </w:t>
      </w:r>
      <w:r w:rsidRPr="00F03567">
        <w:rPr>
          <w:szCs w:val="24"/>
        </w:rPr>
        <w:t>in a pad-mounted structure</w:t>
      </w:r>
      <w:r w:rsidR="00B8624D">
        <w:rPr>
          <w:szCs w:val="24"/>
        </w:rPr>
        <w:t>,</w:t>
      </w:r>
      <w:r w:rsidR="001F00BD">
        <w:rPr>
          <w:szCs w:val="24"/>
        </w:rPr>
        <w:t xml:space="preserve"> </w:t>
      </w:r>
      <w:r w:rsidR="006E59AD">
        <w:rPr>
          <w:szCs w:val="24"/>
        </w:rPr>
        <w:t xml:space="preserve">except that such equipment may be </w:t>
      </w:r>
      <w:r w:rsidR="009B11F5">
        <w:rPr>
          <w:szCs w:val="24"/>
        </w:rPr>
        <w:t>attached to</w:t>
      </w:r>
      <w:r w:rsidR="006E59AD">
        <w:rPr>
          <w:szCs w:val="24"/>
        </w:rPr>
        <w:t xml:space="preserve"> </w:t>
      </w:r>
      <w:r w:rsidR="00B8624D">
        <w:rPr>
          <w:szCs w:val="24"/>
        </w:rPr>
        <w:t>a</w:t>
      </w:r>
      <w:r w:rsidR="006E59AD">
        <w:rPr>
          <w:szCs w:val="24"/>
        </w:rPr>
        <w:t xml:space="preserve"> pole upon a showing of good </w:t>
      </w:r>
      <w:r w:rsidR="006E59AD">
        <w:rPr>
          <w:szCs w:val="24"/>
        </w:rPr>
        <w:lastRenderedPageBreak/>
        <w:t>cause</w:t>
      </w:r>
      <w:r>
        <w:rPr>
          <w:szCs w:val="24"/>
        </w:rPr>
        <w:t>.</w:t>
      </w:r>
      <w:r w:rsidR="006E59AD">
        <w:rPr>
          <w:szCs w:val="24"/>
        </w:rPr>
        <w:t xml:space="preserve">  SED </w:t>
      </w:r>
      <w:r w:rsidR="007B4ECF">
        <w:rPr>
          <w:szCs w:val="24"/>
        </w:rPr>
        <w:t xml:space="preserve">does not know if its </w:t>
      </w:r>
      <w:r w:rsidR="006E59AD">
        <w:rPr>
          <w:szCs w:val="24"/>
        </w:rPr>
        <w:t xml:space="preserve">proposed rule will have significant </w:t>
      </w:r>
      <w:r w:rsidR="00DD5DE5">
        <w:rPr>
          <w:szCs w:val="24"/>
        </w:rPr>
        <w:t>costs</w:t>
      </w:r>
      <w:r w:rsidR="00D24241">
        <w:rPr>
          <w:szCs w:val="24"/>
        </w:rPr>
        <w:t xml:space="preserve">.  SED does not </w:t>
      </w:r>
      <w:r w:rsidR="00D06696">
        <w:rPr>
          <w:szCs w:val="24"/>
        </w:rPr>
        <w:t>anticipate</w:t>
      </w:r>
      <w:r w:rsidR="00D24241">
        <w:rPr>
          <w:szCs w:val="24"/>
        </w:rPr>
        <w:t xml:space="preserve"> significant </w:t>
      </w:r>
      <w:r w:rsidR="006E59AD">
        <w:rPr>
          <w:szCs w:val="24"/>
        </w:rPr>
        <w:t xml:space="preserve">environmental impacts.  </w:t>
      </w:r>
      <w:r w:rsidR="001F00BD">
        <w:rPr>
          <w:szCs w:val="24"/>
        </w:rPr>
        <w:t>Th</w:t>
      </w:r>
      <w:r w:rsidR="001C0862">
        <w:rPr>
          <w:szCs w:val="24"/>
        </w:rPr>
        <w:t>e</w:t>
      </w:r>
      <w:r w:rsidR="001F00BD">
        <w:rPr>
          <w:szCs w:val="24"/>
        </w:rPr>
        <w:t xml:space="preserve"> text of SED’s proposed Rule 94.10 is contained in</w:t>
      </w:r>
      <w:r w:rsidR="00AD4855">
        <w:rPr>
          <w:szCs w:val="24"/>
        </w:rPr>
        <w:t xml:space="preserve"> </w:t>
      </w:r>
      <w:r w:rsidR="001F00BD">
        <w:rPr>
          <w:szCs w:val="24"/>
        </w:rPr>
        <w:t xml:space="preserve">Appendix B of today’s decision.  </w:t>
      </w:r>
    </w:p>
    <w:p w:rsidR="006E59AD" w:rsidRDefault="006E59AD" w:rsidP="00A845DC">
      <w:pPr>
        <w:pStyle w:val="Heading4"/>
      </w:pPr>
      <w:bookmarkStart w:id="106" w:name="_Toc436647362"/>
      <w:r>
        <w:t>Positions of the Parties</w:t>
      </w:r>
      <w:bookmarkEnd w:id="106"/>
      <w:r>
        <w:t xml:space="preserve"> </w:t>
      </w:r>
    </w:p>
    <w:p w:rsidR="004E43A2" w:rsidRDefault="00977148" w:rsidP="00B717D8">
      <w:pPr>
        <w:pStyle w:val="standard"/>
      </w:pPr>
      <w:r>
        <w:t xml:space="preserve">SED states that </w:t>
      </w:r>
      <w:r w:rsidR="008B51CD">
        <w:t>attaching</w:t>
      </w:r>
      <w:r>
        <w:t xml:space="preserve"> large antenna</w:t>
      </w:r>
      <w:r>
        <w:noBreakHyphen/>
        <w:t xml:space="preserve">related equipment </w:t>
      </w:r>
      <w:r w:rsidR="008B51CD">
        <w:t>to</w:t>
      </w:r>
      <w:r>
        <w:t xml:space="preserve"> utility poles can </w:t>
      </w:r>
      <w:r w:rsidR="00DD5DE5">
        <w:t xml:space="preserve">obstruct climbing space and overload poles.  </w:t>
      </w:r>
      <w:r>
        <w:t xml:space="preserve">In light of these </w:t>
      </w:r>
      <w:r w:rsidR="00DD5DE5">
        <w:t>safety hazards</w:t>
      </w:r>
      <w:r>
        <w:t xml:space="preserve">, SED </w:t>
      </w:r>
      <w:r w:rsidR="009A625C">
        <w:t>recommends</w:t>
      </w:r>
      <w:r>
        <w:t xml:space="preserve"> that</w:t>
      </w:r>
      <w:r w:rsidR="00395D45">
        <w:t>,</w:t>
      </w:r>
      <w:r>
        <w:t xml:space="preserve"> </w:t>
      </w:r>
      <w:r w:rsidR="00D06696">
        <w:t>without</w:t>
      </w:r>
      <w:r>
        <w:t xml:space="preserve"> good cause, </w:t>
      </w:r>
      <w:r w:rsidR="00E731B6">
        <w:rPr>
          <w:szCs w:val="24"/>
        </w:rPr>
        <w:t>CMRS</w:t>
      </w:r>
      <w:r w:rsidRPr="0032304A">
        <w:rPr>
          <w:szCs w:val="24"/>
        </w:rPr>
        <w:t xml:space="preserve"> equipment </w:t>
      </w:r>
      <w:r w:rsidR="00E731B6">
        <w:rPr>
          <w:szCs w:val="24"/>
        </w:rPr>
        <w:t xml:space="preserve">(other than antennas) </w:t>
      </w:r>
      <w:r w:rsidRPr="0032304A">
        <w:rPr>
          <w:szCs w:val="24"/>
        </w:rPr>
        <w:t xml:space="preserve">should be </w:t>
      </w:r>
      <w:r w:rsidR="00C268A8">
        <w:rPr>
          <w:szCs w:val="24"/>
        </w:rPr>
        <w:t>kept</w:t>
      </w:r>
      <w:r w:rsidRPr="0032304A">
        <w:rPr>
          <w:szCs w:val="24"/>
        </w:rPr>
        <w:t xml:space="preserve"> </w:t>
      </w:r>
      <w:r w:rsidR="009A625C">
        <w:rPr>
          <w:szCs w:val="24"/>
        </w:rPr>
        <w:t xml:space="preserve">off </w:t>
      </w:r>
      <w:r w:rsidRPr="0032304A">
        <w:rPr>
          <w:szCs w:val="24"/>
        </w:rPr>
        <w:t>pole</w:t>
      </w:r>
      <w:r w:rsidR="00C268A8">
        <w:rPr>
          <w:szCs w:val="24"/>
        </w:rPr>
        <w:t>s</w:t>
      </w:r>
      <w:r w:rsidRPr="0032304A">
        <w:rPr>
          <w:szCs w:val="24"/>
        </w:rPr>
        <w:t xml:space="preserve"> </w:t>
      </w:r>
      <w:r w:rsidR="00C268A8">
        <w:rPr>
          <w:szCs w:val="24"/>
        </w:rPr>
        <w:t xml:space="preserve">and placed </w:t>
      </w:r>
      <w:r w:rsidRPr="0032304A">
        <w:rPr>
          <w:szCs w:val="24"/>
        </w:rPr>
        <w:t>in pad-mounted structure</w:t>
      </w:r>
      <w:r w:rsidR="00C268A8">
        <w:rPr>
          <w:szCs w:val="24"/>
        </w:rPr>
        <w:t>s</w:t>
      </w:r>
      <w:r w:rsidRPr="0032304A">
        <w:rPr>
          <w:szCs w:val="24"/>
        </w:rPr>
        <w:t xml:space="preserve">. </w:t>
      </w:r>
      <w:r>
        <w:rPr>
          <w:szCs w:val="24"/>
        </w:rPr>
        <w:t xml:space="preserve"> </w:t>
      </w:r>
      <w:r>
        <w:t xml:space="preserve"> </w:t>
      </w:r>
    </w:p>
    <w:p w:rsidR="008370AA" w:rsidRDefault="0043119A" w:rsidP="008370AA">
      <w:pPr>
        <w:pStyle w:val="standard"/>
      </w:pPr>
      <w:r>
        <w:t xml:space="preserve">SED recognizes that GO 95 already includes rules that prohibit </w:t>
      </w:r>
      <w:r w:rsidR="00DD5DE5">
        <w:t xml:space="preserve">obstruction of climbing space and overloaded </w:t>
      </w:r>
      <w:r>
        <w:t>pole</w:t>
      </w:r>
      <w:r w:rsidR="00DD5DE5">
        <w:t>s</w:t>
      </w:r>
      <w:r>
        <w:t xml:space="preserve">.  SED believes its proposed Rule 94.10 would further reduce the </w:t>
      </w:r>
      <w:r w:rsidR="00D06696">
        <w:t>possib</w:t>
      </w:r>
      <w:r w:rsidR="00C268A8">
        <w:t>i</w:t>
      </w:r>
      <w:r w:rsidR="00D06696">
        <w:t>l</w:t>
      </w:r>
      <w:r w:rsidR="00C268A8">
        <w:t>it</w:t>
      </w:r>
      <w:r w:rsidR="00D06696">
        <w:t>y</w:t>
      </w:r>
      <w:r>
        <w:t xml:space="preserve"> of </w:t>
      </w:r>
      <w:r w:rsidR="00E90E5F">
        <w:t xml:space="preserve">these </w:t>
      </w:r>
      <w:r>
        <w:t>unsafe conditions</w:t>
      </w:r>
      <w:r w:rsidR="008873FF">
        <w:t xml:space="preserve"> by moving CMRS equi</w:t>
      </w:r>
      <w:r w:rsidR="009A625C">
        <w:t>p</w:t>
      </w:r>
      <w:r w:rsidR="008873FF">
        <w:t>ment off poles</w:t>
      </w:r>
      <w:r w:rsidR="00CF0FF7">
        <w:t xml:space="preserve">.  </w:t>
      </w:r>
      <w:r w:rsidR="008370AA">
        <w:t xml:space="preserve">SED also recognizes that pad-mounted structures have their own safety issues.  Nevertheless, SED believes that pad-mounted installations are generally safer than pole-mounted installations, especially in light of what SED asserts is a widespread problem of already overloaded poles. </w:t>
      </w:r>
    </w:p>
    <w:p w:rsidR="00107243" w:rsidRDefault="00D7170C" w:rsidP="00B717D8">
      <w:pPr>
        <w:pStyle w:val="standard"/>
      </w:pPr>
      <w:r>
        <w:t xml:space="preserve">SED </w:t>
      </w:r>
      <w:r w:rsidR="00D06696">
        <w:t>disputes</w:t>
      </w:r>
      <w:r>
        <w:t xml:space="preserve"> the assertion by several </w:t>
      </w:r>
      <w:r w:rsidR="009A625C">
        <w:t>O</w:t>
      </w:r>
      <w:r>
        <w:t xml:space="preserve">pponents, summarized below, that SED’s proposed Rule 94.10 </w:t>
      </w:r>
      <w:r w:rsidR="00B36D50">
        <w:t xml:space="preserve">may not be feasible in </w:t>
      </w:r>
      <w:r>
        <w:t xml:space="preserve">local </w:t>
      </w:r>
      <w:r w:rsidR="00D06696">
        <w:t>jurisdictions</w:t>
      </w:r>
      <w:r>
        <w:t xml:space="preserve"> </w:t>
      </w:r>
      <w:r w:rsidR="00B36D50">
        <w:t xml:space="preserve">with zoning ordinances that require </w:t>
      </w:r>
      <w:r>
        <w:t xml:space="preserve">pad-mounted structures </w:t>
      </w:r>
      <w:r w:rsidR="00B36D50">
        <w:t>to</w:t>
      </w:r>
      <w:r>
        <w:t xml:space="preserve"> be placed underground or </w:t>
      </w:r>
      <w:r w:rsidR="00DD5DE5">
        <w:t>undergo</w:t>
      </w:r>
      <w:r w:rsidR="00B36D50">
        <w:t xml:space="preserve"> a</w:t>
      </w:r>
      <w:r>
        <w:t xml:space="preserve"> costly permit</w:t>
      </w:r>
      <w:r w:rsidR="00B36D50">
        <w:t xml:space="preserve"> process</w:t>
      </w:r>
      <w:r>
        <w:t xml:space="preserve"> for </w:t>
      </w:r>
      <w:r w:rsidR="00DD5DE5">
        <w:t>surface</w:t>
      </w:r>
      <w:r>
        <w:t xml:space="preserve"> placement.  SED responds that its proposed Rule 94.10 </w:t>
      </w:r>
      <w:r w:rsidR="00D06696">
        <w:t>explicitly</w:t>
      </w:r>
      <w:r>
        <w:t xml:space="preserve"> contemplates </w:t>
      </w:r>
      <w:r w:rsidRPr="002E0038">
        <w:rPr>
          <w:szCs w:val="24"/>
        </w:rPr>
        <w:t xml:space="preserve">that </w:t>
      </w:r>
      <w:r>
        <w:rPr>
          <w:szCs w:val="24"/>
        </w:rPr>
        <w:t>there may be good cause to install antenna-related equipment on utility poles</w:t>
      </w:r>
      <w:r w:rsidRPr="002E0038">
        <w:rPr>
          <w:szCs w:val="24"/>
        </w:rPr>
        <w:t xml:space="preserve">.  </w:t>
      </w:r>
    </w:p>
    <w:p w:rsidR="00CF0FF7" w:rsidRDefault="00AE5318" w:rsidP="00B717D8">
      <w:pPr>
        <w:pStyle w:val="standard"/>
      </w:pPr>
      <w:r>
        <w:t xml:space="preserve">SED acknowledges the concerns voiced by several </w:t>
      </w:r>
      <w:r w:rsidR="00B36D50">
        <w:t>O</w:t>
      </w:r>
      <w:r>
        <w:t>pponents, summarized below, that the phrase “without good cause” in SED’s proposed Rule</w:t>
      </w:r>
      <w:r w:rsidR="00C268A8">
        <w:t> </w:t>
      </w:r>
      <w:r>
        <w:t xml:space="preserve">94.10 is vague.  SED </w:t>
      </w:r>
      <w:r w:rsidR="00B36D50">
        <w:t xml:space="preserve">responds that it is willing to replace </w:t>
      </w:r>
      <w:r>
        <w:t>this phrase with “where practicable</w:t>
      </w:r>
      <w:r w:rsidR="009A625C">
        <w:t>,</w:t>
      </w:r>
      <w:r>
        <w:t>” so that Rule 94.10 would read as follows:</w:t>
      </w:r>
    </w:p>
    <w:p w:rsidR="00AE5318" w:rsidRPr="002E0038" w:rsidRDefault="00AE5318" w:rsidP="00AE5318">
      <w:pPr>
        <w:pStyle w:val="StandardQuotation"/>
        <w:spacing w:after="240"/>
      </w:pPr>
      <w:r w:rsidRPr="002E0038">
        <w:lastRenderedPageBreak/>
        <w:t>Where practicable, any equipment that is associated with an antenna that increases loading on a pole shall be installed in a pad-mounted structure.</w:t>
      </w:r>
    </w:p>
    <w:p w:rsidR="00AE5318" w:rsidRDefault="00AE5318" w:rsidP="00AE5318">
      <w:pPr>
        <w:pStyle w:val="standard"/>
        <w:ind w:firstLine="0"/>
      </w:pPr>
      <w:r>
        <w:t xml:space="preserve">SED </w:t>
      </w:r>
      <w:r w:rsidR="00E90E5F">
        <w:t>notes</w:t>
      </w:r>
      <w:r>
        <w:t xml:space="preserve"> that the word </w:t>
      </w:r>
      <w:r w:rsidRPr="002E0038">
        <w:rPr>
          <w:szCs w:val="24"/>
        </w:rPr>
        <w:t>“practicable” is defined in GO</w:t>
      </w:r>
      <w:r>
        <w:rPr>
          <w:szCs w:val="24"/>
        </w:rPr>
        <w:t> </w:t>
      </w:r>
      <w:r w:rsidRPr="002E0038">
        <w:rPr>
          <w:szCs w:val="24"/>
        </w:rPr>
        <w:t>95, Rule</w:t>
      </w:r>
      <w:r>
        <w:rPr>
          <w:szCs w:val="24"/>
        </w:rPr>
        <w:t> </w:t>
      </w:r>
      <w:r w:rsidRPr="002E0038">
        <w:rPr>
          <w:szCs w:val="24"/>
        </w:rPr>
        <w:t xml:space="preserve">22.7, as “capable of being accomplished by reasonably available and economic means.”  </w:t>
      </w:r>
    </w:p>
    <w:p w:rsidR="004E43A2" w:rsidRDefault="008B60FD" w:rsidP="00B717D8">
      <w:pPr>
        <w:pStyle w:val="standard"/>
      </w:pPr>
      <w:r>
        <w:t xml:space="preserve">SED disagrees with AT&amp;T </w:t>
      </w:r>
      <w:r w:rsidR="004000BB">
        <w:t xml:space="preserve">Mobility </w:t>
      </w:r>
      <w:r>
        <w:t xml:space="preserve">and CTIA’s claim, summarized below, that </w:t>
      </w:r>
      <w:r w:rsidR="00EA5B7D">
        <w:t xml:space="preserve">SED’s proposed rule is unnecessary because </w:t>
      </w:r>
      <w:r>
        <w:t>CMRS equipment does not add significant load</w:t>
      </w:r>
      <w:r w:rsidR="00EA5B7D">
        <w:t>s</w:t>
      </w:r>
      <w:r>
        <w:t xml:space="preserve"> to poles</w:t>
      </w:r>
      <w:r w:rsidR="00DD5DE5">
        <w:t xml:space="preserve"> compared to other pole attachments</w:t>
      </w:r>
      <w:r>
        <w:t xml:space="preserve">.  SED </w:t>
      </w:r>
      <w:r w:rsidR="00EA5B7D">
        <w:t>responds</w:t>
      </w:r>
      <w:r>
        <w:t xml:space="preserve"> that as part of its work in this proceeding, it </w:t>
      </w:r>
      <w:r w:rsidR="00DD5DE5">
        <w:t xml:space="preserve">did a </w:t>
      </w:r>
      <w:r>
        <w:t>survey</w:t>
      </w:r>
      <w:r w:rsidR="00DD5DE5">
        <w:t xml:space="preserve"> of </w:t>
      </w:r>
      <w:r>
        <w:t>poles and found that CMRS</w:t>
      </w:r>
      <w:r w:rsidR="004000BB">
        <w:t> </w:t>
      </w:r>
      <w:r>
        <w:t xml:space="preserve">equipment is </w:t>
      </w:r>
      <w:r w:rsidR="009A625C">
        <w:t>usually</w:t>
      </w:r>
      <w:r>
        <w:t xml:space="preserve"> the largest and heaviest equipment on poles</w:t>
      </w:r>
      <w:r w:rsidR="00EA5B7D">
        <w:t xml:space="preserve">. </w:t>
      </w:r>
    </w:p>
    <w:p w:rsidR="004E43A2" w:rsidRDefault="00FE4787" w:rsidP="00B717D8">
      <w:pPr>
        <w:pStyle w:val="standard"/>
      </w:pPr>
      <w:r>
        <w:t xml:space="preserve">SED also disagrees with AT&amp;T </w:t>
      </w:r>
      <w:r w:rsidR="004000BB">
        <w:t xml:space="preserve">Mobility </w:t>
      </w:r>
      <w:r>
        <w:t>and CTIA’s claim, summarized below, that SED’s proposed rule is unnecessary because GO</w:t>
      </w:r>
      <w:r w:rsidR="002834B4">
        <w:t> </w:t>
      </w:r>
      <w:r>
        <w:t xml:space="preserve">95 already has rules that prohibit overloaded poles.  SED responds that overloaded poles are </w:t>
      </w:r>
      <w:r w:rsidR="00DD5DE5">
        <w:t>commonplace when local wind conditions are taken into account</w:t>
      </w:r>
      <w:r>
        <w:t>.  SED</w:t>
      </w:r>
      <w:r w:rsidR="00B36D50">
        <w:t xml:space="preserve">’s </w:t>
      </w:r>
      <w:r>
        <w:t>proposed Rule</w:t>
      </w:r>
      <w:r w:rsidR="004000BB">
        <w:t> </w:t>
      </w:r>
      <w:r>
        <w:t>94.10 address</w:t>
      </w:r>
      <w:r w:rsidR="009A625C">
        <w:t>es</w:t>
      </w:r>
      <w:r>
        <w:t xml:space="preserve"> this </w:t>
      </w:r>
      <w:r w:rsidR="009A625C">
        <w:t xml:space="preserve">safety hazard </w:t>
      </w:r>
      <w:r>
        <w:t xml:space="preserve">by minimizing additional installations on already overloaded poles.  </w:t>
      </w:r>
    </w:p>
    <w:p w:rsidR="00377944" w:rsidRDefault="002A6BEC" w:rsidP="00B717D8">
      <w:pPr>
        <w:pStyle w:val="standard"/>
      </w:pPr>
      <w:r>
        <w:t xml:space="preserve">IBEW 1245 supports </w:t>
      </w:r>
      <w:r w:rsidR="00C22718">
        <w:t xml:space="preserve">SED’s proposed Rule 94.10 </w:t>
      </w:r>
      <w:r w:rsidR="00DC716F">
        <w:t xml:space="preserve">because </w:t>
      </w:r>
      <w:r w:rsidR="004000BB">
        <w:t>it</w:t>
      </w:r>
      <w:r w:rsidR="00DC716F">
        <w:t xml:space="preserve"> will decrease congestion on poles and thereby enhance worker safety.  IBEW 1245 also notes that CMRS equipment is typically installed on the lower </w:t>
      </w:r>
      <w:r w:rsidR="00DD5DE5">
        <w:t>part</w:t>
      </w:r>
      <w:r w:rsidR="00DC716F">
        <w:t xml:space="preserve"> of poles, which increases the risk that large tr</w:t>
      </w:r>
      <w:r>
        <w:t>u</w:t>
      </w:r>
      <w:r w:rsidR="00DC716F">
        <w:t xml:space="preserve">cks will clip the equipment while turning corners.  </w:t>
      </w:r>
      <w:r w:rsidR="00C9007C">
        <w:t xml:space="preserve">This </w:t>
      </w:r>
      <w:r w:rsidR="00DD5DE5">
        <w:t xml:space="preserve">could not only damage the CMRS equipment, but the pole as well. </w:t>
      </w:r>
    </w:p>
    <w:p w:rsidR="00DC716F" w:rsidRDefault="002B47BA" w:rsidP="00B717D8">
      <w:pPr>
        <w:pStyle w:val="standard"/>
      </w:pPr>
      <w:r>
        <w:t xml:space="preserve">SDG&amp;E </w:t>
      </w:r>
      <w:r w:rsidR="00730D72">
        <w:t xml:space="preserve">sees no need for </w:t>
      </w:r>
      <w:r>
        <w:t>SED’s proposed rule</w:t>
      </w:r>
      <w:r w:rsidR="008370AA">
        <w:t xml:space="preserve">, but </w:t>
      </w:r>
      <w:r w:rsidR="00730D72">
        <w:t>SDG&amp;E nonetheless takes a ne</w:t>
      </w:r>
      <w:r w:rsidR="00DD5DE5">
        <w:t>ut</w:t>
      </w:r>
      <w:r w:rsidR="00730D72">
        <w:t xml:space="preserve">ral position </w:t>
      </w:r>
      <w:r w:rsidR="004000BB">
        <w:t>on</w:t>
      </w:r>
      <w:r w:rsidR="00DD5DE5">
        <w:t xml:space="preserve"> the proposed </w:t>
      </w:r>
      <w:r w:rsidR="008370AA">
        <w:t>rule</w:t>
      </w:r>
      <w:r>
        <w:t xml:space="preserve">.  </w:t>
      </w:r>
      <w:r w:rsidR="00AB2BDD">
        <w:t xml:space="preserve">The following parties oppose </w:t>
      </w:r>
      <w:r w:rsidR="002A6BEC">
        <w:t>the</w:t>
      </w:r>
      <w:r w:rsidR="00AB2BDD">
        <w:t xml:space="preserve"> rule</w:t>
      </w:r>
      <w:r w:rsidR="008370AA">
        <w:t>:</w:t>
      </w:r>
      <w:r w:rsidR="00AB2BDD">
        <w:t xml:space="preserve">  </w:t>
      </w:r>
      <w:r>
        <w:t>AT&amp;T Mobility,</w:t>
      </w:r>
      <w:r w:rsidR="00D06696">
        <w:t xml:space="preserve"> </w:t>
      </w:r>
      <w:r>
        <w:t>CCTA, CFC, CTIA, JVSV, PCIA, PG&amp;E, SCE, and TURN</w:t>
      </w:r>
      <w:r w:rsidR="00FE1660">
        <w:t xml:space="preserve"> (together, “the Opponents”)</w:t>
      </w:r>
      <w:r>
        <w:t xml:space="preserve">.  </w:t>
      </w:r>
      <w:r w:rsidR="009F1599">
        <w:t xml:space="preserve">Several of the Opponents state that SED has not identified any safety incidents that show its proposed Rule 94.10 is needed.  </w:t>
      </w:r>
      <w:r w:rsidR="001843B1">
        <w:t xml:space="preserve">Most of the Opponents believe </w:t>
      </w:r>
      <w:r w:rsidR="00AB2BDD">
        <w:t>SED’s</w:t>
      </w:r>
      <w:r w:rsidR="001843B1">
        <w:t xml:space="preserve"> proposed </w:t>
      </w:r>
      <w:r w:rsidR="009F1599">
        <w:t xml:space="preserve">rule </w:t>
      </w:r>
      <w:r w:rsidR="001843B1">
        <w:t xml:space="preserve">is unnecessary because existing </w:t>
      </w:r>
      <w:r w:rsidR="002A6BEC">
        <w:lastRenderedPageBreak/>
        <w:t>GO</w:t>
      </w:r>
      <w:r w:rsidR="004000BB">
        <w:t> </w:t>
      </w:r>
      <w:r w:rsidR="002A6BEC">
        <w:t xml:space="preserve">95 </w:t>
      </w:r>
      <w:r w:rsidR="001843B1">
        <w:t xml:space="preserve">rules </w:t>
      </w:r>
      <w:r w:rsidR="00363EE0">
        <w:t>(1)</w:t>
      </w:r>
      <w:r w:rsidR="002B1EFC">
        <w:t> </w:t>
      </w:r>
      <w:r w:rsidR="00AC1BAB">
        <w:t>require a pole</w:t>
      </w:r>
      <w:r w:rsidR="00363EE0">
        <w:t>-</w:t>
      </w:r>
      <w:r w:rsidR="00AC1BAB">
        <w:t xml:space="preserve">loading calculation before CMRS </w:t>
      </w:r>
      <w:r w:rsidR="00D06696">
        <w:t>equipment</w:t>
      </w:r>
      <w:r w:rsidR="00AC1BAB">
        <w:t xml:space="preserve"> is attached to a pole</w:t>
      </w:r>
      <w:r w:rsidR="004000BB">
        <w:t xml:space="preserve"> in most cases</w:t>
      </w:r>
      <w:r w:rsidR="00AC1BAB">
        <w:t xml:space="preserve">; </w:t>
      </w:r>
      <w:r w:rsidR="00363EE0">
        <w:t>(2) </w:t>
      </w:r>
      <w:r w:rsidR="001843B1">
        <w:t>prohibit attachments that overload poles</w:t>
      </w:r>
      <w:r w:rsidR="00AC1BAB">
        <w:t xml:space="preserve">; and </w:t>
      </w:r>
      <w:r w:rsidR="00363EE0">
        <w:t>(3) </w:t>
      </w:r>
      <w:r w:rsidR="00AC1BAB">
        <w:t xml:space="preserve">prohibit </w:t>
      </w:r>
      <w:r w:rsidR="001843B1">
        <w:t>obstruct</w:t>
      </w:r>
      <w:r w:rsidR="00AC1BAB">
        <w:t>ion of</w:t>
      </w:r>
      <w:r w:rsidR="001843B1">
        <w:t xml:space="preserve"> climbing space</w:t>
      </w:r>
      <w:r w:rsidR="00725DD5">
        <w:t xml:space="preserve">.  </w:t>
      </w:r>
    </w:p>
    <w:p w:rsidR="00AC1BAB" w:rsidRDefault="00AB2BDD" w:rsidP="00B717D8">
      <w:pPr>
        <w:pStyle w:val="standard"/>
      </w:pPr>
      <w:r>
        <w:t xml:space="preserve">Another </w:t>
      </w:r>
      <w:r w:rsidR="008370AA">
        <w:t>flaw</w:t>
      </w:r>
      <w:r>
        <w:t xml:space="preserve"> with SED’s proposed rule, according to </w:t>
      </w:r>
      <w:r w:rsidR="00EC0158">
        <w:t xml:space="preserve">AT&amp;T Mobility and CTIA, </w:t>
      </w:r>
      <w:r>
        <w:t xml:space="preserve">is that </w:t>
      </w:r>
      <w:r w:rsidR="00AC1BAB">
        <w:t>CMRS equipment usually add</w:t>
      </w:r>
      <w:r w:rsidR="00EC0158">
        <w:t>s</w:t>
      </w:r>
      <w:r w:rsidR="00AC1BAB">
        <w:t xml:space="preserve"> less load to a pole compared to electric utility, </w:t>
      </w:r>
      <w:r w:rsidR="009F1599">
        <w:t xml:space="preserve">telephone, </w:t>
      </w:r>
      <w:r w:rsidR="00AC1BAB">
        <w:t xml:space="preserve">and CATV </w:t>
      </w:r>
      <w:r w:rsidR="002B1EFC">
        <w:t xml:space="preserve">pole </w:t>
      </w:r>
      <w:r w:rsidR="00AC1BAB">
        <w:t xml:space="preserve">attachments.  Consequently, </w:t>
      </w:r>
      <w:r w:rsidR="00EC0158">
        <w:t xml:space="preserve">if there is a problem with </w:t>
      </w:r>
      <w:r w:rsidR="00730D72">
        <w:t xml:space="preserve">overloaded </w:t>
      </w:r>
      <w:r w:rsidR="00EC0158">
        <w:t>pole</w:t>
      </w:r>
      <w:r w:rsidR="00730D72">
        <w:t>s</w:t>
      </w:r>
      <w:r w:rsidR="00EC0158">
        <w:t xml:space="preserve"> as alleged by SED, </w:t>
      </w:r>
      <w:r w:rsidR="009F1599">
        <w:t xml:space="preserve">its </w:t>
      </w:r>
      <w:r w:rsidR="00AC1BAB">
        <w:t>proposed Rule</w:t>
      </w:r>
      <w:r w:rsidR="00730D72">
        <w:t> </w:t>
      </w:r>
      <w:r w:rsidR="00AC1BAB">
        <w:t xml:space="preserve">94.10 </w:t>
      </w:r>
      <w:r w:rsidR="00EC0158">
        <w:t xml:space="preserve">would do little to rectify the problem.  </w:t>
      </w:r>
      <w:r w:rsidR="004000BB">
        <w:t>M</w:t>
      </w:r>
      <w:r>
        <w:t>ore</w:t>
      </w:r>
      <w:r w:rsidR="004000BB">
        <w:t>over</w:t>
      </w:r>
      <w:r>
        <w:t xml:space="preserve">, because SED’s </w:t>
      </w:r>
      <w:r w:rsidR="00D06696">
        <w:t>proposed</w:t>
      </w:r>
      <w:r>
        <w:t xml:space="preserve"> rule </w:t>
      </w:r>
      <w:r w:rsidR="00EC0158">
        <w:t xml:space="preserve">would affect only </w:t>
      </w:r>
      <w:r>
        <w:t xml:space="preserve">CMRS pole attachments, </w:t>
      </w:r>
      <w:r w:rsidR="00730D72">
        <w:t xml:space="preserve">despite other attachments also adding load to poles, </w:t>
      </w:r>
      <w:r>
        <w:t xml:space="preserve">the </w:t>
      </w:r>
      <w:r w:rsidR="002A6BEC">
        <w:t>rule</w:t>
      </w:r>
      <w:r>
        <w:t xml:space="preserve"> </w:t>
      </w:r>
      <w:r w:rsidR="00EC0158">
        <w:t xml:space="preserve">is </w:t>
      </w:r>
      <w:r w:rsidR="00AC1BAB">
        <w:t xml:space="preserve">discriminatory. </w:t>
      </w:r>
    </w:p>
    <w:p w:rsidR="008B51CD" w:rsidRDefault="00BD64D1" w:rsidP="00B717D8">
      <w:pPr>
        <w:pStyle w:val="standard"/>
      </w:pPr>
      <w:r>
        <w:t xml:space="preserve">Many of the Opponents are concerned </w:t>
      </w:r>
      <w:r w:rsidR="002A6BEC">
        <w:t>that</w:t>
      </w:r>
      <w:r>
        <w:t xml:space="preserve"> SED’s proposed Rule 94.10 would prohibit CMRS equipment (other than antennas) on poles “without good cause.” </w:t>
      </w:r>
      <w:r w:rsidR="00363EE0">
        <w:t xml:space="preserve"> </w:t>
      </w:r>
      <w:r w:rsidR="00730D72">
        <w:t>The</w:t>
      </w:r>
      <w:r w:rsidR="004000BB">
        <w:t xml:space="preserve">se Opponents state </w:t>
      </w:r>
      <w:r w:rsidR="00730D72">
        <w:t>that it is difficult to place CMRS equipment some</w:t>
      </w:r>
      <w:r w:rsidR="008B51CD">
        <w:t>where</w:t>
      </w:r>
      <w:r w:rsidR="00730D72">
        <w:t xml:space="preserve"> other than poles because </w:t>
      </w:r>
      <w:r w:rsidR="00981744">
        <w:t>local</w:t>
      </w:r>
      <w:r w:rsidR="00981744" w:rsidRPr="00C33CCB">
        <w:t xml:space="preserve"> </w:t>
      </w:r>
      <w:r w:rsidR="00981744">
        <w:t>o</w:t>
      </w:r>
      <w:r w:rsidR="00981744" w:rsidRPr="00C33CCB">
        <w:t>rdinances</w:t>
      </w:r>
      <w:r w:rsidR="00981744">
        <w:t xml:space="preserve"> </w:t>
      </w:r>
      <w:r w:rsidR="002A6BEC">
        <w:t xml:space="preserve">often discourage </w:t>
      </w:r>
      <w:r w:rsidR="00730D72">
        <w:t>pad</w:t>
      </w:r>
      <w:r w:rsidR="00730D72">
        <w:noBreakHyphen/>
        <w:t xml:space="preserve">mounted </w:t>
      </w:r>
      <w:r w:rsidR="002A6BEC">
        <w:t>e</w:t>
      </w:r>
      <w:r w:rsidR="00981744">
        <w:t xml:space="preserve">quipment, </w:t>
      </w:r>
      <w:r w:rsidR="00D06696">
        <w:t>especially</w:t>
      </w:r>
      <w:r w:rsidR="00981744">
        <w:t xml:space="preserve"> on sidewalks</w:t>
      </w:r>
      <w:r w:rsidR="005A5C53">
        <w:t>.</w:t>
      </w:r>
      <w:r w:rsidR="004F18CA">
        <w:t xml:space="preserve">  </w:t>
      </w:r>
    </w:p>
    <w:p w:rsidR="00FA7CF4" w:rsidRDefault="00175BC3" w:rsidP="00B717D8">
      <w:pPr>
        <w:pStyle w:val="standard"/>
      </w:pPr>
      <w:r>
        <w:rPr>
          <w:iCs/>
          <w:szCs w:val="24"/>
        </w:rPr>
        <w:t xml:space="preserve">AT&amp;T </w:t>
      </w:r>
      <w:r w:rsidR="002B1EFC">
        <w:rPr>
          <w:iCs/>
          <w:szCs w:val="24"/>
        </w:rPr>
        <w:t xml:space="preserve">Mobility </w:t>
      </w:r>
      <w:r w:rsidR="008370AA">
        <w:rPr>
          <w:iCs/>
          <w:szCs w:val="24"/>
        </w:rPr>
        <w:t>opines</w:t>
      </w:r>
      <w:r>
        <w:rPr>
          <w:iCs/>
          <w:szCs w:val="24"/>
        </w:rPr>
        <w:t xml:space="preserve"> that the </w:t>
      </w:r>
      <w:r w:rsidRPr="00B15830">
        <w:t>Americans with Disabilities Act may apply</w:t>
      </w:r>
      <w:r>
        <w:t xml:space="preserve"> to </w:t>
      </w:r>
      <w:r w:rsidR="00D06696">
        <w:t>surface</w:t>
      </w:r>
      <w:r w:rsidR="008370AA">
        <w:noBreakHyphen/>
      </w:r>
      <w:r>
        <w:t xml:space="preserve">mounted pads, which could add costs and prevent surface mounted pads altogether in some circumstances.  </w:t>
      </w:r>
      <w:r w:rsidR="00D84308">
        <w:t xml:space="preserve">CTIA believes that a requirement for pad-mounting </w:t>
      </w:r>
      <w:r w:rsidR="004000BB">
        <w:t xml:space="preserve">may have significant </w:t>
      </w:r>
      <w:r w:rsidR="00E8539F">
        <w:t>environmental</w:t>
      </w:r>
      <w:r w:rsidR="004000BB">
        <w:t xml:space="preserve"> effects</w:t>
      </w:r>
      <w:r w:rsidR="00D84308" w:rsidRPr="00D91DFA">
        <w:rPr>
          <w:rFonts w:eastAsia="Calibri"/>
        </w:rPr>
        <w:t xml:space="preserve">, despite SED’s </w:t>
      </w:r>
      <w:r w:rsidR="00D84308">
        <w:rPr>
          <w:rFonts w:eastAsia="Calibri"/>
        </w:rPr>
        <w:t xml:space="preserve">position to </w:t>
      </w:r>
      <w:r w:rsidR="00D84308" w:rsidRPr="00D91DFA">
        <w:rPr>
          <w:rFonts w:eastAsia="Calibri"/>
        </w:rPr>
        <w:t xml:space="preserve">the contrary.  </w:t>
      </w:r>
    </w:p>
    <w:p w:rsidR="00BD64D1" w:rsidRDefault="00BD64D1" w:rsidP="00BD64D1">
      <w:pPr>
        <w:pStyle w:val="standard"/>
      </w:pPr>
      <w:r>
        <w:t xml:space="preserve">The Opponents are also concerned about how the “without good cause” provision in SED’s proposed Rule 94.10 would </w:t>
      </w:r>
      <w:r w:rsidR="006376CD">
        <w:t xml:space="preserve">be </w:t>
      </w:r>
      <w:r w:rsidR="00AD1A36">
        <w:t>interpreted</w:t>
      </w:r>
      <w:r>
        <w:t xml:space="preserve">.  TURN </w:t>
      </w:r>
      <w:r w:rsidR="00890B43">
        <w:t xml:space="preserve">states that </w:t>
      </w:r>
      <w:r>
        <w:t xml:space="preserve">it is unclear </w:t>
      </w:r>
      <w:r>
        <w:rPr>
          <w:bCs/>
          <w:szCs w:val="24"/>
        </w:rPr>
        <w:t xml:space="preserve">what constitutes </w:t>
      </w:r>
      <w:r w:rsidR="00D97D49">
        <w:rPr>
          <w:bCs/>
          <w:szCs w:val="24"/>
        </w:rPr>
        <w:t>“</w:t>
      </w:r>
      <w:r>
        <w:rPr>
          <w:bCs/>
          <w:szCs w:val="24"/>
        </w:rPr>
        <w:t>good cause</w:t>
      </w:r>
      <w:r w:rsidR="00D97D49">
        <w:rPr>
          <w:bCs/>
          <w:szCs w:val="24"/>
        </w:rPr>
        <w:t>”</w:t>
      </w:r>
      <w:r>
        <w:rPr>
          <w:bCs/>
          <w:szCs w:val="24"/>
        </w:rPr>
        <w:t xml:space="preserve"> or who would make that determination.  PCIA </w:t>
      </w:r>
      <w:r w:rsidR="006376CD">
        <w:rPr>
          <w:bCs/>
          <w:szCs w:val="24"/>
        </w:rPr>
        <w:t xml:space="preserve">opines </w:t>
      </w:r>
      <w:r>
        <w:rPr>
          <w:bCs/>
          <w:szCs w:val="24"/>
        </w:rPr>
        <w:t xml:space="preserve">that the </w:t>
      </w:r>
      <w:r w:rsidRPr="00760E81">
        <w:rPr>
          <w:bCs/>
          <w:szCs w:val="24"/>
        </w:rPr>
        <w:t xml:space="preserve">term “without good cause” leaves room for pole owners to unreasonably require </w:t>
      </w:r>
      <w:r w:rsidR="006376CD">
        <w:rPr>
          <w:bCs/>
          <w:szCs w:val="24"/>
        </w:rPr>
        <w:t xml:space="preserve">CMRS </w:t>
      </w:r>
      <w:r w:rsidRPr="00760E81">
        <w:rPr>
          <w:bCs/>
          <w:szCs w:val="24"/>
        </w:rPr>
        <w:t xml:space="preserve">equipment </w:t>
      </w:r>
      <w:r w:rsidR="006376CD">
        <w:rPr>
          <w:bCs/>
          <w:szCs w:val="24"/>
        </w:rPr>
        <w:t xml:space="preserve">to </w:t>
      </w:r>
      <w:r w:rsidRPr="00760E81">
        <w:rPr>
          <w:bCs/>
          <w:szCs w:val="24"/>
        </w:rPr>
        <w:t xml:space="preserve">be pad mounted.  </w:t>
      </w:r>
    </w:p>
    <w:p w:rsidR="00DC716F" w:rsidRDefault="00DF4D78" w:rsidP="00B717D8">
      <w:pPr>
        <w:pStyle w:val="standard"/>
      </w:pPr>
      <w:r>
        <w:lastRenderedPageBreak/>
        <w:t>Most Opponents argue that SED’s propos</w:t>
      </w:r>
      <w:r w:rsidR="00D20A38">
        <w:t xml:space="preserve">al </w:t>
      </w:r>
      <w:r>
        <w:t xml:space="preserve">to mandate pad-mounting for CMRS equipment (other than antennas) would itself create safety </w:t>
      </w:r>
      <w:r w:rsidR="002B1EFC">
        <w:t>hazards</w:t>
      </w:r>
      <w:r>
        <w:t xml:space="preserve">.  Among other things, pad-mounted </w:t>
      </w:r>
      <w:r>
        <w:rPr>
          <w:szCs w:val="24"/>
        </w:rPr>
        <w:t>equipment</w:t>
      </w:r>
      <w:r w:rsidRPr="00C33CCB">
        <w:rPr>
          <w:szCs w:val="24"/>
        </w:rPr>
        <w:t xml:space="preserve"> </w:t>
      </w:r>
      <w:r w:rsidR="00D20A38">
        <w:rPr>
          <w:szCs w:val="24"/>
        </w:rPr>
        <w:t>is</w:t>
      </w:r>
      <w:r w:rsidRPr="00C33CCB">
        <w:rPr>
          <w:szCs w:val="24"/>
        </w:rPr>
        <w:t xml:space="preserve"> more </w:t>
      </w:r>
      <w:r>
        <w:rPr>
          <w:szCs w:val="24"/>
        </w:rPr>
        <w:t>vulnerable to</w:t>
      </w:r>
      <w:r w:rsidRPr="00C33CCB">
        <w:rPr>
          <w:szCs w:val="24"/>
        </w:rPr>
        <w:t xml:space="preserve"> vandalism </w:t>
      </w:r>
      <w:r>
        <w:rPr>
          <w:szCs w:val="24"/>
        </w:rPr>
        <w:t>and</w:t>
      </w:r>
      <w:r w:rsidRPr="00C33CCB">
        <w:rPr>
          <w:szCs w:val="24"/>
        </w:rPr>
        <w:t xml:space="preserve"> illegal shu</w:t>
      </w:r>
      <w:r>
        <w:rPr>
          <w:szCs w:val="24"/>
        </w:rPr>
        <w:t>t-offs</w:t>
      </w:r>
      <w:r w:rsidRPr="00C33CCB">
        <w:rPr>
          <w:szCs w:val="24"/>
        </w:rPr>
        <w:t xml:space="preserve">, </w:t>
      </w:r>
      <w:r w:rsidR="00765AB1">
        <w:rPr>
          <w:szCs w:val="24"/>
        </w:rPr>
        <w:t>which could negatively affect</w:t>
      </w:r>
      <w:r w:rsidRPr="00C33CCB">
        <w:rPr>
          <w:szCs w:val="24"/>
        </w:rPr>
        <w:t xml:space="preserve"> </w:t>
      </w:r>
      <w:r>
        <w:rPr>
          <w:szCs w:val="24"/>
        </w:rPr>
        <w:t>public safety</w:t>
      </w:r>
      <w:r w:rsidRPr="00C33CCB">
        <w:rPr>
          <w:szCs w:val="24"/>
        </w:rPr>
        <w:t xml:space="preserve">.  </w:t>
      </w:r>
      <w:r w:rsidR="0085765E">
        <w:rPr>
          <w:szCs w:val="24"/>
        </w:rPr>
        <w:t>Also</w:t>
      </w:r>
      <w:r w:rsidRPr="00C33CCB">
        <w:rPr>
          <w:szCs w:val="24"/>
        </w:rPr>
        <w:t xml:space="preserve">, </w:t>
      </w:r>
      <w:r w:rsidR="00DB472C">
        <w:rPr>
          <w:szCs w:val="24"/>
        </w:rPr>
        <w:t xml:space="preserve">vehicle </w:t>
      </w:r>
      <w:r w:rsidR="00D06696">
        <w:rPr>
          <w:szCs w:val="24"/>
        </w:rPr>
        <w:t>collisions</w:t>
      </w:r>
      <w:r w:rsidR="00DB472C">
        <w:rPr>
          <w:szCs w:val="24"/>
        </w:rPr>
        <w:t xml:space="preserve"> with </w:t>
      </w:r>
      <w:r w:rsidR="0039504D">
        <w:rPr>
          <w:szCs w:val="24"/>
        </w:rPr>
        <w:t xml:space="preserve">utility poles </w:t>
      </w:r>
      <w:r w:rsidR="00DB472C">
        <w:rPr>
          <w:szCs w:val="24"/>
        </w:rPr>
        <w:t>is a well-known safety hazard</w:t>
      </w:r>
      <w:r w:rsidR="0085765E">
        <w:rPr>
          <w:szCs w:val="24"/>
        </w:rPr>
        <w:t>, and p</w:t>
      </w:r>
      <w:r w:rsidR="0039504D">
        <w:rPr>
          <w:szCs w:val="24"/>
        </w:rPr>
        <w:t xml:space="preserve">ad-mounted equipment </w:t>
      </w:r>
      <w:r w:rsidR="00DB472C">
        <w:rPr>
          <w:szCs w:val="24"/>
        </w:rPr>
        <w:t xml:space="preserve">would exacerbate the hazard.  </w:t>
      </w:r>
      <w:r w:rsidR="00AD1A36">
        <w:rPr>
          <w:rFonts w:eastAsia="Calibri"/>
        </w:rPr>
        <w:t xml:space="preserve">TURN </w:t>
      </w:r>
      <w:r w:rsidR="00394346">
        <w:rPr>
          <w:rFonts w:eastAsia="Calibri"/>
        </w:rPr>
        <w:t xml:space="preserve">foresees the possibility </w:t>
      </w:r>
      <w:r w:rsidR="00AD1A36">
        <w:rPr>
          <w:rFonts w:eastAsia="Calibri"/>
        </w:rPr>
        <w:t>that pad</w:t>
      </w:r>
      <w:r w:rsidR="00DB472C">
        <w:rPr>
          <w:rFonts w:eastAsia="Calibri"/>
        </w:rPr>
        <w:noBreakHyphen/>
      </w:r>
      <w:r w:rsidR="00AD1A36">
        <w:rPr>
          <w:rFonts w:eastAsia="Calibri"/>
        </w:rPr>
        <w:t>mount</w:t>
      </w:r>
      <w:r w:rsidR="00DB472C">
        <w:rPr>
          <w:rFonts w:eastAsia="Calibri"/>
        </w:rPr>
        <w:t xml:space="preserve">ed equipment </w:t>
      </w:r>
      <w:r w:rsidR="00394346">
        <w:rPr>
          <w:rFonts w:eastAsia="Calibri"/>
        </w:rPr>
        <w:t>might</w:t>
      </w:r>
      <w:r w:rsidR="00AD1A36">
        <w:rPr>
          <w:rFonts w:eastAsia="Calibri"/>
        </w:rPr>
        <w:t xml:space="preserve"> </w:t>
      </w:r>
      <w:r w:rsidR="00DB472C">
        <w:rPr>
          <w:rFonts w:eastAsia="Calibri"/>
        </w:rPr>
        <w:t>pose an</w:t>
      </w:r>
      <w:r w:rsidR="00AD1A36">
        <w:rPr>
          <w:rFonts w:eastAsia="Calibri"/>
        </w:rPr>
        <w:t xml:space="preserve"> </w:t>
      </w:r>
      <w:r w:rsidR="00D06696">
        <w:rPr>
          <w:rFonts w:eastAsia="Calibri"/>
        </w:rPr>
        <w:t>obstacle</w:t>
      </w:r>
      <w:r w:rsidR="00AD1A36">
        <w:rPr>
          <w:rFonts w:eastAsia="Calibri"/>
        </w:rPr>
        <w:t xml:space="preserve"> </w:t>
      </w:r>
      <w:r w:rsidR="00DB472C">
        <w:rPr>
          <w:rFonts w:eastAsia="Calibri"/>
        </w:rPr>
        <w:t>to</w:t>
      </w:r>
      <w:r w:rsidR="00AD1A36">
        <w:rPr>
          <w:rFonts w:eastAsia="Calibri"/>
        </w:rPr>
        <w:t xml:space="preserve"> people with disabilities.  </w:t>
      </w:r>
    </w:p>
    <w:p w:rsidR="00874758" w:rsidRPr="00B15830" w:rsidRDefault="002B1EFC" w:rsidP="00874758">
      <w:pPr>
        <w:pStyle w:val="standard"/>
      </w:pPr>
      <w:r>
        <w:t xml:space="preserve">Several Opponents </w:t>
      </w:r>
      <w:r w:rsidR="008370AA">
        <w:t>note</w:t>
      </w:r>
      <w:r w:rsidR="00874758" w:rsidRPr="00B15830">
        <w:t xml:space="preserve"> that SED failed to perform a cost-benefit analysis of its proposed rule</w:t>
      </w:r>
      <w:r w:rsidR="008370AA">
        <w:t xml:space="preserve">.  </w:t>
      </w:r>
      <w:r w:rsidR="00874758" w:rsidRPr="00B15830">
        <w:t xml:space="preserve">Based on prior experience, AT&amp;T Mobility </w:t>
      </w:r>
      <w:r w:rsidR="008B51CD">
        <w:t xml:space="preserve">and CTIA </w:t>
      </w:r>
      <w:r w:rsidR="00874758" w:rsidRPr="00B15830">
        <w:t xml:space="preserve">estimate that </w:t>
      </w:r>
      <w:r w:rsidR="008370AA">
        <w:t>a requirement to pad-mount equipment w</w:t>
      </w:r>
      <w:r w:rsidR="00874758" w:rsidRPr="00B15830">
        <w:t xml:space="preserve">ould </w:t>
      </w:r>
      <w:r w:rsidR="00765AB1">
        <w:t xml:space="preserve">increase the cost of each antenna </w:t>
      </w:r>
      <w:r w:rsidR="00D06696">
        <w:t>installation</w:t>
      </w:r>
      <w:r w:rsidR="00765AB1">
        <w:t xml:space="preserve"> by </w:t>
      </w:r>
      <w:r w:rsidR="00874758" w:rsidRPr="00B15830">
        <w:t xml:space="preserve">thousands of dollars.  </w:t>
      </w:r>
      <w:r w:rsidR="00874758">
        <w:t>In AT&amp;T</w:t>
      </w:r>
      <w:r w:rsidR="00765AB1">
        <w:t> </w:t>
      </w:r>
      <w:r w:rsidR="00874758">
        <w:t>Mobility</w:t>
      </w:r>
      <w:r w:rsidR="008B51CD">
        <w:t xml:space="preserve"> and CTIA’s opinion</w:t>
      </w:r>
      <w:r w:rsidR="00874758">
        <w:t xml:space="preserve">, </w:t>
      </w:r>
      <w:r w:rsidR="00874758" w:rsidRPr="00B15830">
        <w:t xml:space="preserve">the costs of </w:t>
      </w:r>
      <w:r w:rsidR="00874758">
        <w:t xml:space="preserve">SED’s proposed rule </w:t>
      </w:r>
      <w:r w:rsidR="00874758" w:rsidRPr="00B15830">
        <w:t>exceed its benefits.</w:t>
      </w:r>
      <w:r w:rsidR="00DE1724" w:rsidRPr="00E15E99">
        <w:rPr>
          <w:rStyle w:val="StandardFootnoteReferenceChar"/>
        </w:rPr>
        <w:footnoteReference w:id="104"/>
      </w:r>
      <w:r w:rsidR="00874758" w:rsidRPr="00B15830">
        <w:t xml:space="preserve">  </w:t>
      </w:r>
    </w:p>
    <w:p w:rsidR="008370AA" w:rsidRDefault="008370AA" w:rsidP="008370AA">
      <w:pPr>
        <w:pStyle w:val="standard"/>
      </w:pPr>
      <w:r>
        <w:t xml:space="preserve">SCE states that if the goal is to keep CMRS equipment (other than antennas) off joint-use poles, SED’s proposed Rule 94.10 should not restrict CMRS equipment to pad-mounted structures.  </w:t>
      </w:r>
      <w:r w:rsidRPr="0032304A">
        <w:rPr>
          <w:szCs w:val="24"/>
        </w:rPr>
        <w:t xml:space="preserve">One </w:t>
      </w:r>
      <w:r w:rsidR="00122D90">
        <w:rPr>
          <w:szCs w:val="24"/>
        </w:rPr>
        <w:t xml:space="preserve">alternative </w:t>
      </w:r>
      <w:r w:rsidRPr="0032304A">
        <w:rPr>
          <w:szCs w:val="24"/>
        </w:rPr>
        <w:t xml:space="preserve">is </w:t>
      </w:r>
      <w:r w:rsidR="000327C3">
        <w:rPr>
          <w:szCs w:val="24"/>
        </w:rPr>
        <w:t xml:space="preserve">to </w:t>
      </w:r>
      <w:r w:rsidRPr="0032304A">
        <w:rPr>
          <w:szCs w:val="24"/>
        </w:rPr>
        <w:t>install CMRS equipment on stub (short) poles located adjacent to the utility pole supporting the CMRS antenna.</w:t>
      </w:r>
    </w:p>
    <w:p w:rsidR="00D80AEE" w:rsidRDefault="00D80AEE" w:rsidP="00A845DC">
      <w:pPr>
        <w:pStyle w:val="Heading4"/>
      </w:pPr>
      <w:bookmarkStart w:id="107" w:name="_Toc436647363"/>
      <w:r>
        <w:t>Discussion</w:t>
      </w:r>
      <w:bookmarkEnd w:id="107"/>
      <w:r>
        <w:t xml:space="preserve"> </w:t>
      </w:r>
    </w:p>
    <w:p w:rsidR="00D80AEE" w:rsidRDefault="003F7786" w:rsidP="00B717D8">
      <w:pPr>
        <w:pStyle w:val="standard"/>
      </w:pPr>
      <w:r>
        <w:t xml:space="preserve">The issue before us is whether to adopt SED’s proposed Rule 94.10.  Our primary standard for deciding this issue is whether SED’s proposal will improve safety at a reasonable cost. </w:t>
      </w:r>
    </w:p>
    <w:p w:rsidR="003F7786" w:rsidRDefault="00896CA2" w:rsidP="00B717D8">
      <w:pPr>
        <w:pStyle w:val="standard"/>
      </w:pPr>
      <w:r>
        <w:t xml:space="preserve">SED’s proposed Rule 94.10 reads as follows: </w:t>
      </w:r>
    </w:p>
    <w:p w:rsidR="00896CA2" w:rsidRPr="00692762" w:rsidRDefault="00896CA2" w:rsidP="00896CA2">
      <w:pPr>
        <w:pStyle w:val="standard"/>
        <w:keepNext/>
        <w:spacing w:line="240" w:lineRule="auto"/>
        <w:ind w:left="1080" w:firstLine="0"/>
        <w:rPr>
          <w:b/>
          <w:u w:val="single"/>
        </w:rPr>
      </w:pPr>
      <w:r w:rsidRPr="00692762">
        <w:rPr>
          <w:b/>
          <w:u w:val="single"/>
        </w:rPr>
        <w:lastRenderedPageBreak/>
        <w:t xml:space="preserve">SED’s </w:t>
      </w:r>
      <w:r>
        <w:rPr>
          <w:b/>
          <w:u w:val="single"/>
        </w:rPr>
        <w:t>Proposed New Rule</w:t>
      </w:r>
      <w:r w:rsidRPr="00692762">
        <w:rPr>
          <w:b/>
          <w:u w:val="single"/>
        </w:rPr>
        <w:t xml:space="preserve"> 94</w:t>
      </w:r>
      <w:r>
        <w:rPr>
          <w:b/>
          <w:u w:val="single"/>
        </w:rPr>
        <w:t>.10</w:t>
      </w:r>
    </w:p>
    <w:p w:rsidR="000F3157" w:rsidRPr="00DF4A82" w:rsidRDefault="000F3157" w:rsidP="000F3157">
      <w:pPr>
        <w:pStyle w:val="StandardQuotation"/>
      </w:pPr>
      <w:r w:rsidRPr="00DF4A82">
        <w:t>Without good cause, any equipment that is associated with an antenna that increase</w:t>
      </w:r>
      <w:r w:rsidR="00F24F80">
        <w:t>s</w:t>
      </w:r>
      <w:r w:rsidRPr="00DF4A82">
        <w:t xml:space="preserve"> loading on a pole shall be installed in a pad-mounted structure.</w:t>
      </w:r>
      <w:r w:rsidR="00D06696">
        <w:rPr>
          <w:rStyle w:val="FootnoteReference"/>
        </w:rPr>
        <w:footnoteReference w:id="105"/>
      </w:r>
    </w:p>
    <w:p w:rsidR="00AD4855" w:rsidRDefault="00642D6A" w:rsidP="000F3157">
      <w:pPr>
        <w:pStyle w:val="standard"/>
      </w:pPr>
      <w:r>
        <w:t>Because a</w:t>
      </w:r>
      <w:r w:rsidR="0034002B" w:rsidRPr="009956E1">
        <w:t xml:space="preserve">ll equipment </w:t>
      </w:r>
      <w:r w:rsidR="0034002B">
        <w:t xml:space="preserve">associated with antennas </w:t>
      </w:r>
      <w:r>
        <w:t xml:space="preserve">adds weight and wind load to </w:t>
      </w:r>
      <w:r w:rsidR="0034002B">
        <w:t>a pole</w:t>
      </w:r>
      <w:r>
        <w:t xml:space="preserve">, </w:t>
      </w:r>
      <w:r w:rsidR="00AD4855">
        <w:t>SED’s proposed Rule</w:t>
      </w:r>
      <w:r w:rsidR="008B51CD">
        <w:t> </w:t>
      </w:r>
      <w:r w:rsidR="00AD4855">
        <w:t xml:space="preserve">94.10 would </w:t>
      </w:r>
      <w:r w:rsidR="00D06696">
        <w:t>require</w:t>
      </w:r>
      <w:r>
        <w:t xml:space="preserve"> all</w:t>
      </w:r>
      <w:r w:rsidR="00D06696">
        <w:t xml:space="preserve"> </w:t>
      </w:r>
      <w:r w:rsidR="00AD4855">
        <w:t xml:space="preserve">CMRS equipment </w:t>
      </w:r>
      <w:r w:rsidR="00D06696">
        <w:t xml:space="preserve">(other than antennas) </w:t>
      </w:r>
      <w:r>
        <w:t xml:space="preserve">to </w:t>
      </w:r>
      <w:r w:rsidR="00D06696">
        <w:t xml:space="preserve">be </w:t>
      </w:r>
      <w:r w:rsidR="000464AB">
        <w:t xml:space="preserve">placed in </w:t>
      </w:r>
      <w:r w:rsidR="00D06696">
        <w:t>pad-mounted structures</w:t>
      </w:r>
      <w:r>
        <w:t>, unless there is good cause to install the equipment on a pole</w:t>
      </w:r>
      <w:r w:rsidR="00D06696">
        <w:t xml:space="preserve">.  </w:t>
      </w:r>
      <w:r w:rsidR="00AD4855">
        <w:t xml:space="preserve">  </w:t>
      </w:r>
    </w:p>
    <w:p w:rsidR="00C9308E" w:rsidRPr="00B637BD" w:rsidRDefault="00242125" w:rsidP="00A177EF">
      <w:pPr>
        <w:pStyle w:val="standard"/>
        <w:rPr>
          <w:rFonts w:eastAsia="Calibri"/>
        </w:rPr>
      </w:pPr>
      <w:r>
        <w:t>SED assert</w:t>
      </w:r>
      <w:r w:rsidR="00394346">
        <w:t xml:space="preserve">s </w:t>
      </w:r>
      <w:r>
        <w:t xml:space="preserve">that </w:t>
      </w:r>
      <w:r w:rsidR="000464AB">
        <w:t>i</w:t>
      </w:r>
      <w:r w:rsidR="00285E15">
        <w:t>t</w:t>
      </w:r>
      <w:r w:rsidR="000464AB">
        <w:t>s proposed Rule</w:t>
      </w:r>
      <w:r w:rsidR="00FF6457">
        <w:t> </w:t>
      </w:r>
      <w:r w:rsidR="000464AB">
        <w:t xml:space="preserve">94.10 is needed to prevent </w:t>
      </w:r>
      <w:r w:rsidR="00394346">
        <w:t xml:space="preserve">large CMRS equipment from obstructing </w:t>
      </w:r>
      <w:r w:rsidR="000464AB">
        <w:t>climbing space on poles</w:t>
      </w:r>
      <w:r w:rsidR="00F16ED2">
        <w:t xml:space="preserve"> and overloading poles</w:t>
      </w:r>
      <w:r w:rsidR="000464AB">
        <w:t xml:space="preserve">.  </w:t>
      </w:r>
      <w:r w:rsidR="00486FDC">
        <w:t>However,</w:t>
      </w:r>
      <w:r w:rsidR="00285E15">
        <w:t xml:space="preserve"> </w:t>
      </w:r>
      <w:r w:rsidR="00F42728">
        <w:t>Rule</w:t>
      </w:r>
      <w:r w:rsidR="00FF6457">
        <w:t> </w:t>
      </w:r>
      <w:r w:rsidR="00F42728">
        <w:t>94.6</w:t>
      </w:r>
      <w:r w:rsidR="00FF6457">
        <w:noBreakHyphen/>
      </w:r>
      <w:r w:rsidR="00D86E5C">
        <w:t>A</w:t>
      </w:r>
      <w:r w:rsidR="00F42728">
        <w:t xml:space="preserve"> already requires CMRS installations to maintain climbing space </w:t>
      </w:r>
      <w:r w:rsidR="00556E8A">
        <w:t xml:space="preserve">above </w:t>
      </w:r>
      <w:r w:rsidR="00D86E5C">
        <w:t>supply lines, and Rule</w:t>
      </w:r>
      <w:r w:rsidR="00E10274">
        <w:t> </w:t>
      </w:r>
      <w:r w:rsidR="00D86E5C">
        <w:t xml:space="preserve">94.6-B requires CMRS installations to maintain climbing space </w:t>
      </w:r>
      <w:r w:rsidR="00556E8A">
        <w:t xml:space="preserve">above </w:t>
      </w:r>
      <w:r w:rsidR="00D86E5C">
        <w:t>communication lines</w:t>
      </w:r>
      <w:r w:rsidR="00F42728">
        <w:t xml:space="preserve">.  </w:t>
      </w:r>
      <w:r w:rsidR="00D86E5C">
        <w:t xml:space="preserve">Rule 94.6-C adopted by today’s decision requires CMRS installations to maintain climbing space along the </w:t>
      </w:r>
      <w:r w:rsidR="00E10274">
        <w:t xml:space="preserve">entire </w:t>
      </w:r>
      <w:r w:rsidR="00D86E5C">
        <w:t xml:space="preserve">length of the pole.  </w:t>
      </w:r>
      <w:r w:rsidR="00364922">
        <w:t xml:space="preserve">Similarly, Rules 12.2, 31.1, and 44 </w:t>
      </w:r>
      <w:r w:rsidR="00FF6457">
        <w:t xml:space="preserve">- </w:t>
      </w:r>
      <w:r w:rsidR="00364922">
        <w:t>48 already prohibit overl</w:t>
      </w:r>
      <w:r w:rsidR="00FF6457">
        <w:t>oaded</w:t>
      </w:r>
      <w:r w:rsidR="00364922">
        <w:t xml:space="preserve"> poles.  </w:t>
      </w:r>
      <w:r w:rsidR="00A177EF">
        <w:t xml:space="preserve">We believe that </w:t>
      </w:r>
      <w:r w:rsidR="00C9308E" w:rsidRPr="00B637BD">
        <w:rPr>
          <w:rFonts w:eastAsia="Calibri"/>
        </w:rPr>
        <w:t>compliance with GO</w:t>
      </w:r>
      <w:r w:rsidR="00C9308E">
        <w:rPr>
          <w:rFonts w:eastAsia="Calibri"/>
        </w:rPr>
        <w:t> </w:t>
      </w:r>
      <w:r w:rsidR="00C9308E" w:rsidRPr="00B637BD">
        <w:rPr>
          <w:rFonts w:eastAsia="Calibri"/>
        </w:rPr>
        <w:t xml:space="preserve">95 </w:t>
      </w:r>
      <w:r w:rsidR="00C9308E">
        <w:rPr>
          <w:rFonts w:eastAsia="Calibri"/>
        </w:rPr>
        <w:t>(</w:t>
      </w:r>
      <w:r w:rsidR="00C9308E" w:rsidRPr="00B637BD">
        <w:rPr>
          <w:rFonts w:eastAsia="Calibri"/>
        </w:rPr>
        <w:t xml:space="preserve">as </w:t>
      </w:r>
      <w:r w:rsidR="00C9308E">
        <w:rPr>
          <w:rFonts w:eastAsia="Calibri"/>
        </w:rPr>
        <w:t xml:space="preserve">modified by today’s decision) </w:t>
      </w:r>
      <w:r w:rsidR="00C9308E" w:rsidRPr="00B637BD">
        <w:rPr>
          <w:rFonts w:eastAsia="Calibri"/>
        </w:rPr>
        <w:t xml:space="preserve">is sufficient to ensure </w:t>
      </w:r>
      <w:r w:rsidR="00394346">
        <w:rPr>
          <w:rFonts w:eastAsia="Calibri"/>
        </w:rPr>
        <w:t xml:space="preserve">that CMRS installations do not obstruct </w:t>
      </w:r>
      <w:r w:rsidR="00DD5DE5">
        <w:rPr>
          <w:rFonts w:eastAsia="Calibri"/>
        </w:rPr>
        <w:t>climbing</w:t>
      </w:r>
      <w:r w:rsidR="00394346">
        <w:rPr>
          <w:rFonts w:eastAsia="Calibri"/>
        </w:rPr>
        <w:t xml:space="preserve"> space or overload poles.  </w:t>
      </w:r>
    </w:p>
    <w:p w:rsidR="00364922" w:rsidRDefault="00152B2C" w:rsidP="000F3157">
      <w:pPr>
        <w:pStyle w:val="standard"/>
      </w:pPr>
      <w:r>
        <w:t xml:space="preserve">SED asserts that the existing rules are </w:t>
      </w:r>
      <w:r w:rsidR="007E1966">
        <w:t>in</w:t>
      </w:r>
      <w:r>
        <w:t xml:space="preserve">sufficient because </w:t>
      </w:r>
      <w:r w:rsidR="00FF6457">
        <w:t>overloaded poles</w:t>
      </w:r>
      <w:r>
        <w:t xml:space="preserve"> are commonplace</w:t>
      </w:r>
      <w:r w:rsidR="00285D7C">
        <w:t xml:space="preserve"> when </w:t>
      </w:r>
      <w:r w:rsidR="009553B1">
        <w:t>foreseeable</w:t>
      </w:r>
      <w:r w:rsidR="00285D7C">
        <w:t xml:space="preserve"> win</w:t>
      </w:r>
      <w:r w:rsidR="00397ECD">
        <w:t>dstorms are taken into account.</w:t>
      </w:r>
      <w:r w:rsidR="00285D7C">
        <w:t xml:space="preserve"> </w:t>
      </w:r>
      <w:r w:rsidR="004540CA">
        <w:t xml:space="preserve"> </w:t>
      </w:r>
      <w:r>
        <w:t xml:space="preserve">However, </w:t>
      </w:r>
      <w:r w:rsidR="004540CA">
        <w:t xml:space="preserve">SED did not provide any data to support </w:t>
      </w:r>
      <w:r w:rsidR="00B0076A">
        <w:t xml:space="preserve">its </w:t>
      </w:r>
      <w:r w:rsidR="00394346">
        <w:t>claim</w:t>
      </w:r>
      <w:r w:rsidR="004540CA">
        <w:t xml:space="preserve">.  </w:t>
      </w:r>
      <w:r w:rsidR="00FF6457">
        <w:t xml:space="preserve">To the extent there are poles that are susceptible to failure in foreseeable windstorms, </w:t>
      </w:r>
      <w:r w:rsidR="006D1F31">
        <w:t>Rule</w:t>
      </w:r>
      <w:r w:rsidR="00F059E3">
        <w:t> </w:t>
      </w:r>
      <w:r w:rsidR="006D1F31">
        <w:t>31.1</w:t>
      </w:r>
      <w:r w:rsidR="00FF6457">
        <w:t xml:space="preserve"> of GO</w:t>
      </w:r>
      <w:r w:rsidR="0085765E">
        <w:t> </w:t>
      </w:r>
      <w:r w:rsidR="00FF6457">
        <w:t xml:space="preserve">95 </w:t>
      </w:r>
      <w:r w:rsidR="00B0076A">
        <w:t xml:space="preserve">prohibits </w:t>
      </w:r>
      <w:r w:rsidR="002C37B5">
        <w:t xml:space="preserve">CMRS </w:t>
      </w:r>
      <w:r w:rsidR="006D1F31">
        <w:t>installations</w:t>
      </w:r>
      <w:r w:rsidR="00F059E3">
        <w:t xml:space="preserve"> </w:t>
      </w:r>
      <w:r w:rsidR="00B0076A">
        <w:t xml:space="preserve">on </w:t>
      </w:r>
      <w:r w:rsidR="00FF6457">
        <w:t xml:space="preserve">such poles.  </w:t>
      </w:r>
      <w:r w:rsidR="006D1F31">
        <w:t>Rule</w:t>
      </w:r>
      <w:r w:rsidR="00376EEC">
        <w:t> </w:t>
      </w:r>
      <w:r w:rsidR="006D1F31">
        <w:t>31.1 states:</w:t>
      </w:r>
    </w:p>
    <w:p w:rsidR="006D1F31" w:rsidRPr="00376EEC" w:rsidRDefault="006D1F31" w:rsidP="00AE3D26">
      <w:pPr>
        <w:pStyle w:val="StandardQuotation"/>
        <w:spacing w:before="0" w:after="120"/>
        <w:ind w:right="720"/>
      </w:pPr>
      <w:r w:rsidRPr="00376EEC">
        <w:t xml:space="preserve">Electrical supply and communication systems shall be designed, constructed, and maintained for their intended use, </w:t>
      </w:r>
      <w:r w:rsidRPr="00F24F80">
        <w:rPr>
          <w:b/>
          <w:u w:val="single"/>
        </w:rPr>
        <w:t xml:space="preserve">regard being </w:t>
      </w:r>
      <w:r w:rsidRPr="00F24F80">
        <w:rPr>
          <w:b/>
          <w:u w:val="single"/>
        </w:rPr>
        <w:lastRenderedPageBreak/>
        <w:t>given to the conditions under which they are to be operated, to enable the furnishing of safe, proper, and adequate service</w:t>
      </w:r>
      <w:r w:rsidRPr="00376EEC">
        <w:t>.</w:t>
      </w:r>
    </w:p>
    <w:p w:rsidR="006D1F31" w:rsidRDefault="006D1F31" w:rsidP="00AE3D26">
      <w:pPr>
        <w:pStyle w:val="StandardQuotation"/>
        <w:spacing w:before="0" w:after="120"/>
        <w:ind w:right="720"/>
      </w:pPr>
      <w:r>
        <w:t xml:space="preserve">For all particulars not specified in these rules, design, construction, and maintenance should be done in accordance with accepted good practice </w:t>
      </w:r>
      <w:r w:rsidRPr="00704EA3">
        <w:rPr>
          <w:b/>
          <w:u w:val="single"/>
        </w:rPr>
        <w:t>for the given local conditions</w:t>
      </w:r>
      <w:r>
        <w:t xml:space="preserve"> known at the time by those responsible for the design, construction, or maintenance of communication or supply lines and equipment.</w:t>
      </w:r>
    </w:p>
    <w:p w:rsidR="006D1F31" w:rsidRDefault="006D1F31" w:rsidP="00AE3D26">
      <w:pPr>
        <w:pStyle w:val="StandardQuotation"/>
        <w:spacing w:before="0" w:after="120"/>
        <w:ind w:right="720"/>
      </w:pPr>
      <w:r>
        <w:t>A supply or communications company is in compliance with this</w:t>
      </w:r>
      <w:r w:rsidR="00C9308E">
        <w:t xml:space="preserve"> </w:t>
      </w:r>
      <w:r>
        <w:t xml:space="preserve">rule if it designs, constructs, and maintains a facility in accordance with the particulars specified in General Order 95, except that </w:t>
      </w:r>
      <w:r w:rsidRPr="0085765E">
        <w:rPr>
          <w:b/>
          <w:u w:val="single"/>
        </w:rPr>
        <w:t>if an intended use or known local conditions require a higher standard than the particulars specified in General Order 95 to enable the furnishing of safe, proper, and adequate service, the company shall follow the higher standard</w:t>
      </w:r>
      <w:r>
        <w:t>.</w:t>
      </w:r>
    </w:p>
    <w:p w:rsidR="006D1F31" w:rsidRDefault="006D1F31" w:rsidP="00376EEC">
      <w:pPr>
        <w:pStyle w:val="StandardQuotation"/>
        <w:spacing w:before="0"/>
      </w:pPr>
      <w:r>
        <w:t>For all particulars not specified in General Order 95, a supply or communications company is in compliance with this rule if it designs, constructs and maintains a facility in accordance with accepted good practice for the intended use and known local conditions.</w:t>
      </w:r>
      <w:r w:rsidR="0085765E">
        <w:t xml:space="preserve"> (Emphasis added.) </w:t>
      </w:r>
    </w:p>
    <w:p w:rsidR="00E5471D" w:rsidRDefault="00376EEC" w:rsidP="00E5471D">
      <w:pPr>
        <w:pStyle w:val="standard"/>
      </w:pPr>
      <w:r>
        <w:t xml:space="preserve">Rule 31.1 requires CMRS </w:t>
      </w:r>
      <w:r w:rsidR="00C9308E">
        <w:t>installations</w:t>
      </w:r>
      <w:r>
        <w:t xml:space="preserve"> to be designed, built, and maintained </w:t>
      </w:r>
      <w:r w:rsidR="00B0076A">
        <w:t>based on</w:t>
      </w:r>
      <w:r>
        <w:t xml:space="preserve"> known local conditions.  </w:t>
      </w:r>
      <w:r w:rsidR="002C37B5">
        <w:t>If a utility pole cannot safe</w:t>
      </w:r>
      <w:r w:rsidR="00A76C52">
        <w:t>l</w:t>
      </w:r>
      <w:r w:rsidR="002C37B5">
        <w:t xml:space="preserve">y support a CMRS installation during </w:t>
      </w:r>
      <w:r w:rsidR="00C9308E">
        <w:t>foreseeable</w:t>
      </w:r>
      <w:r w:rsidR="00C21CA4">
        <w:t xml:space="preserve"> windstorms, </w:t>
      </w:r>
      <w:r w:rsidR="002C37B5">
        <w:t xml:space="preserve">the installation is prohibited by </w:t>
      </w:r>
      <w:r w:rsidR="00B0076A">
        <w:t>Rule 31.1.  Both the CMRS carrier and the pole owner(s) are responsible for ensuring compliance with Rule</w:t>
      </w:r>
      <w:r w:rsidR="000964A2">
        <w:t> </w:t>
      </w:r>
      <w:r w:rsidR="00B0076A">
        <w:t xml:space="preserve">31.1.  </w:t>
      </w:r>
      <w:r w:rsidR="000964A2">
        <w:t>We</w:t>
      </w:r>
      <w:r w:rsidR="00B0076A">
        <w:t xml:space="preserve"> believe the appropriate remedy </w:t>
      </w:r>
      <w:r w:rsidR="00A76C52">
        <w:t xml:space="preserve">for </w:t>
      </w:r>
      <w:r w:rsidR="00882152">
        <w:t>overloaded poles</w:t>
      </w:r>
      <w:r w:rsidR="00A76C52">
        <w:t xml:space="preserve"> </w:t>
      </w:r>
      <w:r w:rsidR="00B0076A">
        <w:t xml:space="preserve">is to </w:t>
      </w:r>
      <w:r w:rsidR="00882152">
        <w:t xml:space="preserve">vigorously </w:t>
      </w:r>
      <w:r w:rsidR="00B0076A">
        <w:t xml:space="preserve">enforce </w:t>
      </w:r>
      <w:r w:rsidR="00E5471D">
        <w:t>Rule 31.1</w:t>
      </w:r>
      <w:r w:rsidR="00B0076A">
        <w:t>, rather than adopt</w:t>
      </w:r>
      <w:r w:rsidR="00882152">
        <w:t>ing</w:t>
      </w:r>
      <w:r w:rsidR="00B0076A">
        <w:t xml:space="preserve"> a new rule that would make it difficult for CMRS carriers to attach equipment (other than antennas) to poles</w:t>
      </w:r>
      <w:r w:rsidR="00882152">
        <w:t xml:space="preserve"> that are </w:t>
      </w:r>
      <w:r w:rsidR="00882152" w:rsidRPr="00882152">
        <w:rPr>
          <w:u w:val="single"/>
        </w:rPr>
        <w:t>not</w:t>
      </w:r>
      <w:r w:rsidR="00882152">
        <w:t xml:space="preserve"> overloaded</w:t>
      </w:r>
      <w:r w:rsidR="00B0076A">
        <w:t xml:space="preserve">. </w:t>
      </w:r>
      <w:r w:rsidR="000964A2">
        <w:t xml:space="preserve"> </w:t>
      </w:r>
    </w:p>
    <w:p w:rsidR="00114817" w:rsidRPr="00B15830" w:rsidRDefault="00F136F2" w:rsidP="00E5471D">
      <w:pPr>
        <w:pStyle w:val="standard"/>
      </w:pPr>
      <w:r>
        <w:t xml:space="preserve">We </w:t>
      </w:r>
      <w:r w:rsidR="000964A2">
        <w:t xml:space="preserve">disagree with </w:t>
      </w:r>
      <w:r>
        <w:t>SED</w:t>
      </w:r>
      <w:r w:rsidR="000964A2">
        <w:t xml:space="preserve">’s position </w:t>
      </w:r>
      <w:r>
        <w:t>that its proposed Rule</w:t>
      </w:r>
      <w:r w:rsidR="000964A2">
        <w:t> </w:t>
      </w:r>
      <w:r>
        <w:t xml:space="preserve">94.10 is justified, in part, by the </w:t>
      </w:r>
      <w:r w:rsidR="008D25C2">
        <w:t xml:space="preserve">significant </w:t>
      </w:r>
      <w:r>
        <w:t xml:space="preserve">loads that CMRS installations impose on poles.  </w:t>
      </w:r>
      <w:r w:rsidR="008D25C2">
        <w:t>The</w:t>
      </w:r>
      <w:r>
        <w:t xml:space="preserve"> record demonstrates that </w:t>
      </w:r>
      <w:r w:rsidR="008D25C2">
        <w:t xml:space="preserve">CMRS </w:t>
      </w:r>
      <w:r w:rsidR="00C9308E">
        <w:t>installations</w:t>
      </w:r>
      <w:r w:rsidR="008D25C2">
        <w:t xml:space="preserve"> do not impose disproportionate loads on poles.  </w:t>
      </w:r>
      <w:r w:rsidR="008E1003">
        <w:t>In fact</w:t>
      </w:r>
      <w:r w:rsidR="005E3046">
        <w:t>, the CMRS</w:t>
      </w:r>
      <w:r w:rsidR="008C38D7">
        <w:t> </w:t>
      </w:r>
      <w:r w:rsidR="008E1003">
        <w:t xml:space="preserve">equipment </w:t>
      </w:r>
      <w:r w:rsidR="00883144">
        <w:t xml:space="preserve">that </w:t>
      </w:r>
      <w:r w:rsidR="00C9308E">
        <w:t>would</w:t>
      </w:r>
      <w:r w:rsidR="00883144">
        <w:t xml:space="preserve"> be subject to </w:t>
      </w:r>
      <w:r w:rsidR="008E1003">
        <w:t xml:space="preserve">SED’s </w:t>
      </w:r>
      <w:r w:rsidR="008E1003">
        <w:lastRenderedPageBreak/>
        <w:t xml:space="preserve">proposed rule </w:t>
      </w:r>
      <w:r w:rsidR="005E3046">
        <w:t>generally impose</w:t>
      </w:r>
      <w:r w:rsidR="00882152">
        <w:t>s</w:t>
      </w:r>
      <w:r w:rsidR="008C38D7">
        <w:t xml:space="preserve"> less wind load than most </w:t>
      </w:r>
      <w:r w:rsidR="008E1003">
        <w:t>pole attachments</w:t>
      </w:r>
      <w:r w:rsidR="005E3046">
        <w:t>.</w:t>
      </w:r>
      <w:r w:rsidR="00B66A28">
        <w:rPr>
          <w:rStyle w:val="FootnoteReference"/>
        </w:rPr>
        <w:footnoteReference w:id="106"/>
      </w:r>
      <w:r w:rsidR="005E3046">
        <w:t xml:space="preserve">  </w:t>
      </w:r>
      <w:r w:rsidR="009E15CA">
        <w:t xml:space="preserve">Moreover, </w:t>
      </w:r>
      <w:r w:rsidR="00114817" w:rsidRPr="00B15830">
        <w:t>Rule</w:t>
      </w:r>
      <w:r w:rsidR="00114817">
        <w:t> </w:t>
      </w:r>
      <w:r w:rsidR="00114817" w:rsidRPr="00B15830">
        <w:t xml:space="preserve">44.2 requires </w:t>
      </w:r>
      <w:r w:rsidR="00114817">
        <w:t xml:space="preserve">that </w:t>
      </w:r>
      <w:r w:rsidR="00114817" w:rsidRPr="00B15830">
        <w:t>a pole loading calculation be performed</w:t>
      </w:r>
      <w:r w:rsidR="00F44E2D">
        <w:t xml:space="preserve"> </w:t>
      </w:r>
      <w:r w:rsidR="00820105">
        <w:t xml:space="preserve">for any </w:t>
      </w:r>
      <w:r w:rsidR="00F44E2D">
        <w:t xml:space="preserve">CMRS </w:t>
      </w:r>
      <w:r w:rsidR="000964A2">
        <w:t xml:space="preserve">attachment </w:t>
      </w:r>
      <w:r w:rsidR="00820105">
        <w:t xml:space="preserve">that would materially increase the load on the structure.  </w:t>
      </w:r>
      <w:r w:rsidR="00114817" w:rsidRPr="00B15830">
        <w:t xml:space="preserve">If the </w:t>
      </w:r>
      <w:r w:rsidR="00114817">
        <w:t xml:space="preserve">calculation shows that the </w:t>
      </w:r>
      <w:r w:rsidR="00114817" w:rsidRPr="00B15830">
        <w:t xml:space="preserve">pole </w:t>
      </w:r>
      <w:r w:rsidR="00593AF9">
        <w:t xml:space="preserve">is not strong enough </w:t>
      </w:r>
      <w:r w:rsidR="00114817" w:rsidRPr="00B15830">
        <w:t xml:space="preserve">to </w:t>
      </w:r>
      <w:r w:rsidR="00114817">
        <w:t>support the CMRS</w:t>
      </w:r>
      <w:r w:rsidR="00593AF9">
        <w:t> </w:t>
      </w:r>
      <w:r w:rsidR="00114817">
        <w:t xml:space="preserve">installation, </w:t>
      </w:r>
      <w:r w:rsidR="00114817" w:rsidRPr="00B15830">
        <w:t xml:space="preserve">then the </w:t>
      </w:r>
      <w:r w:rsidR="008E1003">
        <w:t xml:space="preserve">pole will have to be reinforced or replaced before the CMRS </w:t>
      </w:r>
      <w:r w:rsidR="00C9308E">
        <w:t>installation</w:t>
      </w:r>
      <w:r w:rsidR="008E1003">
        <w:t xml:space="preserve"> can go forward. </w:t>
      </w:r>
      <w:r w:rsidR="00A177EF">
        <w:t xml:space="preserve"> </w:t>
      </w:r>
    </w:p>
    <w:p w:rsidR="00C21CA4" w:rsidRDefault="001A7A18" w:rsidP="000F3157">
      <w:pPr>
        <w:pStyle w:val="standard"/>
      </w:pPr>
      <w:r>
        <w:t xml:space="preserve">It is </w:t>
      </w:r>
      <w:r w:rsidR="00DD5DE5">
        <w:t>also</w:t>
      </w:r>
      <w:r>
        <w:t xml:space="preserve"> unclear </w:t>
      </w:r>
      <w:r w:rsidR="00704EA3">
        <w:t>if</w:t>
      </w:r>
      <w:r>
        <w:t xml:space="preserve"> </w:t>
      </w:r>
      <w:r w:rsidR="00593AF9">
        <w:t>SED’s proposed Rule</w:t>
      </w:r>
      <w:r>
        <w:t> </w:t>
      </w:r>
      <w:r w:rsidR="00593AF9">
        <w:t>94.10 would enhance safety</w:t>
      </w:r>
      <w:r w:rsidR="00BB2A5C">
        <w:t xml:space="preserve">.  </w:t>
      </w:r>
      <w:r w:rsidR="00704EA3">
        <w:t>The</w:t>
      </w:r>
      <w:r w:rsidR="00BB2A5C">
        <w:t xml:space="preserve"> proposed rule would require pad mounting when a pole has sufficient load capacity to safely support CMRS </w:t>
      </w:r>
      <w:r w:rsidR="009553B1">
        <w:t>equipment</w:t>
      </w:r>
      <w:r w:rsidR="00BB2A5C">
        <w:t xml:space="preserve">.  </w:t>
      </w:r>
      <w:r w:rsidR="00704EA3">
        <w:t xml:space="preserve">This could diminish safety because placing CMRS </w:t>
      </w:r>
      <w:r w:rsidR="00BB2A5C">
        <w:t>equi</w:t>
      </w:r>
      <w:r w:rsidR="0004028A">
        <w:t>p</w:t>
      </w:r>
      <w:r w:rsidR="00BB2A5C">
        <w:t xml:space="preserve">ment </w:t>
      </w:r>
      <w:r w:rsidR="00704EA3">
        <w:t xml:space="preserve">in </w:t>
      </w:r>
      <w:r w:rsidR="00BB2A5C">
        <w:t xml:space="preserve">pad-mounted structures has its own safety </w:t>
      </w:r>
      <w:r w:rsidR="00593AF9" w:rsidRPr="00CE6858">
        <w:rPr>
          <w:rFonts w:eastAsia="Calibri"/>
        </w:rPr>
        <w:t xml:space="preserve">risks. </w:t>
      </w:r>
      <w:r w:rsidR="00593AF9" w:rsidRPr="00C33CCB">
        <w:rPr>
          <w:szCs w:val="24"/>
        </w:rPr>
        <w:t xml:space="preserve"> </w:t>
      </w:r>
      <w:r w:rsidR="009E15CA">
        <w:rPr>
          <w:szCs w:val="24"/>
        </w:rPr>
        <w:t xml:space="preserve">As noted by the Opponents, </w:t>
      </w:r>
      <w:r w:rsidR="00593AF9">
        <w:rPr>
          <w:szCs w:val="24"/>
        </w:rPr>
        <w:t>p</w:t>
      </w:r>
      <w:r w:rsidR="00593AF9" w:rsidRPr="00C33CCB">
        <w:rPr>
          <w:szCs w:val="24"/>
        </w:rPr>
        <w:t>ad</w:t>
      </w:r>
      <w:r w:rsidR="00593AF9">
        <w:rPr>
          <w:szCs w:val="24"/>
        </w:rPr>
        <w:t>-</w:t>
      </w:r>
      <w:r w:rsidR="00593AF9" w:rsidRPr="00C33CCB">
        <w:rPr>
          <w:szCs w:val="24"/>
        </w:rPr>
        <w:t xml:space="preserve">mounted </w:t>
      </w:r>
      <w:r w:rsidR="00593AF9">
        <w:rPr>
          <w:szCs w:val="24"/>
        </w:rPr>
        <w:t>CMRS equipment</w:t>
      </w:r>
      <w:r w:rsidR="00593AF9" w:rsidRPr="00C33CCB">
        <w:rPr>
          <w:szCs w:val="24"/>
        </w:rPr>
        <w:t xml:space="preserve"> </w:t>
      </w:r>
      <w:r w:rsidR="00593AF9">
        <w:rPr>
          <w:szCs w:val="24"/>
        </w:rPr>
        <w:t>is more vulnerable to</w:t>
      </w:r>
      <w:r w:rsidR="00593AF9" w:rsidRPr="00C33CCB">
        <w:rPr>
          <w:szCs w:val="24"/>
        </w:rPr>
        <w:t xml:space="preserve"> vandalism </w:t>
      </w:r>
      <w:r w:rsidR="00593AF9">
        <w:rPr>
          <w:szCs w:val="24"/>
        </w:rPr>
        <w:t>and</w:t>
      </w:r>
      <w:r w:rsidR="00593AF9" w:rsidRPr="00C33CCB">
        <w:rPr>
          <w:szCs w:val="24"/>
        </w:rPr>
        <w:t xml:space="preserve"> illegal shu</w:t>
      </w:r>
      <w:r w:rsidR="00593AF9">
        <w:rPr>
          <w:szCs w:val="24"/>
        </w:rPr>
        <w:t>t-offs</w:t>
      </w:r>
      <w:r w:rsidR="00593AF9" w:rsidRPr="00C33CCB">
        <w:rPr>
          <w:szCs w:val="24"/>
        </w:rPr>
        <w:t xml:space="preserve">, </w:t>
      </w:r>
      <w:r w:rsidR="00593AF9">
        <w:rPr>
          <w:szCs w:val="24"/>
        </w:rPr>
        <w:t>resulting in disrupted access to 911.  In addition</w:t>
      </w:r>
      <w:r w:rsidR="00593AF9" w:rsidRPr="00C33CCB">
        <w:rPr>
          <w:szCs w:val="24"/>
        </w:rPr>
        <w:t xml:space="preserve">, </w:t>
      </w:r>
      <w:r w:rsidR="00A443D8">
        <w:rPr>
          <w:szCs w:val="24"/>
        </w:rPr>
        <w:t xml:space="preserve">pad-mounted equipment </w:t>
      </w:r>
      <w:r w:rsidR="00BF2947">
        <w:rPr>
          <w:szCs w:val="24"/>
        </w:rPr>
        <w:t xml:space="preserve">placed </w:t>
      </w:r>
      <w:r w:rsidR="00A443D8">
        <w:rPr>
          <w:szCs w:val="24"/>
        </w:rPr>
        <w:t xml:space="preserve">alongside streets </w:t>
      </w:r>
      <w:r>
        <w:rPr>
          <w:szCs w:val="24"/>
        </w:rPr>
        <w:t>is</w:t>
      </w:r>
      <w:r w:rsidR="00A443D8">
        <w:rPr>
          <w:szCs w:val="24"/>
        </w:rPr>
        <w:t xml:space="preserve"> a hazard to vehicles</w:t>
      </w:r>
      <w:r w:rsidR="0004028A">
        <w:rPr>
          <w:szCs w:val="24"/>
        </w:rPr>
        <w:t>, just as utility poles are a hazard to vehicles</w:t>
      </w:r>
      <w:r w:rsidR="00A443D8">
        <w:rPr>
          <w:szCs w:val="24"/>
        </w:rPr>
        <w:t xml:space="preserve">.  </w:t>
      </w:r>
      <w:r w:rsidR="009E15CA">
        <w:rPr>
          <w:szCs w:val="24"/>
        </w:rPr>
        <w:t>P</w:t>
      </w:r>
      <w:r w:rsidR="00593AF9">
        <w:t xml:space="preserve">ad-mounted equipment </w:t>
      </w:r>
      <w:r w:rsidR="00394346">
        <w:t>can</w:t>
      </w:r>
      <w:r w:rsidR="00593AF9">
        <w:t xml:space="preserve"> </w:t>
      </w:r>
      <w:r w:rsidR="009E15CA">
        <w:t xml:space="preserve">also </w:t>
      </w:r>
      <w:r w:rsidR="00593AF9">
        <w:t xml:space="preserve">pose an obstacle to people with disabilities, which </w:t>
      </w:r>
      <w:r w:rsidR="00394346">
        <w:t>can</w:t>
      </w:r>
      <w:r w:rsidR="00593AF9">
        <w:t xml:space="preserve"> </w:t>
      </w:r>
      <w:r w:rsidR="00394346">
        <w:t xml:space="preserve">be hazardous </w:t>
      </w:r>
      <w:r w:rsidR="00593AF9">
        <w:t xml:space="preserve">in some situations.  </w:t>
      </w:r>
    </w:p>
    <w:p w:rsidR="008A100E" w:rsidRDefault="0077756C" w:rsidP="00820105">
      <w:pPr>
        <w:pStyle w:val="standard"/>
      </w:pPr>
      <w:r>
        <w:t xml:space="preserve">Although the overall safety benefits of SED’s proposed Rule 94.10 are uncertain, it is clear that the </w:t>
      </w:r>
      <w:r w:rsidR="008A100E">
        <w:t>propose</w:t>
      </w:r>
      <w:r w:rsidR="00911D5D">
        <w:t>d</w:t>
      </w:r>
      <w:r w:rsidR="008A100E">
        <w:t xml:space="preserve"> </w:t>
      </w:r>
      <w:r>
        <w:t xml:space="preserve">rule will </w:t>
      </w:r>
      <w:r w:rsidR="00142B2D">
        <w:t>be costly to implement</w:t>
      </w:r>
      <w:r>
        <w:t xml:space="preserve">.  </w:t>
      </w:r>
      <w:r w:rsidR="008A100E" w:rsidRPr="004728DE">
        <w:t>There are</w:t>
      </w:r>
      <w:r w:rsidR="008A100E">
        <w:t xml:space="preserve"> significant costs associated with pad-mount</w:t>
      </w:r>
      <w:r w:rsidR="00BF2947">
        <w:t>ed</w:t>
      </w:r>
      <w:r w:rsidR="008A100E">
        <w:t xml:space="preserve"> equipment.  As noted by </w:t>
      </w:r>
      <w:r w:rsidR="00684977">
        <w:t>the Opponents</w:t>
      </w:r>
      <w:r w:rsidR="008A100E">
        <w:t xml:space="preserve">, </w:t>
      </w:r>
      <w:r w:rsidR="00684977">
        <w:t>local</w:t>
      </w:r>
      <w:r w:rsidR="008A100E">
        <w:t xml:space="preserve"> jurisdictions </w:t>
      </w:r>
      <w:r w:rsidR="00684977">
        <w:t xml:space="preserve">oftentimes </w:t>
      </w:r>
      <w:r w:rsidR="008A100E">
        <w:t>require applicants for pad-mounted structures to attempt to place the structure underground.</w:t>
      </w:r>
      <w:r w:rsidR="005D4E54" w:rsidRPr="00E15E99">
        <w:rPr>
          <w:rStyle w:val="StandardFootnoteReferenceChar"/>
        </w:rPr>
        <w:footnoteReference w:id="107"/>
      </w:r>
      <w:r w:rsidR="008A100E">
        <w:t xml:space="preserve">  </w:t>
      </w:r>
      <w:r w:rsidR="00684977">
        <w:t>U</w:t>
      </w:r>
      <w:r w:rsidR="008A100E">
        <w:t xml:space="preserve">nderground construction </w:t>
      </w:r>
      <w:r w:rsidR="00963794">
        <w:t xml:space="preserve">is typically much more expensive than pole-mounted </w:t>
      </w:r>
      <w:r w:rsidR="009553B1">
        <w:t>installations</w:t>
      </w:r>
      <w:r w:rsidR="00963794">
        <w:t xml:space="preserve">.  </w:t>
      </w:r>
      <w:r w:rsidR="008A100E">
        <w:lastRenderedPageBreak/>
        <w:t xml:space="preserve">Even if the </w:t>
      </w:r>
      <w:r w:rsidR="00684977">
        <w:t xml:space="preserve">CMRS equipment </w:t>
      </w:r>
      <w:r w:rsidR="008A100E">
        <w:t xml:space="preserve">does not have to be placed underground, </w:t>
      </w:r>
      <w:r w:rsidR="00684977">
        <w:t xml:space="preserve">surface mounted structures </w:t>
      </w:r>
      <w:r w:rsidR="00963794">
        <w:t xml:space="preserve">need </w:t>
      </w:r>
      <w:r w:rsidR="008A100E">
        <w:t xml:space="preserve">to connect </w:t>
      </w:r>
      <w:r w:rsidR="00684977">
        <w:t xml:space="preserve">to </w:t>
      </w:r>
      <w:r w:rsidR="008A100E">
        <w:t>the pole-mounted antenna and backhaul</w:t>
      </w:r>
      <w:r w:rsidR="00B66B2F">
        <w:t xml:space="preserve"> communication cable</w:t>
      </w:r>
      <w:r w:rsidR="008A100E">
        <w:t xml:space="preserve">, thus generating costs for trenching, </w:t>
      </w:r>
      <w:r w:rsidR="008A100E" w:rsidRPr="00C33CCB">
        <w:t xml:space="preserve">asphalt repair, concrete sidewalk repair, </w:t>
      </w:r>
      <w:r w:rsidR="008A100E">
        <w:t>and</w:t>
      </w:r>
      <w:r w:rsidR="00704EA3">
        <w:t>/or</w:t>
      </w:r>
      <w:r w:rsidR="008A100E">
        <w:t xml:space="preserve"> </w:t>
      </w:r>
      <w:r w:rsidR="008A100E" w:rsidRPr="00C33CCB">
        <w:t>parkway restoration</w:t>
      </w:r>
      <w:r w:rsidR="008A100E">
        <w:t xml:space="preserve">. </w:t>
      </w:r>
      <w:r w:rsidR="005D4E54">
        <w:t xml:space="preserve"> </w:t>
      </w:r>
      <w:r w:rsidR="00B66B2F">
        <w:t>Local j</w:t>
      </w:r>
      <w:r w:rsidR="008A100E" w:rsidRPr="004728DE">
        <w:t>urisdictions routinely require additional fees to review</w:t>
      </w:r>
      <w:r w:rsidR="008A100E">
        <w:t xml:space="preserve">, </w:t>
      </w:r>
      <w:r w:rsidR="008A100E" w:rsidRPr="004728DE">
        <w:t>inspect</w:t>
      </w:r>
      <w:r w:rsidR="008A100E">
        <w:t xml:space="preserve">, </w:t>
      </w:r>
      <w:r w:rsidR="00BF2947">
        <w:t xml:space="preserve">and </w:t>
      </w:r>
      <w:r w:rsidR="008A100E" w:rsidRPr="004728DE">
        <w:t xml:space="preserve">permit underground </w:t>
      </w:r>
      <w:r w:rsidR="008A100E">
        <w:t xml:space="preserve">or </w:t>
      </w:r>
      <w:r w:rsidR="00820105">
        <w:t>surface</w:t>
      </w:r>
      <w:r w:rsidR="008A100E">
        <w:t>-</w:t>
      </w:r>
      <w:r w:rsidR="008A100E" w:rsidRPr="004728DE">
        <w:t>mount</w:t>
      </w:r>
      <w:r w:rsidR="00820105">
        <w:t>ed structures</w:t>
      </w:r>
      <w:r w:rsidR="008A100E">
        <w:t>.</w:t>
      </w:r>
      <w:r w:rsidR="005D4E54">
        <w:rPr>
          <w:rStyle w:val="FootnoteReference"/>
        </w:rPr>
        <w:footnoteReference w:id="108"/>
      </w:r>
      <w:r w:rsidR="00684977">
        <w:t xml:space="preserve"> </w:t>
      </w:r>
      <w:r w:rsidR="001A7A18">
        <w:t xml:space="preserve"> </w:t>
      </w:r>
      <w:r w:rsidR="00DD5DE5">
        <w:t>Altogether</w:t>
      </w:r>
      <w:r w:rsidR="00684977">
        <w:t xml:space="preserve">, CMRS carriers </w:t>
      </w:r>
      <w:r w:rsidR="00704EA3">
        <w:t>can</w:t>
      </w:r>
      <w:r w:rsidR="00684977">
        <w:t xml:space="preserve"> expend significant time and money to first obtain approval from local jurisdictions for pad-mounted equipment, and then to </w:t>
      </w:r>
      <w:r w:rsidR="00704EA3">
        <w:t>build</w:t>
      </w:r>
      <w:r w:rsidR="00684977">
        <w:t xml:space="preserve"> the pad</w:t>
      </w:r>
      <w:r w:rsidR="001A7A18">
        <w:noBreakHyphen/>
      </w:r>
      <w:r w:rsidR="00684977">
        <w:t xml:space="preserve">mounted structure.  </w:t>
      </w:r>
    </w:p>
    <w:p w:rsidR="008A100E" w:rsidRDefault="008A100E" w:rsidP="008A100E">
      <w:pPr>
        <w:pStyle w:val="standard"/>
      </w:pPr>
      <w:r>
        <w:t xml:space="preserve">SED </w:t>
      </w:r>
      <w:r w:rsidR="00704EA3">
        <w:t xml:space="preserve">did not </w:t>
      </w:r>
      <w:r w:rsidR="00B66B2F">
        <w:t xml:space="preserve">provide a cost estimate for </w:t>
      </w:r>
      <w:r w:rsidR="00BB2A5C">
        <w:t>its proposed</w:t>
      </w:r>
      <w:r w:rsidR="00B66B2F">
        <w:t xml:space="preserve"> rule.</w:t>
      </w:r>
      <w:r w:rsidRPr="00E15E99">
        <w:rPr>
          <w:rStyle w:val="StandardFootnoteReferenceChar"/>
        </w:rPr>
        <w:footnoteReference w:id="109"/>
      </w:r>
      <w:r w:rsidRPr="00342675">
        <w:t xml:space="preserve">  </w:t>
      </w:r>
      <w:r>
        <w:t>Based on the previous discussion, we conclude that the cost of pad-mounting CMRS equipment is significantly more than pole</w:t>
      </w:r>
      <w:r w:rsidR="000964A2">
        <w:t xml:space="preserve"> installations</w:t>
      </w:r>
      <w:r>
        <w:t xml:space="preserve">.  </w:t>
      </w:r>
    </w:p>
    <w:p w:rsidR="00911D5D" w:rsidRDefault="00911D5D" w:rsidP="00911D5D">
      <w:pPr>
        <w:pStyle w:val="standard"/>
      </w:pPr>
      <w:r>
        <w:t xml:space="preserve">Beyond safety and cost issues, SED’s proposed Rule 94.10 is problematic because it would </w:t>
      </w:r>
      <w:r w:rsidR="00DD5DE5">
        <w:t>establish</w:t>
      </w:r>
      <w:r>
        <w:t xml:space="preserve"> a </w:t>
      </w:r>
      <w:r w:rsidRPr="00BB4C17">
        <w:t>two-tiered</w:t>
      </w:r>
      <w:r>
        <w:t xml:space="preserve"> </w:t>
      </w:r>
      <w:r w:rsidRPr="00BB4C17">
        <w:t>system where</w:t>
      </w:r>
      <w:r>
        <w:t xml:space="preserve"> CMRS </w:t>
      </w:r>
      <w:r w:rsidR="00B66B2F">
        <w:t xml:space="preserve">equipment (other than antennas) is </w:t>
      </w:r>
      <w:r>
        <w:t>not allowed on poles</w:t>
      </w:r>
      <w:r w:rsidR="00B66B2F">
        <w:t xml:space="preserve"> “without good cause,”</w:t>
      </w:r>
      <w:r>
        <w:t xml:space="preserve"> </w:t>
      </w:r>
      <w:r w:rsidRPr="00BB4C17">
        <w:t xml:space="preserve">while </w:t>
      </w:r>
      <w:r w:rsidR="00704EA3">
        <w:t xml:space="preserve">CLEC and CATV </w:t>
      </w:r>
      <w:r w:rsidRPr="00BB4C17">
        <w:t>facilities</w:t>
      </w:r>
      <w:r>
        <w:t xml:space="preserve"> are </w:t>
      </w:r>
      <w:r w:rsidRPr="00BB4C17">
        <w:t>allowed.</w:t>
      </w:r>
      <w:r>
        <w:t xml:space="preserve">  This is contrary to </w:t>
      </w:r>
      <w:r w:rsidR="00BF2947">
        <w:t xml:space="preserve">the </w:t>
      </w:r>
      <w:r>
        <w:t>ROW Rules</w:t>
      </w:r>
      <w:r w:rsidR="00142B2D">
        <w:t xml:space="preserve"> and 47 U.S.C</w:t>
      </w:r>
      <w:r>
        <w:t>.</w:t>
      </w:r>
      <w:r w:rsidR="00142B2D">
        <w:t xml:space="preserve"> </w:t>
      </w:r>
      <w:r w:rsidR="00142B2D">
        <w:rPr>
          <w:rFonts w:ascii="Book Antiqua" w:hAnsi="Book Antiqua"/>
        </w:rPr>
        <w:t>§</w:t>
      </w:r>
      <w:r w:rsidR="00142B2D">
        <w:t xml:space="preserve"> 224(f), </w:t>
      </w:r>
      <w:r w:rsidR="00B223AC">
        <w:t xml:space="preserve">both of </w:t>
      </w:r>
      <w:r w:rsidR="00142B2D">
        <w:t xml:space="preserve">which </w:t>
      </w:r>
      <w:r w:rsidR="00704EA3">
        <w:t xml:space="preserve">establish a </w:t>
      </w:r>
      <w:r w:rsidR="00142B2D">
        <w:t>right to attach to utility poles absent reasons of safety, reliability, or generally applicable engineering purposes.</w:t>
      </w:r>
      <w:r w:rsidR="004A435B">
        <w:rPr>
          <w:rStyle w:val="FootnoteReference"/>
        </w:rPr>
        <w:footnoteReference w:id="110"/>
      </w:r>
      <w:r w:rsidR="00142B2D">
        <w:t xml:space="preserve">  </w:t>
      </w:r>
    </w:p>
    <w:p w:rsidR="006B5FFC" w:rsidRDefault="005D4E54" w:rsidP="000F3157">
      <w:pPr>
        <w:pStyle w:val="standard"/>
      </w:pPr>
      <w:r>
        <w:t>For preceding reasons, we decline to adopt SED’s proposed Rule</w:t>
      </w:r>
      <w:r w:rsidR="00FC7870">
        <w:t> </w:t>
      </w:r>
      <w:r>
        <w:t xml:space="preserve">94.10.  </w:t>
      </w:r>
    </w:p>
    <w:p w:rsidR="00B8624D" w:rsidRDefault="00AF5FC0" w:rsidP="005719C6">
      <w:pPr>
        <w:pStyle w:val="Heading3"/>
      </w:pPr>
      <w:bookmarkStart w:id="108" w:name="_Toc436647364"/>
      <w:r>
        <w:t>Proposed N</w:t>
      </w:r>
      <w:r w:rsidR="00B8624D">
        <w:t xml:space="preserve">ew Rule 94.11 </w:t>
      </w:r>
      <w:r w:rsidR="009350A3">
        <w:t xml:space="preserve">and New Rule 94.3-C(1) </w:t>
      </w:r>
      <w:r w:rsidR="00B8624D">
        <w:t>(Pole</w:t>
      </w:r>
      <w:r w:rsidR="00FC7870">
        <w:t> </w:t>
      </w:r>
      <w:r w:rsidR="00B8624D">
        <w:t>Embedment)</w:t>
      </w:r>
      <w:bookmarkEnd w:id="108"/>
      <w:r w:rsidR="00B8624D">
        <w:t xml:space="preserve"> </w:t>
      </w:r>
    </w:p>
    <w:p w:rsidR="00B8624D" w:rsidRDefault="00B8624D" w:rsidP="00A845DC">
      <w:pPr>
        <w:pStyle w:val="Heading4"/>
      </w:pPr>
      <w:bookmarkStart w:id="109" w:name="_Toc436647365"/>
      <w:r>
        <w:t>Summary of the Proposals</w:t>
      </w:r>
      <w:bookmarkEnd w:id="109"/>
      <w:r>
        <w:t xml:space="preserve"> </w:t>
      </w:r>
    </w:p>
    <w:p w:rsidR="00AC1BAB" w:rsidRDefault="00F44661" w:rsidP="00B717D8">
      <w:pPr>
        <w:pStyle w:val="standard"/>
      </w:pPr>
      <w:r>
        <w:t xml:space="preserve">A utility pole must be </w:t>
      </w:r>
      <w:r w:rsidR="00375747">
        <w:t>embedded</w:t>
      </w:r>
      <w:r>
        <w:t xml:space="preserve"> deep enough in the supporting soil to prevent the pole from overturning</w:t>
      </w:r>
      <w:r w:rsidR="00375747">
        <w:t xml:space="preserve"> from strong winds</w:t>
      </w:r>
      <w:r w:rsidR="00317EB2">
        <w:t xml:space="preserve">, tension from the attached </w:t>
      </w:r>
      <w:r w:rsidR="00317EB2">
        <w:lastRenderedPageBreak/>
        <w:t xml:space="preserve">wires and cables, </w:t>
      </w:r>
      <w:r w:rsidR="00375747">
        <w:t>and other loads</w:t>
      </w:r>
      <w:r>
        <w:t xml:space="preserve">.  </w:t>
      </w:r>
      <w:r w:rsidR="00A7129F">
        <w:t>GO</w:t>
      </w:r>
      <w:r w:rsidR="00CB6491">
        <w:t> </w:t>
      </w:r>
      <w:r w:rsidR="00A7129F">
        <w:t xml:space="preserve">95 at </w:t>
      </w:r>
      <w:r w:rsidR="001E44A0">
        <w:t>Rule</w:t>
      </w:r>
      <w:r w:rsidR="00C268A8">
        <w:t> </w:t>
      </w:r>
      <w:r w:rsidR="001E44A0">
        <w:t>49.1-C</w:t>
      </w:r>
      <w:r w:rsidR="003943E5">
        <w:t xml:space="preserve">, </w:t>
      </w:r>
      <w:r w:rsidR="001E44A0">
        <w:t>Table</w:t>
      </w:r>
      <w:r w:rsidR="00CB6491">
        <w:t> </w:t>
      </w:r>
      <w:r w:rsidR="001E44A0">
        <w:t>6</w:t>
      </w:r>
      <w:r w:rsidR="003943E5">
        <w:t>,</w:t>
      </w:r>
      <w:r w:rsidR="001E44A0">
        <w:t xml:space="preserve"> specif</w:t>
      </w:r>
      <w:r w:rsidR="003943E5">
        <w:t>ies</w:t>
      </w:r>
      <w:r w:rsidR="001E44A0">
        <w:t xml:space="preserve"> the minimum depths </w:t>
      </w:r>
      <w:r w:rsidR="003943E5">
        <w:t>for</w:t>
      </w:r>
      <w:r w:rsidR="001E44A0">
        <w:t xml:space="preserve"> poles that are set in firm soil.  </w:t>
      </w:r>
      <w:r w:rsidR="00CB6491">
        <w:t xml:space="preserve">For example, </w:t>
      </w:r>
      <w:r w:rsidR="001E44A0">
        <w:t>Table</w:t>
      </w:r>
      <w:r w:rsidR="00375747">
        <w:t> </w:t>
      </w:r>
      <w:r w:rsidR="001E44A0">
        <w:t xml:space="preserve">6 </w:t>
      </w:r>
      <w:r w:rsidR="00CB6491">
        <w:t>specifies a minimum depth of 6 feet fo</w:t>
      </w:r>
      <w:r w:rsidR="001E44A0">
        <w:t>r a 4</w:t>
      </w:r>
      <w:r w:rsidR="005B0635">
        <w:t>5</w:t>
      </w:r>
      <w:r w:rsidR="001E44A0">
        <w:t xml:space="preserve">-foot pole </w:t>
      </w:r>
      <w:r w:rsidR="00CB6491">
        <w:t>in</w:t>
      </w:r>
      <w:r w:rsidR="001E44A0">
        <w:t xml:space="preserve"> </w:t>
      </w:r>
      <w:r>
        <w:t>firm soil</w:t>
      </w:r>
      <w:r w:rsidR="00CB6491">
        <w:t>, and 6½ feet for a 50</w:t>
      </w:r>
      <w:r w:rsidR="00CB6491">
        <w:noBreakHyphen/>
        <w:t xml:space="preserve">foot pole </w:t>
      </w:r>
      <w:r>
        <w:t xml:space="preserve">in firm soil.  </w:t>
      </w:r>
      <w:r w:rsidR="005B0635">
        <w:t xml:space="preserve">Where </w:t>
      </w:r>
      <w:r w:rsidR="003943E5">
        <w:t>the</w:t>
      </w:r>
      <w:r w:rsidR="005B0635">
        <w:t xml:space="preserve"> soil is not firm, Rule 49.1-C requires deeper settings or </w:t>
      </w:r>
      <w:r w:rsidR="00DB2E24">
        <w:t xml:space="preserve">other </w:t>
      </w:r>
      <w:r w:rsidR="005B0635">
        <w:t>special method</w:t>
      </w:r>
      <w:r w:rsidR="00CB6491">
        <w:t>s to be used</w:t>
      </w:r>
      <w:r w:rsidR="005B0635">
        <w:t xml:space="preserve">.   </w:t>
      </w:r>
    </w:p>
    <w:p w:rsidR="00482CD3" w:rsidRDefault="003943E5" w:rsidP="00B717D8">
      <w:pPr>
        <w:pStyle w:val="standard"/>
      </w:pPr>
      <w:r>
        <w:t>Antennas may</w:t>
      </w:r>
      <w:r w:rsidR="00C21C07">
        <w:t xml:space="preserve"> </w:t>
      </w:r>
      <w:r>
        <w:t xml:space="preserve">be attached to the top of utility poles </w:t>
      </w:r>
      <w:r w:rsidR="000964A2">
        <w:t xml:space="preserve">with </w:t>
      </w:r>
      <w:r>
        <w:t>extensions that provide the necessary safety cl</w:t>
      </w:r>
      <w:r w:rsidR="00375747">
        <w:t>e</w:t>
      </w:r>
      <w:r>
        <w:t xml:space="preserve">arance from power lines.  </w:t>
      </w:r>
      <w:r w:rsidR="009350A3">
        <w:t xml:space="preserve">SED proposes a new Rule 94.11 that would require a pole-top extension to be </w:t>
      </w:r>
      <w:r w:rsidR="00375747">
        <w:t xml:space="preserve">added to </w:t>
      </w:r>
      <w:r w:rsidR="009350A3">
        <w:t xml:space="preserve">the length of a pole </w:t>
      </w:r>
      <w:r w:rsidR="00375747">
        <w:t>when</w:t>
      </w:r>
      <w:r w:rsidR="009350A3">
        <w:t xml:space="preserve"> determining </w:t>
      </w:r>
      <w:r w:rsidR="00375747">
        <w:t xml:space="preserve">the </w:t>
      </w:r>
      <w:r w:rsidR="00317EB2">
        <w:t xml:space="preserve">setting </w:t>
      </w:r>
      <w:r w:rsidR="009350A3">
        <w:t>depth</w:t>
      </w:r>
      <w:r w:rsidR="00375747">
        <w:t xml:space="preserve"> required by Rule 49.1</w:t>
      </w:r>
      <w:r w:rsidR="00A7129F">
        <w:noBreakHyphen/>
      </w:r>
      <w:r w:rsidR="00375747">
        <w:t>C</w:t>
      </w:r>
      <w:r w:rsidR="00847B97">
        <w:t xml:space="preserve">.  </w:t>
      </w:r>
      <w:r w:rsidR="00A7129F">
        <w:t xml:space="preserve">As an alternative to SED’s proposed rule, </w:t>
      </w:r>
      <w:r w:rsidR="00847B97">
        <w:t>P</w:t>
      </w:r>
      <w:r w:rsidR="009350A3">
        <w:t>G&amp;E proposes a new Rule 94.3</w:t>
      </w:r>
      <w:r w:rsidR="009350A3">
        <w:noBreakHyphen/>
        <w:t xml:space="preserve">C(1) </w:t>
      </w:r>
      <w:r w:rsidR="00317EB2">
        <w:t>which</w:t>
      </w:r>
      <w:r w:rsidR="009350A3">
        <w:t xml:space="preserve"> would </w:t>
      </w:r>
      <w:r w:rsidR="00536D90">
        <w:t>require that “consideration… be given to affirm the overturning moment is not exceeded” when a pole-top extension is installed on a pole.  And in a completely opposite approach to SED’s propos</w:t>
      </w:r>
      <w:r w:rsidR="00317EB2">
        <w:t>al</w:t>
      </w:r>
      <w:r w:rsidR="00536D90">
        <w:t>, PG&amp;E’s proposed Rule 94.3</w:t>
      </w:r>
      <w:r w:rsidR="00536D90">
        <w:noBreakHyphen/>
        <w:t>C(1) would </w:t>
      </w:r>
      <w:r w:rsidR="009350A3">
        <w:t xml:space="preserve">prohibit a pole-top extension </w:t>
      </w:r>
      <w:r w:rsidR="00375747">
        <w:t xml:space="preserve">from </w:t>
      </w:r>
      <w:r w:rsidR="00847B97">
        <w:t xml:space="preserve">being added to the length of </w:t>
      </w:r>
      <w:r w:rsidR="00375747">
        <w:t>a</w:t>
      </w:r>
      <w:r w:rsidR="00847B97">
        <w:t xml:space="preserve"> pole when determining the </w:t>
      </w:r>
      <w:r w:rsidR="00317EB2">
        <w:t xml:space="preserve">setting </w:t>
      </w:r>
      <w:r w:rsidR="00847B97">
        <w:t xml:space="preserve">depth </w:t>
      </w:r>
      <w:r w:rsidR="00375747">
        <w:t xml:space="preserve">required by </w:t>
      </w:r>
      <w:r w:rsidR="00847B97">
        <w:t>Rule</w:t>
      </w:r>
      <w:r w:rsidR="00A7129F">
        <w:t> </w:t>
      </w:r>
      <w:r w:rsidR="00847B97">
        <w:t>49.1</w:t>
      </w:r>
      <w:r w:rsidR="00317EB2">
        <w:noBreakHyphen/>
      </w:r>
      <w:r w:rsidR="00847B97">
        <w:t>C</w:t>
      </w:r>
      <w:r w:rsidR="00A7129F">
        <w:t>.</w:t>
      </w:r>
    </w:p>
    <w:p w:rsidR="00AC1BAB" w:rsidRDefault="00482CD3" w:rsidP="00B717D8">
      <w:pPr>
        <w:pStyle w:val="standard"/>
      </w:pPr>
      <w:r>
        <w:t xml:space="preserve">The text of SED’s and PG&amp;E’s proposed rules are contained in Appendix B of today’s decision.  </w:t>
      </w:r>
      <w:r w:rsidR="00692800">
        <w:t>SED does not believe i</w:t>
      </w:r>
      <w:r w:rsidR="00FE77DA">
        <w:t>t</w:t>
      </w:r>
      <w:r w:rsidR="00692800">
        <w:t xml:space="preserve">s proposed rule will have significant financial or </w:t>
      </w:r>
      <w:r w:rsidR="00520321">
        <w:t>environmental</w:t>
      </w:r>
      <w:r w:rsidR="00692800">
        <w:t xml:space="preserve"> </w:t>
      </w:r>
      <w:r w:rsidR="00520321">
        <w:t>impacts</w:t>
      </w:r>
      <w:r w:rsidR="00692800">
        <w:t xml:space="preserve">.  </w:t>
      </w:r>
      <w:r w:rsidR="00CB6491">
        <w:t>Likewise</w:t>
      </w:r>
      <w:r w:rsidR="00E947E1">
        <w:t xml:space="preserve">, </w:t>
      </w:r>
      <w:r w:rsidR="00692800">
        <w:t xml:space="preserve">PG&amp;E </w:t>
      </w:r>
      <w:r w:rsidR="00E947E1">
        <w:t xml:space="preserve">does not believe its </w:t>
      </w:r>
      <w:r w:rsidR="00692800">
        <w:t xml:space="preserve">proposed rule will have significant financial </w:t>
      </w:r>
      <w:r w:rsidR="00E947E1">
        <w:t xml:space="preserve">or environmental </w:t>
      </w:r>
      <w:r w:rsidR="00692800">
        <w:t xml:space="preserve">impacts.  </w:t>
      </w:r>
    </w:p>
    <w:p w:rsidR="00B8624D" w:rsidRDefault="00B8624D" w:rsidP="00A845DC">
      <w:pPr>
        <w:pStyle w:val="Heading4"/>
      </w:pPr>
      <w:bookmarkStart w:id="110" w:name="_Toc436647366"/>
      <w:r w:rsidRPr="00A845DC">
        <w:t>Positions</w:t>
      </w:r>
      <w:r>
        <w:t xml:space="preserve"> of the Parties</w:t>
      </w:r>
      <w:bookmarkEnd w:id="110"/>
      <w:r>
        <w:t xml:space="preserve"> </w:t>
      </w:r>
    </w:p>
    <w:p w:rsidR="00F620C1" w:rsidRDefault="00F620C1" w:rsidP="00A845DC">
      <w:pPr>
        <w:pStyle w:val="Heading5"/>
      </w:pPr>
      <w:bookmarkStart w:id="111" w:name="_Toc436647367"/>
      <w:r>
        <w:t>Proposed Rule 94.11</w:t>
      </w:r>
      <w:bookmarkEnd w:id="111"/>
      <w:r>
        <w:t xml:space="preserve">  </w:t>
      </w:r>
    </w:p>
    <w:p w:rsidR="001E6794" w:rsidRDefault="00E7264F" w:rsidP="00B717D8">
      <w:pPr>
        <w:pStyle w:val="standard"/>
      </w:pPr>
      <w:r>
        <w:t>The basis for SED’s propos</w:t>
      </w:r>
      <w:r w:rsidR="00D90924">
        <w:t xml:space="preserve">ed </w:t>
      </w:r>
      <w:r w:rsidR="00A4109D">
        <w:t>Rule 94.11</w:t>
      </w:r>
      <w:r w:rsidR="00D90924">
        <w:t xml:space="preserve"> </w:t>
      </w:r>
      <w:r>
        <w:t>is straightforward:  A</w:t>
      </w:r>
      <w:r w:rsidR="00FE1E76">
        <w:t xml:space="preserve"> </w:t>
      </w:r>
      <w:r>
        <w:t xml:space="preserve">pole-top extension increases </w:t>
      </w:r>
      <w:r w:rsidR="00FE1E76">
        <w:t>a</w:t>
      </w:r>
      <w:r>
        <w:t xml:space="preserve"> pole’s length</w:t>
      </w:r>
      <w:r w:rsidR="0005012B">
        <w:t xml:space="preserve"> and therefore increases the pole’s risk of overturning</w:t>
      </w:r>
      <w:r>
        <w:t xml:space="preserve">.  SED’s proposed </w:t>
      </w:r>
      <w:r w:rsidR="00A4109D">
        <w:t xml:space="preserve">rule </w:t>
      </w:r>
      <w:r>
        <w:t xml:space="preserve">would ensure that </w:t>
      </w:r>
      <w:r w:rsidRPr="0032304A">
        <w:t>pole</w:t>
      </w:r>
      <w:r w:rsidR="00FE77DA">
        <w:t>s</w:t>
      </w:r>
      <w:r w:rsidRPr="0032304A">
        <w:t xml:space="preserve"> </w:t>
      </w:r>
      <w:r w:rsidR="00FE77DA">
        <w:t xml:space="preserve">with pole-top </w:t>
      </w:r>
      <w:r w:rsidR="00A7129F">
        <w:t>antennas</w:t>
      </w:r>
      <w:r w:rsidR="00FE77DA">
        <w:t xml:space="preserve"> are</w:t>
      </w:r>
      <w:r w:rsidRPr="0032304A">
        <w:t xml:space="preserve"> </w:t>
      </w:r>
      <w:r>
        <w:t>set</w:t>
      </w:r>
      <w:r w:rsidRPr="0032304A">
        <w:t xml:space="preserve"> at </w:t>
      </w:r>
      <w:r w:rsidR="00FE77DA">
        <w:t>a</w:t>
      </w:r>
      <w:r w:rsidRPr="0032304A">
        <w:t xml:space="preserve"> </w:t>
      </w:r>
      <w:r w:rsidR="00FE77DA">
        <w:t xml:space="preserve">depth that complies with </w:t>
      </w:r>
      <w:r>
        <w:t>Rule 49.1</w:t>
      </w:r>
      <w:r>
        <w:noBreakHyphen/>
        <w:t>C</w:t>
      </w:r>
      <w:r w:rsidR="0005012B">
        <w:t xml:space="preserve"> in order to </w:t>
      </w:r>
      <w:r>
        <w:t xml:space="preserve">minimize the risk of overturning </w:t>
      </w:r>
      <w:r w:rsidR="00BE511F">
        <w:t xml:space="preserve">and </w:t>
      </w:r>
      <w:r w:rsidR="00D90924">
        <w:t xml:space="preserve">consequent </w:t>
      </w:r>
      <w:r w:rsidR="00BE511F">
        <w:t xml:space="preserve">fires, electrocutions, and outages.  </w:t>
      </w:r>
    </w:p>
    <w:p w:rsidR="009961BF" w:rsidRDefault="00FE1E76" w:rsidP="00B717D8">
      <w:pPr>
        <w:pStyle w:val="standard"/>
      </w:pPr>
      <w:r>
        <w:lastRenderedPageBreak/>
        <w:t>The pr</w:t>
      </w:r>
      <w:r w:rsidR="00E947E1">
        <w:t>o</w:t>
      </w:r>
      <w:r>
        <w:t xml:space="preserve">posed rule </w:t>
      </w:r>
      <w:r w:rsidR="00ED6238">
        <w:t>is not</w:t>
      </w:r>
      <w:r w:rsidR="00BE511F">
        <w:t xml:space="preserve"> a new requirement, </w:t>
      </w:r>
      <w:r>
        <w:t>according to SED</w:t>
      </w:r>
      <w:r w:rsidR="00ED6238">
        <w:t xml:space="preserve">.  Rather, it </w:t>
      </w:r>
      <w:r>
        <w:t>clarifies</w:t>
      </w:r>
      <w:r w:rsidR="00BE511F">
        <w:t xml:space="preserve"> an existing requirement that pole</w:t>
      </w:r>
      <w:r w:rsidR="0005012B">
        <w:t xml:space="preserve">s must be set at a depth that </w:t>
      </w:r>
      <w:r w:rsidR="00BE511F">
        <w:t xml:space="preserve">is proportional to pole length, including pole-top extensions.  As such, </w:t>
      </w:r>
      <w:r w:rsidR="0005012B">
        <w:t>the</w:t>
      </w:r>
      <w:r w:rsidR="00A7129F">
        <w:t xml:space="preserve"> proposed rule </w:t>
      </w:r>
      <w:r w:rsidR="00BE511F">
        <w:t>should</w:t>
      </w:r>
      <w:r w:rsidR="00D90924">
        <w:t xml:space="preserve"> not</w:t>
      </w:r>
      <w:r w:rsidR="00BE511F">
        <w:t xml:space="preserve"> </w:t>
      </w:r>
      <w:r w:rsidR="00D90924">
        <w:t>increase</w:t>
      </w:r>
      <w:r w:rsidR="00BE511F">
        <w:t xml:space="preserve"> costs unless the existing requirement </w:t>
      </w:r>
      <w:r w:rsidR="00D90924">
        <w:t>has been</w:t>
      </w:r>
      <w:r w:rsidR="00BE511F">
        <w:t xml:space="preserve"> misapplied.  </w:t>
      </w:r>
      <w:r w:rsidR="00D90924">
        <w:t xml:space="preserve">To the extent there are increased costs, SED believes the costs are justified by the public safety benefits of the new rule. </w:t>
      </w:r>
    </w:p>
    <w:p w:rsidR="00BE511F" w:rsidRPr="00C4227A" w:rsidRDefault="00BE511F" w:rsidP="00BE511F">
      <w:pPr>
        <w:pStyle w:val="standard"/>
      </w:pPr>
      <w:r>
        <w:t xml:space="preserve">SED acknowledges that the safety issue addressed by its proposed rule is </w:t>
      </w:r>
      <w:r w:rsidRPr="00C4227A">
        <w:t>not unique to CMRS facilities.</w:t>
      </w:r>
      <w:r>
        <w:t xml:space="preserve">  </w:t>
      </w:r>
      <w:r w:rsidRPr="00C4227A">
        <w:t xml:space="preserve">However, </w:t>
      </w:r>
      <w:r>
        <w:t xml:space="preserve">because </w:t>
      </w:r>
      <w:r w:rsidRPr="00C4227A">
        <w:t>th</w:t>
      </w:r>
      <w:r>
        <w:t xml:space="preserve">e scope of this proceeding is limited to </w:t>
      </w:r>
      <w:r w:rsidRPr="00C4227A">
        <w:t>CMRS</w:t>
      </w:r>
      <w:r>
        <w:t xml:space="preserve"> installations</w:t>
      </w:r>
      <w:r w:rsidRPr="00C4227A">
        <w:t xml:space="preserve">, </w:t>
      </w:r>
      <w:r>
        <w:t xml:space="preserve">SED’s proposed rule is likewise limited to </w:t>
      </w:r>
      <w:r w:rsidR="00FE1E76">
        <w:t>CMRS</w:t>
      </w:r>
      <w:r w:rsidR="0005012B">
        <w:t> </w:t>
      </w:r>
      <w:r>
        <w:t xml:space="preserve">installations. </w:t>
      </w:r>
      <w:r w:rsidRPr="00C4227A">
        <w:t xml:space="preserve"> </w:t>
      </w:r>
      <w:r>
        <w:t>SED recommends e</w:t>
      </w:r>
      <w:r w:rsidRPr="00C4227A">
        <w:t xml:space="preserve">xpanding </w:t>
      </w:r>
      <w:r>
        <w:t xml:space="preserve">its proposed rule </w:t>
      </w:r>
      <w:r w:rsidRPr="00C4227A">
        <w:t xml:space="preserve">to </w:t>
      </w:r>
      <w:r>
        <w:t xml:space="preserve">include </w:t>
      </w:r>
      <w:r w:rsidRPr="00C4227A">
        <w:t xml:space="preserve">all </w:t>
      </w:r>
      <w:r w:rsidR="00E947E1">
        <w:t>pole</w:t>
      </w:r>
      <w:r w:rsidR="00A7129F">
        <w:noBreakHyphen/>
      </w:r>
      <w:r w:rsidR="00E947E1">
        <w:t xml:space="preserve">top </w:t>
      </w:r>
      <w:r w:rsidRPr="00C4227A">
        <w:t xml:space="preserve">facilities </w:t>
      </w:r>
      <w:r>
        <w:t xml:space="preserve">in </w:t>
      </w:r>
      <w:r w:rsidRPr="00C4227A">
        <w:t xml:space="preserve">future Commission proceedings. </w:t>
      </w:r>
    </w:p>
    <w:p w:rsidR="00BE511F" w:rsidRDefault="009B2AFB" w:rsidP="00B717D8">
      <w:pPr>
        <w:pStyle w:val="standard"/>
      </w:pPr>
      <w:r>
        <w:t xml:space="preserve">No party expressed support for SED’s proposed Rule 94.11.  The following parties take a neutral position:  CFC, IBEW 1245, and TURN.  </w:t>
      </w:r>
      <w:r w:rsidR="00412182">
        <w:t xml:space="preserve">IBEW 1245 believes that SED’s proposed rule would </w:t>
      </w:r>
      <w:r w:rsidR="003840B7">
        <w:t>all but</w:t>
      </w:r>
      <w:r w:rsidR="00AF6DB1">
        <w:t xml:space="preserve"> eliminate </w:t>
      </w:r>
      <w:r w:rsidR="00412182">
        <w:t xml:space="preserve">CMRS pole-top installations.  </w:t>
      </w:r>
      <w:r w:rsidR="00AF6DB1">
        <w:t xml:space="preserve">This would be a welcome outcome, in </w:t>
      </w:r>
      <w:r w:rsidR="00B2445F">
        <w:t>IBEW</w:t>
      </w:r>
      <w:r w:rsidR="00AF6DB1">
        <w:t> 1</w:t>
      </w:r>
      <w:r w:rsidR="00B2445F">
        <w:t>245</w:t>
      </w:r>
      <w:r w:rsidR="00AF6DB1">
        <w:t xml:space="preserve">’s opinion, because it would make pole tops safer </w:t>
      </w:r>
      <w:r w:rsidR="00B2445F">
        <w:t xml:space="preserve">for those who work </w:t>
      </w:r>
      <w:r w:rsidR="00AF6DB1">
        <w:t>in close proximity to</w:t>
      </w:r>
      <w:r w:rsidR="00B2445F">
        <w:t xml:space="preserve"> high-voltage power lines </w:t>
      </w:r>
      <w:r w:rsidR="00AF6DB1">
        <w:t xml:space="preserve">already located at pole tops.  </w:t>
      </w:r>
      <w:r w:rsidR="00B2445F">
        <w:t xml:space="preserve">  </w:t>
      </w:r>
    </w:p>
    <w:p w:rsidR="00805AF5" w:rsidRDefault="00805AF5" w:rsidP="00805AF5">
      <w:pPr>
        <w:pStyle w:val="standard"/>
      </w:pPr>
      <w:r>
        <w:t>TURN agrees with SED that adding a pole</w:t>
      </w:r>
      <w:r w:rsidR="00FE1E76">
        <w:noBreakHyphen/>
      </w:r>
      <w:r>
        <w:t xml:space="preserve">top extension to an existing pole will increase </w:t>
      </w:r>
      <w:r w:rsidR="00A7129F">
        <w:t xml:space="preserve">the </w:t>
      </w:r>
      <w:r>
        <w:t xml:space="preserve">overturning moment.  The question for TURN is whether the </w:t>
      </w:r>
      <w:r w:rsidR="0005012B">
        <w:t>increased</w:t>
      </w:r>
      <w:r>
        <w:t xml:space="preserve"> overturning moment justifies a rule requiring </w:t>
      </w:r>
      <w:r w:rsidR="00FE1E76">
        <w:t>deeper</w:t>
      </w:r>
      <w:r>
        <w:t xml:space="preserve"> pole burial depth</w:t>
      </w:r>
      <w:r w:rsidR="00A7129F">
        <w:t>s</w:t>
      </w:r>
      <w:r>
        <w:t xml:space="preserve">.  To help answer </w:t>
      </w:r>
      <w:r w:rsidR="00520321">
        <w:t>this</w:t>
      </w:r>
      <w:r>
        <w:t xml:space="preserve"> question, TURN notes that Rule 49.1</w:t>
      </w:r>
      <w:r>
        <w:noBreakHyphen/>
        <w:t xml:space="preserve">C, Table 6, shows that for poles between 35 feet and 55 feet long, each 5 feet of added </w:t>
      </w:r>
      <w:r w:rsidR="00600E17">
        <w:t xml:space="preserve">pole </w:t>
      </w:r>
      <w:r>
        <w:t xml:space="preserve">length adds </w:t>
      </w:r>
      <w:r w:rsidR="0005012B">
        <w:t xml:space="preserve">just </w:t>
      </w:r>
      <w:r>
        <w:t xml:space="preserve">6 inches </w:t>
      </w:r>
      <w:r w:rsidR="00600E17">
        <w:t>to the</w:t>
      </w:r>
      <w:r>
        <w:t xml:space="preserve"> required pole depth.  </w:t>
      </w:r>
    </w:p>
    <w:p w:rsidR="00805AF5" w:rsidRDefault="00805AF5" w:rsidP="00805AF5">
      <w:pPr>
        <w:pStyle w:val="standard"/>
      </w:pPr>
      <w:r>
        <w:t xml:space="preserve">TURN is not convinced that CMRS </w:t>
      </w:r>
      <w:r w:rsidR="00FE1E76">
        <w:t xml:space="preserve">carriers should be forced to </w:t>
      </w:r>
      <w:r w:rsidR="00600E17">
        <w:t>set</w:t>
      </w:r>
      <w:r w:rsidR="00FE1E76">
        <w:t xml:space="preserve"> a pole six inches deeper</w:t>
      </w:r>
      <w:r w:rsidR="00C95972">
        <w:t xml:space="preserve"> when a 5-foot pole-top extension is added</w:t>
      </w:r>
      <w:r>
        <w:t xml:space="preserve">, as it seems like a lot of </w:t>
      </w:r>
      <w:r w:rsidR="00FE1E76">
        <w:t xml:space="preserve">cost and </w:t>
      </w:r>
      <w:r>
        <w:t xml:space="preserve">effort for little </w:t>
      </w:r>
      <w:r w:rsidR="00600E17">
        <w:t xml:space="preserve">safety </w:t>
      </w:r>
      <w:r>
        <w:t xml:space="preserve">benefit.  TURN </w:t>
      </w:r>
      <w:r w:rsidR="00CB6491">
        <w:t>suggests</w:t>
      </w:r>
      <w:r>
        <w:t xml:space="preserve"> that a better approach </w:t>
      </w:r>
      <w:r>
        <w:lastRenderedPageBreak/>
        <w:t xml:space="preserve">might be to recalculate the pole </w:t>
      </w:r>
      <w:r w:rsidR="0005012B">
        <w:t xml:space="preserve">overturning moment </w:t>
      </w:r>
      <w:r>
        <w:t xml:space="preserve">assuming </w:t>
      </w:r>
      <w:r w:rsidR="00FE1E76">
        <w:t xml:space="preserve">the </w:t>
      </w:r>
      <w:r>
        <w:t>addition of the pole</w:t>
      </w:r>
      <w:r w:rsidR="00A7129F">
        <w:t>-top</w:t>
      </w:r>
      <w:r>
        <w:t xml:space="preserve"> extension, but without increasing the pole burial depth.  TURN does not take a position on </w:t>
      </w:r>
      <w:r w:rsidR="000F198C">
        <w:t xml:space="preserve">the appropriate </w:t>
      </w:r>
      <w:r>
        <w:t>safety factor</w:t>
      </w:r>
      <w:r w:rsidR="0005012B">
        <w:t xml:space="preserve"> for the calculation</w:t>
      </w:r>
      <w:r>
        <w:t xml:space="preserve">.  </w:t>
      </w:r>
    </w:p>
    <w:p w:rsidR="007E26E3" w:rsidRDefault="00AF6DB1" w:rsidP="00B717D8">
      <w:pPr>
        <w:pStyle w:val="standard"/>
      </w:pPr>
      <w:r>
        <w:t xml:space="preserve">SED’s proposed Rule </w:t>
      </w:r>
      <w:r w:rsidR="00C354DA">
        <w:t xml:space="preserve">94.11 is opposed by AT&amp;T Mobility, CCTA, CTIA, JVSV, PCIA, and the Electric IOUs.  </w:t>
      </w:r>
      <w:r w:rsidR="00C95972">
        <w:t xml:space="preserve">The </w:t>
      </w:r>
      <w:r w:rsidR="00520321">
        <w:t>Opponents</w:t>
      </w:r>
      <w:r w:rsidR="000F1AB3">
        <w:t xml:space="preserve"> </w:t>
      </w:r>
      <w:r w:rsidR="00317EB2">
        <w:t>state</w:t>
      </w:r>
      <w:r w:rsidR="000F1AB3">
        <w:t xml:space="preserve"> that SED </w:t>
      </w:r>
      <w:r w:rsidR="00317EB2">
        <w:t xml:space="preserve">did not </w:t>
      </w:r>
      <w:r w:rsidR="000F1AB3">
        <w:t xml:space="preserve">provide any </w:t>
      </w:r>
      <w:r w:rsidR="00E556DB">
        <w:t xml:space="preserve">evidence of </w:t>
      </w:r>
      <w:r w:rsidR="00CB6491">
        <w:t>overturned</w:t>
      </w:r>
      <w:r w:rsidR="00E556DB">
        <w:t xml:space="preserve"> poles or </w:t>
      </w:r>
      <w:r w:rsidR="00FE1E76">
        <w:t>engineering</w:t>
      </w:r>
      <w:r w:rsidR="000F1AB3">
        <w:t xml:space="preserve"> analysis to support its proposed rule.  </w:t>
      </w:r>
      <w:r w:rsidR="00652AB8">
        <w:t>On the other hand</w:t>
      </w:r>
      <w:r w:rsidR="000F1AB3">
        <w:t xml:space="preserve">, several of the Opponents note that </w:t>
      </w:r>
      <w:r w:rsidR="007B4F4A">
        <w:t xml:space="preserve">the </w:t>
      </w:r>
      <w:r w:rsidR="000F1AB3">
        <w:t xml:space="preserve">Electric IOUs attach conductors to </w:t>
      </w:r>
      <w:r w:rsidR="00C95972">
        <w:t xml:space="preserve">pole tops </w:t>
      </w:r>
      <w:r w:rsidR="000F1AB3">
        <w:t xml:space="preserve">using </w:t>
      </w:r>
      <w:r w:rsidR="00587BEE">
        <w:t>insulated hardware</w:t>
      </w:r>
      <w:r w:rsidR="000F1AB3">
        <w:t xml:space="preserve"> that can extend several feet above the pole top.  The Opponents </w:t>
      </w:r>
      <w:r w:rsidR="00C95972">
        <w:t xml:space="preserve">are not aware of any instances where </w:t>
      </w:r>
      <w:r w:rsidR="004F45DD">
        <w:t xml:space="preserve">an </w:t>
      </w:r>
      <w:r w:rsidR="00652AB8">
        <w:t>Electric</w:t>
      </w:r>
      <w:r w:rsidR="00FE1E76">
        <w:t> </w:t>
      </w:r>
      <w:r w:rsidR="00652AB8">
        <w:t>IOU</w:t>
      </w:r>
      <w:r w:rsidR="004F45DD">
        <w:t>’s</w:t>
      </w:r>
      <w:r w:rsidR="00C95972">
        <w:t xml:space="preserve"> </w:t>
      </w:r>
      <w:r w:rsidR="00652AB8">
        <w:t xml:space="preserve">pole-top attachments </w:t>
      </w:r>
      <w:r w:rsidR="00C95972">
        <w:t xml:space="preserve">have </w:t>
      </w:r>
      <w:r w:rsidR="00CB6491">
        <w:t>caused</w:t>
      </w:r>
      <w:r w:rsidR="00600E17">
        <w:t xml:space="preserve"> a pole to overturn</w:t>
      </w:r>
      <w:r w:rsidR="00652AB8">
        <w:t xml:space="preserve">.  </w:t>
      </w:r>
      <w:r w:rsidR="007B4F4A">
        <w:t xml:space="preserve">Because of this, </w:t>
      </w:r>
      <w:r w:rsidR="009D6F96">
        <w:t xml:space="preserve">the Opponents </w:t>
      </w:r>
      <w:r w:rsidR="003840B7">
        <w:t xml:space="preserve">believe </w:t>
      </w:r>
      <w:r w:rsidR="009D6F96">
        <w:t xml:space="preserve">it is unnecessary </w:t>
      </w:r>
      <w:r w:rsidR="007B4F4A">
        <w:t>to require poles with CMRS pole-top attachments to be set deeper than poles with Electric IOU pole-top attachments</w:t>
      </w:r>
      <w:r w:rsidR="009D6F96">
        <w:t xml:space="preserve">.  </w:t>
      </w:r>
    </w:p>
    <w:p w:rsidR="00652AB8" w:rsidRDefault="00C95972" w:rsidP="00B717D8">
      <w:pPr>
        <w:pStyle w:val="standard"/>
      </w:pPr>
      <w:r>
        <w:t>S</w:t>
      </w:r>
      <w:r w:rsidR="009D6F96">
        <w:t>everal Opponents</w:t>
      </w:r>
      <w:r w:rsidR="007E26E3">
        <w:t>, including</w:t>
      </w:r>
      <w:r w:rsidR="009D6F96">
        <w:t xml:space="preserve"> </w:t>
      </w:r>
      <w:r w:rsidR="007B4F4A">
        <w:t>AT&amp;T</w:t>
      </w:r>
      <w:r w:rsidR="007E26E3">
        <w:t> </w:t>
      </w:r>
      <w:r w:rsidR="007B4F4A">
        <w:t>Mobility, CTIA, and PCIA</w:t>
      </w:r>
      <w:r w:rsidR="009D6F96">
        <w:t xml:space="preserve">, </w:t>
      </w:r>
      <w:r w:rsidR="00562191">
        <w:t xml:space="preserve">assert that </w:t>
      </w:r>
      <w:r w:rsidR="00562191" w:rsidRPr="00850192">
        <w:rPr>
          <w:bCs/>
          <w:szCs w:val="24"/>
        </w:rPr>
        <w:t xml:space="preserve">electric </w:t>
      </w:r>
      <w:r w:rsidR="00562191">
        <w:rPr>
          <w:bCs/>
          <w:szCs w:val="24"/>
        </w:rPr>
        <w:t>utility</w:t>
      </w:r>
      <w:r w:rsidR="00562191" w:rsidRPr="00850192">
        <w:rPr>
          <w:bCs/>
          <w:szCs w:val="24"/>
        </w:rPr>
        <w:t xml:space="preserve"> </w:t>
      </w:r>
      <w:r w:rsidR="00562191">
        <w:rPr>
          <w:bCs/>
          <w:szCs w:val="24"/>
        </w:rPr>
        <w:t>pole</w:t>
      </w:r>
      <w:r w:rsidR="00BB2336">
        <w:rPr>
          <w:bCs/>
          <w:szCs w:val="24"/>
        </w:rPr>
        <w:t>-top</w:t>
      </w:r>
      <w:r w:rsidR="00562191">
        <w:rPr>
          <w:bCs/>
          <w:szCs w:val="24"/>
        </w:rPr>
        <w:t xml:space="preserve"> attachments </w:t>
      </w:r>
      <w:r w:rsidR="00562191" w:rsidRPr="00850192">
        <w:rPr>
          <w:bCs/>
          <w:szCs w:val="24"/>
        </w:rPr>
        <w:t xml:space="preserve">impose a much greater </w:t>
      </w:r>
      <w:r w:rsidR="0005012B">
        <w:rPr>
          <w:bCs/>
          <w:szCs w:val="24"/>
        </w:rPr>
        <w:t xml:space="preserve">overturning moment </w:t>
      </w:r>
      <w:r w:rsidR="00562191" w:rsidRPr="00850192">
        <w:rPr>
          <w:bCs/>
          <w:szCs w:val="24"/>
        </w:rPr>
        <w:t xml:space="preserve">than CMRS </w:t>
      </w:r>
      <w:r w:rsidR="00562191">
        <w:rPr>
          <w:bCs/>
          <w:szCs w:val="24"/>
        </w:rPr>
        <w:t>pole</w:t>
      </w:r>
      <w:r w:rsidR="00562191">
        <w:rPr>
          <w:bCs/>
          <w:szCs w:val="24"/>
        </w:rPr>
        <w:noBreakHyphen/>
        <w:t xml:space="preserve">top </w:t>
      </w:r>
      <w:r w:rsidR="00562191" w:rsidRPr="00850192">
        <w:rPr>
          <w:bCs/>
          <w:szCs w:val="24"/>
        </w:rPr>
        <w:t xml:space="preserve">antennas.  </w:t>
      </w:r>
      <w:r w:rsidR="00562191">
        <w:rPr>
          <w:bCs/>
          <w:szCs w:val="24"/>
        </w:rPr>
        <w:t xml:space="preserve">These Opponents argue that it </w:t>
      </w:r>
      <w:r w:rsidR="009D6F96">
        <w:t xml:space="preserve">would be </w:t>
      </w:r>
      <w:r w:rsidR="00562191">
        <w:t xml:space="preserve">unlawfully </w:t>
      </w:r>
      <w:r w:rsidR="009D6F96">
        <w:t xml:space="preserve">discriminatory to </w:t>
      </w:r>
      <w:r>
        <w:t xml:space="preserve">impose a stricter standard for pole-burial depth for </w:t>
      </w:r>
      <w:r w:rsidR="009D6F96">
        <w:t xml:space="preserve">CMRS pole-top attachments </w:t>
      </w:r>
      <w:r w:rsidR="00BB2336">
        <w:t xml:space="preserve">compared to </w:t>
      </w:r>
      <w:r w:rsidR="00536D90">
        <w:t>e</w:t>
      </w:r>
      <w:r w:rsidR="009D6F96">
        <w:t>lectric </w:t>
      </w:r>
      <w:r w:rsidR="00536D90">
        <w:t>utility</w:t>
      </w:r>
      <w:r w:rsidR="009D6F96">
        <w:t xml:space="preserve"> pole-top attachments</w:t>
      </w:r>
      <w:r w:rsidR="00C47A6A" w:rsidRPr="00850192">
        <w:rPr>
          <w:bCs/>
          <w:szCs w:val="24"/>
        </w:rPr>
        <w:t>.</w:t>
      </w:r>
      <w:r w:rsidR="007B4F4A">
        <w:t xml:space="preserve"> </w:t>
      </w:r>
    </w:p>
    <w:p w:rsidR="005C6750" w:rsidRDefault="0005012B" w:rsidP="00B717D8">
      <w:pPr>
        <w:pStyle w:val="standard"/>
      </w:pPr>
      <w:r>
        <w:t>The</w:t>
      </w:r>
      <w:r w:rsidR="009D6F96">
        <w:t xml:space="preserve"> Opponents </w:t>
      </w:r>
      <w:r w:rsidR="0041060E">
        <w:t>assert</w:t>
      </w:r>
      <w:r w:rsidR="009D6F96">
        <w:t xml:space="preserve"> that </w:t>
      </w:r>
      <w:r>
        <w:t xml:space="preserve">SED’s proposed rule is unnecessary </w:t>
      </w:r>
      <w:r w:rsidR="00536D90">
        <w:t xml:space="preserve">from an </w:t>
      </w:r>
      <w:r w:rsidR="003A5917">
        <w:t>engineering</w:t>
      </w:r>
      <w:r w:rsidR="00536D90">
        <w:t xml:space="preserve"> perspective </w:t>
      </w:r>
      <w:r>
        <w:t xml:space="preserve">because a </w:t>
      </w:r>
      <w:r w:rsidR="00D8781C">
        <w:t xml:space="preserve">pole </w:t>
      </w:r>
      <w:r w:rsidR="00536D90">
        <w:t xml:space="preserve">that is </w:t>
      </w:r>
      <w:r>
        <w:t xml:space="preserve">set </w:t>
      </w:r>
      <w:r w:rsidR="00317EB2">
        <w:t>at</w:t>
      </w:r>
      <w:r>
        <w:t xml:space="preserve"> the depth</w:t>
      </w:r>
      <w:r w:rsidR="00D8781C">
        <w:t xml:space="preserve"> specified in </w:t>
      </w:r>
      <w:r w:rsidR="009D6F96">
        <w:t>Rule 49.1</w:t>
      </w:r>
      <w:r w:rsidR="009D6F96">
        <w:noBreakHyphen/>
        <w:t>C, Table 6</w:t>
      </w:r>
      <w:r w:rsidR="00D73DE1">
        <w:t>,</w:t>
      </w:r>
      <w:r w:rsidR="00D8781C">
        <w:t xml:space="preserve"> </w:t>
      </w:r>
      <w:r w:rsidR="005D7202">
        <w:t xml:space="preserve">can safely accept new </w:t>
      </w:r>
      <w:r w:rsidR="00025DB9">
        <w:t>pole-top attachment</w:t>
      </w:r>
      <w:r w:rsidR="005D7202">
        <w:t xml:space="preserve">s, </w:t>
      </w:r>
      <w:r w:rsidR="00025DB9">
        <w:t xml:space="preserve">without resetting the pole to a deeper depth </w:t>
      </w:r>
      <w:r w:rsidR="0041060E">
        <w:t>(</w:t>
      </w:r>
      <w:r w:rsidR="009D6F96">
        <w:t xml:space="preserve">provided </w:t>
      </w:r>
      <w:r w:rsidR="00C47A6A">
        <w:t xml:space="preserve">that no other conditions are present that may warrant a deeper setting, such as </w:t>
      </w:r>
      <w:r w:rsidR="00ED233C">
        <w:t xml:space="preserve">soft soils or </w:t>
      </w:r>
      <w:r w:rsidR="00C47A6A">
        <w:t>unbalanced loads)</w:t>
      </w:r>
      <w:r w:rsidR="009D6F96">
        <w:t xml:space="preserve">.  </w:t>
      </w:r>
      <w:r w:rsidR="00D73DE1">
        <w:t>T</w:t>
      </w:r>
      <w:r w:rsidR="00E44911">
        <w:t>he Opponents explain</w:t>
      </w:r>
      <w:r w:rsidR="00D73DE1">
        <w:t xml:space="preserve"> that</w:t>
      </w:r>
      <w:r w:rsidR="00E44911">
        <w:t xml:space="preserve"> when a pole is first set, the </w:t>
      </w:r>
      <w:r w:rsidR="00200F5F">
        <w:t xml:space="preserve">soil has a </w:t>
      </w:r>
      <w:r>
        <w:t xml:space="preserve">calculated </w:t>
      </w:r>
      <w:r w:rsidR="00141AF7">
        <w:t>capacity</w:t>
      </w:r>
      <w:r w:rsidR="00200F5F">
        <w:t xml:space="preserve"> to resist pole overturning </w:t>
      </w:r>
      <w:r w:rsidR="007967F1">
        <w:t>(overturning moment)</w:t>
      </w:r>
      <w:r w:rsidR="003D077B">
        <w:t xml:space="preserve">.  </w:t>
      </w:r>
      <w:r w:rsidR="00141AF7">
        <w:t>So</w:t>
      </w:r>
      <w:r w:rsidR="00A9215B">
        <w:t xml:space="preserve"> long as </w:t>
      </w:r>
      <w:r w:rsidR="00A9215B">
        <w:lastRenderedPageBreak/>
        <w:t xml:space="preserve">the pole – with all attachments </w:t>
      </w:r>
      <w:r w:rsidR="005C2349">
        <w:t>-</w:t>
      </w:r>
      <w:r w:rsidR="00A9215B">
        <w:t xml:space="preserve">- stays within the </w:t>
      </w:r>
      <w:r w:rsidR="00ED233C">
        <w:t>calculated</w:t>
      </w:r>
      <w:r w:rsidR="00A9215B">
        <w:t xml:space="preserve"> overturning moment, there is no safety hazard</w:t>
      </w:r>
      <w:r w:rsidR="00AF098A">
        <w:t xml:space="preserve">.  </w:t>
      </w:r>
      <w:r w:rsidR="00BB2336">
        <w:t xml:space="preserve">  </w:t>
      </w:r>
    </w:p>
    <w:p w:rsidR="004E5076" w:rsidRDefault="00893651" w:rsidP="000A3BA2">
      <w:pPr>
        <w:pStyle w:val="standard"/>
      </w:pPr>
      <w:r>
        <w:t xml:space="preserve">Several Opponents </w:t>
      </w:r>
      <w:r w:rsidR="00ED233C">
        <w:t>provided</w:t>
      </w:r>
      <w:r w:rsidR="00AF098A">
        <w:t xml:space="preserve"> illustr</w:t>
      </w:r>
      <w:r w:rsidR="004E5076">
        <w:t>a</w:t>
      </w:r>
      <w:r w:rsidR="00AF098A">
        <w:t xml:space="preserve">tive </w:t>
      </w:r>
      <w:r w:rsidR="00CB6491">
        <w:t>calculations</w:t>
      </w:r>
      <w:r w:rsidR="00AF098A">
        <w:t xml:space="preserve"> that purport to show </w:t>
      </w:r>
      <w:r w:rsidR="005C6750">
        <w:t xml:space="preserve">that </w:t>
      </w:r>
      <w:r w:rsidR="005C6750" w:rsidRPr="00F34B23">
        <w:t xml:space="preserve">the </w:t>
      </w:r>
      <w:r w:rsidR="00902820">
        <w:t>setting</w:t>
      </w:r>
      <w:r w:rsidR="005C6750">
        <w:t xml:space="preserve"> </w:t>
      </w:r>
      <w:r w:rsidR="005C6750" w:rsidRPr="00F34B23">
        <w:t xml:space="preserve">depth required by </w:t>
      </w:r>
      <w:r w:rsidR="005C6750">
        <w:t>Rule 49.1</w:t>
      </w:r>
      <w:r w:rsidR="005C6750">
        <w:noBreakHyphen/>
        <w:t xml:space="preserve">C, </w:t>
      </w:r>
      <w:r w:rsidR="005C6750" w:rsidRPr="00F34B23">
        <w:t>Table</w:t>
      </w:r>
      <w:r w:rsidR="005C6750">
        <w:t> </w:t>
      </w:r>
      <w:r w:rsidR="005C6750" w:rsidRPr="00F34B23">
        <w:t>6</w:t>
      </w:r>
      <w:r w:rsidR="005C6750">
        <w:t>,</w:t>
      </w:r>
      <w:r w:rsidR="005C6750" w:rsidRPr="00F34B23">
        <w:t xml:space="preserve"> </w:t>
      </w:r>
      <w:r w:rsidR="005C6750">
        <w:t>is</w:t>
      </w:r>
      <w:r w:rsidR="005C6750" w:rsidRPr="00F34B23">
        <w:t xml:space="preserve"> more than sufficient to </w:t>
      </w:r>
      <w:r w:rsidR="005C6750">
        <w:t xml:space="preserve">prevent </w:t>
      </w:r>
      <w:r w:rsidR="00BB2336">
        <w:t>a</w:t>
      </w:r>
      <w:r w:rsidR="005C6750">
        <w:t xml:space="preserve"> pole from overturning</w:t>
      </w:r>
      <w:r w:rsidR="00ED233C">
        <w:t xml:space="preserve"> </w:t>
      </w:r>
      <w:r w:rsidR="00902820">
        <w:t xml:space="preserve">when </w:t>
      </w:r>
      <w:r w:rsidR="00ED233C">
        <w:t>a pole-top extension is added to the pole</w:t>
      </w:r>
      <w:r w:rsidR="005C6750" w:rsidRPr="00F34B23">
        <w:t xml:space="preserve">. </w:t>
      </w:r>
      <w:r w:rsidR="005C6750">
        <w:t xml:space="preserve"> </w:t>
      </w:r>
      <w:r w:rsidR="00BB2336">
        <w:t>T</w:t>
      </w:r>
      <w:r w:rsidR="00C65BBC">
        <w:t xml:space="preserve">hese same </w:t>
      </w:r>
      <w:r w:rsidR="004E5076">
        <w:t xml:space="preserve">illustrative </w:t>
      </w:r>
      <w:r w:rsidR="00CB6491">
        <w:t>calculations</w:t>
      </w:r>
      <w:r w:rsidR="004E5076">
        <w:t xml:space="preserve"> </w:t>
      </w:r>
      <w:r w:rsidR="00902820">
        <w:t xml:space="preserve">also </w:t>
      </w:r>
      <w:r w:rsidR="00AF3803">
        <w:t xml:space="preserve">purport to </w:t>
      </w:r>
      <w:r w:rsidR="004E5076">
        <w:t xml:space="preserve">show that </w:t>
      </w:r>
      <w:r w:rsidR="00C65BBC">
        <w:t xml:space="preserve">for </w:t>
      </w:r>
      <w:r w:rsidR="004E5076">
        <w:t>poles with pole-top extensions</w:t>
      </w:r>
      <w:r w:rsidR="00C65BBC">
        <w:t>, wind loads</w:t>
      </w:r>
      <w:r w:rsidR="004E5076">
        <w:t xml:space="preserve"> </w:t>
      </w:r>
      <w:r w:rsidR="00902820">
        <w:t>will always</w:t>
      </w:r>
      <w:r w:rsidR="004E5076">
        <w:t xml:space="preserve"> break </w:t>
      </w:r>
      <w:r w:rsidR="00C65BBC">
        <w:t xml:space="preserve">a pole at the ground line before the pole </w:t>
      </w:r>
      <w:r w:rsidR="004E5076">
        <w:t>overturn</w:t>
      </w:r>
      <w:r w:rsidR="00C65BBC">
        <w:t>s</w:t>
      </w:r>
      <w:r w:rsidR="004E5076">
        <w:t>.  Th</w:t>
      </w:r>
      <w:r w:rsidR="00ED233C">
        <w:t>e</w:t>
      </w:r>
      <w:r w:rsidR="00317EB2">
        <w:t xml:space="preserve">se </w:t>
      </w:r>
      <w:r w:rsidR="00ED233C">
        <w:t xml:space="preserve">illustrative </w:t>
      </w:r>
      <w:r w:rsidR="00CB6491">
        <w:t>calculations</w:t>
      </w:r>
      <w:r w:rsidR="00ED233C">
        <w:t xml:space="preserve"> </w:t>
      </w:r>
      <w:r w:rsidR="00317EB2">
        <w:t xml:space="preserve">purportedly </w:t>
      </w:r>
      <w:r w:rsidR="00ED233C">
        <w:t xml:space="preserve">demonstrate that </w:t>
      </w:r>
      <w:r w:rsidR="00317EB2">
        <w:t>there is negligible risk that a pole will overturn</w:t>
      </w:r>
      <w:r w:rsidR="004E5076">
        <w:t xml:space="preserve">, and </w:t>
      </w:r>
      <w:r w:rsidR="00ED233C">
        <w:t xml:space="preserve">that </w:t>
      </w:r>
      <w:r w:rsidR="004E5076">
        <w:t xml:space="preserve">requiring poles to be </w:t>
      </w:r>
      <w:r w:rsidR="00FB0DA7">
        <w:t>set</w:t>
      </w:r>
      <w:r w:rsidR="004E5076">
        <w:t xml:space="preserve"> deeper will not enhance safety to a meaningful degree. </w:t>
      </w:r>
    </w:p>
    <w:p w:rsidR="00AD78FD" w:rsidRDefault="00AD78FD" w:rsidP="00AD78FD">
      <w:pPr>
        <w:pStyle w:val="standard"/>
      </w:pPr>
      <w:r>
        <w:t>CCTA provide</w:t>
      </w:r>
      <w:r w:rsidR="00893651">
        <w:t>d</w:t>
      </w:r>
      <w:r>
        <w:t xml:space="preserve"> tables and graphs that purport to show that </w:t>
      </w:r>
      <w:r w:rsidRPr="00770854">
        <w:t xml:space="preserve">extending the </w:t>
      </w:r>
      <w:r>
        <w:t xml:space="preserve">length of a pole with a pole-top extension actually produces a </w:t>
      </w:r>
      <w:r w:rsidRPr="00770854">
        <w:t xml:space="preserve">slight improvement in the </w:t>
      </w:r>
      <w:r>
        <w:t>pole’s ability to resist overturning</w:t>
      </w:r>
      <w:r w:rsidRPr="00770854">
        <w:t>.</w:t>
      </w:r>
      <w:r w:rsidRPr="00770854" w:rsidDel="0055094A">
        <w:t xml:space="preserve"> </w:t>
      </w:r>
      <w:r>
        <w:t xml:space="preserve"> The reason for this counter</w:t>
      </w:r>
      <w:r w:rsidR="00CB6491">
        <w:t>intuitive</w:t>
      </w:r>
      <w:r>
        <w:t xml:space="preserve"> result, CCTA explains, is that as a pole gets taller, </w:t>
      </w:r>
      <w:r w:rsidR="00642FEC">
        <w:t xml:space="preserve">the increase in the overturning moment is offset by a decrease in the allowed </w:t>
      </w:r>
      <w:r>
        <w:t xml:space="preserve">horizontal </w:t>
      </w:r>
      <w:r w:rsidR="00E00B94">
        <w:t>force</w:t>
      </w:r>
      <w:r>
        <w:t xml:space="preserve"> </w:t>
      </w:r>
      <w:r w:rsidR="00642FEC">
        <w:t>(i.e.,</w:t>
      </w:r>
      <w:r w:rsidR="005C7084">
        <w:t> </w:t>
      </w:r>
      <w:r w:rsidR="00642FEC">
        <w:t xml:space="preserve">design load) </w:t>
      </w:r>
      <w:r w:rsidR="004B6E1F">
        <w:t xml:space="preserve">at the pole top </w:t>
      </w:r>
      <w:r w:rsidR="00642FEC">
        <w:t xml:space="preserve">that </w:t>
      </w:r>
      <w:r w:rsidR="00891D7E">
        <w:t xml:space="preserve">is used to calculate </w:t>
      </w:r>
      <w:r w:rsidR="00642FEC">
        <w:t xml:space="preserve">the </w:t>
      </w:r>
      <w:r w:rsidR="003A5917">
        <w:t>overturning</w:t>
      </w:r>
      <w:r w:rsidR="00642FEC">
        <w:t xml:space="preserve"> moment.  </w:t>
      </w:r>
      <w:r w:rsidR="00891D7E">
        <w:t>At the same time, t</w:t>
      </w:r>
      <w:r w:rsidR="004B6E1F">
        <w:t xml:space="preserve">he decreased </w:t>
      </w:r>
      <w:r w:rsidR="00891D7E">
        <w:t xml:space="preserve">in the allowed </w:t>
      </w:r>
      <w:r w:rsidR="004B6E1F">
        <w:t xml:space="preserve">horizontal force </w:t>
      </w:r>
      <w:r w:rsidR="00891D7E">
        <w:t xml:space="preserve">also reduces the </w:t>
      </w:r>
      <w:r w:rsidR="004B6E1F">
        <w:t xml:space="preserve">shear stress </w:t>
      </w:r>
      <w:r w:rsidR="00891D7E">
        <w:t xml:space="preserve">that contributes to the overturning moment. </w:t>
      </w:r>
    </w:p>
    <w:p w:rsidR="00E32EC5" w:rsidRDefault="00E32EC5" w:rsidP="00E32EC5">
      <w:pPr>
        <w:pStyle w:val="standard"/>
      </w:pPr>
      <w:r>
        <w:t xml:space="preserve">The Electric IOUs note there are methods to cope with the increased overturning </w:t>
      </w:r>
      <w:r w:rsidR="00E00B94">
        <w:t>moment</w:t>
      </w:r>
      <w:r>
        <w:t xml:space="preserve"> caused by </w:t>
      </w:r>
      <w:r w:rsidR="00317EB2">
        <w:t xml:space="preserve">a </w:t>
      </w:r>
      <w:r>
        <w:t xml:space="preserve">pole-top extension besides increasing a pole’s burial depth.  These methods include </w:t>
      </w:r>
      <w:r w:rsidR="00E00B94">
        <w:t xml:space="preserve">adding </w:t>
      </w:r>
      <w:r>
        <w:t>guy</w:t>
      </w:r>
      <w:r w:rsidR="00E00B94">
        <w:t xml:space="preserve"> wires </w:t>
      </w:r>
      <w:r>
        <w:t>and shorte</w:t>
      </w:r>
      <w:r w:rsidR="00E00B94">
        <w:t xml:space="preserve">ning conductor </w:t>
      </w:r>
      <w:r>
        <w:t>spans.  The Electric</w:t>
      </w:r>
      <w:r w:rsidR="00FB0DA7">
        <w:t> </w:t>
      </w:r>
      <w:r>
        <w:t xml:space="preserve">IOUs submit that utilities should not be limited to one solution as would occur under SED’s proposed rule.  </w:t>
      </w:r>
    </w:p>
    <w:p w:rsidR="00A4109D" w:rsidRDefault="00E32EC5" w:rsidP="00B717D8">
      <w:pPr>
        <w:pStyle w:val="standard"/>
      </w:pPr>
      <w:r>
        <w:t>The</w:t>
      </w:r>
      <w:r w:rsidR="00732022">
        <w:t xml:space="preserve"> Opponents </w:t>
      </w:r>
      <w:r>
        <w:t xml:space="preserve">are also concerned </w:t>
      </w:r>
      <w:r w:rsidR="00732022">
        <w:t xml:space="preserve">that </w:t>
      </w:r>
      <w:r w:rsidR="00F74CB3">
        <w:t>re</w:t>
      </w:r>
      <w:r w:rsidR="005B0635">
        <w:noBreakHyphen/>
      </w:r>
      <w:r w:rsidR="00A7129F">
        <w:t>setting</w:t>
      </w:r>
      <w:r w:rsidR="00F74CB3">
        <w:t xml:space="preserve"> </w:t>
      </w:r>
      <w:r w:rsidR="00E556DB">
        <w:t xml:space="preserve">an existing </w:t>
      </w:r>
      <w:r w:rsidR="007B58AD">
        <w:t xml:space="preserve">pole to a deeper depth </w:t>
      </w:r>
      <w:r w:rsidR="00F74CB3">
        <w:t>can cr</w:t>
      </w:r>
      <w:r w:rsidR="007B58AD">
        <w:t>e</w:t>
      </w:r>
      <w:r w:rsidR="00F74CB3">
        <w:t xml:space="preserve">ate its own safety </w:t>
      </w:r>
      <w:r w:rsidR="00FB0DA7">
        <w:t>risks</w:t>
      </w:r>
      <w:r w:rsidR="00F74CB3">
        <w:t xml:space="preserve"> by </w:t>
      </w:r>
      <w:r w:rsidR="007B58AD">
        <w:t>(</w:t>
      </w:r>
      <w:r w:rsidR="00BB2336">
        <w:t>1</w:t>
      </w:r>
      <w:r w:rsidR="007B58AD">
        <w:t>)</w:t>
      </w:r>
      <w:r w:rsidR="005B0635">
        <w:t> </w:t>
      </w:r>
      <w:r w:rsidR="00F74CB3">
        <w:t xml:space="preserve">reducing the ground clearances of </w:t>
      </w:r>
      <w:r w:rsidR="007B58AD">
        <w:t xml:space="preserve">the </w:t>
      </w:r>
      <w:r w:rsidR="00F74CB3">
        <w:t>exi</w:t>
      </w:r>
      <w:r w:rsidR="007B58AD">
        <w:t>s</w:t>
      </w:r>
      <w:r w:rsidR="00F74CB3">
        <w:t xml:space="preserve">ting attachments, and </w:t>
      </w:r>
      <w:r w:rsidR="007B58AD">
        <w:t>(</w:t>
      </w:r>
      <w:r w:rsidR="00BB2336">
        <w:t>2</w:t>
      </w:r>
      <w:r w:rsidR="007B58AD">
        <w:t xml:space="preserve">) resulting in a thinner pole at the </w:t>
      </w:r>
      <w:r w:rsidR="00CB6491">
        <w:lastRenderedPageBreak/>
        <w:t>ground line</w:t>
      </w:r>
      <w:r w:rsidR="007B58AD">
        <w:t xml:space="preserve"> (because </w:t>
      </w:r>
      <w:r w:rsidR="000A3BA2">
        <w:t xml:space="preserve">wood </w:t>
      </w:r>
      <w:r w:rsidR="007B58AD">
        <w:t xml:space="preserve">poles are tapered) with less strength to resist bending </w:t>
      </w:r>
      <w:r w:rsidR="00E00B94">
        <w:t>moments</w:t>
      </w:r>
      <w:r w:rsidR="007B58AD">
        <w:t xml:space="preserve">.  </w:t>
      </w:r>
      <w:r w:rsidR="000D1B23">
        <w:t xml:space="preserve">The Opponents </w:t>
      </w:r>
      <w:r w:rsidR="000C4ACF">
        <w:t>argue</w:t>
      </w:r>
      <w:r w:rsidR="000D1B23">
        <w:t xml:space="preserve"> that SED has not demonstrate</w:t>
      </w:r>
      <w:r w:rsidR="000C4ACF">
        <w:t>d</w:t>
      </w:r>
      <w:r w:rsidR="000D1B23">
        <w:t xml:space="preserve"> that the safety benefits of its proposed rule, if any, exceed the potential safety hazards.</w:t>
      </w:r>
    </w:p>
    <w:p w:rsidR="00F420F3" w:rsidRDefault="00F420F3" w:rsidP="00F420F3">
      <w:pPr>
        <w:pStyle w:val="standard"/>
      </w:pPr>
      <w:r>
        <w:t xml:space="preserve">Finally, the Opponents assert that if SED’s proposal is approved, </w:t>
      </w:r>
      <w:r w:rsidRPr="009748BD">
        <w:t xml:space="preserve">the </w:t>
      </w:r>
      <w:r>
        <w:t xml:space="preserve">cost to install pole-top antennas </w:t>
      </w:r>
      <w:r w:rsidR="00EE3F09">
        <w:t>would</w:t>
      </w:r>
      <w:r>
        <w:t xml:space="preserve"> be prohibitive in many ins</w:t>
      </w:r>
      <w:r w:rsidR="00EE3F09">
        <w:t>t</w:t>
      </w:r>
      <w:r>
        <w:t>ances due to the high cost to re</w:t>
      </w:r>
      <w:r w:rsidR="004F5AEC">
        <w:t>-</w:t>
      </w:r>
      <w:r>
        <w:t xml:space="preserve">set poles deeper.  </w:t>
      </w:r>
      <w:r w:rsidR="00E32EC5">
        <w:t xml:space="preserve">This </w:t>
      </w:r>
      <w:r>
        <w:t xml:space="preserve">would </w:t>
      </w:r>
      <w:r w:rsidR="004F5AEC">
        <w:t xml:space="preserve">frustrate </w:t>
      </w:r>
      <w:r>
        <w:t xml:space="preserve">State and federal polices to encourage investment in wireless </w:t>
      </w:r>
      <w:r w:rsidR="00E32EC5">
        <w:t xml:space="preserve">broadband </w:t>
      </w:r>
      <w:r>
        <w:t xml:space="preserve">infrastructure.  </w:t>
      </w:r>
    </w:p>
    <w:p w:rsidR="00F620C1" w:rsidRDefault="00F620C1" w:rsidP="00A845DC">
      <w:pPr>
        <w:pStyle w:val="Heading5"/>
      </w:pPr>
      <w:bookmarkStart w:id="112" w:name="_Toc436647368"/>
      <w:r>
        <w:t>Proposed Rule 94.3-C(1)</w:t>
      </w:r>
      <w:bookmarkEnd w:id="112"/>
      <w:r>
        <w:t xml:space="preserve">  </w:t>
      </w:r>
    </w:p>
    <w:p w:rsidR="00F736C3" w:rsidRDefault="00F736C3" w:rsidP="00B717D8">
      <w:pPr>
        <w:pStyle w:val="standard"/>
        <w:rPr>
          <w:bCs/>
          <w:szCs w:val="24"/>
        </w:rPr>
      </w:pPr>
      <w:r>
        <w:t xml:space="preserve">PG&amp;E states that GO 95 </w:t>
      </w:r>
      <w:r w:rsidRPr="009534B3">
        <w:rPr>
          <w:bCs/>
          <w:szCs w:val="24"/>
        </w:rPr>
        <w:t>is silent on the treatment of pole</w:t>
      </w:r>
      <w:r w:rsidR="000C71F5">
        <w:rPr>
          <w:bCs/>
          <w:szCs w:val="24"/>
        </w:rPr>
        <w:noBreakHyphen/>
      </w:r>
      <w:r w:rsidRPr="009534B3">
        <w:rPr>
          <w:bCs/>
          <w:szCs w:val="24"/>
        </w:rPr>
        <w:t xml:space="preserve">top extensions as they relate to the setting depth of a pole. </w:t>
      </w:r>
      <w:r>
        <w:rPr>
          <w:bCs/>
          <w:szCs w:val="24"/>
        </w:rPr>
        <w:t xml:space="preserve"> PG&amp;E</w:t>
      </w:r>
      <w:r w:rsidR="00AE022A">
        <w:rPr>
          <w:bCs/>
          <w:szCs w:val="24"/>
        </w:rPr>
        <w:t>’s</w:t>
      </w:r>
      <w:r w:rsidR="00B56FAF">
        <w:rPr>
          <w:bCs/>
          <w:szCs w:val="24"/>
        </w:rPr>
        <w:t xml:space="preserve"> </w:t>
      </w:r>
      <w:r>
        <w:rPr>
          <w:bCs/>
          <w:szCs w:val="24"/>
        </w:rPr>
        <w:t xml:space="preserve">proposed </w:t>
      </w:r>
      <w:r w:rsidR="00B56FAF">
        <w:t xml:space="preserve">Rule 94.3-C(1) </w:t>
      </w:r>
      <w:r w:rsidRPr="009534B3">
        <w:rPr>
          <w:bCs/>
          <w:szCs w:val="24"/>
        </w:rPr>
        <w:t xml:space="preserve">is intended to clarify that </w:t>
      </w:r>
      <w:r w:rsidR="00E32EC5">
        <w:rPr>
          <w:bCs/>
          <w:szCs w:val="24"/>
        </w:rPr>
        <w:t>a</w:t>
      </w:r>
      <w:r w:rsidRPr="009534B3">
        <w:rPr>
          <w:bCs/>
          <w:szCs w:val="24"/>
        </w:rPr>
        <w:t xml:space="preserve"> pole</w:t>
      </w:r>
      <w:r w:rsidR="00FB0DA7">
        <w:rPr>
          <w:bCs/>
          <w:szCs w:val="24"/>
        </w:rPr>
        <w:noBreakHyphen/>
      </w:r>
      <w:r w:rsidRPr="009534B3">
        <w:rPr>
          <w:bCs/>
          <w:szCs w:val="24"/>
        </w:rPr>
        <w:t xml:space="preserve">top </w:t>
      </w:r>
      <w:r w:rsidRPr="00F82B07">
        <w:t>extension</w:t>
      </w:r>
      <w:r w:rsidRPr="009534B3">
        <w:rPr>
          <w:bCs/>
          <w:szCs w:val="24"/>
        </w:rPr>
        <w:t xml:space="preserve"> should not be added to the length of the pole when </w:t>
      </w:r>
      <w:r w:rsidR="004F5AEC">
        <w:rPr>
          <w:bCs/>
          <w:szCs w:val="24"/>
        </w:rPr>
        <w:t>determining</w:t>
      </w:r>
      <w:r w:rsidRPr="009534B3">
        <w:rPr>
          <w:bCs/>
          <w:szCs w:val="24"/>
        </w:rPr>
        <w:t xml:space="preserve"> the setting depth </w:t>
      </w:r>
      <w:r w:rsidR="00E32EC5">
        <w:rPr>
          <w:bCs/>
          <w:szCs w:val="24"/>
        </w:rPr>
        <w:t xml:space="preserve">required by </w:t>
      </w:r>
      <w:r w:rsidRPr="009534B3">
        <w:rPr>
          <w:bCs/>
          <w:szCs w:val="24"/>
        </w:rPr>
        <w:t>Rule</w:t>
      </w:r>
      <w:r w:rsidR="00C21C07">
        <w:rPr>
          <w:bCs/>
          <w:szCs w:val="24"/>
        </w:rPr>
        <w:t> </w:t>
      </w:r>
      <w:r w:rsidRPr="009534B3">
        <w:rPr>
          <w:bCs/>
          <w:szCs w:val="24"/>
        </w:rPr>
        <w:t>49.1</w:t>
      </w:r>
      <w:r w:rsidR="00C21C07">
        <w:rPr>
          <w:bCs/>
          <w:szCs w:val="24"/>
        </w:rPr>
        <w:noBreakHyphen/>
      </w:r>
      <w:r w:rsidRPr="009534B3">
        <w:rPr>
          <w:bCs/>
          <w:szCs w:val="24"/>
        </w:rPr>
        <w:t xml:space="preserve">C. </w:t>
      </w:r>
      <w:r>
        <w:rPr>
          <w:bCs/>
          <w:szCs w:val="24"/>
        </w:rPr>
        <w:t xml:space="preserve"> The proposed rule further </w:t>
      </w:r>
      <w:r w:rsidRPr="009534B3">
        <w:rPr>
          <w:bCs/>
          <w:szCs w:val="24"/>
        </w:rPr>
        <w:t xml:space="preserve">clarifies that the additional </w:t>
      </w:r>
      <w:r w:rsidR="007451F9">
        <w:rPr>
          <w:bCs/>
          <w:szCs w:val="24"/>
        </w:rPr>
        <w:t xml:space="preserve">overturning </w:t>
      </w:r>
      <w:r w:rsidR="006312BC">
        <w:rPr>
          <w:bCs/>
          <w:szCs w:val="24"/>
        </w:rPr>
        <w:t>moment</w:t>
      </w:r>
      <w:r w:rsidRPr="009534B3">
        <w:rPr>
          <w:bCs/>
          <w:szCs w:val="24"/>
        </w:rPr>
        <w:t xml:space="preserve"> </w:t>
      </w:r>
      <w:r w:rsidR="00E32EC5">
        <w:rPr>
          <w:bCs/>
          <w:szCs w:val="24"/>
        </w:rPr>
        <w:t>of a</w:t>
      </w:r>
      <w:r w:rsidRPr="009534B3">
        <w:rPr>
          <w:bCs/>
          <w:szCs w:val="24"/>
        </w:rPr>
        <w:t xml:space="preserve"> pole</w:t>
      </w:r>
      <w:r w:rsidR="00AE022A">
        <w:rPr>
          <w:bCs/>
          <w:szCs w:val="24"/>
        </w:rPr>
        <w:noBreakHyphen/>
      </w:r>
      <w:r w:rsidRPr="009534B3">
        <w:rPr>
          <w:bCs/>
          <w:szCs w:val="24"/>
        </w:rPr>
        <w:t>top</w:t>
      </w:r>
      <w:r w:rsidR="00FB0DA7">
        <w:rPr>
          <w:bCs/>
          <w:szCs w:val="24"/>
        </w:rPr>
        <w:t xml:space="preserve"> </w:t>
      </w:r>
      <w:r w:rsidRPr="009534B3">
        <w:rPr>
          <w:bCs/>
          <w:szCs w:val="24"/>
        </w:rPr>
        <w:t>antenna</w:t>
      </w:r>
      <w:r w:rsidR="004F5AEC">
        <w:rPr>
          <w:bCs/>
          <w:szCs w:val="24"/>
        </w:rPr>
        <w:t xml:space="preserve"> </w:t>
      </w:r>
      <w:r w:rsidRPr="009534B3">
        <w:rPr>
          <w:bCs/>
          <w:szCs w:val="24"/>
        </w:rPr>
        <w:t xml:space="preserve">must be considered to ensure </w:t>
      </w:r>
      <w:r>
        <w:rPr>
          <w:bCs/>
          <w:szCs w:val="24"/>
        </w:rPr>
        <w:t>that</w:t>
      </w:r>
      <w:r w:rsidRPr="009534B3">
        <w:rPr>
          <w:bCs/>
          <w:szCs w:val="24"/>
        </w:rPr>
        <w:t xml:space="preserve"> </w:t>
      </w:r>
      <w:r>
        <w:rPr>
          <w:bCs/>
          <w:szCs w:val="24"/>
        </w:rPr>
        <w:t>the pole does not overturn</w:t>
      </w:r>
      <w:r w:rsidRPr="009534B3">
        <w:rPr>
          <w:bCs/>
          <w:szCs w:val="24"/>
        </w:rPr>
        <w:t>.</w:t>
      </w:r>
    </w:p>
    <w:p w:rsidR="000C71F5" w:rsidRPr="008926C4" w:rsidRDefault="000149D1" w:rsidP="00B717D8">
      <w:pPr>
        <w:pStyle w:val="standard"/>
        <w:rPr>
          <w:szCs w:val="26"/>
        </w:rPr>
      </w:pPr>
      <w:r w:rsidRPr="008926C4">
        <w:rPr>
          <w:bCs/>
          <w:szCs w:val="26"/>
        </w:rPr>
        <w:t xml:space="preserve">PG&amp;E’s proposed rule is supported by CFC, IBEW 1245, SCE, and SDG&amp;E.  </w:t>
      </w:r>
      <w:r w:rsidR="00DD4FC3" w:rsidRPr="008926C4">
        <w:rPr>
          <w:szCs w:val="26"/>
        </w:rPr>
        <w:t xml:space="preserve">SCE and SDG&amp;E support PG&amp;E’s </w:t>
      </w:r>
      <w:r w:rsidR="000C71F5" w:rsidRPr="008926C4">
        <w:rPr>
          <w:szCs w:val="26"/>
        </w:rPr>
        <w:t xml:space="preserve">proposed </w:t>
      </w:r>
      <w:r w:rsidR="00DD4FC3" w:rsidRPr="008926C4">
        <w:rPr>
          <w:szCs w:val="26"/>
        </w:rPr>
        <w:t xml:space="preserve">rule as an alternate to SED’s proposed rule, but SCE and SDG&amp;E prefer that </w:t>
      </w:r>
      <w:r w:rsidR="000C71F5" w:rsidRPr="008926C4">
        <w:rPr>
          <w:szCs w:val="26"/>
        </w:rPr>
        <w:t xml:space="preserve">neither rule be adopted.  </w:t>
      </w:r>
      <w:r w:rsidR="00DD4FC3" w:rsidRPr="008926C4">
        <w:rPr>
          <w:szCs w:val="26"/>
        </w:rPr>
        <w:t xml:space="preserve"> </w:t>
      </w:r>
    </w:p>
    <w:p w:rsidR="00D63A57" w:rsidRDefault="00D63A57" w:rsidP="00B717D8">
      <w:pPr>
        <w:pStyle w:val="standard"/>
      </w:pPr>
      <w:r>
        <w:t xml:space="preserve">TURN takes a neutral position on PG&amp;E’s proposed rule.  </w:t>
      </w:r>
      <w:r w:rsidR="005E1C05">
        <w:t xml:space="preserve">TURN states that PG&amp;E’s proposal </w:t>
      </w:r>
      <w:r w:rsidR="003A5917">
        <w:t>would</w:t>
      </w:r>
      <w:r w:rsidR="005E1C05">
        <w:t xml:space="preserve"> rely on </w:t>
      </w:r>
      <w:r w:rsidR="00FB0DA7">
        <w:t xml:space="preserve">overturning </w:t>
      </w:r>
      <w:r w:rsidR="005E1C05">
        <w:t>calculations instead of forcing utilities to re</w:t>
      </w:r>
      <w:r w:rsidR="004F5AEC">
        <w:t>-</w:t>
      </w:r>
      <w:r w:rsidR="005E1C05">
        <w:t>set poles that have pole</w:t>
      </w:r>
      <w:r w:rsidR="00FB0DA7">
        <w:t>-</w:t>
      </w:r>
      <w:r w:rsidR="005E1C05">
        <w:t xml:space="preserve">top antennas.  In TURN’s opinion, </w:t>
      </w:r>
      <w:r w:rsidR="006312BC">
        <w:t>PG&amp;E’s</w:t>
      </w:r>
      <w:r w:rsidR="005E1C05">
        <w:t xml:space="preserve"> proposed rule is inadequate because the provision that “consideration shall be given” to </w:t>
      </w:r>
      <w:r w:rsidR="00B01592">
        <w:t xml:space="preserve">overturning is </w:t>
      </w:r>
      <w:r w:rsidR="005E1C05">
        <w:t xml:space="preserve">too vague.  If the Commission adopts any rule on this issue, TURN recommends that the adopted rule specify a minimum </w:t>
      </w:r>
      <w:r w:rsidR="00B01592">
        <w:t>safety factor for the overturning moment</w:t>
      </w:r>
      <w:r w:rsidR="005E1C05">
        <w:t xml:space="preserve">.  TURN’s neutral position assumes that the “consideration shall be given” language is </w:t>
      </w:r>
      <w:r w:rsidR="00B01592">
        <w:t xml:space="preserve">revised </w:t>
      </w:r>
      <w:r w:rsidR="005E1C05">
        <w:t>to remove the vagueness.  Otherwise, TURN would oppose PG&amp;E’s proposed rule.</w:t>
      </w:r>
    </w:p>
    <w:p w:rsidR="00D63A57" w:rsidRDefault="00D63A57" w:rsidP="00B717D8">
      <w:pPr>
        <w:pStyle w:val="standard"/>
      </w:pPr>
      <w:r>
        <w:lastRenderedPageBreak/>
        <w:t>The following parties oppose PG&amp;E’s proposed Rule 94.3-C(1):  AT&amp;T Mobility, CCTA, CTIA, J</w:t>
      </w:r>
      <w:r w:rsidR="00B01592">
        <w:t>V</w:t>
      </w:r>
      <w:r>
        <w:t xml:space="preserve">SV, PCIA, and SED.  In general, the Opponents </w:t>
      </w:r>
      <w:r w:rsidR="00B01592">
        <w:t xml:space="preserve">other than SED </w:t>
      </w:r>
      <w:r>
        <w:t xml:space="preserve">assert there is no </w:t>
      </w:r>
      <w:r w:rsidR="00DD4FC3">
        <w:t xml:space="preserve">evidence that pole-top </w:t>
      </w:r>
      <w:r w:rsidR="00F420F3">
        <w:t>attachments</w:t>
      </w:r>
      <w:r w:rsidR="00DD4FC3">
        <w:t xml:space="preserve"> are ca</w:t>
      </w:r>
      <w:r w:rsidR="00B01592">
        <w:t>u</w:t>
      </w:r>
      <w:r w:rsidR="00DD4FC3">
        <w:t>sing poles to overturn</w:t>
      </w:r>
      <w:r>
        <w:t xml:space="preserve">; the “consideration” required by </w:t>
      </w:r>
      <w:r w:rsidR="00E32EC5">
        <w:t>PG&amp;E’s proposed</w:t>
      </w:r>
      <w:r>
        <w:t xml:space="preserve"> rule is</w:t>
      </w:r>
      <w:r w:rsidR="00DD4FC3">
        <w:t xml:space="preserve"> </w:t>
      </w:r>
      <w:r>
        <w:t>undefined</w:t>
      </w:r>
      <w:r w:rsidR="00DD4FC3">
        <w:t xml:space="preserve"> and subject to arbitrary application by pole owners</w:t>
      </w:r>
      <w:r>
        <w:t xml:space="preserve">; and the rule </w:t>
      </w:r>
      <w:r w:rsidR="00E32EC5">
        <w:t>is discriminatory because it wo</w:t>
      </w:r>
      <w:r>
        <w:t xml:space="preserve">uld apply </w:t>
      </w:r>
      <w:r w:rsidR="00BB7BDD">
        <w:t>only to CMRS pole-top attachments</w:t>
      </w:r>
      <w:r>
        <w:t xml:space="preserve">. </w:t>
      </w:r>
      <w:r w:rsidR="00B01592">
        <w:t xml:space="preserve"> SED agrees that PG&amp;E’s proposed rule is too vague.  </w:t>
      </w:r>
    </w:p>
    <w:p w:rsidR="00B8624D" w:rsidRDefault="00B8624D" w:rsidP="00A845DC">
      <w:pPr>
        <w:pStyle w:val="Heading4"/>
      </w:pPr>
      <w:bookmarkStart w:id="113" w:name="_Toc436647369"/>
      <w:r>
        <w:t>Discussion</w:t>
      </w:r>
      <w:bookmarkEnd w:id="113"/>
      <w:r>
        <w:t xml:space="preserve"> </w:t>
      </w:r>
    </w:p>
    <w:p w:rsidR="00B8624D" w:rsidRDefault="00E33616" w:rsidP="00B717D8">
      <w:pPr>
        <w:pStyle w:val="standard"/>
      </w:pPr>
      <w:r>
        <w:t>W</w:t>
      </w:r>
      <w:r w:rsidR="005E1C05">
        <w:t>e</w:t>
      </w:r>
      <w:r>
        <w:t xml:space="preserve"> first address SED’s proposed Rule 9</w:t>
      </w:r>
      <w:r w:rsidR="00D578A6">
        <w:t>4</w:t>
      </w:r>
      <w:r>
        <w:t xml:space="preserve">.11 followed by PG&amp;E’s proposed Rule 94.3-C(1).  In deciding whether to adopt </w:t>
      </w:r>
      <w:r w:rsidR="00DD4BAF">
        <w:t>either</w:t>
      </w:r>
      <w:r>
        <w:t xml:space="preserve"> rule, our primary standard is whether the proposed rule will enhance safety at a reasonable cost.    </w:t>
      </w:r>
    </w:p>
    <w:p w:rsidR="005E1C05" w:rsidRDefault="005E1C05" w:rsidP="00A845DC">
      <w:pPr>
        <w:pStyle w:val="Heading5"/>
      </w:pPr>
      <w:bookmarkStart w:id="114" w:name="_Toc436647370"/>
      <w:r>
        <w:t>Proposed Rule 94.11</w:t>
      </w:r>
      <w:bookmarkEnd w:id="114"/>
      <w:r>
        <w:t xml:space="preserve"> </w:t>
      </w:r>
    </w:p>
    <w:p w:rsidR="00B8624D" w:rsidRDefault="0058772C" w:rsidP="00B717D8">
      <w:pPr>
        <w:pStyle w:val="standard"/>
      </w:pPr>
      <w:r>
        <w:t xml:space="preserve">Rule 49.1-C requires poles embedded in </w:t>
      </w:r>
      <w:r w:rsidR="00D76703">
        <w:t xml:space="preserve">firm </w:t>
      </w:r>
      <w:r>
        <w:t xml:space="preserve">soil </w:t>
      </w:r>
      <w:r w:rsidR="00D76703">
        <w:t xml:space="preserve">to be set </w:t>
      </w:r>
      <w:r>
        <w:t xml:space="preserve">at the depths listed in Table 6.  </w:t>
      </w:r>
      <w:r w:rsidR="005E1C05">
        <w:t>SED’s proposed Rule</w:t>
      </w:r>
      <w:r>
        <w:t> </w:t>
      </w:r>
      <w:r w:rsidR="005E1C05">
        <w:t xml:space="preserve">94.11 would require </w:t>
      </w:r>
      <w:r w:rsidR="00FB0DA7">
        <w:t xml:space="preserve">an antenna’s </w:t>
      </w:r>
      <w:r w:rsidR="005E1C05">
        <w:t xml:space="preserve">pole-top extension </w:t>
      </w:r>
      <w:r w:rsidR="00DD31A6">
        <w:t xml:space="preserve">to </w:t>
      </w:r>
      <w:r w:rsidR="005E1C05">
        <w:t xml:space="preserve">be added to the length of the </w:t>
      </w:r>
      <w:r w:rsidR="00E1205F">
        <w:t>host</w:t>
      </w:r>
      <w:r w:rsidR="005E1C05">
        <w:t xml:space="preserve"> pole when determining the pole’s </w:t>
      </w:r>
      <w:r w:rsidR="00FB0DA7">
        <w:t>setting</w:t>
      </w:r>
      <w:r w:rsidR="005E1C05">
        <w:t xml:space="preserve"> depth required by Rule </w:t>
      </w:r>
      <w:r w:rsidR="00D578A6">
        <w:t>49</w:t>
      </w:r>
      <w:r w:rsidR="005E1C05">
        <w:t>.1</w:t>
      </w:r>
      <w:r>
        <w:noBreakHyphen/>
      </w:r>
      <w:r w:rsidR="005E1C05">
        <w:t>C and Table</w:t>
      </w:r>
      <w:r w:rsidR="00E1205F">
        <w:t> </w:t>
      </w:r>
      <w:r w:rsidR="005E1C05">
        <w:t xml:space="preserve">6.  </w:t>
      </w:r>
      <w:r w:rsidR="00E1205F">
        <w:t xml:space="preserve">The premise of </w:t>
      </w:r>
      <w:r w:rsidR="005E1C05">
        <w:t xml:space="preserve">SED’s proposed rule </w:t>
      </w:r>
      <w:r w:rsidR="00E1205F">
        <w:t>is that</w:t>
      </w:r>
      <w:r w:rsidR="005E1C05">
        <w:t xml:space="preserve"> the depth</w:t>
      </w:r>
      <w:r w:rsidR="00D578A6">
        <w:t>s specified in Table</w:t>
      </w:r>
      <w:r w:rsidR="00E1205F">
        <w:t> </w:t>
      </w:r>
      <w:r w:rsidR="00D578A6">
        <w:t xml:space="preserve">6 </w:t>
      </w:r>
      <w:r w:rsidR="00E1205F">
        <w:t xml:space="preserve">will not adequately protect against pole overturning </w:t>
      </w:r>
      <w:r w:rsidR="00D578A6">
        <w:t xml:space="preserve">when a pole-top extension is attached to a pole.  </w:t>
      </w:r>
    </w:p>
    <w:p w:rsidR="00E33616" w:rsidRDefault="00FC0786" w:rsidP="00B717D8">
      <w:pPr>
        <w:pStyle w:val="standard"/>
      </w:pPr>
      <w:r>
        <w:t xml:space="preserve">To assess </w:t>
      </w:r>
      <w:r w:rsidR="00D30FB2">
        <w:t xml:space="preserve">the </w:t>
      </w:r>
      <w:r>
        <w:t>merit</w:t>
      </w:r>
      <w:r w:rsidR="00DA66D1">
        <w:t>s</w:t>
      </w:r>
      <w:r>
        <w:t xml:space="preserve"> of SED’s </w:t>
      </w:r>
      <w:r w:rsidR="00D578A6">
        <w:t xml:space="preserve">proposed rule, </w:t>
      </w:r>
      <w:r w:rsidR="0058772C">
        <w:t xml:space="preserve">we </w:t>
      </w:r>
      <w:r w:rsidR="00FB0DA7">
        <w:t xml:space="preserve">have prepared </w:t>
      </w:r>
      <w:r>
        <w:t xml:space="preserve">the following table </w:t>
      </w:r>
      <w:r w:rsidR="0058772C">
        <w:t xml:space="preserve">that </w:t>
      </w:r>
      <w:r>
        <w:t xml:space="preserve">shows </w:t>
      </w:r>
      <w:r w:rsidR="00AE022A">
        <w:t xml:space="preserve">an illustrative calculation of </w:t>
      </w:r>
      <w:r>
        <w:t>the overturning moment</w:t>
      </w:r>
      <w:r w:rsidR="002B41D8">
        <w:t>s</w:t>
      </w:r>
      <w:r>
        <w:t xml:space="preserve"> of a pole </w:t>
      </w:r>
      <w:r w:rsidR="00D30FB2">
        <w:t xml:space="preserve">before and after a pole-top extension is </w:t>
      </w:r>
      <w:r w:rsidR="00674849">
        <w:t>attached</w:t>
      </w:r>
      <w:r w:rsidR="00D30FB2">
        <w:t xml:space="preserve"> to the pole</w:t>
      </w:r>
      <w:r w:rsidR="0058772C">
        <w:t xml:space="preserve">: </w:t>
      </w:r>
      <w:r>
        <w:t xml:space="preserve"> </w:t>
      </w:r>
    </w:p>
    <w:p w:rsidR="00A815FE" w:rsidRDefault="00A815FE" w:rsidP="00A815FE">
      <w:pPr>
        <w:pStyle w:val="standard"/>
        <w:spacing w:line="240" w:lineRule="auto"/>
      </w:pPr>
    </w:p>
    <w:tbl>
      <w:tblPr>
        <w:tblStyle w:val="TableGrid"/>
        <w:tblW w:w="9950" w:type="dxa"/>
        <w:jc w:val="center"/>
        <w:tblLook w:val="04A0" w:firstRow="1" w:lastRow="0" w:firstColumn="1" w:lastColumn="0" w:noHBand="0" w:noVBand="1"/>
      </w:tblPr>
      <w:tblGrid>
        <w:gridCol w:w="765"/>
        <w:gridCol w:w="5291"/>
        <w:gridCol w:w="1905"/>
        <w:gridCol w:w="1989"/>
      </w:tblGrid>
      <w:tr w:rsidR="00DF496C" w:rsidRPr="00DF496C" w:rsidTr="001F42A0">
        <w:trPr>
          <w:cantSplit/>
          <w:tblHeader/>
          <w:jc w:val="center"/>
        </w:trPr>
        <w:tc>
          <w:tcPr>
            <w:tcW w:w="765" w:type="dxa"/>
            <w:tcBorders>
              <w:bottom w:val="single" w:sz="4" w:space="0" w:color="auto"/>
            </w:tcBorders>
            <w:shd w:val="clear" w:color="auto" w:fill="F2F2F2" w:themeFill="background1" w:themeFillShade="F2"/>
            <w:vAlign w:val="center"/>
          </w:tcPr>
          <w:p w:rsidR="00DF496C" w:rsidRPr="00DF496C" w:rsidRDefault="00DF496C" w:rsidP="005C0570">
            <w:pPr>
              <w:pStyle w:val="standard"/>
              <w:keepNext/>
              <w:spacing w:before="40" w:after="40" w:line="240" w:lineRule="auto"/>
              <w:ind w:firstLine="0"/>
              <w:jc w:val="center"/>
              <w:rPr>
                <w:b/>
              </w:rPr>
            </w:pPr>
          </w:p>
        </w:tc>
        <w:tc>
          <w:tcPr>
            <w:tcW w:w="9185" w:type="dxa"/>
            <w:gridSpan w:val="3"/>
            <w:tcBorders>
              <w:bottom w:val="single" w:sz="4" w:space="0" w:color="auto"/>
            </w:tcBorders>
            <w:shd w:val="clear" w:color="auto" w:fill="F2F2F2" w:themeFill="background1" w:themeFillShade="F2"/>
            <w:vAlign w:val="center"/>
          </w:tcPr>
          <w:p w:rsidR="00975FD2" w:rsidRPr="00DD4BAF" w:rsidRDefault="00AE022A" w:rsidP="00DD4BAF">
            <w:pPr>
              <w:pStyle w:val="standard"/>
              <w:keepNext/>
              <w:spacing w:before="120" w:after="80" w:line="240" w:lineRule="auto"/>
              <w:ind w:firstLine="0"/>
              <w:jc w:val="center"/>
              <w:rPr>
                <w:rFonts w:ascii="Helvetica" w:hAnsi="Helvetica"/>
                <w:b/>
                <w:u w:val="single"/>
              </w:rPr>
            </w:pPr>
            <w:r>
              <w:rPr>
                <w:rFonts w:ascii="Helvetica" w:hAnsi="Helvetica"/>
                <w:b/>
                <w:u w:val="single"/>
              </w:rPr>
              <w:t xml:space="preserve">Pole </w:t>
            </w:r>
            <w:r w:rsidR="00975FD2" w:rsidRPr="00DD4BAF">
              <w:rPr>
                <w:rFonts w:ascii="Helvetica" w:hAnsi="Helvetica"/>
                <w:b/>
                <w:u w:val="single"/>
              </w:rPr>
              <w:t xml:space="preserve">Overturning </w:t>
            </w:r>
            <w:r w:rsidR="00067C04">
              <w:rPr>
                <w:rFonts w:ascii="Helvetica" w:hAnsi="Helvetica"/>
                <w:b/>
                <w:u w:val="single"/>
              </w:rPr>
              <w:t xml:space="preserve">Moment </w:t>
            </w:r>
            <w:r w:rsidR="00975FD2" w:rsidRPr="00DD4BAF">
              <w:rPr>
                <w:rFonts w:ascii="Helvetica" w:hAnsi="Helvetica"/>
                <w:b/>
                <w:u w:val="single"/>
              </w:rPr>
              <w:t>and Bending Moment</w:t>
            </w:r>
          </w:p>
          <w:p w:rsidR="00DF496C" w:rsidRDefault="00DF496C" w:rsidP="005C0570">
            <w:pPr>
              <w:pStyle w:val="standard"/>
              <w:keepNext/>
              <w:spacing w:before="40" w:after="40" w:line="240" w:lineRule="auto"/>
              <w:ind w:firstLine="0"/>
              <w:jc w:val="center"/>
              <w:rPr>
                <w:b/>
              </w:rPr>
            </w:pPr>
            <w:r w:rsidRPr="00DF496C">
              <w:rPr>
                <w:b/>
              </w:rPr>
              <w:t xml:space="preserve">45-Foot Wood Pole </w:t>
            </w:r>
            <w:r w:rsidR="00F420F3" w:rsidRPr="00DF496C">
              <w:rPr>
                <w:b/>
              </w:rPr>
              <w:t>Embedded</w:t>
            </w:r>
            <w:r w:rsidRPr="00DF496C">
              <w:rPr>
                <w:b/>
              </w:rPr>
              <w:t xml:space="preserve"> 6 Feet</w:t>
            </w:r>
            <w:r w:rsidR="0094551C">
              <w:rPr>
                <w:b/>
              </w:rPr>
              <w:t xml:space="preserve"> in Soil per Rule 49.1-C, Table</w:t>
            </w:r>
            <w:r w:rsidR="004F5AEC">
              <w:rPr>
                <w:b/>
              </w:rPr>
              <w:t> </w:t>
            </w:r>
            <w:r w:rsidR="0094551C">
              <w:rPr>
                <w:b/>
              </w:rPr>
              <w:t>6</w:t>
            </w:r>
          </w:p>
          <w:p w:rsidR="00C05AB6" w:rsidRPr="00DF496C" w:rsidRDefault="00C05AB6" w:rsidP="001F42A0">
            <w:pPr>
              <w:pStyle w:val="standard"/>
              <w:keepNext/>
              <w:spacing w:before="40" w:after="40" w:line="240" w:lineRule="auto"/>
              <w:ind w:firstLine="0"/>
              <w:jc w:val="center"/>
              <w:rPr>
                <w:b/>
              </w:rPr>
            </w:pPr>
            <w:r>
              <w:rPr>
                <w:b/>
              </w:rPr>
              <w:t>(Class 4</w:t>
            </w:r>
            <w:r w:rsidR="00A56620">
              <w:rPr>
                <w:b/>
              </w:rPr>
              <w:t>, Douglas Fir Pole</w:t>
            </w:r>
            <w:r>
              <w:rPr>
                <w:b/>
              </w:rPr>
              <w:t>)</w:t>
            </w:r>
          </w:p>
        </w:tc>
      </w:tr>
      <w:tr w:rsidR="00DF496C" w:rsidRPr="00DF496C" w:rsidTr="001F42A0">
        <w:trPr>
          <w:cantSplit/>
          <w:tblHeader/>
          <w:jc w:val="center"/>
        </w:trPr>
        <w:tc>
          <w:tcPr>
            <w:tcW w:w="765" w:type="dxa"/>
            <w:shd w:val="pct5" w:color="auto" w:fill="auto"/>
            <w:vAlign w:val="bottom"/>
          </w:tcPr>
          <w:p w:rsidR="00DF496C" w:rsidRPr="00DF496C" w:rsidRDefault="004F5AEC" w:rsidP="005C0570">
            <w:pPr>
              <w:pStyle w:val="standard"/>
              <w:keepNext/>
              <w:spacing w:before="40" w:after="40" w:line="240" w:lineRule="auto"/>
              <w:ind w:firstLine="0"/>
              <w:jc w:val="center"/>
              <w:rPr>
                <w:b/>
              </w:rPr>
            </w:pPr>
            <w:r>
              <w:rPr>
                <w:b/>
              </w:rPr>
              <w:t>Row</w:t>
            </w:r>
          </w:p>
        </w:tc>
        <w:tc>
          <w:tcPr>
            <w:tcW w:w="5291" w:type="dxa"/>
            <w:shd w:val="pct5" w:color="auto" w:fill="auto"/>
            <w:vAlign w:val="bottom"/>
          </w:tcPr>
          <w:p w:rsidR="00DF496C" w:rsidRPr="00DF496C" w:rsidRDefault="0014030D" w:rsidP="0014030D">
            <w:pPr>
              <w:pStyle w:val="standard"/>
              <w:keepNext/>
              <w:spacing w:before="40" w:after="40" w:line="240" w:lineRule="auto"/>
              <w:ind w:firstLine="0"/>
              <w:jc w:val="center"/>
              <w:rPr>
                <w:b/>
              </w:rPr>
            </w:pPr>
            <w:r>
              <w:rPr>
                <w:b/>
              </w:rPr>
              <w:t>Forces and Moments</w:t>
            </w:r>
          </w:p>
        </w:tc>
        <w:tc>
          <w:tcPr>
            <w:tcW w:w="1905" w:type="dxa"/>
            <w:shd w:val="pct5" w:color="auto" w:fill="auto"/>
            <w:vAlign w:val="bottom"/>
          </w:tcPr>
          <w:p w:rsidR="00DF496C" w:rsidRPr="00DF496C" w:rsidRDefault="00DF496C" w:rsidP="005C0570">
            <w:pPr>
              <w:pStyle w:val="standard"/>
              <w:keepNext/>
              <w:spacing w:before="40" w:after="40" w:line="240" w:lineRule="auto"/>
              <w:ind w:firstLine="0"/>
              <w:jc w:val="center"/>
              <w:rPr>
                <w:b/>
              </w:rPr>
            </w:pPr>
            <w:r w:rsidRPr="00DF496C">
              <w:rPr>
                <w:b/>
              </w:rPr>
              <w:t>Without Pole</w:t>
            </w:r>
            <w:r w:rsidRPr="00DF496C">
              <w:rPr>
                <w:b/>
              </w:rPr>
              <w:noBreakHyphen/>
              <w:t>Top Extension</w:t>
            </w:r>
          </w:p>
        </w:tc>
        <w:tc>
          <w:tcPr>
            <w:tcW w:w="1989" w:type="dxa"/>
            <w:shd w:val="pct5" w:color="auto" w:fill="auto"/>
            <w:vAlign w:val="bottom"/>
          </w:tcPr>
          <w:p w:rsidR="00DF496C" w:rsidRPr="00DF496C" w:rsidRDefault="00DF496C" w:rsidP="001F42A0">
            <w:pPr>
              <w:pStyle w:val="standard"/>
              <w:keepNext/>
              <w:spacing w:before="40" w:after="40" w:line="240" w:lineRule="auto"/>
              <w:ind w:firstLine="0"/>
              <w:jc w:val="center"/>
              <w:rPr>
                <w:b/>
              </w:rPr>
            </w:pPr>
            <w:r w:rsidRPr="00DF496C">
              <w:rPr>
                <w:b/>
              </w:rPr>
              <w:t>With 7-Foot Pole</w:t>
            </w:r>
            <w:r w:rsidRPr="00DF496C">
              <w:rPr>
                <w:b/>
              </w:rPr>
              <w:noBreakHyphen/>
              <w:t>Top</w:t>
            </w:r>
            <w:r w:rsidR="001F42A0">
              <w:rPr>
                <w:b/>
              </w:rPr>
              <w:t xml:space="preserve"> </w:t>
            </w:r>
            <w:r w:rsidRPr="00DF496C">
              <w:rPr>
                <w:b/>
              </w:rPr>
              <w:t>Extension</w:t>
            </w:r>
          </w:p>
        </w:tc>
      </w:tr>
      <w:tr w:rsidR="00DF496C" w:rsidTr="001F42A0">
        <w:trPr>
          <w:cantSplit/>
          <w:jc w:val="center"/>
        </w:trPr>
        <w:tc>
          <w:tcPr>
            <w:tcW w:w="765" w:type="dxa"/>
            <w:vAlign w:val="center"/>
          </w:tcPr>
          <w:p w:rsidR="00DF496C" w:rsidRDefault="00A815FE" w:rsidP="0014030D">
            <w:pPr>
              <w:pStyle w:val="standard"/>
              <w:keepNext/>
              <w:spacing w:before="40" w:after="40" w:line="240" w:lineRule="auto"/>
              <w:ind w:firstLine="0"/>
              <w:jc w:val="center"/>
            </w:pPr>
            <w:r>
              <w:t>1</w:t>
            </w:r>
          </w:p>
        </w:tc>
        <w:tc>
          <w:tcPr>
            <w:tcW w:w="5291" w:type="dxa"/>
            <w:vAlign w:val="center"/>
          </w:tcPr>
          <w:p w:rsidR="0014030D" w:rsidRDefault="00DF496C" w:rsidP="0014030D">
            <w:pPr>
              <w:pStyle w:val="standard"/>
              <w:keepNext/>
              <w:spacing w:before="40" w:line="240" w:lineRule="auto"/>
              <w:ind w:firstLine="0"/>
            </w:pPr>
            <w:r w:rsidRPr="0014030D">
              <w:t>Overturning </w:t>
            </w:r>
            <w:r w:rsidR="0014030D" w:rsidRPr="0014030D">
              <w:t>Force 2 Feet Below Pole Top</w:t>
            </w:r>
            <w:r>
              <w:t xml:space="preserve">: </w:t>
            </w:r>
          </w:p>
          <w:p w:rsidR="005C0570" w:rsidRDefault="0014030D" w:rsidP="00C114B0">
            <w:pPr>
              <w:pStyle w:val="standard"/>
              <w:keepNext/>
              <w:numPr>
                <w:ilvl w:val="0"/>
                <w:numId w:val="19"/>
              </w:numPr>
              <w:spacing w:line="240" w:lineRule="auto"/>
              <w:ind w:left="216" w:hanging="187"/>
            </w:pPr>
            <w:r>
              <w:t>RUS </w:t>
            </w:r>
            <w:r w:rsidRPr="0014030D">
              <w:rPr>
                <w:sz w:val="24"/>
                <w:szCs w:val="24"/>
              </w:rPr>
              <w:t>Equation</w:t>
            </w:r>
            <w:r>
              <w:t xml:space="preserve"> 12.1 </w:t>
            </w:r>
            <w:r w:rsidR="00DF496C">
              <w:t xml:space="preserve"> </w:t>
            </w:r>
          </w:p>
          <w:p w:rsidR="005C0570" w:rsidRPr="005C0570" w:rsidRDefault="00DF496C" w:rsidP="00C114B0">
            <w:pPr>
              <w:pStyle w:val="standard"/>
              <w:keepNext/>
              <w:numPr>
                <w:ilvl w:val="0"/>
                <w:numId w:val="19"/>
              </w:numPr>
              <w:spacing w:line="240" w:lineRule="auto"/>
              <w:ind w:left="216" w:hanging="187"/>
            </w:pPr>
            <w:r w:rsidRPr="005C0570">
              <w:rPr>
                <w:sz w:val="24"/>
                <w:szCs w:val="24"/>
              </w:rPr>
              <w:t>Soil</w:t>
            </w:r>
            <w:r w:rsidR="005C0570" w:rsidRPr="005C0570">
              <w:rPr>
                <w:sz w:val="24"/>
                <w:szCs w:val="24"/>
              </w:rPr>
              <w:t> </w:t>
            </w:r>
            <w:r w:rsidRPr="005C0570">
              <w:rPr>
                <w:sz w:val="24"/>
                <w:szCs w:val="24"/>
              </w:rPr>
              <w:t>Condition = Average.</w:t>
            </w:r>
          </w:p>
          <w:p w:rsidR="00DF496C" w:rsidRDefault="00DF496C" w:rsidP="00C114B0">
            <w:pPr>
              <w:pStyle w:val="standard"/>
              <w:keepNext/>
              <w:numPr>
                <w:ilvl w:val="0"/>
                <w:numId w:val="19"/>
              </w:numPr>
              <w:spacing w:after="40" w:line="240" w:lineRule="auto"/>
              <w:ind w:left="216" w:hanging="187"/>
            </w:pPr>
            <w:r w:rsidRPr="005C0570">
              <w:rPr>
                <w:sz w:val="24"/>
                <w:szCs w:val="24"/>
              </w:rPr>
              <w:t>Soil</w:t>
            </w:r>
            <w:r w:rsidR="005C0570" w:rsidRPr="005C0570">
              <w:rPr>
                <w:sz w:val="24"/>
                <w:szCs w:val="24"/>
              </w:rPr>
              <w:t> </w:t>
            </w:r>
            <w:r w:rsidRPr="005C0570">
              <w:rPr>
                <w:sz w:val="24"/>
                <w:szCs w:val="24"/>
              </w:rPr>
              <w:t>Constant = 70</w:t>
            </w:r>
          </w:p>
        </w:tc>
        <w:tc>
          <w:tcPr>
            <w:tcW w:w="1905" w:type="dxa"/>
            <w:vAlign w:val="center"/>
          </w:tcPr>
          <w:p w:rsidR="00DF496C" w:rsidRDefault="00BA6904" w:rsidP="0014030D">
            <w:pPr>
              <w:pStyle w:val="standard"/>
              <w:keepNext/>
              <w:spacing w:before="40" w:after="40" w:line="240" w:lineRule="auto"/>
              <w:ind w:firstLine="0"/>
              <w:jc w:val="center"/>
            </w:pPr>
            <w:r>
              <w:t>1,485</w:t>
            </w:r>
          </w:p>
          <w:p w:rsidR="00BA6904" w:rsidRDefault="00BA6904" w:rsidP="0014030D">
            <w:pPr>
              <w:pStyle w:val="standard"/>
              <w:keepNext/>
              <w:spacing w:before="40" w:after="40" w:line="240" w:lineRule="auto"/>
              <w:ind w:firstLine="0"/>
              <w:jc w:val="center"/>
            </w:pPr>
            <w:r>
              <w:t>Pounds</w:t>
            </w:r>
          </w:p>
        </w:tc>
        <w:tc>
          <w:tcPr>
            <w:tcW w:w="1989" w:type="dxa"/>
            <w:vAlign w:val="center"/>
          </w:tcPr>
          <w:p w:rsidR="00DF496C" w:rsidRDefault="00BA6904" w:rsidP="0014030D">
            <w:pPr>
              <w:pStyle w:val="standard"/>
              <w:keepNext/>
              <w:spacing w:before="40" w:after="40" w:line="240" w:lineRule="auto"/>
              <w:ind w:firstLine="0"/>
              <w:jc w:val="center"/>
            </w:pPr>
            <w:r>
              <w:t>1,259</w:t>
            </w:r>
          </w:p>
          <w:p w:rsidR="00BA6904" w:rsidRDefault="00BA6904" w:rsidP="0014030D">
            <w:pPr>
              <w:pStyle w:val="standard"/>
              <w:keepNext/>
              <w:spacing w:before="40" w:after="40" w:line="240" w:lineRule="auto"/>
              <w:ind w:firstLine="0"/>
              <w:jc w:val="center"/>
            </w:pPr>
            <w:r>
              <w:t>Pounds</w:t>
            </w:r>
          </w:p>
        </w:tc>
      </w:tr>
      <w:tr w:rsidR="00DF496C" w:rsidTr="001F42A0">
        <w:trPr>
          <w:cantSplit/>
          <w:jc w:val="center"/>
        </w:trPr>
        <w:tc>
          <w:tcPr>
            <w:tcW w:w="765" w:type="dxa"/>
            <w:vAlign w:val="center"/>
          </w:tcPr>
          <w:p w:rsidR="00DF496C" w:rsidRDefault="00A815FE" w:rsidP="00DF496C">
            <w:pPr>
              <w:pStyle w:val="standard"/>
              <w:spacing w:before="40" w:after="40" w:line="240" w:lineRule="auto"/>
              <w:ind w:firstLine="0"/>
              <w:jc w:val="center"/>
            </w:pPr>
            <w:r>
              <w:t>2</w:t>
            </w:r>
          </w:p>
        </w:tc>
        <w:tc>
          <w:tcPr>
            <w:tcW w:w="5291" w:type="dxa"/>
            <w:vAlign w:val="center"/>
          </w:tcPr>
          <w:p w:rsidR="00FC4CE7" w:rsidRDefault="005C0570" w:rsidP="001F42A0">
            <w:pPr>
              <w:pStyle w:val="standard"/>
              <w:spacing w:before="40" w:after="40" w:line="240" w:lineRule="auto"/>
              <w:ind w:firstLine="0"/>
            </w:pPr>
            <w:r>
              <w:t>Overturning Moment at Ground Line</w:t>
            </w:r>
            <w:r w:rsidR="00FC4CE7">
              <w:t xml:space="preserve"> </w:t>
            </w:r>
            <w:r w:rsidR="00FC4CE7" w:rsidRPr="00FC4CE7">
              <w:rPr>
                <w:sz w:val="24"/>
                <w:szCs w:val="24"/>
              </w:rPr>
              <w:t>(Safety</w:t>
            </w:r>
            <w:r w:rsidR="001F42A0">
              <w:rPr>
                <w:sz w:val="24"/>
                <w:szCs w:val="24"/>
              </w:rPr>
              <w:t> </w:t>
            </w:r>
            <w:r w:rsidR="00FC4CE7" w:rsidRPr="00FC4CE7">
              <w:rPr>
                <w:sz w:val="24"/>
                <w:szCs w:val="24"/>
              </w:rPr>
              <w:t>Factor = 1.0)</w:t>
            </w:r>
            <w:r w:rsidR="00FC4CE7">
              <w:rPr>
                <w:sz w:val="24"/>
                <w:szCs w:val="24"/>
              </w:rPr>
              <w:t xml:space="preserve"> </w:t>
            </w:r>
          </w:p>
        </w:tc>
        <w:tc>
          <w:tcPr>
            <w:tcW w:w="1905" w:type="dxa"/>
            <w:vAlign w:val="center"/>
          </w:tcPr>
          <w:p w:rsidR="00DF496C" w:rsidRDefault="00837690" w:rsidP="00775E2E">
            <w:pPr>
              <w:pStyle w:val="standard"/>
              <w:spacing w:before="40" w:after="40" w:line="240" w:lineRule="auto"/>
              <w:ind w:firstLine="0"/>
              <w:jc w:val="center"/>
            </w:pPr>
            <w:r>
              <w:t>54,953</w:t>
            </w:r>
          </w:p>
          <w:p w:rsidR="005A23E3" w:rsidRDefault="005A23E3" w:rsidP="00775E2E">
            <w:pPr>
              <w:pStyle w:val="standard"/>
              <w:spacing w:before="40" w:after="40" w:line="240" w:lineRule="auto"/>
              <w:ind w:firstLine="0"/>
              <w:jc w:val="center"/>
            </w:pPr>
            <w:r>
              <w:t>Foot Pounds</w:t>
            </w:r>
          </w:p>
        </w:tc>
        <w:tc>
          <w:tcPr>
            <w:tcW w:w="1989" w:type="dxa"/>
            <w:vAlign w:val="center"/>
          </w:tcPr>
          <w:p w:rsidR="00DF496C" w:rsidRDefault="001F41BE" w:rsidP="00DD2183">
            <w:pPr>
              <w:pStyle w:val="standard"/>
              <w:spacing w:before="40" w:after="40" w:line="240" w:lineRule="auto"/>
              <w:ind w:firstLine="0"/>
              <w:jc w:val="center"/>
            </w:pPr>
            <w:r>
              <w:t>5</w:t>
            </w:r>
            <w:r w:rsidR="00DD2183">
              <w:t>5</w:t>
            </w:r>
            <w:r>
              <w:t>,411</w:t>
            </w:r>
          </w:p>
          <w:p w:rsidR="005A23E3" w:rsidRDefault="005A23E3" w:rsidP="00DD2183">
            <w:pPr>
              <w:pStyle w:val="standard"/>
              <w:spacing w:before="40" w:after="40" w:line="240" w:lineRule="auto"/>
              <w:ind w:firstLine="0"/>
              <w:jc w:val="center"/>
            </w:pPr>
            <w:r>
              <w:t>Foot Pounds</w:t>
            </w:r>
          </w:p>
        </w:tc>
      </w:tr>
      <w:tr w:rsidR="00A815FE" w:rsidTr="001F42A0">
        <w:trPr>
          <w:cantSplit/>
          <w:jc w:val="center"/>
        </w:trPr>
        <w:tc>
          <w:tcPr>
            <w:tcW w:w="765" w:type="dxa"/>
            <w:tcBorders>
              <w:top w:val="single" w:sz="18" w:space="0" w:color="auto"/>
            </w:tcBorders>
            <w:vAlign w:val="center"/>
          </w:tcPr>
          <w:p w:rsidR="00A815FE" w:rsidRDefault="00FC4CE7" w:rsidP="005A23E3">
            <w:pPr>
              <w:pStyle w:val="standard"/>
              <w:keepNext/>
              <w:spacing w:before="40" w:after="40" w:line="240" w:lineRule="auto"/>
              <w:ind w:firstLine="0"/>
              <w:jc w:val="center"/>
            </w:pPr>
            <w:r>
              <w:t>3</w:t>
            </w:r>
          </w:p>
        </w:tc>
        <w:tc>
          <w:tcPr>
            <w:tcW w:w="5291" w:type="dxa"/>
            <w:tcBorders>
              <w:top w:val="single" w:sz="18" w:space="0" w:color="auto"/>
            </w:tcBorders>
            <w:vAlign w:val="center"/>
          </w:tcPr>
          <w:p w:rsidR="00A815FE" w:rsidRDefault="004C0B9E" w:rsidP="001F42A0">
            <w:pPr>
              <w:pStyle w:val="standard"/>
              <w:keepNext/>
              <w:spacing w:before="40" w:after="40" w:line="240" w:lineRule="auto"/>
              <w:ind w:firstLine="0"/>
            </w:pPr>
            <w:r w:rsidRPr="0014030D">
              <w:t>Bending Moment of</w:t>
            </w:r>
            <w:r w:rsidR="00A815FE" w:rsidRPr="0014030D">
              <w:t xml:space="preserve"> </w:t>
            </w:r>
            <w:r w:rsidR="009C162A" w:rsidRPr="0014030D">
              <w:t xml:space="preserve">New </w:t>
            </w:r>
            <w:r w:rsidR="00A815FE" w:rsidRPr="0014030D">
              <w:t>Wood Pole</w:t>
            </w:r>
            <w:r w:rsidRPr="004C0B9E">
              <w:rPr>
                <w:b/>
              </w:rPr>
              <w:t xml:space="preserve"> </w:t>
            </w:r>
            <w:r w:rsidR="00A815FE">
              <w:t>at Ground Line</w:t>
            </w:r>
            <w:r w:rsidR="00FC4CE7">
              <w:t xml:space="preserve"> </w:t>
            </w:r>
            <w:r w:rsidR="00FC4CE7" w:rsidRPr="00FC4CE7">
              <w:rPr>
                <w:sz w:val="24"/>
                <w:szCs w:val="24"/>
              </w:rPr>
              <w:t>(Safety</w:t>
            </w:r>
            <w:r w:rsidR="001F42A0">
              <w:rPr>
                <w:sz w:val="24"/>
                <w:szCs w:val="24"/>
              </w:rPr>
              <w:t> </w:t>
            </w:r>
            <w:r w:rsidR="00FC4CE7" w:rsidRPr="00FC4CE7">
              <w:rPr>
                <w:sz w:val="24"/>
                <w:szCs w:val="24"/>
              </w:rPr>
              <w:t>Factor = 1.0)</w:t>
            </w:r>
          </w:p>
        </w:tc>
        <w:tc>
          <w:tcPr>
            <w:tcW w:w="1905" w:type="dxa"/>
            <w:tcBorders>
              <w:top w:val="single" w:sz="18" w:space="0" w:color="auto"/>
            </w:tcBorders>
            <w:vAlign w:val="center"/>
          </w:tcPr>
          <w:p w:rsidR="00A815FE" w:rsidRDefault="00A815FE" w:rsidP="005A23E3">
            <w:pPr>
              <w:pStyle w:val="standard"/>
              <w:keepNext/>
              <w:spacing w:before="40" w:after="40" w:line="240" w:lineRule="auto"/>
              <w:ind w:firstLine="0"/>
              <w:jc w:val="center"/>
            </w:pPr>
            <w:r>
              <w:t>90,552</w:t>
            </w:r>
          </w:p>
          <w:p w:rsidR="005A23E3" w:rsidRDefault="005A23E3" w:rsidP="005A23E3">
            <w:pPr>
              <w:pStyle w:val="standard"/>
              <w:keepNext/>
              <w:spacing w:before="40" w:after="40" w:line="240" w:lineRule="auto"/>
              <w:ind w:firstLine="0"/>
              <w:jc w:val="center"/>
            </w:pPr>
            <w:r>
              <w:t>Foot Pounds</w:t>
            </w:r>
          </w:p>
        </w:tc>
        <w:tc>
          <w:tcPr>
            <w:tcW w:w="1989" w:type="dxa"/>
            <w:tcBorders>
              <w:top w:val="single" w:sz="18" w:space="0" w:color="auto"/>
            </w:tcBorders>
            <w:vAlign w:val="center"/>
          </w:tcPr>
          <w:p w:rsidR="00A815FE" w:rsidRDefault="00A815FE" w:rsidP="005A23E3">
            <w:pPr>
              <w:pStyle w:val="standard"/>
              <w:keepNext/>
              <w:spacing w:before="40" w:after="40" w:line="240" w:lineRule="auto"/>
              <w:ind w:firstLine="0"/>
              <w:jc w:val="center"/>
            </w:pPr>
            <w:r>
              <w:t>90,552</w:t>
            </w:r>
            <w:r w:rsidR="005A23E3">
              <w:t xml:space="preserve"> </w:t>
            </w:r>
          </w:p>
          <w:p w:rsidR="005A23E3" w:rsidRDefault="005A23E3" w:rsidP="005A23E3">
            <w:pPr>
              <w:pStyle w:val="standard"/>
              <w:keepNext/>
              <w:spacing w:before="40" w:after="40" w:line="240" w:lineRule="auto"/>
              <w:ind w:firstLine="0"/>
              <w:jc w:val="center"/>
            </w:pPr>
            <w:r>
              <w:t>Foot Pounds</w:t>
            </w:r>
          </w:p>
        </w:tc>
      </w:tr>
    </w:tbl>
    <w:p w:rsidR="005E1C05" w:rsidRDefault="005E1C05" w:rsidP="00A815FE">
      <w:pPr>
        <w:pStyle w:val="standard"/>
        <w:spacing w:line="240" w:lineRule="auto"/>
      </w:pPr>
    </w:p>
    <w:p w:rsidR="00B440FF" w:rsidRDefault="00B440FF" w:rsidP="00B717D8">
      <w:pPr>
        <w:pStyle w:val="standard"/>
      </w:pPr>
      <w:r>
        <w:t xml:space="preserve">Before </w:t>
      </w:r>
      <w:r w:rsidR="00164C59">
        <w:t xml:space="preserve">delving into </w:t>
      </w:r>
      <w:r>
        <w:t>the above table, we wish to acknowledge the fundamental safety issue raised by SED</w:t>
      </w:r>
      <w:r w:rsidR="004F5AEC">
        <w:t xml:space="preserve"> </w:t>
      </w:r>
      <w:r>
        <w:t xml:space="preserve">that a pole-top extension increases </w:t>
      </w:r>
      <w:r w:rsidR="001F42A0">
        <w:t>a</w:t>
      </w:r>
      <w:r>
        <w:t xml:space="preserve"> </w:t>
      </w:r>
      <w:r w:rsidR="000174B1">
        <w:t xml:space="preserve">pole’s </w:t>
      </w:r>
      <w:r>
        <w:t xml:space="preserve">overturning </w:t>
      </w:r>
      <w:r w:rsidR="000174B1">
        <w:t>moment</w:t>
      </w:r>
      <w:r>
        <w:t xml:space="preserve">.  We </w:t>
      </w:r>
      <w:r w:rsidR="002A32CE">
        <w:t>concur with the premise of SED’s proposed Rule</w:t>
      </w:r>
      <w:r w:rsidR="00164C59">
        <w:t> </w:t>
      </w:r>
      <w:r w:rsidR="002A32CE">
        <w:t xml:space="preserve">94.11 that </w:t>
      </w:r>
      <w:r w:rsidR="005027FD">
        <w:t xml:space="preserve">a pole-top extension should not be allowed on a pole unless sufficient measures have been taken to ensure </w:t>
      </w:r>
      <w:r w:rsidR="001F42A0">
        <w:t xml:space="preserve">that </w:t>
      </w:r>
      <w:r w:rsidR="005027FD">
        <w:t xml:space="preserve">the pole will not overturn.  </w:t>
      </w:r>
      <w:r w:rsidR="002A32CE">
        <w:t xml:space="preserve">  </w:t>
      </w:r>
    </w:p>
    <w:p w:rsidR="00E22220" w:rsidRDefault="002A32CE" w:rsidP="00E22220">
      <w:pPr>
        <w:pStyle w:val="standard"/>
      </w:pPr>
      <w:r>
        <w:t>Row</w:t>
      </w:r>
      <w:r w:rsidR="005A23E3">
        <w:t>s</w:t>
      </w:r>
      <w:r w:rsidR="00164C59">
        <w:t> </w:t>
      </w:r>
      <w:r>
        <w:t xml:space="preserve">1 </w:t>
      </w:r>
      <w:r w:rsidR="005A23E3">
        <w:t xml:space="preserve">and 2 </w:t>
      </w:r>
      <w:r>
        <w:t xml:space="preserve">of the above table show </w:t>
      </w:r>
      <w:r w:rsidR="00A815FE">
        <w:t>that a 45-foot wood pole</w:t>
      </w:r>
      <w:r w:rsidR="004F5AEC">
        <w:t xml:space="preserve">, </w:t>
      </w:r>
      <w:r w:rsidR="004F5AEC" w:rsidRPr="004F5AEC">
        <w:rPr>
          <w:u w:val="single"/>
        </w:rPr>
        <w:t>without</w:t>
      </w:r>
      <w:r w:rsidR="004F5AEC">
        <w:t xml:space="preserve"> a pole-top extension,</w:t>
      </w:r>
      <w:r w:rsidR="00A815FE">
        <w:t xml:space="preserve"> embedded </w:t>
      </w:r>
      <w:r w:rsidR="00F46B14">
        <w:t>6</w:t>
      </w:r>
      <w:r w:rsidR="00DD2183">
        <w:t> </w:t>
      </w:r>
      <w:r w:rsidR="00A815FE">
        <w:t xml:space="preserve">feet </w:t>
      </w:r>
      <w:r w:rsidR="00424149">
        <w:t xml:space="preserve">in average soil </w:t>
      </w:r>
      <w:r w:rsidR="00A815FE">
        <w:t>pursuant to Rule 4</w:t>
      </w:r>
      <w:r w:rsidR="000F24A7">
        <w:t>9.1-C, Table</w:t>
      </w:r>
      <w:r w:rsidR="00424149">
        <w:t> </w:t>
      </w:r>
      <w:r w:rsidR="000F24A7">
        <w:t xml:space="preserve">6, </w:t>
      </w:r>
      <w:r w:rsidR="00A815FE">
        <w:t>will overturn when a horizontal force of 1,485 pounds is applied 2</w:t>
      </w:r>
      <w:r w:rsidR="00424149">
        <w:t> </w:t>
      </w:r>
      <w:r w:rsidR="00A815FE">
        <w:t xml:space="preserve">feet </w:t>
      </w:r>
      <w:r w:rsidR="002F5886">
        <w:t>from</w:t>
      </w:r>
      <w:r w:rsidR="00A815FE">
        <w:t xml:space="preserve"> the top of the pole (i.e., 37 feet above ground level), which </w:t>
      </w:r>
      <w:r w:rsidR="00975FD2">
        <w:t xml:space="preserve">equates </w:t>
      </w:r>
      <w:r w:rsidR="00A815FE">
        <w:t xml:space="preserve">to </w:t>
      </w:r>
      <w:r w:rsidR="005A23E3">
        <w:t xml:space="preserve">an overturning moment of </w:t>
      </w:r>
      <w:r w:rsidR="00A815FE">
        <w:t>54,953</w:t>
      </w:r>
      <w:r w:rsidR="004F5AEC">
        <w:t> </w:t>
      </w:r>
      <w:r w:rsidR="00A815FE">
        <w:t>foot</w:t>
      </w:r>
      <w:r w:rsidR="004F5AEC">
        <w:noBreakHyphen/>
      </w:r>
      <w:r w:rsidR="00A815FE">
        <w:t>pounds</w:t>
      </w:r>
      <w:r w:rsidR="004F5AEC">
        <w:t> </w:t>
      </w:r>
      <w:r w:rsidR="00A815FE">
        <w:t>(</w:t>
      </w:r>
      <w:r w:rsidR="00300E45">
        <w:t>fp</w:t>
      </w:r>
      <w:r w:rsidR="00FB0DA7">
        <w:t>.</w:t>
      </w:r>
      <w:r w:rsidR="00A815FE">
        <w:t>) at the pole’s ground line.</w:t>
      </w:r>
      <w:r w:rsidR="00424149">
        <w:rPr>
          <w:rStyle w:val="FootnoteReference"/>
        </w:rPr>
        <w:footnoteReference w:id="111"/>
      </w:r>
      <w:r w:rsidR="00A815FE">
        <w:t xml:space="preserve">  </w:t>
      </w:r>
      <w:r w:rsidR="00DD2183">
        <w:t>Row</w:t>
      </w:r>
      <w:r w:rsidR="005A23E3">
        <w:t>s</w:t>
      </w:r>
      <w:r w:rsidR="00424149">
        <w:t> </w:t>
      </w:r>
      <w:r w:rsidR="00DD2183">
        <w:t xml:space="preserve">1 </w:t>
      </w:r>
      <w:r w:rsidR="005A23E3">
        <w:t xml:space="preserve">and 2 </w:t>
      </w:r>
      <w:r w:rsidR="00DD2183">
        <w:t>of t</w:t>
      </w:r>
      <w:r w:rsidR="00E22220">
        <w:t xml:space="preserve">he above table further show that a 45-foot wood pole </w:t>
      </w:r>
      <w:r w:rsidR="00E22220" w:rsidRPr="00B4424C">
        <w:rPr>
          <w:u w:val="single"/>
        </w:rPr>
        <w:t>with</w:t>
      </w:r>
      <w:r w:rsidR="00E22220">
        <w:t xml:space="preserve"> a 7</w:t>
      </w:r>
      <w:r w:rsidR="0002587A">
        <w:noBreakHyphen/>
      </w:r>
      <w:r w:rsidR="00E22220">
        <w:t>foo</w:t>
      </w:r>
      <w:r w:rsidR="00300E45">
        <w:t>t</w:t>
      </w:r>
      <w:r w:rsidR="00E22220">
        <w:t xml:space="preserve"> pole</w:t>
      </w:r>
      <w:r w:rsidR="00300E45">
        <w:noBreakHyphen/>
      </w:r>
      <w:r w:rsidR="00E22220">
        <w:t>top extension</w:t>
      </w:r>
      <w:r w:rsidR="002F5886">
        <w:t xml:space="preserve">, when </w:t>
      </w:r>
      <w:r w:rsidR="00E22220">
        <w:t xml:space="preserve">embedded </w:t>
      </w:r>
      <w:r w:rsidR="0002587A">
        <w:t>6</w:t>
      </w:r>
      <w:r w:rsidR="002F5886">
        <w:t xml:space="preserve"> feet</w:t>
      </w:r>
      <w:r w:rsidR="00424149">
        <w:t xml:space="preserve"> in average soil</w:t>
      </w:r>
      <w:r w:rsidR="002F5886">
        <w:t xml:space="preserve">, </w:t>
      </w:r>
      <w:r w:rsidR="00E22220">
        <w:t xml:space="preserve">will overturn </w:t>
      </w:r>
      <w:r w:rsidR="00E22220">
        <w:lastRenderedPageBreak/>
        <w:t>when a horizontal force of 1,</w:t>
      </w:r>
      <w:r w:rsidR="002F5886">
        <w:t>259</w:t>
      </w:r>
      <w:r w:rsidR="00E22220">
        <w:t xml:space="preserve"> pounds is applied 2</w:t>
      </w:r>
      <w:r w:rsidR="005A23E3">
        <w:t> </w:t>
      </w:r>
      <w:r w:rsidR="00E22220">
        <w:t xml:space="preserve">feet </w:t>
      </w:r>
      <w:r w:rsidR="002F5886">
        <w:t>from</w:t>
      </w:r>
      <w:r w:rsidR="00E22220">
        <w:t xml:space="preserve"> the top of the </w:t>
      </w:r>
      <w:r w:rsidR="002F5886">
        <w:t xml:space="preserve">combined structure </w:t>
      </w:r>
      <w:r w:rsidR="00E22220">
        <w:t xml:space="preserve">(i.e., </w:t>
      </w:r>
      <w:r w:rsidR="002F5886">
        <w:t>44</w:t>
      </w:r>
      <w:r w:rsidR="00E22220">
        <w:t xml:space="preserve"> feet above ground level), which </w:t>
      </w:r>
      <w:r w:rsidR="00975FD2">
        <w:t>equates t</w:t>
      </w:r>
      <w:r w:rsidR="00E22220">
        <w:t xml:space="preserve">o </w:t>
      </w:r>
      <w:r w:rsidR="00B4424C">
        <w:t xml:space="preserve">an </w:t>
      </w:r>
      <w:r w:rsidR="00CB6491">
        <w:t>overturning</w:t>
      </w:r>
      <w:r w:rsidR="00B4424C">
        <w:t xml:space="preserve"> moment of </w:t>
      </w:r>
      <w:r w:rsidR="00011455">
        <w:t>5</w:t>
      </w:r>
      <w:r w:rsidR="00DD2183">
        <w:t>5</w:t>
      </w:r>
      <w:r w:rsidR="00E22220">
        <w:t>,</w:t>
      </w:r>
      <w:r w:rsidR="00011455">
        <w:t>411</w:t>
      </w:r>
      <w:r w:rsidR="00300E45">
        <w:t> fp</w:t>
      </w:r>
      <w:r w:rsidR="00FB0DA7">
        <w:t>.</w:t>
      </w:r>
      <w:r w:rsidR="00E22220">
        <w:t xml:space="preserve"> at the pole’s ground line.  </w:t>
      </w:r>
    </w:p>
    <w:p w:rsidR="004262F1" w:rsidRDefault="00FE572A" w:rsidP="00A129D5">
      <w:pPr>
        <w:pStyle w:val="standard"/>
      </w:pPr>
      <w:r>
        <w:t xml:space="preserve">The above table shows that the key to protecting public safety is to ensure that </w:t>
      </w:r>
      <w:r w:rsidR="002D1F5E">
        <w:t xml:space="preserve">the overturning </w:t>
      </w:r>
      <w:r w:rsidR="00B4424C">
        <w:t>moment</w:t>
      </w:r>
      <w:r w:rsidR="002D1F5E">
        <w:t xml:space="preserve"> </w:t>
      </w:r>
      <w:r w:rsidR="003D42C3">
        <w:t>for</w:t>
      </w:r>
      <w:r w:rsidR="002D1F5E">
        <w:t xml:space="preserve"> a pole does not exceed the </w:t>
      </w:r>
      <w:r w:rsidR="003D42C3">
        <w:t>soil’s</w:t>
      </w:r>
      <w:r w:rsidR="002D1F5E">
        <w:t xml:space="preserve"> ability </w:t>
      </w:r>
      <w:r w:rsidR="005B2942">
        <w:t>to</w:t>
      </w:r>
      <w:r>
        <w:t xml:space="preserve"> </w:t>
      </w:r>
      <w:r w:rsidR="002D1F5E">
        <w:t xml:space="preserve">withstand the overturning </w:t>
      </w:r>
      <w:r w:rsidR="004262F1">
        <w:t>moment</w:t>
      </w:r>
      <w:r w:rsidR="002F0456">
        <w:t xml:space="preserve"> (“</w:t>
      </w:r>
      <w:r w:rsidR="00E720A3">
        <w:t>pole</w:t>
      </w:r>
      <w:r w:rsidR="002F0456">
        <w:t xml:space="preserve"> overturning moment”)</w:t>
      </w:r>
      <w:r w:rsidR="002D1F5E">
        <w:t xml:space="preserve">.  </w:t>
      </w:r>
      <w:r w:rsidR="004262F1">
        <w:t>In the above table, the soil can withstand a pole overturning moment of 54,953 fp. at the pole’s ground line when no pole-top extension is attached, and 55,411 fp. when a pole</w:t>
      </w:r>
      <w:r w:rsidR="00CE3E28">
        <w:noBreakHyphen/>
      </w:r>
      <w:r w:rsidR="004262F1">
        <w:t xml:space="preserve">top extension is attached.  Both of these figures assume a safety factor of 1.0.  </w:t>
      </w:r>
    </w:p>
    <w:p w:rsidR="000F24A7" w:rsidRDefault="001B2FCE" w:rsidP="00A129D5">
      <w:pPr>
        <w:pStyle w:val="standard"/>
      </w:pPr>
      <w:r>
        <w:t xml:space="preserve">We conclude that public safety will be protected </w:t>
      </w:r>
      <w:r w:rsidR="00B4424C">
        <w:t xml:space="preserve">when a </w:t>
      </w:r>
      <w:r w:rsidR="00A129D5">
        <w:t>pole-top extension</w:t>
      </w:r>
      <w:r w:rsidR="00B4424C">
        <w:t xml:space="preserve"> is installed </w:t>
      </w:r>
      <w:r>
        <w:t>on</w:t>
      </w:r>
      <w:r w:rsidR="00CE3A5F">
        <w:t xml:space="preserve"> </w:t>
      </w:r>
      <w:r w:rsidR="00B4424C">
        <w:t xml:space="preserve">an </w:t>
      </w:r>
      <w:r w:rsidR="00CE3A5F">
        <w:t xml:space="preserve">existing pole that </w:t>
      </w:r>
      <w:r w:rsidR="00B4424C">
        <w:t xml:space="preserve">is </w:t>
      </w:r>
      <w:r w:rsidR="00CE3A5F">
        <w:t>embedded at the minimum depth required by Rule 49.1</w:t>
      </w:r>
      <w:r w:rsidR="00CE3A5F">
        <w:noBreakHyphen/>
        <w:t>C</w:t>
      </w:r>
      <w:r w:rsidR="00A129D5">
        <w:t xml:space="preserve">, without </w:t>
      </w:r>
      <w:r w:rsidR="004262F1">
        <w:t xml:space="preserve">resetting </w:t>
      </w:r>
      <w:r w:rsidR="00A129D5">
        <w:t xml:space="preserve">the pole </w:t>
      </w:r>
      <w:r w:rsidR="00CE3E28">
        <w:t xml:space="preserve">to a deeper depth, provided that the combined structure (pole + all attachments) does not exceed the </w:t>
      </w:r>
      <w:r w:rsidR="00E720A3">
        <w:t>pole</w:t>
      </w:r>
      <w:r w:rsidR="00CE3E28">
        <w:t>’s</w:t>
      </w:r>
      <w:r w:rsidR="003D42C3">
        <w:t xml:space="preserve"> </w:t>
      </w:r>
      <w:r w:rsidR="00A129D5">
        <w:t xml:space="preserve">overturning moment.  </w:t>
      </w:r>
      <w:r w:rsidR="00AB2068">
        <w:t>Th</w:t>
      </w:r>
      <w:r>
        <w:t xml:space="preserve">e above table </w:t>
      </w:r>
      <w:r w:rsidR="007143E0">
        <w:t xml:space="preserve">provides a simple example for making this determination.  </w:t>
      </w:r>
      <w:r w:rsidR="00AB2068">
        <w:t xml:space="preserve">In practice, calculation of the </w:t>
      </w:r>
      <w:r w:rsidR="00D804D4">
        <w:t>pole</w:t>
      </w:r>
      <w:r w:rsidR="008C4B96">
        <w:t xml:space="preserve"> </w:t>
      </w:r>
      <w:r w:rsidR="00AB2068">
        <w:t xml:space="preserve">overturning moment will have to </w:t>
      </w:r>
      <w:r w:rsidR="004A0174">
        <w:t xml:space="preserve">incorporate </w:t>
      </w:r>
      <w:r w:rsidR="00AB2068">
        <w:t>all elements of the structure, including the pole, pole-top extension, antenna(s), power lines, cross arms, transformers, communication lines</w:t>
      </w:r>
      <w:r w:rsidR="00741F56">
        <w:t>, and all other attachments</w:t>
      </w:r>
      <w:r w:rsidR="00AB2068">
        <w:t xml:space="preserve">.  </w:t>
      </w:r>
      <w:r w:rsidR="002047F1">
        <w:t xml:space="preserve">The </w:t>
      </w:r>
      <w:r w:rsidR="00E720A3">
        <w:t>pole</w:t>
      </w:r>
      <w:r w:rsidR="008C4B96">
        <w:t xml:space="preserve"> </w:t>
      </w:r>
      <w:r w:rsidR="002047F1">
        <w:t>overturning calculation will also have to reflect the actual soil conditions, which may differ considerably from the soil condition</w:t>
      </w:r>
      <w:r w:rsidR="004A0174">
        <w:t>s</w:t>
      </w:r>
      <w:r w:rsidR="002047F1">
        <w:t xml:space="preserve"> </w:t>
      </w:r>
      <w:r w:rsidR="008D2204">
        <w:t>used</w:t>
      </w:r>
      <w:r w:rsidR="002047F1">
        <w:t xml:space="preserve"> </w:t>
      </w:r>
      <w:r w:rsidR="00076165">
        <w:t xml:space="preserve">in </w:t>
      </w:r>
      <w:r w:rsidR="002047F1">
        <w:t>the above table.</w:t>
      </w:r>
      <w:r w:rsidR="009D4864">
        <w:rPr>
          <w:rStyle w:val="FootnoteReference"/>
        </w:rPr>
        <w:footnoteReference w:id="112"/>
      </w:r>
      <w:r w:rsidR="002047F1">
        <w:t xml:space="preserve"> </w:t>
      </w:r>
    </w:p>
    <w:p w:rsidR="00A617E1" w:rsidRDefault="00A617E1" w:rsidP="00A617E1">
      <w:pPr>
        <w:pStyle w:val="standard"/>
      </w:pPr>
      <w:r>
        <w:t xml:space="preserve">For the above reasons, we decline to adopt the text of SED’s proposed Rule 94.11, which would mandate that a pole with a pole-top extension be set deeper.  As </w:t>
      </w:r>
      <w:r w:rsidR="00CE3E28">
        <w:t>stated previously</w:t>
      </w:r>
      <w:r>
        <w:t xml:space="preserve">, public safety will be protected </w:t>
      </w:r>
      <w:r w:rsidR="00B459DC">
        <w:t>as</w:t>
      </w:r>
      <w:r>
        <w:t xml:space="preserve"> long as the </w:t>
      </w:r>
      <w:r>
        <w:lastRenderedPageBreak/>
        <w:t xml:space="preserve">combined structure (pole + </w:t>
      </w:r>
      <w:r w:rsidR="00DD4BAF">
        <w:t>all attachments</w:t>
      </w:r>
      <w:r>
        <w:t>) does not exceed the pole</w:t>
      </w:r>
      <w:r w:rsidR="00CE3E28">
        <w:t>’s</w:t>
      </w:r>
      <w:r>
        <w:t xml:space="preserve"> overturning moment.  We also agree with the Electric</w:t>
      </w:r>
      <w:r w:rsidR="00391D46">
        <w:t> </w:t>
      </w:r>
      <w:r>
        <w:t xml:space="preserve">IOUs that SED’s proposed rule is too narrow in how it deals with the increased overturning moment caused by a pole-top </w:t>
      </w:r>
      <w:r w:rsidR="00391D46">
        <w:t>antenna</w:t>
      </w:r>
      <w:r>
        <w:t>.  As noted by the Electric</w:t>
      </w:r>
      <w:r w:rsidR="00391D46">
        <w:t> </w:t>
      </w:r>
      <w:r>
        <w:t xml:space="preserve">IOUs, there are other methods to cope with increased overturning moments besides deeper settings, such as </w:t>
      </w:r>
      <w:r w:rsidR="00391D46">
        <w:t xml:space="preserve">attaching </w:t>
      </w:r>
      <w:r>
        <w:t>guy</w:t>
      </w:r>
      <w:r w:rsidR="00391D46">
        <w:t xml:space="preserve"> wires</w:t>
      </w:r>
      <w:r>
        <w:t xml:space="preserve">.  </w:t>
      </w:r>
    </w:p>
    <w:p w:rsidR="00975FD2" w:rsidRDefault="00391D46" w:rsidP="00A617E1">
      <w:pPr>
        <w:pStyle w:val="standard"/>
      </w:pPr>
      <w:r>
        <w:t xml:space="preserve">The only way to know if </w:t>
      </w:r>
      <w:r w:rsidR="00483B8D">
        <w:t>the installation of a</w:t>
      </w:r>
      <w:r>
        <w:t xml:space="preserve"> pole-top antenna </w:t>
      </w:r>
      <w:r w:rsidR="00483B8D">
        <w:t xml:space="preserve">and ancillary attachments </w:t>
      </w:r>
      <w:r>
        <w:t xml:space="preserve">will cause the combined structure </w:t>
      </w:r>
      <w:r w:rsidR="00483B8D">
        <w:t xml:space="preserve">(pole + all attachments) </w:t>
      </w:r>
      <w:r>
        <w:t>to exceed the pole’s overturning moment is to perform an overturning calculation.  Therefore, t</w:t>
      </w:r>
      <w:r w:rsidR="00A617E1">
        <w:t xml:space="preserve">o protect public safety, we will adopt a new Rule 94.11 that requires a pole overturning calculation before a pole-top antenna </w:t>
      </w:r>
      <w:r w:rsidR="00483B8D">
        <w:t xml:space="preserve">installation </w:t>
      </w:r>
      <w:r w:rsidR="00A617E1">
        <w:t xml:space="preserve">is </w:t>
      </w:r>
      <w:r w:rsidR="00483B8D">
        <w:t>placed</w:t>
      </w:r>
      <w:r w:rsidR="00A617E1">
        <w:t xml:space="preserve"> </w:t>
      </w:r>
      <w:r w:rsidR="00483B8D">
        <w:t>on</w:t>
      </w:r>
      <w:r w:rsidR="00A617E1">
        <w:t xml:space="preserve"> a pole</w:t>
      </w:r>
      <w:r w:rsidR="00DD4BAF">
        <w:t xml:space="preserve"> to ensure that the pole </w:t>
      </w:r>
      <w:r w:rsidR="00317EB2">
        <w:t>overturning</w:t>
      </w:r>
      <w:r w:rsidR="00DD4BAF">
        <w:t xml:space="preserve"> moment is not exceeded</w:t>
      </w:r>
      <w:r w:rsidR="00A617E1">
        <w:t xml:space="preserve">.  </w:t>
      </w:r>
    </w:p>
    <w:p w:rsidR="00A617E1" w:rsidRDefault="00A617E1" w:rsidP="00A617E1">
      <w:pPr>
        <w:pStyle w:val="standard"/>
      </w:pPr>
      <w:r>
        <w:t>GO</w:t>
      </w:r>
      <w:r w:rsidR="00975FD2">
        <w:t> </w:t>
      </w:r>
      <w:r>
        <w:t>95 requires overhead utility structures to be designed, built, and constructed with specified safety factors.  Consistent with GO</w:t>
      </w:r>
      <w:r w:rsidR="00975FD2">
        <w:t> </w:t>
      </w:r>
      <w:r>
        <w:t>95, we conclude that an appropriate safety factor should be used to determine the allowable overturning moment for poles with pole</w:t>
      </w:r>
      <w:r>
        <w:noBreakHyphen/>
        <w:t>top antenna installations.  GO</w:t>
      </w:r>
      <w:r w:rsidR="00975FD2">
        <w:t> </w:t>
      </w:r>
      <w:r>
        <w:t xml:space="preserve">95 does not specify a safety factor for the pole overturning moment, but it does provide some guidance.  In particular, GO 95 </w:t>
      </w:r>
      <w:r w:rsidR="00483B8D">
        <w:t>prescribes</w:t>
      </w:r>
      <w:r>
        <w:t xml:space="preserve"> the following safety factors for “foundations against depression”:  </w:t>
      </w:r>
    </w:p>
    <w:p w:rsidR="00A617E1" w:rsidRDefault="00A617E1" w:rsidP="00A617E1">
      <w:pPr>
        <w:pStyle w:val="standard"/>
        <w:spacing w:line="240" w:lineRule="auto"/>
      </w:pPr>
    </w:p>
    <w:tbl>
      <w:tblPr>
        <w:tblStyle w:val="TableGrid"/>
        <w:tblW w:w="0" w:type="auto"/>
        <w:jc w:val="center"/>
        <w:tblLook w:val="04A0" w:firstRow="1" w:lastRow="0" w:firstColumn="1" w:lastColumn="0" w:noHBand="0" w:noVBand="1"/>
      </w:tblPr>
      <w:tblGrid>
        <w:gridCol w:w="1842"/>
        <w:gridCol w:w="1596"/>
        <w:gridCol w:w="1596"/>
        <w:gridCol w:w="1596"/>
      </w:tblGrid>
      <w:tr w:rsidR="00A617E1" w:rsidRPr="00EE316B" w:rsidTr="00704EA3">
        <w:trPr>
          <w:cantSplit/>
          <w:jc w:val="center"/>
        </w:trPr>
        <w:tc>
          <w:tcPr>
            <w:tcW w:w="6630" w:type="dxa"/>
            <w:gridSpan w:val="4"/>
            <w:tcBorders>
              <w:bottom w:val="single" w:sz="4" w:space="0" w:color="auto"/>
            </w:tcBorders>
            <w:shd w:val="pct5" w:color="auto" w:fill="auto"/>
            <w:vAlign w:val="center"/>
          </w:tcPr>
          <w:p w:rsidR="00A617E1" w:rsidRPr="00EE316B" w:rsidRDefault="00A617E1" w:rsidP="00704EA3">
            <w:pPr>
              <w:pStyle w:val="standard"/>
              <w:keepNext/>
              <w:spacing w:before="40" w:after="40" w:line="240" w:lineRule="auto"/>
              <w:ind w:firstLine="0"/>
              <w:jc w:val="center"/>
              <w:rPr>
                <w:b/>
              </w:rPr>
            </w:pPr>
            <w:r w:rsidRPr="00EE316B">
              <w:rPr>
                <w:b/>
              </w:rPr>
              <w:t>Safety Factors for Foundations Against Depression</w:t>
            </w:r>
          </w:p>
          <w:p w:rsidR="00A617E1" w:rsidRPr="00EE316B" w:rsidRDefault="00A617E1" w:rsidP="00704EA3">
            <w:pPr>
              <w:pStyle w:val="standard"/>
              <w:keepNext/>
              <w:spacing w:before="40" w:after="40" w:line="240" w:lineRule="auto"/>
              <w:ind w:firstLine="0"/>
              <w:jc w:val="center"/>
              <w:rPr>
                <w:b/>
              </w:rPr>
            </w:pPr>
            <w:r w:rsidRPr="00EE316B">
              <w:rPr>
                <w:b/>
              </w:rPr>
              <w:t>GO 95, Rule 44.1, Table 4</w:t>
            </w:r>
          </w:p>
        </w:tc>
      </w:tr>
      <w:tr w:rsidR="00A617E1" w:rsidRPr="00EE316B" w:rsidTr="00704EA3">
        <w:trPr>
          <w:cantSplit/>
          <w:jc w:val="center"/>
        </w:trPr>
        <w:tc>
          <w:tcPr>
            <w:tcW w:w="1842" w:type="dxa"/>
            <w:shd w:val="clear" w:color="auto" w:fill="auto"/>
            <w:vAlign w:val="center"/>
          </w:tcPr>
          <w:p w:rsidR="00A617E1" w:rsidRPr="00EE316B" w:rsidRDefault="00A617E1" w:rsidP="00704EA3">
            <w:pPr>
              <w:pStyle w:val="standard"/>
              <w:keepNext/>
              <w:spacing w:before="40" w:after="40" w:line="240" w:lineRule="auto"/>
              <w:ind w:firstLine="0"/>
              <w:rPr>
                <w:b/>
              </w:rPr>
            </w:pPr>
          </w:p>
        </w:tc>
        <w:tc>
          <w:tcPr>
            <w:tcW w:w="4788" w:type="dxa"/>
            <w:gridSpan w:val="3"/>
            <w:shd w:val="clear" w:color="auto" w:fill="auto"/>
            <w:vAlign w:val="center"/>
          </w:tcPr>
          <w:p w:rsidR="00A617E1" w:rsidRPr="00EE316B" w:rsidRDefault="00A617E1" w:rsidP="00704EA3">
            <w:pPr>
              <w:pStyle w:val="standard"/>
              <w:keepNext/>
              <w:spacing w:before="40" w:after="40" w:line="240" w:lineRule="auto"/>
              <w:ind w:firstLine="0"/>
              <w:jc w:val="center"/>
              <w:rPr>
                <w:b/>
              </w:rPr>
            </w:pPr>
            <w:r w:rsidRPr="00EE316B">
              <w:rPr>
                <w:b/>
              </w:rPr>
              <w:t>Grades of Construction</w:t>
            </w:r>
          </w:p>
        </w:tc>
      </w:tr>
      <w:tr w:rsidR="00A617E1" w:rsidTr="00704EA3">
        <w:trPr>
          <w:cantSplit/>
          <w:jc w:val="center"/>
        </w:trPr>
        <w:tc>
          <w:tcPr>
            <w:tcW w:w="1842" w:type="dxa"/>
            <w:vAlign w:val="center"/>
          </w:tcPr>
          <w:p w:rsidR="00A617E1" w:rsidRDefault="00A617E1" w:rsidP="00704EA3">
            <w:pPr>
              <w:pStyle w:val="standard"/>
              <w:keepNext/>
              <w:spacing w:before="40" w:after="40" w:line="240" w:lineRule="auto"/>
              <w:ind w:firstLine="0"/>
              <w:jc w:val="center"/>
            </w:pPr>
          </w:p>
        </w:tc>
        <w:tc>
          <w:tcPr>
            <w:tcW w:w="1596" w:type="dxa"/>
            <w:vAlign w:val="center"/>
          </w:tcPr>
          <w:p w:rsidR="00A617E1" w:rsidRPr="00EE316B" w:rsidRDefault="00A617E1" w:rsidP="00704EA3">
            <w:pPr>
              <w:pStyle w:val="standard"/>
              <w:keepNext/>
              <w:spacing w:before="40" w:after="40" w:line="240" w:lineRule="auto"/>
              <w:ind w:firstLine="0"/>
              <w:jc w:val="center"/>
              <w:rPr>
                <w:b/>
              </w:rPr>
            </w:pPr>
            <w:r w:rsidRPr="00EE316B">
              <w:rPr>
                <w:b/>
              </w:rPr>
              <w:t>Grade A</w:t>
            </w:r>
          </w:p>
        </w:tc>
        <w:tc>
          <w:tcPr>
            <w:tcW w:w="1596" w:type="dxa"/>
            <w:vAlign w:val="center"/>
          </w:tcPr>
          <w:p w:rsidR="00A617E1" w:rsidRPr="00EE316B" w:rsidRDefault="00A617E1" w:rsidP="00704EA3">
            <w:pPr>
              <w:pStyle w:val="standard"/>
              <w:keepNext/>
              <w:spacing w:before="40" w:after="40" w:line="240" w:lineRule="auto"/>
              <w:ind w:firstLine="0"/>
              <w:jc w:val="center"/>
              <w:rPr>
                <w:b/>
              </w:rPr>
            </w:pPr>
            <w:r w:rsidRPr="00EE316B">
              <w:rPr>
                <w:b/>
              </w:rPr>
              <w:t>Grade B</w:t>
            </w:r>
          </w:p>
        </w:tc>
        <w:tc>
          <w:tcPr>
            <w:tcW w:w="1596" w:type="dxa"/>
            <w:vAlign w:val="center"/>
          </w:tcPr>
          <w:p w:rsidR="00A617E1" w:rsidRPr="00EE316B" w:rsidRDefault="00A617E1" w:rsidP="00704EA3">
            <w:pPr>
              <w:pStyle w:val="standard"/>
              <w:keepNext/>
              <w:spacing w:before="40" w:after="40" w:line="240" w:lineRule="auto"/>
              <w:ind w:firstLine="0"/>
              <w:jc w:val="center"/>
              <w:rPr>
                <w:b/>
              </w:rPr>
            </w:pPr>
            <w:r w:rsidRPr="00EE316B">
              <w:rPr>
                <w:b/>
              </w:rPr>
              <w:t>Grade C</w:t>
            </w:r>
          </w:p>
        </w:tc>
      </w:tr>
      <w:tr w:rsidR="00A617E1" w:rsidTr="00704EA3">
        <w:trPr>
          <w:cantSplit/>
          <w:jc w:val="center"/>
        </w:trPr>
        <w:tc>
          <w:tcPr>
            <w:tcW w:w="1842" w:type="dxa"/>
            <w:vAlign w:val="center"/>
          </w:tcPr>
          <w:p w:rsidR="00A617E1" w:rsidRPr="00EE316B" w:rsidRDefault="00A617E1" w:rsidP="00704EA3">
            <w:pPr>
              <w:pStyle w:val="standard"/>
              <w:spacing w:before="40" w:after="40" w:line="240" w:lineRule="auto"/>
              <w:ind w:firstLine="0"/>
              <w:jc w:val="center"/>
              <w:rPr>
                <w:b/>
              </w:rPr>
            </w:pPr>
            <w:r w:rsidRPr="00EE316B">
              <w:rPr>
                <w:b/>
              </w:rPr>
              <w:t>Safety Factor</w:t>
            </w:r>
          </w:p>
        </w:tc>
        <w:tc>
          <w:tcPr>
            <w:tcW w:w="1596" w:type="dxa"/>
            <w:vAlign w:val="center"/>
          </w:tcPr>
          <w:p w:rsidR="00A617E1" w:rsidRDefault="00A617E1" w:rsidP="00704EA3">
            <w:pPr>
              <w:pStyle w:val="standard"/>
              <w:spacing w:before="40" w:after="40" w:line="240" w:lineRule="auto"/>
              <w:ind w:firstLine="0"/>
              <w:jc w:val="center"/>
            </w:pPr>
            <w:r>
              <w:t>3.0</w:t>
            </w:r>
          </w:p>
        </w:tc>
        <w:tc>
          <w:tcPr>
            <w:tcW w:w="1596" w:type="dxa"/>
            <w:vAlign w:val="center"/>
          </w:tcPr>
          <w:p w:rsidR="00A617E1" w:rsidRDefault="00A617E1" w:rsidP="00704EA3">
            <w:pPr>
              <w:pStyle w:val="standard"/>
              <w:spacing w:before="40" w:after="40" w:line="240" w:lineRule="auto"/>
              <w:ind w:firstLine="0"/>
              <w:jc w:val="center"/>
            </w:pPr>
            <w:r>
              <w:t>2.0</w:t>
            </w:r>
          </w:p>
        </w:tc>
        <w:tc>
          <w:tcPr>
            <w:tcW w:w="1596" w:type="dxa"/>
            <w:vAlign w:val="center"/>
          </w:tcPr>
          <w:p w:rsidR="00A617E1" w:rsidRDefault="00A617E1" w:rsidP="00704EA3">
            <w:pPr>
              <w:pStyle w:val="standard"/>
              <w:spacing w:before="40" w:after="40" w:line="240" w:lineRule="auto"/>
              <w:ind w:firstLine="0"/>
              <w:jc w:val="center"/>
            </w:pPr>
            <w:r>
              <w:t>2.0</w:t>
            </w:r>
          </w:p>
        </w:tc>
      </w:tr>
    </w:tbl>
    <w:p w:rsidR="00A617E1" w:rsidRDefault="00A617E1" w:rsidP="00A617E1">
      <w:pPr>
        <w:pStyle w:val="standard"/>
        <w:spacing w:line="240" w:lineRule="auto"/>
      </w:pPr>
    </w:p>
    <w:p w:rsidR="00975FD2" w:rsidRDefault="00A617E1" w:rsidP="00A617E1">
      <w:pPr>
        <w:pStyle w:val="standard"/>
      </w:pPr>
      <w:r>
        <w:t xml:space="preserve">The GO 95 safety factor for “foundations against depression” is intended to ensure that a utility pole (or other structure) does not sink into the supporting </w:t>
      </w:r>
      <w:r>
        <w:lastRenderedPageBreak/>
        <w:t>soil.  We conclude that the existing safety factor for soil depression is appropriate for the allowable pole overturning moment.  Accordingly, safety factors of 3.0 (Grade</w:t>
      </w:r>
      <w:r w:rsidR="00975FD2">
        <w:t> </w:t>
      </w:r>
      <w:r>
        <w:t xml:space="preserve">A construction) and 2.0 (Grades B and C construction) shall </w:t>
      </w:r>
      <w:r w:rsidR="00975FD2">
        <w:t xml:space="preserve">be used to determine the allowable </w:t>
      </w:r>
      <w:r>
        <w:t xml:space="preserve">pole overturning moment for </w:t>
      </w:r>
      <w:r w:rsidR="007451F9">
        <w:t>a</w:t>
      </w:r>
      <w:r>
        <w:t xml:space="preserve"> planned pole-top antenna installation.  After the installation, the safety factor for the pole</w:t>
      </w:r>
      <w:r w:rsidR="009736B6">
        <w:t>’s allowable</w:t>
      </w:r>
      <w:r>
        <w:t xml:space="preserve"> overturning moment shall comply with Rule 44.3.</w:t>
      </w:r>
      <w:r>
        <w:rPr>
          <w:rStyle w:val="FootnoteReference"/>
        </w:rPr>
        <w:footnoteReference w:id="113"/>
      </w:r>
      <w:r>
        <w:t xml:space="preserve">  </w:t>
      </w:r>
    </w:p>
    <w:p w:rsidR="00A617E1" w:rsidRDefault="00A617E1" w:rsidP="00A617E1">
      <w:pPr>
        <w:pStyle w:val="standard"/>
      </w:pPr>
      <w:r>
        <w:t>The text of the adopted Rule 94.11 is contained in Appendix C of today’s decision.</w:t>
      </w:r>
      <w:r w:rsidR="00975FD2">
        <w:t xml:space="preserve">  </w:t>
      </w:r>
      <w:r>
        <w:t xml:space="preserve">We expect that CMRS carriers and pole owners will incur little additional costs to implement </w:t>
      </w:r>
      <w:r w:rsidR="009736B6">
        <w:t>the adopted Rule 94.11</w:t>
      </w:r>
      <w:r w:rsidR="001C6AD0">
        <w:t>.  The overturning calculation is simple to perform</w:t>
      </w:r>
      <w:r w:rsidR="00F71D16">
        <w:t>, and all the information need</w:t>
      </w:r>
      <w:r w:rsidR="00EF420F">
        <w:t>ed</w:t>
      </w:r>
      <w:r w:rsidR="00F71D16">
        <w:t xml:space="preserve"> </w:t>
      </w:r>
      <w:r w:rsidR="00EF420F">
        <w:t>for</w:t>
      </w:r>
      <w:r w:rsidR="00F71D16">
        <w:t xml:space="preserve"> the calculation </w:t>
      </w:r>
      <w:r w:rsidR="00DB2167">
        <w:t>is</w:t>
      </w:r>
      <w:r w:rsidR="001C6AD0">
        <w:t xml:space="preserve"> </w:t>
      </w:r>
      <w:r w:rsidR="00EF420F">
        <w:t xml:space="preserve">already </w:t>
      </w:r>
      <w:r w:rsidR="001C6AD0">
        <w:t>available</w:t>
      </w:r>
      <w:r w:rsidR="00791E1C">
        <w:rPr>
          <w:rStyle w:val="FootnoteReference"/>
        </w:rPr>
        <w:footnoteReference w:id="114"/>
      </w:r>
      <w:r w:rsidR="00791E1C">
        <w:t xml:space="preserve"> or readily obtaine</w:t>
      </w:r>
      <w:r w:rsidR="00C51A49">
        <w:t>d</w:t>
      </w:r>
      <w:r w:rsidR="001C6AD0">
        <w:t>.</w:t>
      </w:r>
      <w:r w:rsidR="009E35F9">
        <w:rPr>
          <w:rStyle w:val="FootnoteReference"/>
        </w:rPr>
        <w:footnoteReference w:id="115"/>
      </w:r>
      <w:r w:rsidR="001C6AD0">
        <w:t xml:space="preserve">  </w:t>
      </w:r>
      <w:r>
        <w:t xml:space="preserve">In </w:t>
      </w:r>
      <w:r w:rsidR="00317EB2">
        <w:t>situations</w:t>
      </w:r>
      <w:r>
        <w:t xml:space="preserve"> where a planned pole-top installation does not meet the minimum safety factor for the pole overturning moment adopted by today’s decision, the CMRS carrier may use the most cost</w:t>
      </w:r>
      <w:r>
        <w:noBreakHyphen/>
        <w:t xml:space="preserve">effective means to achieve the minimum safety factor, such as </w:t>
      </w:r>
      <w:r>
        <w:lastRenderedPageBreak/>
        <w:t>attaching guy wires, setting the pole deeper, or placing the installation on a different pole.</w:t>
      </w:r>
      <w:r w:rsidR="00483B8D">
        <w:rPr>
          <w:rStyle w:val="FootnoteReference"/>
        </w:rPr>
        <w:footnoteReference w:id="116"/>
      </w:r>
      <w:r>
        <w:t xml:space="preserve">  To the extent there are additional costs, we conclude that such costs are more than offset by the public safety benefits of ensuring that pole-top antenna installations do not place poles at risk for overturning.  </w:t>
      </w:r>
    </w:p>
    <w:p w:rsidR="000F24A7" w:rsidRDefault="00741F56" w:rsidP="00F736C3">
      <w:pPr>
        <w:pStyle w:val="standard"/>
      </w:pPr>
      <w:r>
        <w:t xml:space="preserve">Several parties suggest that it is not necessary to calculate the </w:t>
      </w:r>
      <w:r w:rsidR="00207978">
        <w:t>allowable</w:t>
      </w:r>
      <w:r w:rsidR="008C4B96">
        <w:t xml:space="preserve"> </w:t>
      </w:r>
      <w:r w:rsidR="00975FD2">
        <w:t xml:space="preserve">pole </w:t>
      </w:r>
      <w:r>
        <w:t xml:space="preserve">overturning moment because </w:t>
      </w:r>
      <w:r w:rsidR="00FB0DA7">
        <w:t>GO</w:t>
      </w:r>
      <w:r w:rsidR="009D3195">
        <w:t> </w:t>
      </w:r>
      <w:r w:rsidR="00FB0DA7">
        <w:t xml:space="preserve">95 </w:t>
      </w:r>
      <w:r w:rsidR="00C21C07">
        <w:t>requires</w:t>
      </w:r>
      <w:r w:rsidR="00FB0DA7">
        <w:t xml:space="preserve"> a </w:t>
      </w:r>
      <w:r>
        <w:t xml:space="preserve">calculation of the allowable bending moment.  According to these parties, </w:t>
      </w:r>
      <w:r w:rsidR="00A617E1">
        <w:t>a</w:t>
      </w:r>
      <w:r>
        <w:t xml:space="preserve"> pole will always break (bending moment) before </w:t>
      </w:r>
      <w:r w:rsidR="00A617E1">
        <w:t>a</w:t>
      </w:r>
      <w:r>
        <w:t xml:space="preserve"> pole overturns (</w:t>
      </w:r>
      <w:r w:rsidR="00E720A3">
        <w:t>pole</w:t>
      </w:r>
      <w:r w:rsidR="008C4B96">
        <w:t xml:space="preserve"> </w:t>
      </w:r>
      <w:r>
        <w:t xml:space="preserve">overturning moment).  Thus, if </w:t>
      </w:r>
      <w:r w:rsidR="008D2204">
        <w:t xml:space="preserve">a </w:t>
      </w:r>
      <w:r>
        <w:t xml:space="preserve">pole with all of its attachments is within the allowable bending moment, the pole is </w:t>
      </w:r>
      <w:r w:rsidR="00F420F3">
        <w:t>automatically</w:t>
      </w:r>
      <w:r>
        <w:t xml:space="preserve"> within the allowable </w:t>
      </w:r>
      <w:r w:rsidR="00975FD2">
        <w:t xml:space="preserve">pole </w:t>
      </w:r>
      <w:r>
        <w:t>overturning moment.</w:t>
      </w:r>
      <w:r w:rsidR="00167775">
        <w:rPr>
          <w:rStyle w:val="FootnoteReference"/>
        </w:rPr>
        <w:footnoteReference w:id="117"/>
      </w:r>
      <w:r>
        <w:t xml:space="preserve"> </w:t>
      </w:r>
    </w:p>
    <w:p w:rsidR="003537BC" w:rsidRDefault="00741F56" w:rsidP="00DC5975">
      <w:pPr>
        <w:pStyle w:val="standard"/>
      </w:pPr>
      <w:r>
        <w:t xml:space="preserve">We </w:t>
      </w:r>
      <w:r w:rsidR="003641BD">
        <w:t>dis</w:t>
      </w:r>
      <w:r>
        <w:t>agree with this reasoning.  The above table</w:t>
      </w:r>
      <w:r w:rsidR="006D20A6">
        <w:t xml:space="preserve"> shows that a new 45</w:t>
      </w:r>
      <w:r w:rsidR="006D20A6">
        <w:noBreakHyphen/>
        <w:t>foot wood pole (Grade</w:t>
      </w:r>
      <w:r w:rsidR="003641BD">
        <w:t> </w:t>
      </w:r>
      <w:r w:rsidR="006D20A6">
        <w:t>A, Class</w:t>
      </w:r>
      <w:r w:rsidR="003641BD">
        <w:t> </w:t>
      </w:r>
      <w:r w:rsidR="006D20A6">
        <w:t>4</w:t>
      </w:r>
      <w:r w:rsidR="00DC5975">
        <w:t xml:space="preserve">, Douglas Fir) </w:t>
      </w:r>
      <w:r w:rsidR="006D20A6">
        <w:t xml:space="preserve">embedded </w:t>
      </w:r>
      <w:r w:rsidR="009D4864">
        <w:t>6</w:t>
      </w:r>
      <w:r w:rsidR="006D20A6">
        <w:t xml:space="preserve"> feet </w:t>
      </w:r>
      <w:r w:rsidR="00826202">
        <w:t xml:space="preserve">in average soil </w:t>
      </w:r>
      <w:r w:rsidR="00CE1DE6">
        <w:t>will break when the</w:t>
      </w:r>
      <w:r w:rsidR="006D20A6">
        <w:t xml:space="preserve"> bending moment </w:t>
      </w:r>
      <w:r w:rsidR="00CE1DE6">
        <w:t>reaches</w:t>
      </w:r>
      <w:r w:rsidR="006D20A6">
        <w:t xml:space="preserve"> 90,552 fp</w:t>
      </w:r>
      <w:r w:rsidR="00DC5975">
        <w:t>.</w:t>
      </w:r>
      <w:r w:rsidR="006D20A6">
        <w:t xml:space="preserve"> at the </w:t>
      </w:r>
      <w:r w:rsidR="00F420F3">
        <w:t>ground</w:t>
      </w:r>
      <w:r w:rsidR="006D20A6">
        <w:t xml:space="preserve"> line</w:t>
      </w:r>
      <w:r w:rsidR="00DC5975">
        <w:t xml:space="preserve">. </w:t>
      </w:r>
      <w:r w:rsidR="006D20A6">
        <w:t xml:space="preserve"> </w:t>
      </w:r>
      <w:r w:rsidR="00673F7E">
        <w:t xml:space="preserve">The above table </w:t>
      </w:r>
      <w:r w:rsidR="00DC5975">
        <w:t xml:space="preserve">further </w:t>
      </w:r>
      <w:r w:rsidR="00673F7E">
        <w:t xml:space="preserve">shows </w:t>
      </w:r>
      <w:r w:rsidR="00DC5975">
        <w:t xml:space="preserve">that </w:t>
      </w:r>
      <w:r w:rsidR="00673F7E">
        <w:t xml:space="preserve">the </w:t>
      </w:r>
      <w:r w:rsidR="00DC5975">
        <w:t>same</w:t>
      </w:r>
      <w:r w:rsidR="00673F7E">
        <w:t xml:space="preserve"> pole with a 7</w:t>
      </w:r>
      <w:r w:rsidR="00673F7E">
        <w:noBreakHyphen/>
        <w:t xml:space="preserve">foot pole-top extension </w:t>
      </w:r>
      <w:r w:rsidR="00CE1DE6">
        <w:t xml:space="preserve">will topple when </w:t>
      </w:r>
      <w:r w:rsidR="00B37E09">
        <w:t xml:space="preserve">overturning moment </w:t>
      </w:r>
      <w:r w:rsidR="00CE1DE6">
        <w:t>reaches</w:t>
      </w:r>
      <w:r w:rsidR="00673F7E">
        <w:t xml:space="preserve"> </w:t>
      </w:r>
      <w:r w:rsidR="00DD2183">
        <w:t>55</w:t>
      </w:r>
      <w:r w:rsidR="00673F7E">
        <w:t>,</w:t>
      </w:r>
      <w:r w:rsidR="00DD2183">
        <w:t>411 </w:t>
      </w:r>
      <w:r w:rsidR="00673F7E">
        <w:t>fp</w:t>
      </w:r>
      <w:r w:rsidR="00DC5975">
        <w:t xml:space="preserve">., </w:t>
      </w:r>
      <w:r w:rsidR="00B37E09">
        <w:t xml:space="preserve">which is significantly </w:t>
      </w:r>
      <w:r w:rsidR="00DC5975">
        <w:t>less than the bending moment.</w:t>
      </w:r>
      <w:r w:rsidR="00A72043">
        <w:rPr>
          <w:rStyle w:val="FootnoteReference"/>
        </w:rPr>
        <w:footnoteReference w:id="118"/>
      </w:r>
      <w:r w:rsidR="00DC5975">
        <w:t xml:space="preserve">  </w:t>
      </w:r>
      <w:r w:rsidR="003641BD">
        <w:t>From this information, we find that calculati</w:t>
      </w:r>
      <w:r w:rsidR="000E48C4">
        <w:t xml:space="preserve">ng </w:t>
      </w:r>
      <w:r w:rsidR="003641BD">
        <w:lastRenderedPageBreak/>
        <w:t xml:space="preserve">the allowable bending moment for a pole </w:t>
      </w:r>
      <w:r w:rsidR="001A04C6">
        <w:t xml:space="preserve">will not </w:t>
      </w:r>
      <w:r w:rsidR="003641BD">
        <w:t>ensure that the pole is within the allowable overturning moment.</w:t>
      </w:r>
      <w:r w:rsidR="00724C97">
        <w:rPr>
          <w:rStyle w:val="FootnoteReference"/>
        </w:rPr>
        <w:footnoteReference w:id="119"/>
      </w:r>
      <w:r w:rsidR="003641BD">
        <w:t xml:space="preserve">  </w:t>
      </w:r>
    </w:p>
    <w:p w:rsidR="00D71483" w:rsidRDefault="005A252D" w:rsidP="00F736C3">
      <w:pPr>
        <w:pStyle w:val="standard"/>
      </w:pPr>
      <w:r>
        <w:t xml:space="preserve">We disagree with the argument raised by AT&amp;T Mobility and other parties that </w:t>
      </w:r>
      <w:r w:rsidR="0010668E">
        <w:t xml:space="preserve">the adopted Rule 94.11 </w:t>
      </w:r>
      <w:r>
        <w:t xml:space="preserve">is </w:t>
      </w:r>
      <w:r w:rsidR="00CB6491">
        <w:t>unduly</w:t>
      </w:r>
      <w:r>
        <w:t xml:space="preserve"> discriminatory </w:t>
      </w:r>
      <w:r w:rsidR="0010668E">
        <w:t xml:space="preserve">because it </w:t>
      </w:r>
      <w:r>
        <w:t xml:space="preserve">applies only to </w:t>
      </w:r>
      <w:r w:rsidR="00035997">
        <w:t>wireless pole-top installations</w:t>
      </w:r>
      <w:r>
        <w:t xml:space="preserve">. </w:t>
      </w:r>
      <w:r w:rsidR="00C313BB">
        <w:t xml:space="preserve"> It is indisputable that pole-top </w:t>
      </w:r>
      <w:r w:rsidR="00035997">
        <w:t>antennas</w:t>
      </w:r>
      <w:r w:rsidR="00C313BB">
        <w:t xml:space="preserve"> increase the overturning </w:t>
      </w:r>
      <w:r w:rsidR="00514433">
        <w:t>moment</w:t>
      </w:r>
      <w:r w:rsidR="00C313BB">
        <w:t xml:space="preserve">.  </w:t>
      </w:r>
      <w:r w:rsidR="00D71483">
        <w:t>Acceding to AT&amp;T Mobility’s position would have the unacceptable result of allow</w:t>
      </w:r>
      <w:r w:rsidR="00AB6DAD">
        <w:t>ing</w:t>
      </w:r>
      <w:r w:rsidR="00D71483">
        <w:t xml:space="preserve"> CMRS carriers to install pole-top antennas without regard to the </w:t>
      </w:r>
      <w:r w:rsidR="00126F7B">
        <w:t>increased</w:t>
      </w:r>
      <w:r w:rsidR="00D71483">
        <w:t xml:space="preserve"> </w:t>
      </w:r>
      <w:r w:rsidR="00AB6DAD">
        <w:t xml:space="preserve">risk of </w:t>
      </w:r>
      <w:r w:rsidR="00D71483">
        <w:t>overtur</w:t>
      </w:r>
      <w:r w:rsidR="00AB6DAD">
        <w:t>n</w:t>
      </w:r>
      <w:r w:rsidR="00D71483">
        <w:t xml:space="preserve">ing </w:t>
      </w:r>
      <w:r w:rsidR="00AB6DAD">
        <w:t>caused</w:t>
      </w:r>
      <w:r w:rsidR="00D71483">
        <w:t xml:space="preserve"> by such attachments.  </w:t>
      </w:r>
    </w:p>
    <w:p w:rsidR="003A5917" w:rsidRDefault="00995ECD" w:rsidP="00F736C3">
      <w:pPr>
        <w:pStyle w:val="standard"/>
      </w:pPr>
      <w:r>
        <w:t xml:space="preserve">At the same time, we </w:t>
      </w:r>
      <w:r w:rsidR="00BF15C8">
        <w:t xml:space="preserve">recognize that </w:t>
      </w:r>
      <w:r w:rsidR="00F671E7">
        <w:t xml:space="preserve">all pole-top installations </w:t>
      </w:r>
      <w:r w:rsidR="00BF15C8">
        <w:t xml:space="preserve">increase the risk of overturning, </w:t>
      </w:r>
      <w:r>
        <w:t xml:space="preserve">not just wireless </w:t>
      </w:r>
      <w:r w:rsidR="000F4F3B">
        <w:t xml:space="preserve">pole-top </w:t>
      </w:r>
      <w:r>
        <w:t xml:space="preserve">installations.  </w:t>
      </w:r>
      <w:r w:rsidR="00A359CC">
        <w:t>However,</w:t>
      </w:r>
      <w:r>
        <w:t xml:space="preserve"> </w:t>
      </w:r>
      <w:r w:rsidR="00C659AE">
        <w:t xml:space="preserve">the scope of this proceeding is limited to CMRS </w:t>
      </w:r>
      <w:r w:rsidR="00BF15C8">
        <w:t>carriers and installations</w:t>
      </w:r>
      <w:r w:rsidR="00C659AE">
        <w:t xml:space="preserve">.  </w:t>
      </w:r>
      <w:r w:rsidR="00E56A2B">
        <w:t>Consequently, w</w:t>
      </w:r>
      <w:r w:rsidR="00BF15C8">
        <w:t xml:space="preserve">e </w:t>
      </w:r>
      <w:r w:rsidR="003A5917">
        <w:t>cannot</w:t>
      </w:r>
      <w:r w:rsidR="00BF15C8">
        <w:t xml:space="preserve"> adopt GO</w:t>
      </w:r>
      <w:r w:rsidR="00702C20">
        <w:t> </w:t>
      </w:r>
      <w:r w:rsidR="00BF15C8">
        <w:t xml:space="preserve">95 rules in this proceeding that </w:t>
      </w:r>
      <w:r w:rsidR="00702C20">
        <w:t xml:space="preserve">extend beyond CMRS installations.  </w:t>
      </w:r>
      <w:r w:rsidR="00D71483">
        <w:t xml:space="preserve">Nonetheless, to ensure that </w:t>
      </w:r>
      <w:r w:rsidR="00702C20">
        <w:t>the increased overturning risks associated with pole-top at</w:t>
      </w:r>
      <w:r w:rsidR="003A5917">
        <w:t>t</w:t>
      </w:r>
      <w:r w:rsidR="00702C20">
        <w:t>achments are</w:t>
      </w:r>
      <w:r w:rsidR="00D71483">
        <w:t xml:space="preserve"> addressed and resolved, w</w:t>
      </w:r>
      <w:r w:rsidR="0040493F">
        <w:t xml:space="preserve">e will direct SED to </w:t>
      </w:r>
      <w:r w:rsidR="00922692">
        <w:t>develop a proposed rule for inclusion in GO 95 that is similar to Rule 94.11 adopted by today’s decision, but which applies to all pole</w:t>
      </w:r>
      <w:r w:rsidR="007116A7">
        <w:t>-top</w:t>
      </w:r>
      <w:r w:rsidR="000F4F3B">
        <w:t xml:space="preserve"> </w:t>
      </w:r>
      <w:r w:rsidR="00922692">
        <w:t xml:space="preserve">installations.  </w:t>
      </w:r>
      <w:r w:rsidR="003A5917">
        <w:t xml:space="preserve">The proposed rule may modify or replace Rule 94.11 adopted by today’s decision, and may apply to facilities other than pole-top installations.  </w:t>
      </w:r>
    </w:p>
    <w:p w:rsidR="005A252D" w:rsidRDefault="00922692" w:rsidP="00F736C3">
      <w:pPr>
        <w:pStyle w:val="standard"/>
      </w:pPr>
      <w:r>
        <w:t>In developing the proposed rul</w:t>
      </w:r>
      <w:r w:rsidR="00C659AE">
        <w:t xml:space="preserve">e, SED shall confer with </w:t>
      </w:r>
      <w:r w:rsidR="00B37E09">
        <w:t xml:space="preserve">the </w:t>
      </w:r>
      <w:r w:rsidR="00C659AE">
        <w:t>GO 95 R</w:t>
      </w:r>
      <w:r>
        <w:t xml:space="preserve">ules Committee.  SED shall submit the proposed rule within </w:t>
      </w:r>
      <w:r w:rsidR="00366990">
        <w:t xml:space="preserve">12 </w:t>
      </w:r>
      <w:r>
        <w:t xml:space="preserve">months from the effective date of today’s decision by filing a petition for rulemaking pursuant to </w:t>
      </w:r>
      <w:r>
        <w:lastRenderedPageBreak/>
        <w:t xml:space="preserve">Rule 6.3 of the Commission’s Rules of Practice and Procedure.  </w:t>
      </w:r>
      <w:r w:rsidR="00C659AE">
        <w:t xml:space="preserve">The </w:t>
      </w:r>
      <w:r>
        <w:t xml:space="preserve">petition </w:t>
      </w:r>
      <w:r w:rsidR="00C659AE">
        <w:t xml:space="preserve">may be filed </w:t>
      </w:r>
      <w:r>
        <w:t xml:space="preserve">in </w:t>
      </w:r>
      <w:r w:rsidR="00C21C07">
        <w:t>collaboration</w:t>
      </w:r>
      <w:r>
        <w:t xml:space="preserve"> with other parties.</w:t>
      </w:r>
      <w:r w:rsidR="00880438">
        <w:t xml:space="preserve">  </w:t>
      </w:r>
    </w:p>
    <w:p w:rsidR="00FF0293" w:rsidRDefault="00EE30D5" w:rsidP="00F736C3">
      <w:pPr>
        <w:pStyle w:val="standard"/>
      </w:pPr>
      <w:r>
        <w:t xml:space="preserve">In its comments on the </w:t>
      </w:r>
      <w:r w:rsidR="00D55527">
        <w:t>p</w:t>
      </w:r>
      <w:r>
        <w:t xml:space="preserve">roposed </w:t>
      </w:r>
      <w:r w:rsidR="00D55527">
        <w:t>d</w:t>
      </w:r>
      <w:r>
        <w:t xml:space="preserve">ecision, AT&amp;T Mobility </w:t>
      </w:r>
      <w:r w:rsidR="00CD04E7">
        <w:t>expresses</w:t>
      </w:r>
      <w:r>
        <w:t xml:space="preserve"> surprise that today’s Decision would require an overturning calculation to determine if a </w:t>
      </w:r>
      <w:r w:rsidR="00B94F47">
        <w:t xml:space="preserve">pole is set deeply enough to </w:t>
      </w:r>
      <w:r>
        <w:t>safely support a CMRS pole-top attachment.  According to AT&amp;T, this calculation “was not specially proposed by any party to the proceeding, and… parties have not had an opportunity… to comment on its appropriateness.</w:t>
      </w:r>
      <w:r>
        <w:rPr>
          <w:rStyle w:val="FootnoteReference"/>
        </w:rPr>
        <w:footnoteReference w:id="120"/>
      </w:r>
      <w:r>
        <w:t xml:space="preserve">”  In reality, </w:t>
      </w:r>
      <w:r w:rsidR="00BF1A66">
        <w:t>the record of this proceeding includes overturning calculations submitted by the Electric</w:t>
      </w:r>
      <w:r w:rsidR="00CD04E7">
        <w:t> </w:t>
      </w:r>
      <w:r w:rsidR="00BF1A66">
        <w:t>IOUs.</w:t>
      </w:r>
      <w:r w:rsidR="00E76A76">
        <w:rPr>
          <w:rStyle w:val="FootnoteReference"/>
        </w:rPr>
        <w:footnoteReference w:id="121"/>
      </w:r>
      <w:r w:rsidR="00BF1A66">
        <w:t xml:space="preserve">  AT&amp;T</w:t>
      </w:r>
      <w:r w:rsidR="00CD04E7">
        <w:t> </w:t>
      </w:r>
      <w:r w:rsidR="00BF1A66">
        <w:t xml:space="preserve">Mobility </w:t>
      </w:r>
      <w:r w:rsidR="00F34358">
        <w:t xml:space="preserve">relied on </w:t>
      </w:r>
      <w:r w:rsidR="00BF1A66">
        <w:t>these overturning calculations to argue that SED’s proposed Rule 94.11 is unnecessary.</w:t>
      </w:r>
      <w:r w:rsidR="00E76A76">
        <w:rPr>
          <w:rStyle w:val="FootnoteReference"/>
        </w:rPr>
        <w:footnoteReference w:id="122"/>
      </w:r>
      <w:r w:rsidR="00BF1A66">
        <w:t xml:space="preserve">  </w:t>
      </w:r>
      <w:r w:rsidR="00F34358">
        <w:t xml:space="preserve">Today’s decision adopts TURN’s suggestion </w:t>
      </w:r>
      <w:r w:rsidR="00E76A76">
        <w:t xml:space="preserve">that </w:t>
      </w:r>
      <w:r w:rsidR="00FF0293">
        <w:t xml:space="preserve">overturning calculations </w:t>
      </w:r>
      <w:r w:rsidR="00F34358">
        <w:t>can safely substitute for a blanket and costly requirement to reset poles</w:t>
      </w:r>
      <w:r w:rsidR="00FF0293">
        <w:t>.</w:t>
      </w:r>
      <w:r w:rsidR="00FF0293">
        <w:rPr>
          <w:rStyle w:val="FootnoteReference"/>
        </w:rPr>
        <w:footnoteReference w:id="123"/>
      </w:r>
      <w:r w:rsidR="00FF0293">
        <w:t xml:space="preserve">  </w:t>
      </w:r>
    </w:p>
    <w:p w:rsidR="00B94F47" w:rsidRDefault="002F54E1" w:rsidP="00F736C3">
      <w:pPr>
        <w:pStyle w:val="standard"/>
      </w:pPr>
      <w:r>
        <w:t>We disagree with AT&amp;T Mobility</w:t>
      </w:r>
      <w:r w:rsidR="00584744">
        <w:t>’s and CCTA’s</w:t>
      </w:r>
      <w:r>
        <w:t xml:space="preserve"> comments on the </w:t>
      </w:r>
      <w:r w:rsidR="00D55527">
        <w:t>p</w:t>
      </w:r>
      <w:r>
        <w:t xml:space="preserve">roposed </w:t>
      </w:r>
      <w:r w:rsidR="00D55527">
        <w:t>d</w:t>
      </w:r>
      <w:r>
        <w:t xml:space="preserve">ecision that there is no evidence that </w:t>
      </w:r>
      <w:r w:rsidR="00584744">
        <w:t xml:space="preserve">requiring </w:t>
      </w:r>
      <w:r>
        <w:t>an overturning calculation will enhance safety.</w:t>
      </w:r>
      <w:r>
        <w:rPr>
          <w:rStyle w:val="FootnoteReference"/>
        </w:rPr>
        <w:footnoteReference w:id="124"/>
      </w:r>
      <w:r>
        <w:t xml:space="preserve">  </w:t>
      </w:r>
      <w:r w:rsidR="00B94F47">
        <w:t xml:space="preserve">CTIA correctly notes that the record </w:t>
      </w:r>
      <w:r w:rsidR="00584744">
        <w:t xml:space="preserve">of this proceeding </w:t>
      </w:r>
      <w:r w:rsidR="00B94F47">
        <w:t>demonstrates that an overturning calculation is key to ensuring that a pole is set deep enough to safely support a pole-top attachment:</w:t>
      </w:r>
    </w:p>
    <w:p w:rsidR="001C6AD0" w:rsidRDefault="001C6AD0" w:rsidP="001C6AD0">
      <w:pPr>
        <w:pStyle w:val="StandardQuotation"/>
      </w:pPr>
      <w:r>
        <w:lastRenderedPageBreak/>
        <w:t>As explained in AT&amp;T’s</w:t>
      </w:r>
      <w:r>
        <w:rPr>
          <w:sz w:val="16"/>
          <w:szCs w:val="16"/>
        </w:rPr>
        <w:t xml:space="preserve"> </w:t>
      </w:r>
      <w:r>
        <w:t>and CCTA’s Opening Comments</w:t>
      </w:r>
      <w:r w:rsidR="00584744">
        <w:t xml:space="preserve"> [filed on April 7, 2015]</w:t>
      </w:r>
      <w:r>
        <w:t>,</w:t>
      </w:r>
      <w:r>
        <w:rPr>
          <w:sz w:val="16"/>
          <w:szCs w:val="16"/>
        </w:rPr>
        <w:t xml:space="preserve"> </w:t>
      </w:r>
      <w:r>
        <w:t>and as illustrated through the calculations supplied by the Electric IOUs in the Workshop Report,</w:t>
      </w:r>
      <w:r>
        <w:rPr>
          <w:sz w:val="16"/>
          <w:szCs w:val="16"/>
        </w:rPr>
        <w:t xml:space="preserve"> </w:t>
      </w:r>
      <w:r>
        <w:t xml:space="preserve">the key elements in determining whether the pole is set at a sufficient depth for the attachment are the nature of the soil </w:t>
      </w:r>
      <w:r>
        <w:rPr>
          <w:rFonts w:ascii="TimesNewRomanPS-ItalicMT" w:hAnsi="TimesNewRomanPS-ItalicMT" w:cs="TimesNewRomanPS-ItalicMT"/>
          <w:i/>
          <w:iCs/>
        </w:rPr>
        <w:t xml:space="preserve">(i.e., </w:t>
      </w:r>
      <w:r>
        <w:t>the soil resistance) and the calculated bending/overturning moment. (CTIA</w:t>
      </w:r>
      <w:r w:rsidR="00584744">
        <w:t> </w:t>
      </w:r>
      <w:r>
        <w:t>Reply Comments (April</w:t>
      </w:r>
      <w:r w:rsidR="00584744">
        <w:t> </w:t>
      </w:r>
      <w:r>
        <w:t xml:space="preserve">24, 2015), at 10.  Footnotes omitted.)  </w:t>
      </w:r>
    </w:p>
    <w:p w:rsidR="001C6AD0" w:rsidRDefault="001C6AD0" w:rsidP="001C6AD0">
      <w:pPr>
        <w:pStyle w:val="standard"/>
      </w:pPr>
      <w:r>
        <w:t xml:space="preserve">The overturning calculation required by today’s Decision will ensure that the pole is set at a sufficient depth (or other measures are taken) based on the nature of the soil and the calculated overturning moment.   </w:t>
      </w:r>
    </w:p>
    <w:p w:rsidR="006F5D36" w:rsidRDefault="006F5D36" w:rsidP="00A845DC">
      <w:pPr>
        <w:pStyle w:val="Heading5"/>
      </w:pPr>
      <w:bookmarkStart w:id="115" w:name="_Toc436134587"/>
      <w:bookmarkStart w:id="116" w:name="_Toc436224220"/>
      <w:bookmarkStart w:id="117" w:name="_Toc436227660"/>
      <w:bookmarkStart w:id="118" w:name="_Toc436640255"/>
      <w:bookmarkStart w:id="119" w:name="_Toc436647371"/>
      <w:bookmarkStart w:id="120" w:name="_Toc436647372"/>
      <w:bookmarkEnd w:id="115"/>
      <w:bookmarkEnd w:id="116"/>
      <w:bookmarkEnd w:id="117"/>
      <w:bookmarkEnd w:id="118"/>
      <w:bookmarkEnd w:id="119"/>
      <w:r>
        <w:t>Proposed Rule 94.</w:t>
      </w:r>
      <w:r w:rsidR="00C42A02">
        <w:t>3-C(1)</w:t>
      </w:r>
      <w:bookmarkEnd w:id="120"/>
      <w:r w:rsidR="00C42A02">
        <w:t xml:space="preserve"> </w:t>
      </w:r>
      <w:r>
        <w:t xml:space="preserve"> </w:t>
      </w:r>
    </w:p>
    <w:p w:rsidR="005A252D" w:rsidRDefault="00C42A02" w:rsidP="00F736C3">
      <w:pPr>
        <w:pStyle w:val="standard"/>
      </w:pPr>
      <w:r>
        <w:t>We decline to adopt PG&amp;E</w:t>
      </w:r>
      <w:r w:rsidR="00A96360">
        <w:t>’s</w:t>
      </w:r>
      <w:r>
        <w:t xml:space="preserve"> proposed Rule 94.3-C(1), which would (1) prohibit a pole-top extension from being added to the length of a pole when determining the pole</w:t>
      </w:r>
      <w:r>
        <w:noBreakHyphen/>
        <w:t>setting depth required by Rule 49.1-C; and (2) require that when a pole-top extension for an antenna is installed, “consideration shall be given to affirm the overturning moment is not exceeded.”</w:t>
      </w:r>
    </w:p>
    <w:p w:rsidR="00A17A99" w:rsidRDefault="00C42A02" w:rsidP="00C659AE">
      <w:pPr>
        <w:pStyle w:val="standard"/>
      </w:pPr>
      <w:r>
        <w:t xml:space="preserve">We reject the </w:t>
      </w:r>
      <w:r w:rsidR="00C659AE">
        <w:t xml:space="preserve">first </w:t>
      </w:r>
      <w:r>
        <w:t xml:space="preserve">part of PG&amp;E’s proposed rule </w:t>
      </w:r>
      <w:r w:rsidR="00A96360">
        <w:t>that</w:t>
      </w:r>
      <w:r>
        <w:t xml:space="preserve"> would prohibit a pole-top extension from being added to the length of a pole when determining the pole-setting depth required by Rule 49.1-C.  We fail to se</w:t>
      </w:r>
      <w:r w:rsidR="00C659AE">
        <w:t>e how this could enhance safety</w:t>
      </w:r>
      <w:r>
        <w:t>.  As such, it is outside the</w:t>
      </w:r>
      <w:r w:rsidR="00A96360">
        <w:t xml:space="preserve"> </w:t>
      </w:r>
      <w:r>
        <w:t xml:space="preserve">scope of this proceeding.  </w:t>
      </w:r>
    </w:p>
    <w:p w:rsidR="00C42A02" w:rsidRDefault="00E1492C" w:rsidP="00FB1ED7">
      <w:pPr>
        <w:pStyle w:val="standard"/>
      </w:pPr>
      <w:r>
        <w:t>W</w:t>
      </w:r>
      <w:r w:rsidR="00C42A02">
        <w:t xml:space="preserve">e agree to some extent with </w:t>
      </w:r>
      <w:r w:rsidR="00C659AE">
        <w:t>th</w:t>
      </w:r>
      <w:r w:rsidR="00C21C07">
        <w:t>e</w:t>
      </w:r>
      <w:r w:rsidR="00C659AE">
        <w:t xml:space="preserve"> second part of </w:t>
      </w:r>
      <w:r w:rsidR="00C42A02">
        <w:t>PG&amp;E’s proposed rule that "consideration</w:t>
      </w:r>
      <w:r w:rsidR="00A96360">
        <w:t xml:space="preserve"> shall</w:t>
      </w:r>
      <w:r w:rsidR="00C42A02">
        <w:t xml:space="preserve"> be given to affirm the overturning moment is not exceeded” when a pole-top antenna is added to a pole.  However, </w:t>
      </w:r>
      <w:r>
        <w:t xml:space="preserve">it is not clear what is intended by </w:t>
      </w:r>
      <w:r w:rsidR="00C42A02">
        <w:t xml:space="preserve">the term “consideration.”  </w:t>
      </w:r>
      <w:r w:rsidR="00C659AE">
        <w:t xml:space="preserve">This defect is not in </w:t>
      </w:r>
      <w:r w:rsidR="004A3B37">
        <w:t xml:space="preserve">the </w:t>
      </w:r>
      <w:r w:rsidR="00C42A02">
        <w:t>Rule 94.11 adopted by today’s decision</w:t>
      </w:r>
      <w:r w:rsidR="00C659AE">
        <w:t xml:space="preserve">, which </w:t>
      </w:r>
      <w:r w:rsidR="00562B3B">
        <w:t xml:space="preserve">identifies the specific steps that must be taken to ensure that </w:t>
      </w:r>
      <w:r w:rsidR="00C42A02">
        <w:t xml:space="preserve">the </w:t>
      </w:r>
      <w:r w:rsidR="00562B3B">
        <w:t xml:space="preserve">allowed </w:t>
      </w:r>
      <w:r w:rsidR="004014F9">
        <w:t xml:space="preserve">pole </w:t>
      </w:r>
      <w:r w:rsidR="00C42A02">
        <w:t xml:space="preserve">overturning moment is not exceeded. </w:t>
      </w:r>
    </w:p>
    <w:p w:rsidR="00906066" w:rsidRDefault="00AF5FC0" w:rsidP="005719C6">
      <w:pPr>
        <w:pStyle w:val="Heading3"/>
      </w:pPr>
      <w:bookmarkStart w:id="121" w:name="_Toc436647373"/>
      <w:r>
        <w:lastRenderedPageBreak/>
        <w:t xml:space="preserve">Proposed </w:t>
      </w:r>
      <w:r w:rsidR="00906066">
        <w:t>New Rule 94.12 (</w:t>
      </w:r>
      <w:r w:rsidR="008C4CFF">
        <w:t xml:space="preserve">Personnel </w:t>
      </w:r>
      <w:r w:rsidR="00906066">
        <w:t>Access to Pole</w:t>
      </w:r>
      <w:r w:rsidR="008C4CFF">
        <w:noBreakHyphen/>
      </w:r>
      <w:r w:rsidR="00906066">
        <w:t>Top Antennas)</w:t>
      </w:r>
      <w:bookmarkEnd w:id="121"/>
      <w:r w:rsidR="00906066">
        <w:t xml:space="preserve"> </w:t>
      </w:r>
    </w:p>
    <w:p w:rsidR="00906066" w:rsidRDefault="00906066" w:rsidP="00A845DC">
      <w:pPr>
        <w:pStyle w:val="Heading4"/>
      </w:pPr>
      <w:bookmarkStart w:id="122" w:name="_Toc436647374"/>
      <w:r>
        <w:t>Summary of the Proposal</w:t>
      </w:r>
      <w:bookmarkEnd w:id="122"/>
      <w:r>
        <w:t xml:space="preserve"> </w:t>
      </w:r>
    </w:p>
    <w:p w:rsidR="00FB1ED7" w:rsidRDefault="00460CA5" w:rsidP="00B717D8">
      <w:pPr>
        <w:pStyle w:val="standard"/>
      </w:pPr>
      <w:r>
        <w:t>SED’s proposed Rule</w:t>
      </w:r>
      <w:r w:rsidR="008C4CFF">
        <w:t> </w:t>
      </w:r>
      <w:r>
        <w:t>94.1</w:t>
      </w:r>
      <w:r w:rsidR="009A2E9B">
        <w:t>2</w:t>
      </w:r>
      <w:r>
        <w:t xml:space="preserve"> would </w:t>
      </w:r>
      <w:r w:rsidR="00CB6491">
        <w:t>require</w:t>
      </w:r>
      <w:r>
        <w:t xml:space="preserve"> that all elements of a pole-top antenna installation that are placed above supply lines be installed, maintained, </w:t>
      </w:r>
      <w:r w:rsidR="00AE2D3F">
        <w:t>o</w:t>
      </w:r>
      <w:r>
        <w:t>r physically access</w:t>
      </w:r>
      <w:r w:rsidR="00AE2D3F">
        <w:t>ed</w:t>
      </w:r>
      <w:r>
        <w:t xml:space="preserve"> </w:t>
      </w:r>
      <w:r w:rsidR="00AE2D3F">
        <w:t>by</w:t>
      </w:r>
      <w:r>
        <w:t xml:space="preserve"> employees of the </w:t>
      </w:r>
      <w:r w:rsidR="00AE2D3F">
        <w:t>owner of the supply system, its contractors, or other qualified electrical workers that are authorized by the owner of the supply system.  The text of SED’s proposed Rule</w:t>
      </w:r>
      <w:r w:rsidR="000702F4">
        <w:t> </w:t>
      </w:r>
      <w:r w:rsidR="00AE2D3F">
        <w:t>94.12 is contained in Appendix</w:t>
      </w:r>
      <w:r w:rsidR="000702F4">
        <w:t> </w:t>
      </w:r>
      <w:r w:rsidR="00AE2D3F">
        <w:t>B of today’s decision.</w:t>
      </w:r>
    </w:p>
    <w:p w:rsidR="00AE2D3F" w:rsidRDefault="00CB6491" w:rsidP="00B717D8">
      <w:pPr>
        <w:pStyle w:val="standard"/>
      </w:pPr>
      <w:r>
        <w:t>SED</w:t>
      </w:r>
      <w:r w:rsidR="00AE2D3F">
        <w:t xml:space="preserve"> did not perform an economic or cost-benefit </w:t>
      </w:r>
      <w:r>
        <w:t>analysis</w:t>
      </w:r>
      <w:r w:rsidR="00AE2D3F">
        <w:t xml:space="preserve"> of its proposed Rule 94.12.  SED does not </w:t>
      </w:r>
      <w:r>
        <w:t>anticipate</w:t>
      </w:r>
      <w:r w:rsidR="00AE2D3F">
        <w:t xml:space="preserve"> that its proposed rule will have any significant environmental impacts.  </w:t>
      </w:r>
    </w:p>
    <w:p w:rsidR="00460CA5" w:rsidRDefault="00460CA5" w:rsidP="00A845DC">
      <w:pPr>
        <w:pStyle w:val="Heading4"/>
      </w:pPr>
      <w:bookmarkStart w:id="123" w:name="_Toc436647375"/>
      <w:r>
        <w:t>Positions of the Parties</w:t>
      </w:r>
      <w:bookmarkEnd w:id="123"/>
      <w:r>
        <w:t xml:space="preserve">  </w:t>
      </w:r>
    </w:p>
    <w:p w:rsidR="005E73EC" w:rsidRDefault="000702F4" w:rsidP="00723A07">
      <w:pPr>
        <w:pStyle w:val="standard"/>
      </w:pPr>
      <w:r>
        <w:t xml:space="preserve">The purpose of </w:t>
      </w:r>
      <w:r w:rsidR="008E6574">
        <w:t xml:space="preserve">SED’s </w:t>
      </w:r>
      <w:r w:rsidR="00723A07" w:rsidRPr="00E159BB">
        <w:t>propos</w:t>
      </w:r>
      <w:r w:rsidR="008E6574">
        <w:t xml:space="preserve">ed </w:t>
      </w:r>
      <w:r w:rsidR="00C61ABA">
        <w:t>Rule 94.12</w:t>
      </w:r>
      <w:r w:rsidR="008E6574">
        <w:t xml:space="preserve"> is to </w:t>
      </w:r>
      <w:r w:rsidR="00723A07" w:rsidRPr="00E159BB">
        <w:t xml:space="preserve">ensure that only qualified electrical workers perform work </w:t>
      </w:r>
      <w:r w:rsidR="00C61ABA">
        <w:t xml:space="preserve">on CMRS facilities </w:t>
      </w:r>
      <w:r>
        <w:t>above</w:t>
      </w:r>
      <w:r w:rsidR="00723A07" w:rsidRPr="00E159BB">
        <w:t xml:space="preserve"> </w:t>
      </w:r>
      <w:r w:rsidR="008E6574">
        <w:t>supply</w:t>
      </w:r>
      <w:r w:rsidR="00723A07" w:rsidRPr="00E159BB">
        <w:t xml:space="preserve"> lines. </w:t>
      </w:r>
      <w:r w:rsidR="00723A07">
        <w:t xml:space="preserve"> </w:t>
      </w:r>
      <w:r w:rsidR="008E6574">
        <w:t>SED believes that because electric utilit</w:t>
      </w:r>
      <w:r w:rsidR="009060D2">
        <w:t xml:space="preserve">y </w:t>
      </w:r>
      <w:r w:rsidR="00723A07" w:rsidRPr="00E159BB">
        <w:t>employ</w:t>
      </w:r>
      <w:r w:rsidR="009060D2">
        <w:t xml:space="preserve">ees and </w:t>
      </w:r>
      <w:r w:rsidR="005E73EC">
        <w:t>contract</w:t>
      </w:r>
      <w:r w:rsidR="009060D2">
        <w:t xml:space="preserve">ors </w:t>
      </w:r>
      <w:r w:rsidR="00723A07" w:rsidRPr="00E159BB">
        <w:t xml:space="preserve">are </w:t>
      </w:r>
      <w:r w:rsidR="005E73EC">
        <w:t xml:space="preserve">well </w:t>
      </w:r>
      <w:r w:rsidR="00723A07" w:rsidRPr="00E159BB">
        <w:t xml:space="preserve">qualified to perform work </w:t>
      </w:r>
      <w:r w:rsidR="00C31349">
        <w:t xml:space="preserve">in the dangerous environment </w:t>
      </w:r>
      <w:r w:rsidR="009060D2">
        <w:t>near</w:t>
      </w:r>
      <w:r w:rsidR="00723A07" w:rsidRPr="00E159BB">
        <w:t xml:space="preserve"> </w:t>
      </w:r>
      <w:r w:rsidR="005E73EC">
        <w:t xml:space="preserve">supply </w:t>
      </w:r>
      <w:r w:rsidR="00723A07" w:rsidRPr="00E159BB">
        <w:t>lines</w:t>
      </w:r>
      <w:r w:rsidR="008E6574">
        <w:t xml:space="preserve">, </w:t>
      </w:r>
      <w:r w:rsidR="005E73EC">
        <w:t xml:space="preserve">safety would be enhanced if all work on </w:t>
      </w:r>
      <w:r w:rsidR="00C61ABA">
        <w:t xml:space="preserve">wireless </w:t>
      </w:r>
      <w:r w:rsidR="005E73EC">
        <w:t xml:space="preserve">facilities above supply lines were performed by employees </w:t>
      </w:r>
      <w:r w:rsidR="00326E7B">
        <w:t xml:space="preserve">and contractors </w:t>
      </w:r>
      <w:r w:rsidR="005E73EC">
        <w:t>of the electric uti</w:t>
      </w:r>
      <w:r w:rsidR="00326E7B">
        <w:t>lity that owns the supply lines</w:t>
      </w:r>
      <w:r w:rsidR="005E73EC">
        <w:t xml:space="preserve">.  </w:t>
      </w:r>
    </w:p>
    <w:p w:rsidR="00552A10" w:rsidRDefault="00552A10" w:rsidP="00552A10">
      <w:pPr>
        <w:pStyle w:val="standard"/>
      </w:pPr>
      <w:r>
        <w:t>SED’s proposed rule is supported by CFC, IBEW 1245, and TURN.  IBEW</w:t>
      </w:r>
      <w:r w:rsidR="00373833">
        <w:t> </w:t>
      </w:r>
      <w:r>
        <w:t xml:space="preserve">1245 states that the </w:t>
      </w:r>
      <w:r w:rsidR="00373833">
        <w:t xml:space="preserve">proposed </w:t>
      </w:r>
      <w:r>
        <w:t xml:space="preserve">rule </w:t>
      </w:r>
      <w:r w:rsidR="00373833">
        <w:t xml:space="preserve">would </w:t>
      </w:r>
      <w:r>
        <w:t>codif</w:t>
      </w:r>
      <w:r w:rsidR="00373833">
        <w:t>y</w:t>
      </w:r>
      <w:r>
        <w:t xml:space="preserve"> the long-standing </w:t>
      </w:r>
      <w:r w:rsidR="00373833">
        <w:t xml:space="preserve">safety </w:t>
      </w:r>
      <w:r>
        <w:t xml:space="preserve">practice that only authorized and properly trained personnel can work in proximity to </w:t>
      </w:r>
      <w:r w:rsidR="009060D2">
        <w:t>supply</w:t>
      </w:r>
      <w:r w:rsidR="00373833">
        <w:t xml:space="preserve"> lines.  </w:t>
      </w:r>
      <w:r>
        <w:t xml:space="preserve">TURN </w:t>
      </w:r>
      <w:r w:rsidR="00B0094B">
        <w:t>believes</w:t>
      </w:r>
      <w:r>
        <w:t xml:space="preserve"> the proposed rule </w:t>
      </w:r>
      <w:r w:rsidR="00373833">
        <w:t>would</w:t>
      </w:r>
      <w:r>
        <w:t xml:space="preserve"> promote safe working practices near supply lines.  </w:t>
      </w:r>
      <w:r w:rsidR="00B0094B">
        <w:t xml:space="preserve">TURN does not anticipate that </w:t>
      </w:r>
      <w:r w:rsidR="00C84355">
        <w:t>SED’s propose</w:t>
      </w:r>
      <w:r w:rsidR="005C2349">
        <w:t>d</w:t>
      </w:r>
      <w:r w:rsidR="00C84355">
        <w:t xml:space="preserve"> </w:t>
      </w:r>
      <w:r w:rsidR="00B0094B">
        <w:t xml:space="preserve">rule will have substantial cost impacts on ratepayers.  </w:t>
      </w:r>
      <w:r>
        <w:t xml:space="preserve"> </w:t>
      </w:r>
    </w:p>
    <w:p w:rsidR="003E28C3" w:rsidRPr="00BD6348" w:rsidRDefault="003E28C3" w:rsidP="00BD6348">
      <w:pPr>
        <w:pStyle w:val="standard"/>
        <w:rPr>
          <w:bCs/>
          <w:szCs w:val="24"/>
        </w:rPr>
      </w:pPr>
      <w:r>
        <w:t xml:space="preserve">SED’s proposed Rule 94.11 is opposed by AT&amp;T Mobility, CCTA, CTIA, JVSV, PCIA, and the Electric IOUs.  </w:t>
      </w:r>
      <w:r w:rsidR="00BD6348">
        <w:t xml:space="preserve">The Opponents </w:t>
      </w:r>
      <w:r w:rsidR="009060D2">
        <w:t>contend</w:t>
      </w:r>
      <w:r w:rsidR="00E558F5">
        <w:t xml:space="preserve"> there is no need for </w:t>
      </w:r>
      <w:r w:rsidR="00E558F5">
        <w:lastRenderedPageBreak/>
        <w:t xml:space="preserve">the proposed rule because there is no evidence that </w:t>
      </w:r>
      <w:r w:rsidRPr="00A53D4D">
        <w:rPr>
          <w:bCs/>
          <w:szCs w:val="24"/>
        </w:rPr>
        <w:t xml:space="preserve">unqualified personnel are accessing areas above supply </w:t>
      </w:r>
      <w:r w:rsidR="009060D2">
        <w:rPr>
          <w:bCs/>
          <w:szCs w:val="24"/>
        </w:rPr>
        <w:t>lines</w:t>
      </w:r>
      <w:r w:rsidRPr="00A53D4D">
        <w:rPr>
          <w:bCs/>
          <w:szCs w:val="24"/>
        </w:rPr>
        <w:t xml:space="preserve">.  </w:t>
      </w:r>
      <w:r w:rsidR="00E558F5">
        <w:rPr>
          <w:bCs/>
          <w:szCs w:val="24"/>
        </w:rPr>
        <w:t xml:space="preserve">The </w:t>
      </w:r>
      <w:r w:rsidR="00C21C07">
        <w:rPr>
          <w:bCs/>
          <w:szCs w:val="24"/>
        </w:rPr>
        <w:t>Opponents</w:t>
      </w:r>
      <w:r w:rsidR="00E558F5">
        <w:rPr>
          <w:bCs/>
          <w:szCs w:val="24"/>
        </w:rPr>
        <w:t xml:space="preserve"> other than the Electric IOUs </w:t>
      </w:r>
      <w:r w:rsidR="00BD6348">
        <w:rPr>
          <w:bCs/>
          <w:szCs w:val="24"/>
        </w:rPr>
        <w:t xml:space="preserve">are also concerned that SED’s proposed rule </w:t>
      </w:r>
      <w:r w:rsidRPr="003E28C3">
        <w:t>does</w:t>
      </w:r>
      <w:r w:rsidRPr="00A53D4D">
        <w:rPr>
          <w:bCs/>
          <w:szCs w:val="24"/>
        </w:rPr>
        <w:t xml:space="preserve"> not require the owner of the supply system (the electric </w:t>
      </w:r>
      <w:r w:rsidR="00E558F5">
        <w:rPr>
          <w:bCs/>
          <w:szCs w:val="24"/>
        </w:rPr>
        <w:t>utility</w:t>
      </w:r>
      <w:r w:rsidRPr="00A53D4D">
        <w:rPr>
          <w:bCs/>
          <w:szCs w:val="24"/>
        </w:rPr>
        <w:t xml:space="preserve">) to grant reasonable requests </w:t>
      </w:r>
      <w:r w:rsidR="00BD6348">
        <w:rPr>
          <w:bCs/>
          <w:szCs w:val="24"/>
        </w:rPr>
        <w:t xml:space="preserve">for its employees and contractors to perform work above supply </w:t>
      </w:r>
      <w:r w:rsidR="009060D2">
        <w:rPr>
          <w:bCs/>
          <w:szCs w:val="24"/>
        </w:rPr>
        <w:t>lines</w:t>
      </w:r>
      <w:r w:rsidR="00BD6348">
        <w:rPr>
          <w:bCs/>
          <w:szCs w:val="24"/>
        </w:rPr>
        <w:t xml:space="preserve">.  </w:t>
      </w:r>
      <w:r w:rsidRPr="00A53D4D">
        <w:rPr>
          <w:bCs/>
          <w:szCs w:val="24"/>
        </w:rPr>
        <w:t xml:space="preserve">Thus, </w:t>
      </w:r>
      <w:r w:rsidR="00BD6348">
        <w:rPr>
          <w:bCs/>
          <w:szCs w:val="24"/>
        </w:rPr>
        <w:t xml:space="preserve">the proposed rule is subject to unreasonable </w:t>
      </w:r>
      <w:r w:rsidR="00CB6491">
        <w:rPr>
          <w:bCs/>
          <w:szCs w:val="24"/>
        </w:rPr>
        <w:t>administration</w:t>
      </w:r>
      <w:r w:rsidR="00BD6348">
        <w:rPr>
          <w:bCs/>
          <w:szCs w:val="24"/>
        </w:rPr>
        <w:t xml:space="preserve"> by electric utilities.  </w:t>
      </w:r>
      <w:r w:rsidR="00E558F5">
        <w:rPr>
          <w:bCs/>
          <w:szCs w:val="24"/>
        </w:rPr>
        <w:t>T</w:t>
      </w:r>
      <w:r w:rsidR="00BD6348">
        <w:rPr>
          <w:bCs/>
          <w:szCs w:val="24"/>
        </w:rPr>
        <w:t xml:space="preserve">hese same Opponents </w:t>
      </w:r>
      <w:r w:rsidR="00E558F5">
        <w:rPr>
          <w:bCs/>
          <w:szCs w:val="24"/>
        </w:rPr>
        <w:t xml:space="preserve">also </w:t>
      </w:r>
      <w:r w:rsidR="00BD6348">
        <w:rPr>
          <w:bCs/>
          <w:szCs w:val="24"/>
        </w:rPr>
        <w:t xml:space="preserve">assert that the safety issue addressed by SED’s proposed rule is </w:t>
      </w:r>
      <w:r w:rsidRPr="00A53D4D">
        <w:rPr>
          <w:bCs/>
          <w:szCs w:val="24"/>
        </w:rPr>
        <w:t>not unique to CMRS facilities</w:t>
      </w:r>
      <w:r w:rsidR="00E558F5">
        <w:rPr>
          <w:bCs/>
          <w:szCs w:val="24"/>
        </w:rPr>
        <w:t>, as o</w:t>
      </w:r>
      <w:r w:rsidRPr="00A53D4D">
        <w:rPr>
          <w:bCs/>
          <w:szCs w:val="24"/>
        </w:rPr>
        <w:t>nly qualified workers should access the area above supply line</w:t>
      </w:r>
      <w:r w:rsidR="00326E7B">
        <w:rPr>
          <w:bCs/>
          <w:szCs w:val="24"/>
        </w:rPr>
        <w:t>s</w:t>
      </w:r>
      <w:r w:rsidRPr="00A53D4D">
        <w:rPr>
          <w:bCs/>
          <w:szCs w:val="24"/>
        </w:rPr>
        <w:t xml:space="preserve">, regardless of their reason for access.  </w:t>
      </w:r>
      <w:r w:rsidR="00BD6348">
        <w:rPr>
          <w:bCs/>
          <w:szCs w:val="24"/>
        </w:rPr>
        <w:t xml:space="preserve">As a result, </w:t>
      </w:r>
      <w:r w:rsidR="009060D2">
        <w:rPr>
          <w:bCs/>
          <w:szCs w:val="24"/>
        </w:rPr>
        <w:t xml:space="preserve">SED’s proposed rule is </w:t>
      </w:r>
      <w:r w:rsidRPr="00A53D4D">
        <w:rPr>
          <w:bCs/>
          <w:szCs w:val="24"/>
        </w:rPr>
        <w:t>discriminatory</w:t>
      </w:r>
      <w:r w:rsidR="009060D2">
        <w:rPr>
          <w:bCs/>
          <w:szCs w:val="24"/>
        </w:rPr>
        <w:t xml:space="preserve">.  </w:t>
      </w:r>
    </w:p>
    <w:p w:rsidR="003E28C3" w:rsidRDefault="005400E2" w:rsidP="00B717D8">
      <w:pPr>
        <w:pStyle w:val="standard"/>
      </w:pPr>
      <w:r>
        <w:t xml:space="preserve">SCE and SDG&amp;E’s main concern is that SED’s proposed rule would shift legal responsibility for </w:t>
      </w:r>
      <w:r w:rsidR="00326E7B">
        <w:t>the personnel and contractors who work on</w:t>
      </w:r>
      <w:r>
        <w:t xml:space="preserve"> pole-top antennas from the owner</w:t>
      </w:r>
      <w:r w:rsidR="00CC0C38">
        <w:t>s</w:t>
      </w:r>
      <w:r>
        <w:t xml:space="preserve"> of </w:t>
      </w:r>
      <w:r w:rsidR="00CC0C38">
        <w:t xml:space="preserve">such </w:t>
      </w:r>
      <w:r>
        <w:t>antenna</w:t>
      </w:r>
      <w:r w:rsidR="00CC0C38">
        <w:t>s</w:t>
      </w:r>
      <w:r>
        <w:t xml:space="preserve"> to the Electric IOUs.  </w:t>
      </w:r>
      <w:r w:rsidR="00606F73">
        <w:t xml:space="preserve">SCE and SDG&amp;E further contend that </w:t>
      </w:r>
      <w:r w:rsidR="00AF5FC0">
        <w:t>restricting</w:t>
      </w:r>
      <w:r w:rsidR="008C4CFF">
        <w:t xml:space="preserve"> </w:t>
      </w:r>
      <w:r>
        <w:t xml:space="preserve">access to </w:t>
      </w:r>
      <w:r w:rsidR="008C4CFF">
        <w:t xml:space="preserve">pole-top </w:t>
      </w:r>
      <w:r>
        <w:t>antennas to qualified electrical workers is in direct conflict with Cal-OSHA regulations</w:t>
      </w:r>
      <w:r w:rsidR="00E92BA5">
        <w:t xml:space="preserve"> that</w:t>
      </w:r>
      <w:r>
        <w:t xml:space="preserve"> </w:t>
      </w:r>
      <w:r w:rsidR="00606F73">
        <w:t xml:space="preserve">allow Qualified Telecommunications Workers to work in the vicinity of energized supply lines, with certain safety </w:t>
      </w:r>
      <w:r w:rsidR="00CB6491">
        <w:t>restrictions</w:t>
      </w:r>
      <w:r w:rsidR="00606F73">
        <w:t xml:space="preserve"> such as </w:t>
      </w:r>
      <w:r w:rsidR="00CB6491">
        <w:t>minimum</w:t>
      </w:r>
      <w:r w:rsidR="00606F73">
        <w:t xml:space="preserve"> approach distances.  </w:t>
      </w:r>
      <w:r>
        <w:t>Thus, it is unlikely that SED’s proposal, if adopted, could be enforced.</w:t>
      </w:r>
      <w:r w:rsidR="00606F73">
        <w:t xml:space="preserve"> </w:t>
      </w:r>
    </w:p>
    <w:p w:rsidR="00460CA5" w:rsidRDefault="00460CA5" w:rsidP="00A845DC">
      <w:pPr>
        <w:pStyle w:val="Heading4"/>
      </w:pPr>
      <w:bookmarkStart w:id="124" w:name="_Toc436647376"/>
      <w:r>
        <w:t>Discussion</w:t>
      </w:r>
      <w:bookmarkEnd w:id="124"/>
      <w:r>
        <w:t xml:space="preserve">  </w:t>
      </w:r>
    </w:p>
    <w:p w:rsidR="009A37DF" w:rsidRDefault="009A37DF" w:rsidP="009A37DF">
      <w:pPr>
        <w:pStyle w:val="standard"/>
      </w:pPr>
      <w:r>
        <w:t>The issue before us is whether to adopt SED’s proposed Rule</w:t>
      </w:r>
      <w:r w:rsidR="00E02637">
        <w:t> </w:t>
      </w:r>
      <w:r>
        <w:t>94.1</w:t>
      </w:r>
      <w:r w:rsidR="00611AD5">
        <w:t>2</w:t>
      </w:r>
      <w:r>
        <w:t xml:space="preserve">.  Our primary standard for deciding this issue is whether SED’s proposal will improve safety at a reasonable cost. </w:t>
      </w:r>
    </w:p>
    <w:p w:rsidR="00460CA5" w:rsidRDefault="009A37DF" w:rsidP="00B717D8">
      <w:pPr>
        <w:pStyle w:val="standard"/>
      </w:pPr>
      <w:r>
        <w:t xml:space="preserve">SED’s proposed Rule 94.12 </w:t>
      </w:r>
      <w:r w:rsidR="00FB3383">
        <w:t xml:space="preserve">would require that all work on wireless facilities </w:t>
      </w:r>
      <w:r w:rsidR="00425641">
        <w:t xml:space="preserve">installed above supply lines </w:t>
      </w:r>
      <w:r w:rsidR="00FB3383">
        <w:t xml:space="preserve">be performed by </w:t>
      </w:r>
      <w:r w:rsidR="00FB3383" w:rsidRPr="00E159BB">
        <w:t>employees of the owner of the supply system, its contractors</w:t>
      </w:r>
      <w:r w:rsidR="00FB3383">
        <w:t>,</w:t>
      </w:r>
      <w:r w:rsidR="00FB3383" w:rsidRPr="00E159BB">
        <w:t xml:space="preserve"> or other qualified electrical workers that are authorized by the owner of the supply system</w:t>
      </w:r>
      <w:r w:rsidR="00FB3383">
        <w:t xml:space="preserve">.  All parties agree </w:t>
      </w:r>
      <w:r w:rsidR="00327089">
        <w:t xml:space="preserve">that </w:t>
      </w:r>
      <w:r>
        <w:t xml:space="preserve">working in </w:t>
      </w:r>
      <w:r>
        <w:lastRenderedPageBreak/>
        <w:t xml:space="preserve">close proximity to energized supply lines is </w:t>
      </w:r>
      <w:r w:rsidR="00A65451">
        <w:t>dangerous</w:t>
      </w:r>
      <w:r>
        <w:t xml:space="preserve">, and that only qualified personnel </w:t>
      </w:r>
      <w:r w:rsidR="00FB3383">
        <w:t xml:space="preserve">and contractors </w:t>
      </w:r>
      <w:r>
        <w:t xml:space="preserve">should perform such work.  </w:t>
      </w:r>
    </w:p>
    <w:p w:rsidR="00A65451" w:rsidRDefault="00A65451" w:rsidP="00A65451">
      <w:pPr>
        <w:pStyle w:val="standard"/>
      </w:pPr>
      <w:r>
        <w:t xml:space="preserve">Currently, </w:t>
      </w:r>
      <w:r w:rsidR="00007362">
        <w:t xml:space="preserve">most </w:t>
      </w:r>
      <w:r>
        <w:t xml:space="preserve">work </w:t>
      </w:r>
      <w:r w:rsidR="00007362">
        <w:t>on</w:t>
      </w:r>
      <w:r>
        <w:t xml:space="preserve"> CMRS facilities above supply lines is performed by CMRS carriers.  </w:t>
      </w:r>
      <w:r w:rsidR="0084422C">
        <w:t>The</w:t>
      </w:r>
      <w:r w:rsidR="00281E87">
        <w:t xml:space="preserve"> record of </w:t>
      </w:r>
      <w:r w:rsidR="00C55070">
        <w:t xml:space="preserve">this proceeding </w:t>
      </w:r>
      <w:r w:rsidR="00281E87">
        <w:t xml:space="preserve">shows that the employees and contractors of CMRS carriers who work in close </w:t>
      </w:r>
      <w:r w:rsidR="00AF5FC0">
        <w:t>proximity</w:t>
      </w:r>
      <w:r w:rsidR="00281E87">
        <w:t xml:space="preserve"> to supply lines possess all the quali</w:t>
      </w:r>
      <w:r w:rsidR="00AF5FC0">
        <w:t>fi</w:t>
      </w:r>
      <w:r w:rsidR="00281E87">
        <w:t xml:space="preserve">cations necessary to </w:t>
      </w:r>
      <w:r w:rsidR="00AF5FC0">
        <w:t>perform</w:t>
      </w:r>
      <w:r w:rsidR="00E92BA5">
        <w:t xml:space="preserve"> such work safely</w:t>
      </w:r>
      <w:r w:rsidR="00281E87">
        <w:t>.</w:t>
      </w:r>
      <w:r w:rsidR="00893A16">
        <w:rPr>
          <w:rStyle w:val="FootnoteReference"/>
        </w:rPr>
        <w:footnoteReference w:id="125"/>
      </w:r>
      <w:r w:rsidR="00281E87">
        <w:t xml:space="preserve">  </w:t>
      </w:r>
      <w:r w:rsidR="007E4BB4">
        <w:t xml:space="preserve">There is no information in the record of this proceeding </w:t>
      </w:r>
      <w:r w:rsidR="0064198F">
        <w:t>which</w:t>
      </w:r>
      <w:r w:rsidR="007E4BB4">
        <w:t xml:space="preserve"> shows that safety would be enhanced if the owners of supply lines, </w:t>
      </w:r>
      <w:r w:rsidR="00B11D77">
        <w:t xml:space="preserve">rather than </w:t>
      </w:r>
      <w:r w:rsidR="007E4BB4">
        <w:t xml:space="preserve">the CMRS carriers, were responsible for vetting and authorizing the personnel and contractors who work on CMRS facilities above supply lines.   </w:t>
      </w:r>
    </w:p>
    <w:p w:rsidR="00BC7E36" w:rsidRDefault="000F7374" w:rsidP="00BC7E36">
      <w:pPr>
        <w:pStyle w:val="standard"/>
      </w:pPr>
      <w:r>
        <w:t>We agree with the Electric IOUs that SED’s proposed rule</w:t>
      </w:r>
      <w:r w:rsidR="0064198F">
        <w:t xml:space="preserve"> </w:t>
      </w:r>
      <w:r w:rsidR="0094634C">
        <w:t>c</w:t>
      </w:r>
      <w:r>
        <w:t xml:space="preserve">ould make the owners </w:t>
      </w:r>
      <w:r w:rsidR="0064198F">
        <w:t xml:space="preserve">of the supply system </w:t>
      </w:r>
      <w:r>
        <w:t xml:space="preserve">liable </w:t>
      </w:r>
      <w:r w:rsidR="00BC7E36">
        <w:t xml:space="preserve">for accidents or negligence associated </w:t>
      </w:r>
      <w:r w:rsidR="00006971">
        <w:t>with</w:t>
      </w:r>
      <w:r w:rsidR="00BC7E36">
        <w:t xml:space="preserve"> </w:t>
      </w:r>
      <w:r w:rsidR="0064198F">
        <w:t>the</w:t>
      </w:r>
      <w:r w:rsidR="00BC7E36">
        <w:t xml:space="preserve"> personnel</w:t>
      </w:r>
      <w:r>
        <w:t xml:space="preserve"> and contractors</w:t>
      </w:r>
      <w:r w:rsidR="0064198F">
        <w:t xml:space="preserve"> who work on CMRS facilities above supply lines</w:t>
      </w:r>
      <w:r>
        <w:t>.  Th</w:t>
      </w:r>
      <w:r w:rsidR="0064198F">
        <w:t xml:space="preserve">is outcome </w:t>
      </w:r>
      <w:r>
        <w:t xml:space="preserve">would shift risks and </w:t>
      </w:r>
      <w:r w:rsidR="00BC7E36">
        <w:t xml:space="preserve">costs </w:t>
      </w:r>
      <w:r>
        <w:t xml:space="preserve">from the CMRS carriers </w:t>
      </w:r>
      <w:r w:rsidR="00BC7E36">
        <w:t xml:space="preserve">to </w:t>
      </w:r>
      <w:r>
        <w:t xml:space="preserve">the </w:t>
      </w:r>
      <w:r w:rsidR="00BC7E36">
        <w:t>electric utilities and their customers</w:t>
      </w:r>
      <w:r w:rsidR="0064198F">
        <w:t xml:space="preserve">.  </w:t>
      </w:r>
      <w:r w:rsidR="00BC7E36">
        <w:t xml:space="preserve"> </w:t>
      </w:r>
    </w:p>
    <w:p w:rsidR="00711D36" w:rsidRDefault="00D62551" w:rsidP="00C31349">
      <w:pPr>
        <w:pStyle w:val="standard"/>
      </w:pPr>
      <w:r>
        <w:t xml:space="preserve">For the preceding reasons, we decline to adopt the text of SED’s proposed Rule 94.12.  </w:t>
      </w:r>
      <w:r w:rsidR="00E92BA5">
        <w:t>Nevertheless</w:t>
      </w:r>
      <w:r w:rsidR="00321D23">
        <w:t xml:space="preserve">, we agree with the fundamental safety principle </w:t>
      </w:r>
      <w:r w:rsidR="00AF5FC0">
        <w:t>which</w:t>
      </w:r>
      <w:r w:rsidR="00321D23">
        <w:t xml:space="preserve"> underlies SED’s proposed rule that only qualified personnel should work on CMRS facilities above supply lines.  All parties agree with th</w:t>
      </w:r>
      <w:r w:rsidR="00F01F14">
        <w:t>is</w:t>
      </w:r>
      <w:r w:rsidR="00321D23">
        <w:t xml:space="preserve"> principle.  Surprisingly, there is no rule in GO 95 that explicitly embodies this principle.  </w:t>
      </w:r>
    </w:p>
    <w:p w:rsidR="008A404B" w:rsidRDefault="008A404B" w:rsidP="00C31349">
      <w:pPr>
        <w:pStyle w:val="standard"/>
      </w:pPr>
      <w:r>
        <w:t xml:space="preserve">To protect worker safety, </w:t>
      </w:r>
      <w:r w:rsidR="00F01F14">
        <w:t>we will adopt a new Rule</w:t>
      </w:r>
      <w:r>
        <w:t> </w:t>
      </w:r>
      <w:r w:rsidR="00F01F14">
        <w:t xml:space="preserve">94.12 </w:t>
      </w:r>
      <w:r>
        <w:t>which</w:t>
      </w:r>
      <w:r w:rsidR="00F01F14">
        <w:t xml:space="preserve"> states </w:t>
      </w:r>
      <w:r>
        <w:t xml:space="preserve">that </w:t>
      </w:r>
      <w:r w:rsidR="00F01F14">
        <w:t xml:space="preserve">only </w:t>
      </w:r>
      <w:r>
        <w:t xml:space="preserve">personnel who are </w:t>
      </w:r>
      <w:r w:rsidR="00B34185">
        <w:t xml:space="preserve">properly </w:t>
      </w:r>
      <w:r w:rsidR="005A50F2">
        <w:t>qualified</w:t>
      </w:r>
      <w:r w:rsidR="00F01F14">
        <w:t xml:space="preserve"> may work on wireless facilities above supply lines.  The text of the adopted Rule</w:t>
      </w:r>
      <w:r>
        <w:t> </w:t>
      </w:r>
      <w:r w:rsidR="00F01F14">
        <w:t xml:space="preserve">94.12 is </w:t>
      </w:r>
      <w:r w:rsidR="00AF5FC0">
        <w:t>contained</w:t>
      </w:r>
      <w:r w:rsidR="00F01F14">
        <w:t xml:space="preserve"> in Appendix</w:t>
      </w:r>
      <w:r w:rsidR="00EA0E65">
        <w:t> </w:t>
      </w:r>
      <w:r w:rsidR="00F01F14">
        <w:t xml:space="preserve">C of today’s </w:t>
      </w:r>
      <w:r w:rsidR="00AF5FC0">
        <w:t>decision</w:t>
      </w:r>
      <w:r w:rsidR="00F01F14">
        <w:t xml:space="preserve">.  </w:t>
      </w:r>
      <w:r w:rsidR="001B1552">
        <w:t>Because</w:t>
      </w:r>
      <w:r>
        <w:t xml:space="preserve"> the adopted rule is consistent with current practice, </w:t>
      </w:r>
      <w:r>
        <w:lastRenderedPageBreak/>
        <w:t xml:space="preserve">the rule should not result in additional costs for CMRS carriers or the owners of supply lines.  </w:t>
      </w:r>
    </w:p>
    <w:p w:rsidR="008A404B" w:rsidRDefault="004F7D9C" w:rsidP="00C31349">
      <w:pPr>
        <w:pStyle w:val="standard"/>
      </w:pPr>
      <w:r>
        <w:t xml:space="preserve">Although the </w:t>
      </w:r>
      <w:r w:rsidR="008A404B">
        <w:t>adopted Rule 94.12 applies only to wireless facilities</w:t>
      </w:r>
      <w:r>
        <w:t xml:space="preserve">, this </w:t>
      </w:r>
      <w:r w:rsidR="000A515E">
        <w:t>is</w:t>
      </w:r>
      <w:r>
        <w:t xml:space="preserve"> not discriminatory</w:t>
      </w:r>
      <w:r w:rsidR="008A404B">
        <w:t xml:space="preserve">.  </w:t>
      </w:r>
      <w:r w:rsidR="001B1552">
        <w:t xml:space="preserve">The </w:t>
      </w:r>
      <w:r w:rsidR="008A404B">
        <w:t>ROW</w:t>
      </w:r>
      <w:r>
        <w:t> </w:t>
      </w:r>
      <w:r w:rsidR="008A404B">
        <w:t xml:space="preserve">Rules adopted by today’s decision </w:t>
      </w:r>
      <w:r w:rsidR="000A515E">
        <w:t xml:space="preserve">will make it easier for CMRS carriers to install wireless facilities </w:t>
      </w:r>
      <w:r w:rsidR="008A404B">
        <w:t xml:space="preserve">above supply lines.  The public interest requires that we take </w:t>
      </w:r>
      <w:r w:rsidR="008F3130">
        <w:t>precautions</w:t>
      </w:r>
      <w:r w:rsidR="008A404B">
        <w:t xml:space="preserve"> in today’s decision to ensure that all work on </w:t>
      </w:r>
      <w:r w:rsidR="001B1552">
        <w:t>CMRS</w:t>
      </w:r>
      <w:r w:rsidR="000A515E">
        <w:t> </w:t>
      </w:r>
      <w:r w:rsidR="00C5701B">
        <w:t>facilities</w:t>
      </w:r>
      <w:r w:rsidR="008A404B">
        <w:t xml:space="preserve"> </w:t>
      </w:r>
      <w:r w:rsidR="000A515E">
        <w:t xml:space="preserve">in the dangerous environment </w:t>
      </w:r>
      <w:r w:rsidR="00AF5FC0">
        <w:t>above</w:t>
      </w:r>
      <w:r w:rsidR="008F3130">
        <w:t xml:space="preserve"> supply lines is</w:t>
      </w:r>
      <w:r w:rsidR="008A404B">
        <w:t xml:space="preserve"> performed by personnel </w:t>
      </w:r>
      <w:r w:rsidR="001B1552">
        <w:t xml:space="preserve">and contractors </w:t>
      </w:r>
      <w:r w:rsidR="008A404B">
        <w:t xml:space="preserve">who are </w:t>
      </w:r>
      <w:r w:rsidR="001B1552">
        <w:t>properly qualified</w:t>
      </w:r>
      <w:r w:rsidR="008A404B">
        <w:t xml:space="preserve">. </w:t>
      </w:r>
    </w:p>
    <w:p w:rsidR="00D54350" w:rsidRDefault="00D54350" w:rsidP="005719C6">
      <w:pPr>
        <w:pStyle w:val="Heading3"/>
      </w:pPr>
      <w:bookmarkStart w:id="125" w:name="_Toc436647377"/>
      <w:bookmarkStart w:id="126" w:name="_Toc424321918"/>
      <w:r>
        <w:t>Data</w:t>
      </w:r>
      <w:r w:rsidR="00FE5D52">
        <w:t xml:space="preserve"> B</w:t>
      </w:r>
      <w:r>
        <w:t>ase of Pole Attachments</w:t>
      </w:r>
      <w:bookmarkEnd w:id="125"/>
      <w:r>
        <w:t xml:space="preserve"> </w:t>
      </w:r>
    </w:p>
    <w:p w:rsidR="00D54350" w:rsidRDefault="00D54350" w:rsidP="00D54350">
      <w:pPr>
        <w:pStyle w:val="standard"/>
      </w:pPr>
      <w:r>
        <w:t xml:space="preserve">During the workshops, the Electric IOUs suggested </w:t>
      </w:r>
      <w:r w:rsidR="00240054">
        <w:t xml:space="preserve">that </w:t>
      </w:r>
      <w:r>
        <w:t xml:space="preserve">a centralized data base of </w:t>
      </w:r>
      <w:r w:rsidR="00240054">
        <w:t xml:space="preserve">all </w:t>
      </w:r>
      <w:r>
        <w:t xml:space="preserve">poles, pole attachments, </w:t>
      </w:r>
      <w:r w:rsidR="00240054">
        <w:t xml:space="preserve">and </w:t>
      </w:r>
      <w:r>
        <w:t>load calculations</w:t>
      </w:r>
      <w:r w:rsidR="00240054">
        <w:t xml:space="preserve"> be </w:t>
      </w:r>
      <w:r w:rsidR="00E8539F">
        <w:t>established</w:t>
      </w:r>
      <w:r>
        <w:t xml:space="preserve">, and </w:t>
      </w:r>
      <w:r w:rsidR="00240054">
        <w:t xml:space="preserve">that </w:t>
      </w:r>
      <w:r>
        <w:t xml:space="preserve">all entities with pole attachments </w:t>
      </w:r>
      <w:r w:rsidR="00240054">
        <w:t xml:space="preserve">should be required </w:t>
      </w:r>
      <w:r>
        <w:t>to self</w:t>
      </w:r>
      <w:r>
        <w:noBreakHyphen/>
        <w:t>report their attachments to the data base administrator.</w:t>
      </w:r>
      <w:r>
        <w:rPr>
          <w:rStyle w:val="FootnoteReference"/>
          <w:rFonts w:eastAsia="Calibri"/>
        </w:rPr>
        <w:footnoteReference w:id="126"/>
      </w:r>
      <w:r>
        <w:t xml:space="preserve">  </w:t>
      </w:r>
    </w:p>
    <w:p w:rsidR="00D54350" w:rsidRDefault="00D54350" w:rsidP="00D54350">
      <w:pPr>
        <w:pStyle w:val="standard"/>
      </w:pPr>
      <w:r>
        <w:t>Parties were invited to submit comments on the Electric IOUs’ suggested centralized data base of pole attachments.</w:t>
      </w:r>
      <w:r>
        <w:rPr>
          <w:rStyle w:val="FootnoteReference"/>
          <w:rFonts w:eastAsia="Calibri"/>
        </w:rPr>
        <w:footnoteReference w:id="127"/>
      </w:r>
      <w:r>
        <w:t xml:space="preserve">  CCTA and TURN support the concept, but recommend that this matter be considered in future proceedings.  AT&amp;T Mobility, CTIA, and PCIA did not address the merits of a data base.  They recommend that the Commission consider this matter in a future proceeding, if at all.  The Electric IOUs’ comments were silent on the need for a centralized data base of pole attachments.  </w:t>
      </w:r>
    </w:p>
    <w:p w:rsidR="00D54350" w:rsidRDefault="00D54350" w:rsidP="00D54350">
      <w:pPr>
        <w:pStyle w:val="standard"/>
      </w:pPr>
      <w:r>
        <w:t xml:space="preserve">We decline to address the topic of a centralized data base for pole attachments any further in today’s decision, as it is does not have a clear nexus with the scope of this proceeding.  If the Electric IOUs believe this matter </w:t>
      </w:r>
      <w:r>
        <w:lastRenderedPageBreak/>
        <w:t xml:space="preserve">warrants further attention from the Commission, an appropriate procedure would be for the </w:t>
      </w:r>
      <w:r w:rsidRPr="00A83655">
        <w:t>Electric IOUs – in collaboration with SED, the GO</w:t>
      </w:r>
      <w:r>
        <w:t> </w:t>
      </w:r>
      <w:r w:rsidRPr="00A83655">
        <w:t xml:space="preserve">95 Rules Committee, Joint Pole Owner Associations, and other interested parties - to develop </w:t>
      </w:r>
      <w:r w:rsidR="000D1570">
        <w:t xml:space="preserve">a </w:t>
      </w:r>
      <w:r w:rsidRPr="00A83655">
        <w:t>proposed regulation and then seek approval of the proposed regulation through a petition for rulemaking</w:t>
      </w:r>
      <w:r>
        <w:t xml:space="preserve">.  </w:t>
      </w:r>
    </w:p>
    <w:p w:rsidR="00765C71" w:rsidRDefault="00765C71" w:rsidP="00214651">
      <w:pPr>
        <w:pStyle w:val="Heading2"/>
      </w:pPr>
      <w:bookmarkStart w:id="127" w:name="_Toc436647378"/>
      <w:bookmarkEnd w:id="126"/>
      <w:r>
        <w:t xml:space="preserve">Implementation of the </w:t>
      </w:r>
      <w:r w:rsidRPr="00214651">
        <w:t>New</w:t>
      </w:r>
      <w:r>
        <w:t xml:space="preserve"> and Revised GO 95 Rules</w:t>
      </w:r>
      <w:bookmarkEnd w:id="127"/>
      <w:r>
        <w:t xml:space="preserve"> </w:t>
      </w:r>
    </w:p>
    <w:p w:rsidR="00765C71" w:rsidRDefault="00765C71" w:rsidP="00765C71">
      <w:pPr>
        <w:pStyle w:val="standard"/>
      </w:pPr>
      <w:r>
        <w:t xml:space="preserve">SED shall revise GO 95 to incorporate the adopted amendments and publish the revised GO 95 on the Commission’s website within 60 days from the </w:t>
      </w:r>
      <w:r w:rsidR="008506E4">
        <w:t xml:space="preserve">effective </w:t>
      </w:r>
      <w:r>
        <w:t xml:space="preserve">date of </w:t>
      </w:r>
      <w:r w:rsidR="008506E4">
        <w:t>today’s</w:t>
      </w:r>
      <w:r>
        <w:t xml:space="preserve"> decision.  The adopted </w:t>
      </w:r>
      <w:r w:rsidR="000D1570">
        <w:t>amendments</w:t>
      </w:r>
      <w:r>
        <w:t xml:space="preserve"> include all ministerial changes to GO 95 that are necessary to integrate the new and </w:t>
      </w:r>
      <w:r w:rsidR="008506E4">
        <w:t>amended</w:t>
      </w:r>
      <w:r>
        <w:t xml:space="preserve"> rules adopted by today’s decision, including (1) revised pagination, (2)</w:t>
      </w:r>
      <w:r w:rsidR="001345B5">
        <w:t> </w:t>
      </w:r>
      <w:r>
        <w:t xml:space="preserve">revised </w:t>
      </w:r>
      <w:r w:rsidR="001345B5">
        <w:t>list of changed rules</w:t>
      </w:r>
      <w:r>
        <w:t xml:space="preserve">, and (3) revised </w:t>
      </w:r>
      <w:r w:rsidR="00457E14">
        <w:t>t</w:t>
      </w:r>
      <w:r>
        <w:t xml:space="preserve">ables of </w:t>
      </w:r>
      <w:r w:rsidR="00457E14">
        <w:t>c</w:t>
      </w:r>
      <w:r>
        <w:t xml:space="preserve">ontent. </w:t>
      </w:r>
    </w:p>
    <w:p w:rsidR="00DF1DBE" w:rsidRDefault="00334F02" w:rsidP="00765C71">
      <w:pPr>
        <w:pStyle w:val="standard"/>
      </w:pPr>
      <w:r>
        <w:t>To i</w:t>
      </w:r>
      <w:r w:rsidR="00457E14">
        <w:t>mplement</w:t>
      </w:r>
      <w:r>
        <w:t xml:space="preserve"> </w:t>
      </w:r>
      <w:r w:rsidR="00457E14">
        <w:t xml:space="preserve">the </w:t>
      </w:r>
      <w:r>
        <w:t xml:space="preserve">adopted </w:t>
      </w:r>
      <w:r w:rsidR="00457E14">
        <w:t>revisions to GO 95</w:t>
      </w:r>
      <w:r>
        <w:t xml:space="preserve">, affected entities </w:t>
      </w:r>
      <w:r w:rsidR="00457E14">
        <w:t xml:space="preserve">may </w:t>
      </w:r>
      <w:r>
        <w:t xml:space="preserve">need </w:t>
      </w:r>
      <w:r w:rsidR="00457E14">
        <w:t>to develop</w:t>
      </w:r>
      <w:r w:rsidR="00E55406">
        <w:t xml:space="preserve"> and </w:t>
      </w:r>
      <w:r>
        <w:t>deploy</w:t>
      </w:r>
      <w:r w:rsidR="00E55406">
        <w:t xml:space="preserve"> </w:t>
      </w:r>
      <w:r w:rsidR="008506E4">
        <w:t>new procedures, manuals</w:t>
      </w:r>
      <w:r w:rsidR="00457E14">
        <w:t>, and data</w:t>
      </w:r>
      <w:r w:rsidR="007438C1">
        <w:t xml:space="preserve"> </w:t>
      </w:r>
      <w:r w:rsidR="00457E14">
        <w:t xml:space="preserve">bases, and to train personnel.  </w:t>
      </w:r>
      <w:r w:rsidR="000D1570">
        <w:t xml:space="preserve">To provide adequate time for implementation, </w:t>
      </w:r>
      <w:r w:rsidR="008506E4">
        <w:t>the adopted revisions to GO</w:t>
      </w:r>
      <w:r w:rsidR="000D1570">
        <w:t> </w:t>
      </w:r>
      <w:r w:rsidR="008506E4">
        <w:t xml:space="preserve">95 shall become </w:t>
      </w:r>
      <w:r w:rsidR="008D1E8A">
        <w:t>operative</w:t>
      </w:r>
      <w:r w:rsidR="005D4501">
        <w:t xml:space="preserve"> </w:t>
      </w:r>
      <w:r w:rsidR="008506E4">
        <w:t xml:space="preserve">60 days from the effective date of today’s decision.  Public utilities and CMRS carriers </w:t>
      </w:r>
      <w:r w:rsidR="00765C71">
        <w:t xml:space="preserve">may implement the adopted revisions </w:t>
      </w:r>
      <w:r w:rsidR="00E55406">
        <w:t>sooner</w:t>
      </w:r>
      <w:r w:rsidR="00765C71">
        <w:t xml:space="preserve">. </w:t>
      </w:r>
    </w:p>
    <w:p w:rsidR="00DF1DBE" w:rsidRDefault="00765C71" w:rsidP="00A4093B">
      <w:pPr>
        <w:pStyle w:val="Heading1"/>
      </w:pPr>
      <w:r>
        <w:t xml:space="preserve"> </w:t>
      </w:r>
      <w:bookmarkStart w:id="128" w:name="_Toc378669346"/>
      <w:bookmarkStart w:id="129" w:name="_Toc436647379"/>
      <w:r w:rsidR="00DF1DBE">
        <w:t>California Environmental Quality Act</w:t>
      </w:r>
      <w:bookmarkEnd w:id="128"/>
      <w:bookmarkEnd w:id="129"/>
      <w:r w:rsidR="00DF1DBE">
        <w:t xml:space="preserve"> </w:t>
      </w:r>
    </w:p>
    <w:p w:rsidR="00DF1DBE" w:rsidRDefault="00DF1DBE" w:rsidP="00DF1DBE">
      <w:pPr>
        <w:pStyle w:val="standard"/>
      </w:pPr>
      <w:r>
        <w:t>The California Environmental Quality Act (</w:t>
      </w:r>
      <w:r>
        <w:rPr>
          <w:bCs/>
        </w:rPr>
        <w:t>CEQA)</w:t>
      </w:r>
      <w:r>
        <w:rPr>
          <w:rStyle w:val="StandardFootnoteReferenceChar"/>
        </w:rPr>
        <w:footnoteReference w:id="128"/>
      </w:r>
      <w:r>
        <w:t xml:space="preserve"> applies to any project that has a potential for resulting in a direct physical change in the environment or a reasonably foreseeable indirect physical change in the environment unless the project is exempt from CEQA by statute or regulation.</w:t>
      </w:r>
      <w:r>
        <w:rPr>
          <w:rStyle w:val="StandardFootnoteReferenceChar"/>
        </w:rPr>
        <w:footnoteReference w:id="129"/>
      </w:r>
      <w:r>
        <w:t xml:space="preserve">  The Commission is </w:t>
      </w:r>
      <w:r>
        <w:lastRenderedPageBreak/>
        <w:t xml:space="preserve">the lead agency under CEQA with respect to the regulations adopted by </w:t>
      </w:r>
      <w:r w:rsidR="00E55406">
        <w:t>today’s</w:t>
      </w:r>
      <w:r>
        <w:t xml:space="preserve"> decision.  We find that all of the adopted regulations are exempt from CEQA pursuant to one or more </w:t>
      </w:r>
      <w:r w:rsidR="005C2349">
        <w:t xml:space="preserve">of </w:t>
      </w:r>
      <w:r>
        <w:t xml:space="preserve">the following statutory exemptions or categorical exemptions in the CEQA guidelines:  </w:t>
      </w:r>
    </w:p>
    <w:p w:rsidR="00DF1DBE" w:rsidRDefault="00DF1DBE" w:rsidP="007B3791">
      <w:pPr>
        <w:pStyle w:val="StandardBullet"/>
      </w:pPr>
      <w:r>
        <w:t>The adopted regulation</w:t>
      </w:r>
      <w:r w:rsidR="007B3791">
        <w:t>s</w:t>
      </w:r>
      <w:r>
        <w:t xml:space="preserve"> allow for the operation, repair, or maintenance of existing </w:t>
      </w:r>
      <w:r w:rsidR="00FE5034">
        <w:t xml:space="preserve">public utility </w:t>
      </w:r>
      <w:r>
        <w:t>facilities, and involves negligible or no expansion of an existing authorized use.</w:t>
      </w:r>
      <w:r w:rsidR="007B3791">
        <w:rPr>
          <w:rStyle w:val="FootnoteReference"/>
        </w:rPr>
        <w:footnoteReference w:id="130"/>
      </w:r>
      <w:r>
        <w:t xml:space="preserve"> (</w:t>
      </w:r>
      <w:hyperlink r:id="rId27" w:history="1">
        <w:r>
          <w:t>14</w:t>
        </w:r>
        <w:r w:rsidR="007B3791">
          <w:t> </w:t>
        </w:r>
        <w:r>
          <w:t>Cal. Code Regs., Section 15301(b)</w:t>
        </w:r>
      </w:hyperlink>
      <w:r>
        <w:t>.)</w:t>
      </w:r>
    </w:p>
    <w:p w:rsidR="00DF1DBE" w:rsidRDefault="00DF1DBE" w:rsidP="007B3791">
      <w:pPr>
        <w:pStyle w:val="StandardBullet"/>
      </w:pPr>
      <w:r>
        <w:t>The adopted regulation</w:t>
      </w:r>
      <w:r w:rsidR="007B3791">
        <w:t>s</w:t>
      </w:r>
      <w:r>
        <w:t xml:space="preserve"> involve the addition of safety or health protection devices for use during construction of or in conjunction with existing structures, facilities, or mechanical equipment, or topographical features. (</w:t>
      </w:r>
      <w:hyperlink r:id="rId28" w:history="1">
        <w:r>
          <w:t>14 Cal. Code Regs., Section 15301(f)</w:t>
        </w:r>
      </w:hyperlink>
      <w:r>
        <w:t>.)</w:t>
      </w:r>
    </w:p>
    <w:p w:rsidR="00DF1DBE" w:rsidRPr="00C70635" w:rsidRDefault="00DF1DBE" w:rsidP="007B3791">
      <w:pPr>
        <w:pStyle w:val="StandardBullet"/>
      </w:pPr>
      <w:r>
        <w:t>The adopted regulation</w:t>
      </w:r>
      <w:r w:rsidR="007B3791">
        <w:t>s</w:t>
      </w:r>
      <w:r>
        <w:t xml:space="preserve"> involve the r</w:t>
      </w:r>
      <w:r w:rsidRPr="00C70635">
        <w:t xml:space="preserve">eplacement or reconstruction of existing </w:t>
      </w:r>
      <w:r w:rsidR="00FE5034">
        <w:t xml:space="preserve">public </w:t>
      </w:r>
      <w:r w:rsidRPr="00C70635">
        <w:t>utility systems and/or facilities involving negligible or no expansion of capacity.</w:t>
      </w:r>
      <w:r>
        <w:t xml:space="preserve"> </w:t>
      </w:r>
      <w:r>
        <w:br/>
        <w:t>(</w:t>
      </w:r>
      <w:hyperlink r:id="rId29" w:history="1">
        <w:r>
          <w:t>14 Cal. Code Regs., Section 15302(c)</w:t>
        </w:r>
      </w:hyperlink>
      <w:r>
        <w:t>.)</w:t>
      </w:r>
    </w:p>
    <w:p w:rsidR="00DF1DBE" w:rsidRDefault="00DF1DBE" w:rsidP="007B3791">
      <w:pPr>
        <w:pStyle w:val="StandardBullet"/>
      </w:pPr>
      <w:r>
        <w:t>The adopted regulation</w:t>
      </w:r>
      <w:r w:rsidR="007B3791">
        <w:t>s</w:t>
      </w:r>
      <w:r>
        <w:t xml:space="preserve"> involve the construction and location of limited numbers of new, small facilities or structures, including electrical and other utility extensions. (</w:t>
      </w:r>
      <w:hyperlink r:id="rId30" w:history="1">
        <w:r>
          <w:t>14 Cal. Code Regs., Section 15303(d)</w:t>
        </w:r>
      </w:hyperlink>
      <w:r>
        <w:t>.)</w:t>
      </w:r>
    </w:p>
    <w:p w:rsidR="00DF1DBE" w:rsidRDefault="00DF1DBE" w:rsidP="007B3791">
      <w:pPr>
        <w:pStyle w:val="StandardBullet"/>
      </w:pPr>
      <w:r>
        <w:t>The adopted regulation</w:t>
      </w:r>
      <w:r w:rsidR="007B3791">
        <w:t>s</w:t>
      </w:r>
      <w:r>
        <w:t xml:space="preserve"> involve the establishment, modification</w:t>
      </w:r>
      <w:r w:rsidR="005D4501">
        <w:t xml:space="preserve"> </w:t>
      </w:r>
      <w:r>
        <w:t xml:space="preserve">or approval of rates or other charges for the purpose of (A) meeting operating expenses, including employee wage rates and fringe benefits, (B) purchasing or leasing supplies, equipment, or materials, (C) meeting financial reserve needs and requirements, or (D) obtaining funds for capital projects necessary to maintain service within existing service areas.  (Pub. Res. Code § 21080(b)(8).) </w:t>
      </w:r>
    </w:p>
    <w:p w:rsidR="00DF1DBE" w:rsidRDefault="00DF1DBE" w:rsidP="007B3791">
      <w:pPr>
        <w:pStyle w:val="StandardBullet"/>
        <w:spacing w:after="240"/>
        <w:ind w:left="1267" w:hanging="547"/>
      </w:pPr>
      <w:r>
        <w:t>The adopted regulation</w:t>
      </w:r>
      <w:r w:rsidR="007B3791">
        <w:t>s</w:t>
      </w:r>
      <w:r>
        <w:t xml:space="preserve"> will not have a potentially significant impact </w:t>
      </w:r>
      <w:r w:rsidRPr="007B3791">
        <w:t>on</w:t>
      </w:r>
      <w:r>
        <w:t xml:space="preserve"> the environment and is therefore not a “project” as </w:t>
      </w:r>
      <w:r>
        <w:lastRenderedPageBreak/>
        <w:t xml:space="preserve">defined by Pub. Res. Code § 21065 and </w:t>
      </w:r>
      <w:hyperlink r:id="rId31" w:history="1">
        <w:r>
          <w:t>14 Cal. Code Regs., Section 15378(a)</w:t>
        </w:r>
      </w:hyperlink>
      <w:r>
        <w:t xml:space="preserve">.  </w:t>
      </w:r>
    </w:p>
    <w:p w:rsidR="00CB2A83" w:rsidRDefault="00CB2A83" w:rsidP="00A4093B">
      <w:pPr>
        <w:pStyle w:val="Heading1"/>
      </w:pPr>
      <w:bookmarkStart w:id="130" w:name="_Toc436647380"/>
      <w:r>
        <w:t xml:space="preserve">Comments on the </w:t>
      </w:r>
      <w:r w:rsidR="00214651">
        <w:t xml:space="preserve">Proposed </w:t>
      </w:r>
      <w:r>
        <w:t>Decision</w:t>
      </w:r>
      <w:bookmarkEnd w:id="130"/>
    </w:p>
    <w:p w:rsidR="00326E89" w:rsidRDefault="00326E89" w:rsidP="00326E89">
      <w:pPr>
        <w:pStyle w:val="standard"/>
      </w:pPr>
      <w:r>
        <w:t>The proposed decision of the assigned Commissioner in this matter was mailed to the parties in accordance with Section 311 of the Public Utilities Code</w:t>
      </w:r>
      <w:r w:rsidR="00E55406">
        <w:t>,</w:t>
      </w:r>
      <w:r>
        <w:t xml:space="preserve"> and comments were allowed </w:t>
      </w:r>
      <w:r w:rsidR="00E55406">
        <w:t>pursuant to</w:t>
      </w:r>
      <w:r>
        <w:t xml:space="preserve"> Rule</w:t>
      </w:r>
      <w:r w:rsidR="00E55406">
        <w:t> </w:t>
      </w:r>
      <w:r>
        <w:t xml:space="preserve">14.3 of the Commission’s Rules of Practice and Procedure.  Comments were filed on </w:t>
      </w:r>
      <w:r w:rsidR="00CA0353">
        <w:t>November 19, 2015, by AT&amp;T Mobility, CCTA, CTIA, Mobilitie</w:t>
      </w:r>
      <w:r w:rsidR="006962BF">
        <w:t xml:space="preserve"> LLC</w:t>
      </w:r>
      <w:r w:rsidR="00CA0353">
        <w:t>, the Electric IOUs, PCIA, SED, and TURN</w:t>
      </w:r>
      <w:r w:rsidR="007B3791">
        <w:t>.</w:t>
      </w:r>
      <w:r>
        <w:t xml:space="preserve"> </w:t>
      </w:r>
      <w:r w:rsidR="007B3791">
        <w:t xml:space="preserve"> R</w:t>
      </w:r>
      <w:r>
        <w:t xml:space="preserve">eply comments were filed on </w:t>
      </w:r>
      <w:r w:rsidR="00CA0353">
        <w:t xml:space="preserve">November 24, 2015, </w:t>
      </w:r>
      <w:r>
        <w:t xml:space="preserve">by </w:t>
      </w:r>
      <w:r w:rsidR="00CA0353">
        <w:t xml:space="preserve">AT&amp;T Mobility, CTIA, the Electric IOUs, PCIA, SED, and TURN. </w:t>
      </w:r>
    </w:p>
    <w:p w:rsidR="00AF3E73" w:rsidRDefault="00AF3E73" w:rsidP="00AF3E73">
      <w:pPr>
        <w:pStyle w:val="standard"/>
      </w:pPr>
      <w:r>
        <w:t xml:space="preserve">In response to the comments on the proposed decision, the final decision incorporates the following revisions:  </w:t>
      </w:r>
    </w:p>
    <w:p w:rsidR="004C77AC" w:rsidRDefault="00BB0B81" w:rsidP="00D94EAA">
      <w:pPr>
        <w:pStyle w:val="StandardBullet"/>
        <w:tabs>
          <w:tab w:val="clear" w:pos="1332"/>
          <w:tab w:val="num" w:pos="1260"/>
        </w:tabs>
        <w:ind w:left="1260" w:hanging="540"/>
      </w:pPr>
      <w:r>
        <w:t>In</w:t>
      </w:r>
      <w:r w:rsidR="004C77AC">
        <w:t xml:space="preserve"> Section 3.2.3.3</w:t>
      </w:r>
      <w:r w:rsidR="0012546F">
        <w:t xml:space="preserve"> of today’s decision</w:t>
      </w:r>
      <w:r>
        <w:t>, the first sentence</w:t>
      </w:r>
      <w:r w:rsidR="004C77AC">
        <w:t xml:space="preserve"> is revised to delete the statement that TURN</w:t>
      </w:r>
      <w:r w:rsidR="00560CB7">
        <w:t xml:space="preserve"> </w:t>
      </w:r>
      <w:r w:rsidR="004C77AC">
        <w:t>had propos</w:t>
      </w:r>
      <w:r w:rsidR="00560CB7">
        <w:t xml:space="preserve">ed </w:t>
      </w:r>
      <w:r w:rsidR="004C77AC">
        <w:t xml:space="preserve">applying the 7.4% per-foot fee to pole-top antennas </w:t>
      </w:r>
      <w:r w:rsidR="00560CB7">
        <w:t xml:space="preserve">in a manner similar </w:t>
      </w:r>
      <w:r w:rsidR="004C77AC">
        <w:t>to the Electric IOUs’ proposal.</w:t>
      </w:r>
    </w:p>
    <w:p w:rsidR="0012546F" w:rsidRDefault="0012546F" w:rsidP="00A939A3">
      <w:pPr>
        <w:pStyle w:val="StandardBullet"/>
        <w:tabs>
          <w:tab w:val="clear" w:pos="1332"/>
          <w:tab w:val="num" w:pos="1260"/>
        </w:tabs>
        <w:ind w:left="1260" w:hanging="540"/>
      </w:pPr>
      <w:r>
        <w:t xml:space="preserve">In Section 3.2.3.5, Footnote 48 is revised to include additional citations to the record of this proceeding. </w:t>
      </w:r>
    </w:p>
    <w:p w:rsidR="00A939A3" w:rsidRDefault="0015669E" w:rsidP="00A939A3">
      <w:pPr>
        <w:pStyle w:val="StandardBullet"/>
        <w:tabs>
          <w:tab w:val="clear" w:pos="1332"/>
          <w:tab w:val="num" w:pos="1260"/>
        </w:tabs>
        <w:ind w:left="1260" w:hanging="540"/>
      </w:pPr>
      <w:r>
        <w:t>In Section 3.2.3.8, t</w:t>
      </w:r>
      <w:r w:rsidR="004C77AC">
        <w:t xml:space="preserve">he </w:t>
      </w:r>
      <w:r w:rsidR="00907A08">
        <w:t xml:space="preserve">contents of the petition for rulemaking that CLECs and CATV corporations are encouraged to file </w:t>
      </w:r>
      <w:r>
        <w:t>(</w:t>
      </w:r>
      <w:r w:rsidR="00907A08">
        <w:t>to extend the ROW Rules to wireless facilities installed by CLECs and CATV corporations</w:t>
      </w:r>
      <w:r>
        <w:t>)</w:t>
      </w:r>
      <w:r w:rsidR="00907A08">
        <w:t xml:space="preserve"> is revised</w:t>
      </w:r>
      <w:r w:rsidR="0012546F">
        <w:t xml:space="preserve"> as follows:</w:t>
      </w:r>
      <w:r w:rsidR="00907A08">
        <w:t xml:space="preserve">  </w:t>
      </w:r>
    </w:p>
    <w:p w:rsidR="00411495" w:rsidRDefault="00411495" w:rsidP="00D94EAA">
      <w:pPr>
        <w:pStyle w:val="StandardBullet"/>
        <w:numPr>
          <w:ilvl w:val="1"/>
          <w:numId w:val="21"/>
        </w:numPr>
        <w:tabs>
          <w:tab w:val="num" w:pos="1800"/>
        </w:tabs>
        <w:ind w:left="1800"/>
      </w:pPr>
      <w:r>
        <w:t>The requirement for the petition to address the Commission’s authority to apply and enforce its ROW Rules with respect to CATV corporations that possess a state-video franchise is deleted.</w:t>
      </w:r>
    </w:p>
    <w:p w:rsidR="00411495" w:rsidRDefault="00411495" w:rsidP="00D94EAA">
      <w:pPr>
        <w:pStyle w:val="StandardBullet"/>
        <w:numPr>
          <w:ilvl w:val="1"/>
          <w:numId w:val="21"/>
        </w:numPr>
        <w:tabs>
          <w:tab w:val="num" w:pos="1800"/>
        </w:tabs>
        <w:ind w:left="1800"/>
      </w:pPr>
      <w:r>
        <w:t>A requirement is added that the petition should address the Commission’s authority to apply and enforce its ROW Rules and safety regulations with respect to CATV corporations</w:t>
      </w:r>
      <w:r w:rsidR="00E52BAC">
        <w:t>’</w:t>
      </w:r>
      <w:r>
        <w:t xml:space="preserve"> </w:t>
      </w:r>
      <w:r w:rsidR="00E52BAC">
        <w:t xml:space="preserve">wireless facilities </w:t>
      </w:r>
      <w:r>
        <w:t>in light of the Commission’s conclusion in D.15</w:t>
      </w:r>
      <w:r>
        <w:noBreakHyphen/>
        <w:t>05</w:t>
      </w:r>
      <w:r>
        <w:noBreakHyphen/>
        <w:t xml:space="preserve">002 that the term </w:t>
      </w:r>
      <w:r>
        <w:lastRenderedPageBreak/>
        <w:t xml:space="preserve">“cable” in Pub. Util. Code § 216.4 does not include satellites and other forms of wireless transmission. </w:t>
      </w:r>
    </w:p>
    <w:p w:rsidR="00BB0B81" w:rsidRDefault="00BB0B81" w:rsidP="00D94EAA">
      <w:pPr>
        <w:pStyle w:val="StandardBullet"/>
        <w:tabs>
          <w:tab w:val="clear" w:pos="1332"/>
          <w:tab w:val="num" w:pos="1260"/>
        </w:tabs>
        <w:ind w:left="1260" w:hanging="540"/>
      </w:pPr>
      <w:r>
        <w:t>In Section</w:t>
      </w:r>
      <w:r w:rsidR="00711954">
        <w:t> </w:t>
      </w:r>
      <w:r>
        <w:t xml:space="preserve">3.3, the definition of “CMRS carrier” in the ROW Rules is expanded to include an entity that holds a current Commission-issued </w:t>
      </w:r>
      <w:r w:rsidR="00D43368">
        <w:t>certificate of public convenience and necessity</w:t>
      </w:r>
      <w:r>
        <w:t xml:space="preserve"> that authorizes the holder to provide CMRS. </w:t>
      </w:r>
      <w:r w:rsidR="00E52BAC">
        <w:t xml:space="preserve"> Conforming changes are made to the text of the ROW Rules in Appendix A of today’s decision.</w:t>
      </w:r>
    </w:p>
    <w:p w:rsidR="00BB0B81" w:rsidRDefault="00BB0B81" w:rsidP="00D94EAA">
      <w:pPr>
        <w:pStyle w:val="StandardBullet"/>
        <w:tabs>
          <w:tab w:val="clear" w:pos="1332"/>
          <w:tab w:val="num" w:pos="1260"/>
        </w:tabs>
        <w:ind w:left="1260" w:hanging="540"/>
      </w:pPr>
      <w:r>
        <w:t xml:space="preserve">In Section 3.7, the date that the adopted revisions to the ROW Rules </w:t>
      </w:r>
      <w:r w:rsidR="008552BE">
        <w:t xml:space="preserve">go into effect is revised from immediately to </w:t>
      </w:r>
      <w:r>
        <w:t>120</w:t>
      </w:r>
      <w:r w:rsidR="008552BE">
        <w:t> </w:t>
      </w:r>
      <w:r>
        <w:t>days after the date of today’s decision</w:t>
      </w:r>
      <w:r w:rsidR="008552BE">
        <w:t>.</w:t>
      </w:r>
      <w:r w:rsidR="00711954">
        <w:t xml:space="preserve"> </w:t>
      </w:r>
      <w:r w:rsidR="00E52BAC">
        <w:t xml:space="preserve"> </w:t>
      </w:r>
      <w:r w:rsidR="00020599">
        <w:t xml:space="preserve">Conforming changes are made to Conclusion of Law 5 and Ordering Paragraph 1. </w:t>
      </w:r>
    </w:p>
    <w:p w:rsidR="00711954" w:rsidRDefault="00711954" w:rsidP="00D94EAA">
      <w:pPr>
        <w:pStyle w:val="StandardBullet"/>
        <w:tabs>
          <w:tab w:val="clear" w:pos="1332"/>
          <w:tab w:val="num" w:pos="1260"/>
        </w:tabs>
        <w:ind w:left="1260" w:hanging="540"/>
      </w:pPr>
      <w:r>
        <w:t xml:space="preserve">In Section 3.8, a statement is added that the Commission has authority to adopt safety regulations for CMRS pole attachments pursuant to Pub. Util. Code §§ 701 and 761 et seq.  </w:t>
      </w:r>
      <w:r w:rsidR="00020599">
        <w:t xml:space="preserve">This statement is reflected in new Conclusion of Law 22.  </w:t>
      </w:r>
    </w:p>
    <w:p w:rsidR="00F62ABB" w:rsidRDefault="00F62ABB" w:rsidP="00D94EAA">
      <w:pPr>
        <w:pStyle w:val="StandardBullet"/>
        <w:tabs>
          <w:tab w:val="clear" w:pos="1332"/>
          <w:tab w:val="num" w:pos="1260"/>
        </w:tabs>
        <w:ind w:left="1260" w:hanging="540"/>
      </w:pPr>
      <w:r>
        <w:t xml:space="preserve">The following revisions are made to </w:t>
      </w:r>
      <w:r w:rsidR="00711954">
        <w:t>Section</w:t>
      </w:r>
      <w:r w:rsidR="00042C7A">
        <w:t> </w:t>
      </w:r>
      <w:r w:rsidR="00711954">
        <w:t>3.8.2.3</w:t>
      </w:r>
      <w:r>
        <w:t>:</w:t>
      </w:r>
    </w:p>
    <w:p w:rsidR="00E52BAC" w:rsidRDefault="00E52BAC" w:rsidP="00E52BAC">
      <w:pPr>
        <w:pStyle w:val="StandardBullet"/>
        <w:numPr>
          <w:ilvl w:val="1"/>
          <w:numId w:val="21"/>
        </w:numPr>
        <w:tabs>
          <w:tab w:val="num" w:pos="1800"/>
        </w:tabs>
        <w:ind w:left="1800"/>
      </w:pPr>
      <w:r>
        <w:t xml:space="preserve">The words “assumptions” and “estimates” are replaced with “conservative values” and/or “industry recognized values.” </w:t>
      </w:r>
    </w:p>
    <w:p w:rsidR="00023842" w:rsidRDefault="00023842" w:rsidP="00D94EAA">
      <w:pPr>
        <w:pStyle w:val="StandardBullet"/>
        <w:numPr>
          <w:ilvl w:val="1"/>
          <w:numId w:val="21"/>
        </w:numPr>
        <w:tabs>
          <w:tab w:val="num" w:pos="1800"/>
        </w:tabs>
        <w:ind w:left="1800"/>
      </w:pPr>
      <w:r>
        <w:t xml:space="preserve">Text is added at several places which states that SED’s proposed Rule 94.3 is denied based on the record of this proceeding.  </w:t>
      </w:r>
    </w:p>
    <w:p w:rsidR="00711954" w:rsidRDefault="00F62ABB" w:rsidP="00D94EAA">
      <w:pPr>
        <w:pStyle w:val="StandardBullet"/>
        <w:numPr>
          <w:ilvl w:val="1"/>
          <w:numId w:val="21"/>
        </w:numPr>
        <w:tabs>
          <w:tab w:val="num" w:pos="1800"/>
        </w:tabs>
        <w:ind w:left="1800"/>
      </w:pPr>
      <w:r>
        <w:t>A</w:t>
      </w:r>
      <w:r w:rsidR="00711954">
        <w:t xml:space="preserve"> brief discussion is added that explains why D.15</w:t>
      </w:r>
      <w:r w:rsidR="00711954">
        <w:noBreakHyphen/>
        <w:t>11</w:t>
      </w:r>
      <w:r w:rsidR="00711954">
        <w:noBreakHyphen/>
        <w:t xml:space="preserve">021 does not provide a </w:t>
      </w:r>
      <w:r w:rsidR="00E52BAC">
        <w:t xml:space="preserve">factual </w:t>
      </w:r>
      <w:r w:rsidR="00711954">
        <w:t xml:space="preserve">basis to adopt SED’s proposed Rule 94.3-D. </w:t>
      </w:r>
    </w:p>
    <w:p w:rsidR="00F62ABB" w:rsidRDefault="00F62ABB" w:rsidP="00D94EAA">
      <w:pPr>
        <w:pStyle w:val="StandardBullet"/>
        <w:numPr>
          <w:ilvl w:val="1"/>
          <w:numId w:val="21"/>
        </w:numPr>
        <w:tabs>
          <w:tab w:val="num" w:pos="1800"/>
        </w:tabs>
        <w:ind w:left="1800"/>
      </w:pPr>
      <w:r>
        <w:t xml:space="preserve">A statement is added that a utility’s decision to use conservative values in load calculations should always result in equal or greater safety compared to using actual specifications in load calculations.  If this is not the case, the utility must use actual specifications.  </w:t>
      </w:r>
    </w:p>
    <w:p w:rsidR="00042C7A" w:rsidRDefault="00F62ABB" w:rsidP="00D94EAA">
      <w:pPr>
        <w:pStyle w:val="StandardBullet"/>
        <w:numPr>
          <w:ilvl w:val="1"/>
          <w:numId w:val="21"/>
        </w:numPr>
        <w:tabs>
          <w:tab w:val="num" w:pos="1800"/>
        </w:tabs>
        <w:spacing w:after="120"/>
        <w:ind w:left="1800"/>
      </w:pPr>
      <w:r>
        <w:t>The</w:t>
      </w:r>
      <w:r w:rsidR="00042C7A">
        <w:t xml:space="preserve"> deadline is </w:t>
      </w:r>
      <w:r w:rsidR="00DE3B74">
        <w:t>extended</w:t>
      </w:r>
      <w:r w:rsidR="00042C7A">
        <w:t xml:space="preserve"> from nine months to 12 months for SED to either (1) file a petition for rulemaking to revise Rule 44.2; or (2) serve notice that SED concludes that no changes to Rule 44.2 are necessary.  </w:t>
      </w:r>
    </w:p>
    <w:p w:rsidR="00F62ABB" w:rsidRDefault="00F62ABB" w:rsidP="00D94EAA">
      <w:pPr>
        <w:pStyle w:val="StandardBullet"/>
        <w:tabs>
          <w:tab w:val="clear" w:pos="1332"/>
          <w:tab w:val="num" w:pos="1260"/>
        </w:tabs>
        <w:ind w:left="1260" w:hanging="540"/>
      </w:pPr>
      <w:r>
        <w:lastRenderedPageBreak/>
        <w:t xml:space="preserve">The following revisions are made to Section </w:t>
      </w:r>
      <w:r w:rsidR="00EF27D2">
        <w:t>3.8.3.3</w:t>
      </w:r>
      <w:r>
        <w:t>:</w:t>
      </w:r>
    </w:p>
    <w:p w:rsidR="00711954" w:rsidRDefault="00F62ABB" w:rsidP="00D94EAA">
      <w:pPr>
        <w:pStyle w:val="StandardBullet"/>
        <w:numPr>
          <w:ilvl w:val="1"/>
          <w:numId w:val="21"/>
        </w:numPr>
        <w:tabs>
          <w:tab w:val="num" w:pos="1800"/>
        </w:tabs>
        <w:ind w:left="1800"/>
      </w:pPr>
      <w:r>
        <w:t>A</w:t>
      </w:r>
      <w:r w:rsidR="00EF27D2">
        <w:t xml:space="preserve"> statement is added that</w:t>
      </w:r>
      <w:r w:rsidR="00042C7A">
        <w:t xml:space="preserve"> </w:t>
      </w:r>
      <w:r w:rsidR="00EF27D2">
        <w:t>the revisions to Rule 94.5</w:t>
      </w:r>
      <w:r w:rsidR="00EF27D2">
        <w:noBreakHyphen/>
        <w:t>A adopted by today’s decision do not affect the operation of wireless facilities.</w:t>
      </w:r>
      <w:r w:rsidR="00042C7A">
        <w:t xml:space="preserve">  </w:t>
      </w:r>
      <w:r w:rsidR="00020599">
        <w:t>Conf</w:t>
      </w:r>
      <w:r w:rsidR="0074503B">
        <w:t>o</w:t>
      </w:r>
      <w:r w:rsidR="00020599">
        <w:t>rming changes are made to re-numbered Conclusion of Law 30.</w:t>
      </w:r>
    </w:p>
    <w:p w:rsidR="00EF27D2" w:rsidRDefault="00E52BAC" w:rsidP="00D94EAA">
      <w:pPr>
        <w:pStyle w:val="StandardBullet"/>
        <w:numPr>
          <w:ilvl w:val="1"/>
          <w:numId w:val="21"/>
        </w:numPr>
        <w:tabs>
          <w:tab w:val="num" w:pos="1800"/>
        </w:tabs>
        <w:ind w:left="1800"/>
      </w:pPr>
      <w:r>
        <w:t>A</w:t>
      </w:r>
      <w:r w:rsidR="00EF27D2">
        <w:t xml:space="preserve"> statement is added that the revisions to Rule 94.5</w:t>
      </w:r>
      <w:r w:rsidR="00EF27D2">
        <w:noBreakHyphen/>
        <w:t xml:space="preserve">A adopted by today’s decision do </w:t>
      </w:r>
      <w:r w:rsidR="00EF27D2">
        <w:rPr>
          <w:szCs w:val="24"/>
        </w:rPr>
        <w:t>not conflict with any federal laws, regulations, or policies</w:t>
      </w:r>
      <w:r w:rsidR="00EF27D2">
        <w:t xml:space="preserve">.  </w:t>
      </w:r>
    </w:p>
    <w:p w:rsidR="00EF27D2" w:rsidRDefault="0074503B" w:rsidP="00D94EAA">
      <w:pPr>
        <w:pStyle w:val="StandardBullet"/>
        <w:numPr>
          <w:ilvl w:val="1"/>
          <w:numId w:val="21"/>
        </w:numPr>
        <w:tabs>
          <w:tab w:val="num" w:pos="1800"/>
        </w:tabs>
        <w:spacing w:after="120"/>
        <w:ind w:left="1800"/>
      </w:pPr>
      <w:r>
        <w:t>D</w:t>
      </w:r>
      <w:r w:rsidR="00F00338">
        <w:t xml:space="preserve">iscussion is added that refutes AT&amp;T Mobility’s argument that </w:t>
      </w:r>
      <w:r w:rsidR="00EF27D2">
        <w:t>the revisions to Rule 94.5</w:t>
      </w:r>
      <w:r w:rsidR="00EF27D2">
        <w:noBreakHyphen/>
        <w:t xml:space="preserve">A adopted by today’s decision </w:t>
      </w:r>
      <w:r w:rsidR="00F00338">
        <w:rPr>
          <w:szCs w:val="24"/>
        </w:rPr>
        <w:t>are prohibited by FCC 97-303</w:t>
      </w:r>
      <w:r w:rsidR="00EF27D2">
        <w:t xml:space="preserve">.  </w:t>
      </w:r>
    </w:p>
    <w:p w:rsidR="00C96029" w:rsidRDefault="00DE3B74" w:rsidP="00EF27D2">
      <w:pPr>
        <w:pStyle w:val="StandardBullet"/>
        <w:tabs>
          <w:tab w:val="clear" w:pos="1332"/>
          <w:tab w:val="num" w:pos="1260"/>
        </w:tabs>
        <w:ind w:left="1260" w:hanging="540"/>
      </w:pPr>
      <w:r>
        <w:t>In Section 3.8.4.3, the deadline for SED to submit a petition for rulemaking to adopt a rule regarding interference with fall</w:t>
      </w:r>
      <w:r w:rsidR="00397ECD">
        <w:noBreakHyphen/>
      </w:r>
      <w:r>
        <w:t xml:space="preserve">protection gear is extended from nine months to 12 months. </w:t>
      </w:r>
      <w:r w:rsidR="00020599">
        <w:t xml:space="preserve"> Conf</w:t>
      </w:r>
      <w:r w:rsidR="0074503B">
        <w:t>o</w:t>
      </w:r>
      <w:r w:rsidR="00020599">
        <w:t>rming changes are made to re-numbered Conclusion of Law 33 and to Ordering Paragraph 5.v.</w:t>
      </w:r>
    </w:p>
    <w:p w:rsidR="00F62ABB" w:rsidRDefault="00F62ABB" w:rsidP="00EF27D2">
      <w:pPr>
        <w:pStyle w:val="StandardBullet"/>
        <w:tabs>
          <w:tab w:val="clear" w:pos="1332"/>
          <w:tab w:val="num" w:pos="1260"/>
        </w:tabs>
        <w:ind w:left="1260" w:hanging="540"/>
      </w:pPr>
      <w:r>
        <w:t xml:space="preserve">The following revisions are made to Section </w:t>
      </w:r>
      <w:r w:rsidR="00397ECD">
        <w:t>3.8.5.3</w:t>
      </w:r>
      <w:r>
        <w:t>:</w:t>
      </w:r>
    </w:p>
    <w:p w:rsidR="00397ECD" w:rsidRDefault="00F62ABB" w:rsidP="00D94EAA">
      <w:pPr>
        <w:pStyle w:val="StandardBullet"/>
        <w:numPr>
          <w:ilvl w:val="1"/>
          <w:numId w:val="21"/>
        </w:numPr>
        <w:tabs>
          <w:tab w:val="num" w:pos="1800"/>
        </w:tabs>
        <w:ind w:left="1800"/>
      </w:pPr>
      <w:r>
        <w:t>A</w:t>
      </w:r>
      <w:r w:rsidR="00397ECD">
        <w:t xml:space="preserve"> statement is added that the revisions to Rule 94.9 adopted by today’s decision do not affect the operation of wireless facilities. </w:t>
      </w:r>
      <w:r w:rsidR="00020599">
        <w:t xml:space="preserve"> Conf</w:t>
      </w:r>
      <w:r w:rsidR="0074503B">
        <w:t>o</w:t>
      </w:r>
      <w:r w:rsidR="00020599">
        <w:t>rming changes are made to re-numbered Conclusion of Law 30.</w:t>
      </w:r>
    </w:p>
    <w:p w:rsidR="00397ECD" w:rsidRDefault="00F62ABB" w:rsidP="00D94EAA">
      <w:pPr>
        <w:pStyle w:val="StandardBullet"/>
        <w:numPr>
          <w:ilvl w:val="1"/>
          <w:numId w:val="21"/>
        </w:numPr>
        <w:tabs>
          <w:tab w:val="num" w:pos="1800"/>
        </w:tabs>
        <w:ind w:left="1800"/>
      </w:pPr>
      <w:r>
        <w:t>A</w:t>
      </w:r>
      <w:r w:rsidR="00397ECD">
        <w:t xml:space="preserve"> statement is added that the revisions to Rule 94.9 adopted by today’s decision do </w:t>
      </w:r>
      <w:r w:rsidR="00397ECD">
        <w:rPr>
          <w:szCs w:val="24"/>
        </w:rPr>
        <w:t>not conflict with any federal laws, regulations, or policies</w:t>
      </w:r>
      <w:r w:rsidR="00397ECD">
        <w:t xml:space="preserve">. </w:t>
      </w:r>
    </w:p>
    <w:p w:rsidR="00397ECD" w:rsidRDefault="000A787B" w:rsidP="00D94EAA">
      <w:pPr>
        <w:pStyle w:val="StandardBullet"/>
        <w:numPr>
          <w:ilvl w:val="1"/>
          <w:numId w:val="21"/>
        </w:numPr>
        <w:tabs>
          <w:tab w:val="num" w:pos="1800"/>
        </w:tabs>
        <w:spacing w:after="120"/>
        <w:ind w:left="1800"/>
      </w:pPr>
      <w:r>
        <w:t>D</w:t>
      </w:r>
      <w:r w:rsidR="00397ECD">
        <w:t xml:space="preserve">iscussion is added that refutes AT&amp;T Mobility’s argument that the revisions to Rule 94.9 adopted by today’s decision </w:t>
      </w:r>
      <w:r w:rsidR="00397ECD">
        <w:rPr>
          <w:szCs w:val="24"/>
        </w:rPr>
        <w:t>are prohibited by FCC 97-303</w:t>
      </w:r>
      <w:r w:rsidR="00397ECD">
        <w:t xml:space="preserve">.  </w:t>
      </w:r>
    </w:p>
    <w:p w:rsidR="00397ECD" w:rsidRDefault="000A787B" w:rsidP="00EF27D2">
      <w:pPr>
        <w:pStyle w:val="StandardBullet"/>
        <w:tabs>
          <w:tab w:val="clear" w:pos="1332"/>
          <w:tab w:val="num" w:pos="1260"/>
        </w:tabs>
        <w:ind w:left="1260" w:hanging="540"/>
      </w:pPr>
      <w:r>
        <w:t>The following revisions are made to Section 3.8.7.3.1:</w:t>
      </w:r>
    </w:p>
    <w:p w:rsidR="000A787B" w:rsidRDefault="000A787B" w:rsidP="00D94EAA">
      <w:pPr>
        <w:pStyle w:val="StandardBullet"/>
        <w:numPr>
          <w:ilvl w:val="1"/>
          <w:numId w:val="21"/>
        </w:numPr>
        <w:tabs>
          <w:tab w:val="num" w:pos="1800"/>
        </w:tabs>
        <w:ind w:left="1800"/>
      </w:pPr>
      <w:r>
        <w:t xml:space="preserve">The discussion regarding the cost of performing pole overturning calculations is revised. </w:t>
      </w:r>
    </w:p>
    <w:p w:rsidR="007F6B1F" w:rsidRDefault="007F6B1F" w:rsidP="00D94EAA">
      <w:pPr>
        <w:pStyle w:val="StandardBullet"/>
        <w:numPr>
          <w:ilvl w:val="1"/>
          <w:numId w:val="21"/>
        </w:numPr>
        <w:tabs>
          <w:tab w:val="num" w:pos="1800"/>
        </w:tabs>
        <w:ind w:left="1800"/>
      </w:pPr>
      <w:r>
        <w:t>The deadline for SED to submit a petition for rulemaking to adopt a rule regarding pole overturning calculations is extended from nine months to 12 months.  Conf</w:t>
      </w:r>
      <w:r w:rsidR="0074503B">
        <w:t>o</w:t>
      </w:r>
      <w:r>
        <w:t>rming changes are made to re-numbered Conclusion of Law</w:t>
      </w:r>
      <w:r w:rsidR="0074503B">
        <w:t> </w:t>
      </w:r>
      <w:r>
        <w:t>3</w:t>
      </w:r>
      <w:r w:rsidR="00D01896">
        <w:t>6</w:t>
      </w:r>
      <w:r>
        <w:t xml:space="preserve"> and to Ordering Paragraph 5.v.</w:t>
      </w:r>
    </w:p>
    <w:p w:rsidR="000A787B" w:rsidRDefault="000A787B" w:rsidP="00D94EAA">
      <w:pPr>
        <w:pStyle w:val="StandardBullet"/>
        <w:numPr>
          <w:ilvl w:val="1"/>
          <w:numId w:val="21"/>
        </w:numPr>
        <w:tabs>
          <w:tab w:val="num" w:pos="1800"/>
        </w:tabs>
        <w:spacing w:after="120"/>
        <w:ind w:left="1800"/>
      </w:pPr>
      <w:r>
        <w:lastRenderedPageBreak/>
        <w:t>Discussion is added that refutes AT&amp;T Mobility’s argument that there is no record to support the adopted requirement to perform overturning calculations for CMRS pole-top attachments.</w:t>
      </w:r>
      <w:r w:rsidR="00020599">
        <w:t xml:space="preserve"> </w:t>
      </w:r>
    </w:p>
    <w:p w:rsidR="000A787B" w:rsidRDefault="005A3C40" w:rsidP="00D94EAA">
      <w:pPr>
        <w:pStyle w:val="StandardBullet"/>
        <w:tabs>
          <w:tab w:val="clear" w:pos="1332"/>
          <w:tab w:val="num" w:pos="1260"/>
        </w:tabs>
        <w:ind w:left="1260" w:hanging="540"/>
      </w:pPr>
      <w:r>
        <w:t xml:space="preserve">In Section 3.8.8.3, the adopted Rule 94.12 is revised to delete the requirement </w:t>
      </w:r>
      <w:r w:rsidR="00020599">
        <w:t xml:space="preserve">that personnel who access wireless facilities above supply lines must be properly authorized. </w:t>
      </w:r>
      <w:r w:rsidR="0074503B">
        <w:t xml:space="preserve">Conforming changes are made to the adopted Rule 94.12 in Appendix C of today’s decision. </w:t>
      </w:r>
      <w:r w:rsidR="00020599">
        <w:t xml:space="preserve"> </w:t>
      </w:r>
      <w:r>
        <w:t xml:space="preserve"> </w:t>
      </w:r>
      <w:r w:rsidR="000A787B">
        <w:t xml:space="preserve"> </w:t>
      </w:r>
    </w:p>
    <w:p w:rsidR="00CB2420" w:rsidRDefault="00CB2420" w:rsidP="00D94EAA">
      <w:pPr>
        <w:pStyle w:val="StandardBullet"/>
        <w:tabs>
          <w:tab w:val="clear" w:pos="1332"/>
          <w:tab w:val="num" w:pos="1260"/>
        </w:tabs>
        <w:ind w:left="1267" w:hanging="547"/>
      </w:pPr>
      <w:r>
        <w:t xml:space="preserve">In Appendix C, the text of the adopted Rule 94.11 is revised so that the “purpose” of the overturning calculation is placed in a note immediately following Rule 94.11.  </w:t>
      </w:r>
    </w:p>
    <w:p w:rsidR="00AF3E73" w:rsidRDefault="00AF3E73" w:rsidP="00D94EAA">
      <w:pPr>
        <w:pStyle w:val="StandardBullet"/>
        <w:tabs>
          <w:tab w:val="clear" w:pos="1332"/>
          <w:tab w:val="num" w:pos="1260"/>
        </w:tabs>
        <w:spacing w:after="240"/>
        <w:ind w:left="1267" w:hanging="547"/>
      </w:pPr>
      <w:r>
        <w:t xml:space="preserve">Several typographical errors, spelling errors, and other errors are corrected. </w:t>
      </w:r>
    </w:p>
    <w:p w:rsidR="008504A4" w:rsidRDefault="008504A4" w:rsidP="00A4093B">
      <w:pPr>
        <w:pStyle w:val="Heading1"/>
      </w:pPr>
      <w:bookmarkStart w:id="131" w:name="_Toc261439206"/>
      <w:bookmarkStart w:id="132" w:name="_Toc261847960"/>
      <w:bookmarkStart w:id="133" w:name="_Toc261928477"/>
      <w:bookmarkStart w:id="134" w:name="_Toc67119028"/>
      <w:bookmarkStart w:id="135" w:name="_Toc194913489"/>
      <w:bookmarkStart w:id="136" w:name="_Toc211146029"/>
      <w:bookmarkStart w:id="137" w:name="_Toc220803782"/>
      <w:bookmarkStart w:id="138" w:name="_Toc424321921"/>
      <w:bookmarkStart w:id="139" w:name="_Toc436647381"/>
      <w:bookmarkEnd w:id="131"/>
      <w:bookmarkEnd w:id="132"/>
      <w:bookmarkEnd w:id="133"/>
      <w:r>
        <w:t>Assignment of the Proceeding</w:t>
      </w:r>
      <w:bookmarkEnd w:id="134"/>
      <w:bookmarkEnd w:id="135"/>
      <w:bookmarkEnd w:id="136"/>
      <w:bookmarkEnd w:id="137"/>
      <w:bookmarkEnd w:id="138"/>
      <w:bookmarkEnd w:id="139"/>
    </w:p>
    <w:p w:rsidR="008504A4" w:rsidRDefault="00010255" w:rsidP="008504A4">
      <w:pPr>
        <w:pStyle w:val="standard"/>
      </w:pPr>
      <w:r>
        <w:t xml:space="preserve">Liane M. Randolph </w:t>
      </w:r>
      <w:r w:rsidR="008504A4">
        <w:t xml:space="preserve">is the assigned Commissioner </w:t>
      </w:r>
      <w:r w:rsidR="00BF5AB5">
        <w:t xml:space="preserve">for this proceeding </w:t>
      </w:r>
      <w:r w:rsidR="008504A4">
        <w:t>and Timothy</w:t>
      </w:r>
      <w:r w:rsidR="00BF5AB5">
        <w:t> </w:t>
      </w:r>
      <w:r w:rsidR="008504A4">
        <w:t xml:space="preserve">Kenney is the assigned </w:t>
      </w:r>
      <w:r w:rsidR="00BF5AB5">
        <w:t>Administrative Law Judge</w:t>
      </w:r>
      <w:r w:rsidR="008504A4">
        <w:t xml:space="preserve">. </w:t>
      </w:r>
    </w:p>
    <w:p w:rsidR="008504A4" w:rsidRDefault="008504A4" w:rsidP="00A4093B">
      <w:pPr>
        <w:pStyle w:val="dummy"/>
      </w:pPr>
      <w:bookmarkStart w:id="140" w:name="_Toc194913490"/>
      <w:bookmarkStart w:id="141" w:name="_Toc220803783"/>
      <w:bookmarkStart w:id="142" w:name="_Toc424321922"/>
      <w:bookmarkStart w:id="143" w:name="_Toc436647382"/>
      <w:r>
        <w:t>Findings of Fact</w:t>
      </w:r>
      <w:bookmarkEnd w:id="140"/>
      <w:bookmarkEnd w:id="141"/>
      <w:bookmarkEnd w:id="142"/>
      <w:bookmarkEnd w:id="143"/>
    </w:p>
    <w:p w:rsidR="008504A4" w:rsidRDefault="008504A4" w:rsidP="008504A4">
      <w:pPr>
        <w:pStyle w:val="num1"/>
        <w:keepNext/>
        <w:rPr>
          <w:rStyle w:val="standardChar"/>
        </w:rPr>
      </w:pPr>
      <w:r>
        <w:rPr>
          <w:rStyle w:val="standardChar"/>
        </w:rPr>
        <w:t xml:space="preserve">The ROW Rules adopted by D.98-10-058 </w:t>
      </w:r>
      <w:r w:rsidR="00F9585D">
        <w:rPr>
          <w:rStyle w:val="standardChar"/>
        </w:rPr>
        <w:t xml:space="preserve">provide CLECs and CATV corporations with nondiscriminatory access to public utility infrastructure at reasonable rates, terms, and </w:t>
      </w:r>
      <w:r w:rsidR="009553B1">
        <w:rPr>
          <w:rStyle w:val="standardChar"/>
        </w:rPr>
        <w:t>conditions</w:t>
      </w:r>
      <w:r w:rsidR="00F9585D">
        <w:rPr>
          <w:rStyle w:val="standardChar"/>
        </w:rPr>
        <w:t xml:space="preserve">. </w:t>
      </w:r>
    </w:p>
    <w:p w:rsidR="00F10E5A" w:rsidRDefault="00F10E5A" w:rsidP="008504A4">
      <w:pPr>
        <w:pStyle w:val="num1"/>
      </w:pPr>
      <w:r>
        <w:t xml:space="preserve">The demand for wireless services is increasing rapidly.  Most </w:t>
      </w:r>
      <w:r w:rsidR="00341936">
        <w:t>Californians</w:t>
      </w:r>
      <w:r>
        <w:t xml:space="preserve"> use wireless service as their primary means for communicating with one another</w:t>
      </w:r>
      <w:r w:rsidR="005D4501">
        <w:t>, a</w:t>
      </w:r>
      <w:r>
        <w:t>ccessing the internet</w:t>
      </w:r>
      <w:r w:rsidR="005D4501">
        <w:t>, and calling 911</w:t>
      </w:r>
      <w:r>
        <w:t xml:space="preserve">.  </w:t>
      </w:r>
    </w:p>
    <w:p w:rsidR="008504A4" w:rsidRDefault="008504A4" w:rsidP="008504A4">
      <w:pPr>
        <w:pStyle w:val="num1"/>
      </w:pPr>
      <w:r>
        <w:t xml:space="preserve">Investment in </w:t>
      </w:r>
      <w:r w:rsidR="001F1585">
        <w:t>wireless</w:t>
      </w:r>
      <w:r>
        <w:t xml:space="preserve"> infrastructure provides significant public benefits, including more reliable </w:t>
      </w:r>
      <w:r w:rsidR="001F1585">
        <w:t xml:space="preserve">wireless </w:t>
      </w:r>
      <w:r>
        <w:t xml:space="preserve">service, expanded geographic coverage, greater deployment of broadband service, </w:t>
      </w:r>
      <w:r w:rsidR="00D826F2">
        <w:t xml:space="preserve">and </w:t>
      </w:r>
      <w:r>
        <w:t xml:space="preserve">enhanced public safety.   </w:t>
      </w:r>
    </w:p>
    <w:p w:rsidR="00B547DA" w:rsidRPr="00B547DA" w:rsidRDefault="00D826F2" w:rsidP="008504A4">
      <w:pPr>
        <w:pStyle w:val="num1"/>
      </w:pPr>
      <w:r>
        <w:t>A</w:t>
      </w:r>
      <w:r w:rsidR="00B547DA">
        <w:t>ccess to wireless services</w:t>
      </w:r>
      <w:r w:rsidR="00E55406">
        <w:t xml:space="preserve"> </w:t>
      </w:r>
      <w:r w:rsidR="00B547DA">
        <w:t xml:space="preserve">is essential </w:t>
      </w:r>
      <w:r w:rsidR="00E55406">
        <w:t>for</w:t>
      </w:r>
      <w:r w:rsidR="00B547DA">
        <w:t xml:space="preserve"> the </w:t>
      </w:r>
      <w:r w:rsidR="00341936">
        <w:t>prosperity</w:t>
      </w:r>
      <w:r w:rsidR="00B547DA">
        <w:t xml:space="preserve"> and well-being of California residents. </w:t>
      </w:r>
    </w:p>
    <w:p w:rsidR="008504A4" w:rsidRDefault="00450049" w:rsidP="008504A4">
      <w:pPr>
        <w:pStyle w:val="num1"/>
      </w:pPr>
      <w:r>
        <w:rPr>
          <w:highlight w:val="white"/>
        </w:rPr>
        <w:lastRenderedPageBreak/>
        <w:t xml:space="preserve">Enabling </w:t>
      </w:r>
      <w:r w:rsidR="008504A4" w:rsidRPr="00B3245C">
        <w:rPr>
          <w:highlight w:val="white"/>
        </w:rPr>
        <w:t xml:space="preserve">CMRS carriers </w:t>
      </w:r>
      <w:r w:rsidR="008504A4">
        <w:rPr>
          <w:highlight w:val="white"/>
        </w:rPr>
        <w:t>to obtain</w:t>
      </w:r>
      <w:r w:rsidR="008504A4" w:rsidRPr="00B3245C">
        <w:rPr>
          <w:highlight w:val="white"/>
        </w:rPr>
        <w:t xml:space="preserve"> </w:t>
      </w:r>
      <w:r w:rsidR="008504A4">
        <w:rPr>
          <w:highlight w:val="white"/>
        </w:rPr>
        <w:t xml:space="preserve">nondiscriminatory </w:t>
      </w:r>
      <w:r w:rsidR="001F1585">
        <w:rPr>
          <w:highlight w:val="white"/>
        </w:rPr>
        <w:t xml:space="preserve">access to public utility infrastructure </w:t>
      </w:r>
      <w:r w:rsidR="007B3791">
        <w:t>will</w:t>
      </w:r>
      <w:r w:rsidR="008504A4" w:rsidRPr="00426383">
        <w:t xml:space="preserve"> facilitate </w:t>
      </w:r>
      <w:r w:rsidR="008504A4">
        <w:t xml:space="preserve">investment in wireless infrastructure and </w:t>
      </w:r>
      <w:r w:rsidR="005D4501">
        <w:t>thereby</w:t>
      </w:r>
      <w:r w:rsidR="008504A4">
        <w:t xml:space="preserve"> </w:t>
      </w:r>
      <w:r w:rsidR="008504A4" w:rsidRPr="00426383">
        <w:t xml:space="preserve">help to achieve the State of California’s ambitious goals </w:t>
      </w:r>
      <w:r w:rsidR="008504A4">
        <w:t>for telecommunications services, particularly broadband</w:t>
      </w:r>
      <w:r w:rsidR="008504A4" w:rsidRPr="00426383">
        <w:t>.</w:t>
      </w:r>
      <w:r w:rsidR="008504A4">
        <w:t xml:space="preserve">  Conversely, the inability </w:t>
      </w:r>
      <w:r w:rsidR="005D4501">
        <w:t xml:space="preserve">of CMRS carriers </w:t>
      </w:r>
      <w:r w:rsidR="008504A4">
        <w:t xml:space="preserve">to obtain nondiscriminatory </w:t>
      </w:r>
      <w:r w:rsidR="001F1585">
        <w:t>access</w:t>
      </w:r>
      <w:r w:rsidR="008504A4">
        <w:t xml:space="preserve"> may </w:t>
      </w:r>
      <w:r w:rsidR="00F9585D">
        <w:t xml:space="preserve">limit and </w:t>
      </w:r>
      <w:r w:rsidR="00E55406">
        <w:t>deter</w:t>
      </w:r>
      <w:r w:rsidR="00F9585D">
        <w:t xml:space="preserve"> </w:t>
      </w:r>
      <w:r w:rsidR="008504A4">
        <w:t>investments by CMRS carriers to the detriment of California.</w:t>
      </w:r>
      <w:r w:rsidR="001F1585">
        <w:t xml:space="preserve"> </w:t>
      </w:r>
    </w:p>
    <w:p w:rsidR="00032C5A" w:rsidRDefault="00F9585D" w:rsidP="00865AAF">
      <w:pPr>
        <w:pStyle w:val="num1"/>
      </w:pPr>
      <w:r>
        <w:t xml:space="preserve">The ROW Rules allow public utilities to levy a make-ready charge on CLEC and CATV attachments.  </w:t>
      </w:r>
      <w:r w:rsidR="005D2D16">
        <w:t xml:space="preserve">There are no </w:t>
      </w:r>
      <w:r w:rsidR="009553B1">
        <w:t>characteristics</w:t>
      </w:r>
      <w:r w:rsidR="005D2D16">
        <w:t xml:space="preserve"> of CMRS attachments that indicate a different make-ready charge should apply to CMRS attachments compared to CLEC and CATV attachments.   </w:t>
      </w:r>
    </w:p>
    <w:p w:rsidR="005D4501" w:rsidRDefault="005D2D16" w:rsidP="00865AAF">
      <w:pPr>
        <w:pStyle w:val="num1"/>
      </w:pPr>
      <w:r>
        <w:t>The ROW Rules allow public utilities to cha</w:t>
      </w:r>
      <w:r w:rsidR="00DF1BB4">
        <w:t>r</w:t>
      </w:r>
      <w:r>
        <w:t>ge an annual attachment fee for use of their support structures</w:t>
      </w:r>
      <w:r w:rsidR="00E55406">
        <w:t xml:space="preserve"> other than poles</w:t>
      </w:r>
      <w:r w:rsidR="005D4501">
        <w:t xml:space="preserve"> by CL</w:t>
      </w:r>
      <w:r w:rsidR="00450049">
        <w:t>E</w:t>
      </w:r>
      <w:r w:rsidR="005D4501">
        <w:t>Cs and CATV corporations</w:t>
      </w:r>
      <w:r>
        <w:t xml:space="preserve">.  </w:t>
      </w:r>
      <w:r w:rsidR="00E55406">
        <w:t>This fee</w:t>
      </w:r>
      <w:r w:rsidR="008222E5">
        <w:t xml:space="preserve"> is equal to the percentage of the support structure</w:t>
      </w:r>
      <w:r w:rsidR="00E55406">
        <w:t xml:space="preserve">’s volume or capacity </w:t>
      </w:r>
      <w:r w:rsidR="008222E5">
        <w:t xml:space="preserve">that is used by the attachment multiplied by the </w:t>
      </w:r>
      <w:r w:rsidR="00591075">
        <w:t xml:space="preserve">public </w:t>
      </w:r>
      <w:r w:rsidR="008222E5">
        <w:t>utility’s annual cost</w:t>
      </w:r>
      <w:r w:rsidR="00B97036">
        <w:t>-</w:t>
      </w:r>
      <w:r w:rsidR="008222E5">
        <w:t>of</w:t>
      </w:r>
      <w:r w:rsidR="00B97036">
        <w:t>-</w:t>
      </w:r>
      <w:r w:rsidR="008222E5">
        <w:t xml:space="preserve">ownership for the support structure.  </w:t>
      </w:r>
    </w:p>
    <w:p w:rsidR="00591075" w:rsidRDefault="00E55406" w:rsidP="00865AAF">
      <w:pPr>
        <w:pStyle w:val="num1"/>
      </w:pPr>
      <w:r>
        <w:t>T</w:t>
      </w:r>
      <w:r w:rsidR="00591075">
        <w:t xml:space="preserve">here are no </w:t>
      </w:r>
      <w:r w:rsidR="009553B1">
        <w:t>characteristics</w:t>
      </w:r>
      <w:r w:rsidR="00591075">
        <w:t xml:space="preserve"> of CMRS attachments that indicate a different annual attachment fee should apply to CMRS attachments compared to CLEC and CATV attachments</w:t>
      </w:r>
      <w:r w:rsidR="005D4501">
        <w:t xml:space="preserve"> for the use of support structures other than poles</w:t>
      </w:r>
      <w:r w:rsidR="00591075">
        <w:t xml:space="preserve">.   </w:t>
      </w:r>
    </w:p>
    <w:p w:rsidR="002602EE" w:rsidRDefault="00591075" w:rsidP="006A4908">
      <w:pPr>
        <w:pStyle w:val="num1"/>
      </w:pPr>
      <w:r>
        <w:t xml:space="preserve">The annual </w:t>
      </w:r>
      <w:r w:rsidR="00723545">
        <w:t xml:space="preserve">attachment </w:t>
      </w:r>
      <w:r>
        <w:t>fee prescribed by the ROW Rules for the use of utility poles is</w:t>
      </w:r>
      <w:r w:rsidR="00E827EE" w:rsidRPr="001C738B">
        <w:t xml:space="preserve"> $2.50 or 7.4% of the </w:t>
      </w:r>
      <w:r w:rsidR="00723545">
        <w:t xml:space="preserve">public </w:t>
      </w:r>
      <w:r w:rsidR="00E827EE">
        <w:t xml:space="preserve">utility’s </w:t>
      </w:r>
      <w:r w:rsidR="00E827EE" w:rsidRPr="001C738B">
        <w:t>annual cost</w:t>
      </w:r>
      <w:r w:rsidR="00831CAD">
        <w:t>-</w:t>
      </w:r>
      <w:r w:rsidR="00E827EE" w:rsidRPr="001C738B">
        <w:t>of</w:t>
      </w:r>
      <w:r w:rsidR="00831CAD">
        <w:t>-</w:t>
      </w:r>
      <w:r w:rsidR="00E827EE" w:rsidRPr="001C738B">
        <w:t xml:space="preserve">ownership for the pole </w:t>
      </w:r>
      <w:r w:rsidR="00E827EE">
        <w:t>and supporting anchor</w:t>
      </w:r>
      <w:r>
        <w:t>, whichever is greater</w:t>
      </w:r>
      <w:r w:rsidR="00E827EE">
        <w:t xml:space="preserve">.  As a practical matter, the 7.4% annual fee is always greater than $2.50.  </w:t>
      </w:r>
    </w:p>
    <w:p w:rsidR="002602EE" w:rsidRDefault="000024BF" w:rsidP="008504A4">
      <w:pPr>
        <w:pStyle w:val="num1"/>
      </w:pPr>
      <w:r>
        <w:t>The ROW Rule’s 7.4% annual pole-attachment fee</w:t>
      </w:r>
      <w:r w:rsidR="002602EE">
        <w:t xml:space="preserve"> </w:t>
      </w:r>
      <w:r>
        <w:t xml:space="preserve">is based on a hypothetical 37.5-foot utility pole with 13.5 feet of usable space for all pole attachments.  The 7.4% annual fee presumes that a </w:t>
      </w:r>
      <w:r w:rsidR="004F131D">
        <w:t>CLEC</w:t>
      </w:r>
      <w:r>
        <w:t xml:space="preserve"> or CATV pole </w:t>
      </w:r>
      <w:r w:rsidR="005340E0">
        <w:t>installation</w:t>
      </w:r>
      <w:r>
        <w:t xml:space="preserve"> </w:t>
      </w:r>
      <w:r w:rsidR="00723545">
        <w:t>occupies</w:t>
      </w:r>
      <w:r>
        <w:t xml:space="preserve"> one foot of the </w:t>
      </w:r>
      <w:r w:rsidR="00723545">
        <w:t xml:space="preserve">13.5 feet of </w:t>
      </w:r>
      <w:r>
        <w:t>usable space (i.e., 7.4% = 1 </w:t>
      </w:r>
      <w:r w:rsidRPr="00C4492F">
        <w:t>÷</w:t>
      </w:r>
      <w:r>
        <w:t xml:space="preserve"> 13.5).  </w:t>
      </w:r>
    </w:p>
    <w:p w:rsidR="002602EE" w:rsidRDefault="005340E0" w:rsidP="008504A4">
      <w:pPr>
        <w:pStyle w:val="num1"/>
      </w:pPr>
      <w:r>
        <w:lastRenderedPageBreak/>
        <w:t xml:space="preserve">The vast majority of </w:t>
      </w:r>
      <w:r w:rsidR="004F131D">
        <w:t>CLEC</w:t>
      </w:r>
      <w:r>
        <w:t xml:space="preserve"> and CATV pole installations consist of a </w:t>
      </w:r>
      <w:r w:rsidR="003974DC">
        <w:t xml:space="preserve">single </w:t>
      </w:r>
      <w:r>
        <w:t xml:space="preserve">wireline attachment that occupies one </w:t>
      </w:r>
      <w:r w:rsidR="00723545">
        <w:t xml:space="preserve">vertical </w:t>
      </w:r>
      <w:r>
        <w:t xml:space="preserve">foot of pole space, including the mandatory safety clearances for such </w:t>
      </w:r>
      <w:r w:rsidR="00341936">
        <w:t>installations</w:t>
      </w:r>
      <w:r>
        <w:t xml:space="preserve">.  </w:t>
      </w:r>
      <w:r w:rsidR="002602EE">
        <w:t xml:space="preserve"> </w:t>
      </w:r>
    </w:p>
    <w:p w:rsidR="00635AF4" w:rsidRDefault="00BF6454" w:rsidP="008504A4">
      <w:pPr>
        <w:pStyle w:val="num1"/>
      </w:pPr>
      <w:r>
        <w:t>A typical CMRS installation on a utility pole includes an antenna</w:t>
      </w:r>
      <w:r w:rsidR="00FD2F64">
        <w:t xml:space="preserve"> and ancillary attachments that together </w:t>
      </w:r>
      <w:r w:rsidR="00044259">
        <w:t>can oc</w:t>
      </w:r>
      <w:r w:rsidR="00FD2F64">
        <w:t>cupy 6 to 12 feet of pole space</w:t>
      </w:r>
      <w:r w:rsidR="00044259">
        <w:t>.  The mandatory safety clearances required by GO 95 for CMRS antennas can occupy additional pole space</w:t>
      </w:r>
      <w:r w:rsidR="00635AF4">
        <w:t xml:space="preserve">. </w:t>
      </w:r>
    </w:p>
    <w:p w:rsidR="002602EE" w:rsidRDefault="00723545" w:rsidP="008504A4">
      <w:pPr>
        <w:pStyle w:val="num1"/>
      </w:pPr>
      <w:r>
        <w:t xml:space="preserve">Because CMRS pole </w:t>
      </w:r>
      <w:r w:rsidR="00FD2F64">
        <w:t>installations</w:t>
      </w:r>
      <w:r>
        <w:t xml:space="preserve"> typically occupy much more pole space than CLEC and CATV pole attachments, CMRS attachments are differently situated from CLEC and CATV attachments with respect to the</w:t>
      </w:r>
      <w:r w:rsidR="00635AF4">
        <w:t xml:space="preserve"> 7.4% “per pole” attachment fee in the ROW</w:t>
      </w:r>
      <w:r>
        <w:t> </w:t>
      </w:r>
      <w:r w:rsidR="00635AF4">
        <w:t>Rules</w:t>
      </w:r>
      <w:r w:rsidR="005C2349">
        <w:t>.</w:t>
      </w:r>
      <w:r w:rsidR="00044259">
        <w:t xml:space="preserve"> </w:t>
      </w:r>
    </w:p>
    <w:p w:rsidR="00337124" w:rsidRDefault="00337124" w:rsidP="00337124">
      <w:pPr>
        <w:pStyle w:val="num1"/>
        <w:rPr>
          <w:rStyle w:val="standardChar"/>
        </w:rPr>
      </w:pPr>
      <w:r>
        <w:rPr>
          <w:rStyle w:val="standardChar"/>
        </w:rPr>
        <w:t>A</w:t>
      </w:r>
      <w:r>
        <w:t xml:space="preserve">pplying the 7.4% fee on a per-foot basis to CMRS pole attachments, while the existing 7.4% per-pole fee remains in effect for CLEC and CATV attachments, produces a nondiscriminatory outcome because each attachment will be charged an annual 7.4% fee </w:t>
      </w:r>
      <w:r w:rsidR="00FD2F64">
        <w:t>proportionate to the</w:t>
      </w:r>
      <w:r>
        <w:t xml:space="preserve"> pole space occupied by </w:t>
      </w:r>
      <w:r w:rsidR="00FD2F64">
        <w:t>an</w:t>
      </w:r>
      <w:r>
        <w:t xml:space="preserve"> attachment.  </w:t>
      </w:r>
    </w:p>
    <w:p w:rsidR="00E429C3" w:rsidRDefault="00E429C3" w:rsidP="001973AB">
      <w:pPr>
        <w:pStyle w:val="num1"/>
      </w:pPr>
      <w:r>
        <w:t xml:space="preserve">The </w:t>
      </w:r>
      <w:r w:rsidR="00C36F1A">
        <w:t xml:space="preserve">amount of </w:t>
      </w:r>
      <w:r>
        <w:t xml:space="preserve">pole space that a CMRS attachment renders unusable for </w:t>
      </w:r>
      <w:r w:rsidR="009B60E2">
        <w:t>non</w:t>
      </w:r>
      <w:r w:rsidR="009B60E2">
        <w:noBreakHyphen/>
        <w:t>CMRS</w:t>
      </w:r>
      <w:r>
        <w:t xml:space="preserve"> attachments </w:t>
      </w:r>
      <w:r w:rsidR="00C36F1A">
        <w:t xml:space="preserve">incudes </w:t>
      </w:r>
      <w:r w:rsidR="001973AB">
        <w:t xml:space="preserve">the </w:t>
      </w:r>
      <w:r>
        <w:t>pole space that is physically occupied by the CMRS</w:t>
      </w:r>
      <w:r w:rsidR="00E33867">
        <w:t> </w:t>
      </w:r>
      <w:r>
        <w:t>attachment</w:t>
      </w:r>
      <w:r w:rsidR="001973AB">
        <w:t xml:space="preserve">, plus </w:t>
      </w:r>
      <w:r w:rsidR="002F720C">
        <w:t xml:space="preserve">any pole space that must be kept vacant of communication and/or supply conductors due solely to the CMRS attachment.  </w:t>
      </w:r>
      <w:r w:rsidR="00095FF3">
        <w:t xml:space="preserve"> </w:t>
      </w:r>
    </w:p>
    <w:p w:rsidR="001973AB" w:rsidRDefault="001973AB" w:rsidP="00214651">
      <w:pPr>
        <w:pStyle w:val="num1"/>
      </w:pPr>
      <w:r>
        <w:t>Pole-top antennas do not impose a disprop</w:t>
      </w:r>
      <w:r w:rsidR="00884485">
        <w:t xml:space="preserve">ortionate </w:t>
      </w:r>
      <w:r>
        <w:t xml:space="preserve">load on poles compared to </w:t>
      </w:r>
      <w:r w:rsidR="004F131D">
        <w:t>CLEC</w:t>
      </w:r>
      <w:r>
        <w:t xml:space="preserve"> and CATV pole attachments. </w:t>
      </w:r>
    </w:p>
    <w:p w:rsidR="001973AB" w:rsidRDefault="00AD7ACF" w:rsidP="008504A4">
      <w:pPr>
        <w:pStyle w:val="num1"/>
      </w:pPr>
      <w:r>
        <w:t>The cha</w:t>
      </w:r>
      <w:r w:rsidR="005D4501">
        <w:t>r</w:t>
      </w:r>
      <w:r>
        <w:t xml:space="preserve">ges and fees adopted by today’s decision for CMRS attachments provide the </w:t>
      </w:r>
      <w:r w:rsidR="00341936">
        <w:t>owners</w:t>
      </w:r>
      <w:r>
        <w:t xml:space="preserve"> of public utility infrastructure with a reasonable opportunity to recover all of their costs associated with CMRS attachments.  </w:t>
      </w:r>
      <w:r w:rsidR="001973AB">
        <w:t xml:space="preserve"> </w:t>
      </w:r>
    </w:p>
    <w:p w:rsidR="00E429C3" w:rsidRDefault="001973AB" w:rsidP="008504A4">
      <w:pPr>
        <w:pStyle w:val="num1"/>
      </w:pPr>
      <w:r>
        <w:lastRenderedPageBreak/>
        <w:t xml:space="preserve">Multiple </w:t>
      </w:r>
      <w:r w:rsidR="000278A5">
        <w:t>CMRS attachments</w:t>
      </w:r>
      <w:r w:rsidR="00AD7ACF">
        <w:t xml:space="preserve"> may occupy the same vertical </w:t>
      </w:r>
      <w:r w:rsidR="00884485">
        <w:t xml:space="preserve">pole </w:t>
      </w:r>
      <w:r w:rsidR="00AD7ACF">
        <w:t>space</w:t>
      </w:r>
      <w:r w:rsidR="000278A5">
        <w:t xml:space="preserve"> (on different sides of the pole)</w:t>
      </w:r>
      <w:r w:rsidR="00AD7ACF">
        <w:t xml:space="preserve">, provided the </w:t>
      </w:r>
      <w:r w:rsidR="000278A5">
        <w:t>attachments</w:t>
      </w:r>
      <w:r w:rsidR="00AD7ACF">
        <w:t xml:space="preserve"> comply with applicable GO</w:t>
      </w:r>
      <w:r w:rsidR="0053572C">
        <w:t> </w:t>
      </w:r>
      <w:r w:rsidR="00AD7ACF">
        <w:t xml:space="preserve">95 rules on safety clearances, climbing space, and other matters.  </w:t>
      </w:r>
      <w:r>
        <w:t xml:space="preserve">   </w:t>
      </w:r>
    </w:p>
    <w:p w:rsidR="0024260E" w:rsidRDefault="0024260E" w:rsidP="007D2DE1">
      <w:pPr>
        <w:pStyle w:val="num1"/>
      </w:pPr>
      <w:r>
        <w:t xml:space="preserve">Most CMRS </w:t>
      </w:r>
      <w:r w:rsidR="00635AF4">
        <w:t xml:space="preserve">pole </w:t>
      </w:r>
      <w:r>
        <w:t>installation</w:t>
      </w:r>
      <w:r w:rsidR="001352EB">
        <w:t>s</w:t>
      </w:r>
      <w:r>
        <w:t xml:space="preserve"> include attachments in a pole’s common space. </w:t>
      </w:r>
      <w:r w:rsidR="00635AF4">
        <w:t xml:space="preserve"> </w:t>
      </w:r>
      <w:r w:rsidR="001A22CC">
        <w:t xml:space="preserve">The vast majority of </w:t>
      </w:r>
      <w:r w:rsidR="004F131D">
        <w:t>CLEC</w:t>
      </w:r>
      <w:r w:rsidR="001A22CC">
        <w:t xml:space="preserve"> and CATV </w:t>
      </w:r>
      <w:r w:rsidR="00635AF4">
        <w:t xml:space="preserve">pole </w:t>
      </w:r>
      <w:r w:rsidR="001A22CC">
        <w:t>installations do not</w:t>
      </w:r>
      <w:r w:rsidR="00635AF4">
        <w:t xml:space="preserve"> include attachments in the common space</w:t>
      </w:r>
      <w:r w:rsidR="001A22CC">
        <w:t xml:space="preserve">. </w:t>
      </w:r>
      <w:r>
        <w:t xml:space="preserve"> </w:t>
      </w:r>
    </w:p>
    <w:p w:rsidR="00DD3247" w:rsidRDefault="00AF67E6" w:rsidP="008504A4">
      <w:pPr>
        <w:pStyle w:val="num1"/>
      </w:pPr>
      <w:r>
        <w:t>CMRS attachments in a pole’s common space impose an opportunity cost on pole owners and other attachers.  Because a pole has finite space and load-bearing capacity, the pole space and load</w:t>
      </w:r>
      <w:r w:rsidR="005C2349">
        <w:t>-</w:t>
      </w:r>
      <w:r>
        <w:t xml:space="preserve">bearing capacity that is devoted to CMRS attachments in the common space detracts from the common space available to other attachers, and detracts from the load-bearing capacity available to other attachments anywhere on the pole.  </w:t>
      </w:r>
    </w:p>
    <w:p w:rsidR="0024260E" w:rsidRDefault="004266ED" w:rsidP="008504A4">
      <w:pPr>
        <w:pStyle w:val="num1"/>
      </w:pPr>
      <w:r>
        <w:t xml:space="preserve">The rapidly growing CMRS industry routinely places pole attachments in the common space.  </w:t>
      </w:r>
      <w:r w:rsidR="00FF36AB">
        <w:t>Consequently, there is no meaningful distinction between usable space and common space on poles</w:t>
      </w:r>
      <w:r w:rsidR="005D4501">
        <w:t xml:space="preserve"> for CMRS installations</w:t>
      </w:r>
      <w:r w:rsidR="00FF36AB">
        <w:t xml:space="preserve">.  </w:t>
      </w:r>
      <w:r w:rsidR="005C0DB0">
        <w:t xml:space="preserve">The entire pole is potentially </w:t>
      </w:r>
      <w:r>
        <w:t xml:space="preserve">usable space </w:t>
      </w:r>
      <w:r w:rsidR="005C0DB0">
        <w:t xml:space="preserve">for CMRS pole installations.  </w:t>
      </w:r>
      <w:r>
        <w:t xml:space="preserve"> </w:t>
      </w:r>
    </w:p>
    <w:p w:rsidR="0024260E" w:rsidRDefault="009154CF" w:rsidP="008504A4">
      <w:pPr>
        <w:pStyle w:val="num1"/>
      </w:pPr>
      <w:r>
        <w:t xml:space="preserve">If the 7.4% per-foot attachment fee </w:t>
      </w:r>
      <w:r w:rsidR="00CF7B3D">
        <w:t xml:space="preserve">adopted by today’s decision </w:t>
      </w:r>
      <w:r>
        <w:t xml:space="preserve">were applied to </w:t>
      </w:r>
      <w:r w:rsidR="00C36F1A">
        <w:t xml:space="preserve">the space occupied by </w:t>
      </w:r>
      <w:r w:rsidR="00E04EC2">
        <w:t xml:space="preserve">every attachment on a pole, </w:t>
      </w:r>
      <w:r>
        <w:t>the revenues from the fee could exceed 100% of a pole’s cost-of-</w:t>
      </w:r>
      <w:r w:rsidR="00831CAD">
        <w:t>ownership</w:t>
      </w:r>
      <w:r w:rsidR="00450049">
        <w:t xml:space="preserve"> in some cases</w:t>
      </w:r>
      <w:r>
        <w:t xml:space="preserve">.   </w:t>
      </w:r>
    </w:p>
    <w:p w:rsidR="009154CF" w:rsidRDefault="0096243E" w:rsidP="008504A4">
      <w:pPr>
        <w:pStyle w:val="num1"/>
      </w:pPr>
      <w:r>
        <w:t>It is not necessary or feasible to devise a pole-attachment fee for t</w:t>
      </w:r>
      <w:r w:rsidR="00984F6A">
        <w:t xml:space="preserve">he conduits and risers associated with a CMRS pole installation. </w:t>
      </w:r>
      <w:r w:rsidR="009154CF">
        <w:t xml:space="preserve"> </w:t>
      </w:r>
    </w:p>
    <w:p w:rsidR="009154CF" w:rsidRDefault="00D120EF" w:rsidP="008504A4">
      <w:pPr>
        <w:pStyle w:val="num1"/>
      </w:pPr>
      <w:r>
        <w:t xml:space="preserve">The electric utility meter for a CMRS pole installation is owned by the electric utility that supplies power to the </w:t>
      </w:r>
      <w:r w:rsidR="00C36F1A">
        <w:t xml:space="preserve">CMRS </w:t>
      </w:r>
      <w:r>
        <w:t xml:space="preserve">installation.  </w:t>
      </w:r>
      <w:r w:rsidR="003D7242">
        <w:t>The electric utility may choose to place the meter on the pole, in a pad</w:t>
      </w:r>
      <w:r w:rsidR="003D7242">
        <w:noBreakHyphen/>
        <w:t xml:space="preserve">mounted structure, or other location that is convenient for the electric utility. </w:t>
      </w:r>
      <w:r>
        <w:t xml:space="preserve"> </w:t>
      </w:r>
      <w:r w:rsidR="009154CF">
        <w:t xml:space="preserve"> </w:t>
      </w:r>
    </w:p>
    <w:p w:rsidR="009154CF" w:rsidRDefault="009A7738" w:rsidP="008504A4">
      <w:pPr>
        <w:pStyle w:val="num1"/>
      </w:pPr>
      <w:r>
        <w:rPr>
          <w:szCs w:val="24"/>
        </w:rPr>
        <w:lastRenderedPageBreak/>
        <w:t>P</w:t>
      </w:r>
      <w:r w:rsidRPr="00342675">
        <w:rPr>
          <w:szCs w:val="24"/>
        </w:rPr>
        <w:t>rohibiting antennas on guard arms</w:t>
      </w:r>
      <w:r w:rsidR="00CF7B3D">
        <w:rPr>
          <w:szCs w:val="24"/>
        </w:rPr>
        <w:t xml:space="preserve">, as set forth in the </w:t>
      </w:r>
      <w:r w:rsidR="00105449">
        <w:rPr>
          <w:szCs w:val="24"/>
        </w:rPr>
        <w:t xml:space="preserve">consensus </w:t>
      </w:r>
      <w:r w:rsidR="00CF7B3D">
        <w:rPr>
          <w:szCs w:val="24"/>
        </w:rPr>
        <w:t xml:space="preserve">proposed Rule 21.0-D and Rule 87.7-B, </w:t>
      </w:r>
      <w:r>
        <w:rPr>
          <w:szCs w:val="24"/>
        </w:rPr>
        <w:t>will enhance safety by (i)</w:t>
      </w:r>
      <w:r w:rsidR="003D7242">
        <w:rPr>
          <w:szCs w:val="24"/>
        </w:rPr>
        <w:t> </w:t>
      </w:r>
      <w:r>
        <w:rPr>
          <w:szCs w:val="24"/>
        </w:rPr>
        <w:t xml:space="preserve">keeping guard arms free of clutter; and (ii) preventing </w:t>
      </w:r>
      <w:r w:rsidRPr="00342675">
        <w:rPr>
          <w:szCs w:val="24"/>
        </w:rPr>
        <w:t xml:space="preserve">unnecessary or unexpected exposure to </w:t>
      </w:r>
      <w:r w:rsidR="00C36F1A">
        <w:rPr>
          <w:szCs w:val="24"/>
        </w:rPr>
        <w:t>RF </w:t>
      </w:r>
      <w:r>
        <w:rPr>
          <w:szCs w:val="24"/>
        </w:rPr>
        <w:t>radiation</w:t>
      </w:r>
      <w:r w:rsidRPr="00342675">
        <w:rPr>
          <w:szCs w:val="24"/>
        </w:rPr>
        <w:t xml:space="preserve"> to workers </w:t>
      </w:r>
      <w:r>
        <w:rPr>
          <w:szCs w:val="24"/>
        </w:rPr>
        <w:t xml:space="preserve">who </w:t>
      </w:r>
      <w:r w:rsidRPr="00342675">
        <w:rPr>
          <w:szCs w:val="24"/>
        </w:rPr>
        <w:t>ascend</w:t>
      </w:r>
      <w:r>
        <w:rPr>
          <w:szCs w:val="24"/>
        </w:rPr>
        <w:t>/</w:t>
      </w:r>
      <w:r w:rsidRPr="00342675">
        <w:rPr>
          <w:szCs w:val="24"/>
        </w:rPr>
        <w:t xml:space="preserve">descend </w:t>
      </w:r>
      <w:r>
        <w:rPr>
          <w:szCs w:val="24"/>
        </w:rPr>
        <w:t xml:space="preserve">utility </w:t>
      </w:r>
      <w:r w:rsidRPr="00342675">
        <w:rPr>
          <w:szCs w:val="24"/>
        </w:rPr>
        <w:t>pole</w:t>
      </w:r>
      <w:r>
        <w:rPr>
          <w:szCs w:val="24"/>
        </w:rPr>
        <w:t>s</w:t>
      </w:r>
      <w:r w:rsidRPr="00342675">
        <w:rPr>
          <w:szCs w:val="24"/>
        </w:rPr>
        <w:t>.</w:t>
      </w:r>
      <w:r w:rsidR="00B90A2C">
        <w:rPr>
          <w:szCs w:val="24"/>
        </w:rPr>
        <w:t xml:space="preserve"> </w:t>
      </w:r>
    </w:p>
    <w:p w:rsidR="00625304" w:rsidRDefault="00C66562" w:rsidP="008504A4">
      <w:pPr>
        <w:pStyle w:val="num1"/>
      </w:pPr>
      <w:r>
        <w:t xml:space="preserve">The </w:t>
      </w:r>
      <w:r w:rsidR="00C36F1A">
        <w:t xml:space="preserve">requirement in </w:t>
      </w:r>
      <w:r w:rsidR="00884089">
        <w:t xml:space="preserve">current </w:t>
      </w:r>
      <w:r>
        <w:t>Rule 94.5-A</w:t>
      </w:r>
      <w:r w:rsidR="00C36F1A">
        <w:t xml:space="preserve"> that </w:t>
      </w:r>
      <w:r w:rsidR="00C06165">
        <w:t xml:space="preserve">signs </w:t>
      </w:r>
      <w:r w:rsidR="00C36F1A">
        <w:t xml:space="preserve">which </w:t>
      </w:r>
      <w:r w:rsidR="00C06165">
        <w:t xml:space="preserve">alert workers to the </w:t>
      </w:r>
      <w:r w:rsidR="009553B1">
        <w:t>presence</w:t>
      </w:r>
      <w:r w:rsidR="00C06165">
        <w:t xml:space="preserve"> of </w:t>
      </w:r>
      <w:r>
        <w:t xml:space="preserve">RF </w:t>
      </w:r>
      <w:r w:rsidR="009553B1">
        <w:t>radiation</w:t>
      </w:r>
      <w:r w:rsidR="00C06165">
        <w:t xml:space="preserve"> </w:t>
      </w:r>
      <w:r w:rsidR="00C36F1A">
        <w:t>shall be</w:t>
      </w:r>
      <w:r>
        <w:t xml:space="preserve"> “substantially similar to and achieve at least the same safety standards as those in Appendix H to GO</w:t>
      </w:r>
      <w:r w:rsidR="00C06165">
        <w:t> </w:t>
      </w:r>
      <w:r>
        <w:t>95” is a</w:t>
      </w:r>
      <w:r w:rsidR="0096243E">
        <w:t xml:space="preserve"> vague</w:t>
      </w:r>
      <w:r w:rsidR="00884089">
        <w:t xml:space="preserve"> safety standard</w:t>
      </w:r>
      <w:r>
        <w:t xml:space="preserve">.  Such ambiguity allows the safety standard to vary from pole to pole, across antenna owners, and over time.  </w:t>
      </w:r>
      <w:r w:rsidR="00625304">
        <w:t xml:space="preserve"> </w:t>
      </w:r>
    </w:p>
    <w:p w:rsidR="00C66562" w:rsidRDefault="00C66562" w:rsidP="00451E8D">
      <w:pPr>
        <w:pStyle w:val="num1"/>
      </w:pPr>
      <w:r>
        <w:t>SED’s proposed revisions to Rule</w:t>
      </w:r>
      <w:r w:rsidR="0095299D">
        <w:t> </w:t>
      </w:r>
      <w:r>
        <w:t>94.5</w:t>
      </w:r>
      <w:r w:rsidR="0095299D">
        <w:noBreakHyphen/>
      </w:r>
      <w:r>
        <w:t>A would require antennas to be ma</w:t>
      </w:r>
      <w:r w:rsidR="00D91C77">
        <w:t>r</w:t>
      </w:r>
      <w:r>
        <w:t>ked in accordance with Appendix</w:t>
      </w:r>
      <w:r w:rsidR="0095299D">
        <w:t> </w:t>
      </w:r>
      <w:r>
        <w:t>H of GO</w:t>
      </w:r>
      <w:r w:rsidR="0095299D">
        <w:t> </w:t>
      </w:r>
      <w:r>
        <w:t xml:space="preserve">95.  </w:t>
      </w:r>
      <w:r w:rsidR="0063622F">
        <w:t xml:space="preserve">The </w:t>
      </w:r>
      <w:r w:rsidR="0095299D">
        <w:t>marking</w:t>
      </w:r>
      <w:r w:rsidR="0063622F">
        <w:t xml:space="preserve"> requirement in Appendix H is a reasonable, clear, and enforceable regulation for protecting the safety of people working near antennas attached to </w:t>
      </w:r>
      <w:r w:rsidR="0096243E">
        <w:t xml:space="preserve">utility </w:t>
      </w:r>
      <w:r w:rsidR="0095299D">
        <w:t>support structures</w:t>
      </w:r>
      <w:r w:rsidR="0063622F">
        <w:t xml:space="preserve">.  </w:t>
      </w:r>
      <w:r>
        <w:t xml:space="preserve"> </w:t>
      </w:r>
    </w:p>
    <w:p w:rsidR="0063622F" w:rsidRDefault="00D4147A" w:rsidP="008504A4">
      <w:pPr>
        <w:pStyle w:val="num1"/>
      </w:pPr>
      <w:r>
        <w:t xml:space="preserve">CMRS pole </w:t>
      </w:r>
      <w:r w:rsidR="00A712E9">
        <w:t>attachments</w:t>
      </w:r>
      <w:r>
        <w:t xml:space="preserve"> can </w:t>
      </w:r>
      <w:r w:rsidR="00A712E9">
        <w:t xml:space="preserve">degrade worker safety by </w:t>
      </w:r>
      <w:r>
        <w:t>obstruct</w:t>
      </w:r>
      <w:r w:rsidR="00A712E9">
        <w:t>ing</w:t>
      </w:r>
      <w:r>
        <w:t xml:space="preserve"> climbing space and interfer</w:t>
      </w:r>
      <w:r w:rsidR="00A712E9">
        <w:t xml:space="preserve">ing </w:t>
      </w:r>
      <w:r>
        <w:t xml:space="preserve">with </w:t>
      </w:r>
      <w:r w:rsidR="00C33825">
        <w:t xml:space="preserve">workers’ </w:t>
      </w:r>
      <w:r>
        <w:t>fall</w:t>
      </w:r>
      <w:r>
        <w:noBreakHyphen/>
        <w:t xml:space="preserve">protection </w:t>
      </w:r>
      <w:r w:rsidR="003B0769">
        <w:t>gear</w:t>
      </w:r>
      <w:r>
        <w:t>.</w:t>
      </w:r>
      <w:r w:rsidR="0063622F">
        <w:t xml:space="preserve"> </w:t>
      </w:r>
      <w:r w:rsidR="00C33825">
        <w:t xml:space="preserve"> </w:t>
      </w:r>
    </w:p>
    <w:p w:rsidR="00C33825" w:rsidRDefault="00C33825" w:rsidP="008504A4">
      <w:pPr>
        <w:pStyle w:val="num1"/>
      </w:pPr>
      <w:r>
        <w:t xml:space="preserve">There are currently no rules in GO 95 that prohibit CMRS attachments from obstructing climbing space or interfering with fall-protection </w:t>
      </w:r>
      <w:r w:rsidR="003B0769">
        <w:t>gear</w:t>
      </w:r>
      <w:r w:rsidR="0096243E">
        <w:t xml:space="preserve"> </w:t>
      </w:r>
      <w:r>
        <w:t xml:space="preserve">along the entire length of a pole.  </w:t>
      </w:r>
    </w:p>
    <w:p w:rsidR="00451E8D" w:rsidRDefault="001D6D53" w:rsidP="008504A4">
      <w:pPr>
        <w:pStyle w:val="num1"/>
      </w:pPr>
      <w:r>
        <w:t xml:space="preserve">Of the three alternatives for a proposed Rule 94.6-C, </w:t>
      </w:r>
      <w:r w:rsidR="00884089">
        <w:t xml:space="preserve">only the Electric IOUs’ addresses both </w:t>
      </w:r>
      <w:r>
        <w:t>obstruction of climbing space and interference with fall</w:t>
      </w:r>
      <w:r>
        <w:noBreakHyphen/>
        <w:t xml:space="preserve">protection </w:t>
      </w:r>
      <w:r w:rsidR="003B0769">
        <w:t>gear</w:t>
      </w:r>
      <w:r>
        <w:t xml:space="preserve"> by CMRS attachments.  </w:t>
      </w:r>
    </w:p>
    <w:p w:rsidR="001D6D53" w:rsidRDefault="001D6D53" w:rsidP="008504A4">
      <w:pPr>
        <w:pStyle w:val="num1"/>
      </w:pPr>
      <w:r>
        <w:t>AT&amp;T Mobility and CTIA’s proposed Rule 94.6-C provides examples of CMRS attachments that may not interfere with fall</w:t>
      </w:r>
      <w:r>
        <w:noBreakHyphen/>
      </w:r>
      <w:r w:rsidR="005C2349">
        <w:t xml:space="preserve"> </w:t>
      </w:r>
      <w:r>
        <w:t xml:space="preserve">protection </w:t>
      </w:r>
      <w:r w:rsidR="003B0769">
        <w:t>gear</w:t>
      </w:r>
      <w:r>
        <w:t xml:space="preserve">.  Adding these examples to the Rule 94.6-C adopted by today’s decision would provide helpful guidance for </w:t>
      </w:r>
      <w:r w:rsidR="00386080">
        <w:t xml:space="preserve">interpreting the rule. </w:t>
      </w:r>
    </w:p>
    <w:p w:rsidR="00C4645A" w:rsidRDefault="00C4645A" w:rsidP="00D91C77">
      <w:pPr>
        <w:pStyle w:val="num1"/>
      </w:pPr>
      <w:r>
        <w:lastRenderedPageBreak/>
        <w:t xml:space="preserve">SCE attaches electric utility facilities to poles in a way that interferes with workers’ use of fall-protection </w:t>
      </w:r>
      <w:r w:rsidR="003B0769">
        <w:t>gear</w:t>
      </w:r>
      <w:r>
        <w:t xml:space="preserve">.  </w:t>
      </w:r>
    </w:p>
    <w:p w:rsidR="00D91C77" w:rsidRDefault="00386080" w:rsidP="00D91C77">
      <w:pPr>
        <w:pStyle w:val="num1"/>
      </w:pPr>
      <w:r>
        <w:t xml:space="preserve">The requirement in </w:t>
      </w:r>
      <w:r w:rsidR="009E26CD">
        <w:t xml:space="preserve">the current </w:t>
      </w:r>
      <w:r w:rsidR="00D91C77">
        <w:t>Rule 94.9</w:t>
      </w:r>
      <w:r>
        <w:t xml:space="preserve"> that </w:t>
      </w:r>
      <w:r w:rsidR="00D91C77">
        <w:t xml:space="preserve">antenna de-energizing protocols </w:t>
      </w:r>
      <w:r>
        <w:t>must</w:t>
      </w:r>
      <w:r w:rsidR="00D91C77">
        <w:t xml:space="preserve"> </w:t>
      </w:r>
      <w:r>
        <w:t>be</w:t>
      </w:r>
      <w:r w:rsidR="00D91C77">
        <w:t xml:space="preserve"> “substantially similar to and achieve at least the same safety standards as those set forth in Appendix H to GO 95” is </w:t>
      </w:r>
      <w:r w:rsidR="0096243E">
        <w:t>a vague</w:t>
      </w:r>
      <w:r w:rsidR="009E26CD">
        <w:t xml:space="preserve"> safety standard</w:t>
      </w:r>
      <w:r w:rsidR="00D91C77">
        <w:t>.  Such ambiguity allows the safety standard to vary from pole to pole, across a</w:t>
      </w:r>
      <w:r w:rsidR="001D6D53">
        <w:t xml:space="preserve">ntenna owners, and over time.  </w:t>
      </w:r>
    </w:p>
    <w:p w:rsidR="00D91C77" w:rsidRDefault="00D91C77" w:rsidP="00DF1DBE">
      <w:pPr>
        <w:pStyle w:val="num1"/>
      </w:pPr>
      <w:r>
        <w:t xml:space="preserve">SED’s proposed revisions to Rule 94.9 would require </w:t>
      </w:r>
      <w:r w:rsidR="005C3F41">
        <w:t xml:space="preserve">antenna </w:t>
      </w:r>
      <w:r>
        <w:t xml:space="preserve">owners </w:t>
      </w:r>
      <w:r w:rsidR="005C3F41">
        <w:t>to</w:t>
      </w:r>
      <w:r>
        <w:t xml:space="preserve"> comply with the de-energizing prot</w:t>
      </w:r>
      <w:r w:rsidR="002D678B">
        <w:t xml:space="preserve">ocols in Appendix H of GO 95.  </w:t>
      </w:r>
      <w:r>
        <w:t xml:space="preserve">The </w:t>
      </w:r>
      <w:r w:rsidR="005C3F41">
        <w:t xml:space="preserve">antenna de-energizing protocols </w:t>
      </w:r>
      <w:r w:rsidR="002D678B">
        <w:t>in</w:t>
      </w:r>
      <w:r>
        <w:t xml:space="preserve"> Appendix H </w:t>
      </w:r>
      <w:r w:rsidR="005C3F41">
        <w:t>constitute</w:t>
      </w:r>
      <w:r>
        <w:t xml:space="preserve"> a reasonable, clear, and enforceable regulation for protecting the safety of people working near antennas.   </w:t>
      </w:r>
    </w:p>
    <w:p w:rsidR="00C0357A" w:rsidRDefault="009C1CD7" w:rsidP="008504A4">
      <w:pPr>
        <w:pStyle w:val="num1"/>
      </w:pPr>
      <w:r>
        <w:t>An existing pole embedded at the minimum depth required by Rule 49.1</w:t>
      </w:r>
      <w:r>
        <w:noBreakHyphen/>
        <w:t>C</w:t>
      </w:r>
      <w:r w:rsidR="008A29CB">
        <w:t>,</w:t>
      </w:r>
      <w:r>
        <w:t xml:space="preserve"> Table 6</w:t>
      </w:r>
      <w:r w:rsidR="008A29CB">
        <w:t xml:space="preserve">, </w:t>
      </w:r>
      <w:r>
        <w:t xml:space="preserve">can safely accommodate the addition of a pole-top antenna, without requiring the pole to be embedded deeper, if the </w:t>
      </w:r>
      <w:r w:rsidR="00E720A3">
        <w:t>pole</w:t>
      </w:r>
      <w:r w:rsidR="00F10893">
        <w:t>’s</w:t>
      </w:r>
      <w:r>
        <w:t xml:space="preserve"> </w:t>
      </w:r>
      <w:r w:rsidR="00170598">
        <w:t xml:space="preserve">allowed </w:t>
      </w:r>
      <w:r>
        <w:t xml:space="preserve">overturning moment, with safety factors, is not exceeded.    </w:t>
      </w:r>
    </w:p>
    <w:p w:rsidR="009C1CD7" w:rsidRDefault="009C1CD7" w:rsidP="008504A4">
      <w:pPr>
        <w:pStyle w:val="num1"/>
      </w:pPr>
      <w:r>
        <w:t>GO</w:t>
      </w:r>
      <w:r w:rsidR="00450049">
        <w:t> </w:t>
      </w:r>
      <w:r>
        <w:t xml:space="preserve">95 does not require a </w:t>
      </w:r>
      <w:r w:rsidR="00E720A3">
        <w:t>pole</w:t>
      </w:r>
      <w:r>
        <w:t xml:space="preserve"> overturning calculation or specify safety factors for </w:t>
      </w:r>
      <w:r w:rsidR="00F10893">
        <w:t>a</w:t>
      </w:r>
      <w:r>
        <w:t xml:space="preserve"> </w:t>
      </w:r>
      <w:r w:rsidR="00E720A3">
        <w:t>pole</w:t>
      </w:r>
      <w:r w:rsidR="00F10893">
        <w:t>’s</w:t>
      </w:r>
      <w:r>
        <w:t xml:space="preserve"> </w:t>
      </w:r>
      <w:r w:rsidR="00E706CB">
        <w:t xml:space="preserve">allowed </w:t>
      </w:r>
      <w:r>
        <w:t xml:space="preserve">overturning moment.  </w:t>
      </w:r>
    </w:p>
    <w:p w:rsidR="00C0357A" w:rsidRDefault="009C1CD7" w:rsidP="008504A4">
      <w:pPr>
        <w:pStyle w:val="num1"/>
      </w:pPr>
      <w:r>
        <w:t xml:space="preserve">Depending on soil conditions, transverse loads may cause a pole to overturn before </w:t>
      </w:r>
      <w:r w:rsidR="005A7C95">
        <w:t xml:space="preserve">the pole </w:t>
      </w:r>
      <w:r>
        <w:t xml:space="preserve">breaks </w:t>
      </w:r>
      <w:r w:rsidR="003B3C72">
        <w:t>at</w:t>
      </w:r>
      <w:r>
        <w:t xml:space="preserve"> the </w:t>
      </w:r>
      <w:r w:rsidR="003B3C72">
        <w:t xml:space="preserve">pole’s </w:t>
      </w:r>
      <w:r>
        <w:t xml:space="preserve">ground line.  </w:t>
      </w:r>
      <w:r w:rsidR="00C0357A">
        <w:t xml:space="preserve"> </w:t>
      </w:r>
      <w:r w:rsidR="003B3C72">
        <w:t xml:space="preserve"> </w:t>
      </w:r>
    </w:p>
    <w:p w:rsidR="003809AF" w:rsidRDefault="003809AF" w:rsidP="003809AF">
      <w:pPr>
        <w:pStyle w:val="num1"/>
        <w:rPr>
          <w:rStyle w:val="standardChar"/>
        </w:rPr>
      </w:pPr>
      <w:r>
        <w:rPr>
          <w:rStyle w:val="standardChar"/>
        </w:rPr>
        <w:t xml:space="preserve">Public safety is placed at risk if a pole-top antenna is added to a pole without first determining if </w:t>
      </w:r>
      <w:r w:rsidR="009553B1">
        <w:rPr>
          <w:rStyle w:val="standardChar"/>
        </w:rPr>
        <w:t>foreseeable</w:t>
      </w:r>
      <w:r>
        <w:rPr>
          <w:rStyle w:val="standardChar"/>
        </w:rPr>
        <w:t xml:space="preserve"> transverse loads on the combined structure (pole + </w:t>
      </w:r>
      <w:r w:rsidR="00E706CB">
        <w:rPr>
          <w:rStyle w:val="standardChar"/>
        </w:rPr>
        <w:t>all attachments</w:t>
      </w:r>
      <w:r>
        <w:rPr>
          <w:rStyle w:val="standardChar"/>
        </w:rPr>
        <w:t xml:space="preserve">) will cause the structure to overturn.   </w:t>
      </w:r>
    </w:p>
    <w:p w:rsidR="00E02637" w:rsidRDefault="00E02637" w:rsidP="008504A4">
      <w:pPr>
        <w:pStyle w:val="num1"/>
      </w:pPr>
      <w:r>
        <w:t xml:space="preserve">The space above supply lines is a dangerous working environment. </w:t>
      </w:r>
    </w:p>
    <w:p w:rsidR="002C6653" w:rsidRDefault="00E02637" w:rsidP="008504A4">
      <w:pPr>
        <w:pStyle w:val="num1"/>
      </w:pPr>
      <w:r>
        <w:t>CMRS carriers have the necessary expertise to safely install</w:t>
      </w:r>
      <w:r w:rsidR="00A87D33">
        <w:t xml:space="preserve">, </w:t>
      </w:r>
      <w:r>
        <w:t>maintain</w:t>
      </w:r>
      <w:r w:rsidR="00A87D33">
        <w:t>, and access</w:t>
      </w:r>
      <w:r>
        <w:t xml:space="preserve"> CMRS facilities above supply lines. </w:t>
      </w:r>
      <w:r w:rsidR="002C6653">
        <w:t xml:space="preserve"> </w:t>
      </w:r>
    </w:p>
    <w:p w:rsidR="00115FAD" w:rsidRDefault="00723B47" w:rsidP="008504A4">
      <w:pPr>
        <w:pStyle w:val="num1"/>
      </w:pPr>
      <w:r>
        <w:lastRenderedPageBreak/>
        <w:t xml:space="preserve">The costs to CMRS carriers and pole owners to implement the adopted amendments to the ROW Rules and GO 95 will be insignificant relative to their revenues. </w:t>
      </w:r>
      <w:r w:rsidR="00EB09E4">
        <w:t xml:space="preserve"> </w:t>
      </w:r>
      <w:r>
        <w:t xml:space="preserve">The safety benefits of the adopted revisions to </w:t>
      </w:r>
      <w:r w:rsidR="00115FAD">
        <w:t>GO</w:t>
      </w:r>
      <w:r w:rsidR="00EB09E4">
        <w:t> </w:t>
      </w:r>
      <w:r w:rsidR="00115FAD">
        <w:t xml:space="preserve">95 exceed the </w:t>
      </w:r>
      <w:r w:rsidR="00EB09E4">
        <w:t xml:space="preserve">costs of the </w:t>
      </w:r>
      <w:r w:rsidR="00115FAD">
        <w:t>revisions</w:t>
      </w:r>
      <w:r w:rsidR="008E5C06">
        <w:t xml:space="preserve">. </w:t>
      </w:r>
    </w:p>
    <w:p w:rsidR="008E5C06" w:rsidRDefault="008E5C06" w:rsidP="008504A4">
      <w:pPr>
        <w:pStyle w:val="num1"/>
      </w:pPr>
      <w:r>
        <w:t>The proposed revisions to GO</w:t>
      </w:r>
      <w:r w:rsidR="00EB09E4">
        <w:t> </w:t>
      </w:r>
      <w:r>
        <w:t xml:space="preserve">95 that are not adopted by today’s decision would </w:t>
      </w:r>
      <w:r w:rsidR="00A87D33">
        <w:t xml:space="preserve">(i) </w:t>
      </w:r>
      <w:r>
        <w:t xml:space="preserve">not enhance safety of a </w:t>
      </w:r>
      <w:r w:rsidR="009553B1">
        <w:t>meaningful</w:t>
      </w:r>
      <w:r>
        <w:t xml:space="preserve"> degree</w:t>
      </w:r>
      <w:r w:rsidR="00A87D33">
        <w:t>;</w:t>
      </w:r>
      <w:r w:rsidR="009C0FFE">
        <w:t xml:space="preserve"> </w:t>
      </w:r>
      <w:r w:rsidR="00A87D33">
        <w:t>(ii)</w:t>
      </w:r>
      <w:r w:rsidR="009C0FFE">
        <w:t xml:space="preserve"> create new safety hazards</w:t>
      </w:r>
      <w:r w:rsidR="00A87D33">
        <w:t>;</w:t>
      </w:r>
      <w:r w:rsidR="009C0FFE">
        <w:t xml:space="preserve"> </w:t>
      </w:r>
      <w:r w:rsidR="00A87D33">
        <w:t xml:space="preserve">(iii) prohibit CMRS pole attachments in situations where such attachments are safe; </w:t>
      </w:r>
      <w:r w:rsidR="009C0FFE">
        <w:t xml:space="preserve">and/or </w:t>
      </w:r>
      <w:r w:rsidR="00A87D33">
        <w:t xml:space="preserve">(iv) </w:t>
      </w:r>
      <w:r w:rsidR="009C0FFE">
        <w:t xml:space="preserve">result in costs that exceed the safety benefits.  </w:t>
      </w:r>
      <w:r>
        <w:t xml:space="preserve"> </w:t>
      </w:r>
    </w:p>
    <w:p w:rsidR="008504A4" w:rsidRDefault="008504A4" w:rsidP="00A4093B">
      <w:pPr>
        <w:pStyle w:val="dummy"/>
      </w:pPr>
      <w:bookmarkStart w:id="144" w:name="_Toc194913491"/>
      <w:bookmarkStart w:id="145" w:name="_Toc220803784"/>
      <w:bookmarkStart w:id="146" w:name="_Toc424321923"/>
      <w:bookmarkStart w:id="147" w:name="_Toc436647383"/>
      <w:r>
        <w:t>Conclusions of Law</w:t>
      </w:r>
      <w:bookmarkEnd w:id="144"/>
      <w:bookmarkEnd w:id="145"/>
      <w:bookmarkEnd w:id="146"/>
      <w:bookmarkEnd w:id="147"/>
    </w:p>
    <w:p w:rsidR="008504A4" w:rsidRPr="00E90F79" w:rsidRDefault="008504A4" w:rsidP="00C114B0">
      <w:pPr>
        <w:pStyle w:val="num1"/>
        <w:numPr>
          <w:ilvl w:val="0"/>
          <w:numId w:val="9"/>
        </w:numPr>
        <w:rPr>
          <w:rStyle w:val="standardChar"/>
        </w:rPr>
      </w:pPr>
      <w:r>
        <w:rPr>
          <w:rStyle w:val="standardChar"/>
        </w:rPr>
        <w:t xml:space="preserve">A </w:t>
      </w:r>
      <w:r w:rsidR="0025469A">
        <w:rPr>
          <w:rStyle w:val="standardChar"/>
        </w:rPr>
        <w:t xml:space="preserve">public </w:t>
      </w:r>
      <w:r>
        <w:rPr>
          <w:rStyle w:val="standardChar"/>
        </w:rPr>
        <w:t xml:space="preserve">utility is required by </w:t>
      </w:r>
      <w:r w:rsidRPr="00CA3655">
        <w:rPr>
          <w:rStyle w:val="standardChar"/>
        </w:rPr>
        <w:t>47</w:t>
      </w:r>
      <w:r>
        <w:rPr>
          <w:rStyle w:val="standardChar"/>
        </w:rPr>
        <w:t> </w:t>
      </w:r>
      <w:r w:rsidRPr="00CA3655">
        <w:rPr>
          <w:rStyle w:val="standardChar"/>
        </w:rPr>
        <w:t>U.S.C. § 224</w:t>
      </w:r>
      <w:r>
        <w:rPr>
          <w:rStyle w:val="standardChar"/>
        </w:rPr>
        <w:t xml:space="preserve">(f) </w:t>
      </w:r>
      <w:r w:rsidR="009836E1">
        <w:rPr>
          <w:rStyle w:val="standardChar"/>
        </w:rPr>
        <w:t>and FCC</w:t>
      </w:r>
      <w:r w:rsidR="00450049">
        <w:rPr>
          <w:rStyle w:val="standardChar"/>
        </w:rPr>
        <w:t> </w:t>
      </w:r>
      <w:r w:rsidR="009836E1">
        <w:rPr>
          <w:rStyle w:val="standardChar"/>
        </w:rPr>
        <w:t xml:space="preserve">11-50 </w:t>
      </w:r>
      <w:r>
        <w:rPr>
          <w:rStyle w:val="standardChar"/>
        </w:rPr>
        <w:t xml:space="preserve">to provide </w:t>
      </w:r>
      <w:r w:rsidR="009836E1">
        <w:rPr>
          <w:rStyle w:val="standardChar"/>
        </w:rPr>
        <w:t xml:space="preserve">CMRS carriers </w:t>
      </w:r>
      <w:r w:rsidRPr="00CA3655">
        <w:rPr>
          <w:rStyle w:val="standardChar"/>
        </w:rPr>
        <w:t xml:space="preserve">with nondiscriminatory access to any pole, duct, conduit, or right-of-way </w:t>
      </w:r>
      <w:r>
        <w:rPr>
          <w:rStyle w:val="standardChar"/>
        </w:rPr>
        <w:t>(together, “</w:t>
      </w:r>
      <w:r w:rsidR="009836E1">
        <w:rPr>
          <w:rStyle w:val="standardChar"/>
        </w:rPr>
        <w:t>utility infrastructure</w:t>
      </w:r>
      <w:r>
        <w:rPr>
          <w:rStyle w:val="standardChar"/>
        </w:rPr>
        <w:t xml:space="preserve">”) </w:t>
      </w:r>
      <w:r w:rsidRPr="00CA3655">
        <w:rPr>
          <w:rStyle w:val="standardChar"/>
        </w:rPr>
        <w:t>owned or controlled by</w:t>
      </w:r>
      <w:r>
        <w:rPr>
          <w:rStyle w:val="standardChar"/>
        </w:rPr>
        <w:t xml:space="preserve"> the utility</w:t>
      </w:r>
      <w:r w:rsidR="00F342C0">
        <w:rPr>
          <w:rStyle w:val="standardChar"/>
        </w:rPr>
        <w:t>,</w:t>
      </w:r>
      <w:r>
        <w:rPr>
          <w:rStyle w:val="standardChar"/>
        </w:rPr>
        <w:t xml:space="preserve"> except in situations where a</w:t>
      </w:r>
      <w:r w:rsidR="00F342C0">
        <w:rPr>
          <w:rStyle w:val="standardChar"/>
        </w:rPr>
        <w:t xml:space="preserve"> </w:t>
      </w:r>
      <w:r>
        <w:rPr>
          <w:rStyle w:val="standardChar"/>
        </w:rPr>
        <w:t xml:space="preserve">utility cannot provide access because of insufficient capacity or for reasons of safety, reliability, or engineering principles. </w:t>
      </w:r>
      <w:r w:rsidR="0025469A">
        <w:rPr>
          <w:rStyle w:val="standardChar"/>
        </w:rPr>
        <w:t xml:space="preserve"> </w:t>
      </w:r>
    </w:p>
    <w:p w:rsidR="008504A4" w:rsidRDefault="00CE2F58" w:rsidP="00C114B0">
      <w:pPr>
        <w:pStyle w:val="num1"/>
        <w:keepLines w:val="0"/>
        <w:numPr>
          <w:ilvl w:val="0"/>
          <w:numId w:val="9"/>
        </w:numPr>
        <w:rPr>
          <w:rStyle w:val="standardChar"/>
        </w:rPr>
      </w:pPr>
      <w:r>
        <w:t xml:space="preserve">Pursuant to </w:t>
      </w:r>
      <w:r w:rsidRPr="00E81B71">
        <w:t xml:space="preserve">47 U.S.C. </w:t>
      </w:r>
      <w:r>
        <w:t xml:space="preserve">§ 224(c)(1), </w:t>
      </w:r>
      <w:r w:rsidR="00F342C0">
        <w:t>S</w:t>
      </w:r>
      <w:r w:rsidR="00C76A36">
        <w:t xml:space="preserve">tates may preempt the </w:t>
      </w:r>
      <w:r>
        <w:t>FCC</w:t>
      </w:r>
      <w:r w:rsidR="00C76A36">
        <w:t xml:space="preserve">’s regulation of </w:t>
      </w:r>
      <w:r w:rsidR="00C76A36" w:rsidRPr="00CA3655">
        <w:rPr>
          <w:rStyle w:val="standardChar"/>
        </w:rPr>
        <w:t xml:space="preserve">nondiscriminatory access to </w:t>
      </w:r>
      <w:r w:rsidR="009836E1">
        <w:rPr>
          <w:rStyle w:val="standardChar"/>
        </w:rPr>
        <w:t xml:space="preserve">utility infrastructure </w:t>
      </w:r>
      <w:r w:rsidR="00C76A36">
        <w:t>if specified conditions are met</w:t>
      </w:r>
      <w:r>
        <w:t xml:space="preserve">.  </w:t>
      </w:r>
      <w:r w:rsidR="008504A4" w:rsidRPr="00E90F79">
        <w:rPr>
          <w:rStyle w:val="standardChar"/>
        </w:rPr>
        <w:t>In D.98-10-058, the Commission (i)</w:t>
      </w:r>
      <w:r w:rsidR="00C76A36">
        <w:rPr>
          <w:rStyle w:val="standardChar"/>
        </w:rPr>
        <w:t> </w:t>
      </w:r>
      <w:r w:rsidR="008504A4" w:rsidRPr="00E90F79">
        <w:rPr>
          <w:rStyle w:val="standardChar"/>
        </w:rPr>
        <w:t xml:space="preserve">adopted rules </w:t>
      </w:r>
      <w:r w:rsidR="008504A4">
        <w:rPr>
          <w:rStyle w:val="standardChar"/>
        </w:rPr>
        <w:t xml:space="preserve">for nondiscriminatory </w:t>
      </w:r>
      <w:r w:rsidR="009836E1">
        <w:rPr>
          <w:rStyle w:val="standardChar"/>
        </w:rPr>
        <w:t>access</w:t>
      </w:r>
      <w:r w:rsidR="008504A4">
        <w:rPr>
          <w:rStyle w:val="standardChar"/>
        </w:rPr>
        <w:t>;</w:t>
      </w:r>
      <w:r w:rsidR="008504A4" w:rsidRPr="00E90F79">
        <w:rPr>
          <w:rStyle w:val="standardChar"/>
        </w:rPr>
        <w:t xml:space="preserve"> (ii)</w:t>
      </w:r>
      <w:r w:rsidR="008504A4">
        <w:rPr>
          <w:rStyle w:val="standardChar"/>
        </w:rPr>
        <w:t> </w:t>
      </w:r>
      <w:r w:rsidR="00E776FB">
        <w:rPr>
          <w:rStyle w:val="standardChar"/>
        </w:rPr>
        <w:t>asserted S</w:t>
      </w:r>
      <w:r w:rsidR="008504A4" w:rsidRPr="00E90F79">
        <w:rPr>
          <w:rStyle w:val="standardChar"/>
        </w:rPr>
        <w:t xml:space="preserve">tate preemption of </w:t>
      </w:r>
      <w:r w:rsidR="008504A4">
        <w:rPr>
          <w:rStyle w:val="standardChar"/>
        </w:rPr>
        <w:t>FCC</w:t>
      </w:r>
      <w:r w:rsidR="008504A4" w:rsidRPr="00E90F79">
        <w:rPr>
          <w:rStyle w:val="standardChar"/>
        </w:rPr>
        <w:t xml:space="preserve"> regulation of </w:t>
      </w:r>
      <w:r w:rsidR="008504A4">
        <w:rPr>
          <w:rStyle w:val="standardChar"/>
        </w:rPr>
        <w:t xml:space="preserve">nondiscriminatory </w:t>
      </w:r>
      <w:r w:rsidR="009836E1">
        <w:rPr>
          <w:rStyle w:val="standardChar"/>
        </w:rPr>
        <w:t xml:space="preserve">access </w:t>
      </w:r>
      <w:r w:rsidR="008504A4">
        <w:rPr>
          <w:rStyle w:val="standardChar"/>
        </w:rPr>
        <w:t>in California</w:t>
      </w:r>
      <w:r w:rsidR="00C76A36">
        <w:rPr>
          <w:rStyle w:val="standardChar"/>
        </w:rPr>
        <w:t xml:space="preserve"> pursuant to </w:t>
      </w:r>
      <w:r w:rsidR="00C76A36" w:rsidRPr="00E81B71">
        <w:t xml:space="preserve">47 U.S.C. </w:t>
      </w:r>
      <w:r w:rsidR="00E776FB">
        <w:t>§§</w:t>
      </w:r>
      <w:r w:rsidR="00C76A36">
        <w:t> 224(c)(1)</w:t>
      </w:r>
      <w:r w:rsidR="008504A4" w:rsidRPr="00E90F79">
        <w:rPr>
          <w:rStyle w:val="standardChar"/>
        </w:rPr>
        <w:t>; and (iii)</w:t>
      </w:r>
      <w:r w:rsidR="00C76A36">
        <w:rPr>
          <w:rStyle w:val="standardChar"/>
        </w:rPr>
        <w:t> </w:t>
      </w:r>
      <w:r w:rsidR="008504A4" w:rsidRPr="00E90F79">
        <w:rPr>
          <w:rStyle w:val="standardChar"/>
        </w:rPr>
        <w:t xml:space="preserve">certified </w:t>
      </w:r>
      <w:r w:rsidR="009836E1">
        <w:rPr>
          <w:rStyle w:val="standardChar"/>
        </w:rPr>
        <w:t xml:space="preserve">to the FCC </w:t>
      </w:r>
      <w:r w:rsidR="008504A4" w:rsidRPr="00E90F79">
        <w:rPr>
          <w:rStyle w:val="standardChar"/>
        </w:rPr>
        <w:t xml:space="preserve">that the Commission had satisfied the conditions </w:t>
      </w:r>
      <w:r w:rsidR="008504A4">
        <w:rPr>
          <w:rStyle w:val="standardChar"/>
        </w:rPr>
        <w:t>in 47 U.S.C.</w:t>
      </w:r>
      <w:r w:rsidR="008504A4" w:rsidRPr="00E90F79">
        <w:rPr>
          <w:rStyle w:val="standardChar"/>
        </w:rPr>
        <w:t> </w:t>
      </w:r>
      <w:r w:rsidR="008504A4" w:rsidRPr="00CA3655">
        <w:rPr>
          <w:rStyle w:val="standardChar"/>
        </w:rPr>
        <w:t>§ 224</w:t>
      </w:r>
      <w:r w:rsidR="008504A4">
        <w:rPr>
          <w:rStyle w:val="standardChar"/>
        </w:rPr>
        <w:t xml:space="preserve">(c) </w:t>
      </w:r>
      <w:r w:rsidR="008504A4" w:rsidRPr="00E90F79">
        <w:rPr>
          <w:rStyle w:val="standardChar"/>
        </w:rPr>
        <w:t xml:space="preserve">for preemption of </w:t>
      </w:r>
      <w:r w:rsidR="008504A4">
        <w:rPr>
          <w:rStyle w:val="standardChar"/>
        </w:rPr>
        <w:t>FCC</w:t>
      </w:r>
      <w:r w:rsidR="008504A4" w:rsidRPr="00E90F79">
        <w:rPr>
          <w:rStyle w:val="standardChar"/>
        </w:rPr>
        <w:t xml:space="preserve"> regulation.  </w:t>
      </w:r>
    </w:p>
    <w:p w:rsidR="008504A4" w:rsidRPr="00E90F79" w:rsidRDefault="008504A4" w:rsidP="00C114B0">
      <w:pPr>
        <w:pStyle w:val="num1"/>
        <w:numPr>
          <w:ilvl w:val="0"/>
          <w:numId w:val="9"/>
        </w:numPr>
        <w:rPr>
          <w:rStyle w:val="standardChar"/>
        </w:rPr>
      </w:pPr>
      <w:r w:rsidRPr="00E90F79">
        <w:rPr>
          <w:rStyle w:val="standardChar"/>
        </w:rPr>
        <w:t xml:space="preserve">The </w:t>
      </w:r>
      <w:r w:rsidR="009836E1">
        <w:rPr>
          <w:rStyle w:val="standardChar"/>
        </w:rPr>
        <w:t>ROW Rules</w:t>
      </w:r>
      <w:r>
        <w:rPr>
          <w:rStyle w:val="standardChar"/>
        </w:rPr>
        <w:t xml:space="preserve"> </w:t>
      </w:r>
      <w:r w:rsidRPr="00E90F79">
        <w:rPr>
          <w:rStyle w:val="standardChar"/>
        </w:rPr>
        <w:t>adopted by D.98</w:t>
      </w:r>
      <w:r>
        <w:rPr>
          <w:rStyle w:val="standardChar"/>
        </w:rPr>
        <w:noBreakHyphen/>
      </w:r>
      <w:r w:rsidRPr="00E90F79">
        <w:rPr>
          <w:rStyle w:val="standardChar"/>
        </w:rPr>
        <w:t>10</w:t>
      </w:r>
      <w:r>
        <w:rPr>
          <w:rStyle w:val="standardChar"/>
        </w:rPr>
        <w:noBreakHyphen/>
      </w:r>
      <w:r w:rsidRPr="00E90F79">
        <w:rPr>
          <w:rStyle w:val="standardChar"/>
        </w:rPr>
        <w:t xml:space="preserve">058 </w:t>
      </w:r>
      <w:r>
        <w:rPr>
          <w:rStyle w:val="standardChar"/>
        </w:rPr>
        <w:t xml:space="preserve">for nondiscriminatory </w:t>
      </w:r>
      <w:r w:rsidR="009836E1">
        <w:rPr>
          <w:rStyle w:val="standardChar"/>
        </w:rPr>
        <w:t xml:space="preserve">access to utility infrastructure </w:t>
      </w:r>
      <w:r w:rsidRPr="00E90F79">
        <w:rPr>
          <w:rStyle w:val="standardChar"/>
        </w:rPr>
        <w:t xml:space="preserve">do not </w:t>
      </w:r>
      <w:r>
        <w:rPr>
          <w:rStyle w:val="standardChar"/>
        </w:rPr>
        <w:t>apply</w:t>
      </w:r>
      <w:r w:rsidRPr="00E90F79">
        <w:rPr>
          <w:rStyle w:val="standardChar"/>
        </w:rPr>
        <w:t xml:space="preserve"> to CMRS carriers.</w:t>
      </w:r>
    </w:p>
    <w:p w:rsidR="001A4832" w:rsidRDefault="008504A4" w:rsidP="00C114B0">
      <w:pPr>
        <w:pStyle w:val="num1"/>
        <w:numPr>
          <w:ilvl w:val="0"/>
          <w:numId w:val="9"/>
        </w:numPr>
        <w:rPr>
          <w:rStyle w:val="standardChar"/>
        </w:rPr>
      </w:pPr>
      <w:r w:rsidRPr="00E90F79">
        <w:rPr>
          <w:rStyle w:val="standardChar"/>
        </w:rPr>
        <w:lastRenderedPageBreak/>
        <w:t xml:space="preserve">It is in the public interest to </w:t>
      </w:r>
      <w:r w:rsidR="001A4832">
        <w:rPr>
          <w:rStyle w:val="standardChar"/>
        </w:rPr>
        <w:t xml:space="preserve">amend </w:t>
      </w:r>
      <w:r w:rsidRPr="00E90F79">
        <w:rPr>
          <w:rStyle w:val="standardChar"/>
        </w:rPr>
        <w:t>the ROW</w:t>
      </w:r>
      <w:r>
        <w:rPr>
          <w:rStyle w:val="standardChar"/>
        </w:rPr>
        <w:t> </w:t>
      </w:r>
      <w:r w:rsidRPr="00E90F79">
        <w:rPr>
          <w:rStyle w:val="standardChar"/>
        </w:rPr>
        <w:t xml:space="preserve">Rules </w:t>
      </w:r>
      <w:r>
        <w:rPr>
          <w:rStyle w:val="standardChar"/>
        </w:rPr>
        <w:t xml:space="preserve">to apply to </w:t>
      </w:r>
      <w:r w:rsidRPr="00E90F79">
        <w:rPr>
          <w:rStyle w:val="standardChar"/>
        </w:rPr>
        <w:t>CMRS</w:t>
      </w:r>
      <w:r>
        <w:rPr>
          <w:rStyle w:val="standardChar"/>
        </w:rPr>
        <w:t> </w:t>
      </w:r>
      <w:r w:rsidRPr="00E90F79">
        <w:rPr>
          <w:rStyle w:val="standardChar"/>
        </w:rPr>
        <w:t xml:space="preserve">carriers in a </w:t>
      </w:r>
      <w:r>
        <w:rPr>
          <w:rStyle w:val="standardChar"/>
        </w:rPr>
        <w:t>manner</w:t>
      </w:r>
      <w:r w:rsidRPr="00E90F79">
        <w:rPr>
          <w:rStyle w:val="standardChar"/>
        </w:rPr>
        <w:t xml:space="preserve"> that provides </w:t>
      </w:r>
      <w:r w:rsidR="001A4832">
        <w:rPr>
          <w:rStyle w:val="standardChar"/>
        </w:rPr>
        <w:t xml:space="preserve">just and </w:t>
      </w:r>
      <w:r w:rsidRPr="00E90F79">
        <w:rPr>
          <w:rStyle w:val="standardChar"/>
        </w:rPr>
        <w:t xml:space="preserve">reasonable </w:t>
      </w:r>
      <w:r>
        <w:rPr>
          <w:rStyle w:val="standardChar"/>
        </w:rPr>
        <w:t>fees</w:t>
      </w:r>
      <w:r w:rsidRPr="00E90F79">
        <w:rPr>
          <w:rStyle w:val="standardChar"/>
        </w:rPr>
        <w:t xml:space="preserve"> for </w:t>
      </w:r>
      <w:r>
        <w:rPr>
          <w:rStyle w:val="standardChar"/>
        </w:rPr>
        <w:t>CMRS attachments, protects worker and public safety, and preserves the reliability of co</w:t>
      </w:r>
      <w:r>
        <w:rPr>
          <w:rStyle w:val="standardChar"/>
        </w:rPr>
        <w:noBreakHyphen/>
        <w:t>located utility facilities</w:t>
      </w:r>
      <w:r w:rsidRPr="00E90F79">
        <w:rPr>
          <w:rStyle w:val="standardChar"/>
        </w:rPr>
        <w:t xml:space="preserve">. </w:t>
      </w:r>
      <w:r w:rsidR="001A4832">
        <w:rPr>
          <w:rStyle w:val="standardChar"/>
        </w:rPr>
        <w:t xml:space="preserve"> The amended ROW Rules in Appendix A of today’s decision meet these criteria and should be adopted.  </w:t>
      </w:r>
    </w:p>
    <w:p w:rsidR="00D560C2" w:rsidRDefault="00D560C2" w:rsidP="00C114B0">
      <w:pPr>
        <w:pStyle w:val="num1"/>
        <w:numPr>
          <w:ilvl w:val="0"/>
          <w:numId w:val="9"/>
        </w:numPr>
        <w:rPr>
          <w:rStyle w:val="standardChar"/>
        </w:rPr>
      </w:pPr>
      <w:r>
        <w:t xml:space="preserve">In accordance with Rule 6.3(a) of the Commission’s Rules of Practice and Procedure, the adopted revisions to the ROW Rules should apply prospectively beginning </w:t>
      </w:r>
      <w:r w:rsidR="00516914">
        <w:t xml:space="preserve">120 days after </w:t>
      </w:r>
      <w:r>
        <w:t>the effective date of th</w:t>
      </w:r>
      <w:r w:rsidR="00F342C0">
        <w:t xml:space="preserve">e following </w:t>
      </w:r>
      <w:r>
        <w:t xml:space="preserve">Order.  </w:t>
      </w:r>
    </w:p>
    <w:p w:rsidR="00F052C3" w:rsidRDefault="00F052C3" w:rsidP="00C114B0">
      <w:pPr>
        <w:pStyle w:val="num1"/>
        <w:numPr>
          <w:ilvl w:val="0"/>
          <w:numId w:val="9"/>
        </w:numPr>
        <w:rPr>
          <w:rStyle w:val="standardChar"/>
        </w:rPr>
      </w:pPr>
      <w:r>
        <w:rPr>
          <w:rStyle w:val="standardChar"/>
        </w:rPr>
        <w:t xml:space="preserve">Except as set forth in the </w:t>
      </w:r>
      <w:r w:rsidR="00337124">
        <w:rPr>
          <w:rStyle w:val="standardChar"/>
        </w:rPr>
        <w:t xml:space="preserve">following conclusions of law, the ROW Rules should apply without modification to CMRS carriers.  </w:t>
      </w:r>
    </w:p>
    <w:p w:rsidR="00337124" w:rsidRDefault="00337124" w:rsidP="00C114B0">
      <w:pPr>
        <w:pStyle w:val="num1"/>
        <w:keepLines w:val="0"/>
        <w:numPr>
          <w:ilvl w:val="0"/>
          <w:numId w:val="9"/>
        </w:numPr>
        <w:rPr>
          <w:rStyle w:val="standardChar"/>
        </w:rPr>
      </w:pPr>
      <w:r>
        <w:t>Applying the ROW Rule</w:t>
      </w:r>
      <w:r w:rsidR="00CB4ADE">
        <w:t>’</w:t>
      </w:r>
      <w:r>
        <w:t xml:space="preserve">s 7.4% “per-pole” attachment </w:t>
      </w:r>
      <w:r w:rsidR="00CB4ADE">
        <w:t xml:space="preserve">fee </w:t>
      </w:r>
      <w:r>
        <w:t>to CMRS installations would unduly benefit CMRS pole attachments and unfairly discriminate against CLEC and CATV pole attachments.  Under this pric</w:t>
      </w:r>
      <w:r w:rsidR="00C42F9B">
        <w:t xml:space="preserve">ing scheme, CMRS installations would generally pay far less for the pole space they occupy than </w:t>
      </w:r>
      <w:r>
        <w:t xml:space="preserve">CLEC </w:t>
      </w:r>
      <w:r w:rsidR="00C42F9B">
        <w:t xml:space="preserve">and </w:t>
      </w:r>
      <w:r>
        <w:t>CATV installation</w:t>
      </w:r>
      <w:r w:rsidR="00C42F9B">
        <w:t>s</w:t>
      </w:r>
      <w:r>
        <w:t xml:space="preserve">.  </w:t>
      </w:r>
      <w:r>
        <w:rPr>
          <w:rStyle w:val="standardChar"/>
        </w:rPr>
        <w:t xml:space="preserve"> </w:t>
      </w:r>
    </w:p>
    <w:p w:rsidR="004238BE" w:rsidRDefault="00044259" w:rsidP="00C114B0">
      <w:pPr>
        <w:pStyle w:val="num1"/>
        <w:keepLines w:val="0"/>
        <w:numPr>
          <w:ilvl w:val="0"/>
          <w:numId w:val="9"/>
        </w:numPr>
        <w:rPr>
          <w:rStyle w:val="standardChar"/>
        </w:rPr>
      </w:pPr>
      <w:r>
        <w:t xml:space="preserve">In order to establish nondiscriminatory pricing for </w:t>
      </w:r>
      <w:r w:rsidR="004F131D">
        <w:t>CLEC</w:t>
      </w:r>
      <w:r>
        <w:t xml:space="preserve">, CATV, and CMRS pole attachments as </w:t>
      </w:r>
      <w:r w:rsidR="00C76A36">
        <w:t>required</w:t>
      </w:r>
      <w:r>
        <w:t xml:space="preserve"> by the ROW Rules, the 7.4% pole-attachment fee adopted by D.98-10-058 should apply to each foot of vertical pole space </w:t>
      </w:r>
      <w:r w:rsidR="00337124">
        <w:t xml:space="preserve">that </w:t>
      </w:r>
      <w:r w:rsidR="0012782F">
        <w:t xml:space="preserve">a CMRS installation renders unusable for </w:t>
      </w:r>
      <w:r w:rsidR="009B60E2">
        <w:t>non</w:t>
      </w:r>
      <w:r w:rsidR="009B60E2">
        <w:noBreakHyphen/>
        <w:t>CMRS</w:t>
      </w:r>
      <w:r w:rsidR="0012782F">
        <w:t xml:space="preserve"> attachments.  </w:t>
      </w:r>
      <w:r w:rsidR="005229C4">
        <w:t xml:space="preserve">This is </w:t>
      </w:r>
      <w:r w:rsidR="00F342C0">
        <w:t>similar</w:t>
      </w:r>
      <w:r w:rsidR="005229C4">
        <w:t xml:space="preserve"> in concept to how the annual attachment fee is determined under the ROW Rules for utility support structures other than poles.</w:t>
      </w:r>
    </w:p>
    <w:p w:rsidR="00675FFB" w:rsidRDefault="00494CA7" w:rsidP="00C114B0">
      <w:pPr>
        <w:pStyle w:val="num1"/>
        <w:keepLines w:val="0"/>
        <w:numPr>
          <w:ilvl w:val="0"/>
          <w:numId w:val="9"/>
        </w:numPr>
        <w:rPr>
          <w:rStyle w:val="standardChar"/>
        </w:rPr>
      </w:pPr>
      <w:r>
        <w:t xml:space="preserve">As contemplated by federal law and FCC regulations, the adopted 7.4% per-foot fee for CMRS installations (as limited by today’s decision) is based on the space occupied by the attachment and the number of attaching entities on the pole, together with reasonable make-ready fees.  As required by </w:t>
      </w:r>
      <w:r w:rsidRPr="00E81B71">
        <w:lastRenderedPageBreak/>
        <w:t>47 U.S.C.</w:t>
      </w:r>
      <w:r>
        <w:t xml:space="preserve"> § 253(a), today’s decision </w:t>
      </w:r>
      <w:r w:rsidR="00C76A36">
        <w:t xml:space="preserve">does not </w:t>
      </w:r>
      <w:r w:rsidRPr="00536CC4">
        <w:t xml:space="preserve">prohibit the ability of </w:t>
      </w:r>
      <w:r w:rsidR="00C76A36">
        <w:t>CMRS carriers</w:t>
      </w:r>
      <w:r w:rsidRPr="00536CC4">
        <w:t xml:space="preserve"> to provide any interstate or intrastate</w:t>
      </w:r>
      <w:r>
        <w:t xml:space="preserve"> </w:t>
      </w:r>
      <w:r w:rsidRPr="00536CC4">
        <w:t>telecommunications service</w:t>
      </w:r>
      <w:r>
        <w:t>.</w:t>
      </w:r>
    </w:p>
    <w:p w:rsidR="00F342C0" w:rsidRDefault="00F342C0" w:rsidP="00C114B0">
      <w:pPr>
        <w:pStyle w:val="num1"/>
        <w:keepLines w:val="0"/>
        <w:numPr>
          <w:ilvl w:val="0"/>
          <w:numId w:val="9"/>
        </w:numPr>
      </w:pPr>
      <w:r>
        <w:t>Applying the 7.4% fee on a per</w:t>
      </w:r>
      <w:r>
        <w:noBreakHyphen/>
        <w:t>foot basis to CMRS attachments, versus a per</w:t>
      </w:r>
      <w:r>
        <w:noBreakHyphen/>
        <w:t xml:space="preserve">pole basis for CLEC and CATV attachments, does not violate any federal laws or regulations.  </w:t>
      </w:r>
    </w:p>
    <w:p w:rsidR="000E75FF" w:rsidRDefault="0024260E" w:rsidP="00C114B0">
      <w:pPr>
        <w:pStyle w:val="num1"/>
        <w:keepLines w:val="0"/>
        <w:numPr>
          <w:ilvl w:val="0"/>
          <w:numId w:val="9"/>
        </w:numPr>
        <w:rPr>
          <w:rStyle w:val="standardChar"/>
        </w:rPr>
      </w:pPr>
      <w:r>
        <w:t xml:space="preserve">The 7.4% </w:t>
      </w:r>
      <w:r w:rsidR="00F342C0">
        <w:t xml:space="preserve">per-foot </w:t>
      </w:r>
      <w:r>
        <w:t xml:space="preserve">attachment fee should apply to CMRS attachments in the pole’s common space. </w:t>
      </w:r>
      <w:r w:rsidR="005D6862">
        <w:rPr>
          <w:rStyle w:val="standardChar"/>
        </w:rPr>
        <w:t xml:space="preserve"> </w:t>
      </w:r>
    </w:p>
    <w:p w:rsidR="0024260E" w:rsidRDefault="00D11B75" w:rsidP="0099730B">
      <w:pPr>
        <w:pStyle w:val="num1"/>
        <w:numPr>
          <w:ilvl w:val="0"/>
          <w:numId w:val="9"/>
        </w:numPr>
        <w:rPr>
          <w:rStyle w:val="standardChar"/>
        </w:rPr>
      </w:pPr>
      <w:r>
        <w:t xml:space="preserve">The 7.4% </w:t>
      </w:r>
      <w:r w:rsidR="00F342C0">
        <w:t xml:space="preserve">per-foot </w:t>
      </w:r>
      <w:r>
        <w:t>attachment fee should apply only once to each foo</w:t>
      </w:r>
      <w:r w:rsidR="00CA3BED">
        <w:t>t of</w:t>
      </w:r>
      <w:r>
        <w:t xml:space="preserve"> vertical pole space.  </w:t>
      </w:r>
      <w:r w:rsidR="000E75FF">
        <w:t xml:space="preserve">If </w:t>
      </w:r>
      <w:r w:rsidR="00F342C0">
        <w:t xml:space="preserve">multiple </w:t>
      </w:r>
      <w:r>
        <w:t xml:space="preserve">CMRS </w:t>
      </w:r>
      <w:r w:rsidR="000E75FF">
        <w:t xml:space="preserve">pole </w:t>
      </w:r>
      <w:r w:rsidR="0048703C">
        <w:t>attachments</w:t>
      </w:r>
      <w:r w:rsidR="000E75FF">
        <w:t xml:space="preserve"> are placed on different sides of a pole in the same horizontal plane, </w:t>
      </w:r>
      <w:r w:rsidR="001352EB">
        <w:t xml:space="preserve">the 7.4% </w:t>
      </w:r>
      <w:r w:rsidR="001D12B5">
        <w:t>attachment</w:t>
      </w:r>
      <w:r w:rsidR="00802124">
        <w:t xml:space="preserve"> </w:t>
      </w:r>
      <w:r w:rsidR="001352EB">
        <w:t xml:space="preserve">fee </w:t>
      </w:r>
      <w:r w:rsidR="00802124">
        <w:t>should</w:t>
      </w:r>
      <w:r w:rsidR="001352EB">
        <w:t xml:space="preserve"> be allocated </w:t>
      </w:r>
      <w:r w:rsidR="001D12B5">
        <w:t xml:space="preserve">equally </w:t>
      </w:r>
      <w:r w:rsidR="001352EB">
        <w:t xml:space="preserve">to each CMRS attachment </w:t>
      </w:r>
      <w:r w:rsidR="000E75FF">
        <w:t xml:space="preserve">in the </w:t>
      </w:r>
      <w:r w:rsidR="001D12B5">
        <w:t xml:space="preserve">same </w:t>
      </w:r>
      <w:r w:rsidR="000E75FF">
        <w:t>horizontal plane</w:t>
      </w:r>
      <w:r w:rsidR="001352EB">
        <w:t xml:space="preserve">.  </w:t>
      </w:r>
      <w:r w:rsidR="0024260E">
        <w:rPr>
          <w:rStyle w:val="standardChar"/>
        </w:rPr>
        <w:t xml:space="preserve"> </w:t>
      </w:r>
    </w:p>
    <w:p w:rsidR="0024260E" w:rsidRDefault="005D2389" w:rsidP="00C114B0">
      <w:pPr>
        <w:pStyle w:val="num1"/>
        <w:keepLines w:val="0"/>
        <w:numPr>
          <w:ilvl w:val="0"/>
          <w:numId w:val="9"/>
        </w:numPr>
        <w:rPr>
          <w:rStyle w:val="standardChar"/>
        </w:rPr>
      </w:pPr>
      <w:r>
        <w:t>I</w:t>
      </w:r>
      <w:r w:rsidR="00E93F91">
        <w:t xml:space="preserve">t is </w:t>
      </w:r>
      <w:r w:rsidR="001D12B5">
        <w:t xml:space="preserve">not </w:t>
      </w:r>
      <w:r w:rsidR="00E93F91">
        <w:t xml:space="preserve">discriminatory to </w:t>
      </w:r>
      <w:r w:rsidR="00D11B75">
        <w:t>apply</w:t>
      </w:r>
      <w:r w:rsidR="00E93F91">
        <w:t xml:space="preserve"> the 7.4% </w:t>
      </w:r>
      <w:r>
        <w:t xml:space="preserve">attachment </w:t>
      </w:r>
      <w:r w:rsidR="00E93F91">
        <w:t xml:space="preserve">fee </w:t>
      </w:r>
      <w:r w:rsidR="00D11B75">
        <w:t>to</w:t>
      </w:r>
      <w:r w:rsidR="00E93F91">
        <w:t xml:space="preserve"> CMRS attachments in the common space, but not </w:t>
      </w:r>
      <w:r w:rsidR="00D11B75">
        <w:t>to</w:t>
      </w:r>
      <w:r w:rsidR="00E93F91">
        <w:t xml:space="preserve"> </w:t>
      </w:r>
      <w:r w:rsidR="004F131D">
        <w:t>CLEC</w:t>
      </w:r>
      <w:r w:rsidR="00E93F91">
        <w:t xml:space="preserve"> and CATV attachments in the common space.  Most CMRS pole installations include attachments in the common space, while the vast majority of </w:t>
      </w:r>
      <w:r w:rsidR="004F131D">
        <w:t>CLEC</w:t>
      </w:r>
      <w:r w:rsidR="00E93F91">
        <w:t xml:space="preserve"> and CATV </w:t>
      </w:r>
      <w:r w:rsidR="001D12B5">
        <w:t xml:space="preserve">pole </w:t>
      </w:r>
      <w:r w:rsidR="00E93F91">
        <w:t xml:space="preserve">installations do not.  Thus, CMRS </w:t>
      </w:r>
      <w:r w:rsidR="001D12B5">
        <w:t xml:space="preserve">pole </w:t>
      </w:r>
      <w:r w:rsidR="00E93F91">
        <w:t xml:space="preserve">installations are differently situated with respect to attachments in the common space.  </w:t>
      </w:r>
    </w:p>
    <w:p w:rsidR="001A22CC" w:rsidRDefault="005D2389" w:rsidP="00C114B0">
      <w:pPr>
        <w:pStyle w:val="num1"/>
        <w:keepLines w:val="0"/>
        <w:numPr>
          <w:ilvl w:val="0"/>
          <w:numId w:val="9"/>
        </w:numPr>
        <w:rPr>
          <w:rStyle w:val="standardChar"/>
        </w:rPr>
      </w:pPr>
      <w:r>
        <w:t xml:space="preserve">Because attachments in a pole’s common space are a significant proportion of all CMRS pole attachments, while the vast majority of </w:t>
      </w:r>
      <w:r w:rsidR="004F131D">
        <w:t>CLEC</w:t>
      </w:r>
      <w:r>
        <w:t xml:space="preserve"> and CATV </w:t>
      </w:r>
      <w:r w:rsidR="001D12B5">
        <w:t xml:space="preserve">pole </w:t>
      </w:r>
      <w:r>
        <w:t xml:space="preserve">attachments are in the usable space, it would be discriminatory to exempt a significant proportion of CMRS attachments from the 7.4% </w:t>
      </w:r>
      <w:r w:rsidR="001D12B5">
        <w:t xml:space="preserve">attachment </w:t>
      </w:r>
      <w:r>
        <w:t xml:space="preserve">fee when almost all </w:t>
      </w:r>
      <w:r w:rsidR="004F131D">
        <w:t>CLEC</w:t>
      </w:r>
      <w:r>
        <w:t xml:space="preserve"> and CATV attachments are subject to the fee.</w:t>
      </w:r>
      <w:r w:rsidR="001A22CC">
        <w:rPr>
          <w:rStyle w:val="standardChar"/>
        </w:rPr>
        <w:t xml:space="preserve"> </w:t>
      </w:r>
    </w:p>
    <w:p w:rsidR="001A22CC" w:rsidRDefault="0048703C" w:rsidP="00C114B0">
      <w:pPr>
        <w:pStyle w:val="num1"/>
        <w:keepLines w:val="0"/>
        <w:numPr>
          <w:ilvl w:val="0"/>
          <w:numId w:val="9"/>
        </w:numPr>
        <w:rPr>
          <w:rStyle w:val="standardChar"/>
        </w:rPr>
      </w:pPr>
      <w:r>
        <w:rPr>
          <w:rStyle w:val="standardChar"/>
        </w:rPr>
        <w:t>A</w:t>
      </w:r>
      <w:r>
        <w:t>pplying</w:t>
      </w:r>
      <w:r w:rsidR="00DD3247">
        <w:t xml:space="preserve"> the 7.4% </w:t>
      </w:r>
      <w:r w:rsidR="001D12B5">
        <w:t xml:space="preserve">attachment </w:t>
      </w:r>
      <w:r w:rsidR="00DD3247">
        <w:t>fee to CMRS attachments in a pole’s common space is consistent with D.98-10-058 where</w:t>
      </w:r>
      <w:r w:rsidR="001D12B5">
        <w:t>in</w:t>
      </w:r>
      <w:r w:rsidR="00DD3247">
        <w:t xml:space="preserve"> the Commission held that </w:t>
      </w:r>
      <w:r w:rsidR="004F131D">
        <w:t>CLEC</w:t>
      </w:r>
      <w:r w:rsidR="00DD3247">
        <w:t xml:space="preserve"> attachments that occupy more pole space than CATV attachment</w:t>
      </w:r>
      <w:r w:rsidR="0099730B">
        <w:t>s</w:t>
      </w:r>
      <w:r w:rsidR="00DD3247">
        <w:t xml:space="preserve">, or which otherwise encumber property to a greater degree than CATV attachments, </w:t>
      </w:r>
      <w:r w:rsidR="00DD3247">
        <w:lastRenderedPageBreak/>
        <w:t xml:space="preserve">may be charged a </w:t>
      </w:r>
      <w:r w:rsidR="001D12B5">
        <w:t>larger</w:t>
      </w:r>
      <w:r w:rsidR="00DD3247">
        <w:t xml:space="preserve"> pole</w:t>
      </w:r>
      <w:r w:rsidR="001D12B5">
        <w:noBreakHyphen/>
      </w:r>
      <w:r w:rsidR="00DD3247">
        <w:t xml:space="preserve">attachment fee than CATV attachments.  Likewise, CMRS pole installations </w:t>
      </w:r>
      <w:r w:rsidR="00D11B75">
        <w:t>occupy</w:t>
      </w:r>
      <w:r w:rsidR="00DD3247">
        <w:t xml:space="preserve"> far more pole space than CATV (and </w:t>
      </w:r>
      <w:r w:rsidR="004F131D">
        <w:t>CLEC</w:t>
      </w:r>
      <w:r w:rsidR="00DD3247">
        <w:t xml:space="preserve">) installations, and may therefore be charged a </w:t>
      </w:r>
      <w:r w:rsidR="001D12B5">
        <w:t>larger</w:t>
      </w:r>
      <w:r w:rsidR="00DD3247">
        <w:t xml:space="preserve"> pole-attachment fee than CATV (and </w:t>
      </w:r>
      <w:r w:rsidR="004F131D">
        <w:t>CLEC</w:t>
      </w:r>
      <w:r w:rsidR="00DD3247">
        <w:t>) installations.</w:t>
      </w:r>
    </w:p>
    <w:p w:rsidR="001A22CC" w:rsidRDefault="00E04EC2" w:rsidP="00C114B0">
      <w:pPr>
        <w:pStyle w:val="num1"/>
        <w:keepLines w:val="0"/>
        <w:numPr>
          <w:ilvl w:val="0"/>
          <w:numId w:val="9"/>
        </w:numPr>
        <w:rPr>
          <w:rStyle w:val="standardChar"/>
        </w:rPr>
      </w:pPr>
      <w:r>
        <w:rPr>
          <w:rStyle w:val="standardChar"/>
        </w:rPr>
        <w:t xml:space="preserve">The purpose of the 7.4% attachment fee embodied in the ROW Rules is to ensure that attachers pay a </w:t>
      </w:r>
      <w:r w:rsidR="001D12B5">
        <w:rPr>
          <w:rStyle w:val="standardChar"/>
        </w:rPr>
        <w:t>reasonable and proportionate</w:t>
      </w:r>
      <w:r>
        <w:rPr>
          <w:rStyle w:val="standardChar"/>
        </w:rPr>
        <w:t xml:space="preserve"> share of a pole’s cost</w:t>
      </w:r>
      <w:r w:rsidR="001D12B5">
        <w:rPr>
          <w:rStyle w:val="standardChar"/>
        </w:rPr>
        <w:noBreakHyphen/>
      </w:r>
      <w:r>
        <w:rPr>
          <w:rStyle w:val="standardChar"/>
        </w:rPr>
        <w:t xml:space="preserve">of-ownership. </w:t>
      </w:r>
      <w:r w:rsidR="00B23FB9">
        <w:rPr>
          <w:rStyle w:val="standardChar"/>
        </w:rPr>
        <w:t xml:space="preserve"> T</w:t>
      </w:r>
      <w:r w:rsidR="00B23FB9">
        <w:t>he fee is not meant to provide pole owners with revenues that exceed their cost-of-</w:t>
      </w:r>
      <w:r w:rsidR="0048703C">
        <w:t>ownership</w:t>
      </w:r>
      <w:r w:rsidR="00B23FB9">
        <w:t xml:space="preserve"> for a pole.</w:t>
      </w:r>
    </w:p>
    <w:p w:rsidR="00DD3247" w:rsidRDefault="004D4C52" w:rsidP="00C114B0">
      <w:pPr>
        <w:pStyle w:val="num1"/>
        <w:keepLines w:val="0"/>
        <w:numPr>
          <w:ilvl w:val="0"/>
          <w:numId w:val="9"/>
        </w:numPr>
        <w:rPr>
          <w:rStyle w:val="standardChar"/>
        </w:rPr>
      </w:pPr>
      <w:r>
        <w:t>The total pole</w:t>
      </w:r>
      <w:r>
        <w:noBreakHyphen/>
        <w:t>attachment fee for all components of a CMRS installation should not exceed 100% of the pole’s cost-of-ownership, less the proportion of the pole’s cost-of-ownership that is allocable to the pole space occupied by all other attachments on the pole, including pole</w:t>
      </w:r>
      <w:r w:rsidR="00F342C0">
        <w:t>-</w:t>
      </w:r>
      <w:r>
        <w:t xml:space="preserve">owner attachments.  </w:t>
      </w:r>
      <w:r w:rsidR="00DD3247">
        <w:rPr>
          <w:rStyle w:val="standardChar"/>
        </w:rPr>
        <w:t xml:space="preserve"> </w:t>
      </w:r>
    </w:p>
    <w:p w:rsidR="00DD3247" w:rsidRDefault="001D12B5" w:rsidP="00C114B0">
      <w:pPr>
        <w:pStyle w:val="num1"/>
        <w:keepLines w:val="0"/>
        <w:numPr>
          <w:ilvl w:val="0"/>
          <w:numId w:val="9"/>
        </w:numPr>
        <w:rPr>
          <w:rStyle w:val="standardChar"/>
        </w:rPr>
      </w:pPr>
      <w:r>
        <w:t>T</w:t>
      </w:r>
      <w:r w:rsidR="005557C8">
        <w:t>he pole</w:t>
      </w:r>
      <w:r w:rsidR="005557C8">
        <w:noBreakHyphen/>
        <w:t xml:space="preserve">attachment fee of 7.4% per foot should apply to CMRS installations until </w:t>
      </w:r>
      <w:r w:rsidR="00B6781F">
        <w:t>1</w:t>
      </w:r>
      <w:r w:rsidR="005557C8">
        <w:t xml:space="preserve">4 feet of pole space is occupied by all </w:t>
      </w:r>
      <w:r w:rsidR="00B6781F">
        <w:t xml:space="preserve">pole </w:t>
      </w:r>
      <w:r w:rsidR="005557C8">
        <w:t>attachments</w:t>
      </w:r>
      <w:r w:rsidR="00B6781F">
        <w:t>.  When more than 14 feet of pole space is occupied by all attachments</w:t>
      </w:r>
      <w:r w:rsidR="005557C8">
        <w:t xml:space="preserve">, the 7.4% </w:t>
      </w:r>
      <w:r>
        <w:t xml:space="preserve">per-foot </w:t>
      </w:r>
      <w:r w:rsidR="005557C8">
        <w:t>fee for CMRS attachments should be adjuste</w:t>
      </w:r>
      <w:r w:rsidR="00C81D17">
        <w:t>d as described in the previous C</w:t>
      </w:r>
      <w:r w:rsidR="005557C8">
        <w:t>onclusion</w:t>
      </w:r>
      <w:r w:rsidR="007F0C97">
        <w:t> </w:t>
      </w:r>
      <w:r w:rsidR="005557C8">
        <w:t>of</w:t>
      </w:r>
      <w:r w:rsidR="007F0C97">
        <w:t> </w:t>
      </w:r>
      <w:r w:rsidR="00C81D17">
        <w:t>L</w:t>
      </w:r>
      <w:r w:rsidR="005557C8">
        <w:t xml:space="preserve">aw.  </w:t>
      </w:r>
    </w:p>
    <w:p w:rsidR="005557C8" w:rsidRDefault="00D120EF" w:rsidP="00C114B0">
      <w:pPr>
        <w:pStyle w:val="num1"/>
        <w:keepLines w:val="0"/>
        <w:numPr>
          <w:ilvl w:val="0"/>
          <w:numId w:val="9"/>
        </w:numPr>
        <w:rPr>
          <w:rStyle w:val="standardChar"/>
        </w:rPr>
      </w:pPr>
      <w:r>
        <w:t>The 7.4% attachment fee should not apply to conduits, risers, and electric utility meters that are attached to a pole as part of a CMRS installation</w:t>
      </w:r>
      <w:r w:rsidR="00265D9F">
        <w:t>.</w:t>
      </w:r>
      <w:r w:rsidR="005557C8">
        <w:rPr>
          <w:rStyle w:val="standardChar"/>
        </w:rPr>
        <w:t xml:space="preserve"> </w:t>
      </w:r>
    </w:p>
    <w:p w:rsidR="00F23EED" w:rsidRDefault="00F23EED" w:rsidP="00C114B0">
      <w:pPr>
        <w:pStyle w:val="num1"/>
        <w:keepLines w:val="0"/>
        <w:numPr>
          <w:ilvl w:val="0"/>
          <w:numId w:val="9"/>
        </w:numPr>
        <w:rPr>
          <w:rStyle w:val="standardChar"/>
        </w:rPr>
      </w:pPr>
      <w:r>
        <w:t xml:space="preserve">Cost-of-service public </w:t>
      </w:r>
      <w:r w:rsidRPr="000E76F8">
        <w:rPr>
          <w:rStyle w:val="standardChar"/>
        </w:rPr>
        <w:t xml:space="preserve">utilities </w:t>
      </w:r>
      <w:r>
        <w:rPr>
          <w:rStyle w:val="standardChar"/>
        </w:rPr>
        <w:t xml:space="preserve">should record attachment fees for CMRS facilities </w:t>
      </w:r>
      <w:r w:rsidRPr="000E76F8">
        <w:rPr>
          <w:rStyle w:val="standardChar"/>
        </w:rPr>
        <w:t>as Other Operating Revenues</w:t>
      </w:r>
      <w:r>
        <w:rPr>
          <w:rStyle w:val="standardChar"/>
        </w:rPr>
        <w:t>, and record make-ready charges</w:t>
      </w:r>
      <w:r w:rsidRPr="000E76F8">
        <w:rPr>
          <w:rStyle w:val="standardChar"/>
        </w:rPr>
        <w:t xml:space="preserve"> as </w:t>
      </w:r>
      <w:r>
        <w:rPr>
          <w:rStyle w:val="standardChar"/>
        </w:rPr>
        <w:t xml:space="preserve">either Other Operating Revenue or </w:t>
      </w:r>
      <w:r w:rsidRPr="000E76F8">
        <w:rPr>
          <w:rStyle w:val="standardChar"/>
        </w:rPr>
        <w:t>contributed plant</w:t>
      </w:r>
      <w:r>
        <w:rPr>
          <w:rStyle w:val="standardChar"/>
        </w:rPr>
        <w:t>, depending on whether the utility’s make-ready expenditures are expensed or capitalized</w:t>
      </w:r>
      <w:r w:rsidRPr="000E76F8">
        <w:rPr>
          <w:rStyle w:val="standardChar"/>
        </w:rPr>
        <w:t>.</w:t>
      </w:r>
      <w:r>
        <w:rPr>
          <w:rStyle w:val="standardChar"/>
        </w:rPr>
        <w:t xml:space="preserve"> </w:t>
      </w:r>
    </w:p>
    <w:p w:rsidR="000C42E0" w:rsidRDefault="000C42E0" w:rsidP="000C42E0">
      <w:pPr>
        <w:pStyle w:val="num1"/>
        <w:numPr>
          <w:ilvl w:val="0"/>
          <w:numId w:val="9"/>
        </w:numPr>
      </w:pPr>
      <w:r>
        <w:lastRenderedPageBreak/>
        <w:t>The amended ROW R</w:t>
      </w:r>
      <w:r w:rsidRPr="00A15805">
        <w:rPr>
          <w:rStyle w:val="standardChar"/>
        </w:rPr>
        <w:t>ules</w:t>
      </w:r>
      <w:r>
        <w:t xml:space="preserve"> adopted by today’s decision comply with </w:t>
      </w:r>
      <w:r w:rsidRPr="00CA3655">
        <w:rPr>
          <w:rStyle w:val="standardChar"/>
        </w:rPr>
        <w:t>47</w:t>
      </w:r>
      <w:r>
        <w:rPr>
          <w:rStyle w:val="standardChar"/>
        </w:rPr>
        <w:t> </w:t>
      </w:r>
      <w:r w:rsidRPr="00CA3655">
        <w:rPr>
          <w:rStyle w:val="standardChar"/>
        </w:rPr>
        <w:t>U.S.C.</w:t>
      </w:r>
      <w:r>
        <w:rPr>
          <w:rStyle w:val="standardChar"/>
        </w:rPr>
        <w:t> </w:t>
      </w:r>
      <w:r>
        <w:t>§§ 224(c)(2) and (3).  Today’s decision constitutes certification to the FCC of this Commission’s assertion of jurisdiction to regulate the rates, terms, and conditions of access to poles, ducts, conduits, and rights-of-way by CMRS carriers.</w:t>
      </w:r>
    </w:p>
    <w:p w:rsidR="0064769A" w:rsidRPr="0064769A" w:rsidRDefault="0064769A" w:rsidP="0064769A">
      <w:pPr>
        <w:pStyle w:val="num1"/>
        <w:keepLines w:val="0"/>
        <w:numPr>
          <w:ilvl w:val="0"/>
          <w:numId w:val="9"/>
        </w:numPr>
      </w:pPr>
      <w:r>
        <w:t xml:space="preserve">The Commission has authority to adopt safety regulations for CMRS pole attachments pursuant to Pub. Util. Code §§ 701 and 761 et seq. </w:t>
      </w:r>
    </w:p>
    <w:p w:rsidR="008E5C06" w:rsidRDefault="008E5C06" w:rsidP="00C114B0">
      <w:pPr>
        <w:pStyle w:val="num1"/>
        <w:keepLines w:val="0"/>
        <w:numPr>
          <w:ilvl w:val="0"/>
          <w:numId w:val="9"/>
        </w:numPr>
        <w:tabs>
          <w:tab w:val="left" w:pos="720"/>
        </w:tabs>
      </w:pPr>
      <w:r>
        <w:t>It is in the public interest to adopt the revisions to GO 95 that are contained in Appendix </w:t>
      </w:r>
      <w:r w:rsidR="00D11B75">
        <w:t>C</w:t>
      </w:r>
      <w:r>
        <w:t xml:space="preserve"> of </w:t>
      </w:r>
      <w:r w:rsidR="00D11B75">
        <w:t>today’s</w:t>
      </w:r>
      <w:r>
        <w:t xml:space="preserve"> decision for the reasons set forth in the body of this decision, Findings of Fact, and Conclusions of Law.  </w:t>
      </w:r>
    </w:p>
    <w:p w:rsidR="008E5C06" w:rsidRDefault="008E5C06" w:rsidP="00C114B0">
      <w:pPr>
        <w:pStyle w:val="num1"/>
        <w:keepLines w:val="0"/>
        <w:numPr>
          <w:ilvl w:val="0"/>
          <w:numId w:val="9"/>
        </w:numPr>
        <w:tabs>
          <w:tab w:val="left" w:pos="720"/>
        </w:tabs>
      </w:pPr>
      <w:r>
        <w:t xml:space="preserve">SED should </w:t>
      </w:r>
      <w:r w:rsidR="00C4645A">
        <w:t xml:space="preserve">(i) </w:t>
      </w:r>
      <w:r>
        <w:t xml:space="preserve">amend GO 95 to incorporate </w:t>
      </w:r>
      <w:r w:rsidR="00C4645A">
        <w:t xml:space="preserve">(a) </w:t>
      </w:r>
      <w:r>
        <w:t>the revisions to GO 95 adopted by this decision</w:t>
      </w:r>
      <w:r w:rsidR="00C4645A">
        <w:t xml:space="preserve">, and (b) any ministerial changes to GO 95 that are necessary to integrate the adopted revisions to GO 95; and (ii) publish the amended GO 95 on the Commission’s website within 60 days from the effective date of the following Order.  </w:t>
      </w:r>
      <w:r>
        <w:t xml:space="preserve">  </w:t>
      </w:r>
    </w:p>
    <w:p w:rsidR="005557C8" w:rsidRDefault="00E21695" w:rsidP="00C114B0">
      <w:pPr>
        <w:pStyle w:val="num1"/>
        <w:keepLines w:val="0"/>
        <w:numPr>
          <w:ilvl w:val="0"/>
          <w:numId w:val="9"/>
        </w:numPr>
        <w:rPr>
          <w:rStyle w:val="standardChar"/>
        </w:rPr>
      </w:pPr>
      <w:r>
        <w:t>GO 95</w:t>
      </w:r>
      <w:r w:rsidR="00D11B75">
        <w:t xml:space="preserve"> </w:t>
      </w:r>
      <w:r>
        <w:t xml:space="preserve">and Pub. Util. Code </w:t>
      </w:r>
      <w:r>
        <w:rPr>
          <w:rFonts w:ascii="Book Antiqua" w:hAnsi="Book Antiqua"/>
        </w:rPr>
        <w:t>§</w:t>
      </w:r>
      <w:r>
        <w:t xml:space="preserve"> 451 prohibit pole overloading.  Both pole owners and </w:t>
      </w:r>
      <w:r w:rsidR="00F342C0">
        <w:t xml:space="preserve">pole </w:t>
      </w:r>
      <w:r>
        <w:t>attachers have an affirmative duty to prevent any pole attachments that would cause, or exacerbate, pole overloading.</w:t>
      </w:r>
      <w:r w:rsidR="009A7738">
        <w:rPr>
          <w:rStyle w:val="standardChar"/>
        </w:rPr>
        <w:t xml:space="preserve"> </w:t>
      </w:r>
    </w:p>
    <w:p w:rsidR="009A7738" w:rsidRDefault="00BA2E23" w:rsidP="00C114B0">
      <w:pPr>
        <w:pStyle w:val="num1"/>
        <w:keepLines w:val="0"/>
        <w:numPr>
          <w:ilvl w:val="0"/>
          <w:numId w:val="9"/>
        </w:numPr>
        <w:rPr>
          <w:rStyle w:val="standardChar"/>
        </w:rPr>
      </w:pPr>
      <w:r>
        <w:t xml:space="preserve">Rule 44.2 defines “material </w:t>
      </w:r>
      <w:r w:rsidR="00E8539F">
        <w:t>increase “in</w:t>
      </w:r>
      <w:r w:rsidR="0056408F">
        <w:t xml:space="preserve"> load </w:t>
      </w:r>
      <w:r>
        <w:t>a</w:t>
      </w:r>
      <w:r w:rsidRPr="00650F5E">
        <w:t xml:space="preserve">s </w:t>
      </w:r>
      <w:r>
        <w:t>“</w:t>
      </w:r>
      <w:r w:rsidRPr="00650F5E">
        <w:t>an addition which increases the load on a structure by more than five percent per installation, or ten percent over a 12-month span, of the electric utility’s or Communication Infrastructure Provider’s current load.</w:t>
      </w:r>
      <w:r>
        <w:t xml:space="preserve">”  The rule does not address situations where </w:t>
      </w:r>
      <w:r w:rsidR="00A44268">
        <w:t>(i)</w:t>
      </w:r>
      <w:r w:rsidR="006F58C7">
        <w:t> </w:t>
      </w:r>
      <w:r w:rsidR="00A44268">
        <w:t xml:space="preserve">an increase in load of less than 5% would </w:t>
      </w:r>
      <w:r w:rsidR="0056408F">
        <w:t>overload the pole</w:t>
      </w:r>
      <w:r w:rsidR="00A44268">
        <w:t xml:space="preserve">; </w:t>
      </w:r>
      <w:r w:rsidR="00B90A2C">
        <w:t xml:space="preserve">and </w:t>
      </w:r>
      <w:r w:rsidR="00A44268">
        <w:t>(ii)</w:t>
      </w:r>
      <w:r w:rsidR="0056408F">
        <w:t> </w:t>
      </w:r>
      <w:r w:rsidR="00A44268">
        <w:t>an increase in load of less than 10% over a 12</w:t>
      </w:r>
      <w:r w:rsidR="0056408F">
        <w:noBreakHyphen/>
      </w:r>
      <w:r w:rsidR="00A44268">
        <w:t>mon</w:t>
      </w:r>
      <w:r w:rsidR="00B90A2C">
        <w:t>th span would overload the pole</w:t>
      </w:r>
      <w:r w:rsidR="00A44268">
        <w:t xml:space="preserve">.  </w:t>
      </w:r>
    </w:p>
    <w:p w:rsidR="00BA2E23" w:rsidRDefault="00BA2E23" w:rsidP="00C114B0">
      <w:pPr>
        <w:pStyle w:val="num1"/>
        <w:keepLines w:val="0"/>
        <w:numPr>
          <w:ilvl w:val="0"/>
          <w:numId w:val="9"/>
        </w:numPr>
        <w:rPr>
          <w:rStyle w:val="standardChar"/>
        </w:rPr>
      </w:pPr>
      <w:r>
        <w:t xml:space="preserve">SED </w:t>
      </w:r>
      <w:r w:rsidR="00D30176">
        <w:t xml:space="preserve">should </w:t>
      </w:r>
      <w:r>
        <w:t xml:space="preserve">evaluate </w:t>
      </w:r>
      <w:r w:rsidR="00D30176">
        <w:t xml:space="preserve">whether </w:t>
      </w:r>
      <w:r>
        <w:t xml:space="preserve">Rule 44.2’s definition of “material increase” </w:t>
      </w:r>
      <w:r w:rsidR="00D30176">
        <w:t>needs to</w:t>
      </w:r>
      <w:r>
        <w:t xml:space="preserve"> be revised.  As part of its evaluation, SED should confer with the G</w:t>
      </w:r>
      <w:r w:rsidR="007900BD">
        <w:t>O</w:t>
      </w:r>
      <w:r w:rsidR="005C3F41">
        <w:t> </w:t>
      </w:r>
      <w:r w:rsidR="007900BD">
        <w:t xml:space="preserve">95 </w:t>
      </w:r>
      <w:r>
        <w:lastRenderedPageBreak/>
        <w:t xml:space="preserve">Rules Committee.  </w:t>
      </w:r>
      <w:r w:rsidR="007900BD">
        <w:rPr>
          <w:rStyle w:val="standardChar"/>
        </w:rPr>
        <w:t>A</w:t>
      </w:r>
      <w:r w:rsidR="009553B1">
        <w:rPr>
          <w:rStyle w:val="standardChar"/>
        </w:rPr>
        <w:t>fter</w:t>
      </w:r>
      <w:r w:rsidR="007900BD">
        <w:rPr>
          <w:rStyle w:val="standardChar"/>
        </w:rPr>
        <w:t xml:space="preserve"> </w:t>
      </w:r>
      <w:r w:rsidR="009C0FFE">
        <w:rPr>
          <w:rStyle w:val="standardChar"/>
        </w:rPr>
        <w:t xml:space="preserve">SED’s evaluation is </w:t>
      </w:r>
      <w:r w:rsidR="0048703C">
        <w:rPr>
          <w:rStyle w:val="standardChar"/>
        </w:rPr>
        <w:t>complet</w:t>
      </w:r>
      <w:r w:rsidR="009C0FFE">
        <w:rPr>
          <w:rStyle w:val="standardChar"/>
        </w:rPr>
        <w:t>e</w:t>
      </w:r>
      <w:r w:rsidR="007900BD">
        <w:rPr>
          <w:rStyle w:val="standardChar"/>
        </w:rPr>
        <w:t xml:space="preserve">, SED should either </w:t>
      </w:r>
      <w:r w:rsidR="005C3F41">
        <w:t>(i)</w:t>
      </w:r>
      <w:r w:rsidR="007900BD">
        <w:t> file a petitio</w:t>
      </w:r>
      <w:r w:rsidR="00C736C0">
        <w:t xml:space="preserve">n for rulemaking pursuant to </w:t>
      </w:r>
      <w:r w:rsidR="00A524CC">
        <w:t xml:space="preserve">Rule </w:t>
      </w:r>
      <w:r w:rsidR="00C736C0">
        <w:t>6.3</w:t>
      </w:r>
      <w:r w:rsidR="007900BD">
        <w:t xml:space="preserve"> of the Commission’s Rules of Practice and Procedure to revise Rule 44.2; or (ii) file and serve notice that SED concludes, as a result if its evaluation, that no changes to Rule 44.2 are necessary.</w:t>
      </w:r>
    </w:p>
    <w:p w:rsidR="0063622F" w:rsidRDefault="0063622F" w:rsidP="00C114B0">
      <w:pPr>
        <w:pStyle w:val="num1"/>
        <w:keepLines w:val="0"/>
        <w:numPr>
          <w:ilvl w:val="0"/>
          <w:numId w:val="9"/>
        </w:numPr>
        <w:rPr>
          <w:rStyle w:val="standardChar"/>
        </w:rPr>
      </w:pPr>
      <w:r>
        <w:t xml:space="preserve">SED’s proposed revisions to Rule 94.5-A </w:t>
      </w:r>
      <w:r w:rsidR="005C3F41">
        <w:t xml:space="preserve">and Rule 94.9 </w:t>
      </w:r>
      <w:r>
        <w:t xml:space="preserve">do not constitute a breach of </w:t>
      </w:r>
      <w:r w:rsidRPr="00FE1DB1">
        <w:t xml:space="preserve">the Settlement Agreement </w:t>
      </w:r>
      <w:r>
        <w:t>that was signed by SED’s predecessor, approved by D.07</w:t>
      </w:r>
      <w:r>
        <w:noBreakHyphen/>
        <w:t xml:space="preserve">02-030, and added to GO 95 as Appendix H.  </w:t>
      </w:r>
    </w:p>
    <w:p w:rsidR="0063622F" w:rsidRPr="0063622F" w:rsidRDefault="0063622F" w:rsidP="00C114B0">
      <w:pPr>
        <w:pStyle w:val="num1"/>
        <w:keepLines w:val="0"/>
        <w:numPr>
          <w:ilvl w:val="0"/>
          <w:numId w:val="9"/>
        </w:numPr>
      </w:pPr>
      <w:r>
        <w:rPr>
          <w:rStyle w:val="standardChar"/>
        </w:rPr>
        <w:t xml:space="preserve">The Commission has authority </w:t>
      </w:r>
      <w:r>
        <w:rPr>
          <w:rFonts w:eastAsia="Calibri"/>
          <w:szCs w:val="24"/>
        </w:rPr>
        <w:t xml:space="preserve">under federal law to regulate pole attachments pursuant to </w:t>
      </w:r>
      <w:r>
        <w:t xml:space="preserve">47 U.S.C. § 224, to </w:t>
      </w:r>
      <w:r>
        <w:rPr>
          <w:rFonts w:eastAsia="Calibri"/>
          <w:szCs w:val="24"/>
        </w:rPr>
        <w:t xml:space="preserve">establish safety regulations for pole attachments pursuant to </w:t>
      </w:r>
      <w:r>
        <w:t>47 U.S.C. § 253(b), and to regulate other terms and conditions of commercial mobile radio services pursuant to 47 U.S.C. § 332(c)(3)</w:t>
      </w:r>
      <w:r>
        <w:rPr>
          <w:rFonts w:eastAsia="Calibri"/>
          <w:szCs w:val="24"/>
        </w:rPr>
        <w:t>.  The scope of the Commission’s authority under these federal statutes encompasses the revisions to Rule</w:t>
      </w:r>
      <w:r w:rsidR="005C3F41">
        <w:rPr>
          <w:rFonts w:eastAsia="Calibri"/>
          <w:szCs w:val="24"/>
        </w:rPr>
        <w:t>s</w:t>
      </w:r>
      <w:r>
        <w:rPr>
          <w:rFonts w:eastAsia="Calibri"/>
          <w:szCs w:val="24"/>
        </w:rPr>
        <w:t xml:space="preserve"> 94.5-A </w:t>
      </w:r>
      <w:r w:rsidR="005C3F41">
        <w:rPr>
          <w:rFonts w:eastAsia="Calibri"/>
          <w:szCs w:val="24"/>
        </w:rPr>
        <w:t xml:space="preserve">and 94.9 </w:t>
      </w:r>
      <w:r>
        <w:rPr>
          <w:rFonts w:eastAsia="Calibri"/>
          <w:szCs w:val="24"/>
        </w:rPr>
        <w:t xml:space="preserve">adopted by today’s decision.  </w:t>
      </w:r>
    </w:p>
    <w:p w:rsidR="0063622F" w:rsidRPr="0063622F" w:rsidRDefault="001970DB" w:rsidP="00C114B0">
      <w:pPr>
        <w:pStyle w:val="num1"/>
        <w:keepLines w:val="0"/>
        <w:numPr>
          <w:ilvl w:val="0"/>
          <w:numId w:val="9"/>
        </w:numPr>
      </w:pPr>
      <w:r>
        <w:t>Rule</w:t>
      </w:r>
      <w:r w:rsidR="005C3F41">
        <w:t>s</w:t>
      </w:r>
      <w:r w:rsidR="00BB3854">
        <w:t xml:space="preserve"> </w:t>
      </w:r>
      <w:r>
        <w:t xml:space="preserve">94.5-A </w:t>
      </w:r>
      <w:r w:rsidR="005C3F41">
        <w:t xml:space="preserve">and 94.9 are </w:t>
      </w:r>
      <w:r>
        <w:t>safety regulation</w:t>
      </w:r>
      <w:r w:rsidR="005C3F41">
        <w:t>s</w:t>
      </w:r>
      <w:r>
        <w:t>, not siting or zoning regulation</w:t>
      </w:r>
      <w:r w:rsidR="005C3F41">
        <w:t>s</w:t>
      </w:r>
      <w:r>
        <w:t xml:space="preserve">.  The revisions to Rule 94.5-A </w:t>
      </w:r>
      <w:r w:rsidR="005C3F41">
        <w:t xml:space="preserve">and Rule 94.9 </w:t>
      </w:r>
      <w:r>
        <w:t xml:space="preserve">adopted by today’s decision do not </w:t>
      </w:r>
      <w:r w:rsidR="009D039C">
        <w:t xml:space="preserve">(i) </w:t>
      </w:r>
      <w:r>
        <w:t>affect the placement, construction, modification</w:t>
      </w:r>
      <w:r w:rsidR="00384DB6">
        <w:t>, or operation</w:t>
      </w:r>
      <w:r>
        <w:t xml:space="preserve"> of wireless facilities</w:t>
      </w:r>
      <w:r w:rsidR="009D039C">
        <w:t xml:space="preserve">, or (ii) </w:t>
      </w:r>
      <w:r w:rsidR="00D53D3C">
        <w:t>regulate RF emissions</w:t>
      </w:r>
      <w:r>
        <w:t xml:space="preserve">.  </w:t>
      </w:r>
    </w:p>
    <w:p w:rsidR="00D4147A" w:rsidRPr="00D4147A" w:rsidRDefault="009D039C" w:rsidP="00C114B0">
      <w:pPr>
        <w:pStyle w:val="num1"/>
        <w:keepLines w:val="0"/>
        <w:numPr>
          <w:ilvl w:val="0"/>
          <w:numId w:val="9"/>
        </w:numPr>
      </w:pPr>
      <w:r>
        <w:rPr>
          <w:rFonts w:eastAsia="Calibri"/>
          <w:szCs w:val="24"/>
        </w:rPr>
        <w:t>T</w:t>
      </w:r>
      <w:r w:rsidR="00482477">
        <w:rPr>
          <w:rFonts w:eastAsia="Calibri"/>
          <w:szCs w:val="24"/>
        </w:rPr>
        <w:t>he adopted Rule 94.6</w:t>
      </w:r>
      <w:r w:rsidR="00482477">
        <w:rPr>
          <w:rFonts w:eastAsia="Calibri"/>
          <w:szCs w:val="24"/>
        </w:rPr>
        <w:noBreakHyphen/>
        <w:t>C does not treat CMRS attachments differently than non-CMRS attachments</w:t>
      </w:r>
      <w:r>
        <w:rPr>
          <w:rFonts w:eastAsia="Calibri"/>
          <w:szCs w:val="24"/>
        </w:rPr>
        <w:t xml:space="preserve"> with respect to </w:t>
      </w:r>
      <w:r w:rsidR="00581447">
        <w:rPr>
          <w:rFonts w:eastAsia="Calibri"/>
          <w:szCs w:val="24"/>
        </w:rPr>
        <w:t>obstruction</w:t>
      </w:r>
      <w:r>
        <w:rPr>
          <w:rFonts w:eastAsia="Calibri"/>
          <w:szCs w:val="24"/>
        </w:rPr>
        <w:t xml:space="preserve"> of climbing space</w:t>
      </w:r>
      <w:r w:rsidR="00482477">
        <w:rPr>
          <w:rFonts w:eastAsia="Calibri"/>
          <w:szCs w:val="24"/>
        </w:rPr>
        <w:t xml:space="preserve">.  </w:t>
      </w:r>
    </w:p>
    <w:p w:rsidR="00D4147A" w:rsidRPr="00D4147A" w:rsidRDefault="00D560C2" w:rsidP="00C114B0">
      <w:pPr>
        <w:pStyle w:val="num1"/>
        <w:keepLines w:val="0"/>
        <w:numPr>
          <w:ilvl w:val="0"/>
          <w:numId w:val="9"/>
        </w:numPr>
      </w:pPr>
      <w:r>
        <w:t>CMRS installations are differently situated than most other pole attachments with respect to interference with fall-</w:t>
      </w:r>
      <w:r w:rsidR="00581447" w:rsidRPr="00581447">
        <w:t xml:space="preserve"> </w:t>
      </w:r>
      <w:r w:rsidR="00581447">
        <w:t>protection gear</w:t>
      </w:r>
      <w:r>
        <w:t xml:space="preserve"> because, u</w:t>
      </w:r>
      <w:r w:rsidR="00482477">
        <w:t>nlike most pole attachments, CMRS installations typically occupy several feet of pole</w:t>
      </w:r>
      <w:r w:rsidR="00581447">
        <w:t> </w:t>
      </w:r>
      <w:r w:rsidR="00482477">
        <w:t xml:space="preserve">space and will cause significant interference with fall-protection </w:t>
      </w:r>
      <w:r w:rsidR="003B0769">
        <w:t>gear</w:t>
      </w:r>
      <w:r w:rsidR="00482477">
        <w:t xml:space="preserve"> unless measures are taken to prevent such interference.  </w:t>
      </w:r>
    </w:p>
    <w:p w:rsidR="00C4645A" w:rsidRDefault="00C4645A" w:rsidP="00C114B0">
      <w:pPr>
        <w:pStyle w:val="num1"/>
        <w:keepLines w:val="0"/>
        <w:numPr>
          <w:ilvl w:val="0"/>
          <w:numId w:val="9"/>
        </w:numPr>
        <w:rPr>
          <w:rStyle w:val="standardChar"/>
        </w:rPr>
      </w:pPr>
      <w:r>
        <w:t xml:space="preserve">SED should develop a proposed rule for inclusion in GO 95 that is similar to new Rule 94.6-C adopted by this Order with respect to </w:t>
      </w:r>
      <w:r w:rsidR="00AC5ED2">
        <w:t xml:space="preserve">interference with </w:t>
      </w:r>
      <w:r w:rsidR="00AC5ED2">
        <w:lastRenderedPageBreak/>
        <w:t>fall</w:t>
      </w:r>
      <w:r w:rsidR="00AC5ED2">
        <w:noBreakHyphen/>
      </w:r>
      <w:r>
        <w:t xml:space="preserve">protection </w:t>
      </w:r>
      <w:r w:rsidR="003B0769">
        <w:t>gear</w:t>
      </w:r>
      <w:r>
        <w:t xml:space="preserve">, but which applies to all pole attachments.  SED’s proposed rule may modify or replace Rule 94.6-C adopted by this Order.  In developing the proposed rule, SED should confer with </w:t>
      </w:r>
      <w:r w:rsidR="004D65A2">
        <w:t xml:space="preserve">the </w:t>
      </w:r>
      <w:r>
        <w:t xml:space="preserve">GO 95 Rules Committee.  SED should submit the proposed rule within </w:t>
      </w:r>
      <w:r w:rsidR="00366990">
        <w:t xml:space="preserve">12 </w:t>
      </w:r>
      <w:r>
        <w:t>months from the effective date of the following Order by filing a petition for rulemaking pursuant to Rule 6.3 of the Commission’s Rules of Practice and Procedure.</w:t>
      </w:r>
    </w:p>
    <w:p w:rsidR="00AE3D26" w:rsidRDefault="002149A2" w:rsidP="00C114B0">
      <w:pPr>
        <w:pStyle w:val="num1"/>
        <w:keepLines w:val="0"/>
        <w:numPr>
          <w:ilvl w:val="0"/>
          <w:numId w:val="9"/>
        </w:numPr>
        <w:rPr>
          <w:rStyle w:val="standardChar"/>
        </w:rPr>
      </w:pPr>
      <w:r>
        <w:rPr>
          <w:rStyle w:val="standardChar"/>
        </w:rPr>
        <w:t xml:space="preserve">To protect public safety, a pole </w:t>
      </w:r>
      <w:r w:rsidR="0048703C">
        <w:rPr>
          <w:rStyle w:val="standardChar"/>
        </w:rPr>
        <w:t>overturning</w:t>
      </w:r>
      <w:r>
        <w:rPr>
          <w:rStyle w:val="standardChar"/>
        </w:rPr>
        <w:t xml:space="preserve"> </w:t>
      </w:r>
      <w:r w:rsidR="0048703C">
        <w:rPr>
          <w:rStyle w:val="standardChar"/>
        </w:rPr>
        <w:t>calculation</w:t>
      </w:r>
      <w:r>
        <w:rPr>
          <w:rStyle w:val="standardChar"/>
        </w:rPr>
        <w:t xml:space="preserve"> should be performed before a pole-top antenna is </w:t>
      </w:r>
      <w:r w:rsidR="00D560C2">
        <w:rPr>
          <w:rStyle w:val="standardChar"/>
        </w:rPr>
        <w:t>attached</w:t>
      </w:r>
      <w:r>
        <w:rPr>
          <w:rStyle w:val="standardChar"/>
        </w:rPr>
        <w:t xml:space="preserve"> to a pole.  </w:t>
      </w:r>
      <w:r w:rsidR="00AE3D26">
        <w:rPr>
          <w:rStyle w:val="standardChar"/>
        </w:rPr>
        <w:t xml:space="preserve"> </w:t>
      </w:r>
    </w:p>
    <w:p w:rsidR="003706AC" w:rsidRDefault="003706AC" w:rsidP="00C114B0">
      <w:pPr>
        <w:pStyle w:val="num1"/>
        <w:keepLines w:val="0"/>
        <w:numPr>
          <w:ilvl w:val="0"/>
          <w:numId w:val="9"/>
        </w:numPr>
        <w:rPr>
          <w:rStyle w:val="standardChar"/>
        </w:rPr>
      </w:pPr>
      <w:r>
        <w:rPr>
          <w:rStyle w:val="standardChar"/>
        </w:rPr>
        <w:t xml:space="preserve">To protect public safety, </w:t>
      </w:r>
      <w:r w:rsidR="000C1576">
        <w:rPr>
          <w:rStyle w:val="standardChar"/>
        </w:rPr>
        <w:t xml:space="preserve">the allowed </w:t>
      </w:r>
      <w:r w:rsidR="00E720A3">
        <w:rPr>
          <w:rStyle w:val="standardChar"/>
        </w:rPr>
        <w:t>pole</w:t>
      </w:r>
      <w:r>
        <w:rPr>
          <w:rStyle w:val="standardChar"/>
        </w:rPr>
        <w:t xml:space="preserve"> overturning moment for the </w:t>
      </w:r>
      <w:r w:rsidR="0048703C">
        <w:rPr>
          <w:rStyle w:val="standardChar"/>
        </w:rPr>
        <w:t>initial</w:t>
      </w:r>
      <w:r>
        <w:rPr>
          <w:rStyle w:val="standardChar"/>
        </w:rPr>
        <w:t xml:space="preserve"> installation of a pole-top antenna </w:t>
      </w:r>
      <w:r w:rsidR="000C1576">
        <w:rPr>
          <w:rStyle w:val="standardChar"/>
        </w:rPr>
        <w:t xml:space="preserve">should use a safety factor of 3.0 for </w:t>
      </w:r>
      <w:r>
        <w:rPr>
          <w:rStyle w:val="standardChar"/>
        </w:rPr>
        <w:t>Grade A pole</w:t>
      </w:r>
      <w:r w:rsidR="000C1576">
        <w:rPr>
          <w:rStyle w:val="standardChar"/>
        </w:rPr>
        <w:t>s</w:t>
      </w:r>
      <w:r>
        <w:rPr>
          <w:rStyle w:val="standardChar"/>
        </w:rPr>
        <w:t xml:space="preserve">, and a safety factor of 2.0 </w:t>
      </w:r>
      <w:r w:rsidR="000C1576">
        <w:rPr>
          <w:rStyle w:val="standardChar"/>
        </w:rPr>
        <w:t>for Gr</w:t>
      </w:r>
      <w:r>
        <w:rPr>
          <w:rStyle w:val="standardChar"/>
        </w:rPr>
        <w:t>ade B and Grade C poles.  After the installation</w:t>
      </w:r>
      <w:r w:rsidR="00D560C2">
        <w:rPr>
          <w:rStyle w:val="standardChar"/>
        </w:rPr>
        <w:t xml:space="preserve"> of the pole-top antenna</w:t>
      </w:r>
      <w:r>
        <w:rPr>
          <w:rStyle w:val="standardChar"/>
        </w:rPr>
        <w:t xml:space="preserve">, the safety factor for the pole structure’s </w:t>
      </w:r>
      <w:r w:rsidR="0048703C">
        <w:rPr>
          <w:rStyle w:val="standardChar"/>
        </w:rPr>
        <w:t>overturning</w:t>
      </w:r>
      <w:r>
        <w:rPr>
          <w:rStyle w:val="standardChar"/>
        </w:rPr>
        <w:t xml:space="preserve"> moment should comply with Rule 44.3.  </w:t>
      </w:r>
    </w:p>
    <w:p w:rsidR="00EF0F8C" w:rsidRDefault="007A1819" w:rsidP="00C114B0">
      <w:pPr>
        <w:pStyle w:val="num1"/>
        <w:keepLines w:val="0"/>
        <w:numPr>
          <w:ilvl w:val="0"/>
          <w:numId w:val="9"/>
        </w:numPr>
        <w:rPr>
          <w:rStyle w:val="standardChar"/>
        </w:rPr>
      </w:pPr>
      <w:r>
        <w:t xml:space="preserve">SED should develop </w:t>
      </w:r>
      <w:r w:rsidR="00634BA1">
        <w:t xml:space="preserve">a proposed </w:t>
      </w:r>
      <w:r w:rsidR="002106BD">
        <w:t xml:space="preserve">GO 95 </w:t>
      </w:r>
      <w:r w:rsidR="00634BA1">
        <w:t>rule that is similar to Rule 94.11 adopted by today’s decision,</w:t>
      </w:r>
      <w:r w:rsidR="00634BA1" w:rsidRPr="00634BA1">
        <w:t xml:space="preserve"> </w:t>
      </w:r>
      <w:r w:rsidR="00634BA1">
        <w:t xml:space="preserve">but which applies to all pole-top installations.  </w:t>
      </w:r>
      <w:r w:rsidR="00E56A2B">
        <w:t xml:space="preserve">The proposed rule may modify or replace Rule 94.11 adopted by today’s decision, and may apply to facilities other than pole-top installations.  In developing the proposed rule, SED should confer with </w:t>
      </w:r>
      <w:r w:rsidR="004D65A2">
        <w:t xml:space="preserve">the </w:t>
      </w:r>
      <w:r w:rsidR="00E56A2B">
        <w:t xml:space="preserve">GO 95 Rules Committee.  </w:t>
      </w:r>
      <w:r w:rsidR="00634BA1">
        <w:t xml:space="preserve">SED should submit the proposed rule within </w:t>
      </w:r>
      <w:r w:rsidR="00366990">
        <w:t xml:space="preserve">12 </w:t>
      </w:r>
      <w:r w:rsidR="00634BA1">
        <w:t xml:space="preserve">months from the effective date of </w:t>
      </w:r>
      <w:r w:rsidR="00E357C9">
        <w:t xml:space="preserve">the following Order </w:t>
      </w:r>
      <w:r w:rsidR="00634BA1">
        <w:t xml:space="preserve">by filing a petition for rulemaking pursuant to Rule 6.3 of the Commission’s Rules of Practice and Procedure.  </w:t>
      </w:r>
    </w:p>
    <w:p w:rsidR="0078328D" w:rsidRDefault="0078328D" w:rsidP="00C114B0">
      <w:pPr>
        <w:pStyle w:val="num1"/>
        <w:keepLines w:val="0"/>
        <w:numPr>
          <w:ilvl w:val="0"/>
          <w:numId w:val="9"/>
        </w:numPr>
        <w:tabs>
          <w:tab w:val="left" w:pos="720"/>
        </w:tabs>
      </w:pPr>
      <w:r>
        <w:t xml:space="preserve">The regulations adopted by </w:t>
      </w:r>
      <w:r w:rsidR="002106BD">
        <w:t>today’s</w:t>
      </w:r>
      <w:r>
        <w:t xml:space="preserve"> decision are exempt from CEQA pursuant to one or more of the statutory exemptions or categorical exemptions identified in the body of this decision.  </w:t>
      </w:r>
    </w:p>
    <w:p w:rsidR="008504A4" w:rsidRPr="00E90F79" w:rsidRDefault="00D560C2" w:rsidP="00C114B0">
      <w:pPr>
        <w:pStyle w:val="num1"/>
        <w:keepLines w:val="0"/>
        <w:numPr>
          <w:ilvl w:val="0"/>
          <w:numId w:val="9"/>
        </w:numPr>
        <w:rPr>
          <w:rStyle w:val="standardChar"/>
        </w:rPr>
      </w:pPr>
      <w:r>
        <w:rPr>
          <w:rStyle w:val="standardChar"/>
        </w:rPr>
        <w:lastRenderedPageBreak/>
        <w:t>The following O</w:t>
      </w:r>
      <w:r w:rsidR="008504A4" w:rsidRPr="00E90F79">
        <w:rPr>
          <w:rStyle w:val="standardChar"/>
        </w:rPr>
        <w:t xml:space="preserve">rder should be effective immediately so </w:t>
      </w:r>
      <w:r w:rsidR="008504A4">
        <w:rPr>
          <w:rStyle w:val="standardChar"/>
        </w:rPr>
        <w:t xml:space="preserve">that the </w:t>
      </w:r>
      <w:r>
        <w:rPr>
          <w:rStyle w:val="standardChar"/>
        </w:rPr>
        <w:t xml:space="preserve">public may benefit expeditiously from the </w:t>
      </w:r>
      <w:r w:rsidR="001A4832">
        <w:rPr>
          <w:rStyle w:val="standardChar"/>
        </w:rPr>
        <w:t>amended ROW Rules and GO 95 saf</w:t>
      </w:r>
      <w:r>
        <w:rPr>
          <w:rStyle w:val="standardChar"/>
        </w:rPr>
        <w:t>ety regulations adopted by the O</w:t>
      </w:r>
      <w:r w:rsidR="001A4832">
        <w:rPr>
          <w:rStyle w:val="standardChar"/>
        </w:rPr>
        <w:t>rder</w:t>
      </w:r>
      <w:r w:rsidR="008504A4">
        <w:rPr>
          <w:rStyle w:val="standardChar"/>
        </w:rPr>
        <w:t xml:space="preserve">.  </w:t>
      </w:r>
    </w:p>
    <w:p w:rsidR="008504A4" w:rsidRDefault="008504A4" w:rsidP="008504A4">
      <w:pPr>
        <w:pStyle w:val="standard"/>
      </w:pPr>
    </w:p>
    <w:p w:rsidR="008504A4" w:rsidRDefault="008504A4" w:rsidP="008504A4">
      <w:pPr>
        <w:pStyle w:val="mainex"/>
        <w:keepNext/>
        <w:keepLines/>
      </w:pPr>
      <w:bookmarkStart w:id="148" w:name="_Toc194913492"/>
      <w:bookmarkStart w:id="149" w:name="_Toc220803785"/>
      <w:bookmarkStart w:id="150" w:name="_Toc424321924"/>
      <w:bookmarkStart w:id="151" w:name="_Toc436647384"/>
      <w:r>
        <w:t>ORDER</w:t>
      </w:r>
      <w:bookmarkEnd w:id="148"/>
      <w:bookmarkEnd w:id="149"/>
      <w:bookmarkEnd w:id="150"/>
      <w:bookmarkEnd w:id="151"/>
    </w:p>
    <w:p w:rsidR="008504A4" w:rsidRDefault="008504A4" w:rsidP="008504A4">
      <w:pPr>
        <w:pStyle w:val="standard"/>
        <w:keepNext/>
        <w:keepLines/>
      </w:pPr>
    </w:p>
    <w:p w:rsidR="008504A4" w:rsidRDefault="008504A4" w:rsidP="008504A4">
      <w:pPr>
        <w:pStyle w:val="standard"/>
        <w:keepNext/>
        <w:keepLines/>
      </w:pPr>
      <w:r>
        <w:rPr>
          <w:b/>
        </w:rPr>
        <w:t>IT IS ORDERED</w:t>
      </w:r>
      <w:r>
        <w:t xml:space="preserve"> that:</w:t>
      </w:r>
    </w:p>
    <w:p w:rsidR="008504A4" w:rsidRDefault="00450D3E" w:rsidP="00C114B0">
      <w:pPr>
        <w:pStyle w:val="num1"/>
        <w:numPr>
          <w:ilvl w:val="0"/>
          <w:numId w:val="10"/>
        </w:numPr>
      </w:pPr>
      <w:r>
        <w:t xml:space="preserve">The </w:t>
      </w:r>
      <w:r w:rsidR="002106BD">
        <w:t>revise</w:t>
      </w:r>
      <w:r w:rsidR="00995BEA">
        <w:t>d</w:t>
      </w:r>
      <w:r>
        <w:t xml:space="preserve"> Right-of-Way Rules </w:t>
      </w:r>
      <w:r w:rsidR="00736C80">
        <w:t xml:space="preserve">(ROW Rules) </w:t>
      </w:r>
      <w:r>
        <w:t>in Appendix</w:t>
      </w:r>
      <w:r w:rsidR="004F7D67">
        <w:t> </w:t>
      </w:r>
      <w:r w:rsidR="008504A4">
        <w:t xml:space="preserve">A </w:t>
      </w:r>
      <w:r>
        <w:t>of this decision are adopted</w:t>
      </w:r>
      <w:r w:rsidR="00736C80">
        <w:t xml:space="preserve">. </w:t>
      </w:r>
      <w:r>
        <w:t xml:space="preserve"> </w:t>
      </w:r>
      <w:r w:rsidR="00D560C2">
        <w:t>T</w:t>
      </w:r>
      <w:r w:rsidR="008B7B47">
        <w:t xml:space="preserve">he </w:t>
      </w:r>
      <w:r w:rsidR="00995BEA">
        <w:t>adopted revisions</w:t>
      </w:r>
      <w:r w:rsidR="008B7B47">
        <w:t xml:space="preserve"> to the ROW Rules shall apply prospectively beginning </w:t>
      </w:r>
      <w:r w:rsidR="00516914">
        <w:t xml:space="preserve">120 days after </w:t>
      </w:r>
      <w:r w:rsidR="008B7B47">
        <w:t xml:space="preserve">the </w:t>
      </w:r>
      <w:r w:rsidR="002106BD">
        <w:t>effective d</w:t>
      </w:r>
      <w:r w:rsidR="008B7B47">
        <w:t xml:space="preserve">ate </w:t>
      </w:r>
      <w:r w:rsidR="00995BEA">
        <w:t>of</w:t>
      </w:r>
      <w:r w:rsidR="008B7B47">
        <w:t xml:space="preserve"> this </w:t>
      </w:r>
      <w:r w:rsidR="00995BEA">
        <w:t>O</w:t>
      </w:r>
      <w:r w:rsidR="002106BD">
        <w:t>rder</w:t>
      </w:r>
      <w:r w:rsidR="00995BEA">
        <w:t>, stated below</w:t>
      </w:r>
      <w:r w:rsidR="008B7B47">
        <w:t xml:space="preserve">.  The adopted </w:t>
      </w:r>
      <w:r w:rsidR="002106BD">
        <w:t>revisions</w:t>
      </w:r>
      <w:r w:rsidR="008B7B47">
        <w:t xml:space="preserve"> to the ROW Rules do not apply to the contractual rates, terms, and conditions for existing </w:t>
      </w:r>
      <w:r w:rsidR="00995BEA">
        <w:t>Commercial Mobile Radio Service installations</w:t>
      </w:r>
      <w:r w:rsidR="008B7B47">
        <w:t xml:space="preserve">.  </w:t>
      </w:r>
    </w:p>
    <w:p w:rsidR="00F23EED" w:rsidRDefault="00F23EED" w:rsidP="008504A4">
      <w:pPr>
        <w:pStyle w:val="num1"/>
      </w:pPr>
      <w:r>
        <w:t xml:space="preserve">Cost-of-service public </w:t>
      </w:r>
      <w:r w:rsidRPr="000E76F8">
        <w:rPr>
          <w:rStyle w:val="standardChar"/>
        </w:rPr>
        <w:t xml:space="preserve">utilities </w:t>
      </w:r>
      <w:r>
        <w:rPr>
          <w:rStyle w:val="standardChar"/>
        </w:rPr>
        <w:t xml:space="preserve">shall </w:t>
      </w:r>
      <w:r w:rsidR="00995BEA">
        <w:rPr>
          <w:rStyle w:val="standardChar"/>
        </w:rPr>
        <w:t xml:space="preserve">record </w:t>
      </w:r>
      <w:r>
        <w:rPr>
          <w:rStyle w:val="standardChar"/>
        </w:rPr>
        <w:t xml:space="preserve">attachment fees for </w:t>
      </w:r>
      <w:r w:rsidR="009553B1">
        <w:rPr>
          <w:rStyle w:val="standardChar"/>
        </w:rPr>
        <w:t>Commercial</w:t>
      </w:r>
      <w:r>
        <w:rPr>
          <w:rStyle w:val="standardChar"/>
        </w:rPr>
        <w:t xml:space="preserve"> Mobile Radio Service (CMRS) facilities </w:t>
      </w:r>
      <w:r w:rsidRPr="000E76F8">
        <w:rPr>
          <w:rStyle w:val="standardChar"/>
        </w:rPr>
        <w:t>as Other Operating Revenues</w:t>
      </w:r>
      <w:r w:rsidR="00995BEA">
        <w:rPr>
          <w:rStyle w:val="standardChar"/>
        </w:rPr>
        <w:t xml:space="preserve">; </w:t>
      </w:r>
      <w:r>
        <w:rPr>
          <w:rStyle w:val="standardChar"/>
        </w:rPr>
        <w:t>record make</w:t>
      </w:r>
      <w:r>
        <w:rPr>
          <w:rStyle w:val="standardChar"/>
        </w:rPr>
        <w:noBreakHyphen/>
        <w:t>ready charges</w:t>
      </w:r>
      <w:r w:rsidRPr="000E76F8">
        <w:rPr>
          <w:rStyle w:val="standardChar"/>
        </w:rPr>
        <w:t xml:space="preserve"> </w:t>
      </w:r>
      <w:r>
        <w:rPr>
          <w:rStyle w:val="standardChar"/>
        </w:rPr>
        <w:t xml:space="preserve">for CMRS facilities </w:t>
      </w:r>
      <w:r w:rsidRPr="000E76F8">
        <w:rPr>
          <w:rStyle w:val="standardChar"/>
        </w:rPr>
        <w:t xml:space="preserve">as </w:t>
      </w:r>
      <w:r>
        <w:rPr>
          <w:rStyle w:val="standardChar"/>
        </w:rPr>
        <w:t xml:space="preserve">Other Operating Revenue </w:t>
      </w:r>
      <w:r w:rsidR="00995BEA">
        <w:rPr>
          <w:rStyle w:val="standardChar"/>
        </w:rPr>
        <w:t xml:space="preserve">if the utility’s associated make-ready costs are expensed; and record make-ready charges for CMRS facilities as </w:t>
      </w:r>
      <w:r w:rsidRPr="000E76F8">
        <w:rPr>
          <w:rStyle w:val="standardChar"/>
        </w:rPr>
        <w:t>contributed plant</w:t>
      </w:r>
      <w:r w:rsidR="00995BEA">
        <w:rPr>
          <w:rStyle w:val="standardChar"/>
        </w:rPr>
        <w:t xml:space="preserve"> if the utility’s associated </w:t>
      </w:r>
      <w:r w:rsidR="00E41DE5">
        <w:rPr>
          <w:rStyle w:val="standardChar"/>
        </w:rPr>
        <w:t>make</w:t>
      </w:r>
      <w:r w:rsidR="00E41DE5">
        <w:rPr>
          <w:rStyle w:val="standardChar"/>
        </w:rPr>
        <w:noBreakHyphen/>
      </w:r>
      <w:r>
        <w:rPr>
          <w:rStyle w:val="standardChar"/>
        </w:rPr>
        <w:t xml:space="preserve">ready </w:t>
      </w:r>
      <w:r w:rsidR="00995BEA">
        <w:rPr>
          <w:rStyle w:val="standardChar"/>
        </w:rPr>
        <w:t>costs</w:t>
      </w:r>
      <w:r>
        <w:rPr>
          <w:rStyle w:val="standardChar"/>
        </w:rPr>
        <w:t xml:space="preserve"> are capitalized</w:t>
      </w:r>
      <w:r w:rsidRPr="000E76F8">
        <w:rPr>
          <w:rStyle w:val="standardChar"/>
        </w:rPr>
        <w:t>.</w:t>
      </w:r>
      <w:r>
        <w:t xml:space="preserve"> </w:t>
      </w:r>
    </w:p>
    <w:p w:rsidR="001D3AA3" w:rsidRDefault="00995BEA" w:rsidP="008504A4">
      <w:pPr>
        <w:pStyle w:val="num1"/>
      </w:pPr>
      <w:r>
        <w:t>General Order (GO) 95 is revised to include the new and amended rules in Appendix C of this decision.  The Commission’s Safety and Enforcement Division shall revise GO 95 to incorporate the new and amended rules</w:t>
      </w:r>
      <w:r w:rsidR="00D560C2">
        <w:t>,</w:t>
      </w:r>
      <w:r>
        <w:t xml:space="preserve"> and publish the revised GO 95 on the Commission’s website within 60 days from the </w:t>
      </w:r>
      <w:r w:rsidR="00C736C0">
        <w:t xml:space="preserve">effective date of this Order, stated below.  </w:t>
      </w:r>
      <w:r>
        <w:t xml:space="preserve">The adopted </w:t>
      </w:r>
      <w:r w:rsidR="009553B1">
        <w:t>amendments</w:t>
      </w:r>
      <w:r>
        <w:t xml:space="preserve"> to GO 95 include ministerial changes </w:t>
      </w:r>
      <w:r w:rsidR="00581447">
        <w:t xml:space="preserve">necessary to integrate the new and amended rules, </w:t>
      </w:r>
      <w:r>
        <w:t xml:space="preserve">such as </w:t>
      </w:r>
      <w:r w:rsidR="00D560C2">
        <w:t xml:space="preserve">revised </w:t>
      </w:r>
      <w:r w:rsidR="00C736C0">
        <w:t>pagination</w:t>
      </w:r>
      <w:r w:rsidR="00E357C9">
        <w:t xml:space="preserve">.  </w:t>
      </w:r>
      <w:r>
        <w:t xml:space="preserve"> </w:t>
      </w:r>
    </w:p>
    <w:p w:rsidR="0061248A" w:rsidRDefault="0061248A" w:rsidP="0061248A">
      <w:pPr>
        <w:pStyle w:val="num1"/>
      </w:pPr>
      <w:r>
        <w:lastRenderedPageBreak/>
        <w:t xml:space="preserve">The </w:t>
      </w:r>
      <w:r w:rsidR="00C736C0">
        <w:t xml:space="preserve">amendments to </w:t>
      </w:r>
      <w:r>
        <w:t xml:space="preserve">General Order 95 adopted by </w:t>
      </w:r>
      <w:r w:rsidR="00E357C9">
        <w:t xml:space="preserve">this Order </w:t>
      </w:r>
      <w:r>
        <w:t>shall be</w:t>
      </w:r>
      <w:r w:rsidR="00C736C0">
        <w:t>come</w:t>
      </w:r>
      <w:r>
        <w:t xml:space="preserve"> effective </w:t>
      </w:r>
      <w:r w:rsidR="00C736C0">
        <w:t>60 days from the effective date of this Order, stated below</w:t>
      </w:r>
      <w:r>
        <w:t xml:space="preserve">.  </w:t>
      </w:r>
      <w:r w:rsidR="007438C1">
        <w:t>Pole owners and pole attachers may implement the adopted amendments sooner.</w:t>
      </w:r>
    </w:p>
    <w:p w:rsidR="000227BF" w:rsidRDefault="00711A53" w:rsidP="000227BF">
      <w:pPr>
        <w:pStyle w:val="num1"/>
        <w:keepNext/>
      </w:pPr>
      <w:r>
        <w:t xml:space="preserve">The Commission’s Safety and Enforcement </w:t>
      </w:r>
      <w:r w:rsidR="0048703C">
        <w:t>Division</w:t>
      </w:r>
      <w:r>
        <w:t xml:space="preserve"> (SED) shall</w:t>
      </w:r>
      <w:r w:rsidR="000227BF">
        <w:t>:</w:t>
      </w:r>
    </w:p>
    <w:p w:rsidR="000227BF" w:rsidRDefault="000227BF" w:rsidP="007438C1">
      <w:pPr>
        <w:pStyle w:val="num1"/>
        <w:keepNext/>
        <w:numPr>
          <w:ilvl w:val="0"/>
          <w:numId w:val="0"/>
        </w:numPr>
        <w:tabs>
          <w:tab w:val="left" w:pos="1170"/>
        </w:tabs>
        <w:spacing w:after="60" w:line="240" w:lineRule="auto"/>
        <w:ind w:left="1166" w:right="720" w:hanging="446"/>
      </w:pPr>
      <w:r>
        <w:t xml:space="preserve">i. </w:t>
      </w:r>
      <w:r w:rsidR="00711A53">
        <w:t xml:space="preserve"> </w:t>
      </w:r>
      <w:r>
        <w:tab/>
        <w:t>E</w:t>
      </w:r>
      <w:r w:rsidR="00711A53">
        <w:t>valuate whether the definition of “material increase” in Rule</w:t>
      </w:r>
      <w:r>
        <w:t> </w:t>
      </w:r>
      <w:r w:rsidR="00711A53">
        <w:t>44.2 of General Order </w:t>
      </w:r>
      <w:r>
        <w:t xml:space="preserve">(GO) </w:t>
      </w:r>
      <w:r w:rsidR="00711A53">
        <w:t xml:space="preserve">95 should be revised.  </w:t>
      </w:r>
    </w:p>
    <w:p w:rsidR="00B7000F" w:rsidRDefault="000227BF" w:rsidP="00D560C2">
      <w:pPr>
        <w:pStyle w:val="num1"/>
        <w:numPr>
          <w:ilvl w:val="0"/>
          <w:numId w:val="0"/>
        </w:numPr>
        <w:tabs>
          <w:tab w:val="left" w:pos="1170"/>
        </w:tabs>
        <w:spacing w:after="60" w:line="240" w:lineRule="auto"/>
        <w:ind w:left="1166" w:right="720" w:hanging="446"/>
      </w:pPr>
      <w:r>
        <w:t xml:space="preserve">ii. </w:t>
      </w:r>
      <w:r>
        <w:tab/>
      </w:r>
      <w:r w:rsidR="00024E3E">
        <w:t xml:space="preserve">Develop a proposed rule for inclusion in GO 95 that is similar to new Rule 94.6-C adopted by this Order with respect to interference with fall-protection </w:t>
      </w:r>
      <w:r w:rsidR="003B0769">
        <w:t>gear</w:t>
      </w:r>
      <w:r w:rsidR="00024E3E">
        <w:t>, but which applies to all pole attachments.  SED’s proposed rule may modify or replace Rule 94.6-C adopted by this Order.</w:t>
      </w:r>
    </w:p>
    <w:p w:rsidR="000227BF" w:rsidRDefault="00B7000F" w:rsidP="00D560C2">
      <w:pPr>
        <w:pStyle w:val="num1"/>
        <w:numPr>
          <w:ilvl w:val="0"/>
          <w:numId w:val="0"/>
        </w:numPr>
        <w:tabs>
          <w:tab w:val="left" w:pos="1170"/>
        </w:tabs>
        <w:spacing w:after="60" w:line="240" w:lineRule="auto"/>
        <w:ind w:left="1166" w:right="720" w:hanging="446"/>
      </w:pPr>
      <w:r>
        <w:t xml:space="preserve">iii. </w:t>
      </w:r>
      <w:r>
        <w:tab/>
      </w:r>
      <w:r w:rsidR="000227BF">
        <w:t xml:space="preserve">Develop a proposed rule for inclusion in GO 95 that is similar to </w:t>
      </w:r>
      <w:r w:rsidR="00D560C2">
        <w:t xml:space="preserve">new </w:t>
      </w:r>
      <w:r w:rsidR="000227BF">
        <w:t xml:space="preserve">Rule 94.11 adopted by </w:t>
      </w:r>
      <w:r w:rsidR="00E357C9">
        <w:t>this Order</w:t>
      </w:r>
      <w:r w:rsidR="000227BF">
        <w:t xml:space="preserve">, but which applies to all pole-top installations.  </w:t>
      </w:r>
      <w:r w:rsidR="00D560C2">
        <w:t xml:space="preserve">SED’s </w:t>
      </w:r>
      <w:r w:rsidR="000227BF">
        <w:t xml:space="preserve">proposed rule may modify or replace Rule 94.11 adopted by </w:t>
      </w:r>
      <w:r w:rsidR="00E357C9">
        <w:t>this Order</w:t>
      </w:r>
      <w:r w:rsidR="000227BF">
        <w:t xml:space="preserve">, and may apply to facilities other than pole-top installations. </w:t>
      </w:r>
    </w:p>
    <w:p w:rsidR="000227BF" w:rsidRDefault="000227BF" w:rsidP="000227BF">
      <w:pPr>
        <w:pStyle w:val="num1"/>
        <w:numPr>
          <w:ilvl w:val="0"/>
          <w:numId w:val="0"/>
        </w:numPr>
        <w:tabs>
          <w:tab w:val="left" w:pos="1170"/>
        </w:tabs>
        <w:spacing w:after="60" w:line="240" w:lineRule="auto"/>
        <w:ind w:left="1166" w:right="720" w:hanging="446"/>
      </w:pPr>
      <w:r>
        <w:t>i</w:t>
      </w:r>
      <w:r w:rsidR="00B7000F">
        <w:t>v</w:t>
      </w:r>
      <w:r>
        <w:t xml:space="preserve">. </w:t>
      </w:r>
      <w:r>
        <w:tab/>
        <w:t>Confer with the GO 95 Rules Commi</w:t>
      </w:r>
      <w:r w:rsidR="00D560C2">
        <w:t>ttee</w:t>
      </w:r>
      <w:r>
        <w:t xml:space="preserve"> with respect to Items i. ii</w:t>
      </w:r>
      <w:r w:rsidR="00B7000F">
        <w:t>., and iii.</w:t>
      </w:r>
      <w:r>
        <w:t xml:space="preserve"> above.  </w:t>
      </w:r>
    </w:p>
    <w:p w:rsidR="000227BF" w:rsidRDefault="003956CE" w:rsidP="000227BF">
      <w:pPr>
        <w:pStyle w:val="num1"/>
        <w:numPr>
          <w:ilvl w:val="0"/>
          <w:numId w:val="0"/>
        </w:numPr>
        <w:tabs>
          <w:tab w:val="left" w:pos="1170"/>
        </w:tabs>
        <w:spacing w:after="60" w:line="240" w:lineRule="auto"/>
        <w:ind w:left="1166" w:right="720" w:hanging="446"/>
      </w:pPr>
      <w:r>
        <w:t xml:space="preserve">v. </w:t>
      </w:r>
      <w:r>
        <w:tab/>
        <w:t xml:space="preserve">Within </w:t>
      </w:r>
      <w:r w:rsidR="00366990">
        <w:t xml:space="preserve">12 </w:t>
      </w:r>
      <w:r>
        <w:t>months from the effective dat</w:t>
      </w:r>
      <w:r w:rsidR="00B90A2C">
        <w:t xml:space="preserve">e of this Order, stated below, </w:t>
      </w:r>
      <w:r w:rsidR="00581447">
        <w:t>f</w:t>
      </w:r>
      <w:r>
        <w:t>ile a petition for rulemaking pursuant to Rule 6.3 of the Commission’s Rules of Practice and Procedure</w:t>
      </w:r>
      <w:r w:rsidR="00D560C2">
        <w:t xml:space="preserve">.  The petition shall seek </w:t>
      </w:r>
      <w:r>
        <w:t xml:space="preserve">to (A) revise the definition of “material increase” in Rule 44.2, </w:t>
      </w:r>
      <w:r w:rsidR="00B055D9">
        <w:t xml:space="preserve">and </w:t>
      </w:r>
      <w:r>
        <w:t xml:space="preserve">(B) </w:t>
      </w:r>
      <w:r w:rsidR="00BC6BFD">
        <w:t>add</w:t>
      </w:r>
      <w:r>
        <w:t xml:space="preserve"> new rule</w:t>
      </w:r>
      <w:r w:rsidR="00B055D9">
        <w:t>s</w:t>
      </w:r>
      <w:r>
        <w:t xml:space="preserve"> </w:t>
      </w:r>
      <w:r w:rsidR="00BC6BFD">
        <w:t>to</w:t>
      </w:r>
      <w:r w:rsidR="0002558F">
        <w:t xml:space="preserve"> GO</w:t>
      </w:r>
      <w:r w:rsidR="00D560C2">
        <w:t> </w:t>
      </w:r>
      <w:r w:rsidR="0002558F">
        <w:t xml:space="preserve">95 </w:t>
      </w:r>
      <w:r w:rsidR="00BC6BFD">
        <w:t>as described in Item ii.</w:t>
      </w:r>
      <w:r w:rsidR="00B055D9">
        <w:t xml:space="preserve"> and </w:t>
      </w:r>
      <w:r w:rsidR="003865AE">
        <w:t>Item iii., above</w:t>
      </w:r>
      <w:r w:rsidR="00BC6BFD">
        <w:t xml:space="preserve">.  </w:t>
      </w:r>
      <w:r w:rsidR="00D560C2">
        <w:t xml:space="preserve">SED may file the petition alone or with other parties.  </w:t>
      </w:r>
      <w:r>
        <w:t xml:space="preserve">In lieu of including Item v.A in the petition, SED may file and serve notice in </w:t>
      </w:r>
      <w:r w:rsidR="00BC6BFD">
        <w:t xml:space="preserve">Rulemaking 14-05-001 </w:t>
      </w:r>
      <w:r>
        <w:t>that SED concludes, as a result of its evaluation performed pursuant to Item</w:t>
      </w:r>
      <w:r w:rsidR="00E357C9">
        <w:t> </w:t>
      </w:r>
      <w:r>
        <w:t>i., above, that no changes to Rule 44.2 are necessary.</w:t>
      </w:r>
    </w:p>
    <w:p w:rsidR="003956CE" w:rsidRDefault="003956CE" w:rsidP="003956CE">
      <w:pPr>
        <w:pStyle w:val="num1"/>
        <w:numPr>
          <w:ilvl w:val="0"/>
          <w:numId w:val="0"/>
        </w:numPr>
        <w:tabs>
          <w:tab w:val="left" w:pos="1170"/>
        </w:tabs>
        <w:spacing w:after="120" w:line="240" w:lineRule="auto"/>
        <w:ind w:left="1166" w:right="720" w:hanging="446"/>
      </w:pPr>
      <w:r>
        <w:t>v</w:t>
      </w:r>
      <w:r w:rsidR="00B7000F">
        <w:t>i</w:t>
      </w:r>
      <w:r>
        <w:t xml:space="preserve">. </w:t>
      </w:r>
      <w:r>
        <w:tab/>
        <w:t>Serve the petition identified in Item v., above, on all entities listed in Order Instituting Rulemaking 15-05-006, Appendices B through E, and the service lists for Rulemaking (R.) 15-05-006, R.14</w:t>
      </w:r>
      <w:r w:rsidR="00D560C2">
        <w:noBreakHyphen/>
      </w:r>
      <w:r>
        <w:t>05</w:t>
      </w:r>
      <w:r>
        <w:noBreakHyphen/>
        <w:t>001, R.08</w:t>
      </w:r>
      <w:r>
        <w:noBreakHyphen/>
        <w:t>11-005, R.07</w:t>
      </w:r>
      <w:r>
        <w:noBreakHyphen/>
        <w:t>12</w:t>
      </w:r>
      <w:r>
        <w:noBreakHyphen/>
        <w:t>001, and R.05</w:t>
      </w:r>
      <w:r>
        <w:noBreakHyphen/>
        <w:t>02-023.</w:t>
      </w:r>
    </w:p>
    <w:p w:rsidR="008504A4" w:rsidRDefault="008504A4" w:rsidP="008504A4">
      <w:pPr>
        <w:pStyle w:val="num1"/>
      </w:pPr>
      <w:r>
        <w:t xml:space="preserve">Rulemaking 14-05-001 is closed. </w:t>
      </w:r>
    </w:p>
    <w:p w:rsidR="008504A4" w:rsidRDefault="008504A4" w:rsidP="008504A4">
      <w:pPr>
        <w:pStyle w:val="standard"/>
        <w:keepNext/>
      </w:pPr>
      <w:r>
        <w:t>This Order is effective today.</w:t>
      </w:r>
    </w:p>
    <w:p w:rsidR="00A83655" w:rsidRPr="003E5445" w:rsidRDefault="009A5467" w:rsidP="009F56A7">
      <w:pPr>
        <w:spacing w:line="360" w:lineRule="auto"/>
        <w:ind w:firstLine="720"/>
      </w:pPr>
      <w:r w:rsidRPr="009A5467">
        <w:t xml:space="preserve">Dated </w:t>
      </w:r>
      <w:r w:rsidRPr="009A5467">
        <w:rPr>
          <w:u w:val="single"/>
        </w:rPr>
        <w:tab/>
      </w:r>
      <w:r w:rsidRPr="009A5467">
        <w:rPr>
          <w:u w:val="single"/>
        </w:rPr>
        <w:tab/>
      </w:r>
      <w:r w:rsidRPr="009A5467">
        <w:rPr>
          <w:u w:val="single"/>
        </w:rPr>
        <w:tab/>
      </w:r>
      <w:r w:rsidRPr="009A5467">
        <w:rPr>
          <w:u w:val="single"/>
        </w:rPr>
        <w:tab/>
      </w:r>
      <w:r w:rsidRPr="009A5467">
        <w:rPr>
          <w:u w:val="single"/>
        </w:rPr>
        <w:tab/>
      </w:r>
      <w:r w:rsidRPr="009A5467">
        <w:t>, at San Francisco, California.</w:t>
      </w:r>
    </w:p>
    <w:p w:rsidR="00A83655" w:rsidRPr="003E5445" w:rsidRDefault="00A83655" w:rsidP="003E5445">
      <w:pPr>
        <w:pStyle w:val="standard"/>
        <w:spacing w:after="120" w:line="240" w:lineRule="auto"/>
        <w:ind w:firstLine="0"/>
        <w:sectPr w:rsidR="00A83655" w:rsidRPr="003E5445" w:rsidSect="00DA4908">
          <w:footerReference w:type="default" r:id="rId32"/>
          <w:pgSz w:w="12240" w:h="15840" w:code="1"/>
          <w:pgMar w:top="1440" w:right="1440" w:bottom="1440" w:left="1440" w:header="720" w:footer="720" w:gutter="0"/>
          <w:pgNumType w:start="2"/>
          <w:cols w:space="720"/>
          <w:docGrid w:linePitch="360"/>
        </w:sectPr>
      </w:pPr>
    </w:p>
    <w:p w:rsidR="000B0AA5" w:rsidRDefault="000B0AA5">
      <w:pPr>
        <w:pStyle w:val="standard"/>
      </w:pPr>
    </w:p>
    <w:p w:rsidR="000B0AA5" w:rsidRDefault="000B0AA5">
      <w:pPr>
        <w:pStyle w:val="standard"/>
        <w:spacing w:line="240" w:lineRule="auto"/>
      </w:pPr>
      <w:bookmarkStart w:id="152" w:name="_Toc268621592"/>
    </w:p>
    <w:p w:rsidR="000B0AA5" w:rsidRPr="00E9643A" w:rsidRDefault="00096A5A" w:rsidP="00A845DC">
      <w:pPr>
        <w:pStyle w:val="Heading9"/>
      </w:pPr>
      <w:bookmarkStart w:id="153" w:name="_Toc384302404"/>
      <w:bookmarkStart w:id="154" w:name="_Toc424322168"/>
      <w:r>
        <w:t xml:space="preserve">  </w:t>
      </w:r>
      <w:bookmarkStart w:id="155" w:name="_Toc436647385"/>
      <w:r w:rsidR="00FF568C" w:rsidRPr="00096A5A">
        <w:t>Adopted</w:t>
      </w:r>
      <w:r w:rsidR="00FF568C">
        <w:t xml:space="preserve"> Amendments to </w:t>
      </w:r>
      <w:r w:rsidR="004E4F42">
        <w:t xml:space="preserve">the </w:t>
      </w:r>
      <w:r w:rsidR="00D81B0E">
        <w:t>ROW Rules</w:t>
      </w:r>
      <w:bookmarkEnd w:id="153"/>
      <w:bookmarkEnd w:id="154"/>
      <w:bookmarkEnd w:id="155"/>
    </w:p>
    <w:p w:rsidR="000B0AA5" w:rsidRDefault="000B0AA5">
      <w:pPr>
        <w:pStyle w:val="standard"/>
        <w:spacing w:line="240" w:lineRule="auto"/>
      </w:pPr>
    </w:p>
    <w:p w:rsidR="000B0AA5" w:rsidRDefault="003C650F" w:rsidP="004E4F42">
      <w:pPr>
        <w:pStyle w:val="standard"/>
        <w:spacing w:line="240" w:lineRule="auto"/>
        <w:ind w:left="540" w:right="540" w:firstLine="0"/>
        <w:jc w:val="center"/>
      </w:pPr>
      <w:r>
        <w:t>Beginning on page A-</w:t>
      </w:r>
      <w:r w:rsidR="00BC6BFD">
        <w:t>3</w:t>
      </w:r>
      <w:r>
        <w:t>, t</w:t>
      </w:r>
      <w:r w:rsidR="00FF568C">
        <w:t xml:space="preserve">he amendments to the Right-of-Way Rules adopted by today’s decision </w:t>
      </w:r>
      <w:r w:rsidR="000B0AA5">
        <w:t xml:space="preserve">are shown </w:t>
      </w:r>
      <w:r w:rsidR="009B19F9">
        <w:t>with</w:t>
      </w:r>
      <w:r w:rsidR="000B0AA5">
        <w:t xml:space="preserve"> </w:t>
      </w:r>
      <w:r w:rsidR="00094215">
        <w:t>bold font</w:t>
      </w:r>
      <w:r w:rsidR="00FF568C">
        <w:t xml:space="preserve"> and </w:t>
      </w:r>
      <w:r w:rsidR="00094215">
        <w:t>underline for new text</w:t>
      </w:r>
      <w:r w:rsidR="009B19F9">
        <w:t>,</w:t>
      </w:r>
      <w:r w:rsidR="00094215">
        <w:t xml:space="preserve"> and </w:t>
      </w:r>
      <w:r w:rsidR="001C5AFC">
        <w:t xml:space="preserve">bold font and </w:t>
      </w:r>
      <w:r w:rsidR="000B0AA5">
        <w:t>strike</w:t>
      </w:r>
      <w:r w:rsidR="00094215">
        <w:t>through for</w:t>
      </w:r>
      <w:r w:rsidR="00FF568C">
        <w:t> </w:t>
      </w:r>
      <w:r w:rsidR="00094215">
        <w:t>deleted text</w:t>
      </w:r>
      <w:r w:rsidR="000B0AA5">
        <w:t>.</w:t>
      </w:r>
    </w:p>
    <w:p w:rsidR="00094215" w:rsidRDefault="00094215" w:rsidP="004E4F42">
      <w:pPr>
        <w:pStyle w:val="standard"/>
        <w:spacing w:line="240" w:lineRule="auto"/>
        <w:ind w:left="540" w:right="540" w:firstLine="0"/>
        <w:jc w:val="center"/>
      </w:pPr>
    </w:p>
    <w:p w:rsidR="009F465C" w:rsidRDefault="009F465C" w:rsidP="009F465C">
      <w:pPr>
        <w:pStyle w:val="standard"/>
        <w:spacing w:line="240" w:lineRule="auto"/>
        <w:ind w:left="540" w:right="540" w:firstLine="0"/>
        <w:jc w:val="center"/>
      </w:pPr>
      <w:r>
        <w:t xml:space="preserve">Beginning on page A-23, the amendments to the Right-of-Way Rules adopted by today’s decision are shown in their final form.  </w:t>
      </w:r>
    </w:p>
    <w:p w:rsidR="009F465C" w:rsidRDefault="009F465C" w:rsidP="009F465C">
      <w:pPr>
        <w:pStyle w:val="standard"/>
        <w:spacing w:line="240" w:lineRule="auto"/>
        <w:ind w:left="540" w:right="540" w:firstLine="0"/>
        <w:jc w:val="center"/>
      </w:pPr>
    </w:p>
    <w:p w:rsidR="00B40EF9" w:rsidRDefault="00B40EF9" w:rsidP="004E4F42">
      <w:pPr>
        <w:pStyle w:val="standard"/>
        <w:spacing w:line="240" w:lineRule="auto"/>
        <w:ind w:left="540" w:right="540" w:firstLine="0"/>
        <w:jc w:val="center"/>
      </w:pPr>
    </w:p>
    <w:p w:rsidR="009E4563" w:rsidRPr="009D1EC6" w:rsidRDefault="009E4563" w:rsidP="009D1EC6"/>
    <w:p w:rsidR="000B0AA5" w:rsidRDefault="000B0AA5">
      <w:pPr>
        <w:pStyle w:val="standard"/>
        <w:spacing w:line="240" w:lineRule="auto"/>
      </w:pPr>
    </w:p>
    <w:p w:rsidR="00094215" w:rsidRDefault="00094215">
      <w:pPr>
        <w:pStyle w:val="standard"/>
        <w:spacing w:line="240" w:lineRule="auto"/>
        <w:sectPr w:rsidR="00094215" w:rsidSect="0035469A">
          <w:footerReference w:type="default" r:id="rId33"/>
          <w:pgSz w:w="12240" w:h="15840"/>
          <w:pgMar w:top="1440" w:right="1440" w:bottom="1440" w:left="1440" w:header="720" w:footer="720" w:gutter="0"/>
          <w:pgNumType w:start="1" w:chapStyle="9"/>
          <w:cols w:space="720"/>
        </w:sectPr>
      </w:pPr>
    </w:p>
    <w:p w:rsidR="00094215" w:rsidRDefault="00094215" w:rsidP="006A6FF6">
      <w:pPr>
        <w:pStyle w:val="standard"/>
        <w:spacing w:line="240" w:lineRule="auto"/>
        <w:ind w:firstLine="0"/>
      </w:pPr>
    </w:p>
    <w:p w:rsidR="00D313F5" w:rsidRDefault="0064591C" w:rsidP="0064591C">
      <w:pPr>
        <w:pStyle w:val="standard"/>
        <w:spacing w:line="240" w:lineRule="auto"/>
        <w:ind w:firstLine="0"/>
        <w:jc w:val="center"/>
      </w:pPr>
      <w:r>
        <w:t>Adopted Amendments – Redline Form</w:t>
      </w:r>
    </w:p>
    <w:p w:rsidR="0064591C" w:rsidRPr="006A6FF6" w:rsidRDefault="0064591C" w:rsidP="006A6FF6">
      <w:pPr>
        <w:pStyle w:val="standard"/>
        <w:spacing w:line="240" w:lineRule="auto"/>
        <w:ind w:firstLine="0"/>
      </w:pPr>
    </w:p>
    <w:p w:rsidR="00D313F5" w:rsidRPr="006A6FF6" w:rsidRDefault="00D313F5" w:rsidP="006A6FF6">
      <w:pPr>
        <w:pStyle w:val="standard"/>
        <w:spacing w:line="240" w:lineRule="auto"/>
        <w:ind w:firstLine="0"/>
        <w:jc w:val="center"/>
        <w:rPr>
          <w:b/>
          <w:u w:val="single"/>
        </w:rPr>
      </w:pPr>
      <w:r w:rsidRPr="006A6FF6">
        <w:rPr>
          <w:b/>
          <w:u w:val="single"/>
        </w:rPr>
        <w:t xml:space="preserve">COMMISSION-ADOPTED RULES GOVERNING ACCESS </w:t>
      </w:r>
    </w:p>
    <w:p w:rsidR="00D313F5" w:rsidRPr="006A6FF6" w:rsidRDefault="00D313F5" w:rsidP="006A6FF6">
      <w:pPr>
        <w:pStyle w:val="standard"/>
        <w:spacing w:line="240" w:lineRule="auto"/>
        <w:ind w:firstLine="0"/>
        <w:jc w:val="center"/>
        <w:rPr>
          <w:b/>
          <w:u w:val="single"/>
        </w:rPr>
      </w:pPr>
      <w:r w:rsidRPr="006A6FF6">
        <w:rPr>
          <w:b/>
          <w:u w:val="single"/>
        </w:rPr>
        <w:t xml:space="preserve">TO RIGHTS-OF-WAY AND SUPPORT STRUCTURES OF </w:t>
      </w:r>
    </w:p>
    <w:p w:rsidR="00D313F5" w:rsidRPr="006A6FF6" w:rsidRDefault="00D313F5" w:rsidP="006A6FF6">
      <w:pPr>
        <w:pStyle w:val="standard"/>
        <w:spacing w:line="240" w:lineRule="auto"/>
        <w:ind w:firstLine="0"/>
        <w:jc w:val="center"/>
        <w:rPr>
          <w:b/>
          <w:u w:val="single"/>
        </w:rPr>
      </w:pPr>
      <w:r w:rsidRPr="006A6FF6">
        <w:rPr>
          <w:b/>
          <w:u w:val="single"/>
        </w:rPr>
        <w:t>INCUMBENT TELEPHONE AND ELECTRIC UTILITIES</w:t>
      </w:r>
    </w:p>
    <w:p w:rsidR="00D313F5" w:rsidRDefault="00D313F5" w:rsidP="006A6FF6">
      <w:pPr>
        <w:pStyle w:val="standard"/>
        <w:spacing w:line="240" w:lineRule="auto"/>
        <w:ind w:firstLine="0"/>
      </w:pPr>
    </w:p>
    <w:p w:rsidR="00D313F5" w:rsidRPr="006A6FF6" w:rsidRDefault="006A6FF6" w:rsidP="005979F6">
      <w:pPr>
        <w:pStyle w:val="standard"/>
        <w:spacing w:after="60" w:line="240" w:lineRule="auto"/>
        <w:ind w:firstLine="0"/>
      </w:pPr>
      <w:r>
        <w:t xml:space="preserve">I. </w:t>
      </w:r>
      <w:r>
        <w:tab/>
      </w:r>
      <w:r w:rsidRPr="006A6FF6">
        <w:t>PURPOSE AND SCOPE OF RULES</w:t>
      </w:r>
    </w:p>
    <w:p w:rsidR="00D313F5" w:rsidRPr="006A6FF6" w:rsidRDefault="006A6FF6" w:rsidP="005979F6">
      <w:pPr>
        <w:pStyle w:val="standard"/>
        <w:spacing w:after="60" w:line="240" w:lineRule="auto"/>
        <w:ind w:firstLine="0"/>
      </w:pPr>
      <w:r>
        <w:t xml:space="preserve">II. </w:t>
      </w:r>
      <w:r>
        <w:tab/>
      </w:r>
      <w:r w:rsidRPr="006A6FF6">
        <w:t>DEFINITIONS</w:t>
      </w:r>
    </w:p>
    <w:p w:rsidR="00D313F5" w:rsidRPr="002432F5" w:rsidRDefault="002432F5" w:rsidP="005979F6">
      <w:pPr>
        <w:pStyle w:val="standard"/>
        <w:spacing w:after="60" w:line="240" w:lineRule="auto"/>
        <w:ind w:firstLine="0"/>
      </w:pPr>
      <w:r>
        <w:t xml:space="preserve">III. </w:t>
      </w:r>
      <w:r>
        <w:tab/>
      </w:r>
      <w:r w:rsidR="00D313F5" w:rsidRPr="002432F5">
        <w:t>REQUESTS FOR INFORMATION</w:t>
      </w:r>
    </w:p>
    <w:p w:rsidR="00D313F5" w:rsidRPr="002432F5" w:rsidRDefault="002432F5" w:rsidP="002432F5">
      <w:pPr>
        <w:pStyle w:val="standard"/>
        <w:tabs>
          <w:tab w:val="left" w:pos="720"/>
        </w:tabs>
        <w:spacing w:line="240" w:lineRule="auto"/>
        <w:ind w:left="720" w:hanging="720"/>
      </w:pPr>
      <w:r>
        <w:t xml:space="preserve">IV. </w:t>
      </w:r>
      <w:r>
        <w:tab/>
      </w:r>
      <w:r w:rsidR="00D313F5" w:rsidRPr="002432F5">
        <w:t>REQUESTS FOR ACCESS TO RIGHTS OF WAY AND SUPPORT STRUCTURES</w:t>
      </w:r>
    </w:p>
    <w:p w:rsidR="00D313F5" w:rsidRPr="00A02C04" w:rsidRDefault="00A02C04" w:rsidP="00A02C04">
      <w:pPr>
        <w:pStyle w:val="standard"/>
        <w:tabs>
          <w:tab w:val="left" w:pos="1440"/>
        </w:tabs>
        <w:spacing w:line="240" w:lineRule="auto"/>
        <w:ind w:left="1440" w:hanging="540"/>
      </w:pPr>
      <w:r>
        <w:t xml:space="preserve">A. </w:t>
      </w:r>
      <w:r>
        <w:tab/>
      </w:r>
      <w:r w:rsidR="00D313F5" w:rsidRPr="00A02C04">
        <w:t>INFORMATION REQUIREMENTS OF REQUESTS FOR ACCESS</w:t>
      </w:r>
    </w:p>
    <w:p w:rsidR="00D313F5" w:rsidRPr="00A02C04" w:rsidRDefault="00A02C04" w:rsidP="00A02C04">
      <w:pPr>
        <w:pStyle w:val="standard"/>
        <w:tabs>
          <w:tab w:val="left" w:pos="1440"/>
        </w:tabs>
        <w:spacing w:line="240" w:lineRule="auto"/>
        <w:ind w:left="1440" w:hanging="540"/>
      </w:pPr>
      <w:r>
        <w:t xml:space="preserve">B. </w:t>
      </w:r>
      <w:r>
        <w:tab/>
      </w:r>
      <w:r w:rsidR="00D313F5" w:rsidRPr="00A02C04">
        <w:t>RESPONSES TO REQUESTS FOR ACCESS</w:t>
      </w:r>
    </w:p>
    <w:p w:rsidR="00D313F5" w:rsidRPr="00A02C04" w:rsidRDefault="00A02C04" w:rsidP="00A02C04">
      <w:pPr>
        <w:pStyle w:val="standard"/>
        <w:tabs>
          <w:tab w:val="left" w:pos="1440"/>
        </w:tabs>
        <w:spacing w:line="240" w:lineRule="auto"/>
        <w:ind w:left="1440" w:hanging="540"/>
      </w:pPr>
      <w:r>
        <w:t xml:space="preserve">C. </w:t>
      </w:r>
      <w:r>
        <w:tab/>
      </w:r>
      <w:r w:rsidR="00D313F5" w:rsidRPr="00A02C04">
        <w:t>TIME FOR COMPLETION OF MAKE READY WORK</w:t>
      </w:r>
    </w:p>
    <w:p w:rsidR="00D313F5" w:rsidRPr="00A02C04" w:rsidRDefault="00A02C04" w:rsidP="005979F6">
      <w:pPr>
        <w:pStyle w:val="standard"/>
        <w:tabs>
          <w:tab w:val="left" w:pos="1440"/>
        </w:tabs>
        <w:spacing w:after="120" w:line="240" w:lineRule="auto"/>
        <w:ind w:left="1454" w:hanging="547"/>
      </w:pPr>
      <w:r>
        <w:t xml:space="preserve">D. </w:t>
      </w:r>
      <w:r>
        <w:tab/>
      </w:r>
      <w:r w:rsidR="00D313F5" w:rsidRPr="00A02C04">
        <w:t>USE OF THIRD PARTY CONTRACTORS</w:t>
      </w:r>
    </w:p>
    <w:p w:rsidR="00D313F5" w:rsidRPr="002432F5" w:rsidRDefault="002432F5" w:rsidP="002432F5">
      <w:pPr>
        <w:pStyle w:val="standard"/>
        <w:spacing w:line="240" w:lineRule="auto"/>
        <w:ind w:firstLine="0"/>
      </w:pPr>
      <w:r>
        <w:t xml:space="preserve">V. </w:t>
      </w:r>
      <w:r>
        <w:tab/>
      </w:r>
      <w:r w:rsidR="00D313F5" w:rsidRPr="002432F5">
        <w:t>NONDISCLOSURE</w:t>
      </w:r>
    </w:p>
    <w:p w:rsidR="00D313F5" w:rsidRPr="00A02C04" w:rsidRDefault="00A02C04" w:rsidP="00A02C04">
      <w:pPr>
        <w:pStyle w:val="standard"/>
        <w:tabs>
          <w:tab w:val="left" w:pos="1440"/>
        </w:tabs>
        <w:spacing w:line="240" w:lineRule="auto"/>
        <w:ind w:left="1440" w:hanging="540"/>
      </w:pPr>
      <w:r>
        <w:t xml:space="preserve">A. </w:t>
      </w:r>
      <w:r>
        <w:tab/>
      </w:r>
      <w:r w:rsidR="00D313F5" w:rsidRPr="00A02C04">
        <w:t>DUTY NOT A DISCLOSE PROPRIETARY INFORMATION</w:t>
      </w:r>
    </w:p>
    <w:p w:rsidR="00D313F5" w:rsidRPr="00A02C04" w:rsidRDefault="00A02C04" w:rsidP="005979F6">
      <w:pPr>
        <w:pStyle w:val="standard"/>
        <w:tabs>
          <w:tab w:val="left" w:pos="1440"/>
        </w:tabs>
        <w:spacing w:after="120" w:line="240" w:lineRule="auto"/>
        <w:ind w:left="1454" w:hanging="547"/>
      </w:pPr>
      <w:r>
        <w:t xml:space="preserve">B. </w:t>
      </w:r>
      <w:r>
        <w:tab/>
      </w:r>
      <w:r w:rsidR="00D313F5" w:rsidRPr="00A02C04">
        <w:t>SANCTIONS FOR VIOLATIONS OF NONDISCLOSURE AGREEMENTS</w:t>
      </w:r>
    </w:p>
    <w:p w:rsidR="00D313F5" w:rsidRPr="002432F5" w:rsidRDefault="002432F5" w:rsidP="002432F5">
      <w:pPr>
        <w:pStyle w:val="standard"/>
        <w:spacing w:line="240" w:lineRule="auto"/>
        <w:ind w:firstLine="0"/>
      </w:pPr>
      <w:r>
        <w:t xml:space="preserve">VI. </w:t>
      </w:r>
      <w:r>
        <w:tab/>
      </w:r>
      <w:r w:rsidR="00D313F5" w:rsidRPr="002432F5">
        <w:t>PRICING AND TARIFFS GOVERNING ACCESS</w:t>
      </w:r>
    </w:p>
    <w:p w:rsidR="00D313F5" w:rsidRPr="006F462B" w:rsidRDefault="006F462B" w:rsidP="00A02C04">
      <w:pPr>
        <w:pStyle w:val="standard"/>
        <w:tabs>
          <w:tab w:val="left" w:pos="1440"/>
        </w:tabs>
        <w:spacing w:line="240" w:lineRule="auto"/>
        <w:ind w:left="1440" w:hanging="540"/>
      </w:pPr>
      <w:r>
        <w:t xml:space="preserve">A. </w:t>
      </w:r>
      <w:r>
        <w:tab/>
      </w:r>
      <w:r w:rsidR="00D313F5" w:rsidRPr="006F462B">
        <w:t>GENERAL PRINCIPLE OF NONDISCRIMINATION</w:t>
      </w:r>
    </w:p>
    <w:p w:rsidR="00D313F5" w:rsidRPr="006F462B" w:rsidRDefault="006F462B" w:rsidP="00A02C04">
      <w:pPr>
        <w:pStyle w:val="standard"/>
        <w:tabs>
          <w:tab w:val="left" w:pos="1440"/>
        </w:tabs>
        <w:spacing w:line="240" w:lineRule="auto"/>
        <w:ind w:left="1440" w:hanging="540"/>
      </w:pPr>
      <w:r>
        <w:t xml:space="preserve">B. </w:t>
      </w:r>
      <w:r>
        <w:tab/>
      </w:r>
      <w:r w:rsidR="00D313F5" w:rsidRPr="006F462B">
        <w:t>MANNER OF PRICING ACCESS</w:t>
      </w:r>
    </w:p>
    <w:p w:rsidR="00D313F5" w:rsidRPr="006F462B" w:rsidRDefault="006F462B" w:rsidP="00A02C04">
      <w:pPr>
        <w:pStyle w:val="standard"/>
        <w:tabs>
          <w:tab w:val="left" w:pos="1440"/>
        </w:tabs>
        <w:spacing w:line="240" w:lineRule="auto"/>
        <w:ind w:left="1440" w:hanging="540"/>
      </w:pPr>
      <w:r>
        <w:t xml:space="preserve">C. </w:t>
      </w:r>
      <w:r>
        <w:tab/>
      </w:r>
      <w:r w:rsidR="00D313F5" w:rsidRPr="006F462B">
        <w:t>CONTRACTS</w:t>
      </w:r>
    </w:p>
    <w:p w:rsidR="00D313F5" w:rsidRPr="006F462B" w:rsidRDefault="006F462B" w:rsidP="005979F6">
      <w:pPr>
        <w:pStyle w:val="standard"/>
        <w:tabs>
          <w:tab w:val="left" w:pos="1440"/>
        </w:tabs>
        <w:spacing w:after="120" w:line="240" w:lineRule="auto"/>
        <w:ind w:left="1454" w:hanging="547"/>
      </w:pPr>
      <w:r>
        <w:t xml:space="preserve">D. </w:t>
      </w:r>
      <w:r>
        <w:tab/>
      </w:r>
      <w:r w:rsidR="00D313F5" w:rsidRPr="006F462B">
        <w:t>UNAUTHORIZED ATTACHMENTS</w:t>
      </w:r>
    </w:p>
    <w:p w:rsidR="00D313F5" w:rsidRPr="002432F5" w:rsidRDefault="002432F5" w:rsidP="005979F6">
      <w:pPr>
        <w:pStyle w:val="standard"/>
        <w:spacing w:after="60" w:line="240" w:lineRule="auto"/>
        <w:ind w:firstLine="0"/>
      </w:pPr>
      <w:r>
        <w:t xml:space="preserve">VII. </w:t>
      </w:r>
      <w:r>
        <w:tab/>
      </w:r>
      <w:r w:rsidR="00D313F5" w:rsidRPr="002432F5">
        <w:t>RESERVATIONS OF CAPACITY FOR FUTURE USE</w:t>
      </w:r>
    </w:p>
    <w:p w:rsidR="00D313F5" w:rsidRPr="002432F5" w:rsidRDefault="002432F5" w:rsidP="002432F5">
      <w:pPr>
        <w:pStyle w:val="standard"/>
        <w:spacing w:line="240" w:lineRule="auto"/>
        <w:ind w:firstLine="0"/>
      </w:pPr>
      <w:r>
        <w:t xml:space="preserve">VIII. </w:t>
      </w:r>
      <w:r>
        <w:tab/>
      </w:r>
      <w:r w:rsidR="00D313F5" w:rsidRPr="002432F5">
        <w:t>MODIFICATIONS OF EXISTING SUPPORT STRUCTURES</w:t>
      </w:r>
    </w:p>
    <w:p w:rsidR="00D313F5" w:rsidRPr="006F462B" w:rsidRDefault="006F462B" w:rsidP="00A02C04">
      <w:pPr>
        <w:pStyle w:val="standard"/>
        <w:tabs>
          <w:tab w:val="left" w:pos="1440"/>
        </w:tabs>
        <w:spacing w:line="240" w:lineRule="auto"/>
        <w:ind w:left="1440" w:hanging="540"/>
      </w:pPr>
      <w:r>
        <w:t xml:space="preserve">A. </w:t>
      </w:r>
      <w:r>
        <w:tab/>
      </w:r>
      <w:r w:rsidR="00D313F5" w:rsidRPr="006F462B">
        <w:t>NOTIFICATION TO PARTIES ON OR IN SUPPORT STRUCTURES</w:t>
      </w:r>
    </w:p>
    <w:p w:rsidR="00D313F5" w:rsidRPr="006F462B" w:rsidRDefault="006F462B" w:rsidP="00A02C04">
      <w:pPr>
        <w:pStyle w:val="standard"/>
        <w:tabs>
          <w:tab w:val="left" w:pos="1440"/>
        </w:tabs>
        <w:spacing w:line="240" w:lineRule="auto"/>
        <w:ind w:left="1440" w:hanging="540"/>
      </w:pPr>
      <w:r>
        <w:t xml:space="preserve">B. </w:t>
      </w:r>
      <w:r>
        <w:tab/>
      </w:r>
      <w:r w:rsidR="00D313F5" w:rsidRPr="006F462B">
        <w:t>NOTIFICATION GENERALLY</w:t>
      </w:r>
    </w:p>
    <w:p w:rsidR="00D313F5" w:rsidRPr="006F462B" w:rsidRDefault="006F462B" w:rsidP="005979F6">
      <w:pPr>
        <w:pStyle w:val="standard"/>
        <w:tabs>
          <w:tab w:val="left" w:pos="1440"/>
        </w:tabs>
        <w:spacing w:after="120" w:line="240" w:lineRule="auto"/>
        <w:ind w:left="1454" w:hanging="547"/>
      </w:pPr>
      <w:r>
        <w:t xml:space="preserve">C. </w:t>
      </w:r>
      <w:r>
        <w:tab/>
      </w:r>
      <w:r w:rsidR="00D313F5" w:rsidRPr="006F462B">
        <w:t>SHARING THE COST OF MODIFICATIONS</w:t>
      </w:r>
    </w:p>
    <w:p w:rsidR="00D313F5" w:rsidRPr="002432F5" w:rsidRDefault="002432F5" w:rsidP="005979F6">
      <w:pPr>
        <w:pStyle w:val="standard"/>
        <w:spacing w:after="60" w:line="240" w:lineRule="auto"/>
        <w:ind w:firstLine="0"/>
      </w:pPr>
      <w:r>
        <w:t xml:space="preserve">IX. </w:t>
      </w:r>
      <w:r>
        <w:tab/>
      </w:r>
      <w:r w:rsidR="009A5351" w:rsidRPr="002432F5">
        <w:t>EXPEDITED</w:t>
      </w:r>
      <w:r w:rsidR="00D313F5" w:rsidRPr="002432F5">
        <w:t xml:space="preserve"> DISPUTE RESOLUTION PROCEDURES</w:t>
      </w:r>
    </w:p>
    <w:p w:rsidR="00D313F5" w:rsidRPr="002432F5" w:rsidRDefault="002432F5" w:rsidP="005979F6">
      <w:pPr>
        <w:pStyle w:val="standard"/>
        <w:spacing w:after="60" w:line="240" w:lineRule="auto"/>
        <w:ind w:firstLine="0"/>
      </w:pPr>
      <w:r>
        <w:t>X.</w:t>
      </w:r>
      <w:r>
        <w:tab/>
      </w:r>
      <w:r w:rsidR="00D313F5" w:rsidRPr="002432F5">
        <w:t>ACCESS TO CUSTOMER PREMISES</w:t>
      </w:r>
    </w:p>
    <w:p w:rsidR="00D313F5" w:rsidRPr="002432F5" w:rsidRDefault="002432F5" w:rsidP="002432F5">
      <w:pPr>
        <w:pStyle w:val="standard"/>
        <w:spacing w:line="240" w:lineRule="auto"/>
        <w:ind w:firstLine="0"/>
      </w:pPr>
      <w:r>
        <w:t xml:space="preserve">XI. </w:t>
      </w:r>
      <w:r>
        <w:tab/>
      </w:r>
      <w:r w:rsidR="00D313F5" w:rsidRPr="002432F5">
        <w:t>SAFETY</w:t>
      </w:r>
    </w:p>
    <w:p w:rsidR="00D313F5" w:rsidRDefault="00D313F5" w:rsidP="006813CF">
      <w:pPr>
        <w:pStyle w:val="standard"/>
        <w:spacing w:line="240" w:lineRule="auto"/>
        <w:ind w:firstLine="0"/>
      </w:pPr>
    </w:p>
    <w:p w:rsidR="00D313F5" w:rsidRDefault="00D313F5" w:rsidP="006813CF">
      <w:pPr>
        <w:pStyle w:val="standard"/>
        <w:spacing w:line="240" w:lineRule="auto"/>
        <w:ind w:firstLine="0"/>
        <w:sectPr w:rsidR="00D313F5" w:rsidSect="00BC6BFD">
          <w:footerReference w:type="default" r:id="rId34"/>
          <w:pgSz w:w="12240" w:h="15840"/>
          <w:pgMar w:top="1440" w:right="1440" w:bottom="1440" w:left="1440" w:header="720" w:footer="720" w:gutter="0"/>
          <w:pgNumType w:chapStyle="9"/>
          <w:cols w:space="720"/>
        </w:sectPr>
      </w:pPr>
    </w:p>
    <w:p w:rsidR="00D313F5" w:rsidRPr="006813CF" w:rsidRDefault="006813CF" w:rsidP="006813CF">
      <w:pPr>
        <w:pStyle w:val="standard"/>
        <w:keepNext/>
        <w:tabs>
          <w:tab w:val="left" w:pos="720"/>
        </w:tabs>
        <w:spacing w:after="120" w:line="240" w:lineRule="auto"/>
        <w:ind w:left="720" w:hanging="720"/>
      </w:pPr>
      <w:r>
        <w:lastRenderedPageBreak/>
        <w:t xml:space="preserve">I. </w:t>
      </w:r>
      <w:r>
        <w:tab/>
      </w:r>
      <w:r w:rsidR="00D313F5" w:rsidRPr="006813CF">
        <w:t>PURPOSE AND SCOPE OF RULES</w:t>
      </w:r>
    </w:p>
    <w:p w:rsidR="00D313F5" w:rsidRPr="006813CF" w:rsidRDefault="00D313F5" w:rsidP="006813CF">
      <w:pPr>
        <w:pStyle w:val="standard"/>
        <w:spacing w:after="240" w:line="240" w:lineRule="auto"/>
        <w:ind w:left="720" w:firstLine="0"/>
      </w:pPr>
      <w:r w:rsidRPr="006813CF">
        <w:t xml:space="preserve">These rules govern access to public utility rights-of-way and support structures by telecommunications carriers, </w:t>
      </w:r>
      <w:r w:rsidRPr="006813CF">
        <w:rPr>
          <w:b/>
          <w:u w:val="single"/>
        </w:rPr>
        <w:t xml:space="preserve">Commercial Mobile Radio Service </w:t>
      </w:r>
      <w:r w:rsidR="005979F6">
        <w:rPr>
          <w:b/>
          <w:u w:val="single"/>
        </w:rPr>
        <w:t xml:space="preserve">(CMRS) </w:t>
      </w:r>
      <w:r w:rsidR="00FF568C">
        <w:rPr>
          <w:b/>
          <w:u w:val="single"/>
        </w:rPr>
        <w:t>carriers</w:t>
      </w:r>
      <w:r w:rsidRPr="006813CF">
        <w:t>, and cable TV companies in California, and are issued pursuant to the Commission’s jurisdiction over access to utility rights of way and support structures under the Federal Communications Act, 47 U.S.C. § 224(c)(1) and subject to California Public Utilities Code §§ 767, 767.5, 767.7, 768, 768.5 and 8001 through 8057.  These rules are to be applied as guidelines by parties in negotiating rights of way access agreements.  Parties may mutually agree on terms which deviate from these rules, but in the event of negotiating disputes submitted for Commission resolution, the adopted rules will be deemed presumptively reasonable.  The burden of proof shall be on the party advocating a deviation from the rules to show the deviation is reasonable, and is not unduly discriminatory or anticompetitive.</w:t>
      </w:r>
    </w:p>
    <w:p w:rsidR="00D313F5" w:rsidRPr="006813CF" w:rsidRDefault="006813CF" w:rsidP="006813CF">
      <w:pPr>
        <w:pStyle w:val="standard"/>
        <w:keepNext/>
        <w:tabs>
          <w:tab w:val="left" w:pos="720"/>
        </w:tabs>
        <w:spacing w:after="120" w:line="240" w:lineRule="auto"/>
        <w:ind w:left="720" w:hanging="720"/>
      </w:pPr>
      <w:r>
        <w:t xml:space="preserve">II. </w:t>
      </w:r>
      <w:r>
        <w:tab/>
      </w:r>
      <w:r w:rsidR="00D313F5" w:rsidRPr="006813CF">
        <w:t>DEFINITIONS</w:t>
      </w:r>
    </w:p>
    <w:p w:rsidR="00D313F5" w:rsidRPr="006813CF" w:rsidRDefault="00D313F5" w:rsidP="006813CF">
      <w:pPr>
        <w:pStyle w:val="standard"/>
        <w:spacing w:after="120" w:line="240" w:lineRule="auto"/>
        <w:ind w:left="720" w:firstLine="0"/>
      </w:pPr>
      <w:r w:rsidRPr="006813CF">
        <w:t>“Public utility” or “utility” includes any person, firm or corporation, privately owned, that is an electric, or telephone utility which owns or controls, or in combination jointly owns or controls, support structures or rights-of-way used or useful, in whole or in part, for telecommunications purposes.</w:t>
      </w:r>
    </w:p>
    <w:p w:rsidR="00D313F5" w:rsidRPr="006813CF" w:rsidRDefault="00D313F5" w:rsidP="006813CF">
      <w:pPr>
        <w:pStyle w:val="standard"/>
        <w:spacing w:after="120" w:line="240" w:lineRule="auto"/>
        <w:ind w:left="720" w:firstLine="0"/>
      </w:pPr>
      <w:r w:rsidRPr="006813CF">
        <w:t>“Support structure” includes, but is not limited to, a utility distribution pole, anchor, duct, conduit, manhole, or handhole.</w:t>
      </w:r>
    </w:p>
    <w:p w:rsidR="00D313F5" w:rsidRPr="006813CF" w:rsidRDefault="00D313F5" w:rsidP="006813CF">
      <w:pPr>
        <w:pStyle w:val="standard"/>
        <w:spacing w:after="120" w:line="240" w:lineRule="auto"/>
        <w:ind w:left="720" w:firstLine="0"/>
      </w:pPr>
      <w:r w:rsidRPr="006813CF">
        <w:t xml:space="preserve">“Pole attachment” means any attachment to surplus space, or use of excess capacity, by a telecommunications carrier </w:t>
      </w:r>
      <w:r w:rsidR="005979F6" w:rsidRPr="005979F6">
        <w:rPr>
          <w:b/>
          <w:u w:val="single"/>
        </w:rPr>
        <w:t>or CMRS carrier</w:t>
      </w:r>
      <w:r w:rsidR="005979F6">
        <w:t xml:space="preserve"> </w:t>
      </w:r>
      <w:r w:rsidRPr="006813CF">
        <w:t>for a communications system on or in any support structure owned, controlled, or used by a public utility.</w:t>
      </w:r>
    </w:p>
    <w:p w:rsidR="00D313F5" w:rsidRPr="006813CF" w:rsidRDefault="00D313F5" w:rsidP="006813CF">
      <w:pPr>
        <w:pStyle w:val="standard"/>
        <w:spacing w:after="120" w:line="240" w:lineRule="auto"/>
        <w:ind w:left="720" w:firstLine="0"/>
      </w:pPr>
      <w:r w:rsidRPr="006813CF">
        <w:t xml:space="preserve">“Surplus space” means that portion of the usable space on a utility pole which has the necessary clearance from other pole users, as required by the orders and regulations of the Commission, to allow its use by a telecommunications carrier </w:t>
      </w:r>
      <w:r w:rsidR="005979F6" w:rsidRPr="005979F6">
        <w:rPr>
          <w:b/>
          <w:u w:val="single"/>
        </w:rPr>
        <w:t xml:space="preserve">or </w:t>
      </w:r>
      <w:r w:rsidR="005979F6" w:rsidRPr="00D54868">
        <w:rPr>
          <w:b/>
          <w:u w:val="single"/>
        </w:rPr>
        <w:t xml:space="preserve">CMRS </w:t>
      </w:r>
      <w:r w:rsidR="005979F6">
        <w:rPr>
          <w:b/>
          <w:u w:val="single"/>
        </w:rPr>
        <w:t>carrier</w:t>
      </w:r>
      <w:r w:rsidR="005979F6" w:rsidRPr="006813CF">
        <w:t xml:space="preserve"> </w:t>
      </w:r>
      <w:r w:rsidRPr="006813CF">
        <w:t>for a pole attachment.</w:t>
      </w:r>
    </w:p>
    <w:p w:rsidR="00D313F5" w:rsidRPr="006813CF" w:rsidRDefault="00D313F5" w:rsidP="006813CF">
      <w:pPr>
        <w:pStyle w:val="standard"/>
        <w:spacing w:after="120" w:line="240" w:lineRule="auto"/>
        <w:ind w:left="720" w:firstLine="0"/>
      </w:pPr>
      <w:r w:rsidRPr="006813CF">
        <w:t>“Excess capacity” means volume or capacity in a duct, conduit, or support structure other than a utility pole or anchor which can be used, pursuant to the orders and regulations of the Commission, for a pole attachment.</w:t>
      </w:r>
    </w:p>
    <w:p w:rsidR="00D313F5" w:rsidRPr="006813CF" w:rsidRDefault="00D313F5" w:rsidP="006813CF">
      <w:pPr>
        <w:pStyle w:val="standard"/>
        <w:spacing w:after="120" w:line="240" w:lineRule="auto"/>
        <w:ind w:left="720" w:firstLine="0"/>
      </w:pPr>
      <w:r w:rsidRPr="006813CF">
        <w:lastRenderedPageBreak/>
        <w:t>“Usable space” means the total distance between the top of the utility pole and the lowest possible attachment point that provides the minimum allowable vertical clearance.</w:t>
      </w:r>
    </w:p>
    <w:p w:rsidR="00D313F5" w:rsidRPr="006813CF" w:rsidRDefault="00D313F5" w:rsidP="006813CF">
      <w:pPr>
        <w:pStyle w:val="standard"/>
        <w:spacing w:after="120" w:line="240" w:lineRule="auto"/>
        <w:ind w:left="720" w:firstLine="0"/>
      </w:pPr>
      <w:r w:rsidRPr="006813CF">
        <w:t>“Minimum allowable vertical clearance” means the minimum clearance for communication conductors along rights-of-way or other areas as specified in the orders and regulations of the Commission.</w:t>
      </w:r>
    </w:p>
    <w:p w:rsidR="00D313F5" w:rsidRPr="006813CF" w:rsidRDefault="00D313F5" w:rsidP="006813CF">
      <w:pPr>
        <w:pStyle w:val="standard"/>
        <w:spacing w:after="120" w:line="240" w:lineRule="auto"/>
        <w:ind w:left="720" w:firstLine="0"/>
      </w:pPr>
      <w:r w:rsidRPr="006813CF">
        <w:t>“Rearrangements” means work performed, at the request of a telecommunications carrier</w:t>
      </w:r>
      <w:r w:rsidR="005979F6">
        <w:t xml:space="preserve"> </w:t>
      </w:r>
      <w:r w:rsidR="005979F6" w:rsidRPr="005979F6">
        <w:rPr>
          <w:b/>
          <w:u w:val="single"/>
        </w:rPr>
        <w:t xml:space="preserve">or </w:t>
      </w:r>
      <w:r w:rsidR="005979F6" w:rsidRPr="00D54868">
        <w:rPr>
          <w:b/>
          <w:u w:val="single"/>
        </w:rPr>
        <w:t xml:space="preserve">CMRS </w:t>
      </w:r>
      <w:r w:rsidR="005979F6">
        <w:rPr>
          <w:b/>
          <w:u w:val="single"/>
        </w:rPr>
        <w:t>carrier</w:t>
      </w:r>
      <w:r w:rsidRPr="006813CF">
        <w:t>, to, on, or in an existing support structure to create such surplus space or excess capacity as is necessary to make it usable for a pole attachment.  When an existing support structure does not contain adequate surplus space or excess capacity and cannot be so rearranged as to create the required surplus space or excess capacity for a pole attachment, “rearrangements” shall include replacement, at the request of a telecommunications carrier</w:t>
      </w:r>
      <w:r w:rsidR="005979F6">
        <w:t xml:space="preserve"> </w:t>
      </w:r>
      <w:r w:rsidR="005979F6" w:rsidRPr="005979F6">
        <w:rPr>
          <w:b/>
          <w:u w:val="single"/>
        </w:rPr>
        <w:t xml:space="preserve">or </w:t>
      </w:r>
      <w:r w:rsidR="005979F6" w:rsidRPr="00D54868">
        <w:rPr>
          <w:b/>
          <w:u w:val="single"/>
        </w:rPr>
        <w:t xml:space="preserve">CMRS </w:t>
      </w:r>
      <w:r w:rsidR="005979F6">
        <w:rPr>
          <w:b/>
          <w:u w:val="single"/>
        </w:rPr>
        <w:t>carrier</w:t>
      </w:r>
      <w:r w:rsidRPr="006813CF">
        <w:t xml:space="preserve">, of the support structure in order to provide adequate surplus space or excess capacity.  This definition is not intended to limit the circumstances where a telecommunications carrier </w:t>
      </w:r>
      <w:r w:rsidR="005979F6" w:rsidRPr="005979F6">
        <w:rPr>
          <w:b/>
          <w:u w:val="single"/>
        </w:rPr>
        <w:t xml:space="preserve">or </w:t>
      </w:r>
      <w:r w:rsidR="005979F6" w:rsidRPr="00D54868">
        <w:rPr>
          <w:b/>
          <w:u w:val="single"/>
        </w:rPr>
        <w:t xml:space="preserve">CMRS </w:t>
      </w:r>
      <w:r w:rsidR="005979F6">
        <w:rPr>
          <w:b/>
          <w:u w:val="single"/>
        </w:rPr>
        <w:t>carrier</w:t>
      </w:r>
      <w:r w:rsidR="005979F6" w:rsidRPr="006813CF">
        <w:t xml:space="preserve"> </w:t>
      </w:r>
      <w:r w:rsidRPr="006813CF">
        <w:t>may request replacement of an existing structure with a different or larger support structure.</w:t>
      </w:r>
    </w:p>
    <w:p w:rsidR="00D313F5" w:rsidRPr="006813CF" w:rsidRDefault="00D313F5" w:rsidP="006813CF">
      <w:pPr>
        <w:pStyle w:val="standard"/>
        <w:spacing w:after="120" w:line="240" w:lineRule="auto"/>
        <w:ind w:left="720" w:firstLine="0"/>
      </w:pPr>
      <w:r w:rsidRPr="006813CF">
        <w:t>“Annual cost of ownership” means the sum of the annual capital costs and annual operation costs of the support structure which shall be the average costs of all similar support structures owned by the public utility.  The basis for computation of annual capital costs shall be historical capital cost less depreciation.  The accounts upon which the historical capital costs are determined shall include a credit for all reimbursed capital costs of the public utility.  Depreciation shall be based upon the average service life of the support structure.  As used in this definition, “annual cost of ownership” shall not include costs for any property not necessary for a pole attachment.</w:t>
      </w:r>
    </w:p>
    <w:p w:rsidR="00D313F5" w:rsidRPr="006813CF" w:rsidRDefault="00D313F5" w:rsidP="006813CF">
      <w:pPr>
        <w:pStyle w:val="standard"/>
        <w:spacing w:after="120" w:line="240" w:lineRule="auto"/>
        <w:ind w:left="720" w:firstLine="0"/>
      </w:pPr>
      <w:r w:rsidRPr="006813CF">
        <w:t xml:space="preserve">“Telecommunications carrier” generally means any provider of telecommunications services that has been granted a certificate of public convenience and necessity by the California Public Utilities Commission.  These rules, however, exclude </w:t>
      </w:r>
      <w:r w:rsidRPr="001C5AFC">
        <w:rPr>
          <w:b/>
          <w:strike/>
        </w:rPr>
        <w:t xml:space="preserve">Commercial Mobile Radio Service (CMRS) </w:t>
      </w:r>
      <w:r w:rsidR="001C5AFC" w:rsidRPr="001C5AFC">
        <w:rPr>
          <w:b/>
          <w:strike/>
        </w:rPr>
        <w:t>providers</w:t>
      </w:r>
      <w:r w:rsidRPr="001C5AFC">
        <w:rPr>
          <w:strike/>
        </w:rPr>
        <w:t xml:space="preserve"> </w:t>
      </w:r>
      <w:r w:rsidRPr="001C5AFC">
        <w:rPr>
          <w:b/>
          <w:strike/>
        </w:rPr>
        <w:t>and</w:t>
      </w:r>
      <w:r w:rsidRPr="006813CF">
        <w:t xml:space="preserve"> interexchange carriers from the definition of “telecommunications carrier.”</w:t>
      </w:r>
    </w:p>
    <w:p w:rsidR="00D313F5" w:rsidRPr="006813CF" w:rsidRDefault="00D313F5" w:rsidP="006813CF">
      <w:pPr>
        <w:pStyle w:val="standard"/>
        <w:spacing w:after="120" w:line="240" w:lineRule="auto"/>
        <w:ind w:left="720" w:firstLine="0"/>
      </w:pPr>
      <w:r w:rsidRPr="006813CF">
        <w:t>“</w:t>
      </w:r>
      <w:r w:rsidRPr="006813CF">
        <w:rPr>
          <w:b/>
          <w:u w:val="single"/>
        </w:rPr>
        <w:t xml:space="preserve">Commercial Mobile Radio Service (CMRS) </w:t>
      </w:r>
      <w:r w:rsidR="00FF568C">
        <w:rPr>
          <w:b/>
          <w:u w:val="single"/>
        </w:rPr>
        <w:t>carrier</w:t>
      </w:r>
      <w:r w:rsidRPr="006813CF">
        <w:rPr>
          <w:b/>
          <w:u w:val="single"/>
        </w:rPr>
        <w:t xml:space="preserve">” </w:t>
      </w:r>
      <w:r w:rsidR="00EB417B">
        <w:rPr>
          <w:b/>
          <w:u w:val="single"/>
        </w:rPr>
        <w:t xml:space="preserve">is an entity that holds </w:t>
      </w:r>
      <w:r w:rsidR="002B1767">
        <w:rPr>
          <w:b/>
          <w:u w:val="single"/>
        </w:rPr>
        <w:t xml:space="preserve">(1) </w:t>
      </w:r>
      <w:r w:rsidR="00EB417B">
        <w:rPr>
          <w:b/>
          <w:u w:val="single"/>
        </w:rPr>
        <w:t xml:space="preserve">a </w:t>
      </w:r>
      <w:r w:rsidR="00EB417B" w:rsidRPr="00EB417B">
        <w:rPr>
          <w:b/>
          <w:u w:val="single"/>
        </w:rPr>
        <w:t xml:space="preserve">current Wireless Identification Registration with the </w:t>
      </w:r>
      <w:r w:rsidR="00EB417B" w:rsidRPr="00EB417B">
        <w:rPr>
          <w:b/>
          <w:u w:val="single"/>
        </w:rPr>
        <w:lastRenderedPageBreak/>
        <w:t>California Public Utilities Commission</w:t>
      </w:r>
      <w:r w:rsidR="002B1767">
        <w:rPr>
          <w:b/>
          <w:u w:val="single"/>
        </w:rPr>
        <w:t xml:space="preserve">, or (2) a current Certificate of Public Convenience and Necessity issued by the </w:t>
      </w:r>
      <w:r w:rsidR="002B1767" w:rsidRPr="00EB417B">
        <w:rPr>
          <w:b/>
          <w:u w:val="single"/>
        </w:rPr>
        <w:t>California Public Utilities Commission</w:t>
      </w:r>
      <w:r w:rsidR="002B1767">
        <w:rPr>
          <w:b/>
          <w:u w:val="single"/>
        </w:rPr>
        <w:t xml:space="preserve"> that authorizes the holder to provide </w:t>
      </w:r>
      <w:r w:rsidR="002B1767" w:rsidRPr="006813CF">
        <w:rPr>
          <w:b/>
          <w:u w:val="single"/>
        </w:rPr>
        <w:t>Commercial Mobile Radio Service</w:t>
      </w:r>
      <w:r w:rsidRPr="00EB417B">
        <w:rPr>
          <w:b/>
          <w:u w:val="single"/>
        </w:rPr>
        <w:t>.</w:t>
      </w:r>
    </w:p>
    <w:p w:rsidR="00D313F5" w:rsidRPr="00D54868" w:rsidRDefault="00D313F5" w:rsidP="00D54868">
      <w:pPr>
        <w:pStyle w:val="standard"/>
        <w:spacing w:after="120" w:line="240" w:lineRule="auto"/>
        <w:ind w:left="720" w:firstLine="0"/>
      </w:pPr>
      <w:r w:rsidRPr="00D54868">
        <w:t>“Cable TV company” as used in these rules refers to a privately owned company, that provides cable service as defined in the PU Code and is not certified to provide telecommunications service.</w:t>
      </w:r>
    </w:p>
    <w:p w:rsidR="00D313F5" w:rsidRPr="00D54868" w:rsidRDefault="00D313F5" w:rsidP="00D54868">
      <w:pPr>
        <w:pStyle w:val="standard"/>
        <w:spacing w:after="120" w:line="240" w:lineRule="auto"/>
        <w:ind w:left="720" w:firstLine="0"/>
      </w:pPr>
      <w:r w:rsidRPr="00D54868">
        <w:t>“Right of way” means the right of competing providers to obtain access to the distribution poles, ducts, conduits, and other support structures of a utility which are necessary to reach customers for telecommunications purposes.</w:t>
      </w:r>
    </w:p>
    <w:p w:rsidR="00D313F5" w:rsidRPr="00D54868" w:rsidRDefault="00D313F5" w:rsidP="00D54868">
      <w:pPr>
        <w:pStyle w:val="standard"/>
        <w:spacing w:after="120" w:line="240" w:lineRule="auto"/>
        <w:ind w:left="720" w:firstLine="0"/>
      </w:pPr>
      <w:r w:rsidRPr="00D54868">
        <w:t>“Make ready work” means the process of completing rearrangements on or in a support structure to create such surplus space or excess capacity as is necessary to make it usable for a pole attachment.</w:t>
      </w:r>
    </w:p>
    <w:p w:rsidR="00D313F5" w:rsidRPr="00D54868" w:rsidRDefault="00D313F5" w:rsidP="00D54868">
      <w:pPr>
        <w:pStyle w:val="standard"/>
        <w:spacing w:after="120" w:line="240" w:lineRule="auto"/>
        <w:ind w:left="720" w:firstLine="0"/>
      </w:pPr>
      <w:r w:rsidRPr="00D54868">
        <w:t>“Modifications” means the process of changing or modifying, in whole or in part, support structures or rights of way to accommodate more or different pole attachments.</w:t>
      </w:r>
    </w:p>
    <w:p w:rsidR="00D313F5" w:rsidRPr="00D54868" w:rsidRDefault="00D313F5" w:rsidP="00D54868">
      <w:pPr>
        <w:pStyle w:val="standard"/>
        <w:spacing w:after="240" w:line="240" w:lineRule="auto"/>
        <w:ind w:left="720" w:firstLine="0"/>
      </w:pPr>
      <w:r w:rsidRPr="00D54868">
        <w:t>“Incumbent local exchange carrier” refers to Pacific Bell and GTE California, Inc., Roseville Telephone Company, and Citizens Telecommunications Company of California, for purposes of these rules, unless explicitly indicated otherwise.</w:t>
      </w:r>
    </w:p>
    <w:p w:rsidR="00D313F5" w:rsidRPr="00D54868" w:rsidRDefault="00D54868" w:rsidP="00D54868">
      <w:pPr>
        <w:pStyle w:val="standard"/>
        <w:keepNext/>
        <w:tabs>
          <w:tab w:val="left" w:pos="720"/>
        </w:tabs>
        <w:spacing w:after="120" w:line="240" w:lineRule="auto"/>
        <w:ind w:left="720" w:hanging="720"/>
      </w:pPr>
      <w:r>
        <w:t xml:space="preserve">III. </w:t>
      </w:r>
      <w:r>
        <w:tab/>
      </w:r>
      <w:r w:rsidR="00D313F5" w:rsidRPr="00D54868">
        <w:t>REQUESTS FOR INFORMATION</w:t>
      </w:r>
    </w:p>
    <w:p w:rsidR="00D313F5" w:rsidRPr="00D54868" w:rsidRDefault="00D313F5" w:rsidP="00D54868">
      <w:pPr>
        <w:pStyle w:val="standard"/>
        <w:spacing w:after="120" w:line="240" w:lineRule="auto"/>
        <w:ind w:firstLine="0"/>
      </w:pPr>
      <w:r w:rsidRPr="00D54868">
        <w:t xml:space="preserve">A utility shall promptly respond in writing to a written request for information (“request for information”) from a telecommunications carrier, </w:t>
      </w:r>
      <w:r w:rsidRPr="00D54868">
        <w:rPr>
          <w:b/>
          <w:u w:val="single"/>
        </w:rPr>
        <w:t xml:space="preserve">CMRS </w:t>
      </w:r>
      <w:r w:rsidR="00EB417B">
        <w:rPr>
          <w:b/>
          <w:u w:val="single"/>
        </w:rPr>
        <w:t>carrier</w:t>
      </w:r>
      <w:r w:rsidRPr="00D54868">
        <w:t>, or cable</w:t>
      </w:r>
      <w:r w:rsidR="00EB417B">
        <w:t> </w:t>
      </w:r>
      <w:r w:rsidRPr="00D54868">
        <w:t>TV company regarding the availability of surplus space or excess capacity on or in the utility’s support structures and rights of way.  The utility shall respond to requests for information as quickly as possible consistent with applicable legal, safety, and reliability requirements, which, in the case of Pacific or GTEC, shall not exceed 10 business days if no field survey is required and shall not exceed 20 business days if a field-based survey of support structures is required.  In the event the request involves more than 500 poles or 5 miles of conduit, the parties shall negotiate a mutually satisfactory longer response time.</w:t>
      </w:r>
    </w:p>
    <w:p w:rsidR="00D313F5" w:rsidRPr="00D54868" w:rsidRDefault="00D313F5" w:rsidP="00D54868">
      <w:pPr>
        <w:pStyle w:val="standard"/>
        <w:spacing w:after="120" w:line="240" w:lineRule="auto"/>
        <w:ind w:firstLine="0"/>
      </w:pPr>
      <w:r w:rsidRPr="00D54868">
        <w:t xml:space="preserve">Within the applicable time limit set forth in paragraph III.A and subject to execution of pertinent nondisclosure agreements, the utility shall provide access to maps, and currently available records such as drawings, plans and any other information which it uses in its daily transaction of business necessary for </w:t>
      </w:r>
      <w:r w:rsidRPr="00D54868">
        <w:lastRenderedPageBreak/>
        <w:t>evaluating the availability of surplus space or excess capacity on support structures and for evaluating access to a specified area of the utility’s rights of way identified by the carrier.</w:t>
      </w:r>
    </w:p>
    <w:p w:rsidR="00D313F5" w:rsidRPr="00D54868" w:rsidRDefault="00D313F5" w:rsidP="00D54868">
      <w:pPr>
        <w:pStyle w:val="standard"/>
        <w:spacing w:after="120" w:line="240" w:lineRule="auto"/>
        <w:ind w:firstLine="0"/>
      </w:pPr>
      <w:r w:rsidRPr="00D54868">
        <w:t>The utility may charge for the actual costs incurred for copies and any preparation of maps, drawings or plans necessary for evaluating the availability of surplus space or excess capacity on support structures and for evaluating access to a utility’s rights of way.</w:t>
      </w:r>
    </w:p>
    <w:p w:rsidR="00D313F5" w:rsidRPr="00D54868" w:rsidRDefault="00D313F5" w:rsidP="00D54868">
      <w:pPr>
        <w:pStyle w:val="standard"/>
        <w:spacing w:after="120" w:line="240" w:lineRule="auto"/>
        <w:ind w:firstLine="0"/>
      </w:pPr>
      <w:r w:rsidRPr="00D54868">
        <w:t>Within 20 business days of a request, anyone who attaches to a utility</w:t>
      </w:r>
      <w:r w:rsidRPr="00D54868">
        <w:noBreakHyphen/>
        <w:t>owned pole shall allow the pole owner access to maps, and any currently available records such as drawings, plans, and any other information which is used in the daily transaction of business necessary for the owner to review attachments to its poles.</w:t>
      </w:r>
    </w:p>
    <w:p w:rsidR="00D313F5" w:rsidRPr="00D54868" w:rsidRDefault="00D313F5" w:rsidP="00D54868">
      <w:pPr>
        <w:pStyle w:val="standard"/>
        <w:spacing w:after="240" w:line="240" w:lineRule="auto"/>
        <w:ind w:firstLine="0"/>
      </w:pPr>
      <w:r w:rsidRPr="00D54868">
        <w:t>The utility may request up-front payments of its estimated costs for any of the work contemplated by Rule III.C., Rule IV.A. and Rule IV.B.  The utility’s estimate will be adjusted to reflect actual cost upon completion of the requested tasks.</w:t>
      </w:r>
    </w:p>
    <w:p w:rsidR="00D313F5" w:rsidRPr="00B528CC" w:rsidRDefault="00B528CC" w:rsidP="00B528CC">
      <w:pPr>
        <w:pStyle w:val="standard"/>
        <w:keepNext/>
        <w:tabs>
          <w:tab w:val="left" w:pos="720"/>
        </w:tabs>
        <w:spacing w:after="120" w:line="240" w:lineRule="auto"/>
        <w:ind w:left="720" w:hanging="720"/>
      </w:pPr>
      <w:r>
        <w:t xml:space="preserve">IV. </w:t>
      </w:r>
      <w:r>
        <w:tab/>
      </w:r>
      <w:r w:rsidR="00D313F5" w:rsidRPr="00B528CC">
        <w:t>REQUESTS FOR ACCESS TO RIGHTS OF WAY AND SUPPORT STRUCTURES</w:t>
      </w:r>
    </w:p>
    <w:p w:rsidR="00D313F5" w:rsidRPr="00B528CC" w:rsidRDefault="00B528CC" w:rsidP="00B528CC">
      <w:pPr>
        <w:pStyle w:val="standard"/>
        <w:keepNext/>
        <w:tabs>
          <w:tab w:val="left" w:pos="1260"/>
        </w:tabs>
        <w:spacing w:after="120" w:line="240" w:lineRule="auto"/>
        <w:ind w:left="1260" w:hanging="547"/>
      </w:pPr>
      <w:r>
        <w:t xml:space="preserve">A. </w:t>
      </w:r>
      <w:r>
        <w:tab/>
      </w:r>
      <w:r w:rsidR="00D313F5" w:rsidRPr="00B528CC">
        <w:t>INFORMATION REQUIREMENTS OF REQUESTS FOR ACCESS</w:t>
      </w:r>
    </w:p>
    <w:p w:rsidR="00D313F5" w:rsidRPr="00B528CC" w:rsidRDefault="00D313F5" w:rsidP="00B528CC">
      <w:pPr>
        <w:pStyle w:val="standard"/>
        <w:tabs>
          <w:tab w:val="left" w:pos="1440"/>
        </w:tabs>
        <w:spacing w:after="120" w:line="240" w:lineRule="auto"/>
        <w:ind w:left="1440" w:hanging="540"/>
      </w:pPr>
      <w:r w:rsidRPr="00B528CC">
        <w:t>The request for access shall contain the following:</w:t>
      </w:r>
    </w:p>
    <w:p w:rsidR="00D313F5" w:rsidRPr="00B528CC" w:rsidRDefault="00B528CC" w:rsidP="00B528CC">
      <w:pPr>
        <w:pStyle w:val="standard"/>
        <w:tabs>
          <w:tab w:val="left" w:pos="1440"/>
        </w:tabs>
        <w:spacing w:after="120" w:line="240" w:lineRule="auto"/>
        <w:ind w:left="1440" w:hanging="540"/>
      </w:pPr>
      <w:r>
        <w:t xml:space="preserve">1. </w:t>
      </w:r>
      <w:r>
        <w:tab/>
      </w:r>
      <w:r w:rsidR="00D313F5" w:rsidRPr="00B528CC">
        <w:t xml:space="preserve">Information for contacting the </w:t>
      </w:r>
      <w:r w:rsidR="005979F6" w:rsidRPr="005979F6">
        <w:rPr>
          <w:b/>
          <w:u w:val="single"/>
        </w:rPr>
        <w:t>telecommunications</w:t>
      </w:r>
      <w:r w:rsidR="005979F6" w:rsidRPr="00B528CC">
        <w:t xml:space="preserve"> </w:t>
      </w:r>
      <w:r w:rsidR="00D313F5" w:rsidRPr="00B528CC">
        <w:t xml:space="preserve">carrier, </w:t>
      </w:r>
      <w:r w:rsidR="00D313F5" w:rsidRPr="00B528CC">
        <w:rPr>
          <w:b/>
          <w:u w:val="single"/>
        </w:rPr>
        <w:t xml:space="preserve">CMRS </w:t>
      </w:r>
      <w:r w:rsidR="00EB417B">
        <w:rPr>
          <w:b/>
          <w:u w:val="single"/>
        </w:rPr>
        <w:t>carrier</w:t>
      </w:r>
      <w:r w:rsidR="00D313F5" w:rsidRPr="00B528CC">
        <w:t>, or cable TV company, including project engineer, and name and address of person to be billed.</w:t>
      </w:r>
    </w:p>
    <w:p w:rsidR="00D313F5" w:rsidRPr="00B528CC" w:rsidRDefault="00B528CC" w:rsidP="00B528CC">
      <w:pPr>
        <w:pStyle w:val="standard"/>
        <w:tabs>
          <w:tab w:val="left" w:pos="1440"/>
        </w:tabs>
        <w:spacing w:after="120" w:line="240" w:lineRule="auto"/>
        <w:ind w:left="1440" w:hanging="540"/>
      </w:pPr>
      <w:r>
        <w:t xml:space="preserve">2. </w:t>
      </w:r>
      <w:r>
        <w:tab/>
      </w:r>
      <w:r w:rsidR="00D313F5" w:rsidRPr="00B528CC">
        <w:t>Loading information, which includes grade and size of attachment, size of cable, average span length, wind loading of their equipment, vertical loading, and bending movement.</w:t>
      </w:r>
    </w:p>
    <w:p w:rsidR="00D313F5" w:rsidRPr="00B528CC" w:rsidRDefault="00B528CC" w:rsidP="00B528CC">
      <w:pPr>
        <w:pStyle w:val="standard"/>
        <w:tabs>
          <w:tab w:val="left" w:pos="1440"/>
        </w:tabs>
        <w:spacing w:after="120" w:line="240" w:lineRule="auto"/>
        <w:ind w:left="1440" w:hanging="540"/>
      </w:pPr>
      <w:r>
        <w:t xml:space="preserve">3. </w:t>
      </w:r>
      <w:r>
        <w:tab/>
      </w:r>
      <w:r w:rsidR="00D313F5" w:rsidRPr="00B528CC">
        <w:t>Copy of property lease or right-of-way document.</w:t>
      </w:r>
    </w:p>
    <w:p w:rsidR="00D313F5" w:rsidRPr="00146949" w:rsidRDefault="00D313F5" w:rsidP="00146949">
      <w:pPr>
        <w:pStyle w:val="standard"/>
        <w:spacing w:line="240" w:lineRule="auto"/>
      </w:pPr>
    </w:p>
    <w:p w:rsidR="00D313F5" w:rsidRPr="005A5BBB" w:rsidRDefault="005A5BBB" w:rsidP="005A5BBB">
      <w:pPr>
        <w:pStyle w:val="standard"/>
        <w:keepNext/>
        <w:tabs>
          <w:tab w:val="left" w:pos="1260"/>
        </w:tabs>
        <w:spacing w:after="120" w:line="240" w:lineRule="auto"/>
        <w:ind w:left="1260" w:hanging="547"/>
      </w:pPr>
      <w:r>
        <w:t xml:space="preserve">B. </w:t>
      </w:r>
      <w:r>
        <w:tab/>
      </w:r>
      <w:r w:rsidR="00D313F5" w:rsidRPr="005A5BBB">
        <w:t>RESPONSES TO REQUESTS FOR ACCESS</w:t>
      </w:r>
    </w:p>
    <w:p w:rsidR="00D313F5" w:rsidRPr="005A5BBB" w:rsidRDefault="005A5BBB" w:rsidP="005A5BBB">
      <w:pPr>
        <w:pStyle w:val="standard"/>
        <w:tabs>
          <w:tab w:val="left" w:pos="1440"/>
        </w:tabs>
        <w:spacing w:after="120" w:line="240" w:lineRule="auto"/>
        <w:ind w:left="1440" w:hanging="540"/>
      </w:pPr>
      <w:r>
        <w:t xml:space="preserve">1. </w:t>
      </w:r>
      <w:r>
        <w:tab/>
      </w:r>
      <w:r w:rsidR="00D313F5" w:rsidRPr="005A5BBB">
        <w:t xml:space="preserve">A utility shall respond in writing to the written request of a telecommunications carrier, </w:t>
      </w:r>
      <w:r w:rsidR="00D313F5" w:rsidRPr="005A5BBB">
        <w:rPr>
          <w:b/>
          <w:u w:val="single"/>
        </w:rPr>
        <w:t xml:space="preserve">CMRS </w:t>
      </w:r>
      <w:r w:rsidR="00EB417B">
        <w:rPr>
          <w:b/>
          <w:u w:val="single"/>
        </w:rPr>
        <w:t>carrier</w:t>
      </w:r>
      <w:r w:rsidR="00D313F5" w:rsidRPr="005A5BBB">
        <w:t xml:space="preserve">, or cable TV company for access (“request for access”) to its rights of way and support structures as quickly as possible, which, in the case of Pacific or GTEC, shall not exceed 45 days.  The response shall affirmatively state whether the utility will grant access or, if it intends to deny </w:t>
      </w:r>
      <w:r w:rsidR="00D313F5" w:rsidRPr="005A5BBB">
        <w:lastRenderedPageBreak/>
        <w:t>access, shall state all of the reasons why it is denying such access.  Failure of Pacific or GTEC to respond within 45 days shall be deemed an acceptance of the request for access.</w:t>
      </w:r>
    </w:p>
    <w:p w:rsidR="00D313F5" w:rsidRPr="005A5BBB" w:rsidRDefault="005A5BBB" w:rsidP="005A5BBB">
      <w:pPr>
        <w:pStyle w:val="standard"/>
        <w:tabs>
          <w:tab w:val="left" w:pos="1440"/>
        </w:tabs>
        <w:spacing w:after="120" w:line="240" w:lineRule="auto"/>
        <w:ind w:left="1440" w:hanging="540"/>
      </w:pPr>
      <w:r>
        <w:t xml:space="preserve">2. </w:t>
      </w:r>
      <w:r>
        <w:tab/>
      </w:r>
      <w:r w:rsidR="00D313F5" w:rsidRPr="005A5BBB">
        <w:t xml:space="preserve">If, pursuant to a request for access, the utility has notified the telecommunication carrier, </w:t>
      </w:r>
      <w:r w:rsidR="00D313F5" w:rsidRPr="005A5BBB">
        <w:rPr>
          <w:b/>
          <w:u w:val="single"/>
        </w:rPr>
        <w:t xml:space="preserve">CMRS </w:t>
      </w:r>
      <w:r w:rsidR="00EB417B">
        <w:rPr>
          <w:b/>
          <w:u w:val="single"/>
        </w:rPr>
        <w:t>carrier</w:t>
      </w:r>
      <w:r w:rsidR="00D313F5" w:rsidRPr="005A5BBB">
        <w:t>, or cable TV company that both adequate space and strength are available for the attachment, and the entity seeking access advises the utility in writing that it wants to make the attachment, the utility shall provide this entity with a list of the rearrangements or changes required to accommodate the entity’s facilities and an estimate of the time required and the cost to perform the utility’s portion of such rearrangements or changes.</w:t>
      </w:r>
    </w:p>
    <w:p w:rsidR="00D313F5" w:rsidRPr="005A5BBB" w:rsidRDefault="005A5BBB" w:rsidP="005A5BBB">
      <w:pPr>
        <w:pStyle w:val="standard"/>
        <w:tabs>
          <w:tab w:val="left" w:pos="1440"/>
        </w:tabs>
        <w:spacing w:after="120" w:line="240" w:lineRule="auto"/>
        <w:ind w:left="1440" w:hanging="540"/>
      </w:pPr>
      <w:r>
        <w:t xml:space="preserve">3. </w:t>
      </w:r>
      <w:r>
        <w:tab/>
      </w:r>
      <w:r w:rsidR="00D313F5" w:rsidRPr="005A5BBB">
        <w:t xml:space="preserve">If the utility does not own the property on which its support structures are located, the telecommunication carrier, </w:t>
      </w:r>
      <w:r w:rsidR="00D313F5" w:rsidRPr="005A5BBB">
        <w:rPr>
          <w:b/>
          <w:u w:val="single"/>
        </w:rPr>
        <w:t>CMRS</w:t>
      </w:r>
      <w:r w:rsidR="00EB417B">
        <w:rPr>
          <w:b/>
          <w:u w:val="single"/>
        </w:rPr>
        <w:t> carrier</w:t>
      </w:r>
      <w:r w:rsidR="00D313F5" w:rsidRPr="005A5BBB">
        <w:t xml:space="preserve">, or cable TV company must obtain written permission from the owner of that property before attaching or installing its facilities.  The telecommunication carrier, </w:t>
      </w:r>
      <w:r w:rsidR="00D313F5" w:rsidRPr="005A5BBB">
        <w:rPr>
          <w:b/>
          <w:u w:val="single"/>
        </w:rPr>
        <w:t>CMRS</w:t>
      </w:r>
      <w:r w:rsidR="00EB417B">
        <w:rPr>
          <w:b/>
          <w:u w:val="single"/>
        </w:rPr>
        <w:t> carrier</w:t>
      </w:r>
      <w:r w:rsidR="00D313F5" w:rsidRPr="005A5BBB">
        <w:t>, or cable</w:t>
      </w:r>
      <w:r w:rsidR="00EB417B">
        <w:t> </w:t>
      </w:r>
      <w:r w:rsidR="00D313F5" w:rsidRPr="005A5BBB">
        <w:t xml:space="preserve">TV company by using such facilities shall defend and indemnify the owner of the utility facilities, if its franchise or other rights to use the real property are challenged as a result of the telecommunication carrier’s, </w:t>
      </w:r>
      <w:r w:rsidR="00D313F5" w:rsidRPr="005A5BBB">
        <w:rPr>
          <w:b/>
          <w:u w:val="single"/>
        </w:rPr>
        <w:t>CMRS</w:t>
      </w:r>
      <w:r w:rsidR="00EB417B">
        <w:rPr>
          <w:b/>
          <w:u w:val="single"/>
        </w:rPr>
        <w:t> carrier’s</w:t>
      </w:r>
      <w:r w:rsidR="00D313F5" w:rsidRPr="005A5BBB">
        <w:t>, or the cable TV company’s use or attachment.</w:t>
      </w:r>
    </w:p>
    <w:p w:rsidR="00F11AC6" w:rsidRPr="002A4DE9" w:rsidRDefault="00F11AC6" w:rsidP="002A4DE9">
      <w:pPr>
        <w:pStyle w:val="standard"/>
        <w:spacing w:line="240" w:lineRule="auto"/>
      </w:pPr>
    </w:p>
    <w:p w:rsidR="00D313F5" w:rsidRPr="002A4DE9" w:rsidRDefault="002A4DE9" w:rsidP="002A4DE9">
      <w:pPr>
        <w:pStyle w:val="standard"/>
        <w:keepNext/>
        <w:tabs>
          <w:tab w:val="left" w:pos="1260"/>
        </w:tabs>
        <w:spacing w:after="120" w:line="240" w:lineRule="auto"/>
        <w:ind w:left="1260" w:hanging="547"/>
      </w:pPr>
      <w:r>
        <w:t xml:space="preserve">C. </w:t>
      </w:r>
      <w:r>
        <w:tab/>
      </w:r>
      <w:r w:rsidR="00D313F5" w:rsidRPr="002A4DE9">
        <w:t>TIME FOR COMPLETION OF MAKE READY WORK</w:t>
      </w:r>
    </w:p>
    <w:p w:rsidR="00D313F5" w:rsidRPr="002A4DE9" w:rsidRDefault="002A4DE9" w:rsidP="002A4DE9">
      <w:pPr>
        <w:pStyle w:val="standard"/>
        <w:tabs>
          <w:tab w:val="left" w:pos="1440"/>
        </w:tabs>
        <w:spacing w:after="120" w:line="240" w:lineRule="auto"/>
        <w:ind w:left="1440" w:hanging="540"/>
      </w:pPr>
      <w:r>
        <w:t xml:space="preserve">1. </w:t>
      </w:r>
      <w:r>
        <w:tab/>
      </w:r>
      <w:r w:rsidR="00D313F5" w:rsidRPr="002A4DE9">
        <w:t xml:space="preserve">If a utility is required to perform make ready work on its poles, ducts or conduit to accommodate a </w:t>
      </w:r>
      <w:r w:rsidR="005979F6" w:rsidRPr="005979F6">
        <w:rPr>
          <w:b/>
          <w:u w:val="single"/>
        </w:rPr>
        <w:t>telecommunications</w:t>
      </w:r>
      <w:r w:rsidR="005979F6" w:rsidRPr="002A4DE9">
        <w:t xml:space="preserve"> </w:t>
      </w:r>
      <w:r w:rsidR="00D313F5" w:rsidRPr="002A4DE9">
        <w:t xml:space="preserve">carrier’s, </w:t>
      </w:r>
      <w:r w:rsidR="00D313F5" w:rsidRPr="002A4DE9">
        <w:rPr>
          <w:b/>
          <w:u w:val="single"/>
        </w:rPr>
        <w:t>CMRS</w:t>
      </w:r>
      <w:r w:rsidR="00EB417B">
        <w:rPr>
          <w:b/>
          <w:u w:val="single"/>
        </w:rPr>
        <w:t> carrier’s</w:t>
      </w:r>
      <w:r w:rsidR="00D313F5" w:rsidRPr="002A4DE9">
        <w:t>, or a cable</w:t>
      </w:r>
      <w:r>
        <w:t> </w:t>
      </w:r>
      <w:r w:rsidR="00D313F5" w:rsidRPr="002A4DE9">
        <w:t>TV company’s request for access, the utility shall perform such work at the requesting entity’s sole expense.  Such work shall be completed as quickly as possible consistent with applicable legal, safety, and reliability requirements, which, in the case of Pacific or GTEC shall occur within 30 business days of receipt of an advance payment for such work.  If the work involves more than 500 poles or 5 miles of conduit, the parties will negotiate a mutually satisfactory longer time frame to complete such make ready work.</w:t>
      </w:r>
    </w:p>
    <w:p w:rsidR="00F11AC6" w:rsidRPr="00E35516" w:rsidRDefault="00F11AC6" w:rsidP="002A4DE9">
      <w:pPr>
        <w:pStyle w:val="standard"/>
        <w:spacing w:line="240" w:lineRule="auto"/>
      </w:pPr>
    </w:p>
    <w:p w:rsidR="00D313F5" w:rsidRPr="002A4DE9" w:rsidRDefault="002A4DE9" w:rsidP="002A4DE9">
      <w:pPr>
        <w:pStyle w:val="standard"/>
        <w:keepNext/>
        <w:tabs>
          <w:tab w:val="left" w:pos="1260"/>
        </w:tabs>
        <w:spacing w:after="120" w:line="240" w:lineRule="auto"/>
        <w:ind w:left="1260" w:hanging="547"/>
      </w:pPr>
      <w:r>
        <w:lastRenderedPageBreak/>
        <w:t xml:space="preserve">D. </w:t>
      </w:r>
      <w:r>
        <w:tab/>
      </w:r>
      <w:r w:rsidR="00D313F5" w:rsidRPr="002A4DE9">
        <w:t>USE OF THIRD PARTY CONTRACTORS</w:t>
      </w:r>
    </w:p>
    <w:p w:rsidR="00D313F5" w:rsidRPr="002A4DE9" w:rsidRDefault="002A4DE9" w:rsidP="002A4DE9">
      <w:pPr>
        <w:pStyle w:val="standard"/>
        <w:tabs>
          <w:tab w:val="left" w:pos="1440"/>
        </w:tabs>
        <w:spacing w:after="120" w:line="240" w:lineRule="auto"/>
        <w:ind w:left="1440" w:hanging="540"/>
      </w:pPr>
      <w:r w:rsidRPr="002A4DE9">
        <w:t xml:space="preserve">1. </w:t>
      </w:r>
      <w:r w:rsidRPr="002A4DE9">
        <w:tab/>
      </w:r>
      <w:r w:rsidR="00D313F5" w:rsidRPr="002A4DE9">
        <w:t xml:space="preserve">The ILEC shall maintain a list of contractors that are qualified to respond to requests for information and requests for access, as well as to perform make ready work and attachment and installation of wire </w:t>
      </w:r>
      <w:r w:rsidR="005979F6" w:rsidRPr="005979F6">
        <w:rPr>
          <w:b/>
          <w:u w:val="single"/>
        </w:rPr>
        <w:t>telecommunications</w:t>
      </w:r>
      <w:r w:rsidR="005979F6" w:rsidRPr="002A4DE9">
        <w:t xml:space="preserve"> </w:t>
      </w:r>
      <w:r w:rsidR="00D313F5" w:rsidRPr="002A4DE9">
        <w:t xml:space="preserve">communications, </w:t>
      </w:r>
      <w:r w:rsidR="00D313F5" w:rsidRPr="002A4DE9">
        <w:rPr>
          <w:b/>
          <w:u w:val="single"/>
        </w:rPr>
        <w:t>CMRS facilities</w:t>
      </w:r>
      <w:r w:rsidR="00D313F5" w:rsidRPr="002A4DE9">
        <w:t>, or cable</w:t>
      </w:r>
      <w:r w:rsidR="008C5287" w:rsidRPr="002A4DE9">
        <w:t> </w:t>
      </w:r>
      <w:r w:rsidR="00D313F5" w:rsidRPr="002A4DE9">
        <w:t>TV facilities on the utility’s support structures.  This requirement shall not apply to electric utilities.  This requirement shall not affect the discretion of a utility to use its own employees.</w:t>
      </w:r>
    </w:p>
    <w:p w:rsidR="00D313F5" w:rsidRPr="002A4DE9" w:rsidRDefault="002A4DE9" w:rsidP="002A4DE9">
      <w:pPr>
        <w:pStyle w:val="standard"/>
        <w:tabs>
          <w:tab w:val="left" w:pos="1440"/>
        </w:tabs>
        <w:spacing w:after="120" w:line="240" w:lineRule="auto"/>
        <w:ind w:left="1440" w:hanging="540"/>
      </w:pPr>
      <w:r>
        <w:t xml:space="preserve">2. </w:t>
      </w:r>
      <w:r>
        <w:tab/>
      </w:r>
      <w:r w:rsidR="00D313F5" w:rsidRPr="002A4DE9">
        <w:t xml:space="preserve">A telecommunications carrier, </w:t>
      </w:r>
      <w:r w:rsidR="00D313F5" w:rsidRPr="002A4DE9">
        <w:rPr>
          <w:b/>
          <w:u w:val="single"/>
        </w:rPr>
        <w:t>CMRS</w:t>
      </w:r>
      <w:r w:rsidR="00EB417B">
        <w:rPr>
          <w:b/>
          <w:u w:val="single"/>
        </w:rPr>
        <w:t> carrier</w:t>
      </w:r>
      <w:r w:rsidR="00D313F5" w:rsidRPr="002A4DE9">
        <w:t xml:space="preserve">, or cable TV company may use its own personnel to attach or install the carrier’s communications facilities in or on a utility’s facilities, provided that in the utility’s reasonable judgment, the </w:t>
      </w:r>
      <w:r w:rsidR="005979F6" w:rsidRPr="005979F6">
        <w:rPr>
          <w:b/>
          <w:u w:val="single"/>
        </w:rPr>
        <w:t>telecommunications</w:t>
      </w:r>
      <w:r w:rsidR="005979F6">
        <w:t xml:space="preserve"> </w:t>
      </w:r>
      <w:r w:rsidR="00D313F5" w:rsidRPr="002A4DE9">
        <w:t xml:space="preserve">carrier’s, </w:t>
      </w:r>
      <w:r w:rsidR="00D313F5" w:rsidRPr="002A4DE9">
        <w:rPr>
          <w:b/>
          <w:u w:val="single"/>
        </w:rPr>
        <w:t>CMRS</w:t>
      </w:r>
      <w:r w:rsidR="00EB417B">
        <w:rPr>
          <w:b/>
          <w:u w:val="single"/>
        </w:rPr>
        <w:t> carrier’s</w:t>
      </w:r>
      <w:r w:rsidR="00D313F5" w:rsidRPr="002A4DE9">
        <w:t>, or cable TV company’s personnel or agents demonstrate that they are trained and qualified to work on or in the utility’s facilities.  To use its own personnel or contractors on electric utility poles, the</w:t>
      </w:r>
      <w:r w:rsidR="00D313F5" w:rsidRPr="00FD0543">
        <w:t xml:space="preserve"> </w:t>
      </w:r>
      <w:r w:rsidR="00D313F5" w:rsidRPr="002A4DE9">
        <w:t>telecommunications carrier,</w:t>
      </w:r>
      <w:r w:rsidR="00D313F5" w:rsidRPr="00FD0543">
        <w:t xml:space="preserve"> </w:t>
      </w:r>
      <w:r w:rsidR="00D313F5" w:rsidRPr="00FD0543">
        <w:rPr>
          <w:b/>
          <w:u w:val="single"/>
        </w:rPr>
        <w:t>CMRS</w:t>
      </w:r>
      <w:r w:rsidR="00EB417B">
        <w:rPr>
          <w:b/>
          <w:u w:val="single"/>
        </w:rPr>
        <w:t> carrier</w:t>
      </w:r>
      <w:r w:rsidR="00D313F5" w:rsidRPr="00FD0543">
        <w:t xml:space="preserve">, or cable TV company </w:t>
      </w:r>
      <w:r w:rsidR="00D313F5" w:rsidRPr="002A4DE9">
        <w:t xml:space="preserve">must give 48 hours advance notice to the electric utility, unless an electrical shutdown is required.  If an electrical shutdown is required, the telecommunications carrier, </w:t>
      </w:r>
      <w:r w:rsidR="00D313F5" w:rsidRPr="002A4DE9">
        <w:rPr>
          <w:b/>
          <w:u w:val="single"/>
        </w:rPr>
        <w:t>CMRS</w:t>
      </w:r>
      <w:r w:rsidR="00714AD3">
        <w:rPr>
          <w:b/>
          <w:u w:val="single"/>
        </w:rPr>
        <w:t> carrier</w:t>
      </w:r>
      <w:r w:rsidR="00D313F5" w:rsidRPr="002A4DE9">
        <w:t>, or cable</w:t>
      </w:r>
      <w:r>
        <w:t> </w:t>
      </w:r>
      <w:r w:rsidR="00D313F5" w:rsidRPr="002A4DE9">
        <w:t xml:space="preserve">TV company must arrange a specific schedule with the electric utility.  The telecommunications carrier, </w:t>
      </w:r>
      <w:r w:rsidR="00D313F5" w:rsidRPr="002A4DE9">
        <w:rPr>
          <w:b/>
          <w:u w:val="single"/>
        </w:rPr>
        <w:t>CMRS</w:t>
      </w:r>
      <w:r w:rsidR="00714AD3">
        <w:rPr>
          <w:b/>
          <w:u w:val="single"/>
        </w:rPr>
        <w:t> carrier</w:t>
      </w:r>
      <w:r w:rsidR="00D313F5" w:rsidRPr="002A4DE9">
        <w:t>, or cable</w:t>
      </w:r>
      <w:r w:rsidR="008C5287" w:rsidRPr="002A4DE9">
        <w:t> </w:t>
      </w:r>
      <w:r w:rsidR="00D313F5" w:rsidRPr="002A4DE9">
        <w:t xml:space="preserve">TV company is responsible for all costs associated with an electrical shutdown.  The inspection will be paid for by the attaching entity.  The telecommunications carrier, </w:t>
      </w:r>
      <w:r w:rsidR="00D313F5" w:rsidRPr="002A4DE9">
        <w:rPr>
          <w:b/>
          <w:u w:val="single"/>
        </w:rPr>
        <w:t>CMRS</w:t>
      </w:r>
      <w:r w:rsidR="00714AD3">
        <w:rPr>
          <w:b/>
          <w:u w:val="single"/>
        </w:rPr>
        <w:t> carrier</w:t>
      </w:r>
      <w:r w:rsidR="00D313F5" w:rsidRPr="002A4DE9">
        <w:t xml:space="preserve">, or cable TV company must allow the electric utility, in the utility’s discretion to inspect the </w:t>
      </w:r>
      <w:r w:rsidR="00D313F5" w:rsidRPr="002A4DE9">
        <w:rPr>
          <w:b/>
          <w:strike/>
        </w:rPr>
        <w:t>telecommunication’s</w:t>
      </w:r>
      <w:r w:rsidR="00D313F5" w:rsidRPr="002A4DE9">
        <w:t xml:space="preserve"> attachment to the support structure.  This provision shall not apply to electric underground facilities containing energized electric supply cables.  Work involving electric underground facilities containing energized electric supply cables or the rearranging of overhead electric facilities will be conducted as required by the electric utility at its sole discretion.  In no event shall the telecommunications</w:t>
      </w:r>
      <w:r w:rsidR="005979F6">
        <w:t xml:space="preserve"> </w:t>
      </w:r>
      <w:r w:rsidR="005979F6" w:rsidRPr="005979F6">
        <w:rPr>
          <w:b/>
          <w:u w:val="single"/>
        </w:rPr>
        <w:t>carrier</w:t>
      </w:r>
      <w:r w:rsidR="00D313F5" w:rsidRPr="002A4DE9">
        <w:t xml:space="preserve">, </w:t>
      </w:r>
      <w:r w:rsidR="00D313F5" w:rsidRPr="002A4DE9">
        <w:rPr>
          <w:b/>
          <w:u w:val="single"/>
        </w:rPr>
        <w:t>CMRS</w:t>
      </w:r>
      <w:r w:rsidR="00714AD3">
        <w:rPr>
          <w:b/>
          <w:u w:val="single"/>
        </w:rPr>
        <w:t> carrier</w:t>
      </w:r>
      <w:r w:rsidR="00D313F5" w:rsidRPr="002A4DE9">
        <w:t>, or cable TV company or their respective contractor, interfere with the electric utility’s equipment or service.</w:t>
      </w:r>
    </w:p>
    <w:p w:rsidR="00D313F5" w:rsidRPr="00693BAE" w:rsidRDefault="00693BAE" w:rsidP="00693BAE">
      <w:pPr>
        <w:pStyle w:val="standard"/>
        <w:tabs>
          <w:tab w:val="left" w:pos="1440"/>
        </w:tabs>
        <w:spacing w:after="120" w:line="240" w:lineRule="auto"/>
        <w:ind w:left="1440" w:hanging="540"/>
      </w:pPr>
      <w:r>
        <w:t xml:space="preserve">3. </w:t>
      </w:r>
      <w:r>
        <w:tab/>
      </w:r>
      <w:r w:rsidR="00D313F5" w:rsidRPr="00693BAE">
        <w:t xml:space="preserve">Incumbent utilities should adopt written guidelines to ensure that telecommunication carriers’, </w:t>
      </w:r>
      <w:r w:rsidR="00D313F5" w:rsidRPr="00693BAE">
        <w:rPr>
          <w:b/>
          <w:u w:val="single"/>
        </w:rPr>
        <w:t>CMRS</w:t>
      </w:r>
      <w:r w:rsidR="00714AD3">
        <w:rPr>
          <w:b/>
          <w:u w:val="single"/>
        </w:rPr>
        <w:t> carrier’s</w:t>
      </w:r>
      <w:r w:rsidR="00D313F5" w:rsidRPr="00693BAE">
        <w:t xml:space="preserve">, and cable TV companies’ personnel and third-party contractors are qualified.  </w:t>
      </w:r>
      <w:r w:rsidR="00D313F5" w:rsidRPr="00693BAE">
        <w:lastRenderedPageBreak/>
        <w:t>These guidelines must be reasonable and objective, and must apply equally to the incumbent utility’s own personnel or the incumbent utility’s own third-party contractors.  Incumbent utilities must seek industry input when drafting such guidelines.</w:t>
      </w:r>
    </w:p>
    <w:p w:rsidR="00D313F5" w:rsidRPr="00E35516" w:rsidRDefault="00D313F5" w:rsidP="002A4DE9">
      <w:pPr>
        <w:pStyle w:val="standard"/>
        <w:spacing w:line="240" w:lineRule="auto"/>
      </w:pPr>
    </w:p>
    <w:p w:rsidR="00D313F5" w:rsidRPr="005B0D45" w:rsidRDefault="005B0D45" w:rsidP="005B0D45">
      <w:pPr>
        <w:pStyle w:val="standard"/>
        <w:keepNext/>
        <w:spacing w:after="120" w:line="240" w:lineRule="auto"/>
        <w:ind w:firstLine="0"/>
      </w:pPr>
      <w:r>
        <w:t xml:space="preserve">V. </w:t>
      </w:r>
      <w:r>
        <w:tab/>
      </w:r>
      <w:r w:rsidR="00D313F5" w:rsidRPr="005B0D45">
        <w:t>NONDISCLOSURE</w:t>
      </w:r>
    </w:p>
    <w:p w:rsidR="00D313F5" w:rsidRPr="005B0D45" w:rsidRDefault="005B0D45" w:rsidP="005B0D45">
      <w:pPr>
        <w:pStyle w:val="standard"/>
        <w:keepNext/>
        <w:tabs>
          <w:tab w:val="left" w:pos="1260"/>
        </w:tabs>
        <w:spacing w:after="120" w:line="240" w:lineRule="auto"/>
        <w:ind w:left="1260" w:hanging="547"/>
      </w:pPr>
      <w:r>
        <w:t xml:space="preserve">A. </w:t>
      </w:r>
      <w:r>
        <w:tab/>
      </w:r>
      <w:r w:rsidR="00D313F5" w:rsidRPr="005B0D45">
        <w:t>DUTY NOT TO DISCLOSE PROPRIETARY INFORMATION</w:t>
      </w:r>
    </w:p>
    <w:p w:rsidR="00D313F5" w:rsidRPr="005B0D45" w:rsidRDefault="005B0D45" w:rsidP="005B0D45">
      <w:pPr>
        <w:pStyle w:val="standard"/>
        <w:tabs>
          <w:tab w:val="left" w:pos="1440"/>
        </w:tabs>
        <w:spacing w:after="120" w:line="240" w:lineRule="auto"/>
        <w:ind w:left="1440" w:hanging="540"/>
      </w:pPr>
      <w:r>
        <w:t xml:space="preserve">1. </w:t>
      </w:r>
      <w:r>
        <w:tab/>
      </w:r>
      <w:r w:rsidR="00D313F5" w:rsidRPr="005B0D45">
        <w:t xml:space="preserve">The utility and entities seeking access to poles or other support structures may provide reciprocal standard nondisclosure agreements that permit either party to designate as proprietary information any portion of a request for information or a response thereto, regarding the availability of surplus space or excess capacity on or in its support structures, or of a request for access to such surplus space or excess capacity, as well as any maps, plans, drawings or other information, including those that disclose the telecommunications carrier’s, </w:t>
      </w:r>
      <w:r w:rsidR="00D313F5" w:rsidRPr="005B0D45">
        <w:rPr>
          <w:b/>
          <w:u w:val="single"/>
        </w:rPr>
        <w:t>CMRS</w:t>
      </w:r>
      <w:r w:rsidR="00055850" w:rsidRPr="005B0D45">
        <w:rPr>
          <w:b/>
          <w:u w:val="single"/>
        </w:rPr>
        <w:t> </w:t>
      </w:r>
      <w:r w:rsidR="00714AD3">
        <w:rPr>
          <w:b/>
          <w:u w:val="single"/>
        </w:rPr>
        <w:t>carrier</w:t>
      </w:r>
      <w:r w:rsidR="00D313F5" w:rsidRPr="005B0D45">
        <w:rPr>
          <w:b/>
          <w:u w:val="single"/>
        </w:rPr>
        <w:t>’s</w:t>
      </w:r>
      <w:r w:rsidR="00D313F5" w:rsidRPr="005B0D45">
        <w:t>, or cable TV company’s plans for where it intends to compete against an incumbent telephone utility.  Each party shall have a duty not to disclose any information which the other contracting party has designated as proprietary except to personnel within the utility that have an actual, verifiable “need to know” in order to respond to requests for information or requests for access.</w:t>
      </w:r>
    </w:p>
    <w:p w:rsidR="008C5287" w:rsidRPr="00E35516" w:rsidRDefault="008C5287" w:rsidP="00405446">
      <w:pPr>
        <w:pStyle w:val="standard"/>
        <w:spacing w:line="240" w:lineRule="auto"/>
      </w:pPr>
    </w:p>
    <w:p w:rsidR="00D313F5" w:rsidRPr="00405446" w:rsidRDefault="00405446" w:rsidP="00405446">
      <w:pPr>
        <w:pStyle w:val="standard"/>
        <w:keepNext/>
        <w:tabs>
          <w:tab w:val="left" w:pos="1260"/>
        </w:tabs>
        <w:spacing w:after="120" w:line="240" w:lineRule="auto"/>
        <w:ind w:left="1260" w:hanging="547"/>
      </w:pPr>
      <w:r>
        <w:t xml:space="preserve">B. </w:t>
      </w:r>
      <w:r>
        <w:tab/>
      </w:r>
      <w:r w:rsidR="00D313F5" w:rsidRPr="00405446">
        <w:t>SANCTIONS FOR VIOLATIONS OF NONDISCLOSURE AGREEMENTS</w:t>
      </w:r>
    </w:p>
    <w:p w:rsidR="00D313F5" w:rsidRPr="00A37787" w:rsidRDefault="00A37787" w:rsidP="00A37787">
      <w:pPr>
        <w:pStyle w:val="standard"/>
        <w:tabs>
          <w:tab w:val="left" w:pos="1440"/>
        </w:tabs>
        <w:spacing w:after="120" w:line="240" w:lineRule="auto"/>
        <w:ind w:left="1440" w:hanging="540"/>
      </w:pPr>
      <w:r>
        <w:t xml:space="preserve">1. </w:t>
      </w:r>
      <w:r>
        <w:tab/>
      </w:r>
      <w:r w:rsidR="00D313F5" w:rsidRPr="00A37787">
        <w:t xml:space="preserve">Each party shall take every precaution necessary to prevent employees in its field offices or other offices responsible for making or responding to requests for information or requests for access from disclosing any proprietary information of the other party.  Under no circumstances may a party disclose such information to marketing, sales or customer representative personnel.  Proprietary information shall be disclosed only to personnel in the utility’s field offices or other offices responsible for making or responding to such requests who have an actual, verifiable “need to know” for purposes of responding to such requests.  Such personnel shall be advised of their duty not to disclose such information to any other person who does not have a “need to know” such information.  Violation of the </w:t>
      </w:r>
      <w:r w:rsidR="00D313F5" w:rsidRPr="00A37787">
        <w:lastRenderedPageBreak/>
        <w:t xml:space="preserve">duty not to disclose proprietary information shall be cause for imposition of such sanctions as, in the Commission’s </w:t>
      </w:r>
      <w:r w:rsidR="00055850" w:rsidRPr="00A37787">
        <w:t>judgment</w:t>
      </w:r>
      <w:r w:rsidR="00D313F5" w:rsidRPr="00A37787">
        <w:t>, are necessary to deter the party from breaching its duty not to disclose proprietary information in the future.  Any violation of the duty not to disclose proprietary information will be accompanied by findings of fact that permit a party whose proprietary information has improperly been disclosed to seek further remedies in a civil action.</w:t>
      </w:r>
    </w:p>
    <w:p w:rsidR="008C5287" w:rsidRPr="00E35516" w:rsidRDefault="008C5287" w:rsidP="00A37787">
      <w:pPr>
        <w:pStyle w:val="standard"/>
        <w:spacing w:line="240" w:lineRule="auto"/>
      </w:pPr>
    </w:p>
    <w:p w:rsidR="00D313F5" w:rsidRPr="00CB0E8D" w:rsidRDefault="00CB0E8D" w:rsidP="00CB0E8D">
      <w:pPr>
        <w:pStyle w:val="standard"/>
        <w:keepNext/>
        <w:spacing w:after="120" w:line="240" w:lineRule="auto"/>
        <w:ind w:firstLine="0"/>
      </w:pPr>
      <w:r>
        <w:t xml:space="preserve">VI. </w:t>
      </w:r>
      <w:r>
        <w:tab/>
      </w:r>
      <w:r w:rsidR="00D313F5" w:rsidRPr="00CB0E8D">
        <w:t>PRICING AND TARIFFS GOVERNING ACCESS</w:t>
      </w:r>
    </w:p>
    <w:p w:rsidR="00D313F5" w:rsidRPr="00CB0E8D" w:rsidRDefault="00CB0E8D" w:rsidP="00CB0E8D">
      <w:pPr>
        <w:pStyle w:val="standard"/>
        <w:keepNext/>
        <w:tabs>
          <w:tab w:val="left" w:pos="1260"/>
        </w:tabs>
        <w:spacing w:after="120" w:line="240" w:lineRule="auto"/>
        <w:ind w:left="1260" w:hanging="547"/>
      </w:pPr>
      <w:r>
        <w:t xml:space="preserve">A. </w:t>
      </w:r>
      <w:r>
        <w:tab/>
      </w:r>
      <w:r w:rsidR="00D313F5" w:rsidRPr="00CB0E8D">
        <w:t>GENERAL PRINCIPLE OF NONDISCRIMINATION</w:t>
      </w:r>
    </w:p>
    <w:p w:rsidR="00D313F5" w:rsidRPr="000963A9" w:rsidRDefault="00073547" w:rsidP="00073547">
      <w:pPr>
        <w:pStyle w:val="standard"/>
        <w:tabs>
          <w:tab w:val="left" w:pos="1440"/>
        </w:tabs>
        <w:spacing w:after="120" w:line="240" w:lineRule="auto"/>
        <w:ind w:left="1440" w:hanging="540"/>
      </w:pPr>
      <w:r w:rsidRPr="000963A9">
        <w:t xml:space="preserve">1. </w:t>
      </w:r>
      <w:r w:rsidRPr="000963A9">
        <w:tab/>
      </w:r>
      <w:r w:rsidR="00D313F5" w:rsidRPr="000963A9">
        <w:t xml:space="preserve">A utility shall grant access to its rights-of-way and support structures to telecommunications carriers, </w:t>
      </w:r>
      <w:r w:rsidR="00D313F5" w:rsidRPr="000963A9">
        <w:rPr>
          <w:b/>
          <w:u w:val="single"/>
        </w:rPr>
        <w:t xml:space="preserve">CMRS </w:t>
      </w:r>
      <w:r w:rsidR="00714AD3">
        <w:rPr>
          <w:b/>
          <w:u w:val="single"/>
        </w:rPr>
        <w:t>carrier</w:t>
      </w:r>
      <w:r w:rsidR="00D313F5" w:rsidRPr="000963A9">
        <w:rPr>
          <w:b/>
          <w:u w:val="single"/>
        </w:rPr>
        <w:t>s</w:t>
      </w:r>
      <w:r w:rsidR="00D313F5" w:rsidRPr="000963A9">
        <w:t xml:space="preserve">, </w:t>
      </w:r>
      <w:r w:rsidR="00D313F5" w:rsidRPr="000963A9">
        <w:rPr>
          <w:b/>
          <w:strike/>
        </w:rPr>
        <w:t>or cable TV company</w:t>
      </w:r>
      <w:r w:rsidR="00D313F5" w:rsidRPr="000963A9">
        <w:t xml:space="preserve"> and cable TV companies on a nondiscriminatory basis.  Nondiscriminatory access is access on a first-come, first</w:t>
      </w:r>
      <w:r w:rsidR="00D313F5" w:rsidRPr="000963A9">
        <w:noBreakHyphen/>
        <w:t xml:space="preserve">served basis; access that can be restricted only on consistently applied nondiscriminatory principles relating to capacity constraints, and safety, engineering, and reliability requirements.  Electric utilities’ use of its own facilities for internal communications in support of its utility function shall </w:t>
      </w:r>
      <w:r w:rsidR="00D313F5" w:rsidRPr="00073547">
        <w:t>not</w:t>
      </w:r>
      <w:r w:rsidR="00D313F5" w:rsidRPr="000963A9">
        <w:t xml:space="preserve"> be considered to establish a comparison for nondiscriminatory access.  A utility shall have the ability to negotiate with a telecommunications carrier, </w:t>
      </w:r>
      <w:r w:rsidR="00D313F5" w:rsidRPr="000963A9">
        <w:rPr>
          <w:b/>
          <w:u w:val="single"/>
        </w:rPr>
        <w:t>CMRS</w:t>
      </w:r>
      <w:r w:rsidR="000963A9" w:rsidRPr="000963A9">
        <w:rPr>
          <w:b/>
          <w:u w:val="single"/>
        </w:rPr>
        <w:t> </w:t>
      </w:r>
      <w:r w:rsidR="00714AD3">
        <w:rPr>
          <w:b/>
          <w:u w:val="single"/>
        </w:rPr>
        <w:t>carrier</w:t>
      </w:r>
      <w:r w:rsidR="00D313F5" w:rsidRPr="000963A9">
        <w:t>, or cable</w:t>
      </w:r>
      <w:r w:rsidR="008C5287" w:rsidRPr="000963A9">
        <w:t> </w:t>
      </w:r>
      <w:r w:rsidR="00D313F5" w:rsidRPr="000963A9">
        <w:t>TV company the price for access to its rights of way and support structures.</w:t>
      </w:r>
    </w:p>
    <w:p w:rsidR="00D313F5" w:rsidRPr="00073547" w:rsidRDefault="00073547" w:rsidP="00073547">
      <w:pPr>
        <w:pStyle w:val="standard"/>
        <w:tabs>
          <w:tab w:val="left" w:pos="1440"/>
        </w:tabs>
        <w:spacing w:after="120" w:line="240" w:lineRule="auto"/>
        <w:ind w:left="1440" w:hanging="540"/>
      </w:pPr>
      <w:r w:rsidRPr="00073547">
        <w:t xml:space="preserve">2. </w:t>
      </w:r>
      <w:r w:rsidRPr="00073547">
        <w:tab/>
      </w:r>
      <w:r w:rsidR="00D313F5" w:rsidRPr="00073547">
        <w:t xml:space="preserve">A utility shall grant access to its rights-of-way and support structures to telecommunications carriers, </w:t>
      </w:r>
      <w:r w:rsidR="00D313F5" w:rsidRPr="00073547">
        <w:rPr>
          <w:b/>
          <w:u w:val="single"/>
        </w:rPr>
        <w:t xml:space="preserve">CMRS </w:t>
      </w:r>
      <w:r w:rsidR="00714AD3">
        <w:rPr>
          <w:b/>
          <w:u w:val="single"/>
        </w:rPr>
        <w:t>carrier</w:t>
      </w:r>
      <w:r w:rsidR="00D313F5" w:rsidRPr="00073547">
        <w:rPr>
          <w:b/>
          <w:u w:val="single"/>
        </w:rPr>
        <w:t>s</w:t>
      </w:r>
      <w:r w:rsidR="00D313F5" w:rsidRPr="00073547">
        <w:t xml:space="preserve">, and cable TV companies on a nondiscriminatory basis, access to or use of the right-of-way, where such right-of-way is located on private property and safety, engineering, and reliability requirements.  Electric utilities’ use of their own facilities for internal communications in support of their utility function shall not be considered to establish a comparison for nondiscriminatory access.  A utility shall have the ability to negotiate with a telecommunications carrier, </w:t>
      </w:r>
      <w:r w:rsidR="00D313F5" w:rsidRPr="00073547">
        <w:rPr>
          <w:b/>
          <w:u w:val="single"/>
        </w:rPr>
        <w:t xml:space="preserve">CMRS </w:t>
      </w:r>
      <w:r w:rsidR="00714AD3">
        <w:rPr>
          <w:b/>
          <w:u w:val="single"/>
        </w:rPr>
        <w:t>carrier</w:t>
      </w:r>
      <w:r w:rsidR="00D313F5" w:rsidRPr="00073547">
        <w:t>, or cable</w:t>
      </w:r>
      <w:r w:rsidR="008C5287" w:rsidRPr="00073547">
        <w:t> </w:t>
      </w:r>
      <w:r w:rsidR="00D313F5" w:rsidRPr="00073547">
        <w:t>TV company the price for access to its rights</w:t>
      </w:r>
      <w:r w:rsidR="00D313F5" w:rsidRPr="00073547">
        <w:noBreakHyphen/>
        <w:t>of</w:t>
      </w:r>
      <w:r w:rsidR="00D313F5" w:rsidRPr="00073547">
        <w:noBreakHyphen/>
        <w:t>way and support structures.</w:t>
      </w:r>
    </w:p>
    <w:p w:rsidR="008C5287" w:rsidRPr="00055850" w:rsidRDefault="008C5287" w:rsidP="00585DE0">
      <w:pPr>
        <w:pStyle w:val="standard"/>
        <w:spacing w:line="240" w:lineRule="auto"/>
      </w:pPr>
    </w:p>
    <w:p w:rsidR="00D313F5" w:rsidRPr="00585DE0" w:rsidRDefault="00585DE0" w:rsidP="00CB0E8D">
      <w:pPr>
        <w:pStyle w:val="standard"/>
        <w:keepNext/>
        <w:tabs>
          <w:tab w:val="left" w:pos="1260"/>
        </w:tabs>
        <w:spacing w:after="120" w:line="240" w:lineRule="auto"/>
        <w:ind w:left="1260" w:hanging="547"/>
      </w:pPr>
      <w:r>
        <w:lastRenderedPageBreak/>
        <w:t xml:space="preserve">B. </w:t>
      </w:r>
      <w:r>
        <w:tab/>
      </w:r>
      <w:r w:rsidR="00D313F5" w:rsidRPr="00585DE0">
        <w:t>MANNER OF PRICING ACCESS</w:t>
      </w:r>
    </w:p>
    <w:p w:rsidR="00D313F5" w:rsidRPr="00585DE0" w:rsidRDefault="00585DE0" w:rsidP="00585DE0">
      <w:pPr>
        <w:pStyle w:val="standard"/>
        <w:tabs>
          <w:tab w:val="left" w:pos="1440"/>
        </w:tabs>
        <w:spacing w:after="120" w:line="240" w:lineRule="auto"/>
        <w:ind w:left="1440" w:hanging="540"/>
      </w:pPr>
      <w:r>
        <w:t xml:space="preserve">1. </w:t>
      </w:r>
      <w:r>
        <w:tab/>
      </w:r>
      <w:r w:rsidR="00D313F5" w:rsidRPr="00585DE0">
        <w:t xml:space="preserve">Whenever a public utility and a telecommunications carrier, </w:t>
      </w:r>
      <w:r w:rsidR="00D313F5" w:rsidRPr="00585DE0">
        <w:rPr>
          <w:b/>
          <w:u w:val="single"/>
        </w:rPr>
        <w:t>CMRS </w:t>
      </w:r>
      <w:r w:rsidR="00714AD3">
        <w:rPr>
          <w:b/>
          <w:u w:val="single"/>
        </w:rPr>
        <w:t>carrier</w:t>
      </w:r>
      <w:r w:rsidR="00D313F5" w:rsidRPr="00585DE0">
        <w:t>, or cable TV company, or associations, therefore, are unable to agree upon the terms, conditions, or annual compensation for pole attachments or the terms, conditions, or costs of rearrangements, the Commission shall establish and enforce the rates, terms and conditions for pole attachments and rearrangements so as to assure a public utility the recovery of both of the following:</w:t>
      </w:r>
    </w:p>
    <w:p w:rsidR="00D313F5" w:rsidRPr="00585DE0" w:rsidRDefault="00585DE0" w:rsidP="00585DE0">
      <w:pPr>
        <w:pStyle w:val="standard"/>
        <w:tabs>
          <w:tab w:val="left" w:pos="2160"/>
        </w:tabs>
        <w:spacing w:after="120" w:line="240" w:lineRule="auto"/>
        <w:ind w:left="2160" w:hanging="540"/>
      </w:pPr>
      <w:r>
        <w:t xml:space="preserve">a. </w:t>
      </w:r>
      <w:r>
        <w:tab/>
      </w:r>
      <w:r w:rsidR="00D313F5" w:rsidRPr="00585DE0">
        <w:t>A one-time reimbursement for actual costs incurred by the public utility for rearrangements performed at the request of the telecommunications carrier</w:t>
      </w:r>
      <w:r w:rsidR="00937DC5">
        <w:t xml:space="preserve"> </w:t>
      </w:r>
      <w:r w:rsidR="00F742F9">
        <w:rPr>
          <w:b/>
          <w:u w:val="single"/>
        </w:rPr>
        <w:t>or CMRS c</w:t>
      </w:r>
      <w:r w:rsidR="00937DC5" w:rsidRPr="00937DC5">
        <w:rPr>
          <w:b/>
          <w:u w:val="single"/>
        </w:rPr>
        <w:t>arrier</w:t>
      </w:r>
      <w:r w:rsidR="00D313F5" w:rsidRPr="00585DE0">
        <w:t>.</w:t>
      </w:r>
    </w:p>
    <w:p w:rsidR="00D313F5" w:rsidRPr="00585DE0" w:rsidRDefault="00585DE0" w:rsidP="00585DE0">
      <w:pPr>
        <w:pStyle w:val="standard"/>
        <w:tabs>
          <w:tab w:val="left" w:pos="2160"/>
        </w:tabs>
        <w:spacing w:after="120" w:line="240" w:lineRule="auto"/>
        <w:ind w:left="2160" w:hanging="540"/>
      </w:pPr>
      <w:r>
        <w:t xml:space="preserve">b. </w:t>
      </w:r>
      <w:r>
        <w:tab/>
      </w:r>
      <w:r w:rsidR="00D313F5" w:rsidRPr="00585DE0">
        <w:t>An annual recurring fee computed as follows:</w:t>
      </w:r>
    </w:p>
    <w:p w:rsidR="00D313F5" w:rsidRDefault="00585DE0" w:rsidP="00585DE0">
      <w:pPr>
        <w:pStyle w:val="standard"/>
        <w:tabs>
          <w:tab w:val="left" w:pos="2880"/>
        </w:tabs>
        <w:spacing w:after="120" w:line="240" w:lineRule="auto"/>
        <w:ind w:left="2880" w:hanging="540"/>
      </w:pPr>
      <w:r>
        <w:t xml:space="preserve">(1) </w:t>
      </w:r>
      <w:r>
        <w:tab/>
      </w:r>
      <w:r w:rsidR="00D313F5" w:rsidRPr="00585DE0">
        <w:t>For each pole and supporting anchor actually used by the telecommunications carrier</w:t>
      </w:r>
      <w:r w:rsidR="008D150A">
        <w:t xml:space="preserve"> </w:t>
      </w:r>
      <w:r w:rsidR="00D313F5" w:rsidRPr="00585DE0">
        <w:t>or cable</w:t>
      </w:r>
      <w:r w:rsidR="008C5287" w:rsidRPr="00585DE0">
        <w:t> </w:t>
      </w:r>
      <w:r w:rsidR="00D313F5" w:rsidRPr="00585DE0">
        <w:t>TV company, the annual fee shall be two dollars and fifty cents ($2.50) or 7.4 percent of the public utility’s annual cost of ownership for the pole and supporting anchor, whichever is greater, except that if a public utility applies for establishment of a fee in excess of two dollars and fifty cents ($2.50) under this rule, the annual fee shall be 7.4 percent of the public utility’s annual cost of ownership for the pole and supporting anchor.</w:t>
      </w:r>
      <w:r w:rsidR="008D150A">
        <w:t xml:space="preserve"> </w:t>
      </w:r>
    </w:p>
    <w:p w:rsidR="008D150A" w:rsidRDefault="008D150A" w:rsidP="008D150A">
      <w:pPr>
        <w:pStyle w:val="standard"/>
        <w:tabs>
          <w:tab w:val="left" w:pos="2880"/>
        </w:tabs>
        <w:spacing w:after="120" w:line="240" w:lineRule="auto"/>
        <w:ind w:left="2880" w:hanging="540"/>
        <w:rPr>
          <w:b/>
          <w:u w:val="single"/>
        </w:rPr>
      </w:pPr>
      <w:r w:rsidRPr="00A45C68">
        <w:rPr>
          <w:b/>
          <w:u w:val="single"/>
        </w:rPr>
        <w:t xml:space="preserve">(2) </w:t>
      </w:r>
      <w:r w:rsidRPr="00A45C68">
        <w:rPr>
          <w:b/>
          <w:u w:val="single"/>
        </w:rPr>
        <w:tab/>
        <w:t xml:space="preserve">For each pole and supporting anchor actually used by </w:t>
      </w:r>
      <w:r w:rsidR="00A45C68">
        <w:rPr>
          <w:b/>
          <w:u w:val="single"/>
        </w:rPr>
        <w:t>a CMRS carrier</w:t>
      </w:r>
      <w:r w:rsidRPr="00A45C68">
        <w:rPr>
          <w:b/>
          <w:u w:val="single"/>
        </w:rPr>
        <w:t xml:space="preserve">, the annual fee </w:t>
      </w:r>
      <w:r w:rsidR="00A45C68">
        <w:rPr>
          <w:b/>
          <w:u w:val="single"/>
        </w:rPr>
        <w:t xml:space="preserve">for each foot of </w:t>
      </w:r>
      <w:r w:rsidR="00937DC5">
        <w:rPr>
          <w:b/>
          <w:u w:val="single"/>
        </w:rPr>
        <w:t xml:space="preserve">vertical </w:t>
      </w:r>
      <w:r w:rsidR="00A45C68">
        <w:rPr>
          <w:b/>
          <w:u w:val="single"/>
        </w:rPr>
        <w:t xml:space="preserve">pole space occupied by the CMRS installation </w:t>
      </w:r>
      <w:r w:rsidRPr="00A45C68">
        <w:rPr>
          <w:b/>
          <w:u w:val="single"/>
        </w:rPr>
        <w:t>shall be two dollars and fifty cents ($2.50) or 7.4 percent of the public utility’s annual cost of ownership for the pole and supporti</w:t>
      </w:r>
      <w:r w:rsidR="00937DC5">
        <w:rPr>
          <w:b/>
          <w:u w:val="single"/>
        </w:rPr>
        <w:t>ng anchor, whichever is greater</w:t>
      </w:r>
      <w:r w:rsidRPr="00A45C68">
        <w:rPr>
          <w:b/>
          <w:u w:val="single"/>
        </w:rPr>
        <w:t xml:space="preserve">. </w:t>
      </w:r>
      <w:r w:rsidR="00A45C68">
        <w:rPr>
          <w:b/>
          <w:u w:val="single"/>
        </w:rPr>
        <w:t xml:space="preserve"> The per-foot fee for CMRS installations is subject to the following conditions and limitations:</w:t>
      </w:r>
    </w:p>
    <w:p w:rsidR="00A45C68" w:rsidRDefault="00A45C68" w:rsidP="006D5FD6">
      <w:pPr>
        <w:pStyle w:val="standard"/>
        <w:tabs>
          <w:tab w:val="left" w:pos="3510"/>
        </w:tabs>
        <w:spacing w:after="120" w:line="240" w:lineRule="auto"/>
        <w:ind w:left="3510" w:hanging="630"/>
        <w:rPr>
          <w:b/>
          <w:u w:val="single"/>
        </w:rPr>
      </w:pPr>
      <w:r>
        <w:rPr>
          <w:b/>
          <w:u w:val="single"/>
        </w:rPr>
        <w:t xml:space="preserve">(i) </w:t>
      </w:r>
      <w:r>
        <w:rPr>
          <w:b/>
          <w:u w:val="single"/>
        </w:rPr>
        <w:tab/>
        <w:t xml:space="preserve">The </w:t>
      </w:r>
      <w:r w:rsidR="00937DC5">
        <w:rPr>
          <w:b/>
          <w:u w:val="single"/>
        </w:rPr>
        <w:t xml:space="preserve">vertical </w:t>
      </w:r>
      <w:r>
        <w:rPr>
          <w:b/>
          <w:u w:val="single"/>
        </w:rPr>
        <w:t xml:space="preserve">pole space occupied by each CMRS attachment shall be rounded to the </w:t>
      </w:r>
      <w:r w:rsidR="001B4A64">
        <w:rPr>
          <w:b/>
          <w:u w:val="single"/>
        </w:rPr>
        <w:t>nearest whole foot</w:t>
      </w:r>
      <w:r>
        <w:rPr>
          <w:b/>
          <w:u w:val="single"/>
        </w:rPr>
        <w:t xml:space="preserve">, with a 1-foot minimum.  </w:t>
      </w:r>
    </w:p>
    <w:p w:rsidR="006B0C70" w:rsidRDefault="006B0C70" w:rsidP="006D5FD6">
      <w:pPr>
        <w:pStyle w:val="standard"/>
        <w:tabs>
          <w:tab w:val="left" w:pos="3510"/>
        </w:tabs>
        <w:spacing w:after="120" w:line="240" w:lineRule="auto"/>
        <w:ind w:left="3510" w:hanging="630"/>
        <w:rPr>
          <w:b/>
          <w:u w:val="single"/>
        </w:rPr>
      </w:pPr>
      <w:r>
        <w:rPr>
          <w:b/>
          <w:u w:val="single"/>
        </w:rPr>
        <w:t xml:space="preserve">(ii) </w:t>
      </w:r>
      <w:r>
        <w:rPr>
          <w:b/>
          <w:u w:val="single"/>
        </w:rPr>
        <w:tab/>
        <w:t xml:space="preserve">The </w:t>
      </w:r>
      <w:r w:rsidR="006C2F55">
        <w:rPr>
          <w:b/>
          <w:u w:val="single"/>
        </w:rPr>
        <w:t xml:space="preserve">7.4% </w:t>
      </w:r>
      <w:r>
        <w:rPr>
          <w:b/>
          <w:u w:val="single"/>
        </w:rPr>
        <w:t xml:space="preserve">per-foot fee applies to </w:t>
      </w:r>
      <w:r w:rsidRPr="006B0C70">
        <w:rPr>
          <w:b/>
          <w:u w:val="single"/>
        </w:rPr>
        <w:t xml:space="preserve">the pole space that </w:t>
      </w:r>
      <w:r w:rsidR="00A9190A">
        <w:rPr>
          <w:b/>
          <w:u w:val="single"/>
        </w:rPr>
        <w:t xml:space="preserve">a CMRS attachment renders unusable for </w:t>
      </w:r>
      <w:r w:rsidR="009B60E2" w:rsidRPr="009B60E2">
        <w:rPr>
          <w:b/>
          <w:u w:val="single"/>
        </w:rPr>
        <w:t>non</w:t>
      </w:r>
      <w:r w:rsidR="009B60E2" w:rsidRPr="009B60E2">
        <w:rPr>
          <w:b/>
          <w:u w:val="single"/>
        </w:rPr>
        <w:noBreakHyphen/>
        <w:t>CMRS</w:t>
      </w:r>
      <w:r w:rsidR="00A9190A">
        <w:rPr>
          <w:b/>
          <w:u w:val="single"/>
        </w:rPr>
        <w:t xml:space="preserve"> attachments, including (A) the pole space that is physically occupied by the CMRS </w:t>
      </w:r>
      <w:r w:rsidR="00A9190A">
        <w:rPr>
          <w:b/>
          <w:u w:val="single"/>
        </w:rPr>
        <w:lastRenderedPageBreak/>
        <w:t>attachment;</w:t>
      </w:r>
      <w:r w:rsidR="00A9190A" w:rsidRPr="00B02835">
        <w:rPr>
          <w:b/>
          <w:u w:val="single"/>
        </w:rPr>
        <w:t xml:space="preserve"> </w:t>
      </w:r>
      <w:r w:rsidR="00926F8C" w:rsidRPr="00B02835">
        <w:rPr>
          <w:b/>
          <w:u w:val="single"/>
        </w:rPr>
        <w:t xml:space="preserve">and (B) </w:t>
      </w:r>
      <w:r w:rsidR="00D97257" w:rsidRPr="00B02835">
        <w:rPr>
          <w:b/>
          <w:u w:val="single"/>
        </w:rPr>
        <w:t xml:space="preserve">any pole space that </w:t>
      </w:r>
      <w:r w:rsidR="00B02835" w:rsidRPr="00B02835">
        <w:rPr>
          <w:b/>
          <w:u w:val="single"/>
        </w:rPr>
        <w:t xml:space="preserve">cannot </w:t>
      </w:r>
      <w:r w:rsidR="00D97257" w:rsidRPr="00B02835">
        <w:rPr>
          <w:b/>
          <w:u w:val="single"/>
        </w:rPr>
        <w:t xml:space="preserve">be </w:t>
      </w:r>
      <w:r w:rsidR="00B02835" w:rsidRPr="00B02835">
        <w:rPr>
          <w:b/>
          <w:u w:val="single"/>
        </w:rPr>
        <w:t>used by</w:t>
      </w:r>
      <w:r w:rsidR="00D97257" w:rsidRPr="00B02835">
        <w:rPr>
          <w:b/>
          <w:u w:val="single"/>
        </w:rPr>
        <w:t xml:space="preserve"> communication and/or supply conductors due solely to the installation of the CMRS attachment</w:t>
      </w:r>
      <w:r w:rsidR="00D97257" w:rsidRPr="00D97257">
        <w:rPr>
          <w:b/>
        </w:rPr>
        <w:t>.</w:t>
      </w:r>
      <w:r w:rsidR="00926F8C">
        <w:rPr>
          <w:b/>
          <w:u w:val="single"/>
        </w:rPr>
        <w:t xml:space="preserve"> </w:t>
      </w:r>
      <w:r w:rsidR="00A9190A">
        <w:rPr>
          <w:b/>
          <w:u w:val="single"/>
        </w:rPr>
        <w:t xml:space="preserve"> </w:t>
      </w:r>
      <w:r>
        <w:rPr>
          <w:b/>
          <w:u w:val="single"/>
        </w:rPr>
        <w:t xml:space="preserve"> </w:t>
      </w:r>
    </w:p>
    <w:p w:rsidR="006521B3" w:rsidRDefault="006521B3" w:rsidP="006D5FD6">
      <w:pPr>
        <w:pStyle w:val="standard"/>
        <w:tabs>
          <w:tab w:val="left" w:pos="3510"/>
        </w:tabs>
        <w:spacing w:after="120" w:line="240" w:lineRule="auto"/>
        <w:ind w:left="3510" w:hanging="630"/>
        <w:rPr>
          <w:b/>
          <w:u w:val="single"/>
        </w:rPr>
      </w:pPr>
      <w:r>
        <w:rPr>
          <w:b/>
          <w:u w:val="single"/>
        </w:rPr>
        <w:t>(iii)</w:t>
      </w:r>
      <w:r>
        <w:rPr>
          <w:b/>
          <w:u w:val="single"/>
        </w:rPr>
        <w:tab/>
        <w:t xml:space="preserve">The </w:t>
      </w:r>
      <w:r w:rsidR="006D5FD6">
        <w:rPr>
          <w:b/>
          <w:u w:val="single"/>
        </w:rPr>
        <w:t xml:space="preserve">7.4% </w:t>
      </w:r>
      <w:r>
        <w:rPr>
          <w:b/>
          <w:u w:val="single"/>
        </w:rPr>
        <w:t xml:space="preserve">per-foot fee applies to CMRS attachments anywhere </w:t>
      </w:r>
      <w:r w:rsidR="006D5FD6">
        <w:rPr>
          <w:b/>
          <w:u w:val="single"/>
        </w:rPr>
        <w:t>on</w:t>
      </w:r>
      <w:r>
        <w:rPr>
          <w:b/>
          <w:u w:val="single"/>
        </w:rPr>
        <w:t xml:space="preserve"> the pole.</w:t>
      </w:r>
      <w:r w:rsidR="00867576">
        <w:rPr>
          <w:b/>
          <w:u w:val="single"/>
        </w:rPr>
        <w:t xml:space="preserve"> </w:t>
      </w:r>
    </w:p>
    <w:p w:rsidR="00C114E4" w:rsidRDefault="00867576" w:rsidP="006D5FD6">
      <w:pPr>
        <w:pStyle w:val="standard"/>
        <w:tabs>
          <w:tab w:val="left" w:pos="3510"/>
        </w:tabs>
        <w:spacing w:after="120" w:line="240" w:lineRule="auto"/>
        <w:ind w:left="3510" w:hanging="630"/>
        <w:rPr>
          <w:b/>
          <w:u w:val="single"/>
        </w:rPr>
      </w:pPr>
      <w:r>
        <w:rPr>
          <w:b/>
          <w:u w:val="single"/>
        </w:rPr>
        <w:t xml:space="preserve">(iv) </w:t>
      </w:r>
      <w:r>
        <w:rPr>
          <w:b/>
          <w:u w:val="single"/>
        </w:rPr>
        <w:tab/>
      </w:r>
      <w:r w:rsidR="000E75FF">
        <w:rPr>
          <w:b/>
          <w:u w:val="single"/>
        </w:rPr>
        <w:t xml:space="preserve">The 7.4% per-foot fee applies once to each foot of pole height.  </w:t>
      </w:r>
      <w:r w:rsidR="00596B23">
        <w:rPr>
          <w:b/>
          <w:u w:val="single"/>
        </w:rPr>
        <w:t>If</w:t>
      </w:r>
      <w:r w:rsidR="00C114E4" w:rsidRPr="00C114E4">
        <w:rPr>
          <w:b/>
          <w:u w:val="single"/>
        </w:rPr>
        <w:t xml:space="preserve"> </w:t>
      </w:r>
      <w:r w:rsidR="00BC6BFD">
        <w:rPr>
          <w:b/>
          <w:u w:val="single"/>
        </w:rPr>
        <w:t xml:space="preserve">multiple </w:t>
      </w:r>
      <w:r w:rsidR="000278A5">
        <w:rPr>
          <w:b/>
          <w:u w:val="single"/>
        </w:rPr>
        <w:t xml:space="preserve">CMRS </w:t>
      </w:r>
      <w:r w:rsidR="003D3AFA">
        <w:rPr>
          <w:b/>
          <w:u w:val="single"/>
        </w:rPr>
        <w:t xml:space="preserve">pole attachments are placed on different sides of a pole in the same horizontal plane, </w:t>
      </w:r>
      <w:r w:rsidR="006C2F55">
        <w:rPr>
          <w:b/>
          <w:u w:val="single"/>
        </w:rPr>
        <w:t>t</w:t>
      </w:r>
      <w:r w:rsidR="00C114E4" w:rsidRPr="00C114E4">
        <w:rPr>
          <w:b/>
          <w:u w:val="single"/>
        </w:rPr>
        <w:t xml:space="preserve">he 7.4% </w:t>
      </w:r>
      <w:r w:rsidR="003D3AFA">
        <w:rPr>
          <w:b/>
          <w:u w:val="single"/>
        </w:rPr>
        <w:t xml:space="preserve">per-foot </w:t>
      </w:r>
      <w:r w:rsidR="00C114E4" w:rsidRPr="00C114E4">
        <w:rPr>
          <w:b/>
          <w:u w:val="single"/>
        </w:rPr>
        <w:t xml:space="preserve">attachment fee </w:t>
      </w:r>
      <w:r w:rsidR="006D5FD6">
        <w:rPr>
          <w:b/>
          <w:u w:val="single"/>
        </w:rPr>
        <w:t>shall</w:t>
      </w:r>
      <w:r w:rsidR="00C114E4" w:rsidRPr="00C114E4">
        <w:rPr>
          <w:b/>
          <w:u w:val="single"/>
        </w:rPr>
        <w:t xml:space="preserve"> </w:t>
      </w:r>
      <w:r w:rsidR="003D3AFA">
        <w:rPr>
          <w:b/>
          <w:u w:val="single"/>
        </w:rPr>
        <w:t xml:space="preserve">be allocated to each CMRS attachment </w:t>
      </w:r>
      <w:r w:rsidR="00346BAF">
        <w:rPr>
          <w:b/>
          <w:u w:val="single"/>
        </w:rPr>
        <w:t xml:space="preserve">in the </w:t>
      </w:r>
      <w:r w:rsidR="000278A5">
        <w:rPr>
          <w:b/>
          <w:u w:val="single"/>
        </w:rPr>
        <w:t xml:space="preserve">same </w:t>
      </w:r>
      <w:r w:rsidR="00346BAF">
        <w:rPr>
          <w:b/>
          <w:u w:val="single"/>
        </w:rPr>
        <w:t xml:space="preserve">horizontal plane </w:t>
      </w:r>
      <w:r w:rsidR="003D3AFA">
        <w:rPr>
          <w:b/>
          <w:u w:val="single"/>
        </w:rPr>
        <w:t xml:space="preserve">based on the </w:t>
      </w:r>
      <w:r w:rsidR="00346BAF">
        <w:rPr>
          <w:b/>
          <w:u w:val="single"/>
        </w:rPr>
        <w:t xml:space="preserve">total </w:t>
      </w:r>
      <w:r w:rsidR="003D3AFA">
        <w:rPr>
          <w:b/>
          <w:u w:val="single"/>
        </w:rPr>
        <w:t xml:space="preserve">number of attachments in the horizontal plane.  </w:t>
      </w:r>
    </w:p>
    <w:p w:rsidR="00867576" w:rsidRDefault="006D5FD6" w:rsidP="006D5FD6">
      <w:pPr>
        <w:pStyle w:val="standard"/>
        <w:tabs>
          <w:tab w:val="left" w:pos="3510"/>
        </w:tabs>
        <w:spacing w:after="120" w:line="240" w:lineRule="auto"/>
        <w:ind w:left="3510" w:hanging="630"/>
      </w:pPr>
      <w:r>
        <w:rPr>
          <w:b/>
          <w:u w:val="single"/>
        </w:rPr>
        <w:t xml:space="preserve">(v) </w:t>
      </w:r>
      <w:r>
        <w:rPr>
          <w:b/>
          <w:u w:val="single"/>
        </w:rPr>
        <w:tab/>
      </w:r>
      <w:r w:rsidR="00867576">
        <w:rPr>
          <w:b/>
          <w:u w:val="single"/>
        </w:rPr>
        <w:t>The total pole</w:t>
      </w:r>
      <w:r w:rsidR="00984F6A">
        <w:rPr>
          <w:b/>
          <w:u w:val="single"/>
        </w:rPr>
        <w:noBreakHyphen/>
      </w:r>
      <w:r w:rsidR="00867576">
        <w:rPr>
          <w:b/>
          <w:u w:val="single"/>
        </w:rPr>
        <w:t>attachment fee</w:t>
      </w:r>
      <w:r w:rsidR="00984F6A">
        <w:rPr>
          <w:b/>
          <w:u w:val="single"/>
        </w:rPr>
        <w:t>s</w:t>
      </w:r>
      <w:r w:rsidR="00867576">
        <w:rPr>
          <w:b/>
          <w:u w:val="single"/>
        </w:rPr>
        <w:t xml:space="preserve"> for all CMRS a</w:t>
      </w:r>
      <w:r w:rsidR="00E8539F">
        <w:rPr>
          <w:b/>
          <w:u w:val="single"/>
        </w:rPr>
        <w:t>tt</w:t>
      </w:r>
      <w:r w:rsidR="00867576">
        <w:rPr>
          <w:b/>
          <w:u w:val="single"/>
        </w:rPr>
        <w:t xml:space="preserve">achments on a particular pole shall not exceed </w:t>
      </w:r>
      <w:r w:rsidR="00867576" w:rsidRPr="00867576">
        <w:rPr>
          <w:b/>
          <w:u w:val="single"/>
        </w:rPr>
        <w:t xml:space="preserve">100% of the </w:t>
      </w:r>
      <w:r w:rsidR="00984F6A">
        <w:rPr>
          <w:b/>
          <w:u w:val="single"/>
        </w:rPr>
        <w:t>pole’s cost-of-</w:t>
      </w:r>
      <w:r w:rsidR="00E8539F">
        <w:rPr>
          <w:b/>
          <w:u w:val="single"/>
        </w:rPr>
        <w:t>ownership</w:t>
      </w:r>
      <w:r w:rsidR="00867576" w:rsidRPr="00867576">
        <w:rPr>
          <w:b/>
          <w:u w:val="single"/>
        </w:rPr>
        <w:t>, less the proportion of the pole’s cost</w:t>
      </w:r>
      <w:r w:rsidR="00984F6A">
        <w:rPr>
          <w:b/>
          <w:u w:val="single"/>
        </w:rPr>
        <w:t>-of-ownership</w:t>
      </w:r>
      <w:r w:rsidR="00867576" w:rsidRPr="00867576">
        <w:rPr>
          <w:b/>
          <w:u w:val="single"/>
        </w:rPr>
        <w:t xml:space="preserve"> that is allocable to the pole space occupied by </w:t>
      </w:r>
      <w:r w:rsidR="00984F6A">
        <w:rPr>
          <w:b/>
          <w:u w:val="single"/>
        </w:rPr>
        <w:t xml:space="preserve">all </w:t>
      </w:r>
      <w:r w:rsidR="00867576" w:rsidRPr="00867576">
        <w:rPr>
          <w:b/>
          <w:u w:val="single"/>
        </w:rPr>
        <w:t>other pole attachments.</w:t>
      </w:r>
      <w:r w:rsidR="00867576">
        <w:t xml:space="preserve">  </w:t>
      </w:r>
    </w:p>
    <w:p w:rsidR="00867576" w:rsidRPr="00A45C68" w:rsidRDefault="00867576" w:rsidP="00937DC5">
      <w:pPr>
        <w:pStyle w:val="standard"/>
        <w:tabs>
          <w:tab w:val="left" w:pos="3510"/>
        </w:tabs>
        <w:spacing w:after="200" w:line="240" w:lineRule="auto"/>
        <w:ind w:left="3514" w:hanging="634"/>
        <w:rPr>
          <w:b/>
          <w:u w:val="single"/>
        </w:rPr>
      </w:pPr>
      <w:r w:rsidRPr="00867576">
        <w:rPr>
          <w:b/>
          <w:u w:val="single"/>
        </w:rPr>
        <w:t>(v</w:t>
      </w:r>
      <w:r w:rsidR="00C114E4">
        <w:rPr>
          <w:b/>
          <w:u w:val="single"/>
        </w:rPr>
        <w:t>i</w:t>
      </w:r>
      <w:r w:rsidRPr="00867576">
        <w:rPr>
          <w:b/>
          <w:u w:val="single"/>
        </w:rPr>
        <w:t xml:space="preserve">) </w:t>
      </w:r>
      <w:r w:rsidRPr="00867576">
        <w:rPr>
          <w:b/>
          <w:u w:val="single"/>
        </w:rPr>
        <w:tab/>
        <w:t xml:space="preserve">The </w:t>
      </w:r>
      <w:r w:rsidR="00984F6A">
        <w:rPr>
          <w:b/>
          <w:u w:val="single"/>
        </w:rPr>
        <w:t xml:space="preserve">7.4% </w:t>
      </w:r>
      <w:r w:rsidRPr="00867576">
        <w:rPr>
          <w:b/>
          <w:u w:val="single"/>
        </w:rPr>
        <w:t>per-foot fee does not apply to ele</w:t>
      </w:r>
      <w:r w:rsidR="00A9190A">
        <w:rPr>
          <w:b/>
          <w:u w:val="single"/>
        </w:rPr>
        <w:t>c</w:t>
      </w:r>
      <w:r w:rsidRPr="00867576">
        <w:rPr>
          <w:b/>
          <w:u w:val="single"/>
        </w:rPr>
        <w:t>tric meters, risers, and conduit associated with CMRS installations.</w:t>
      </w:r>
      <w:r>
        <w:t xml:space="preserve">  </w:t>
      </w:r>
    </w:p>
    <w:p w:rsidR="00D313F5" w:rsidRPr="00585DE0" w:rsidRDefault="00585DE0" w:rsidP="00585DE0">
      <w:pPr>
        <w:pStyle w:val="standard"/>
        <w:tabs>
          <w:tab w:val="left" w:pos="2880"/>
        </w:tabs>
        <w:spacing w:after="120" w:line="240" w:lineRule="auto"/>
        <w:ind w:left="2880" w:hanging="540"/>
      </w:pPr>
      <w:r w:rsidRPr="008D150A">
        <w:rPr>
          <w:b/>
          <w:u w:val="single"/>
        </w:rPr>
        <w:t>(</w:t>
      </w:r>
      <w:r w:rsidR="008D150A" w:rsidRPr="008D150A">
        <w:rPr>
          <w:b/>
          <w:u w:val="single"/>
        </w:rPr>
        <w:t>3</w:t>
      </w:r>
      <w:r w:rsidRPr="008D150A">
        <w:rPr>
          <w:b/>
          <w:u w:val="single"/>
        </w:rPr>
        <w:t>)</w:t>
      </w:r>
      <w:r>
        <w:t xml:space="preserve"> </w:t>
      </w:r>
      <w:r>
        <w:tab/>
      </w:r>
      <w:r w:rsidR="00D313F5" w:rsidRPr="00585DE0">
        <w:t>For support structures used by the telecommunications carrier</w:t>
      </w:r>
      <w:r w:rsidR="00B86F92">
        <w:t>,</w:t>
      </w:r>
      <w:r w:rsidR="00D313F5" w:rsidRPr="00585DE0">
        <w:t xml:space="preserve"> </w:t>
      </w:r>
      <w:r w:rsidR="00B86F92" w:rsidRPr="00585DE0">
        <w:rPr>
          <w:b/>
          <w:u w:val="single"/>
        </w:rPr>
        <w:t xml:space="preserve">CMRS </w:t>
      </w:r>
      <w:r w:rsidR="00B86F92">
        <w:rPr>
          <w:b/>
          <w:u w:val="single"/>
        </w:rPr>
        <w:t>carrier,</w:t>
      </w:r>
      <w:r w:rsidR="00B86F92" w:rsidRPr="00585DE0">
        <w:t xml:space="preserve"> </w:t>
      </w:r>
      <w:r w:rsidR="00D313F5" w:rsidRPr="00585DE0">
        <w:t>or cable TV company, other than poles or anchors, a percentage of the annual cost of ownership for the support structure, computed by dividing the volume or capacity rendered unusable by the telecommunications carrier’s</w:t>
      </w:r>
      <w:r w:rsidR="00B86F92">
        <w:t xml:space="preserve">, </w:t>
      </w:r>
      <w:r w:rsidR="00B86F92" w:rsidRPr="00585DE0">
        <w:rPr>
          <w:b/>
          <w:u w:val="single"/>
        </w:rPr>
        <w:t xml:space="preserve">CMRS </w:t>
      </w:r>
      <w:r w:rsidR="00B86F92">
        <w:rPr>
          <w:b/>
          <w:u w:val="single"/>
        </w:rPr>
        <w:t>carrier’s,</w:t>
      </w:r>
      <w:r w:rsidR="00D313F5" w:rsidRPr="00585DE0">
        <w:t xml:space="preserve"> or cable</w:t>
      </w:r>
      <w:r w:rsidR="00B86F92">
        <w:t> </w:t>
      </w:r>
      <w:r w:rsidR="00D313F5" w:rsidRPr="00585DE0">
        <w:t>TV company’s equipment by the total usable volume or capacity.  As used in this paragraph, “total usable volume or capacity” means all volume or capacity in which the public utility’s line, plant, or system could legally be located, including the volume or capacity rendered unusable by the telecommunications carrier’s</w:t>
      </w:r>
      <w:r w:rsidR="00B86F92">
        <w:t xml:space="preserve">, </w:t>
      </w:r>
      <w:r w:rsidR="00B86F92" w:rsidRPr="00585DE0">
        <w:rPr>
          <w:b/>
          <w:u w:val="single"/>
        </w:rPr>
        <w:t xml:space="preserve">CMRS </w:t>
      </w:r>
      <w:r w:rsidR="00B86F92">
        <w:rPr>
          <w:b/>
          <w:u w:val="single"/>
        </w:rPr>
        <w:t>carrier’s,</w:t>
      </w:r>
      <w:r w:rsidR="00B86F92" w:rsidRPr="00585DE0">
        <w:t xml:space="preserve"> </w:t>
      </w:r>
      <w:r w:rsidR="00D313F5" w:rsidRPr="00585DE0">
        <w:t>or cable</w:t>
      </w:r>
      <w:r w:rsidR="00B86F92">
        <w:t> </w:t>
      </w:r>
      <w:r w:rsidR="00D313F5" w:rsidRPr="00585DE0">
        <w:t>TV company’s equipment.</w:t>
      </w:r>
    </w:p>
    <w:p w:rsidR="00937DC5" w:rsidRDefault="00D313F5" w:rsidP="00937DC5">
      <w:pPr>
        <w:pStyle w:val="standard"/>
        <w:keepLines/>
        <w:tabs>
          <w:tab w:val="left" w:pos="2160"/>
        </w:tabs>
        <w:spacing w:after="120" w:line="240" w:lineRule="auto"/>
        <w:ind w:left="2174" w:hanging="547"/>
      </w:pPr>
      <w:r w:rsidRPr="00585DE0">
        <w:lastRenderedPageBreak/>
        <w:t>c.</w:t>
      </w:r>
      <w:r w:rsidRPr="00585DE0">
        <w:tab/>
      </w:r>
      <w:r w:rsidR="001B4A64" w:rsidRPr="000F6E76">
        <w:rPr>
          <w:b/>
          <w:u w:val="single"/>
        </w:rPr>
        <w:t>Except as allowed by Section VI.</w:t>
      </w:r>
      <w:r w:rsidR="000F6E76" w:rsidRPr="000F6E76">
        <w:rPr>
          <w:b/>
          <w:u w:val="single"/>
        </w:rPr>
        <w:t>B.1.</w:t>
      </w:r>
      <w:r w:rsidR="000F6E76">
        <w:rPr>
          <w:b/>
          <w:u w:val="single"/>
        </w:rPr>
        <w:t>b</w:t>
      </w:r>
      <w:r w:rsidR="000F6E76" w:rsidRPr="000F6E76">
        <w:rPr>
          <w:b/>
          <w:u w:val="single"/>
        </w:rPr>
        <w:t>.2, above,</w:t>
      </w:r>
      <w:r w:rsidR="000F6E76">
        <w:t xml:space="preserve"> </w:t>
      </w:r>
      <w:r w:rsidR="000F6E76" w:rsidRPr="001C5AFC">
        <w:rPr>
          <w:b/>
          <w:strike/>
        </w:rPr>
        <w:t>A</w:t>
      </w:r>
      <w:r w:rsidR="000F6E76">
        <w:t xml:space="preserve"> </w:t>
      </w:r>
      <w:r w:rsidR="000F6E76" w:rsidRPr="000F6E76">
        <w:rPr>
          <w:b/>
          <w:u w:val="single"/>
        </w:rPr>
        <w:t>a</w:t>
      </w:r>
      <w:r w:rsidRPr="00585DE0">
        <w:t xml:space="preserve"> utility may not charge a telecommunications carrier</w:t>
      </w:r>
      <w:r w:rsidR="000F6E76" w:rsidRPr="000F6E76">
        <w:rPr>
          <w:b/>
          <w:u w:val="single"/>
        </w:rPr>
        <w:t>, CMRS carrier,</w:t>
      </w:r>
      <w:r w:rsidR="001B4A64" w:rsidRPr="000F6E76">
        <w:rPr>
          <w:b/>
          <w:u w:val="single"/>
        </w:rPr>
        <w:t xml:space="preserve"> </w:t>
      </w:r>
      <w:r w:rsidRPr="00585DE0">
        <w:t>or cable</w:t>
      </w:r>
      <w:r w:rsidR="001B4A64">
        <w:t> </w:t>
      </w:r>
      <w:r w:rsidRPr="00585DE0">
        <w:t>TV company a higher rate for access to its rights of way and support structures than it would charge a similarly situated cable television corporation for access to the same rights of way and support structures.</w:t>
      </w:r>
      <w:r w:rsidR="00CF612B">
        <w:t xml:space="preserve">  </w:t>
      </w:r>
    </w:p>
    <w:p w:rsidR="00CF612B" w:rsidRPr="00B04459" w:rsidRDefault="00937DC5" w:rsidP="00CF612B">
      <w:pPr>
        <w:pStyle w:val="standard"/>
        <w:keepLines/>
        <w:tabs>
          <w:tab w:val="left" w:pos="2160"/>
        </w:tabs>
        <w:spacing w:after="240" w:line="240" w:lineRule="auto"/>
        <w:ind w:left="2174" w:hanging="547"/>
        <w:rPr>
          <w:b/>
          <w:u w:val="single"/>
        </w:rPr>
      </w:pPr>
      <w:r>
        <w:t xml:space="preserve">d. </w:t>
      </w:r>
      <w:r>
        <w:tab/>
      </w:r>
      <w:r w:rsidRPr="00937DC5">
        <w:rPr>
          <w:b/>
          <w:u w:val="single"/>
        </w:rPr>
        <w:t>A</w:t>
      </w:r>
      <w:r w:rsidR="00CF612B" w:rsidRPr="00CF612B">
        <w:rPr>
          <w:b/>
          <w:u w:val="single"/>
        </w:rPr>
        <w:t xml:space="preserve"> utility may not charge a CMRS carrier a higher rate for access to its rights of way and support structures than it would charge a similarly situated CMRS carrier for access to the same rights of way and support structures.</w:t>
      </w:r>
    </w:p>
    <w:p w:rsidR="00D313F5" w:rsidRPr="00E0456D" w:rsidRDefault="00D313F5" w:rsidP="00A37787">
      <w:pPr>
        <w:pStyle w:val="standard"/>
        <w:keepNext/>
        <w:tabs>
          <w:tab w:val="left" w:pos="1260"/>
        </w:tabs>
        <w:spacing w:after="120" w:line="240" w:lineRule="auto"/>
        <w:ind w:left="1260" w:hanging="547"/>
      </w:pPr>
      <w:r w:rsidRPr="00E0456D">
        <w:t>C.</w:t>
      </w:r>
      <w:r w:rsidRPr="00E0456D">
        <w:tab/>
        <w:t>CONTRACTS</w:t>
      </w:r>
    </w:p>
    <w:p w:rsidR="00D313F5" w:rsidRPr="00E0456D" w:rsidRDefault="00D313F5" w:rsidP="00025926">
      <w:pPr>
        <w:pStyle w:val="standard"/>
        <w:tabs>
          <w:tab w:val="left" w:pos="1440"/>
        </w:tabs>
        <w:spacing w:after="120" w:line="240" w:lineRule="auto"/>
        <w:ind w:left="1440" w:hanging="540"/>
      </w:pPr>
      <w:r w:rsidRPr="00E0456D">
        <w:t>1.</w:t>
      </w:r>
      <w:r w:rsidRPr="00E0456D">
        <w:tab/>
        <w:t xml:space="preserve">A utility that provides or has negotiated an agreement with a telecommunications carrier, </w:t>
      </w:r>
      <w:r w:rsidRPr="00E0456D">
        <w:rPr>
          <w:b/>
          <w:u w:val="single"/>
        </w:rPr>
        <w:t xml:space="preserve">CMRS </w:t>
      </w:r>
      <w:r w:rsidR="00714AD3">
        <w:rPr>
          <w:b/>
          <w:u w:val="single"/>
        </w:rPr>
        <w:t>carrier</w:t>
      </w:r>
      <w:r w:rsidRPr="00E0456D">
        <w:t>, or cable</w:t>
      </w:r>
      <w:r w:rsidR="00585DE0">
        <w:t> </w:t>
      </w:r>
      <w:r w:rsidRPr="00E0456D">
        <w:t>TV company to provide access to its support structures shall file with the Commission the executed contract showing:</w:t>
      </w:r>
    </w:p>
    <w:p w:rsidR="00D313F5" w:rsidRPr="00E0456D" w:rsidRDefault="00D313F5" w:rsidP="00E0456D">
      <w:pPr>
        <w:pStyle w:val="standard"/>
        <w:tabs>
          <w:tab w:val="left" w:pos="2160"/>
        </w:tabs>
        <w:spacing w:after="120" w:line="240" w:lineRule="auto"/>
        <w:ind w:left="2160" w:hanging="540"/>
      </w:pPr>
      <w:r w:rsidRPr="00E0456D">
        <w:t>a.</w:t>
      </w:r>
      <w:r w:rsidRPr="00E0456D">
        <w:tab/>
        <w:t>The annual fee for attaching to a pole and supporting anchor.</w:t>
      </w:r>
    </w:p>
    <w:p w:rsidR="00D313F5" w:rsidRPr="00E0456D" w:rsidRDefault="00D313F5" w:rsidP="00E0456D">
      <w:pPr>
        <w:pStyle w:val="standard"/>
        <w:tabs>
          <w:tab w:val="left" w:pos="2160"/>
        </w:tabs>
        <w:spacing w:after="120" w:line="240" w:lineRule="auto"/>
        <w:ind w:left="2160" w:hanging="540"/>
      </w:pPr>
      <w:r w:rsidRPr="00E0456D">
        <w:t>b.</w:t>
      </w:r>
      <w:r w:rsidRPr="00E0456D">
        <w:tab/>
        <w:t>The annual fee per linear foot for use of conduit.</w:t>
      </w:r>
    </w:p>
    <w:p w:rsidR="00D313F5" w:rsidRPr="00E0456D" w:rsidRDefault="00D313F5" w:rsidP="00E0456D">
      <w:pPr>
        <w:pStyle w:val="standard"/>
        <w:tabs>
          <w:tab w:val="left" w:pos="2160"/>
        </w:tabs>
        <w:spacing w:after="120" w:line="240" w:lineRule="auto"/>
        <w:ind w:left="2160" w:hanging="540"/>
      </w:pPr>
      <w:r w:rsidRPr="00E0456D">
        <w:t>c.</w:t>
      </w:r>
      <w:r w:rsidRPr="00E0456D">
        <w:tab/>
        <w:t>Unit costs for all make ready and rearrangements work.</w:t>
      </w:r>
    </w:p>
    <w:p w:rsidR="00D313F5" w:rsidRPr="00E0456D" w:rsidRDefault="00D313F5" w:rsidP="00E0456D">
      <w:pPr>
        <w:pStyle w:val="standard"/>
        <w:tabs>
          <w:tab w:val="left" w:pos="2160"/>
        </w:tabs>
        <w:spacing w:after="120" w:line="240" w:lineRule="auto"/>
        <w:ind w:left="2160" w:hanging="540"/>
      </w:pPr>
      <w:r w:rsidRPr="00E0456D">
        <w:t>d.</w:t>
      </w:r>
      <w:r w:rsidRPr="00E0456D">
        <w:tab/>
        <w:t>All terms and conditions governing access to its rights of way and support structures.</w:t>
      </w:r>
    </w:p>
    <w:p w:rsidR="00D313F5" w:rsidRPr="00E0456D" w:rsidRDefault="00D313F5" w:rsidP="00E0456D">
      <w:pPr>
        <w:pStyle w:val="standard"/>
        <w:tabs>
          <w:tab w:val="left" w:pos="2160"/>
        </w:tabs>
        <w:spacing w:after="120" w:line="240" w:lineRule="auto"/>
        <w:ind w:left="2160" w:hanging="540"/>
      </w:pPr>
      <w:r w:rsidRPr="00E0456D">
        <w:t>e.</w:t>
      </w:r>
      <w:r w:rsidRPr="00E0456D">
        <w:tab/>
        <w:t>The fee for copies or preparation of maps, drawings and plans for attachment to or use of support structures.</w:t>
      </w:r>
    </w:p>
    <w:p w:rsidR="00D313F5" w:rsidRPr="00E0456D" w:rsidRDefault="00D313F5" w:rsidP="00025926">
      <w:pPr>
        <w:pStyle w:val="standard"/>
        <w:tabs>
          <w:tab w:val="left" w:pos="1440"/>
        </w:tabs>
        <w:spacing w:after="120" w:line="240" w:lineRule="auto"/>
        <w:ind w:left="1440" w:hanging="540"/>
      </w:pPr>
      <w:r w:rsidRPr="00E0456D">
        <w:t>2.</w:t>
      </w:r>
      <w:r w:rsidRPr="00E0456D">
        <w:tab/>
        <w:t xml:space="preserve">A utility entering into contracts with telecommunications carriers, </w:t>
      </w:r>
      <w:r w:rsidRPr="00E0456D">
        <w:rPr>
          <w:b/>
          <w:u w:val="single"/>
        </w:rPr>
        <w:t>CMRS</w:t>
      </w:r>
      <w:r w:rsidR="00ED7A49" w:rsidRPr="00E0456D">
        <w:rPr>
          <w:b/>
          <w:u w:val="single"/>
        </w:rPr>
        <w:t> </w:t>
      </w:r>
      <w:r w:rsidR="00714AD3">
        <w:rPr>
          <w:b/>
          <w:u w:val="single"/>
        </w:rPr>
        <w:t>carrier</w:t>
      </w:r>
      <w:r w:rsidRPr="00E0456D">
        <w:rPr>
          <w:b/>
          <w:u w:val="single"/>
        </w:rPr>
        <w:t>s</w:t>
      </w:r>
      <w:r w:rsidRPr="00E0456D">
        <w:t xml:space="preserve">, or cable TV companies or cable TV company for access to its support structures, shall file such contracts with the Commission pursuant to General Order 96, available for full public inspection, and </w:t>
      </w:r>
      <w:r w:rsidRPr="00025926">
        <w:t>extended</w:t>
      </w:r>
      <w:r w:rsidRPr="00E0456D">
        <w:t xml:space="preserve"> on a nondiscriminatory basis to all other similarly situated telecommunications carriers, </w:t>
      </w:r>
      <w:r w:rsidRPr="00E0456D">
        <w:rPr>
          <w:b/>
          <w:u w:val="single"/>
        </w:rPr>
        <w:t xml:space="preserve">CMRS </w:t>
      </w:r>
      <w:r w:rsidR="00714AD3">
        <w:rPr>
          <w:b/>
          <w:u w:val="single"/>
        </w:rPr>
        <w:t>carrier</w:t>
      </w:r>
      <w:r w:rsidRPr="00E0456D">
        <w:rPr>
          <w:b/>
          <w:u w:val="single"/>
        </w:rPr>
        <w:t>s</w:t>
      </w:r>
      <w:r w:rsidRPr="00E0456D">
        <w:t>, or cable</w:t>
      </w:r>
      <w:r w:rsidR="00AB0997" w:rsidRPr="00E0456D">
        <w:t> </w:t>
      </w:r>
      <w:r w:rsidRPr="00E0456D">
        <w:t>TV companies.  If the contracts are mutually negotiated and submitted as being pursuant to the terms of 251 and 252 of TA</w:t>
      </w:r>
      <w:r w:rsidR="00AB0997" w:rsidRPr="00E0456D">
        <w:t> </w:t>
      </w:r>
      <w:r w:rsidRPr="00E0456D">
        <w:t>96, they shall be reviewed consistent with the provisions of Resolution</w:t>
      </w:r>
      <w:r w:rsidR="00AB0997" w:rsidRPr="00E0456D">
        <w:t> </w:t>
      </w:r>
      <w:r w:rsidRPr="00E0456D">
        <w:t>ALJ</w:t>
      </w:r>
      <w:r w:rsidR="00AB0997" w:rsidRPr="00E0456D">
        <w:noBreakHyphen/>
      </w:r>
      <w:r w:rsidRPr="00E0456D">
        <w:t>174.</w:t>
      </w:r>
    </w:p>
    <w:p w:rsidR="00D313F5" w:rsidRPr="00025926" w:rsidRDefault="00D313F5" w:rsidP="00A37787">
      <w:pPr>
        <w:pStyle w:val="standard"/>
        <w:keepNext/>
        <w:tabs>
          <w:tab w:val="left" w:pos="1260"/>
        </w:tabs>
        <w:spacing w:after="120" w:line="240" w:lineRule="auto"/>
        <w:ind w:left="1260" w:hanging="547"/>
      </w:pPr>
      <w:r w:rsidRPr="00025926">
        <w:lastRenderedPageBreak/>
        <w:t>D.</w:t>
      </w:r>
      <w:r w:rsidRPr="00025926">
        <w:tab/>
        <w:t>UNAUTHORIZED ATTACHMENTS</w:t>
      </w:r>
    </w:p>
    <w:p w:rsidR="00D313F5" w:rsidRPr="00025926" w:rsidRDefault="00D313F5" w:rsidP="00025926">
      <w:pPr>
        <w:pStyle w:val="standard"/>
        <w:tabs>
          <w:tab w:val="left" w:pos="1440"/>
        </w:tabs>
        <w:spacing w:after="120" w:line="240" w:lineRule="auto"/>
        <w:ind w:left="1440" w:hanging="540"/>
      </w:pPr>
      <w:r w:rsidRPr="00025926">
        <w:t>1.</w:t>
      </w:r>
      <w:r w:rsidRPr="00025926">
        <w:tab/>
        <w:t>No party may attach to the right of way or support structure of another utility without the express written authorization from the utility.</w:t>
      </w:r>
    </w:p>
    <w:p w:rsidR="00D313F5" w:rsidRPr="00025926" w:rsidRDefault="00D313F5" w:rsidP="00025926">
      <w:pPr>
        <w:pStyle w:val="standard"/>
        <w:tabs>
          <w:tab w:val="left" w:pos="1440"/>
        </w:tabs>
        <w:spacing w:after="120" w:line="240" w:lineRule="auto"/>
        <w:ind w:left="1440" w:hanging="540"/>
      </w:pPr>
      <w:r w:rsidRPr="00025926">
        <w:t>2.</w:t>
      </w:r>
      <w:r w:rsidRPr="00025926">
        <w:tab/>
        <w:t>For every violation of the duty to obtain approval before attaching, the owner or operator of the unauthorized attachment shall pay to the utility a penalty of $500 for each violation.  This fee is in addition to all other costs which are part of the attacher’s responsibility.  Each unauthorized pole attachment shall count as a separate violation for assessing the penalty.</w:t>
      </w:r>
    </w:p>
    <w:p w:rsidR="00D313F5" w:rsidRPr="00025926" w:rsidRDefault="00D313F5" w:rsidP="00025926">
      <w:pPr>
        <w:pStyle w:val="standard"/>
        <w:tabs>
          <w:tab w:val="left" w:pos="1440"/>
        </w:tabs>
        <w:spacing w:after="120" w:line="240" w:lineRule="auto"/>
        <w:ind w:left="1440" w:hanging="540"/>
      </w:pPr>
      <w:r w:rsidRPr="00025926">
        <w:t>3.</w:t>
      </w:r>
      <w:r w:rsidRPr="00025926">
        <w:tab/>
        <w:t>Any violation of the duty to obtain permission before attaching shall be cause for imposition of sanctions as, in the Commissioner’s judgment, are necessary to deter the party from in the future breaching its duty to obtain permission before attaching will be accompanied by findings of fact that permit the pole owner to seek further remedies in a civil action.</w:t>
      </w:r>
    </w:p>
    <w:p w:rsidR="00D313F5" w:rsidRPr="00025926" w:rsidRDefault="00D313F5" w:rsidP="00937DC5">
      <w:pPr>
        <w:pStyle w:val="standard"/>
        <w:tabs>
          <w:tab w:val="left" w:pos="1440"/>
        </w:tabs>
        <w:spacing w:after="200" w:line="240" w:lineRule="auto"/>
        <w:ind w:left="1454" w:hanging="547"/>
      </w:pPr>
      <w:r w:rsidRPr="00025926">
        <w:t>4.</w:t>
      </w:r>
      <w:r w:rsidRPr="00025926">
        <w:tab/>
        <w:t>This Section D applies to existing attachments as of the effective date of these rules.</w:t>
      </w:r>
    </w:p>
    <w:p w:rsidR="00D313F5" w:rsidRPr="00E55005" w:rsidRDefault="00D313F5" w:rsidP="00E55005">
      <w:pPr>
        <w:pStyle w:val="standard"/>
        <w:keepNext/>
        <w:spacing w:after="120" w:line="240" w:lineRule="auto"/>
        <w:ind w:firstLine="0"/>
      </w:pPr>
      <w:r w:rsidRPr="00E55005">
        <w:t>VII.</w:t>
      </w:r>
      <w:r w:rsidRPr="00E55005">
        <w:tab/>
        <w:t>RESERVATIONS OF CAPACITY FOR FUTURE USE</w:t>
      </w:r>
    </w:p>
    <w:p w:rsidR="00D313F5" w:rsidRPr="001744C1" w:rsidRDefault="00E55005" w:rsidP="00E55005">
      <w:pPr>
        <w:pStyle w:val="standard"/>
        <w:tabs>
          <w:tab w:val="left" w:pos="720"/>
        </w:tabs>
        <w:spacing w:after="120" w:line="240" w:lineRule="auto"/>
        <w:ind w:left="720" w:hanging="540"/>
      </w:pPr>
      <w:r>
        <w:t xml:space="preserve">A. </w:t>
      </w:r>
      <w:r>
        <w:tab/>
      </w:r>
      <w:r w:rsidR="00D313F5" w:rsidRPr="00E55005">
        <w:t>No utility shall adopt, enforce or purport to enforce against a</w:t>
      </w:r>
      <w:r w:rsidR="00D313F5" w:rsidRPr="001744C1">
        <w:t xml:space="preserve"> telecommunications carrier, </w:t>
      </w:r>
      <w:r w:rsidR="00D313F5" w:rsidRPr="001744C1">
        <w:rPr>
          <w:b/>
          <w:u w:val="single"/>
        </w:rPr>
        <w:t xml:space="preserve">CMRS </w:t>
      </w:r>
      <w:r w:rsidR="00714AD3">
        <w:rPr>
          <w:b/>
          <w:u w:val="single"/>
        </w:rPr>
        <w:t>carrier</w:t>
      </w:r>
      <w:r w:rsidR="00D313F5" w:rsidRPr="001744C1">
        <w:t xml:space="preserve">, or cable TV company any “hold off,” moratorium, reservation of rights or other policy by which it refuses to make currently unused space or capacity on or in its support structures available to telecommunications carriers, </w:t>
      </w:r>
      <w:r w:rsidR="00D313F5" w:rsidRPr="001744C1">
        <w:rPr>
          <w:b/>
          <w:u w:val="single"/>
        </w:rPr>
        <w:t xml:space="preserve">CMRS </w:t>
      </w:r>
      <w:r w:rsidR="00714AD3">
        <w:rPr>
          <w:b/>
          <w:u w:val="single"/>
        </w:rPr>
        <w:t>carrier</w:t>
      </w:r>
      <w:r w:rsidR="00D313F5" w:rsidRPr="001744C1">
        <w:rPr>
          <w:b/>
          <w:u w:val="single"/>
        </w:rPr>
        <w:t>s</w:t>
      </w:r>
      <w:r w:rsidR="00D313F5" w:rsidRPr="001744C1">
        <w:t>, or cable TV companies requesting access to such support structures, except as provided for in Part C below.</w:t>
      </w:r>
    </w:p>
    <w:p w:rsidR="00D313F5" w:rsidRPr="00F86728" w:rsidRDefault="00E55005" w:rsidP="00E55005">
      <w:pPr>
        <w:pStyle w:val="standard"/>
        <w:tabs>
          <w:tab w:val="left" w:pos="720"/>
        </w:tabs>
        <w:spacing w:after="120" w:line="240" w:lineRule="auto"/>
        <w:ind w:left="720" w:hanging="540"/>
      </w:pPr>
      <w:r w:rsidRPr="00F86728">
        <w:t xml:space="preserve">B. </w:t>
      </w:r>
      <w:r w:rsidRPr="00F86728">
        <w:tab/>
      </w:r>
      <w:r w:rsidR="00D313F5" w:rsidRPr="00F86728">
        <w:t>All access to a utility’s support structures and rights of way shall be subject to the requirements of Public Utilities Code § 851 and General Order 69C.  Instead of capacity reclamation, our preferred outcome is for the expansion of existing support structures to accommodate the need for additional attachments.</w:t>
      </w:r>
    </w:p>
    <w:p w:rsidR="00D313F5" w:rsidRPr="002E09BB" w:rsidRDefault="00E55005" w:rsidP="00E55005">
      <w:pPr>
        <w:pStyle w:val="standard"/>
        <w:tabs>
          <w:tab w:val="left" w:pos="720"/>
        </w:tabs>
        <w:spacing w:after="120" w:line="240" w:lineRule="auto"/>
        <w:ind w:left="720" w:hanging="540"/>
      </w:pPr>
      <w:r w:rsidRPr="002E09BB">
        <w:t xml:space="preserve">C. </w:t>
      </w:r>
      <w:r w:rsidRPr="002E09BB">
        <w:tab/>
      </w:r>
      <w:r w:rsidR="00D313F5" w:rsidRPr="002E09BB">
        <w:t>Notwithstanding the provisions of Paragraphs VII.A and VII.B, an electric utility may reserve space for up to 12 months on its support structures required to serve core utility customers where it demonstrates that:  (i)</w:t>
      </w:r>
      <w:r w:rsidR="002E09BB">
        <w:t> </w:t>
      </w:r>
      <w:r w:rsidR="00D313F5" w:rsidRPr="002E09BB">
        <w:t xml:space="preserve">prior to a request for access having been made, it had a bona fide development plan in place prior to the request and that the specific </w:t>
      </w:r>
      <w:r w:rsidR="00D313F5" w:rsidRPr="002E09BB">
        <w:lastRenderedPageBreak/>
        <w:t xml:space="preserve">reservation of attachment capacity is reasonably and specifically needed for the immediate provision (within one year of the request) of its core utility service, (ii) there is no other feasible solution to meeting its immediately foreseeable needs, (iii) there is no available technological means of increasing the capacity of the support structure for additional attachments, and (iv) it has attempted to negotiate a cooperative solution to the capacity problem in good faith with </w:t>
      </w:r>
      <w:r w:rsidR="00D313F5" w:rsidRPr="00E55005">
        <w:t>the</w:t>
      </w:r>
      <w:r w:rsidR="00D313F5" w:rsidRPr="002E09BB">
        <w:t xml:space="preserve"> party seeking the attachment.  An ILEC may earmark space for imminent use where construction is planned to begin within nine months of a request for access.  A CLC, </w:t>
      </w:r>
      <w:r w:rsidR="00D313F5" w:rsidRPr="002E09BB">
        <w:rPr>
          <w:b/>
          <w:u w:val="single"/>
        </w:rPr>
        <w:t xml:space="preserve">CMRS </w:t>
      </w:r>
      <w:r w:rsidR="00714AD3">
        <w:rPr>
          <w:b/>
          <w:u w:val="single"/>
        </w:rPr>
        <w:t>carrier</w:t>
      </w:r>
      <w:r w:rsidR="00D313F5" w:rsidRPr="002E09BB">
        <w:t>, or cable</w:t>
      </w:r>
      <w:r w:rsidR="00E35516" w:rsidRPr="002E09BB">
        <w:t> </w:t>
      </w:r>
      <w:r w:rsidR="00D313F5" w:rsidRPr="002E09BB">
        <w:t>TV company must likewise use space within nine months of the date when a request for access is granted, or else will become subject to reversion of its access.</w:t>
      </w:r>
    </w:p>
    <w:p w:rsidR="00E35516" w:rsidRPr="00E55005" w:rsidRDefault="00E35516" w:rsidP="00E55005">
      <w:pPr>
        <w:pStyle w:val="standard"/>
        <w:spacing w:line="240" w:lineRule="auto"/>
      </w:pPr>
    </w:p>
    <w:p w:rsidR="00D313F5" w:rsidRPr="00E55005" w:rsidRDefault="00E55005" w:rsidP="00E55005">
      <w:pPr>
        <w:pStyle w:val="standard"/>
        <w:keepNext/>
        <w:spacing w:after="120" w:line="240" w:lineRule="auto"/>
        <w:ind w:firstLine="0"/>
      </w:pPr>
      <w:r>
        <w:t xml:space="preserve">VIII. </w:t>
      </w:r>
      <w:r>
        <w:tab/>
      </w:r>
      <w:r w:rsidR="00D313F5" w:rsidRPr="00E55005">
        <w:t>MODIFICATIONS OF EXISTING SUPPORT STRUCTURES</w:t>
      </w:r>
    </w:p>
    <w:p w:rsidR="00D313F5" w:rsidRPr="00E55005" w:rsidRDefault="00E55005" w:rsidP="00A37787">
      <w:pPr>
        <w:pStyle w:val="standard"/>
        <w:keepNext/>
        <w:tabs>
          <w:tab w:val="left" w:pos="1260"/>
        </w:tabs>
        <w:spacing w:after="120" w:line="240" w:lineRule="auto"/>
        <w:ind w:left="1260" w:hanging="547"/>
      </w:pPr>
      <w:r>
        <w:t xml:space="preserve">A. </w:t>
      </w:r>
      <w:r>
        <w:tab/>
      </w:r>
      <w:r w:rsidR="00D313F5" w:rsidRPr="00E55005">
        <w:t>NOTIFICATION TO PARTIES ON OR IN SUPPORT STRUCTURES</w:t>
      </w:r>
    </w:p>
    <w:p w:rsidR="00D313F5" w:rsidRPr="00E55005" w:rsidRDefault="00E55005" w:rsidP="00E55005">
      <w:pPr>
        <w:pStyle w:val="standard"/>
        <w:tabs>
          <w:tab w:val="left" w:pos="1440"/>
        </w:tabs>
        <w:spacing w:after="120" w:line="240" w:lineRule="auto"/>
        <w:ind w:left="1440" w:hanging="540"/>
      </w:pPr>
      <w:r>
        <w:t xml:space="preserve">1. </w:t>
      </w:r>
      <w:r>
        <w:tab/>
      </w:r>
      <w:r w:rsidR="00D313F5" w:rsidRPr="00E55005">
        <w:t>Absent a private agreement establishing notification procedures, written notification of a modification should be provided to parties with attachments on or in the support structure to be modified at least 60 days prior to the commencement of the modification.  Notification shall not be required for emergency modifications or routine maintenance activities.</w:t>
      </w:r>
    </w:p>
    <w:p w:rsidR="00E35516" w:rsidRPr="00E55005" w:rsidRDefault="00E35516" w:rsidP="00E55005">
      <w:pPr>
        <w:pStyle w:val="standard"/>
        <w:spacing w:line="240" w:lineRule="auto"/>
      </w:pPr>
    </w:p>
    <w:p w:rsidR="00D313F5" w:rsidRPr="00E55005" w:rsidRDefault="00E55005" w:rsidP="00A37787">
      <w:pPr>
        <w:pStyle w:val="standard"/>
        <w:keepNext/>
        <w:tabs>
          <w:tab w:val="left" w:pos="1260"/>
        </w:tabs>
        <w:spacing w:after="120" w:line="240" w:lineRule="auto"/>
        <w:ind w:left="1260" w:hanging="547"/>
      </w:pPr>
      <w:r>
        <w:t xml:space="preserve">B. </w:t>
      </w:r>
      <w:r>
        <w:tab/>
      </w:r>
      <w:r w:rsidR="00D313F5" w:rsidRPr="00E55005">
        <w:t>NOTIFICATION GENERALLY</w:t>
      </w:r>
    </w:p>
    <w:p w:rsidR="00D313F5" w:rsidRPr="00E55005" w:rsidRDefault="00E55005" w:rsidP="00E55005">
      <w:pPr>
        <w:pStyle w:val="standard"/>
        <w:tabs>
          <w:tab w:val="left" w:pos="1440"/>
        </w:tabs>
        <w:spacing w:after="120" w:line="240" w:lineRule="auto"/>
        <w:ind w:left="1440" w:hanging="540"/>
      </w:pPr>
      <w:r>
        <w:t xml:space="preserve">1. </w:t>
      </w:r>
      <w:r>
        <w:tab/>
      </w:r>
      <w:r w:rsidR="00D313F5" w:rsidRPr="00E55005">
        <w:t>Utilities and telecommunications carriers shall cooperate to develop a means by which notice of planned modifications to utility support structures may be published in a centralized, uniformly accessible location (e.g., a “web page” on the Internet).</w:t>
      </w:r>
    </w:p>
    <w:p w:rsidR="00E35516" w:rsidRPr="00E55005" w:rsidRDefault="00E35516" w:rsidP="00E55005">
      <w:pPr>
        <w:pStyle w:val="standard"/>
        <w:spacing w:line="240" w:lineRule="auto"/>
      </w:pPr>
    </w:p>
    <w:p w:rsidR="00D313F5" w:rsidRPr="00E55005" w:rsidRDefault="00E55005" w:rsidP="00A37787">
      <w:pPr>
        <w:pStyle w:val="standard"/>
        <w:keepNext/>
        <w:tabs>
          <w:tab w:val="left" w:pos="1260"/>
        </w:tabs>
        <w:spacing w:after="120" w:line="240" w:lineRule="auto"/>
        <w:ind w:left="1260" w:hanging="547"/>
      </w:pPr>
      <w:r>
        <w:t xml:space="preserve">A. </w:t>
      </w:r>
      <w:r>
        <w:tab/>
      </w:r>
      <w:r w:rsidR="00D313F5" w:rsidRPr="00E55005">
        <w:t>SHARING THE COST OF MODIFICATIONS</w:t>
      </w:r>
    </w:p>
    <w:p w:rsidR="00D313F5" w:rsidRPr="004402F3" w:rsidRDefault="004402F3" w:rsidP="004402F3">
      <w:pPr>
        <w:pStyle w:val="standard"/>
        <w:tabs>
          <w:tab w:val="left" w:pos="1440"/>
        </w:tabs>
        <w:spacing w:after="120" w:line="240" w:lineRule="auto"/>
        <w:ind w:left="1440" w:hanging="540"/>
      </w:pPr>
      <w:r>
        <w:t xml:space="preserve">1. </w:t>
      </w:r>
      <w:r>
        <w:tab/>
      </w:r>
      <w:r w:rsidR="00D313F5" w:rsidRPr="004402F3">
        <w:t xml:space="preserve">The costs of support structure capacity expansions and other modifications shall be shared only by all the parties attaching to utility support structures which are specifically benefiting from the modifications on a proportionate basis corresponding to the share of usable space occupied by each benefiting carrier.  In the event an energy utility incurs additional costs for trenching and installation of conduit due of safety or reliability requirements which are more </w:t>
      </w:r>
      <w:r w:rsidR="00D313F5" w:rsidRPr="004402F3">
        <w:lastRenderedPageBreak/>
        <w:t>elaborate than a telecommunications-only trench, the telecommunications carriers should not pay more than they would have incurred for their own independent trench.  Disputes regarding the sharing of the cost of capacity expansions and modifications shall be subject to the dispute resolution procedures contained in these rules.</w:t>
      </w:r>
    </w:p>
    <w:p w:rsidR="00E35516" w:rsidRPr="00E35516" w:rsidRDefault="00E35516" w:rsidP="00E55005">
      <w:pPr>
        <w:pStyle w:val="standard"/>
        <w:spacing w:line="240" w:lineRule="auto"/>
      </w:pPr>
    </w:p>
    <w:p w:rsidR="00D313F5" w:rsidRPr="0045598C" w:rsidRDefault="0045598C" w:rsidP="0045598C">
      <w:pPr>
        <w:pStyle w:val="standard"/>
        <w:keepNext/>
        <w:spacing w:after="120" w:line="240" w:lineRule="auto"/>
        <w:ind w:firstLine="0"/>
      </w:pPr>
      <w:r>
        <w:t xml:space="preserve">IX. </w:t>
      </w:r>
      <w:r>
        <w:tab/>
      </w:r>
      <w:r w:rsidR="00D313F5" w:rsidRPr="0045598C">
        <w:t>EXPEDITED DISPUTE RESOLUTION PROCEDURES</w:t>
      </w:r>
    </w:p>
    <w:p w:rsidR="00D313F5" w:rsidRPr="0045598C" w:rsidRDefault="0045598C" w:rsidP="0045598C">
      <w:pPr>
        <w:pStyle w:val="standard"/>
        <w:tabs>
          <w:tab w:val="left" w:pos="720"/>
        </w:tabs>
        <w:spacing w:after="120" w:line="240" w:lineRule="auto"/>
        <w:ind w:left="720" w:hanging="540"/>
      </w:pPr>
      <w:r>
        <w:t xml:space="preserve">A. </w:t>
      </w:r>
      <w:r>
        <w:tab/>
      </w:r>
      <w:r w:rsidR="00D313F5" w:rsidRPr="0045598C">
        <w:t>Parties to a dispute involving access to utility rights of way and support structures may invoke the Commission’s dispute resolution procedures, but must first attempt in good faith to resolve the dispute.  Disputes involving initial access to utility rights of way and support structures shall be heard and resolved through the following expedited dispute resolution procedure.</w:t>
      </w:r>
    </w:p>
    <w:p w:rsidR="00D313F5" w:rsidRPr="00160730" w:rsidRDefault="00160730" w:rsidP="0045598C">
      <w:pPr>
        <w:pStyle w:val="standard"/>
        <w:tabs>
          <w:tab w:val="left" w:pos="1440"/>
        </w:tabs>
        <w:spacing w:after="120" w:line="240" w:lineRule="auto"/>
        <w:ind w:left="1440" w:hanging="540"/>
      </w:pPr>
      <w:r>
        <w:t xml:space="preserve">1. </w:t>
      </w:r>
      <w:r>
        <w:tab/>
      </w:r>
      <w:r w:rsidR="00D313F5" w:rsidRPr="00160730">
        <w:t>Following denial of a request for access, parties shall escalate the dispute to the executive level within each company.  After 5 business days, any party to the dispute may file a formal application requesting Commission arbitration.  The arbitration shall be deemed to begin on the date of the filing before the Commission of the request for arbitration.  Parties to the arbitration may continue to negotiate an agreement prior to and during the arbitration hearings.  The party requesting arbitration shall provide a copy of the request to the other party or parties not later than the day the Commission receives the request.</w:t>
      </w:r>
    </w:p>
    <w:p w:rsidR="009B19F9" w:rsidRPr="002C237D" w:rsidRDefault="009B19F9" w:rsidP="002C237D">
      <w:pPr>
        <w:pStyle w:val="standard"/>
        <w:tabs>
          <w:tab w:val="left" w:pos="1980"/>
        </w:tabs>
        <w:spacing w:after="120" w:line="240" w:lineRule="auto"/>
        <w:ind w:left="1987" w:hanging="7"/>
      </w:pPr>
    </w:p>
    <w:p w:rsidR="00D313F5" w:rsidRPr="00F203D1" w:rsidRDefault="00F203D1" w:rsidP="0045598C">
      <w:pPr>
        <w:pStyle w:val="standard"/>
        <w:tabs>
          <w:tab w:val="left" w:pos="1440"/>
        </w:tabs>
        <w:spacing w:after="120" w:line="240" w:lineRule="auto"/>
        <w:ind w:left="1440" w:hanging="540"/>
        <w:rPr>
          <w:b/>
        </w:rPr>
      </w:pPr>
      <w:r w:rsidRPr="00F203D1">
        <w:t xml:space="preserve">2. </w:t>
      </w:r>
      <w:r w:rsidRPr="00F203D1">
        <w:tab/>
      </w:r>
      <w:r w:rsidR="00D313F5" w:rsidRPr="0045598C">
        <w:rPr>
          <w:b/>
        </w:rPr>
        <w:t>Content</w:t>
      </w:r>
    </w:p>
    <w:p w:rsidR="00D313F5" w:rsidRPr="00F203D1" w:rsidRDefault="00D313F5" w:rsidP="00910F1F">
      <w:pPr>
        <w:pStyle w:val="standard"/>
        <w:spacing w:after="120" w:line="240" w:lineRule="auto"/>
        <w:ind w:left="1440" w:firstLine="0"/>
      </w:pPr>
      <w:r w:rsidRPr="00F203D1">
        <w:t>A request for arbitration must contain:</w:t>
      </w:r>
    </w:p>
    <w:p w:rsidR="00D313F5" w:rsidRPr="002420D5" w:rsidRDefault="002420D5" w:rsidP="00910F1F">
      <w:pPr>
        <w:pStyle w:val="standard"/>
        <w:tabs>
          <w:tab w:val="left" w:pos="2160"/>
        </w:tabs>
        <w:spacing w:after="120" w:line="240" w:lineRule="auto"/>
        <w:ind w:left="2160" w:hanging="360"/>
      </w:pPr>
      <w:r>
        <w:t xml:space="preserve">a. </w:t>
      </w:r>
      <w:r>
        <w:tab/>
      </w:r>
      <w:r w:rsidR="00D313F5" w:rsidRPr="002420D5">
        <w:t>A statement of all unresolved issues.</w:t>
      </w:r>
    </w:p>
    <w:p w:rsidR="00D313F5" w:rsidRPr="002420D5" w:rsidRDefault="002420D5" w:rsidP="00910F1F">
      <w:pPr>
        <w:pStyle w:val="standard"/>
        <w:tabs>
          <w:tab w:val="left" w:pos="2160"/>
        </w:tabs>
        <w:spacing w:after="120" w:line="240" w:lineRule="auto"/>
        <w:ind w:left="2160" w:hanging="360"/>
      </w:pPr>
      <w:r>
        <w:t xml:space="preserve">b. </w:t>
      </w:r>
      <w:r>
        <w:tab/>
      </w:r>
      <w:r w:rsidR="00D313F5" w:rsidRPr="002420D5">
        <w:t>A description of each party’s position on the unresolved issues.</w:t>
      </w:r>
    </w:p>
    <w:p w:rsidR="00D313F5" w:rsidRPr="002420D5" w:rsidRDefault="002420D5" w:rsidP="00910F1F">
      <w:pPr>
        <w:pStyle w:val="standard"/>
        <w:tabs>
          <w:tab w:val="left" w:pos="2160"/>
        </w:tabs>
        <w:spacing w:after="120" w:line="240" w:lineRule="auto"/>
        <w:ind w:left="2160" w:hanging="360"/>
      </w:pPr>
      <w:r>
        <w:t xml:space="preserve">c. </w:t>
      </w:r>
      <w:r>
        <w:tab/>
      </w:r>
      <w:r w:rsidR="00D313F5" w:rsidRPr="002420D5">
        <w:t>A proposed agreement addressing all issues, including those upon which the parties have reached an agreement and those that are in dispute.  Wherever possible, the petitioner should rely on the fundamental organization of clauses and subjects contained in an agreement previously arbitrated and approved by this Commission.</w:t>
      </w:r>
    </w:p>
    <w:p w:rsidR="00D313F5" w:rsidRPr="002420D5" w:rsidRDefault="002420D5" w:rsidP="00910F1F">
      <w:pPr>
        <w:pStyle w:val="standard"/>
        <w:tabs>
          <w:tab w:val="left" w:pos="2160"/>
        </w:tabs>
        <w:spacing w:after="120" w:line="240" w:lineRule="auto"/>
        <w:ind w:left="2160" w:hanging="360"/>
      </w:pPr>
      <w:r>
        <w:lastRenderedPageBreak/>
        <w:t xml:space="preserve">d. </w:t>
      </w:r>
      <w:r>
        <w:tab/>
      </w:r>
      <w:r w:rsidR="00D313F5" w:rsidRPr="002420D5">
        <w:t>Direct testimony supporting the requester’s position on factual predicates underlying disputed issues.</w:t>
      </w:r>
    </w:p>
    <w:p w:rsidR="00D313F5" w:rsidRPr="001744C1" w:rsidRDefault="002420D5" w:rsidP="00910F1F">
      <w:pPr>
        <w:pStyle w:val="standard"/>
        <w:tabs>
          <w:tab w:val="left" w:pos="2160"/>
        </w:tabs>
        <w:spacing w:after="120" w:line="240" w:lineRule="auto"/>
        <w:ind w:left="2160" w:hanging="360"/>
      </w:pPr>
      <w:r>
        <w:t xml:space="preserve">e. </w:t>
      </w:r>
      <w:r>
        <w:tab/>
      </w:r>
      <w:r w:rsidR="00D313F5" w:rsidRPr="002420D5">
        <w:t>Documentation</w:t>
      </w:r>
      <w:r w:rsidR="00D313F5" w:rsidRPr="001744C1">
        <w:t xml:space="preserve"> that the request complies with the time requirements in the preceding rule.</w:t>
      </w:r>
    </w:p>
    <w:p w:rsidR="009B19F9" w:rsidRPr="00F203D1" w:rsidRDefault="009B19F9" w:rsidP="00F203D1">
      <w:pPr>
        <w:pStyle w:val="standard"/>
        <w:tabs>
          <w:tab w:val="left" w:pos="1980"/>
        </w:tabs>
        <w:spacing w:after="120" w:line="240" w:lineRule="auto"/>
        <w:ind w:left="1987" w:hanging="7"/>
      </w:pPr>
    </w:p>
    <w:p w:rsidR="00D313F5" w:rsidRPr="00D717F9" w:rsidRDefault="00D717F9" w:rsidP="0045598C">
      <w:pPr>
        <w:pStyle w:val="standard"/>
        <w:tabs>
          <w:tab w:val="left" w:pos="1440"/>
        </w:tabs>
        <w:spacing w:after="120" w:line="240" w:lineRule="auto"/>
        <w:ind w:left="1440" w:hanging="540"/>
        <w:rPr>
          <w:b/>
        </w:rPr>
      </w:pPr>
      <w:r w:rsidRPr="00D717F9">
        <w:t xml:space="preserve">3. </w:t>
      </w:r>
      <w:r w:rsidRPr="00D717F9">
        <w:tab/>
      </w:r>
      <w:r w:rsidR="00D313F5" w:rsidRPr="0045598C">
        <w:rPr>
          <w:b/>
        </w:rPr>
        <w:t>Appointment</w:t>
      </w:r>
      <w:r w:rsidR="00D313F5" w:rsidRPr="00D717F9">
        <w:rPr>
          <w:b/>
        </w:rPr>
        <w:t xml:space="preserve"> of Arbitrator</w:t>
      </w:r>
    </w:p>
    <w:p w:rsidR="00D313F5" w:rsidRPr="00D717F9" w:rsidRDefault="00D313F5" w:rsidP="00910F1F">
      <w:pPr>
        <w:pStyle w:val="standard"/>
        <w:spacing w:after="120" w:line="240" w:lineRule="auto"/>
        <w:ind w:left="1440" w:firstLine="0"/>
      </w:pPr>
      <w:r w:rsidRPr="00D717F9">
        <w:t>Upon receipt of a request for arbitration, the Commission’s President or a designee in consultation with the Chief Administrative Law Judge, shall appoint and immediately notify the parties of the identity of an Arbitrator to facilitate resolution of the issues raised by the request.  The Assigned Commissioner may act as Arbitrator if he/she chooses.  The Arbitrator must attend all arbitration meetings, conferences, and hearings.</w:t>
      </w:r>
    </w:p>
    <w:p w:rsidR="00D313F5" w:rsidRPr="00D717F9" w:rsidRDefault="00D717F9" w:rsidP="00B86334">
      <w:pPr>
        <w:pStyle w:val="standard"/>
        <w:keepNext/>
        <w:tabs>
          <w:tab w:val="left" w:pos="1440"/>
        </w:tabs>
        <w:spacing w:after="120" w:line="240" w:lineRule="auto"/>
        <w:ind w:left="1454" w:hanging="547"/>
        <w:rPr>
          <w:b/>
        </w:rPr>
      </w:pPr>
      <w:r w:rsidRPr="00D717F9">
        <w:t xml:space="preserve">4. </w:t>
      </w:r>
      <w:r w:rsidRPr="00D717F9">
        <w:tab/>
      </w:r>
      <w:r w:rsidR="00D313F5" w:rsidRPr="00D717F9">
        <w:rPr>
          <w:b/>
        </w:rPr>
        <w:t>Discovery</w:t>
      </w:r>
    </w:p>
    <w:p w:rsidR="00D313F5" w:rsidRPr="00D717F9" w:rsidRDefault="00D313F5" w:rsidP="00910F1F">
      <w:pPr>
        <w:pStyle w:val="standard"/>
        <w:spacing w:after="120" w:line="240" w:lineRule="auto"/>
        <w:ind w:left="1440" w:firstLine="0"/>
      </w:pPr>
      <w:r w:rsidRPr="00D717F9">
        <w:t>Discovery should begin as soon as possible prior to or after filing of the request for negotiation and should be completed before a request for arbitration is filed.  For good cause, the Arbitrator or Administrative Law Judge assigned to Law and Motion may compel response to a data request; in such cases, the response normally will be required in three working days or less.</w:t>
      </w:r>
    </w:p>
    <w:p w:rsidR="00D313F5" w:rsidRPr="00D717F9" w:rsidRDefault="00D717F9" w:rsidP="00910F1F">
      <w:pPr>
        <w:pStyle w:val="standard"/>
        <w:tabs>
          <w:tab w:val="left" w:pos="1440"/>
        </w:tabs>
        <w:spacing w:after="120" w:line="240" w:lineRule="auto"/>
        <w:ind w:left="1440" w:hanging="540"/>
        <w:rPr>
          <w:b/>
        </w:rPr>
      </w:pPr>
      <w:r w:rsidRPr="00D717F9">
        <w:t xml:space="preserve">5. </w:t>
      </w:r>
      <w:r w:rsidRPr="00D717F9">
        <w:tab/>
      </w:r>
      <w:r w:rsidR="00D313F5" w:rsidRPr="00D717F9">
        <w:rPr>
          <w:b/>
        </w:rPr>
        <w:t>Opportunity to Respond</w:t>
      </w:r>
    </w:p>
    <w:p w:rsidR="00D313F5" w:rsidRPr="00D717F9" w:rsidRDefault="00D313F5" w:rsidP="00910F1F">
      <w:pPr>
        <w:pStyle w:val="standard"/>
        <w:spacing w:after="120" w:line="240" w:lineRule="auto"/>
        <w:ind w:left="1440" w:firstLine="0"/>
      </w:pPr>
      <w:r w:rsidRPr="00D717F9">
        <w:t xml:space="preserve">Pursuant to Subsection 252(b)(3), any party to a negotiation which did not make the request for arbitration (“respondent”) may file a response with the Commission within 15 days of the request for arbitration.  In the response, the respondent shall address each issue listed in the request, describe the respondent’s position on these issues, and identify and present any additional issues for which the respondent seeks resolution and provide such additional information and evidence necessary for the Commission’s review.  Building upon the contract language proposed by the applicant and using the form of agreement selected by the applicant, the respondent shall include, in the response, a single-text “mark-up” document containing the language upon which the parties agree and, where they disagree, both the applicant’s proposed language (bolded) and the respondent’s proposed language (underscored).  Finally, the response should contain any direct testimony </w:t>
      </w:r>
      <w:r w:rsidRPr="00D717F9">
        <w:lastRenderedPageBreak/>
        <w:t>supporting the respondent’s position on underlying factual predicates.  On the same day that it files its response before the Commission, the respondent must serve a copy of the Response and all supporting documentation on any other party to the negotiation.</w:t>
      </w:r>
    </w:p>
    <w:p w:rsidR="00D313F5" w:rsidRPr="00D717F9" w:rsidRDefault="00D717F9" w:rsidP="000212F2">
      <w:pPr>
        <w:pStyle w:val="standard"/>
        <w:keepNext/>
        <w:tabs>
          <w:tab w:val="left" w:pos="1440"/>
        </w:tabs>
        <w:spacing w:after="120" w:line="240" w:lineRule="auto"/>
        <w:ind w:left="1454" w:hanging="547"/>
        <w:rPr>
          <w:b/>
        </w:rPr>
      </w:pPr>
      <w:r w:rsidRPr="00D717F9">
        <w:t xml:space="preserve">6. </w:t>
      </w:r>
      <w:r w:rsidRPr="00D717F9">
        <w:tab/>
      </w:r>
      <w:r w:rsidR="00D313F5" w:rsidRPr="00D717F9">
        <w:rPr>
          <w:b/>
        </w:rPr>
        <w:t>Revised Statement of Unresolved Issues</w:t>
      </w:r>
    </w:p>
    <w:p w:rsidR="00D313F5" w:rsidRPr="00D717F9" w:rsidRDefault="00D313F5" w:rsidP="00910F1F">
      <w:pPr>
        <w:pStyle w:val="standard"/>
        <w:spacing w:after="120" w:line="240" w:lineRule="auto"/>
        <w:ind w:left="1440" w:firstLine="0"/>
      </w:pPr>
      <w:r w:rsidRPr="00D717F9">
        <w:t>Within 3 days of receiving the response, the applicant and respondent shall jointly file a revised statement of unresolved issues that removes from the list presented in the initial petition those issues which are no longer in dispute based on the contract language offered by the respondent in the mark-up document and adds to the list only those other issues which now appear to be in dispute based on the mark-up document and other portions of the response.</w:t>
      </w:r>
    </w:p>
    <w:p w:rsidR="00D313F5" w:rsidRPr="00C86CCB" w:rsidRDefault="00C86CCB" w:rsidP="00910F1F">
      <w:pPr>
        <w:pStyle w:val="standard"/>
        <w:keepNext/>
        <w:tabs>
          <w:tab w:val="left" w:pos="1440"/>
        </w:tabs>
        <w:spacing w:after="120" w:line="240" w:lineRule="auto"/>
        <w:ind w:left="1454" w:hanging="547"/>
        <w:rPr>
          <w:b/>
        </w:rPr>
      </w:pPr>
      <w:r w:rsidRPr="00C86CCB">
        <w:t xml:space="preserve">7. </w:t>
      </w:r>
      <w:r w:rsidRPr="00C86CCB">
        <w:tab/>
      </w:r>
      <w:r w:rsidR="00D313F5" w:rsidRPr="00C86CCB">
        <w:rPr>
          <w:b/>
        </w:rPr>
        <w:t>Initial Arbitration Meeting</w:t>
      </w:r>
    </w:p>
    <w:p w:rsidR="00D313F5" w:rsidRPr="00C86CCB" w:rsidRDefault="00D313F5" w:rsidP="00910F1F">
      <w:pPr>
        <w:pStyle w:val="standard"/>
        <w:spacing w:after="120" w:line="240" w:lineRule="auto"/>
        <w:ind w:left="1440" w:firstLine="0"/>
      </w:pPr>
      <w:r w:rsidRPr="00C86CCB">
        <w:t>An Arbitrator may call an initial meeting for purposes such as setting a schedule, simplifying issues, or resolving the scope and timing of discovery.</w:t>
      </w:r>
    </w:p>
    <w:p w:rsidR="00D313F5" w:rsidRPr="00C86CCB" w:rsidRDefault="00C86CCB" w:rsidP="004402F3">
      <w:pPr>
        <w:pStyle w:val="standard"/>
        <w:keepNext/>
        <w:tabs>
          <w:tab w:val="left" w:pos="1440"/>
        </w:tabs>
        <w:spacing w:after="120" w:line="240" w:lineRule="auto"/>
        <w:ind w:left="1454" w:hanging="547"/>
        <w:rPr>
          <w:b/>
        </w:rPr>
      </w:pPr>
      <w:r w:rsidRPr="00C86CCB">
        <w:t xml:space="preserve">8. </w:t>
      </w:r>
      <w:r w:rsidRPr="00C86CCB">
        <w:tab/>
      </w:r>
      <w:r w:rsidR="00D313F5" w:rsidRPr="00C86CCB">
        <w:rPr>
          <w:b/>
        </w:rPr>
        <w:t>Arbitration Conference and Hearing</w:t>
      </w:r>
    </w:p>
    <w:p w:rsidR="00D313F5" w:rsidRPr="00C86CCB" w:rsidRDefault="00D313F5" w:rsidP="00910F1F">
      <w:pPr>
        <w:pStyle w:val="standard"/>
        <w:spacing w:after="120" w:line="240" w:lineRule="auto"/>
        <w:ind w:left="1440" w:firstLine="0"/>
      </w:pPr>
      <w:r w:rsidRPr="00C86CCB">
        <w:t>Within 7 days after the filing of a response to the request for arbitration, the arbitration conference and hearing shall begin.  The conduct of the conference and hearing shall be noticed on the Commission calendar and notice shall be provided to all parties on the service list.</w:t>
      </w:r>
    </w:p>
    <w:p w:rsidR="00D313F5" w:rsidRPr="003B6736" w:rsidRDefault="003B6736" w:rsidP="009B60E2">
      <w:pPr>
        <w:pStyle w:val="standard"/>
        <w:keepNext/>
        <w:tabs>
          <w:tab w:val="left" w:pos="1440"/>
        </w:tabs>
        <w:spacing w:after="120" w:line="240" w:lineRule="auto"/>
        <w:ind w:left="1454" w:hanging="547"/>
        <w:rPr>
          <w:b/>
        </w:rPr>
      </w:pPr>
      <w:r>
        <w:rPr>
          <w:b/>
        </w:rPr>
        <w:t xml:space="preserve">9. </w:t>
      </w:r>
      <w:r>
        <w:rPr>
          <w:b/>
        </w:rPr>
        <w:tab/>
      </w:r>
      <w:r w:rsidR="00D313F5" w:rsidRPr="003B6736">
        <w:rPr>
          <w:b/>
        </w:rPr>
        <w:t>Limitation of Issues</w:t>
      </w:r>
    </w:p>
    <w:p w:rsidR="00D313F5" w:rsidRPr="003B6736" w:rsidRDefault="00D313F5" w:rsidP="00910F1F">
      <w:pPr>
        <w:pStyle w:val="standard"/>
        <w:spacing w:after="120" w:line="240" w:lineRule="auto"/>
        <w:ind w:left="1440" w:firstLine="0"/>
      </w:pPr>
      <w:r w:rsidRPr="003B6736">
        <w:t>The Arbitrator shall limit the arbitration to the resolution of issues raised in the application, the response, and the revised statement of unresolved issues (where applicable).  In resolving the issues raised, the Arbitrator may take into account any issues already resolved between the parties.</w:t>
      </w:r>
    </w:p>
    <w:p w:rsidR="00D313F5" w:rsidRPr="003B6736" w:rsidRDefault="003B6736" w:rsidP="00910F1F">
      <w:pPr>
        <w:pStyle w:val="standard"/>
        <w:tabs>
          <w:tab w:val="left" w:pos="1440"/>
        </w:tabs>
        <w:spacing w:after="120" w:line="240" w:lineRule="auto"/>
        <w:ind w:left="1440" w:hanging="540"/>
        <w:rPr>
          <w:b/>
        </w:rPr>
      </w:pPr>
      <w:r w:rsidRPr="003B6736">
        <w:t xml:space="preserve">10. </w:t>
      </w:r>
      <w:r w:rsidRPr="003B6736">
        <w:tab/>
      </w:r>
      <w:r w:rsidR="00D313F5" w:rsidRPr="003B6736">
        <w:rPr>
          <w:b/>
        </w:rPr>
        <w:t>Arbitrator’s Reliance on Experts</w:t>
      </w:r>
    </w:p>
    <w:p w:rsidR="00D313F5" w:rsidRPr="003B6736" w:rsidRDefault="00D313F5" w:rsidP="00910F1F">
      <w:pPr>
        <w:pStyle w:val="standard"/>
        <w:spacing w:after="120" w:line="240" w:lineRule="auto"/>
        <w:ind w:left="1440" w:firstLine="0"/>
      </w:pPr>
      <w:r w:rsidRPr="003B6736">
        <w:t>The Arbitrator may rely on experts retained by, or on the Staff of the Commission.  Such expert(s) may assist the Arbitrator throughout the arbitration process.</w:t>
      </w:r>
    </w:p>
    <w:p w:rsidR="00D313F5" w:rsidRPr="003B6736" w:rsidRDefault="003B6736" w:rsidP="00F308AD">
      <w:pPr>
        <w:pStyle w:val="standard"/>
        <w:keepNext/>
        <w:tabs>
          <w:tab w:val="left" w:pos="1440"/>
        </w:tabs>
        <w:spacing w:after="120" w:line="240" w:lineRule="auto"/>
        <w:ind w:left="1454" w:hanging="547"/>
        <w:rPr>
          <w:b/>
        </w:rPr>
      </w:pPr>
      <w:r w:rsidRPr="003B6736">
        <w:t xml:space="preserve">11. </w:t>
      </w:r>
      <w:r w:rsidRPr="003B6736">
        <w:tab/>
      </w:r>
      <w:r w:rsidR="00D313F5" w:rsidRPr="003B6736">
        <w:rPr>
          <w:b/>
        </w:rPr>
        <w:t>Close of Arbitration</w:t>
      </w:r>
    </w:p>
    <w:p w:rsidR="00D313F5" w:rsidRPr="00A54EB6" w:rsidRDefault="00D313F5" w:rsidP="00910F1F">
      <w:pPr>
        <w:pStyle w:val="standard"/>
        <w:spacing w:after="120" w:line="240" w:lineRule="auto"/>
        <w:ind w:left="1440" w:firstLine="0"/>
      </w:pPr>
      <w:r w:rsidRPr="00A54EB6">
        <w:t xml:space="preserve">The arbitration shall consist of mark-up conferences and limited evidentiary hearings.  At the mark-up conferences, the arbitrator </w:t>
      </w:r>
      <w:r w:rsidRPr="00A54EB6">
        <w:lastRenderedPageBreak/>
        <w:t>will hear the concerns of the parties, determine whether the parties can further resolve their differences, and identify factual issues that may require limited evidentiary hearings.  The arbitrator will also announce his or her rulings at the conferences as the issues are resolved.  The conference and hearing process shall conclude within 3 days of the hearing’s commencement, unless the Arbitrator determines otherwise.</w:t>
      </w:r>
    </w:p>
    <w:p w:rsidR="00D313F5" w:rsidRPr="00A54EB6" w:rsidRDefault="00A54EB6" w:rsidP="008B3866">
      <w:pPr>
        <w:pStyle w:val="standard"/>
        <w:keepNext/>
        <w:tabs>
          <w:tab w:val="left" w:pos="1440"/>
        </w:tabs>
        <w:spacing w:after="120" w:line="240" w:lineRule="auto"/>
        <w:ind w:left="1454" w:hanging="547"/>
        <w:rPr>
          <w:b/>
        </w:rPr>
      </w:pPr>
      <w:r w:rsidRPr="00A54EB6">
        <w:t xml:space="preserve">12. </w:t>
      </w:r>
      <w:r w:rsidRPr="00A54EB6">
        <w:tab/>
      </w:r>
      <w:r w:rsidR="00D313F5" w:rsidRPr="00A54EB6">
        <w:rPr>
          <w:b/>
        </w:rPr>
        <w:t>Expedited Stenographic Record</w:t>
      </w:r>
    </w:p>
    <w:p w:rsidR="00D313F5" w:rsidRPr="00A54EB6" w:rsidRDefault="00D313F5" w:rsidP="00910F1F">
      <w:pPr>
        <w:pStyle w:val="standard"/>
        <w:spacing w:after="120" w:line="240" w:lineRule="auto"/>
        <w:ind w:left="1440" w:firstLine="0"/>
      </w:pPr>
      <w:r w:rsidRPr="00A54EB6">
        <w:t>An expedited stenographic record of each evidentiary hearing shall be made.  The cost of preparation of the expedited transcript shall be borne in equal shares by the parties.</w:t>
      </w:r>
    </w:p>
    <w:p w:rsidR="00D313F5" w:rsidRPr="00A54EB6" w:rsidRDefault="00A54EB6" w:rsidP="00910F1F">
      <w:pPr>
        <w:pStyle w:val="standard"/>
        <w:keepNext/>
        <w:tabs>
          <w:tab w:val="left" w:pos="1440"/>
        </w:tabs>
        <w:spacing w:after="120" w:line="240" w:lineRule="auto"/>
        <w:ind w:left="1454" w:hanging="547"/>
        <w:rPr>
          <w:b/>
        </w:rPr>
      </w:pPr>
      <w:r w:rsidRPr="00A54EB6">
        <w:t xml:space="preserve">13. </w:t>
      </w:r>
      <w:r w:rsidRPr="00A54EB6">
        <w:tab/>
      </w:r>
      <w:r w:rsidR="00D313F5" w:rsidRPr="00A54EB6">
        <w:rPr>
          <w:b/>
        </w:rPr>
        <w:t>Authority of the Arbitrator</w:t>
      </w:r>
    </w:p>
    <w:p w:rsidR="00D313F5" w:rsidRPr="00A54EB6" w:rsidRDefault="00D313F5" w:rsidP="00910F1F">
      <w:pPr>
        <w:pStyle w:val="standard"/>
        <w:spacing w:after="120" w:line="240" w:lineRule="auto"/>
        <w:ind w:left="1440" w:firstLine="0"/>
      </w:pPr>
      <w:r w:rsidRPr="00A54EB6">
        <w:t>In addition to authority granted elsewhere in these rules, the Arbitrator shall have the same authority to conduct the arbitration process as an Administrative Law Judge has in conducting hearings under the Rules of Practice and Procedure.  The Arbitrator shall have the authority to change the arbitration schedule contained in these rules.</w:t>
      </w:r>
    </w:p>
    <w:p w:rsidR="00D313F5" w:rsidRPr="00A54EB6" w:rsidRDefault="00D313F5" w:rsidP="00910F1F">
      <w:pPr>
        <w:pStyle w:val="standard"/>
        <w:spacing w:after="120" w:line="240" w:lineRule="auto"/>
        <w:ind w:left="1440" w:firstLine="0"/>
      </w:pPr>
      <w:r w:rsidRPr="00A54EB6">
        <w:rPr>
          <w:b/>
        </w:rPr>
        <w:t>Participation Open to the Public Participation</w:t>
      </w:r>
      <w:r w:rsidRPr="00A54EB6">
        <w:t xml:space="preserve"> in the arbitration conferences and hearings is strictly limited to the parties negotiating a ROW agreement pursuant to the terms of these adopted rules.</w:t>
      </w:r>
    </w:p>
    <w:p w:rsidR="00D313F5" w:rsidRPr="00FD5139" w:rsidRDefault="00FD5139" w:rsidP="00910F1F">
      <w:pPr>
        <w:pStyle w:val="standard"/>
        <w:keepNext/>
        <w:tabs>
          <w:tab w:val="left" w:pos="1440"/>
        </w:tabs>
        <w:spacing w:after="120" w:line="240" w:lineRule="auto"/>
        <w:ind w:left="1454" w:hanging="547"/>
        <w:rPr>
          <w:b/>
        </w:rPr>
      </w:pPr>
      <w:r w:rsidRPr="00FD5139">
        <w:t xml:space="preserve">14. </w:t>
      </w:r>
      <w:r w:rsidRPr="00FD5139">
        <w:tab/>
      </w:r>
      <w:r w:rsidR="00D313F5" w:rsidRPr="00FD5139">
        <w:rPr>
          <w:b/>
        </w:rPr>
        <w:t>Arbitration Open to the Public</w:t>
      </w:r>
    </w:p>
    <w:p w:rsidR="00D313F5" w:rsidRPr="00FD5139" w:rsidRDefault="00D313F5" w:rsidP="00910F1F">
      <w:pPr>
        <w:pStyle w:val="standard"/>
        <w:spacing w:after="120" w:line="240" w:lineRule="auto"/>
        <w:ind w:left="1440" w:firstLine="0"/>
      </w:pPr>
      <w:r w:rsidRPr="00FD5139">
        <w:t>Though participation at arbitration conferences and hearings is strictly limited to the parties that were negotiating the agreements being arbitrated, the general public is permitted to attend arbitration hearings unless circumstances dictate that a hearing, or portion thereof, be conducted in closed session.  Any party to an arbitration seeking a closed session must make a written request to the Arbitrator describing the circumstances compelling a closed session.  The Arbitrator shall consult with the assigned Commissioner and rule on such request before hearings begin.</w:t>
      </w:r>
    </w:p>
    <w:p w:rsidR="00D313F5" w:rsidRPr="00FD5139" w:rsidRDefault="00FD5139" w:rsidP="00910F1F">
      <w:pPr>
        <w:pStyle w:val="standard"/>
        <w:keepNext/>
        <w:tabs>
          <w:tab w:val="left" w:pos="1440"/>
        </w:tabs>
        <w:spacing w:after="120" w:line="240" w:lineRule="auto"/>
        <w:ind w:left="1454" w:hanging="547"/>
        <w:rPr>
          <w:b/>
        </w:rPr>
      </w:pPr>
      <w:r w:rsidRPr="00FD5139">
        <w:t xml:space="preserve">15. </w:t>
      </w:r>
      <w:r w:rsidRPr="00FD5139">
        <w:tab/>
      </w:r>
      <w:r w:rsidR="00D313F5" w:rsidRPr="00FD5139">
        <w:rPr>
          <w:b/>
        </w:rPr>
        <w:t>Filing of Draft Arbitrator’s Report</w:t>
      </w:r>
    </w:p>
    <w:p w:rsidR="00D313F5" w:rsidRPr="00FD5139" w:rsidRDefault="00D313F5" w:rsidP="00910F1F">
      <w:pPr>
        <w:pStyle w:val="standard"/>
        <w:spacing w:after="120" w:line="240" w:lineRule="auto"/>
        <w:ind w:left="1440" w:firstLine="0"/>
      </w:pPr>
      <w:r w:rsidRPr="00FD5139">
        <w:t xml:space="preserve">Within 15 days following the hearings, the Arbitrator, after consultation with the Assigned Commissioner, shall file a Draft Arbitrator’s Report.  The Draft Arbitrator’s Report will include (a) a </w:t>
      </w:r>
      <w:r w:rsidRPr="00FD5139">
        <w:lastRenderedPageBreak/>
        <w:t>concise summary of the issues resolved by the Arbitrator, and (b) a reasoned articulation of the basis for the decision.</w:t>
      </w:r>
    </w:p>
    <w:p w:rsidR="00D313F5" w:rsidRPr="00FD5139" w:rsidRDefault="00FD5139" w:rsidP="00910F1F">
      <w:pPr>
        <w:pStyle w:val="standard"/>
        <w:keepNext/>
        <w:tabs>
          <w:tab w:val="left" w:pos="1440"/>
        </w:tabs>
        <w:spacing w:after="120" w:line="240" w:lineRule="auto"/>
        <w:ind w:left="1454" w:hanging="547"/>
        <w:rPr>
          <w:b/>
        </w:rPr>
      </w:pPr>
      <w:r w:rsidRPr="00FD5139">
        <w:t xml:space="preserve">16. </w:t>
      </w:r>
      <w:r w:rsidRPr="00FD5139">
        <w:tab/>
      </w:r>
      <w:r w:rsidR="00D313F5" w:rsidRPr="00FD5139">
        <w:rPr>
          <w:b/>
        </w:rPr>
        <w:t>Filing of Post-Hearing Briefs and Comments on the Draft Arbitrator’s Report</w:t>
      </w:r>
    </w:p>
    <w:p w:rsidR="00D313F5" w:rsidRPr="001F16C6" w:rsidRDefault="00D313F5" w:rsidP="00910F1F">
      <w:pPr>
        <w:pStyle w:val="standard"/>
        <w:spacing w:after="120" w:line="240" w:lineRule="auto"/>
        <w:ind w:left="1440" w:firstLine="0"/>
      </w:pPr>
      <w:r w:rsidRPr="001F16C6">
        <w:t>Each party to the arbitration may file a post-hearing brief within 7</w:t>
      </w:r>
      <w:r w:rsidR="001F16C6">
        <w:t> </w:t>
      </w:r>
      <w:r w:rsidRPr="001F16C6">
        <w:t>days of the end of the mark-up conferences and hearings unless the Arbitrator rules otherwise.  Post-hearing briefs shall present a party’s argument in support of adopting its recommended position with all supporting evidence and legal authorities cited therein.  The length of post-hearing briefs may be limited by the Arbitrator and shall otherwise comply with the Commission’s Rules of Practice and Procedure.  Each party and any member of the public may file comments on the Draft arbitrator’s Report within 10 days of its release.  Such comments shall not exceed 20 pages.</w:t>
      </w:r>
    </w:p>
    <w:p w:rsidR="00D313F5" w:rsidRPr="001F16C6" w:rsidRDefault="001F16C6" w:rsidP="00910F1F">
      <w:pPr>
        <w:pStyle w:val="standard"/>
        <w:keepNext/>
        <w:tabs>
          <w:tab w:val="left" w:pos="1440"/>
        </w:tabs>
        <w:spacing w:after="120" w:line="240" w:lineRule="auto"/>
        <w:ind w:left="1454" w:hanging="547"/>
        <w:rPr>
          <w:b/>
        </w:rPr>
      </w:pPr>
      <w:r w:rsidRPr="001F16C6">
        <w:t xml:space="preserve">17. </w:t>
      </w:r>
      <w:r w:rsidRPr="001F16C6">
        <w:tab/>
      </w:r>
      <w:r w:rsidR="00D313F5" w:rsidRPr="001F16C6">
        <w:rPr>
          <w:b/>
        </w:rPr>
        <w:t>Filing of the Final Arbitrator’s Report</w:t>
      </w:r>
    </w:p>
    <w:p w:rsidR="00D313F5" w:rsidRPr="001F16C6" w:rsidRDefault="00D313F5" w:rsidP="00910F1F">
      <w:pPr>
        <w:pStyle w:val="standard"/>
        <w:spacing w:after="120" w:line="240" w:lineRule="auto"/>
        <w:ind w:left="1440" w:firstLine="0"/>
      </w:pPr>
      <w:r w:rsidRPr="001F16C6">
        <w:t>The arbitrator shall file the Final Arbitrator’s Report no later than 15</w:t>
      </w:r>
      <w:r w:rsidR="001F16C6">
        <w:t> </w:t>
      </w:r>
      <w:r w:rsidRPr="001F16C6">
        <w:t>days after the filing date for comments.  Prior to the report’s release, the Telecommunications Division will review the report and prepare a matrix comparing the outcomes in the report to those adopted in prior Commission arbitration decisions, highlighting variances from prior Commission policy.  Whenever the Assigned Commissioner is not acting as the arbitrator, the Assigned Commissioner will participate in the release of the Final Arbitrator’s Report consistent with the Commission’s filing of Proposed Decisions as set forth in Rule 77.1 of the Commission’s Rules of Practice and Procedure.</w:t>
      </w:r>
    </w:p>
    <w:p w:rsidR="00D313F5" w:rsidRPr="001F16C6" w:rsidRDefault="001F16C6" w:rsidP="00910F1F">
      <w:pPr>
        <w:pStyle w:val="standard"/>
        <w:keepNext/>
        <w:tabs>
          <w:tab w:val="left" w:pos="1440"/>
        </w:tabs>
        <w:spacing w:after="120" w:line="240" w:lineRule="auto"/>
        <w:ind w:left="1454" w:hanging="547"/>
        <w:rPr>
          <w:b/>
        </w:rPr>
      </w:pPr>
      <w:r w:rsidRPr="001F16C6">
        <w:t xml:space="preserve">18. </w:t>
      </w:r>
      <w:r w:rsidRPr="001F16C6">
        <w:tab/>
      </w:r>
      <w:r w:rsidR="00D313F5" w:rsidRPr="001F16C6">
        <w:rPr>
          <w:b/>
        </w:rPr>
        <w:t>Filing of Arbitrated Agreement</w:t>
      </w:r>
    </w:p>
    <w:p w:rsidR="00D313F5" w:rsidRPr="001F16C6" w:rsidRDefault="00D313F5" w:rsidP="00910F1F">
      <w:pPr>
        <w:pStyle w:val="standard"/>
        <w:spacing w:after="120" w:line="240" w:lineRule="auto"/>
        <w:ind w:left="1440" w:firstLine="0"/>
      </w:pPr>
      <w:r w:rsidRPr="001F16C6">
        <w:t>Within 7 days of the filing of the Final Arbitrator’s Report, the parties shall file the entire agreement for approval.</w:t>
      </w:r>
    </w:p>
    <w:p w:rsidR="00D313F5" w:rsidRPr="001F16C6" w:rsidRDefault="001F16C6" w:rsidP="00910F1F">
      <w:pPr>
        <w:pStyle w:val="standard"/>
        <w:keepNext/>
        <w:tabs>
          <w:tab w:val="left" w:pos="1440"/>
        </w:tabs>
        <w:spacing w:after="120" w:line="240" w:lineRule="auto"/>
        <w:ind w:left="1454" w:hanging="547"/>
        <w:rPr>
          <w:b/>
        </w:rPr>
      </w:pPr>
      <w:r w:rsidRPr="001F16C6">
        <w:t xml:space="preserve">19. </w:t>
      </w:r>
      <w:r w:rsidRPr="001F16C6">
        <w:tab/>
      </w:r>
      <w:r w:rsidR="00D313F5" w:rsidRPr="001F16C6">
        <w:rPr>
          <w:b/>
        </w:rPr>
        <w:t>Commission Review of Arbitrated Agreement</w:t>
      </w:r>
    </w:p>
    <w:p w:rsidR="00D313F5" w:rsidRPr="0047474E" w:rsidRDefault="00D313F5" w:rsidP="00910F1F">
      <w:pPr>
        <w:pStyle w:val="standard"/>
        <w:spacing w:after="120" w:line="240" w:lineRule="auto"/>
        <w:ind w:left="1440" w:firstLine="0"/>
      </w:pPr>
      <w:r w:rsidRPr="0047474E">
        <w:t>Within 30 days following filing of the arbitrated agreement, the Commission shall issue a decision approving or rejecting the arbitrated agreement (including those parts arrived at through negotiations) pursuant to Subsection 252(e) and all its subparts.</w:t>
      </w:r>
    </w:p>
    <w:p w:rsidR="00D313F5" w:rsidRPr="0047474E" w:rsidRDefault="0047474E" w:rsidP="00910F1F">
      <w:pPr>
        <w:pStyle w:val="standard"/>
        <w:keepNext/>
        <w:tabs>
          <w:tab w:val="left" w:pos="1440"/>
        </w:tabs>
        <w:spacing w:after="120" w:line="240" w:lineRule="auto"/>
        <w:ind w:left="1454" w:hanging="547"/>
        <w:rPr>
          <w:b/>
        </w:rPr>
      </w:pPr>
      <w:r w:rsidRPr="0047474E">
        <w:lastRenderedPageBreak/>
        <w:t>20.</w:t>
      </w:r>
      <w:r>
        <w:rPr>
          <w:b/>
        </w:rPr>
        <w:t xml:space="preserve"> </w:t>
      </w:r>
      <w:r>
        <w:rPr>
          <w:b/>
        </w:rPr>
        <w:tab/>
      </w:r>
      <w:r w:rsidR="00D313F5" w:rsidRPr="0047474E">
        <w:rPr>
          <w:b/>
        </w:rPr>
        <w:t>Standards for Review</w:t>
      </w:r>
    </w:p>
    <w:p w:rsidR="00D313F5" w:rsidRPr="0047474E" w:rsidRDefault="00D313F5" w:rsidP="00910F1F">
      <w:pPr>
        <w:pStyle w:val="standard"/>
        <w:spacing w:after="120" w:line="240" w:lineRule="auto"/>
        <w:ind w:left="1440" w:firstLine="0"/>
      </w:pPr>
      <w:r w:rsidRPr="0047474E">
        <w:t>The Commission may reject arbitrated agreements or portions thereof that do not meet the requirements of the Commission, including, but not limited to, quality of service standards adopted by the Commission.</w:t>
      </w:r>
    </w:p>
    <w:p w:rsidR="00D313F5" w:rsidRPr="0047474E" w:rsidRDefault="0047474E" w:rsidP="00910F1F">
      <w:pPr>
        <w:pStyle w:val="standard"/>
        <w:keepNext/>
        <w:tabs>
          <w:tab w:val="left" w:pos="1440"/>
        </w:tabs>
        <w:spacing w:after="120" w:line="240" w:lineRule="auto"/>
        <w:ind w:left="1454" w:hanging="547"/>
        <w:rPr>
          <w:b/>
        </w:rPr>
      </w:pPr>
      <w:r w:rsidRPr="0047474E">
        <w:t xml:space="preserve">21. </w:t>
      </w:r>
      <w:r>
        <w:rPr>
          <w:b/>
        </w:rPr>
        <w:tab/>
      </w:r>
      <w:r w:rsidR="00D313F5" w:rsidRPr="0047474E">
        <w:rPr>
          <w:b/>
        </w:rPr>
        <w:t>Written Findings</w:t>
      </w:r>
    </w:p>
    <w:p w:rsidR="00D313F5" w:rsidRPr="0047474E" w:rsidRDefault="00D313F5" w:rsidP="00910F1F">
      <w:pPr>
        <w:pStyle w:val="standard"/>
        <w:spacing w:after="120" w:line="240" w:lineRule="auto"/>
        <w:ind w:left="1440" w:firstLine="0"/>
      </w:pPr>
      <w:r w:rsidRPr="0047474E">
        <w:t>The Commission’s decision approving or rejecting an arbitration agreement shall contain written findings.  In the event of rejection, the Commission shall address the deficiencies of the arbitrated agreement in writing and may state what modifications of such agreement would make the agreement acceptable to the Commission.</w:t>
      </w:r>
    </w:p>
    <w:p w:rsidR="00D313F5" w:rsidRPr="0047474E" w:rsidRDefault="0047474E" w:rsidP="00910F1F">
      <w:pPr>
        <w:pStyle w:val="standard"/>
        <w:keepNext/>
        <w:tabs>
          <w:tab w:val="left" w:pos="1440"/>
        </w:tabs>
        <w:spacing w:after="120" w:line="240" w:lineRule="auto"/>
        <w:ind w:left="1454" w:hanging="547"/>
      </w:pPr>
      <w:r>
        <w:t xml:space="preserve">22. </w:t>
      </w:r>
      <w:r>
        <w:tab/>
      </w:r>
      <w:r w:rsidR="00D313F5" w:rsidRPr="0047474E">
        <w:rPr>
          <w:b/>
        </w:rPr>
        <w:t>Application for Rehearing</w:t>
      </w:r>
    </w:p>
    <w:p w:rsidR="00D313F5" w:rsidRPr="0047474E" w:rsidRDefault="00D313F5" w:rsidP="00910F1F">
      <w:pPr>
        <w:pStyle w:val="standard"/>
        <w:spacing w:after="120" w:line="240" w:lineRule="auto"/>
        <w:ind w:left="1440" w:firstLine="0"/>
      </w:pPr>
      <w:r w:rsidRPr="0047474E">
        <w:t>A party wishing to appeal a Commission decision approving an arbitration must first seek administrative review pursuant to the Commission’s Rules of Practice and Procedure.</w:t>
      </w:r>
    </w:p>
    <w:p w:rsidR="00D313F5" w:rsidRPr="0047474E" w:rsidRDefault="0047474E" w:rsidP="00910F1F">
      <w:pPr>
        <w:pStyle w:val="standard"/>
        <w:tabs>
          <w:tab w:val="left" w:pos="1440"/>
        </w:tabs>
        <w:spacing w:after="120" w:line="240" w:lineRule="auto"/>
        <w:ind w:left="1440" w:hanging="547"/>
      </w:pPr>
      <w:r>
        <w:t xml:space="preserve">23. </w:t>
      </w:r>
      <w:r>
        <w:tab/>
      </w:r>
      <w:r w:rsidR="00D313F5" w:rsidRPr="0047474E">
        <w:t>The party identified by the arbitrator as the “losing party” shall reimburse the party identified by the arbitrator as the “prevailing party” for all costs of the arbitration, including the reasonable attorney and expert witness fees incurred by the prevailing party.</w:t>
      </w:r>
    </w:p>
    <w:p w:rsidR="00E35516" w:rsidRPr="00FA0C4B" w:rsidRDefault="00E35516" w:rsidP="00FA0C4B">
      <w:pPr>
        <w:pStyle w:val="standard"/>
        <w:ind w:firstLine="0"/>
      </w:pPr>
    </w:p>
    <w:p w:rsidR="00D313F5" w:rsidRPr="00752DB1" w:rsidRDefault="00752DB1" w:rsidP="00752DB1">
      <w:pPr>
        <w:pStyle w:val="standard"/>
        <w:keepNext/>
        <w:spacing w:after="120" w:line="240" w:lineRule="auto"/>
        <w:ind w:firstLine="0"/>
      </w:pPr>
      <w:r>
        <w:t xml:space="preserve">X. </w:t>
      </w:r>
      <w:r>
        <w:tab/>
      </w:r>
      <w:r w:rsidR="00D313F5" w:rsidRPr="00752DB1">
        <w:t>ACCESS TO CUSTOMER PREMISES</w:t>
      </w:r>
    </w:p>
    <w:p w:rsidR="00D313F5" w:rsidRPr="00752DB1" w:rsidRDefault="00752DB1" w:rsidP="00752DB1">
      <w:pPr>
        <w:pStyle w:val="standard"/>
        <w:tabs>
          <w:tab w:val="left" w:pos="720"/>
        </w:tabs>
        <w:spacing w:after="120" w:line="240" w:lineRule="auto"/>
        <w:ind w:left="720" w:hanging="540"/>
      </w:pPr>
      <w:r>
        <w:t xml:space="preserve">A. </w:t>
      </w:r>
      <w:r>
        <w:tab/>
      </w:r>
      <w:r w:rsidR="00D313F5" w:rsidRPr="00752DB1">
        <w:t>No carrier may use its ownership or control of any right of way or support structure to impede the access of a telecommunications carrier</w:t>
      </w:r>
      <w:r w:rsidR="00937DC5">
        <w:t xml:space="preserve">, </w:t>
      </w:r>
      <w:r w:rsidR="00937DC5" w:rsidRPr="00937DC5">
        <w:rPr>
          <w:b/>
          <w:u w:val="single"/>
        </w:rPr>
        <w:t>CMRS carrier,</w:t>
      </w:r>
      <w:r w:rsidR="00D313F5" w:rsidRPr="00752DB1">
        <w:t xml:space="preserve"> or cable</w:t>
      </w:r>
      <w:r w:rsidR="00055850" w:rsidRPr="00752DB1">
        <w:t> </w:t>
      </w:r>
      <w:r w:rsidR="00D313F5" w:rsidRPr="00752DB1">
        <w:t>TV company to a customer’s premises.</w:t>
      </w:r>
    </w:p>
    <w:p w:rsidR="00D313F5" w:rsidRPr="00752DB1" w:rsidRDefault="00752DB1" w:rsidP="00752DB1">
      <w:pPr>
        <w:pStyle w:val="standard"/>
        <w:tabs>
          <w:tab w:val="left" w:pos="720"/>
        </w:tabs>
        <w:spacing w:after="120" w:line="240" w:lineRule="auto"/>
        <w:ind w:left="720" w:hanging="540"/>
      </w:pPr>
      <w:r>
        <w:t xml:space="preserve">B. </w:t>
      </w:r>
      <w:r>
        <w:tab/>
      </w:r>
      <w:r w:rsidR="00D313F5" w:rsidRPr="00752DB1">
        <w:t>A carrier shall provide access, when technically feasible, to building entrance facilities it owns or controls, up to the applicable minimum point of entry (MPOE) for that property, on a nondiscriminatory, first</w:t>
      </w:r>
      <w:r w:rsidR="00D313F5" w:rsidRPr="00752DB1">
        <w:noBreakHyphen/>
        <w:t>come, first</w:t>
      </w:r>
      <w:r w:rsidR="00D313F5" w:rsidRPr="00752DB1">
        <w:noBreakHyphen/>
        <w:t>served basis, provided that the requesting telecommunications carrier</w:t>
      </w:r>
      <w:r w:rsidR="00937DC5" w:rsidRPr="00937DC5">
        <w:rPr>
          <w:b/>
          <w:u w:val="single"/>
        </w:rPr>
        <w:t>, CMRS carrier,</w:t>
      </w:r>
      <w:r w:rsidR="00D313F5" w:rsidRPr="00752DB1">
        <w:t xml:space="preserve"> or cable TV provider has first obtained all necessary access and/or use rights from the underlying property owners(s).</w:t>
      </w:r>
    </w:p>
    <w:p w:rsidR="00D313F5" w:rsidRPr="00752DB1" w:rsidRDefault="00752DB1" w:rsidP="00752DB1">
      <w:pPr>
        <w:pStyle w:val="standard"/>
        <w:tabs>
          <w:tab w:val="left" w:pos="720"/>
        </w:tabs>
        <w:spacing w:after="120" w:line="240" w:lineRule="auto"/>
        <w:ind w:left="720" w:hanging="540"/>
      </w:pPr>
      <w:r>
        <w:t xml:space="preserve">C. </w:t>
      </w:r>
      <w:r>
        <w:tab/>
      </w:r>
      <w:r w:rsidR="00D313F5" w:rsidRPr="00752DB1">
        <w:t xml:space="preserve">A carrier will have 60 days to renegotiate a contract deemed discriminatory by the Commission in response to a formal complaint.  Failing to do so, this carrier will become subject to a fine ranging from $500 </w:t>
      </w:r>
      <w:r w:rsidR="00D313F5" w:rsidRPr="00752DB1">
        <w:lastRenderedPageBreak/>
        <w:t>to $20,000 per day beyond the 60-day limit for renegotiation until the discriminatory provisions of the arrangement have been eliminated.</w:t>
      </w:r>
    </w:p>
    <w:p w:rsidR="00E35516" w:rsidRPr="00752DB1" w:rsidRDefault="00E35516" w:rsidP="00752DB1">
      <w:pPr>
        <w:pStyle w:val="standard"/>
        <w:ind w:firstLine="0"/>
      </w:pPr>
    </w:p>
    <w:p w:rsidR="00D313F5" w:rsidRPr="00ED331B" w:rsidRDefault="00ED331B" w:rsidP="0045598C">
      <w:pPr>
        <w:pStyle w:val="standard"/>
        <w:keepNext/>
        <w:spacing w:after="120" w:line="240" w:lineRule="auto"/>
        <w:ind w:firstLine="0"/>
      </w:pPr>
      <w:r>
        <w:t>X</w:t>
      </w:r>
      <w:r w:rsidR="001757AD">
        <w:t>I</w:t>
      </w:r>
      <w:r>
        <w:t xml:space="preserve">. </w:t>
      </w:r>
      <w:r>
        <w:tab/>
      </w:r>
      <w:r w:rsidR="00D313F5" w:rsidRPr="00ED331B">
        <w:t>SAFETY</w:t>
      </w:r>
    </w:p>
    <w:p w:rsidR="00D313F5" w:rsidRPr="00ED331B" w:rsidRDefault="00D313F5" w:rsidP="00ED331B">
      <w:pPr>
        <w:pStyle w:val="standard"/>
        <w:spacing w:after="120" w:line="240" w:lineRule="auto"/>
        <w:ind w:firstLine="0"/>
      </w:pPr>
      <w:r w:rsidRPr="00ED331B">
        <w:t>Access to utility rights of way and support structures shall be governed at all times by the provisions of Commission General Order Nos. 95 and 128 and by Cal/OSHA Title 8.  Where necessary and appropriate, said General Orders shall be supplemented by the National Electric Safety Code, and any reasonable and justifiable safety and construction standards which are required by the utility.</w:t>
      </w:r>
    </w:p>
    <w:p w:rsidR="00D313F5" w:rsidRPr="00ED331B" w:rsidRDefault="00ED331B" w:rsidP="00ED331B">
      <w:pPr>
        <w:pStyle w:val="standard"/>
        <w:tabs>
          <w:tab w:val="left" w:pos="720"/>
        </w:tabs>
        <w:spacing w:after="120" w:line="240" w:lineRule="auto"/>
        <w:ind w:left="720" w:hanging="540"/>
      </w:pPr>
      <w:r>
        <w:t>A.</w:t>
      </w:r>
      <w:r>
        <w:tab/>
      </w:r>
      <w:r w:rsidR="00D313F5" w:rsidRPr="00ED331B">
        <w:t>The incumbent utility shall not be liable for work that is performed by a third party without notice and supervision, work that does not pass inspection, or equipment that contains some dangerous defect that the incumbent utility cannot reasonably be expected to detect through a visual inspection.  The incumbent utility and its customers shall be immunized from financial damages in these instances.</w:t>
      </w:r>
    </w:p>
    <w:p w:rsidR="00D313F5" w:rsidRDefault="00D313F5" w:rsidP="009A4E87">
      <w:pPr>
        <w:pStyle w:val="standard"/>
        <w:ind w:firstLine="0"/>
      </w:pPr>
    </w:p>
    <w:p w:rsidR="0064591C" w:rsidRDefault="0064591C">
      <w:r>
        <w:br w:type="page"/>
      </w:r>
    </w:p>
    <w:p w:rsidR="0064591C" w:rsidRDefault="0064591C" w:rsidP="0064591C">
      <w:pPr>
        <w:pStyle w:val="standard"/>
        <w:spacing w:line="240" w:lineRule="auto"/>
        <w:ind w:firstLine="0"/>
      </w:pPr>
    </w:p>
    <w:p w:rsidR="0064591C" w:rsidRDefault="0064591C" w:rsidP="0064591C">
      <w:pPr>
        <w:pStyle w:val="standard"/>
        <w:spacing w:line="240" w:lineRule="auto"/>
        <w:ind w:firstLine="0"/>
        <w:jc w:val="center"/>
      </w:pPr>
      <w:r>
        <w:t>Adopted Amendments – Final Form</w:t>
      </w:r>
    </w:p>
    <w:p w:rsidR="0064591C" w:rsidRPr="006A6FF6" w:rsidRDefault="0064591C" w:rsidP="0064591C">
      <w:pPr>
        <w:pStyle w:val="standard"/>
        <w:spacing w:line="240" w:lineRule="auto"/>
        <w:ind w:firstLine="0"/>
      </w:pPr>
    </w:p>
    <w:p w:rsidR="0064591C" w:rsidRPr="006A6FF6" w:rsidRDefault="0064591C" w:rsidP="0064591C">
      <w:pPr>
        <w:pStyle w:val="standard"/>
        <w:spacing w:line="240" w:lineRule="auto"/>
        <w:ind w:firstLine="0"/>
        <w:jc w:val="center"/>
        <w:rPr>
          <w:b/>
          <w:u w:val="single"/>
        </w:rPr>
      </w:pPr>
      <w:r w:rsidRPr="006A6FF6">
        <w:rPr>
          <w:b/>
          <w:u w:val="single"/>
        </w:rPr>
        <w:t xml:space="preserve">COMMISSION-ADOPTED RULES GOVERNING ACCESS </w:t>
      </w:r>
    </w:p>
    <w:p w:rsidR="0064591C" w:rsidRPr="006A6FF6" w:rsidRDefault="0064591C" w:rsidP="0064591C">
      <w:pPr>
        <w:pStyle w:val="standard"/>
        <w:spacing w:line="240" w:lineRule="auto"/>
        <w:ind w:firstLine="0"/>
        <w:jc w:val="center"/>
        <w:rPr>
          <w:b/>
          <w:u w:val="single"/>
        </w:rPr>
      </w:pPr>
      <w:r w:rsidRPr="006A6FF6">
        <w:rPr>
          <w:b/>
          <w:u w:val="single"/>
        </w:rPr>
        <w:t xml:space="preserve">TO RIGHTS-OF-WAY AND SUPPORT STRUCTURES OF </w:t>
      </w:r>
    </w:p>
    <w:p w:rsidR="0064591C" w:rsidRPr="006A6FF6" w:rsidRDefault="0064591C" w:rsidP="0064591C">
      <w:pPr>
        <w:pStyle w:val="standard"/>
        <w:spacing w:line="240" w:lineRule="auto"/>
        <w:ind w:firstLine="0"/>
        <w:jc w:val="center"/>
        <w:rPr>
          <w:b/>
          <w:u w:val="single"/>
        </w:rPr>
      </w:pPr>
      <w:r w:rsidRPr="006A6FF6">
        <w:rPr>
          <w:b/>
          <w:u w:val="single"/>
        </w:rPr>
        <w:t>INCUMBENT TELEPHONE AND ELECTRIC UTILITIES</w:t>
      </w:r>
    </w:p>
    <w:p w:rsidR="0064591C" w:rsidRDefault="0064591C" w:rsidP="0064591C">
      <w:pPr>
        <w:pStyle w:val="standard"/>
        <w:spacing w:line="240" w:lineRule="auto"/>
        <w:ind w:firstLine="0"/>
      </w:pPr>
    </w:p>
    <w:p w:rsidR="0064591C" w:rsidRPr="006A6FF6" w:rsidRDefault="0064591C" w:rsidP="0064591C">
      <w:pPr>
        <w:pStyle w:val="standard"/>
        <w:spacing w:after="60" w:line="240" w:lineRule="auto"/>
        <w:ind w:firstLine="0"/>
      </w:pPr>
      <w:r>
        <w:t xml:space="preserve">I. </w:t>
      </w:r>
      <w:r>
        <w:tab/>
      </w:r>
      <w:r w:rsidRPr="006A6FF6">
        <w:t>PURPOSE AND SCOPE OF RULES</w:t>
      </w:r>
    </w:p>
    <w:p w:rsidR="0064591C" w:rsidRPr="006A6FF6" w:rsidRDefault="0064591C" w:rsidP="0064591C">
      <w:pPr>
        <w:pStyle w:val="standard"/>
        <w:spacing w:after="60" w:line="240" w:lineRule="auto"/>
        <w:ind w:firstLine="0"/>
      </w:pPr>
      <w:r>
        <w:t xml:space="preserve">II. </w:t>
      </w:r>
      <w:r>
        <w:tab/>
      </w:r>
      <w:r w:rsidRPr="006A6FF6">
        <w:t>DEFINITIONS</w:t>
      </w:r>
    </w:p>
    <w:p w:rsidR="0064591C" w:rsidRPr="002432F5" w:rsidRDefault="0064591C" w:rsidP="0064591C">
      <w:pPr>
        <w:pStyle w:val="standard"/>
        <w:spacing w:after="60" w:line="240" w:lineRule="auto"/>
        <w:ind w:firstLine="0"/>
      </w:pPr>
      <w:r>
        <w:t xml:space="preserve">III. </w:t>
      </w:r>
      <w:r>
        <w:tab/>
      </w:r>
      <w:r w:rsidRPr="002432F5">
        <w:t>REQUESTS FOR INFORMATION</w:t>
      </w:r>
    </w:p>
    <w:p w:rsidR="0064591C" w:rsidRPr="002432F5" w:rsidRDefault="0064591C" w:rsidP="0064591C">
      <w:pPr>
        <w:pStyle w:val="standard"/>
        <w:tabs>
          <w:tab w:val="left" w:pos="720"/>
        </w:tabs>
        <w:spacing w:line="240" w:lineRule="auto"/>
        <w:ind w:left="720" w:hanging="720"/>
      </w:pPr>
      <w:r>
        <w:t xml:space="preserve">IV. </w:t>
      </w:r>
      <w:r>
        <w:tab/>
      </w:r>
      <w:r w:rsidRPr="002432F5">
        <w:t>REQUESTS FOR ACCESS TO RIGHTS OF WAY AND SUPPORT STRUCTURES</w:t>
      </w:r>
    </w:p>
    <w:p w:rsidR="0064591C" w:rsidRPr="00A02C04" w:rsidRDefault="0064591C" w:rsidP="0064591C">
      <w:pPr>
        <w:pStyle w:val="standard"/>
        <w:tabs>
          <w:tab w:val="left" w:pos="1440"/>
        </w:tabs>
        <w:spacing w:line="240" w:lineRule="auto"/>
        <w:ind w:left="1440" w:hanging="540"/>
      </w:pPr>
      <w:r>
        <w:t xml:space="preserve">A. </w:t>
      </w:r>
      <w:r>
        <w:tab/>
      </w:r>
      <w:r w:rsidRPr="00A02C04">
        <w:t>INFORMATION REQUIREMENTS OF REQUESTS FOR ACCESS</w:t>
      </w:r>
    </w:p>
    <w:p w:rsidR="0064591C" w:rsidRPr="00A02C04" w:rsidRDefault="0064591C" w:rsidP="0064591C">
      <w:pPr>
        <w:pStyle w:val="standard"/>
        <w:tabs>
          <w:tab w:val="left" w:pos="1440"/>
        </w:tabs>
        <w:spacing w:line="240" w:lineRule="auto"/>
        <w:ind w:left="1440" w:hanging="540"/>
      </w:pPr>
      <w:r>
        <w:t xml:space="preserve">B. </w:t>
      </w:r>
      <w:r>
        <w:tab/>
      </w:r>
      <w:r w:rsidRPr="00A02C04">
        <w:t>RESPONSES TO REQUESTS FOR ACCESS</w:t>
      </w:r>
    </w:p>
    <w:p w:rsidR="0064591C" w:rsidRPr="00A02C04" w:rsidRDefault="0064591C" w:rsidP="0064591C">
      <w:pPr>
        <w:pStyle w:val="standard"/>
        <w:tabs>
          <w:tab w:val="left" w:pos="1440"/>
        </w:tabs>
        <w:spacing w:line="240" w:lineRule="auto"/>
        <w:ind w:left="1440" w:hanging="540"/>
      </w:pPr>
      <w:r>
        <w:t xml:space="preserve">C. </w:t>
      </w:r>
      <w:r>
        <w:tab/>
      </w:r>
      <w:r w:rsidRPr="00A02C04">
        <w:t>TIME FOR COMPLETION OF MAKE READY WORK</w:t>
      </w:r>
    </w:p>
    <w:p w:rsidR="0064591C" w:rsidRPr="00A02C04" w:rsidRDefault="0064591C" w:rsidP="0064591C">
      <w:pPr>
        <w:pStyle w:val="standard"/>
        <w:tabs>
          <w:tab w:val="left" w:pos="1440"/>
        </w:tabs>
        <w:spacing w:after="120" w:line="240" w:lineRule="auto"/>
        <w:ind w:left="1454" w:hanging="547"/>
      </w:pPr>
      <w:r>
        <w:t xml:space="preserve">D. </w:t>
      </w:r>
      <w:r>
        <w:tab/>
      </w:r>
      <w:r w:rsidRPr="00A02C04">
        <w:t>USE OF THIRD PARTY CONTRACTORS</w:t>
      </w:r>
    </w:p>
    <w:p w:rsidR="0064591C" w:rsidRPr="002432F5" w:rsidRDefault="0064591C" w:rsidP="0064591C">
      <w:pPr>
        <w:pStyle w:val="standard"/>
        <w:spacing w:line="240" w:lineRule="auto"/>
        <w:ind w:firstLine="0"/>
      </w:pPr>
      <w:r>
        <w:t xml:space="preserve">V. </w:t>
      </w:r>
      <w:r>
        <w:tab/>
      </w:r>
      <w:r w:rsidRPr="002432F5">
        <w:t>NONDISCLOSURE</w:t>
      </w:r>
    </w:p>
    <w:p w:rsidR="0064591C" w:rsidRPr="00A02C04" w:rsidRDefault="0064591C" w:rsidP="0064591C">
      <w:pPr>
        <w:pStyle w:val="standard"/>
        <w:tabs>
          <w:tab w:val="left" w:pos="1440"/>
        </w:tabs>
        <w:spacing w:line="240" w:lineRule="auto"/>
        <w:ind w:left="1440" w:hanging="540"/>
      </w:pPr>
      <w:r>
        <w:t xml:space="preserve">A. </w:t>
      </w:r>
      <w:r>
        <w:tab/>
      </w:r>
      <w:r w:rsidRPr="00A02C04">
        <w:t>DUTY NOT A DISCLOSE PROPRIETARY INFORMATION</w:t>
      </w:r>
    </w:p>
    <w:p w:rsidR="0064591C" w:rsidRPr="00A02C04" w:rsidRDefault="0064591C" w:rsidP="0064591C">
      <w:pPr>
        <w:pStyle w:val="standard"/>
        <w:tabs>
          <w:tab w:val="left" w:pos="1440"/>
        </w:tabs>
        <w:spacing w:after="120" w:line="240" w:lineRule="auto"/>
        <w:ind w:left="1454" w:hanging="547"/>
      </w:pPr>
      <w:r>
        <w:t xml:space="preserve">B. </w:t>
      </w:r>
      <w:r>
        <w:tab/>
      </w:r>
      <w:r w:rsidRPr="00A02C04">
        <w:t>SANCTIONS FOR VIOLATIONS OF NONDISCLOSURE AGREEMENTS</w:t>
      </w:r>
    </w:p>
    <w:p w:rsidR="0064591C" w:rsidRPr="002432F5" w:rsidRDefault="0064591C" w:rsidP="0064591C">
      <w:pPr>
        <w:pStyle w:val="standard"/>
        <w:spacing w:line="240" w:lineRule="auto"/>
        <w:ind w:firstLine="0"/>
      </w:pPr>
      <w:r>
        <w:t xml:space="preserve">VI. </w:t>
      </w:r>
      <w:r>
        <w:tab/>
      </w:r>
      <w:r w:rsidRPr="002432F5">
        <w:t>PRICING AND TARIFFS GOVERNING ACCESS</w:t>
      </w:r>
    </w:p>
    <w:p w:rsidR="0064591C" w:rsidRPr="006F462B" w:rsidRDefault="0064591C" w:rsidP="0064591C">
      <w:pPr>
        <w:pStyle w:val="standard"/>
        <w:tabs>
          <w:tab w:val="left" w:pos="1440"/>
        </w:tabs>
        <w:spacing w:line="240" w:lineRule="auto"/>
        <w:ind w:left="1440" w:hanging="540"/>
      </w:pPr>
      <w:r>
        <w:t xml:space="preserve">A. </w:t>
      </w:r>
      <w:r>
        <w:tab/>
      </w:r>
      <w:r w:rsidRPr="006F462B">
        <w:t>GENERAL PRINCIPLE OF NONDISCRIMINATION</w:t>
      </w:r>
    </w:p>
    <w:p w:rsidR="0064591C" w:rsidRPr="006F462B" w:rsidRDefault="0064591C" w:rsidP="0064591C">
      <w:pPr>
        <w:pStyle w:val="standard"/>
        <w:tabs>
          <w:tab w:val="left" w:pos="1440"/>
        </w:tabs>
        <w:spacing w:line="240" w:lineRule="auto"/>
        <w:ind w:left="1440" w:hanging="540"/>
      </w:pPr>
      <w:r>
        <w:t xml:space="preserve">B. </w:t>
      </w:r>
      <w:r>
        <w:tab/>
      </w:r>
      <w:r w:rsidRPr="006F462B">
        <w:t>MANNER OF PRICING ACCESS</w:t>
      </w:r>
    </w:p>
    <w:p w:rsidR="0064591C" w:rsidRPr="006F462B" w:rsidRDefault="0064591C" w:rsidP="0064591C">
      <w:pPr>
        <w:pStyle w:val="standard"/>
        <w:tabs>
          <w:tab w:val="left" w:pos="1440"/>
        </w:tabs>
        <w:spacing w:line="240" w:lineRule="auto"/>
        <w:ind w:left="1440" w:hanging="540"/>
      </w:pPr>
      <w:r>
        <w:t xml:space="preserve">C. </w:t>
      </w:r>
      <w:r>
        <w:tab/>
      </w:r>
      <w:r w:rsidRPr="006F462B">
        <w:t>CONTRACTS</w:t>
      </w:r>
    </w:p>
    <w:p w:rsidR="0064591C" w:rsidRPr="006F462B" w:rsidRDefault="0064591C" w:rsidP="0064591C">
      <w:pPr>
        <w:pStyle w:val="standard"/>
        <w:tabs>
          <w:tab w:val="left" w:pos="1440"/>
        </w:tabs>
        <w:spacing w:after="120" w:line="240" w:lineRule="auto"/>
        <w:ind w:left="1454" w:hanging="547"/>
      </w:pPr>
      <w:r>
        <w:t xml:space="preserve">D. </w:t>
      </w:r>
      <w:r>
        <w:tab/>
      </w:r>
      <w:r w:rsidRPr="006F462B">
        <w:t>UNAUTHORIZED ATTACHMENTS</w:t>
      </w:r>
    </w:p>
    <w:p w:rsidR="0064591C" w:rsidRPr="002432F5" w:rsidRDefault="0064591C" w:rsidP="0064591C">
      <w:pPr>
        <w:pStyle w:val="standard"/>
        <w:spacing w:after="60" w:line="240" w:lineRule="auto"/>
        <w:ind w:firstLine="0"/>
      </w:pPr>
      <w:r>
        <w:t xml:space="preserve">VII. </w:t>
      </w:r>
      <w:r>
        <w:tab/>
      </w:r>
      <w:r w:rsidRPr="002432F5">
        <w:t>RESERVATIONS OF CAPACITY FOR FUTURE USE</w:t>
      </w:r>
    </w:p>
    <w:p w:rsidR="0064591C" w:rsidRPr="002432F5" w:rsidRDefault="0064591C" w:rsidP="0064591C">
      <w:pPr>
        <w:pStyle w:val="standard"/>
        <w:spacing w:line="240" w:lineRule="auto"/>
        <w:ind w:firstLine="0"/>
      </w:pPr>
      <w:r>
        <w:t xml:space="preserve">VIII. </w:t>
      </w:r>
      <w:r>
        <w:tab/>
      </w:r>
      <w:r w:rsidRPr="002432F5">
        <w:t>MODIFICATIONS OF EXISTING SUPPORT STRUCTURES</w:t>
      </w:r>
    </w:p>
    <w:p w:rsidR="0064591C" w:rsidRPr="006F462B" w:rsidRDefault="0064591C" w:rsidP="0064591C">
      <w:pPr>
        <w:pStyle w:val="standard"/>
        <w:tabs>
          <w:tab w:val="left" w:pos="1440"/>
        </w:tabs>
        <w:spacing w:line="240" w:lineRule="auto"/>
        <w:ind w:left="1440" w:hanging="540"/>
      </w:pPr>
      <w:r>
        <w:t xml:space="preserve">A. </w:t>
      </w:r>
      <w:r>
        <w:tab/>
      </w:r>
      <w:r w:rsidRPr="006F462B">
        <w:t>NOTIFICATION TO PARTIES ON OR IN SUPPORT STRUCTURES</w:t>
      </w:r>
    </w:p>
    <w:p w:rsidR="0064591C" w:rsidRPr="006F462B" w:rsidRDefault="0064591C" w:rsidP="0064591C">
      <w:pPr>
        <w:pStyle w:val="standard"/>
        <w:tabs>
          <w:tab w:val="left" w:pos="1440"/>
        </w:tabs>
        <w:spacing w:line="240" w:lineRule="auto"/>
        <w:ind w:left="1440" w:hanging="540"/>
      </w:pPr>
      <w:r>
        <w:t xml:space="preserve">B. </w:t>
      </w:r>
      <w:r>
        <w:tab/>
      </w:r>
      <w:r w:rsidRPr="006F462B">
        <w:t>NOTIFICATION GENERALLY</w:t>
      </w:r>
    </w:p>
    <w:p w:rsidR="0064591C" w:rsidRPr="006F462B" w:rsidRDefault="0064591C" w:rsidP="0064591C">
      <w:pPr>
        <w:pStyle w:val="standard"/>
        <w:tabs>
          <w:tab w:val="left" w:pos="1440"/>
        </w:tabs>
        <w:spacing w:after="120" w:line="240" w:lineRule="auto"/>
        <w:ind w:left="1454" w:hanging="547"/>
      </w:pPr>
      <w:r>
        <w:t xml:space="preserve">C. </w:t>
      </w:r>
      <w:r>
        <w:tab/>
      </w:r>
      <w:r w:rsidRPr="006F462B">
        <w:t>SHARING THE COST OF MODIFICATIONS</w:t>
      </w:r>
    </w:p>
    <w:p w:rsidR="0064591C" w:rsidRPr="002432F5" w:rsidRDefault="0064591C" w:rsidP="0064591C">
      <w:pPr>
        <w:pStyle w:val="standard"/>
        <w:spacing w:after="60" w:line="240" w:lineRule="auto"/>
        <w:ind w:firstLine="0"/>
      </w:pPr>
      <w:r>
        <w:t xml:space="preserve">IX. </w:t>
      </w:r>
      <w:r>
        <w:tab/>
      </w:r>
      <w:r w:rsidRPr="002432F5">
        <w:t>EXPEDITED DISPUTE RESOLUTION PROCEDURES</w:t>
      </w:r>
    </w:p>
    <w:p w:rsidR="0064591C" w:rsidRPr="002432F5" w:rsidRDefault="0064591C" w:rsidP="0064591C">
      <w:pPr>
        <w:pStyle w:val="standard"/>
        <w:spacing w:after="60" w:line="240" w:lineRule="auto"/>
        <w:ind w:firstLine="0"/>
      </w:pPr>
      <w:r>
        <w:t>X.</w:t>
      </w:r>
      <w:r>
        <w:tab/>
      </w:r>
      <w:r w:rsidRPr="002432F5">
        <w:t>ACCESS TO CUSTOMER PREMISES</w:t>
      </w:r>
    </w:p>
    <w:p w:rsidR="0064591C" w:rsidRPr="002432F5" w:rsidRDefault="0064591C" w:rsidP="0064591C">
      <w:pPr>
        <w:pStyle w:val="standard"/>
        <w:spacing w:line="240" w:lineRule="auto"/>
        <w:ind w:firstLine="0"/>
      </w:pPr>
      <w:r>
        <w:t xml:space="preserve">XI. </w:t>
      </w:r>
      <w:r>
        <w:tab/>
      </w:r>
      <w:r w:rsidRPr="002432F5">
        <w:t>SAFETY</w:t>
      </w:r>
    </w:p>
    <w:p w:rsidR="0064591C" w:rsidRDefault="0064591C" w:rsidP="0064591C">
      <w:pPr>
        <w:pStyle w:val="standard"/>
        <w:spacing w:line="240" w:lineRule="auto"/>
        <w:ind w:firstLine="0"/>
      </w:pPr>
    </w:p>
    <w:p w:rsidR="0064591C" w:rsidRDefault="0064591C" w:rsidP="0064591C">
      <w:pPr>
        <w:pStyle w:val="standard"/>
        <w:spacing w:line="240" w:lineRule="auto"/>
        <w:ind w:firstLine="0"/>
        <w:sectPr w:rsidR="0064591C" w:rsidSect="00BC6BFD">
          <w:footerReference w:type="default" r:id="rId35"/>
          <w:pgSz w:w="12240" w:h="15840"/>
          <w:pgMar w:top="1440" w:right="1440" w:bottom="1440" w:left="1440" w:header="720" w:footer="720" w:gutter="0"/>
          <w:pgNumType w:chapStyle="9"/>
          <w:cols w:space="720"/>
        </w:sectPr>
      </w:pPr>
    </w:p>
    <w:p w:rsidR="0064591C" w:rsidRPr="006813CF" w:rsidRDefault="0064591C" w:rsidP="0064591C">
      <w:pPr>
        <w:pStyle w:val="standard"/>
        <w:keepNext/>
        <w:tabs>
          <w:tab w:val="left" w:pos="720"/>
        </w:tabs>
        <w:spacing w:after="120" w:line="240" w:lineRule="auto"/>
        <w:ind w:left="720" w:hanging="720"/>
      </w:pPr>
      <w:r>
        <w:lastRenderedPageBreak/>
        <w:t xml:space="preserve">I. </w:t>
      </w:r>
      <w:r>
        <w:tab/>
      </w:r>
      <w:r w:rsidRPr="006813CF">
        <w:t>PURPOSE AND SCOPE OF RULES</w:t>
      </w:r>
    </w:p>
    <w:p w:rsidR="0064591C" w:rsidRPr="006813CF" w:rsidRDefault="0064591C" w:rsidP="0064591C">
      <w:pPr>
        <w:pStyle w:val="standard"/>
        <w:spacing w:after="240" w:line="240" w:lineRule="auto"/>
        <w:ind w:left="720" w:firstLine="0"/>
      </w:pPr>
      <w:r w:rsidRPr="006813CF">
        <w:t xml:space="preserve">These rules govern access to public utility rights-of-way and support structures by telecommunications carriers, </w:t>
      </w:r>
      <w:r w:rsidRPr="0064591C">
        <w:t>Commercial Mobile Radio Service (CMRS) carriers</w:t>
      </w:r>
      <w:r w:rsidRPr="006813CF">
        <w:t>, and cable TV companies in California, and are issued pursuant to the Commission’s jurisdiction over access to utility rights of way and support structures under the Federal Communications Act, 47 U.S.C. § 224(c)(1) and subject to California Public Utilities Code §§ 767, 767.5, 767.7, 768, 768.5 and 8001 through 8057.  These rules are to be applied as guidelines by parties in negotiating rights of way access agreements.  Parties may mutually agree on terms which deviate from these rules, but in the event of negotiating disputes submitted for Commission resolution, the adopted rules will be deemed presumptively reasonable.  The burden of proof shall be on the party advocating a deviation from the rules to show the deviation is reasonable, and is not unduly discriminatory or anticompetitive.</w:t>
      </w:r>
    </w:p>
    <w:p w:rsidR="0064591C" w:rsidRPr="006813CF" w:rsidRDefault="0064591C" w:rsidP="0064591C">
      <w:pPr>
        <w:pStyle w:val="standard"/>
        <w:keepNext/>
        <w:tabs>
          <w:tab w:val="left" w:pos="720"/>
        </w:tabs>
        <w:spacing w:after="120" w:line="240" w:lineRule="auto"/>
        <w:ind w:left="720" w:hanging="720"/>
      </w:pPr>
      <w:r>
        <w:t xml:space="preserve">II. </w:t>
      </w:r>
      <w:r>
        <w:tab/>
      </w:r>
      <w:r w:rsidRPr="006813CF">
        <w:t>DEFINITIONS</w:t>
      </w:r>
    </w:p>
    <w:p w:rsidR="0064591C" w:rsidRPr="006813CF" w:rsidRDefault="0064591C" w:rsidP="0064591C">
      <w:pPr>
        <w:pStyle w:val="standard"/>
        <w:spacing w:after="120" w:line="240" w:lineRule="auto"/>
        <w:ind w:left="720" w:firstLine="0"/>
      </w:pPr>
      <w:r w:rsidRPr="006813CF">
        <w:t>“Public utility” or “utility” includes any person, firm or corporation, privately owned, that is an electric, or telephone utility which owns or controls, or in combination jointly owns or controls, support structures or rights-of-way used or useful, in whole or in part, for telecommunications purposes.</w:t>
      </w:r>
    </w:p>
    <w:p w:rsidR="0064591C" w:rsidRPr="006813CF" w:rsidRDefault="0064591C" w:rsidP="0064591C">
      <w:pPr>
        <w:pStyle w:val="standard"/>
        <w:spacing w:after="120" w:line="240" w:lineRule="auto"/>
        <w:ind w:left="720" w:firstLine="0"/>
      </w:pPr>
      <w:r w:rsidRPr="006813CF">
        <w:t>“Support structure” includes, but is not limited to, a utility distribution pole, anchor, duct, conduit, manhole, or handhole.</w:t>
      </w:r>
    </w:p>
    <w:p w:rsidR="0064591C" w:rsidRPr="006813CF" w:rsidRDefault="0064591C" w:rsidP="0064591C">
      <w:pPr>
        <w:pStyle w:val="standard"/>
        <w:spacing w:after="120" w:line="240" w:lineRule="auto"/>
        <w:ind w:left="720" w:firstLine="0"/>
      </w:pPr>
      <w:r w:rsidRPr="006813CF">
        <w:t xml:space="preserve">“Pole attachment” means any attachment to surplus space, or use of excess capacity, by a telecommunications carrier </w:t>
      </w:r>
      <w:r w:rsidRPr="0064591C">
        <w:t>or CMRS carrier</w:t>
      </w:r>
      <w:r>
        <w:t xml:space="preserve"> </w:t>
      </w:r>
      <w:r w:rsidRPr="006813CF">
        <w:t>for a communications system on or in any support structure owned, controlled, or used by a public utility.</w:t>
      </w:r>
    </w:p>
    <w:p w:rsidR="0064591C" w:rsidRPr="006813CF" w:rsidRDefault="0064591C" w:rsidP="0064591C">
      <w:pPr>
        <w:pStyle w:val="standard"/>
        <w:spacing w:after="120" w:line="240" w:lineRule="auto"/>
        <w:ind w:left="720" w:firstLine="0"/>
      </w:pPr>
      <w:r w:rsidRPr="006813CF">
        <w:t xml:space="preserve">“Surplus space” means that portion of the usable space on a utility pole which has the necessary clearance from other pole users, as required by the orders and regulations of the Commission, to allow its use by a telecommunications carrier </w:t>
      </w:r>
      <w:r w:rsidRPr="0064591C">
        <w:t>or CMRS carrier</w:t>
      </w:r>
      <w:r w:rsidRPr="006813CF">
        <w:t xml:space="preserve"> for a pole attachment.</w:t>
      </w:r>
    </w:p>
    <w:p w:rsidR="0064591C" w:rsidRPr="006813CF" w:rsidRDefault="0064591C" w:rsidP="0064591C">
      <w:pPr>
        <w:pStyle w:val="standard"/>
        <w:spacing w:after="120" w:line="240" w:lineRule="auto"/>
        <w:ind w:left="720" w:firstLine="0"/>
      </w:pPr>
      <w:r w:rsidRPr="006813CF">
        <w:t>“Excess capacity” means volume or capacity in a duct, conduit, or support structure other than a utility pole or anchor which can be used, pursuant to the orders and regulations of the Commission, for a pole attachment.</w:t>
      </w:r>
    </w:p>
    <w:p w:rsidR="0064591C" w:rsidRPr="006813CF" w:rsidRDefault="0064591C" w:rsidP="0064591C">
      <w:pPr>
        <w:pStyle w:val="standard"/>
        <w:spacing w:after="120" w:line="240" w:lineRule="auto"/>
        <w:ind w:left="720" w:firstLine="0"/>
      </w:pPr>
      <w:r w:rsidRPr="006813CF">
        <w:lastRenderedPageBreak/>
        <w:t>“Usable space” means the total distance between the top of the utility pole and the lowest possible attachment point that provides the minimum allowable vertical clearance.</w:t>
      </w:r>
    </w:p>
    <w:p w:rsidR="0064591C" w:rsidRPr="006813CF" w:rsidRDefault="0064591C" w:rsidP="0064591C">
      <w:pPr>
        <w:pStyle w:val="standard"/>
        <w:spacing w:after="120" w:line="240" w:lineRule="auto"/>
        <w:ind w:left="720" w:firstLine="0"/>
      </w:pPr>
      <w:r w:rsidRPr="006813CF">
        <w:t>“Minimum allowable vertical clearance” means the minimum clearance for communication conductors along rights-of-way or other areas as specified in the orders and regulations of the Commission.</w:t>
      </w:r>
    </w:p>
    <w:p w:rsidR="0064591C" w:rsidRPr="006813CF" w:rsidRDefault="0064591C" w:rsidP="0064591C">
      <w:pPr>
        <w:pStyle w:val="standard"/>
        <w:spacing w:after="120" w:line="240" w:lineRule="auto"/>
        <w:ind w:left="720" w:firstLine="0"/>
      </w:pPr>
      <w:r w:rsidRPr="006813CF">
        <w:t>“Rearrangements” means work performed, at the request of a telecommunications carrier</w:t>
      </w:r>
      <w:r>
        <w:t xml:space="preserve"> </w:t>
      </w:r>
      <w:r w:rsidRPr="0064591C">
        <w:t>or CMRS carrier</w:t>
      </w:r>
      <w:r w:rsidRPr="006813CF">
        <w:t>, to, on, or in an existing support structure to create such surplus space or excess capacity as is necessary to make it usable for a pole attachment.  When an existing support structure does not contain adequate surplus space or excess capacity and cannot be so rearranged as to create the required surplus space or excess capacity for a pole attachment, “rearrangements” shall include replacement, at the request of a telecommunications carrier</w:t>
      </w:r>
      <w:r>
        <w:t xml:space="preserve"> </w:t>
      </w:r>
      <w:r w:rsidRPr="0064591C">
        <w:t>or CMRS carrier</w:t>
      </w:r>
      <w:r w:rsidRPr="006813CF">
        <w:t xml:space="preserve">, of the support structure in order to provide adequate surplus space or excess capacity.  This definition is not intended to limit the circumstances where a telecommunications carrier </w:t>
      </w:r>
      <w:r w:rsidRPr="0064591C">
        <w:t>or CMRS carrier</w:t>
      </w:r>
      <w:r w:rsidRPr="006813CF">
        <w:t xml:space="preserve"> may request replacement of an existing structure with a different or larger support structure.</w:t>
      </w:r>
    </w:p>
    <w:p w:rsidR="0064591C" w:rsidRPr="006813CF" w:rsidRDefault="0064591C" w:rsidP="0064591C">
      <w:pPr>
        <w:pStyle w:val="standard"/>
        <w:spacing w:after="120" w:line="240" w:lineRule="auto"/>
        <w:ind w:left="720" w:firstLine="0"/>
      </w:pPr>
      <w:r w:rsidRPr="006813CF">
        <w:t>“Annual cost of ownership” means the sum of the annual capital costs and annual operation costs of the support structure which shall be the average costs of all similar support structures owned by the public utility.  The basis for computation of annual capital costs shall be historical capital cost less depreciation.  The accounts upon which the historical capital costs are determined shall include a credit for all reimbursed capital costs of the public utility.  Depreciation shall be based upon the average service life of the support structure.  As used in this definition, “annual cost of ownership” shall not include costs for any property not necessary for a pole attachment.</w:t>
      </w:r>
    </w:p>
    <w:p w:rsidR="0064591C" w:rsidRPr="006813CF" w:rsidRDefault="0064591C" w:rsidP="0064591C">
      <w:pPr>
        <w:pStyle w:val="standard"/>
        <w:spacing w:after="120" w:line="240" w:lineRule="auto"/>
        <w:ind w:left="720" w:firstLine="0"/>
      </w:pPr>
      <w:r w:rsidRPr="006813CF">
        <w:t>“Telecommunications carrier” generally means any provider of telecommunications services that has been granted a certificate of public convenience and necessity by the California Public Utilities Commission.  These rules, however, exclude interexchange carriers from the definition of “telecommunications carrier.”</w:t>
      </w:r>
    </w:p>
    <w:p w:rsidR="0064591C" w:rsidRPr="006813CF" w:rsidRDefault="0064591C" w:rsidP="0064591C">
      <w:pPr>
        <w:pStyle w:val="standard"/>
        <w:spacing w:after="120" w:line="240" w:lineRule="auto"/>
        <w:ind w:left="720" w:firstLine="0"/>
      </w:pPr>
      <w:r w:rsidRPr="006813CF">
        <w:t>“</w:t>
      </w:r>
      <w:r w:rsidRPr="0064591C">
        <w:t xml:space="preserve">Commercial Mobile Radio Service (CMRS) carrier” is an entity that holds </w:t>
      </w:r>
      <w:r w:rsidR="007F192C">
        <w:t>(1) </w:t>
      </w:r>
      <w:r w:rsidRPr="0064591C">
        <w:t>a current Wireless Identification Registration with the California Public Utilities Commission</w:t>
      </w:r>
      <w:r w:rsidR="007F192C">
        <w:t xml:space="preserve">, or (2) a current Certificate of Public Convenience </w:t>
      </w:r>
      <w:r w:rsidR="007F192C">
        <w:lastRenderedPageBreak/>
        <w:t xml:space="preserve">and Necessity issued by the </w:t>
      </w:r>
      <w:r w:rsidR="007F192C" w:rsidRPr="0064591C">
        <w:t>California Public Utilities Commission</w:t>
      </w:r>
      <w:r w:rsidR="007F192C">
        <w:t xml:space="preserve"> that authorizes the holder to provide </w:t>
      </w:r>
      <w:r w:rsidR="007F192C" w:rsidRPr="0064591C">
        <w:t>Commercial Mobile Radio Service</w:t>
      </w:r>
      <w:r w:rsidRPr="0064591C">
        <w:t>.</w:t>
      </w:r>
    </w:p>
    <w:p w:rsidR="0064591C" w:rsidRPr="00D54868" w:rsidRDefault="0064591C" w:rsidP="0064591C">
      <w:pPr>
        <w:pStyle w:val="standard"/>
        <w:spacing w:after="120" w:line="240" w:lineRule="auto"/>
        <w:ind w:left="720" w:firstLine="0"/>
      </w:pPr>
      <w:r w:rsidRPr="00D54868">
        <w:t>“Cable TV company” as used in these rules refers to a privately owned company, that provides cable service as defined in the PU Code and is not certified to provide telecommunications service.</w:t>
      </w:r>
    </w:p>
    <w:p w:rsidR="0064591C" w:rsidRPr="00D54868" w:rsidRDefault="0064591C" w:rsidP="0064591C">
      <w:pPr>
        <w:pStyle w:val="standard"/>
        <w:spacing w:after="120" w:line="240" w:lineRule="auto"/>
        <w:ind w:left="720" w:firstLine="0"/>
      </w:pPr>
      <w:r w:rsidRPr="00D54868">
        <w:t>“Right of way” means the right of competing providers to obtain access to the distribution poles, ducts, conduits, and other support structures of a utility which are necessary to reach customers for telecommunications purposes.</w:t>
      </w:r>
    </w:p>
    <w:p w:rsidR="0064591C" w:rsidRPr="00D54868" w:rsidRDefault="0064591C" w:rsidP="0064591C">
      <w:pPr>
        <w:pStyle w:val="standard"/>
        <w:spacing w:after="120" w:line="240" w:lineRule="auto"/>
        <w:ind w:left="720" w:firstLine="0"/>
      </w:pPr>
      <w:r w:rsidRPr="00D54868">
        <w:t>“Make ready work” means the process of completing rearrangements on or in a support structure to create such surplus space or excess capacity as is necessary to make it usable for a pole attachment.</w:t>
      </w:r>
    </w:p>
    <w:p w:rsidR="0064591C" w:rsidRPr="00D54868" w:rsidRDefault="0064591C" w:rsidP="0064591C">
      <w:pPr>
        <w:pStyle w:val="standard"/>
        <w:spacing w:after="120" w:line="240" w:lineRule="auto"/>
        <w:ind w:left="720" w:firstLine="0"/>
      </w:pPr>
      <w:r w:rsidRPr="00D54868">
        <w:t>“Modifications” means the process of changing or modifying, in whole or in part, support structures or rights of way to accommodate more or different pole attachments.</w:t>
      </w:r>
    </w:p>
    <w:p w:rsidR="0064591C" w:rsidRPr="00D54868" w:rsidRDefault="0064591C" w:rsidP="0064591C">
      <w:pPr>
        <w:pStyle w:val="standard"/>
        <w:spacing w:after="240" w:line="240" w:lineRule="auto"/>
        <w:ind w:left="720" w:firstLine="0"/>
      </w:pPr>
      <w:r w:rsidRPr="00D54868">
        <w:t>“Incumbent local exchange carrier” refers to Pacific Bell and GTE California, Inc., Roseville Telephone Company, and Citizens Telecommunications Company of California, for purposes of these rules, unless explicitly indicated otherwise.</w:t>
      </w:r>
    </w:p>
    <w:p w:rsidR="0064591C" w:rsidRPr="00D54868" w:rsidRDefault="0064591C" w:rsidP="0064591C">
      <w:pPr>
        <w:pStyle w:val="standard"/>
        <w:keepNext/>
        <w:tabs>
          <w:tab w:val="left" w:pos="720"/>
        </w:tabs>
        <w:spacing w:after="120" w:line="240" w:lineRule="auto"/>
        <w:ind w:left="720" w:hanging="720"/>
      </w:pPr>
      <w:r>
        <w:t xml:space="preserve">III. </w:t>
      </w:r>
      <w:r>
        <w:tab/>
      </w:r>
      <w:r w:rsidRPr="00D54868">
        <w:t>REQUESTS FOR INFORMATION</w:t>
      </w:r>
    </w:p>
    <w:p w:rsidR="0064591C" w:rsidRPr="00D54868" w:rsidRDefault="0064591C" w:rsidP="0064591C">
      <w:pPr>
        <w:pStyle w:val="standard"/>
        <w:spacing w:after="120" w:line="240" w:lineRule="auto"/>
        <w:ind w:firstLine="0"/>
      </w:pPr>
      <w:r w:rsidRPr="00D54868">
        <w:t xml:space="preserve">A utility shall promptly respond in writing to a written request for information (“request for information”) from a telecommunications carrier, </w:t>
      </w:r>
      <w:r w:rsidRPr="0064591C">
        <w:t>CMRS carrier</w:t>
      </w:r>
      <w:r w:rsidRPr="00D54868">
        <w:t>, or cable</w:t>
      </w:r>
      <w:r>
        <w:t> </w:t>
      </w:r>
      <w:r w:rsidRPr="00D54868">
        <w:t>TV company regarding the availability of surplus space or excess capacity on or in the utility’s support structures and rights of way.  The utility shall respond to requests for information as quickly as possible consistent with applicable legal, safety, and reliability requirements, which, in the case of Pacific or GTEC, shall not exceed 10 business days if no field survey is required and shall not exceed 20 business days if a field-based survey of support structures is required.  In the event the request involves more than 500 poles or 5 miles of conduit, the parties shall negotiate a mutually satisfactory longer response time.</w:t>
      </w:r>
    </w:p>
    <w:p w:rsidR="0064591C" w:rsidRPr="00D54868" w:rsidRDefault="0064591C" w:rsidP="0064591C">
      <w:pPr>
        <w:pStyle w:val="standard"/>
        <w:spacing w:after="120" w:line="240" w:lineRule="auto"/>
        <w:ind w:firstLine="0"/>
      </w:pPr>
      <w:r w:rsidRPr="00D54868">
        <w:t xml:space="preserve">Within the applicable time limit set forth in paragraph III.A and subject to execution of pertinent nondisclosure agreements, the utility shall provide access to maps, and currently available records such as drawings, plans and any other information which it uses in its daily transaction of business necessary for evaluating the availability of surplus space or excess capacity on support </w:t>
      </w:r>
      <w:r w:rsidRPr="00D54868">
        <w:lastRenderedPageBreak/>
        <w:t>structures and for evaluating access to a specified area of the utility’s rights of way identified by the carrier.</w:t>
      </w:r>
    </w:p>
    <w:p w:rsidR="0064591C" w:rsidRPr="00D54868" w:rsidRDefault="0064591C" w:rsidP="0064591C">
      <w:pPr>
        <w:pStyle w:val="standard"/>
        <w:spacing w:after="120" w:line="240" w:lineRule="auto"/>
        <w:ind w:firstLine="0"/>
      </w:pPr>
      <w:r w:rsidRPr="00D54868">
        <w:t>The utility may charge for the actual costs incurred for copies and any preparation of maps, drawings or plans necessary for evaluating the availability of surplus space or excess capacity on support structures and for evaluating access to a utility’s rights of way.</w:t>
      </w:r>
    </w:p>
    <w:p w:rsidR="0064591C" w:rsidRPr="00D54868" w:rsidRDefault="0064591C" w:rsidP="0064591C">
      <w:pPr>
        <w:pStyle w:val="standard"/>
        <w:spacing w:after="120" w:line="240" w:lineRule="auto"/>
        <w:ind w:firstLine="0"/>
      </w:pPr>
      <w:r w:rsidRPr="00D54868">
        <w:t>Within 20 business days of a request, anyone who attaches to a utility</w:t>
      </w:r>
      <w:r w:rsidRPr="00D54868">
        <w:noBreakHyphen/>
        <w:t>owned pole shall allow the pole owner access to maps, and any currently available records such as drawings, plans, and any other information which is used in the daily transaction of business necessary for the owner to review attachments to its poles.</w:t>
      </w:r>
    </w:p>
    <w:p w:rsidR="0064591C" w:rsidRPr="00D54868" w:rsidRDefault="0064591C" w:rsidP="0064591C">
      <w:pPr>
        <w:pStyle w:val="standard"/>
        <w:spacing w:after="240" w:line="240" w:lineRule="auto"/>
        <w:ind w:firstLine="0"/>
      </w:pPr>
      <w:r w:rsidRPr="00D54868">
        <w:t>The utility may request up-front payments of its estimated costs for any of the work contemplated by Rule III.C., Rule IV.A. and Rule IV.B.  The utility’s estimate will be adjusted to reflect actual cost upon completion of the requested tasks.</w:t>
      </w:r>
    </w:p>
    <w:p w:rsidR="0064591C" w:rsidRPr="00B528CC" w:rsidRDefault="0064591C" w:rsidP="0064591C">
      <w:pPr>
        <w:pStyle w:val="standard"/>
        <w:keepNext/>
        <w:tabs>
          <w:tab w:val="left" w:pos="720"/>
        </w:tabs>
        <w:spacing w:after="120" w:line="240" w:lineRule="auto"/>
        <w:ind w:left="720" w:hanging="720"/>
      </w:pPr>
      <w:r>
        <w:t xml:space="preserve">IV. </w:t>
      </w:r>
      <w:r>
        <w:tab/>
      </w:r>
      <w:r w:rsidRPr="00B528CC">
        <w:t>REQUESTS FOR ACCESS TO RIGHTS OF WAY AND SUPPORT STRUCTURES</w:t>
      </w:r>
    </w:p>
    <w:p w:rsidR="0064591C" w:rsidRPr="00B528CC" w:rsidRDefault="0064591C" w:rsidP="0064591C">
      <w:pPr>
        <w:pStyle w:val="standard"/>
        <w:keepNext/>
        <w:tabs>
          <w:tab w:val="left" w:pos="1260"/>
        </w:tabs>
        <w:spacing w:after="120" w:line="240" w:lineRule="auto"/>
        <w:ind w:left="1260" w:hanging="547"/>
      </w:pPr>
      <w:r>
        <w:t xml:space="preserve">A. </w:t>
      </w:r>
      <w:r>
        <w:tab/>
      </w:r>
      <w:r w:rsidRPr="00B528CC">
        <w:t>INFORMATION REQUIREMENTS OF REQUESTS FOR ACCESS</w:t>
      </w:r>
    </w:p>
    <w:p w:rsidR="0064591C" w:rsidRPr="00B528CC" w:rsidRDefault="0064591C" w:rsidP="0064591C">
      <w:pPr>
        <w:pStyle w:val="standard"/>
        <w:tabs>
          <w:tab w:val="left" w:pos="1440"/>
        </w:tabs>
        <w:spacing w:after="120" w:line="240" w:lineRule="auto"/>
        <w:ind w:left="1440" w:hanging="540"/>
      </w:pPr>
      <w:r w:rsidRPr="00B528CC">
        <w:t>The request for access shall contain the following:</w:t>
      </w:r>
    </w:p>
    <w:p w:rsidR="0064591C" w:rsidRPr="00B528CC" w:rsidRDefault="0064591C" w:rsidP="0064591C">
      <w:pPr>
        <w:pStyle w:val="standard"/>
        <w:tabs>
          <w:tab w:val="left" w:pos="1440"/>
        </w:tabs>
        <w:spacing w:after="120" w:line="240" w:lineRule="auto"/>
        <w:ind w:left="1440" w:hanging="540"/>
      </w:pPr>
      <w:r>
        <w:t xml:space="preserve">1. </w:t>
      </w:r>
      <w:r>
        <w:tab/>
      </w:r>
      <w:r w:rsidRPr="00B528CC">
        <w:t xml:space="preserve">Information for contacting the </w:t>
      </w:r>
      <w:r w:rsidRPr="0064591C">
        <w:t>telecommunications</w:t>
      </w:r>
      <w:r w:rsidRPr="00B528CC">
        <w:t xml:space="preserve"> carrier, </w:t>
      </w:r>
      <w:r w:rsidRPr="0064591C">
        <w:t>CMRS carrier</w:t>
      </w:r>
      <w:r w:rsidRPr="00B528CC">
        <w:t>, or cable TV company, including project engineer, and name and address of person to be billed.</w:t>
      </w:r>
    </w:p>
    <w:p w:rsidR="0064591C" w:rsidRPr="00B528CC" w:rsidRDefault="0064591C" w:rsidP="0064591C">
      <w:pPr>
        <w:pStyle w:val="standard"/>
        <w:tabs>
          <w:tab w:val="left" w:pos="1440"/>
        </w:tabs>
        <w:spacing w:after="120" w:line="240" w:lineRule="auto"/>
        <w:ind w:left="1440" w:hanging="540"/>
      </w:pPr>
      <w:r>
        <w:t xml:space="preserve">2. </w:t>
      </w:r>
      <w:r>
        <w:tab/>
      </w:r>
      <w:r w:rsidRPr="00B528CC">
        <w:t>Loading information, which includes grade and size of attachment, size of cable, average span length, wind loading of their equipment, vertical loading, and bending movement.</w:t>
      </w:r>
    </w:p>
    <w:p w:rsidR="0064591C" w:rsidRPr="00B528CC" w:rsidRDefault="0064591C" w:rsidP="0064591C">
      <w:pPr>
        <w:pStyle w:val="standard"/>
        <w:tabs>
          <w:tab w:val="left" w:pos="1440"/>
        </w:tabs>
        <w:spacing w:after="120" w:line="240" w:lineRule="auto"/>
        <w:ind w:left="1440" w:hanging="540"/>
      </w:pPr>
      <w:r>
        <w:t xml:space="preserve">3. </w:t>
      </w:r>
      <w:r>
        <w:tab/>
      </w:r>
      <w:r w:rsidRPr="00B528CC">
        <w:t>Copy of property lease or right-of-way document.</w:t>
      </w:r>
    </w:p>
    <w:p w:rsidR="0064591C" w:rsidRPr="00146949" w:rsidRDefault="0064591C" w:rsidP="0064591C">
      <w:pPr>
        <w:pStyle w:val="standard"/>
        <w:spacing w:line="240" w:lineRule="auto"/>
      </w:pPr>
    </w:p>
    <w:p w:rsidR="0064591C" w:rsidRPr="005A5BBB" w:rsidRDefault="0064591C" w:rsidP="0064591C">
      <w:pPr>
        <w:pStyle w:val="standard"/>
        <w:keepNext/>
        <w:tabs>
          <w:tab w:val="left" w:pos="1260"/>
        </w:tabs>
        <w:spacing w:after="120" w:line="240" w:lineRule="auto"/>
        <w:ind w:left="1260" w:hanging="547"/>
      </w:pPr>
      <w:r>
        <w:t xml:space="preserve">B. </w:t>
      </w:r>
      <w:r>
        <w:tab/>
      </w:r>
      <w:r w:rsidRPr="005A5BBB">
        <w:t>RESPONSES TO REQUESTS FOR ACCESS</w:t>
      </w:r>
    </w:p>
    <w:p w:rsidR="0064591C" w:rsidRPr="005A5BBB" w:rsidRDefault="0064591C" w:rsidP="0064591C">
      <w:pPr>
        <w:pStyle w:val="standard"/>
        <w:tabs>
          <w:tab w:val="left" w:pos="1440"/>
        </w:tabs>
        <w:spacing w:after="120" w:line="240" w:lineRule="auto"/>
        <w:ind w:left="1440" w:hanging="540"/>
      </w:pPr>
      <w:r>
        <w:t xml:space="preserve">1. </w:t>
      </w:r>
      <w:r>
        <w:tab/>
      </w:r>
      <w:r w:rsidRPr="005A5BBB">
        <w:t xml:space="preserve">A utility shall respond in writing to the written request of a telecommunications carrier, </w:t>
      </w:r>
      <w:r w:rsidRPr="0064591C">
        <w:t>CMRS carrier</w:t>
      </w:r>
      <w:r w:rsidRPr="005A5BBB">
        <w:t xml:space="preserve">, or cable TV company for access (“request for access”) to its rights of way and support structures as quickly as possible, which, in the case of Pacific or GTEC, shall not exceed 45 days.  The response shall affirmatively state whether the utility will grant access or, if it intends to deny access, shall state all of the reasons why it is denying such access.  </w:t>
      </w:r>
      <w:r w:rsidRPr="005A5BBB">
        <w:lastRenderedPageBreak/>
        <w:t>Failure of Pacific or GTEC to respond within 45 days shall be deemed an acceptance of the request for access.</w:t>
      </w:r>
    </w:p>
    <w:p w:rsidR="0064591C" w:rsidRPr="005A5BBB" w:rsidRDefault="0064591C" w:rsidP="0064591C">
      <w:pPr>
        <w:pStyle w:val="standard"/>
        <w:tabs>
          <w:tab w:val="left" w:pos="1440"/>
        </w:tabs>
        <w:spacing w:after="120" w:line="240" w:lineRule="auto"/>
        <w:ind w:left="1440" w:hanging="540"/>
      </w:pPr>
      <w:r>
        <w:t xml:space="preserve">2. </w:t>
      </w:r>
      <w:r>
        <w:tab/>
      </w:r>
      <w:r w:rsidRPr="005A5BBB">
        <w:t xml:space="preserve">If, pursuant to a request for access, the utility has notified the telecommunication carrier, </w:t>
      </w:r>
      <w:r w:rsidRPr="0064591C">
        <w:t>CMRS carrier</w:t>
      </w:r>
      <w:r w:rsidRPr="005A5BBB">
        <w:t>, or cable</w:t>
      </w:r>
      <w:r>
        <w:t> </w:t>
      </w:r>
      <w:r w:rsidRPr="005A5BBB">
        <w:t>TV company that both adequate space and strength are available for the attachment, and the entity seeking access advises the utility in writing that it wants to make the attachment, the utility shall provide this entity with a list of the rearrangements or changes required to accommodate the entity’s facilities and an estimate of the time required and the cost to perform the utility’s portion of such rearrangements or changes.</w:t>
      </w:r>
    </w:p>
    <w:p w:rsidR="0064591C" w:rsidRPr="005A5BBB" w:rsidRDefault="0064591C" w:rsidP="0064591C">
      <w:pPr>
        <w:pStyle w:val="standard"/>
        <w:tabs>
          <w:tab w:val="left" w:pos="1440"/>
        </w:tabs>
        <w:spacing w:after="120" w:line="240" w:lineRule="auto"/>
        <w:ind w:left="1440" w:hanging="540"/>
      </w:pPr>
      <w:r>
        <w:t xml:space="preserve">3. </w:t>
      </w:r>
      <w:r>
        <w:tab/>
      </w:r>
      <w:r w:rsidRPr="005A5BBB">
        <w:t xml:space="preserve">If the utility does not own the property on which its support structures are located, the telecommunication carrier, </w:t>
      </w:r>
      <w:r w:rsidRPr="0064591C">
        <w:t>CMRS carrier</w:t>
      </w:r>
      <w:r w:rsidRPr="005A5BBB">
        <w:t>, or cable</w:t>
      </w:r>
      <w:r>
        <w:t> </w:t>
      </w:r>
      <w:r w:rsidRPr="005A5BBB">
        <w:t xml:space="preserve">TV company must obtain written permission from the owner of that property before attaching or installing its facilities.  The telecommunication carrier, </w:t>
      </w:r>
      <w:r w:rsidRPr="0064591C">
        <w:t>CMRS carrier</w:t>
      </w:r>
      <w:r w:rsidRPr="005A5BBB">
        <w:t>, or cable</w:t>
      </w:r>
      <w:r>
        <w:t> </w:t>
      </w:r>
      <w:r w:rsidRPr="005A5BBB">
        <w:t xml:space="preserve">TV company by using such facilities shall defend and indemnify the owner of the utility facilities, if its franchise or other rights to use the real property are challenged as a result of the telecommunication carrier’s, </w:t>
      </w:r>
      <w:r w:rsidRPr="0064591C">
        <w:t>CMRS carrier’s</w:t>
      </w:r>
      <w:r w:rsidRPr="005A5BBB">
        <w:t>, or the cable TV company’s use or attachment.</w:t>
      </w:r>
    </w:p>
    <w:p w:rsidR="0064591C" w:rsidRPr="002A4DE9" w:rsidRDefault="0064591C" w:rsidP="0064591C">
      <w:pPr>
        <w:pStyle w:val="standard"/>
        <w:spacing w:line="240" w:lineRule="auto"/>
      </w:pPr>
    </w:p>
    <w:p w:rsidR="0064591C" w:rsidRPr="002A4DE9" w:rsidRDefault="0064591C" w:rsidP="0064591C">
      <w:pPr>
        <w:pStyle w:val="standard"/>
        <w:keepNext/>
        <w:tabs>
          <w:tab w:val="left" w:pos="1260"/>
        </w:tabs>
        <w:spacing w:after="120" w:line="240" w:lineRule="auto"/>
        <w:ind w:left="1260" w:hanging="547"/>
      </w:pPr>
      <w:r>
        <w:t xml:space="preserve">C. </w:t>
      </w:r>
      <w:r>
        <w:tab/>
      </w:r>
      <w:r w:rsidRPr="002A4DE9">
        <w:t>TIME FOR COMPLETION OF MAKE READY WORK</w:t>
      </w:r>
    </w:p>
    <w:p w:rsidR="0064591C" w:rsidRPr="002A4DE9" w:rsidRDefault="0064591C" w:rsidP="0064591C">
      <w:pPr>
        <w:pStyle w:val="standard"/>
        <w:tabs>
          <w:tab w:val="left" w:pos="1440"/>
        </w:tabs>
        <w:spacing w:after="120" w:line="240" w:lineRule="auto"/>
        <w:ind w:left="1440" w:hanging="540"/>
      </w:pPr>
      <w:r>
        <w:t xml:space="preserve">1. </w:t>
      </w:r>
      <w:r>
        <w:tab/>
      </w:r>
      <w:r w:rsidRPr="002A4DE9">
        <w:t xml:space="preserve">If a utility is required to perform make ready work on its poles, ducts or conduit to accommodate a </w:t>
      </w:r>
      <w:r w:rsidRPr="0064591C">
        <w:t>telecommunications</w:t>
      </w:r>
      <w:r w:rsidRPr="002A4DE9">
        <w:t xml:space="preserve"> carrier’s, </w:t>
      </w:r>
      <w:r w:rsidRPr="0064591C">
        <w:t>CMRS carrier’s</w:t>
      </w:r>
      <w:r w:rsidRPr="002A4DE9">
        <w:t>, or a cable</w:t>
      </w:r>
      <w:r>
        <w:t> </w:t>
      </w:r>
      <w:r w:rsidRPr="002A4DE9">
        <w:t>TV company’s request for access, the utility shall perform such work at the requesting entity’s sole expense.  Such work shall be completed as quickly as possible consistent with applicable legal, safety, and reliability requirements, which, in the case of Pacific or GTEC shall occur within 30 business days of receipt of an advance payment for such work.  If the work involves more than 500 poles or 5 miles of conduit, the parties will negotiate a mutually satisfactory longer time frame to complete such make ready work.</w:t>
      </w:r>
    </w:p>
    <w:p w:rsidR="0064591C" w:rsidRPr="00E35516" w:rsidRDefault="0064591C" w:rsidP="0064591C">
      <w:pPr>
        <w:pStyle w:val="standard"/>
        <w:spacing w:line="240" w:lineRule="auto"/>
      </w:pPr>
    </w:p>
    <w:p w:rsidR="0064591C" w:rsidRPr="002A4DE9" w:rsidRDefault="0064591C" w:rsidP="0064591C">
      <w:pPr>
        <w:pStyle w:val="standard"/>
        <w:keepNext/>
        <w:tabs>
          <w:tab w:val="left" w:pos="1260"/>
        </w:tabs>
        <w:spacing w:after="120" w:line="240" w:lineRule="auto"/>
        <w:ind w:left="1260" w:hanging="547"/>
      </w:pPr>
      <w:r>
        <w:lastRenderedPageBreak/>
        <w:t xml:space="preserve">D. </w:t>
      </w:r>
      <w:r>
        <w:tab/>
      </w:r>
      <w:r w:rsidRPr="002A4DE9">
        <w:t>USE OF THIRD PARTY CONTRACTORS</w:t>
      </w:r>
    </w:p>
    <w:p w:rsidR="0064591C" w:rsidRPr="002A4DE9" w:rsidRDefault="0064591C" w:rsidP="0064591C">
      <w:pPr>
        <w:pStyle w:val="standard"/>
        <w:tabs>
          <w:tab w:val="left" w:pos="1440"/>
        </w:tabs>
        <w:spacing w:after="120" w:line="240" w:lineRule="auto"/>
        <w:ind w:left="1440" w:hanging="540"/>
      </w:pPr>
      <w:r w:rsidRPr="002A4DE9">
        <w:t xml:space="preserve">1. </w:t>
      </w:r>
      <w:r w:rsidRPr="002A4DE9">
        <w:tab/>
        <w:t xml:space="preserve">The ILEC shall maintain a list of contractors that are qualified to respond to requests for information and requests for access, as well as to perform make ready work and attachment and installation of wire </w:t>
      </w:r>
      <w:r w:rsidRPr="003827EC">
        <w:t>telecommunications</w:t>
      </w:r>
      <w:r w:rsidRPr="002A4DE9">
        <w:t xml:space="preserve"> communications, </w:t>
      </w:r>
      <w:r w:rsidRPr="003827EC">
        <w:t>CMRS facilities</w:t>
      </w:r>
      <w:r w:rsidRPr="002A4DE9">
        <w:t>, or cable TV facilities on the utility’s support structures.  This requirement shall not apply to electric utilities.  This requirement shall not affect the discretion of a utility to use its own employees.</w:t>
      </w:r>
    </w:p>
    <w:p w:rsidR="0064591C" w:rsidRPr="002A4DE9" w:rsidRDefault="0064591C" w:rsidP="0064591C">
      <w:pPr>
        <w:pStyle w:val="standard"/>
        <w:tabs>
          <w:tab w:val="left" w:pos="1440"/>
        </w:tabs>
        <w:spacing w:after="120" w:line="240" w:lineRule="auto"/>
        <w:ind w:left="1440" w:hanging="540"/>
      </w:pPr>
      <w:r>
        <w:t xml:space="preserve">2. </w:t>
      </w:r>
      <w:r>
        <w:tab/>
      </w:r>
      <w:r w:rsidRPr="002A4DE9">
        <w:t xml:space="preserve">A telecommunications carrier, </w:t>
      </w:r>
      <w:r w:rsidRPr="003827EC">
        <w:t>CMRS carrier</w:t>
      </w:r>
      <w:r w:rsidRPr="002A4DE9">
        <w:t xml:space="preserve">, or cable TV company may use its own personnel to attach or install the carrier’s communications facilities in or on a utility’s facilities, provided that in the utility’s reasonable judgment, the </w:t>
      </w:r>
      <w:r w:rsidRPr="003827EC">
        <w:t>telecommunications</w:t>
      </w:r>
      <w:r>
        <w:t xml:space="preserve"> </w:t>
      </w:r>
      <w:r w:rsidRPr="002A4DE9">
        <w:t xml:space="preserve">carrier’s, </w:t>
      </w:r>
      <w:r w:rsidRPr="003827EC">
        <w:t>CMRS carrier’s</w:t>
      </w:r>
      <w:r w:rsidRPr="002A4DE9">
        <w:t>, or cable TV company’s personnel or agents demonstrate that they are trained and qualified to work on or in the utility’s facilities.  To use its own personnel or contractors on electric utility poles, the</w:t>
      </w:r>
      <w:r w:rsidRPr="00FD0543">
        <w:t xml:space="preserve"> </w:t>
      </w:r>
      <w:r w:rsidRPr="002A4DE9">
        <w:t>telecommunications carrier,</w:t>
      </w:r>
      <w:r w:rsidRPr="00FD0543">
        <w:t xml:space="preserve"> </w:t>
      </w:r>
      <w:r w:rsidRPr="003827EC">
        <w:t>CMRS carrier</w:t>
      </w:r>
      <w:r w:rsidRPr="00FD0543">
        <w:t xml:space="preserve">, or cable TV company </w:t>
      </w:r>
      <w:r w:rsidRPr="002A4DE9">
        <w:t xml:space="preserve">must give 48 hours advance notice to the electric utility, unless an electrical shutdown is required.  If an electrical shutdown is required, the telecommunications carrier, </w:t>
      </w:r>
      <w:r w:rsidRPr="003827EC">
        <w:t>CMRS carrier</w:t>
      </w:r>
      <w:r w:rsidRPr="002A4DE9">
        <w:t>, or cable</w:t>
      </w:r>
      <w:r>
        <w:t> </w:t>
      </w:r>
      <w:r w:rsidRPr="002A4DE9">
        <w:t xml:space="preserve">TV company must arrange a specific schedule with the electric utility.  The telecommunications carrier, </w:t>
      </w:r>
      <w:r w:rsidRPr="003827EC">
        <w:t>CMRS carrier</w:t>
      </w:r>
      <w:r w:rsidRPr="002A4DE9">
        <w:t xml:space="preserve">, or cable TV company is responsible for all costs associated with an electrical shutdown.  The inspection will be paid for by the attaching entity.  The telecommunications carrier, </w:t>
      </w:r>
      <w:r w:rsidRPr="003827EC">
        <w:t>CMRS carrier</w:t>
      </w:r>
      <w:r w:rsidRPr="002A4DE9">
        <w:t>, or cable TV company must allow the electric utility, in the utility’s discretion to inspect the  attachment to the support structure.  This provision shall not apply to electric underground facilities containing energized electric supply cables.  Work involving electric underground facilities containing energized electric supply cables or the rearranging of overhead electric facilities will be conducted as required by the electric utility at its sole discretion.  In no event shall the telecommunications</w:t>
      </w:r>
      <w:r>
        <w:t xml:space="preserve"> </w:t>
      </w:r>
      <w:r w:rsidRPr="003827EC">
        <w:t>carrier</w:t>
      </w:r>
      <w:r w:rsidRPr="002A4DE9">
        <w:t xml:space="preserve">, </w:t>
      </w:r>
      <w:r w:rsidRPr="003827EC">
        <w:t>CMRS carrier</w:t>
      </w:r>
      <w:r w:rsidRPr="002A4DE9">
        <w:t>, or cable TV company or their respective contractor, interfere with the electric utility’s equipment or service.</w:t>
      </w:r>
    </w:p>
    <w:p w:rsidR="0064591C" w:rsidRPr="00693BAE" w:rsidRDefault="0064591C" w:rsidP="0064591C">
      <w:pPr>
        <w:pStyle w:val="standard"/>
        <w:tabs>
          <w:tab w:val="left" w:pos="1440"/>
        </w:tabs>
        <w:spacing w:after="120" w:line="240" w:lineRule="auto"/>
        <w:ind w:left="1440" w:hanging="540"/>
      </w:pPr>
      <w:r>
        <w:t xml:space="preserve">3. </w:t>
      </w:r>
      <w:r>
        <w:tab/>
      </w:r>
      <w:r w:rsidRPr="00693BAE">
        <w:t xml:space="preserve">Incumbent utilities should adopt written guidelines to ensure that telecommunication carriers’, </w:t>
      </w:r>
      <w:r w:rsidRPr="003827EC">
        <w:t>CMRS carrier’s</w:t>
      </w:r>
      <w:r w:rsidRPr="00693BAE">
        <w:t xml:space="preserve">, and cable TV companies’ personnel and third-party contractors are qualified.  These guidelines must be reasonable and objective, and must apply </w:t>
      </w:r>
      <w:r w:rsidRPr="00693BAE">
        <w:lastRenderedPageBreak/>
        <w:t>equally to the incumbent utility’s own personnel or the incumbent utility’s own third-party contractors.  Incumbent utilities must seek industry input when drafting such guidelines.</w:t>
      </w:r>
    </w:p>
    <w:p w:rsidR="0064591C" w:rsidRPr="00E35516" w:rsidRDefault="0064591C" w:rsidP="0064591C">
      <w:pPr>
        <w:pStyle w:val="standard"/>
        <w:spacing w:line="240" w:lineRule="auto"/>
      </w:pPr>
    </w:p>
    <w:p w:rsidR="0064591C" w:rsidRPr="005B0D45" w:rsidRDefault="0064591C" w:rsidP="0064591C">
      <w:pPr>
        <w:pStyle w:val="standard"/>
        <w:keepNext/>
        <w:spacing w:after="120" w:line="240" w:lineRule="auto"/>
        <w:ind w:firstLine="0"/>
      </w:pPr>
      <w:r>
        <w:t xml:space="preserve">V. </w:t>
      </w:r>
      <w:r>
        <w:tab/>
      </w:r>
      <w:r w:rsidRPr="005B0D45">
        <w:t>NONDISCLOSURE</w:t>
      </w:r>
    </w:p>
    <w:p w:rsidR="0064591C" w:rsidRPr="005B0D45" w:rsidRDefault="0064591C" w:rsidP="0064591C">
      <w:pPr>
        <w:pStyle w:val="standard"/>
        <w:keepNext/>
        <w:tabs>
          <w:tab w:val="left" w:pos="1260"/>
        </w:tabs>
        <w:spacing w:after="120" w:line="240" w:lineRule="auto"/>
        <w:ind w:left="1260" w:hanging="547"/>
      </w:pPr>
      <w:r>
        <w:t xml:space="preserve">A. </w:t>
      </w:r>
      <w:r>
        <w:tab/>
      </w:r>
      <w:r w:rsidRPr="005B0D45">
        <w:t>DUTY NOT TO DISCLOSE PROPRIETARY INFORMATION</w:t>
      </w:r>
    </w:p>
    <w:p w:rsidR="0064591C" w:rsidRPr="005B0D45" w:rsidRDefault="0064591C" w:rsidP="0064591C">
      <w:pPr>
        <w:pStyle w:val="standard"/>
        <w:tabs>
          <w:tab w:val="left" w:pos="1440"/>
        </w:tabs>
        <w:spacing w:after="120" w:line="240" w:lineRule="auto"/>
        <w:ind w:left="1440" w:hanging="540"/>
      </w:pPr>
      <w:r>
        <w:t xml:space="preserve">1. </w:t>
      </w:r>
      <w:r>
        <w:tab/>
      </w:r>
      <w:r w:rsidRPr="005B0D45">
        <w:t xml:space="preserve">The utility and entities seeking access to poles or other support structures may provide reciprocal standard nondisclosure agreements that permit either party to designate as proprietary information any portion of a request for information or a response thereto, regarding the availability of surplus space or excess capacity on or in its support structures, or of a request for access to such surplus space or excess capacity, as well as any maps, plans, drawings or other information, including those that disclose the telecommunications carrier’s, </w:t>
      </w:r>
      <w:r w:rsidRPr="003827EC">
        <w:t>CMRS carrier’s</w:t>
      </w:r>
      <w:r w:rsidRPr="005B0D45">
        <w:t>, or cable TV company’s plans for where it intends to compete against an incumbent telephone utility.  Each party shall have a duty not to disclose any information which the other contracting party has designated as proprietary except to personnel within the utility that have an actual, verifiable “need to know” in order to respond to requests for information or requests for access.</w:t>
      </w:r>
    </w:p>
    <w:p w:rsidR="0064591C" w:rsidRPr="00E35516" w:rsidRDefault="0064591C" w:rsidP="0064591C">
      <w:pPr>
        <w:pStyle w:val="standard"/>
        <w:spacing w:line="240" w:lineRule="auto"/>
      </w:pPr>
    </w:p>
    <w:p w:rsidR="0064591C" w:rsidRPr="00405446" w:rsidRDefault="0064591C" w:rsidP="0064591C">
      <w:pPr>
        <w:pStyle w:val="standard"/>
        <w:keepNext/>
        <w:tabs>
          <w:tab w:val="left" w:pos="1260"/>
        </w:tabs>
        <w:spacing w:after="120" w:line="240" w:lineRule="auto"/>
        <w:ind w:left="1260" w:hanging="547"/>
      </w:pPr>
      <w:r>
        <w:t xml:space="preserve">B. </w:t>
      </w:r>
      <w:r>
        <w:tab/>
      </w:r>
      <w:r w:rsidRPr="00405446">
        <w:t>SANCTIONS FOR VIOLATIONS OF NONDISCLOSURE AGREEMENTS</w:t>
      </w:r>
    </w:p>
    <w:p w:rsidR="0064591C" w:rsidRPr="00A37787" w:rsidRDefault="0064591C" w:rsidP="0064591C">
      <w:pPr>
        <w:pStyle w:val="standard"/>
        <w:tabs>
          <w:tab w:val="left" w:pos="1440"/>
        </w:tabs>
        <w:spacing w:after="120" w:line="240" w:lineRule="auto"/>
        <w:ind w:left="1440" w:hanging="540"/>
      </w:pPr>
      <w:r>
        <w:t xml:space="preserve">1. </w:t>
      </w:r>
      <w:r>
        <w:tab/>
      </w:r>
      <w:r w:rsidRPr="00A37787">
        <w:t xml:space="preserve">Each party shall take every precaution necessary to prevent employees in its field offices or other offices responsible for making or responding to requests for information or requests for access from disclosing any proprietary information of the other party.  Under no circumstances may a party disclose such information to marketing, sales or customer representative personnel.  Proprietary information shall be disclosed only to personnel in the utility’s field offices or other offices responsible for making or responding to such requests who have an actual, verifiable “need to know” for purposes of responding to such requests.  Such personnel shall be advised of their duty not to disclose such information to any other person who does not have a “need to know” such information.  Violation of the duty not to disclose proprietary information shall be cause for </w:t>
      </w:r>
      <w:r w:rsidRPr="00A37787">
        <w:lastRenderedPageBreak/>
        <w:t>imposition of such sanctions as, in the Commission’s judgment, are necessary to deter the party from breaching its duty not to disclose proprietary information in the future.  Any violation of the duty not to disclose proprietary information will be accompanied by findings of fact that permit a party whose proprietary information has improperly been disclosed to seek further remedies in a civil action.</w:t>
      </w:r>
    </w:p>
    <w:p w:rsidR="0064591C" w:rsidRPr="00E35516" w:rsidRDefault="0064591C" w:rsidP="0064591C">
      <w:pPr>
        <w:pStyle w:val="standard"/>
        <w:spacing w:line="240" w:lineRule="auto"/>
      </w:pPr>
    </w:p>
    <w:p w:rsidR="0064591C" w:rsidRPr="00CB0E8D" w:rsidRDefault="0064591C" w:rsidP="0064591C">
      <w:pPr>
        <w:pStyle w:val="standard"/>
        <w:keepNext/>
        <w:spacing w:after="120" w:line="240" w:lineRule="auto"/>
        <w:ind w:firstLine="0"/>
      </w:pPr>
      <w:r>
        <w:t xml:space="preserve">VI. </w:t>
      </w:r>
      <w:r>
        <w:tab/>
      </w:r>
      <w:r w:rsidRPr="00CB0E8D">
        <w:t>PRICING AND TARIFFS GOVERNING ACCESS</w:t>
      </w:r>
    </w:p>
    <w:p w:rsidR="0064591C" w:rsidRPr="00CB0E8D" w:rsidRDefault="0064591C" w:rsidP="0064591C">
      <w:pPr>
        <w:pStyle w:val="standard"/>
        <w:keepNext/>
        <w:tabs>
          <w:tab w:val="left" w:pos="1260"/>
        </w:tabs>
        <w:spacing w:after="120" w:line="240" w:lineRule="auto"/>
        <w:ind w:left="1260" w:hanging="547"/>
      </w:pPr>
      <w:r>
        <w:t xml:space="preserve">A. </w:t>
      </w:r>
      <w:r>
        <w:tab/>
      </w:r>
      <w:r w:rsidRPr="00CB0E8D">
        <w:t>GENERAL PRINCIPLE OF NONDISCRIMINATION</w:t>
      </w:r>
    </w:p>
    <w:p w:rsidR="0064591C" w:rsidRPr="000963A9" w:rsidRDefault="0064591C" w:rsidP="0064591C">
      <w:pPr>
        <w:pStyle w:val="standard"/>
        <w:tabs>
          <w:tab w:val="left" w:pos="1440"/>
        </w:tabs>
        <w:spacing w:after="120" w:line="240" w:lineRule="auto"/>
        <w:ind w:left="1440" w:hanging="540"/>
      </w:pPr>
      <w:r w:rsidRPr="000963A9">
        <w:t xml:space="preserve">1. </w:t>
      </w:r>
      <w:r w:rsidRPr="000963A9">
        <w:tab/>
        <w:t xml:space="preserve">A utility shall grant access to its rights-of-way and support structures to telecommunications carriers, </w:t>
      </w:r>
      <w:r w:rsidRPr="003827EC">
        <w:t>CMRS carriers</w:t>
      </w:r>
      <w:r w:rsidRPr="000963A9">
        <w:t>, and cable</w:t>
      </w:r>
      <w:r w:rsidR="003827EC">
        <w:t> </w:t>
      </w:r>
      <w:r w:rsidRPr="000963A9">
        <w:t>TV companies on a nondiscriminatory basis.  Nondiscriminatory access is access on a first-come, first</w:t>
      </w:r>
      <w:r w:rsidRPr="000963A9">
        <w:noBreakHyphen/>
        <w:t xml:space="preserve">served basis; access that can be restricted only on consistently applied nondiscriminatory principles relating to capacity constraints, and safety, engineering, and reliability requirements.  Electric utilities’ use of its own facilities for internal communications in support of its utility function shall </w:t>
      </w:r>
      <w:r w:rsidRPr="00073547">
        <w:t>not</w:t>
      </w:r>
      <w:r w:rsidRPr="000963A9">
        <w:t xml:space="preserve"> be considered to establish a comparison for nondiscriminatory access.  A utility shall have the ability to negotiate with a telecommunications carrier, </w:t>
      </w:r>
      <w:r w:rsidRPr="003827EC">
        <w:t>CMRS carrier</w:t>
      </w:r>
      <w:r w:rsidRPr="000963A9">
        <w:t>, or cable TV company the price for access to its rights of way and support structures.</w:t>
      </w:r>
    </w:p>
    <w:p w:rsidR="0064591C" w:rsidRPr="00073547" w:rsidRDefault="0064591C" w:rsidP="0064591C">
      <w:pPr>
        <w:pStyle w:val="standard"/>
        <w:tabs>
          <w:tab w:val="left" w:pos="1440"/>
        </w:tabs>
        <w:spacing w:after="120" w:line="240" w:lineRule="auto"/>
        <w:ind w:left="1440" w:hanging="540"/>
      </w:pPr>
      <w:r w:rsidRPr="00073547">
        <w:t xml:space="preserve">2. </w:t>
      </w:r>
      <w:r w:rsidRPr="00073547">
        <w:tab/>
        <w:t xml:space="preserve">A utility shall grant access to its rights-of-way and support structures to telecommunications carriers, </w:t>
      </w:r>
      <w:r w:rsidRPr="003827EC">
        <w:t>CMRS carriers</w:t>
      </w:r>
      <w:r w:rsidRPr="00073547">
        <w:t xml:space="preserve">, and cable TV companies on a nondiscriminatory basis, access to or use of the right-of-way, where such right-of-way is located on private property and safety, engineering, and reliability requirements.  Electric utilities’ use of their own facilities for internal communications in support of their utility function shall not be considered to establish a comparison for nondiscriminatory access.  A utility shall have the ability to negotiate with a telecommunications carrier, </w:t>
      </w:r>
      <w:r w:rsidRPr="003827EC">
        <w:t>CMRS carrier</w:t>
      </w:r>
      <w:r w:rsidRPr="00073547">
        <w:t>, or cable TV company the price for access to its rights</w:t>
      </w:r>
      <w:r w:rsidRPr="00073547">
        <w:noBreakHyphen/>
        <w:t>of</w:t>
      </w:r>
      <w:r w:rsidRPr="00073547">
        <w:noBreakHyphen/>
        <w:t>way and support structures.</w:t>
      </w:r>
    </w:p>
    <w:p w:rsidR="0064591C" w:rsidRPr="00055850" w:rsidRDefault="0064591C" w:rsidP="0064591C">
      <w:pPr>
        <w:pStyle w:val="standard"/>
        <w:spacing w:line="240" w:lineRule="auto"/>
      </w:pPr>
    </w:p>
    <w:p w:rsidR="0064591C" w:rsidRPr="00585DE0" w:rsidRDefault="0064591C" w:rsidP="0064591C">
      <w:pPr>
        <w:pStyle w:val="standard"/>
        <w:keepNext/>
        <w:tabs>
          <w:tab w:val="left" w:pos="1260"/>
        </w:tabs>
        <w:spacing w:after="120" w:line="240" w:lineRule="auto"/>
        <w:ind w:left="1260" w:hanging="547"/>
      </w:pPr>
      <w:r>
        <w:t xml:space="preserve">B. </w:t>
      </w:r>
      <w:r>
        <w:tab/>
      </w:r>
      <w:r w:rsidRPr="00585DE0">
        <w:t>MANNER OF PRICING ACCESS</w:t>
      </w:r>
    </w:p>
    <w:p w:rsidR="0064591C" w:rsidRPr="00585DE0" w:rsidRDefault="0064591C" w:rsidP="0064591C">
      <w:pPr>
        <w:pStyle w:val="standard"/>
        <w:tabs>
          <w:tab w:val="left" w:pos="1440"/>
        </w:tabs>
        <w:spacing w:after="120" w:line="240" w:lineRule="auto"/>
        <w:ind w:left="1440" w:hanging="540"/>
      </w:pPr>
      <w:r>
        <w:t xml:space="preserve">1. </w:t>
      </w:r>
      <w:r>
        <w:tab/>
      </w:r>
      <w:r w:rsidRPr="00585DE0">
        <w:t xml:space="preserve">Whenever a public utility and a telecommunications carrier, </w:t>
      </w:r>
      <w:r w:rsidRPr="003827EC">
        <w:t>CMRS carrier</w:t>
      </w:r>
      <w:r w:rsidRPr="00585DE0">
        <w:t xml:space="preserve">, or cable TV company, or associations, therefore, are </w:t>
      </w:r>
      <w:r w:rsidRPr="00585DE0">
        <w:lastRenderedPageBreak/>
        <w:t>unable to agree upon the terms, conditions, or annual compensation for pole attachments or the terms, conditions, or costs of rearrangements, the Commission shall establish and enforce the rates, terms and conditions for pole attachments and rearrangements so as to assure a public utility the recovery of both of the following:</w:t>
      </w:r>
    </w:p>
    <w:p w:rsidR="0064591C" w:rsidRPr="00585DE0" w:rsidRDefault="0064591C" w:rsidP="0064591C">
      <w:pPr>
        <w:pStyle w:val="standard"/>
        <w:tabs>
          <w:tab w:val="left" w:pos="2160"/>
        </w:tabs>
        <w:spacing w:after="120" w:line="240" w:lineRule="auto"/>
        <w:ind w:left="2160" w:hanging="540"/>
      </w:pPr>
      <w:r>
        <w:t xml:space="preserve">a. </w:t>
      </w:r>
      <w:r>
        <w:tab/>
      </w:r>
      <w:r w:rsidRPr="00585DE0">
        <w:t>A one-time reimbursement for actual costs incurred by the public utility for rearrangements performed at the request of the telecommunications carrier</w:t>
      </w:r>
      <w:r>
        <w:t xml:space="preserve"> </w:t>
      </w:r>
      <w:r w:rsidRPr="003827EC">
        <w:t>or CMRS carrier</w:t>
      </w:r>
      <w:r w:rsidRPr="00585DE0">
        <w:t>.</w:t>
      </w:r>
    </w:p>
    <w:p w:rsidR="0064591C" w:rsidRPr="00585DE0" w:rsidRDefault="0064591C" w:rsidP="0064591C">
      <w:pPr>
        <w:pStyle w:val="standard"/>
        <w:tabs>
          <w:tab w:val="left" w:pos="2160"/>
        </w:tabs>
        <w:spacing w:after="120" w:line="240" w:lineRule="auto"/>
        <w:ind w:left="2160" w:hanging="540"/>
      </w:pPr>
      <w:r>
        <w:t xml:space="preserve">b. </w:t>
      </w:r>
      <w:r>
        <w:tab/>
      </w:r>
      <w:r w:rsidRPr="00585DE0">
        <w:t>An annual recurring fee computed as follows:</w:t>
      </w:r>
    </w:p>
    <w:p w:rsidR="0064591C" w:rsidRDefault="0064591C" w:rsidP="0064591C">
      <w:pPr>
        <w:pStyle w:val="standard"/>
        <w:tabs>
          <w:tab w:val="left" w:pos="2880"/>
        </w:tabs>
        <w:spacing w:after="120" w:line="240" w:lineRule="auto"/>
        <w:ind w:left="2880" w:hanging="540"/>
      </w:pPr>
      <w:r>
        <w:t xml:space="preserve">(1) </w:t>
      </w:r>
      <w:r>
        <w:tab/>
      </w:r>
      <w:r w:rsidRPr="00585DE0">
        <w:t>For each pole and supporting anchor actually used by the telecommunications carrier</w:t>
      </w:r>
      <w:r>
        <w:t xml:space="preserve"> </w:t>
      </w:r>
      <w:r w:rsidRPr="00585DE0">
        <w:t>or cable TV company, the annual fee shall be two dollars and fifty cents ($2.50) or 7.4 percent of the public utility’s annual cost of ownership for the pole and supporting anchor, whichever is greater, except that if a public utility applies for establishment of a fee in excess of two dollars and fifty cents ($2.50) under this rule, the annual fee shall be 7.4 percent of the public utility’s annual cost of ownership for the pole and supporting anchor.</w:t>
      </w:r>
      <w:r>
        <w:t xml:space="preserve"> </w:t>
      </w:r>
    </w:p>
    <w:p w:rsidR="0064591C" w:rsidRPr="003827EC" w:rsidRDefault="0064591C" w:rsidP="0064591C">
      <w:pPr>
        <w:pStyle w:val="standard"/>
        <w:tabs>
          <w:tab w:val="left" w:pos="2880"/>
        </w:tabs>
        <w:spacing w:after="120" w:line="240" w:lineRule="auto"/>
        <w:ind w:left="2880" w:hanging="540"/>
      </w:pPr>
      <w:r w:rsidRPr="003827EC">
        <w:t xml:space="preserve">(2) </w:t>
      </w:r>
      <w:r w:rsidRPr="003827EC">
        <w:tab/>
        <w:t>For each pole and supporting anchor actually used by a CMRS carrier, the annual fee for each foot of vertical pole space occupied by the CMRS installation shall be two dollars and fifty cents ($2.50) or 7.4 percent of the public utility’s annual cost of ownership for the pole and supporting anchor, whichever is greater.  The per-foot fee for CMRS installations is subject to the following conditions and limitations:</w:t>
      </w:r>
    </w:p>
    <w:p w:rsidR="0064591C" w:rsidRPr="003827EC" w:rsidRDefault="0064591C" w:rsidP="0064591C">
      <w:pPr>
        <w:pStyle w:val="standard"/>
        <w:tabs>
          <w:tab w:val="left" w:pos="3510"/>
        </w:tabs>
        <w:spacing w:after="120" w:line="240" w:lineRule="auto"/>
        <w:ind w:left="3510" w:hanging="630"/>
      </w:pPr>
      <w:r w:rsidRPr="003827EC">
        <w:t xml:space="preserve">(i) </w:t>
      </w:r>
      <w:r w:rsidRPr="003827EC">
        <w:tab/>
        <w:t xml:space="preserve">The vertical pole space occupied by each CMRS attachment shall be rounded to the nearest whole foot, with a 1-foot minimum.  </w:t>
      </w:r>
    </w:p>
    <w:p w:rsidR="0064591C" w:rsidRPr="003827EC" w:rsidRDefault="0064591C" w:rsidP="0064591C">
      <w:pPr>
        <w:pStyle w:val="standard"/>
        <w:tabs>
          <w:tab w:val="left" w:pos="3510"/>
        </w:tabs>
        <w:spacing w:after="120" w:line="240" w:lineRule="auto"/>
        <w:ind w:left="3510" w:hanging="630"/>
      </w:pPr>
      <w:r w:rsidRPr="003827EC">
        <w:t xml:space="preserve">(ii) </w:t>
      </w:r>
      <w:r w:rsidRPr="003827EC">
        <w:tab/>
        <w:t xml:space="preserve">The 7.4% per-foot fee applies to the pole space that a CMRS attachment renders unusable for </w:t>
      </w:r>
      <w:r w:rsidR="009B60E2">
        <w:t>non</w:t>
      </w:r>
      <w:r w:rsidR="009B60E2">
        <w:noBreakHyphen/>
        <w:t>CMRS</w:t>
      </w:r>
      <w:r w:rsidR="00EE62A6">
        <w:t xml:space="preserve"> </w:t>
      </w:r>
      <w:r w:rsidRPr="003827EC">
        <w:t xml:space="preserve">attachments, including (A) the pole space that is physically occupied by the CMRS attachment; and (B) any pole space that cannot be used by communication and/or supply </w:t>
      </w:r>
      <w:r w:rsidRPr="003827EC">
        <w:lastRenderedPageBreak/>
        <w:t xml:space="preserve">conductors due solely to the installation of the CMRS attachment.   </w:t>
      </w:r>
    </w:p>
    <w:p w:rsidR="0064591C" w:rsidRPr="003827EC" w:rsidRDefault="0064591C" w:rsidP="0064591C">
      <w:pPr>
        <w:pStyle w:val="standard"/>
        <w:tabs>
          <w:tab w:val="left" w:pos="3510"/>
        </w:tabs>
        <w:spacing w:after="120" w:line="240" w:lineRule="auto"/>
        <w:ind w:left="3510" w:hanging="630"/>
      </w:pPr>
      <w:r w:rsidRPr="003827EC">
        <w:t>(iii)</w:t>
      </w:r>
      <w:r w:rsidRPr="003827EC">
        <w:tab/>
        <w:t xml:space="preserve">The 7.4% per-foot fee applies to CMRS attachments anywhere on the pole. </w:t>
      </w:r>
    </w:p>
    <w:p w:rsidR="0064591C" w:rsidRPr="003827EC" w:rsidRDefault="0064591C" w:rsidP="0064591C">
      <w:pPr>
        <w:pStyle w:val="standard"/>
        <w:tabs>
          <w:tab w:val="left" w:pos="3510"/>
        </w:tabs>
        <w:spacing w:after="120" w:line="240" w:lineRule="auto"/>
        <w:ind w:left="3510" w:hanging="630"/>
      </w:pPr>
      <w:r w:rsidRPr="003827EC">
        <w:t xml:space="preserve">(iv) </w:t>
      </w:r>
      <w:r w:rsidRPr="003827EC">
        <w:tab/>
        <w:t xml:space="preserve">The 7.4% per-foot fee applies once to each foot of pole height.  If multiple CMRS pole attachments are placed on different sides of a pole in the same horizontal plane, the 7.4% per-foot attachment fee shall be allocated to each CMRS attachment in the same horizontal plane based on the total number of attachments in the horizontal plane.  </w:t>
      </w:r>
    </w:p>
    <w:p w:rsidR="0064591C" w:rsidRPr="003827EC" w:rsidRDefault="0064591C" w:rsidP="0064591C">
      <w:pPr>
        <w:pStyle w:val="standard"/>
        <w:tabs>
          <w:tab w:val="left" w:pos="3510"/>
        </w:tabs>
        <w:spacing w:after="120" w:line="240" w:lineRule="auto"/>
        <w:ind w:left="3510" w:hanging="630"/>
      </w:pPr>
      <w:r w:rsidRPr="003827EC">
        <w:t xml:space="preserve">(v) </w:t>
      </w:r>
      <w:r w:rsidRPr="003827EC">
        <w:tab/>
        <w:t>The total pole</w:t>
      </w:r>
      <w:r w:rsidRPr="003827EC">
        <w:noBreakHyphen/>
        <w:t xml:space="preserve">attachment fees for all CMRS attachments on a particular pole shall not exceed 100% of the pole’s cost-of-ownership, less the proportion of the pole’s cost-of-ownership that is allocable to the pole space occupied by all other pole attachments.  </w:t>
      </w:r>
    </w:p>
    <w:p w:rsidR="0064591C" w:rsidRPr="003827EC" w:rsidRDefault="0064591C" w:rsidP="0064591C">
      <w:pPr>
        <w:pStyle w:val="standard"/>
        <w:tabs>
          <w:tab w:val="left" w:pos="3510"/>
        </w:tabs>
        <w:spacing w:after="200" w:line="240" w:lineRule="auto"/>
        <w:ind w:left="3514" w:hanging="634"/>
      </w:pPr>
      <w:r w:rsidRPr="003827EC">
        <w:t xml:space="preserve">(vi) </w:t>
      </w:r>
      <w:r w:rsidRPr="003827EC">
        <w:tab/>
        <w:t xml:space="preserve">The 7.4% per-foot fee does not apply to electric meters, risers, and conduit associated with CMRS installations.  </w:t>
      </w:r>
    </w:p>
    <w:p w:rsidR="0064591C" w:rsidRPr="00585DE0" w:rsidRDefault="0064591C" w:rsidP="0064591C">
      <w:pPr>
        <w:pStyle w:val="standard"/>
        <w:tabs>
          <w:tab w:val="left" w:pos="2880"/>
        </w:tabs>
        <w:spacing w:after="120" w:line="240" w:lineRule="auto"/>
        <w:ind w:left="2880" w:hanging="540"/>
      </w:pPr>
      <w:r w:rsidRPr="003827EC">
        <w:t>(3)</w:t>
      </w:r>
      <w:r>
        <w:t xml:space="preserve"> </w:t>
      </w:r>
      <w:r>
        <w:tab/>
      </w:r>
      <w:r w:rsidRPr="00585DE0">
        <w:t>For support structures used by the telecommunications carrier</w:t>
      </w:r>
      <w:r>
        <w:t>,</w:t>
      </w:r>
      <w:r w:rsidRPr="00585DE0">
        <w:t xml:space="preserve"> </w:t>
      </w:r>
      <w:r w:rsidRPr="003827EC">
        <w:t>CMRS carrier,</w:t>
      </w:r>
      <w:r w:rsidRPr="00585DE0">
        <w:t xml:space="preserve"> or cable TV company, other than poles or anchors, a percentage of the annual cost of ownership for the support structure, computed by dividing the volume or capacity rendered unusable by the telecommunications carrier’s</w:t>
      </w:r>
      <w:r>
        <w:t xml:space="preserve">, </w:t>
      </w:r>
      <w:r w:rsidRPr="003827EC">
        <w:t>CMRS carrier’s,</w:t>
      </w:r>
      <w:r w:rsidRPr="00585DE0">
        <w:t xml:space="preserve"> or cable</w:t>
      </w:r>
      <w:r>
        <w:t> </w:t>
      </w:r>
      <w:r w:rsidRPr="00585DE0">
        <w:t>TV company’s equipment by the total usable volume or capacity.  As used in this paragraph, “total usable volume or capacity” means all volume or capacity in which the public utility’s line, plant, or system could legally be located, including the volume or capacity rendered unusable by the telecommunications carrier’s</w:t>
      </w:r>
      <w:r>
        <w:t xml:space="preserve">, </w:t>
      </w:r>
      <w:r w:rsidRPr="003827EC">
        <w:t>CMRS carrier’s,</w:t>
      </w:r>
      <w:r w:rsidRPr="00585DE0">
        <w:t xml:space="preserve"> or cable</w:t>
      </w:r>
      <w:r>
        <w:t> </w:t>
      </w:r>
      <w:r w:rsidRPr="00585DE0">
        <w:t>TV company’s equipment.</w:t>
      </w:r>
    </w:p>
    <w:p w:rsidR="0064591C" w:rsidRDefault="0064591C" w:rsidP="0064591C">
      <w:pPr>
        <w:pStyle w:val="standard"/>
        <w:keepLines/>
        <w:tabs>
          <w:tab w:val="left" w:pos="2160"/>
        </w:tabs>
        <w:spacing w:after="120" w:line="240" w:lineRule="auto"/>
        <w:ind w:left="2174" w:hanging="547"/>
      </w:pPr>
      <w:r w:rsidRPr="00585DE0">
        <w:lastRenderedPageBreak/>
        <w:t>c.</w:t>
      </w:r>
      <w:r w:rsidRPr="00585DE0">
        <w:tab/>
      </w:r>
      <w:r w:rsidRPr="003827EC">
        <w:t>Except as allowed by Section VI.B.1.b.2, above,</w:t>
      </w:r>
      <w:r>
        <w:t xml:space="preserve"> </w:t>
      </w:r>
      <w:r w:rsidRPr="003827EC">
        <w:t>a</w:t>
      </w:r>
      <w:r w:rsidRPr="00585DE0">
        <w:t xml:space="preserve"> utility may not charge a telecommunications carrier</w:t>
      </w:r>
      <w:r w:rsidRPr="003827EC">
        <w:t xml:space="preserve">, CMRS carrier, </w:t>
      </w:r>
      <w:r w:rsidRPr="00585DE0">
        <w:t>or cable</w:t>
      </w:r>
      <w:r>
        <w:t> </w:t>
      </w:r>
      <w:r w:rsidRPr="00585DE0">
        <w:t>TV company a higher rate for access to its rights of way and support structures than it would charge a similarly situated cable television corporation for access to the same rights of way and support structures.</w:t>
      </w:r>
      <w:r>
        <w:t xml:space="preserve">  </w:t>
      </w:r>
    </w:p>
    <w:p w:rsidR="0064591C" w:rsidRPr="003827EC" w:rsidRDefault="0064591C" w:rsidP="0064591C">
      <w:pPr>
        <w:pStyle w:val="standard"/>
        <w:keepLines/>
        <w:tabs>
          <w:tab w:val="left" w:pos="2160"/>
        </w:tabs>
        <w:spacing w:after="240" w:line="240" w:lineRule="auto"/>
        <w:ind w:left="2174" w:hanging="547"/>
      </w:pPr>
      <w:r>
        <w:t xml:space="preserve">d. </w:t>
      </w:r>
      <w:r>
        <w:tab/>
      </w:r>
      <w:r w:rsidRPr="003827EC">
        <w:t>A utility may not charge a CMRS carrier a higher rate for access to its rights of way and support structures than it would charge a similarly situated CMRS carrier for access to the same rights of way and support structures.</w:t>
      </w:r>
    </w:p>
    <w:p w:rsidR="0064591C" w:rsidRPr="00E0456D" w:rsidRDefault="0064591C" w:rsidP="0064591C">
      <w:pPr>
        <w:pStyle w:val="standard"/>
        <w:keepNext/>
        <w:tabs>
          <w:tab w:val="left" w:pos="1260"/>
        </w:tabs>
        <w:spacing w:after="120" w:line="240" w:lineRule="auto"/>
        <w:ind w:left="1260" w:hanging="547"/>
      </w:pPr>
      <w:r w:rsidRPr="00E0456D">
        <w:t>C.</w:t>
      </w:r>
      <w:r w:rsidRPr="00E0456D">
        <w:tab/>
        <w:t>CONTRACTS</w:t>
      </w:r>
    </w:p>
    <w:p w:rsidR="0064591C" w:rsidRPr="00E0456D" w:rsidRDefault="0064591C" w:rsidP="0064591C">
      <w:pPr>
        <w:pStyle w:val="standard"/>
        <w:tabs>
          <w:tab w:val="left" w:pos="1440"/>
        </w:tabs>
        <w:spacing w:after="120" w:line="240" w:lineRule="auto"/>
        <w:ind w:left="1440" w:hanging="540"/>
      </w:pPr>
      <w:r w:rsidRPr="00E0456D">
        <w:t>1.</w:t>
      </w:r>
      <w:r w:rsidRPr="00E0456D">
        <w:tab/>
        <w:t xml:space="preserve">A utility that provides or has negotiated an agreement with a telecommunications carrier, </w:t>
      </w:r>
      <w:r w:rsidRPr="003827EC">
        <w:t>CMRS carrier</w:t>
      </w:r>
      <w:r w:rsidRPr="00E0456D">
        <w:t>, or cable</w:t>
      </w:r>
      <w:r>
        <w:t> </w:t>
      </w:r>
      <w:r w:rsidRPr="00E0456D">
        <w:t>TV company to provide access to its support structures shall file with the Commission the executed contract showing:</w:t>
      </w:r>
    </w:p>
    <w:p w:rsidR="0064591C" w:rsidRPr="00E0456D" w:rsidRDefault="0064591C" w:rsidP="0064591C">
      <w:pPr>
        <w:pStyle w:val="standard"/>
        <w:tabs>
          <w:tab w:val="left" w:pos="2160"/>
        </w:tabs>
        <w:spacing w:after="120" w:line="240" w:lineRule="auto"/>
        <w:ind w:left="2160" w:hanging="540"/>
      </w:pPr>
      <w:r w:rsidRPr="00E0456D">
        <w:t>a.</w:t>
      </w:r>
      <w:r w:rsidRPr="00E0456D">
        <w:tab/>
        <w:t>The annual fee for attaching to a pole and supporting anchor.</w:t>
      </w:r>
    </w:p>
    <w:p w:rsidR="0064591C" w:rsidRPr="00E0456D" w:rsidRDefault="0064591C" w:rsidP="0064591C">
      <w:pPr>
        <w:pStyle w:val="standard"/>
        <w:tabs>
          <w:tab w:val="left" w:pos="2160"/>
        </w:tabs>
        <w:spacing w:after="120" w:line="240" w:lineRule="auto"/>
        <w:ind w:left="2160" w:hanging="540"/>
      </w:pPr>
      <w:r w:rsidRPr="00E0456D">
        <w:t>b.</w:t>
      </w:r>
      <w:r w:rsidRPr="00E0456D">
        <w:tab/>
        <w:t>The annual fee per linear foot for use of conduit.</w:t>
      </w:r>
    </w:p>
    <w:p w:rsidR="0064591C" w:rsidRPr="00E0456D" w:rsidRDefault="0064591C" w:rsidP="0064591C">
      <w:pPr>
        <w:pStyle w:val="standard"/>
        <w:tabs>
          <w:tab w:val="left" w:pos="2160"/>
        </w:tabs>
        <w:spacing w:after="120" w:line="240" w:lineRule="auto"/>
        <w:ind w:left="2160" w:hanging="540"/>
      </w:pPr>
      <w:r w:rsidRPr="00E0456D">
        <w:t>c.</w:t>
      </w:r>
      <w:r w:rsidRPr="00E0456D">
        <w:tab/>
        <w:t>Unit costs for all make ready and rearrangements work.</w:t>
      </w:r>
    </w:p>
    <w:p w:rsidR="0064591C" w:rsidRPr="00E0456D" w:rsidRDefault="0064591C" w:rsidP="0064591C">
      <w:pPr>
        <w:pStyle w:val="standard"/>
        <w:tabs>
          <w:tab w:val="left" w:pos="2160"/>
        </w:tabs>
        <w:spacing w:after="120" w:line="240" w:lineRule="auto"/>
        <w:ind w:left="2160" w:hanging="540"/>
      </w:pPr>
      <w:r w:rsidRPr="00E0456D">
        <w:t>d.</w:t>
      </w:r>
      <w:r w:rsidRPr="00E0456D">
        <w:tab/>
        <w:t>All terms and conditions governing access to its rights of way and support structures.</w:t>
      </w:r>
    </w:p>
    <w:p w:rsidR="0064591C" w:rsidRPr="00E0456D" w:rsidRDefault="0064591C" w:rsidP="0064591C">
      <w:pPr>
        <w:pStyle w:val="standard"/>
        <w:tabs>
          <w:tab w:val="left" w:pos="2160"/>
        </w:tabs>
        <w:spacing w:after="120" w:line="240" w:lineRule="auto"/>
        <w:ind w:left="2160" w:hanging="540"/>
      </w:pPr>
      <w:r w:rsidRPr="00E0456D">
        <w:t>e.</w:t>
      </w:r>
      <w:r w:rsidRPr="00E0456D">
        <w:tab/>
        <w:t>The fee for copies or preparation of maps, drawings and plans for attachment to or use of support structures.</w:t>
      </w:r>
    </w:p>
    <w:p w:rsidR="0064591C" w:rsidRPr="00E0456D" w:rsidRDefault="0064591C" w:rsidP="0064591C">
      <w:pPr>
        <w:pStyle w:val="standard"/>
        <w:tabs>
          <w:tab w:val="left" w:pos="1440"/>
        </w:tabs>
        <w:spacing w:after="120" w:line="240" w:lineRule="auto"/>
        <w:ind w:left="1440" w:hanging="540"/>
      </w:pPr>
      <w:r w:rsidRPr="00E0456D">
        <w:t>2.</w:t>
      </w:r>
      <w:r w:rsidRPr="00E0456D">
        <w:tab/>
        <w:t xml:space="preserve">A utility entering into contracts with telecommunications carriers, </w:t>
      </w:r>
      <w:r w:rsidRPr="003827EC">
        <w:t>CMRS carriers</w:t>
      </w:r>
      <w:r w:rsidRPr="00E0456D">
        <w:t xml:space="preserve">, or cable TV companies or cable TV company for access to its support structures, shall file such contracts with the Commission pursuant to General Order 96, available for full public inspection, and </w:t>
      </w:r>
      <w:r w:rsidRPr="00025926">
        <w:t>extended</w:t>
      </w:r>
      <w:r w:rsidRPr="00E0456D">
        <w:t xml:space="preserve"> on a nondiscriminatory basis to all other similarly situated telecommunications carriers, </w:t>
      </w:r>
      <w:r w:rsidRPr="003827EC">
        <w:t>CMRS carriers</w:t>
      </w:r>
      <w:r w:rsidRPr="00E0456D">
        <w:t>, or cable TV companies.  If the contracts are mutually negotiated and submitted as being pursuant to the terms of 251 and 252 of TA 96, they shall be reviewed consistent with the provisions of Resolution ALJ</w:t>
      </w:r>
      <w:r w:rsidRPr="00E0456D">
        <w:noBreakHyphen/>
        <w:t>174.</w:t>
      </w:r>
    </w:p>
    <w:p w:rsidR="0064591C" w:rsidRPr="00025926" w:rsidRDefault="0064591C" w:rsidP="0064591C">
      <w:pPr>
        <w:pStyle w:val="standard"/>
        <w:keepNext/>
        <w:tabs>
          <w:tab w:val="left" w:pos="1260"/>
        </w:tabs>
        <w:spacing w:after="120" w:line="240" w:lineRule="auto"/>
        <w:ind w:left="1260" w:hanging="547"/>
      </w:pPr>
      <w:r w:rsidRPr="00025926">
        <w:lastRenderedPageBreak/>
        <w:t>D.</w:t>
      </w:r>
      <w:r w:rsidRPr="00025926">
        <w:tab/>
        <w:t>UNAUTHORIZED ATTACHMENTS</w:t>
      </w:r>
    </w:p>
    <w:p w:rsidR="0064591C" w:rsidRPr="00025926" w:rsidRDefault="0064591C" w:rsidP="0064591C">
      <w:pPr>
        <w:pStyle w:val="standard"/>
        <w:tabs>
          <w:tab w:val="left" w:pos="1440"/>
        </w:tabs>
        <w:spacing w:after="120" w:line="240" w:lineRule="auto"/>
        <w:ind w:left="1440" w:hanging="540"/>
      </w:pPr>
      <w:r w:rsidRPr="00025926">
        <w:t>1.</w:t>
      </w:r>
      <w:r w:rsidRPr="00025926">
        <w:tab/>
        <w:t>No party may attach to the right of way or support structure of another utility without the express written authorization from the utility.</w:t>
      </w:r>
    </w:p>
    <w:p w:rsidR="0064591C" w:rsidRPr="00025926" w:rsidRDefault="0064591C" w:rsidP="0064591C">
      <w:pPr>
        <w:pStyle w:val="standard"/>
        <w:tabs>
          <w:tab w:val="left" w:pos="1440"/>
        </w:tabs>
        <w:spacing w:after="120" w:line="240" w:lineRule="auto"/>
        <w:ind w:left="1440" w:hanging="540"/>
      </w:pPr>
      <w:r w:rsidRPr="00025926">
        <w:t>2.</w:t>
      </w:r>
      <w:r w:rsidRPr="00025926">
        <w:tab/>
        <w:t>For every violation of the duty to obtain approval before attaching, the owner or operator of the unauthorized attachment shall pay to the utility a penalty of $500 for each violation.  This fee is in addition to all other costs which are part of the attacher’s responsibility.  Each unauthorized pole attachment shall count as a separate violation for assessing the penalty.</w:t>
      </w:r>
    </w:p>
    <w:p w:rsidR="0064591C" w:rsidRPr="00025926" w:rsidRDefault="0064591C" w:rsidP="0064591C">
      <w:pPr>
        <w:pStyle w:val="standard"/>
        <w:tabs>
          <w:tab w:val="left" w:pos="1440"/>
        </w:tabs>
        <w:spacing w:after="120" w:line="240" w:lineRule="auto"/>
        <w:ind w:left="1440" w:hanging="540"/>
      </w:pPr>
      <w:r w:rsidRPr="00025926">
        <w:t>3.</w:t>
      </w:r>
      <w:r w:rsidRPr="00025926">
        <w:tab/>
        <w:t>Any violation of the duty to obtain permission before attaching shall be cause for imposition of sanctions as, in the Commissioner’s judgment, are necessary to deter the party from in the future breaching its duty to obtain permission before attaching will be accompanied by findings of fact that permit the pole owner to seek further remedies in a civil action.</w:t>
      </w:r>
    </w:p>
    <w:p w:rsidR="0064591C" w:rsidRPr="00025926" w:rsidRDefault="0064591C" w:rsidP="0064591C">
      <w:pPr>
        <w:pStyle w:val="standard"/>
        <w:tabs>
          <w:tab w:val="left" w:pos="1440"/>
        </w:tabs>
        <w:spacing w:after="200" w:line="240" w:lineRule="auto"/>
        <w:ind w:left="1454" w:hanging="547"/>
      </w:pPr>
      <w:r w:rsidRPr="00025926">
        <w:t>4.</w:t>
      </w:r>
      <w:r w:rsidRPr="00025926">
        <w:tab/>
        <w:t>This Section D applies to existing attachments as of the effective date of these rules.</w:t>
      </w:r>
    </w:p>
    <w:p w:rsidR="0064591C" w:rsidRPr="00E55005" w:rsidRDefault="0064591C" w:rsidP="0064591C">
      <w:pPr>
        <w:pStyle w:val="standard"/>
        <w:keepNext/>
        <w:spacing w:after="120" w:line="240" w:lineRule="auto"/>
        <w:ind w:firstLine="0"/>
      </w:pPr>
      <w:r w:rsidRPr="00E55005">
        <w:t>VII.</w:t>
      </w:r>
      <w:r w:rsidRPr="00E55005">
        <w:tab/>
        <w:t>RESERVATIONS OF CAPACITY FOR FUTURE USE</w:t>
      </w:r>
    </w:p>
    <w:p w:rsidR="0064591C" w:rsidRPr="001744C1" w:rsidRDefault="0064591C" w:rsidP="0064591C">
      <w:pPr>
        <w:pStyle w:val="standard"/>
        <w:tabs>
          <w:tab w:val="left" w:pos="720"/>
        </w:tabs>
        <w:spacing w:after="120" w:line="240" w:lineRule="auto"/>
        <w:ind w:left="720" w:hanging="540"/>
      </w:pPr>
      <w:r>
        <w:t xml:space="preserve">A. </w:t>
      </w:r>
      <w:r>
        <w:tab/>
      </w:r>
      <w:r w:rsidRPr="00E55005">
        <w:t>No utility shall adopt, enforce or purport to enforce against a</w:t>
      </w:r>
      <w:r w:rsidRPr="001744C1">
        <w:t xml:space="preserve"> telecommunications carrier, </w:t>
      </w:r>
      <w:r w:rsidRPr="003827EC">
        <w:t>CMRS carrier</w:t>
      </w:r>
      <w:r w:rsidRPr="001744C1">
        <w:t xml:space="preserve">, or cable TV company any “hold off,” moratorium, reservation of rights or other policy by which it refuses to make currently unused space or capacity on or in its support structures available to telecommunications carriers, </w:t>
      </w:r>
      <w:r w:rsidRPr="003827EC">
        <w:t>CMRS carriers</w:t>
      </w:r>
      <w:r w:rsidRPr="001744C1">
        <w:t>, or cable TV companies requesting access to such support structures, except as provided for in Part C below.</w:t>
      </w:r>
    </w:p>
    <w:p w:rsidR="0064591C" w:rsidRPr="00F86728" w:rsidRDefault="0064591C" w:rsidP="0064591C">
      <w:pPr>
        <w:pStyle w:val="standard"/>
        <w:tabs>
          <w:tab w:val="left" w:pos="720"/>
        </w:tabs>
        <w:spacing w:after="120" w:line="240" w:lineRule="auto"/>
        <w:ind w:left="720" w:hanging="540"/>
      </w:pPr>
      <w:r w:rsidRPr="00F86728">
        <w:t xml:space="preserve">B. </w:t>
      </w:r>
      <w:r w:rsidRPr="00F86728">
        <w:tab/>
        <w:t>All access to a utility’s support structures and rights of way shall be subject to the requirements of Public Utilities Code § 851 and General Order 69C.  Instead of capacity reclamation, our preferred outcome is for the expansion of existing support structures to accommodate the need for additional attachments.</w:t>
      </w:r>
    </w:p>
    <w:p w:rsidR="0064591C" w:rsidRPr="002E09BB" w:rsidRDefault="0064591C" w:rsidP="0064591C">
      <w:pPr>
        <w:pStyle w:val="standard"/>
        <w:tabs>
          <w:tab w:val="left" w:pos="720"/>
        </w:tabs>
        <w:spacing w:after="120" w:line="240" w:lineRule="auto"/>
        <w:ind w:left="720" w:hanging="540"/>
      </w:pPr>
      <w:r w:rsidRPr="002E09BB">
        <w:t xml:space="preserve">C. </w:t>
      </w:r>
      <w:r w:rsidRPr="002E09BB">
        <w:tab/>
        <w:t>Notwithstanding the provisions of Paragraphs VII.A and VII.B, an electric utility may reserve space for up to 12 months on its support structures required to serve core utility customers where it demonstrates that:  (i)</w:t>
      </w:r>
      <w:r>
        <w:t> </w:t>
      </w:r>
      <w:r w:rsidRPr="002E09BB">
        <w:t xml:space="preserve">prior to a request for access having been made, it had a bona fide development plan in place prior to the request and that the specific </w:t>
      </w:r>
      <w:r w:rsidRPr="002E09BB">
        <w:lastRenderedPageBreak/>
        <w:t xml:space="preserve">reservation of attachment capacity is reasonably and specifically needed for the immediate provision (within one year of the request) of its core utility service, (ii) there is no other feasible solution to meeting its immediately foreseeable needs, (iii) there is no available technological means of increasing the capacity of the support structure for additional attachments, and (iv) it has attempted to negotiate a cooperative solution to the capacity problem in good faith with </w:t>
      </w:r>
      <w:r w:rsidRPr="00E55005">
        <w:t>the</w:t>
      </w:r>
      <w:r w:rsidRPr="002E09BB">
        <w:t xml:space="preserve"> party seeking the attachment.  An ILEC may earmark space for imminent use where construction is planned to begin within nine months of a request for access.  A CLC, </w:t>
      </w:r>
      <w:r w:rsidRPr="003827EC">
        <w:t>CMRS carrier</w:t>
      </w:r>
      <w:r w:rsidRPr="002E09BB">
        <w:t>, or cable TV company must likewise use space within nine months of the date when a request for access is granted, or else will become subject to reversion of its access.</w:t>
      </w:r>
    </w:p>
    <w:p w:rsidR="0064591C" w:rsidRPr="00E55005" w:rsidRDefault="0064591C" w:rsidP="0064591C">
      <w:pPr>
        <w:pStyle w:val="standard"/>
        <w:spacing w:line="240" w:lineRule="auto"/>
      </w:pPr>
    </w:p>
    <w:p w:rsidR="0064591C" w:rsidRPr="00E55005" w:rsidRDefault="0064591C" w:rsidP="0064591C">
      <w:pPr>
        <w:pStyle w:val="standard"/>
        <w:keepNext/>
        <w:spacing w:after="120" w:line="240" w:lineRule="auto"/>
        <w:ind w:firstLine="0"/>
      </w:pPr>
      <w:r>
        <w:t xml:space="preserve">VIII. </w:t>
      </w:r>
      <w:r>
        <w:tab/>
      </w:r>
      <w:r w:rsidRPr="00E55005">
        <w:t>MODIFICATIONS OF EXISTING SUPPORT STRUCTURES</w:t>
      </w:r>
    </w:p>
    <w:p w:rsidR="0064591C" w:rsidRPr="00E55005" w:rsidRDefault="0064591C" w:rsidP="0064591C">
      <w:pPr>
        <w:pStyle w:val="standard"/>
        <w:keepNext/>
        <w:tabs>
          <w:tab w:val="left" w:pos="1260"/>
        </w:tabs>
        <w:spacing w:after="120" w:line="240" w:lineRule="auto"/>
        <w:ind w:left="1260" w:hanging="547"/>
      </w:pPr>
      <w:r>
        <w:t xml:space="preserve">A. </w:t>
      </w:r>
      <w:r>
        <w:tab/>
      </w:r>
      <w:r w:rsidRPr="00E55005">
        <w:t>NOTIFICATION TO PARTIES ON OR IN SUPPORT STRUCTURES</w:t>
      </w:r>
    </w:p>
    <w:p w:rsidR="0064591C" w:rsidRPr="00E55005" w:rsidRDefault="0064591C" w:rsidP="0064591C">
      <w:pPr>
        <w:pStyle w:val="standard"/>
        <w:tabs>
          <w:tab w:val="left" w:pos="1440"/>
        </w:tabs>
        <w:spacing w:after="120" w:line="240" w:lineRule="auto"/>
        <w:ind w:left="1440" w:hanging="540"/>
      </w:pPr>
      <w:r>
        <w:t xml:space="preserve">1. </w:t>
      </w:r>
      <w:r>
        <w:tab/>
      </w:r>
      <w:r w:rsidRPr="00E55005">
        <w:t>Absent a private agreement establishing notification procedures, written notification of a modification should be provided to parties with attachments on or in the support structure to be modified at least 60 days prior to the commencement of the modification.  Notification shall not be required for emergency modifications or routine maintenance activities.</w:t>
      </w:r>
    </w:p>
    <w:p w:rsidR="0064591C" w:rsidRPr="00E55005" w:rsidRDefault="0064591C" w:rsidP="0064591C">
      <w:pPr>
        <w:pStyle w:val="standard"/>
        <w:spacing w:line="240" w:lineRule="auto"/>
      </w:pPr>
    </w:p>
    <w:p w:rsidR="0064591C" w:rsidRPr="00E55005" w:rsidRDefault="0064591C" w:rsidP="0064591C">
      <w:pPr>
        <w:pStyle w:val="standard"/>
        <w:keepNext/>
        <w:tabs>
          <w:tab w:val="left" w:pos="1260"/>
        </w:tabs>
        <w:spacing w:after="120" w:line="240" w:lineRule="auto"/>
        <w:ind w:left="1260" w:hanging="547"/>
      </w:pPr>
      <w:r>
        <w:t xml:space="preserve">B. </w:t>
      </w:r>
      <w:r>
        <w:tab/>
      </w:r>
      <w:r w:rsidRPr="00E55005">
        <w:t>NOTIFICATION GENERALLY</w:t>
      </w:r>
    </w:p>
    <w:p w:rsidR="0064591C" w:rsidRPr="00E55005" w:rsidRDefault="0064591C" w:rsidP="0064591C">
      <w:pPr>
        <w:pStyle w:val="standard"/>
        <w:tabs>
          <w:tab w:val="left" w:pos="1440"/>
        </w:tabs>
        <w:spacing w:after="120" w:line="240" w:lineRule="auto"/>
        <w:ind w:left="1440" w:hanging="540"/>
      </w:pPr>
      <w:r>
        <w:t xml:space="preserve">1. </w:t>
      </w:r>
      <w:r>
        <w:tab/>
      </w:r>
      <w:r w:rsidRPr="00E55005">
        <w:t>Utilities and telecommunications carriers shall cooperate to develop a means by which notice of planned modifications to utility support structures may be published in a centralized, uniformly accessible location (e.g., a “web page” on the Internet).</w:t>
      </w:r>
    </w:p>
    <w:p w:rsidR="0064591C" w:rsidRPr="00E55005" w:rsidRDefault="0064591C" w:rsidP="0064591C">
      <w:pPr>
        <w:pStyle w:val="standard"/>
        <w:spacing w:line="240" w:lineRule="auto"/>
      </w:pPr>
    </w:p>
    <w:p w:rsidR="0064591C" w:rsidRPr="00E55005" w:rsidRDefault="0064591C" w:rsidP="0064591C">
      <w:pPr>
        <w:pStyle w:val="standard"/>
        <w:keepNext/>
        <w:tabs>
          <w:tab w:val="left" w:pos="1260"/>
        </w:tabs>
        <w:spacing w:after="120" w:line="240" w:lineRule="auto"/>
        <w:ind w:left="1260" w:hanging="547"/>
      </w:pPr>
      <w:r>
        <w:t xml:space="preserve">A. </w:t>
      </w:r>
      <w:r>
        <w:tab/>
      </w:r>
      <w:r w:rsidRPr="00E55005">
        <w:t>SHARING THE COST OF MODIFICATIONS</w:t>
      </w:r>
    </w:p>
    <w:p w:rsidR="0064591C" w:rsidRPr="004402F3" w:rsidRDefault="0064591C" w:rsidP="0064591C">
      <w:pPr>
        <w:pStyle w:val="standard"/>
        <w:tabs>
          <w:tab w:val="left" w:pos="1440"/>
        </w:tabs>
        <w:spacing w:after="120" w:line="240" w:lineRule="auto"/>
        <w:ind w:left="1440" w:hanging="540"/>
      </w:pPr>
      <w:r>
        <w:t xml:space="preserve">1. </w:t>
      </w:r>
      <w:r>
        <w:tab/>
      </w:r>
      <w:r w:rsidRPr="004402F3">
        <w:t xml:space="preserve">The costs of support structure capacity expansions and other modifications shall be shared only by all the parties attaching to utility support structures which are specifically benefiting from the modifications on a proportionate basis corresponding to the share of usable space occupied by each benefiting carrier.  In the event an energy utility incurs additional costs for trenching and installation of conduit due of safety or reliability requirements which are more </w:t>
      </w:r>
      <w:r w:rsidRPr="004402F3">
        <w:lastRenderedPageBreak/>
        <w:t>elaborate than a telecommunications-only trench, the telecommunications carriers should not pay more than they would have incurred for their own independent trench.  Disputes regarding the sharing of the cost of capacity expansions and modifications shall be subject to the dispute resolution procedures contained in these rules.</w:t>
      </w:r>
    </w:p>
    <w:p w:rsidR="0064591C" w:rsidRPr="00E35516" w:rsidRDefault="0064591C" w:rsidP="0064591C">
      <w:pPr>
        <w:pStyle w:val="standard"/>
        <w:spacing w:line="240" w:lineRule="auto"/>
      </w:pPr>
    </w:p>
    <w:p w:rsidR="0064591C" w:rsidRPr="0045598C" w:rsidRDefault="0064591C" w:rsidP="0064591C">
      <w:pPr>
        <w:pStyle w:val="standard"/>
        <w:keepNext/>
        <w:spacing w:after="120" w:line="240" w:lineRule="auto"/>
        <w:ind w:firstLine="0"/>
      </w:pPr>
      <w:r>
        <w:t xml:space="preserve">IX. </w:t>
      </w:r>
      <w:r>
        <w:tab/>
      </w:r>
      <w:r w:rsidRPr="0045598C">
        <w:t>EXPEDITED DISPUTE RESOLUTION PROCEDURES</w:t>
      </w:r>
    </w:p>
    <w:p w:rsidR="0064591C" w:rsidRPr="0045598C" w:rsidRDefault="0064591C" w:rsidP="0064591C">
      <w:pPr>
        <w:pStyle w:val="standard"/>
        <w:tabs>
          <w:tab w:val="left" w:pos="720"/>
        </w:tabs>
        <w:spacing w:after="120" w:line="240" w:lineRule="auto"/>
        <w:ind w:left="720" w:hanging="540"/>
      </w:pPr>
      <w:r>
        <w:t xml:space="preserve">A. </w:t>
      </w:r>
      <w:r>
        <w:tab/>
      </w:r>
      <w:r w:rsidRPr="0045598C">
        <w:t>Parties to a dispute involving access to utility rights of way and support structures may invoke the Commission’s dispute resolution procedures, but must first attempt in good faith to resolve the dispute.  Disputes involving initial access to utility rights of way and support structures shall be heard and resolved through the following expedited dispute resolution procedure.</w:t>
      </w:r>
    </w:p>
    <w:p w:rsidR="0064591C" w:rsidRPr="00160730" w:rsidRDefault="0064591C" w:rsidP="0064591C">
      <w:pPr>
        <w:pStyle w:val="standard"/>
        <w:tabs>
          <w:tab w:val="left" w:pos="1440"/>
        </w:tabs>
        <w:spacing w:after="120" w:line="240" w:lineRule="auto"/>
        <w:ind w:left="1440" w:hanging="540"/>
      </w:pPr>
      <w:r>
        <w:t xml:space="preserve">1. </w:t>
      </w:r>
      <w:r>
        <w:tab/>
      </w:r>
      <w:r w:rsidRPr="00160730">
        <w:t>Following denial of a request for access, parties shall escalate the dispute to the executive level within each company.  After 5 business days, any party to the dispute may file a formal application requesting Commission arbitration.  The arbitration shall be deemed to begin on the date of the filing before the Commission of the request for arbitration.  Parties to the arbitration may continue to negotiate an agreement prior to and during the arbitration hearings.  The party requesting arbitration shall provide a copy of the request to the other party or parties not later than the day the Commission receives the request.</w:t>
      </w:r>
    </w:p>
    <w:p w:rsidR="0064591C" w:rsidRPr="002C237D" w:rsidRDefault="0064591C" w:rsidP="0064591C">
      <w:pPr>
        <w:pStyle w:val="standard"/>
        <w:tabs>
          <w:tab w:val="left" w:pos="1980"/>
        </w:tabs>
        <w:spacing w:after="120" w:line="240" w:lineRule="auto"/>
        <w:ind w:left="1987" w:hanging="7"/>
      </w:pPr>
    </w:p>
    <w:p w:rsidR="0064591C" w:rsidRPr="00F203D1" w:rsidRDefault="0064591C" w:rsidP="0064591C">
      <w:pPr>
        <w:pStyle w:val="standard"/>
        <w:tabs>
          <w:tab w:val="left" w:pos="1440"/>
        </w:tabs>
        <w:spacing w:after="120" w:line="240" w:lineRule="auto"/>
        <w:ind w:left="1440" w:hanging="540"/>
        <w:rPr>
          <w:b/>
        </w:rPr>
      </w:pPr>
      <w:r w:rsidRPr="00F203D1">
        <w:t xml:space="preserve">2. </w:t>
      </w:r>
      <w:r w:rsidRPr="00F203D1">
        <w:tab/>
      </w:r>
      <w:r w:rsidRPr="0045598C">
        <w:rPr>
          <w:b/>
        </w:rPr>
        <w:t>Content</w:t>
      </w:r>
    </w:p>
    <w:p w:rsidR="0064591C" w:rsidRPr="00F203D1" w:rsidRDefault="0064591C" w:rsidP="0064591C">
      <w:pPr>
        <w:pStyle w:val="standard"/>
        <w:spacing w:after="120" w:line="240" w:lineRule="auto"/>
        <w:ind w:left="1440" w:firstLine="0"/>
      </w:pPr>
      <w:r w:rsidRPr="00F203D1">
        <w:t>A request for arbitration must contain:</w:t>
      </w:r>
    </w:p>
    <w:p w:rsidR="0064591C" w:rsidRPr="002420D5" w:rsidRDefault="0064591C" w:rsidP="0064591C">
      <w:pPr>
        <w:pStyle w:val="standard"/>
        <w:tabs>
          <w:tab w:val="left" w:pos="2160"/>
        </w:tabs>
        <w:spacing w:after="120" w:line="240" w:lineRule="auto"/>
        <w:ind w:left="2160" w:hanging="360"/>
      </w:pPr>
      <w:r>
        <w:t xml:space="preserve">a. </w:t>
      </w:r>
      <w:r>
        <w:tab/>
      </w:r>
      <w:r w:rsidRPr="002420D5">
        <w:t>A statement of all unresolved issues.</w:t>
      </w:r>
    </w:p>
    <w:p w:rsidR="0064591C" w:rsidRPr="002420D5" w:rsidRDefault="0064591C" w:rsidP="0064591C">
      <w:pPr>
        <w:pStyle w:val="standard"/>
        <w:tabs>
          <w:tab w:val="left" w:pos="2160"/>
        </w:tabs>
        <w:spacing w:after="120" w:line="240" w:lineRule="auto"/>
        <w:ind w:left="2160" w:hanging="360"/>
      </w:pPr>
      <w:r>
        <w:t xml:space="preserve">b. </w:t>
      </w:r>
      <w:r>
        <w:tab/>
      </w:r>
      <w:r w:rsidRPr="002420D5">
        <w:t>A description of each party’s position on the unresolved issues.</w:t>
      </w:r>
    </w:p>
    <w:p w:rsidR="0064591C" w:rsidRPr="002420D5" w:rsidRDefault="0064591C" w:rsidP="0064591C">
      <w:pPr>
        <w:pStyle w:val="standard"/>
        <w:tabs>
          <w:tab w:val="left" w:pos="2160"/>
        </w:tabs>
        <w:spacing w:after="120" w:line="240" w:lineRule="auto"/>
        <w:ind w:left="2160" w:hanging="360"/>
      </w:pPr>
      <w:r>
        <w:t xml:space="preserve">c. </w:t>
      </w:r>
      <w:r>
        <w:tab/>
      </w:r>
      <w:r w:rsidRPr="002420D5">
        <w:t>A proposed agreement addressing all issues, including those upon which the parties have reached an agreement and those that are in dispute.  Wherever possible, the petitioner should rely on the fundamental organization of clauses and subjects contained in an agreement previously arbitrated and approved by this Commission.</w:t>
      </w:r>
    </w:p>
    <w:p w:rsidR="0064591C" w:rsidRPr="002420D5" w:rsidRDefault="0064591C" w:rsidP="0064591C">
      <w:pPr>
        <w:pStyle w:val="standard"/>
        <w:tabs>
          <w:tab w:val="left" w:pos="2160"/>
        </w:tabs>
        <w:spacing w:after="120" w:line="240" w:lineRule="auto"/>
        <w:ind w:left="2160" w:hanging="360"/>
      </w:pPr>
      <w:r>
        <w:lastRenderedPageBreak/>
        <w:t xml:space="preserve">d. </w:t>
      </w:r>
      <w:r>
        <w:tab/>
      </w:r>
      <w:r w:rsidRPr="002420D5">
        <w:t>Direct testimony supporting the requester’s position on factual predicates underlying disputed issues.</w:t>
      </w:r>
    </w:p>
    <w:p w:rsidR="0064591C" w:rsidRPr="001744C1" w:rsidRDefault="0064591C" w:rsidP="0064591C">
      <w:pPr>
        <w:pStyle w:val="standard"/>
        <w:tabs>
          <w:tab w:val="left" w:pos="2160"/>
        </w:tabs>
        <w:spacing w:after="120" w:line="240" w:lineRule="auto"/>
        <w:ind w:left="2160" w:hanging="360"/>
      </w:pPr>
      <w:r>
        <w:t xml:space="preserve">e. </w:t>
      </w:r>
      <w:r>
        <w:tab/>
      </w:r>
      <w:r w:rsidRPr="002420D5">
        <w:t>Documentation</w:t>
      </w:r>
      <w:r w:rsidRPr="001744C1">
        <w:t xml:space="preserve"> that the request complies with the time requirements in the preceding rule.</w:t>
      </w:r>
    </w:p>
    <w:p w:rsidR="0064591C" w:rsidRPr="00F203D1" w:rsidRDefault="0064591C" w:rsidP="0064591C">
      <w:pPr>
        <w:pStyle w:val="standard"/>
        <w:tabs>
          <w:tab w:val="left" w:pos="1980"/>
        </w:tabs>
        <w:spacing w:after="120" w:line="240" w:lineRule="auto"/>
        <w:ind w:left="1987" w:hanging="7"/>
      </w:pPr>
    </w:p>
    <w:p w:rsidR="0064591C" w:rsidRPr="00D717F9" w:rsidRDefault="0064591C" w:rsidP="003827EC">
      <w:pPr>
        <w:pStyle w:val="standard"/>
        <w:keepNext/>
        <w:tabs>
          <w:tab w:val="left" w:pos="1440"/>
        </w:tabs>
        <w:spacing w:after="120" w:line="240" w:lineRule="auto"/>
        <w:ind w:left="1454" w:hanging="547"/>
        <w:rPr>
          <w:b/>
        </w:rPr>
      </w:pPr>
      <w:r w:rsidRPr="00D717F9">
        <w:t xml:space="preserve">3. </w:t>
      </w:r>
      <w:r w:rsidRPr="00D717F9">
        <w:tab/>
      </w:r>
      <w:r w:rsidRPr="0045598C">
        <w:rPr>
          <w:b/>
        </w:rPr>
        <w:t>Appointment</w:t>
      </w:r>
      <w:r w:rsidRPr="00D717F9">
        <w:rPr>
          <w:b/>
        </w:rPr>
        <w:t xml:space="preserve"> of Arbitrator</w:t>
      </w:r>
    </w:p>
    <w:p w:rsidR="0064591C" w:rsidRPr="00D717F9" w:rsidRDefault="0064591C" w:rsidP="0064591C">
      <w:pPr>
        <w:pStyle w:val="standard"/>
        <w:spacing w:after="120" w:line="240" w:lineRule="auto"/>
        <w:ind w:left="1440" w:firstLine="0"/>
      </w:pPr>
      <w:r w:rsidRPr="00D717F9">
        <w:t>Upon receipt of a request for arbitration, the Commission’s President or a designee in consultation with the Chief Administrative Law Judge, shall appoint and immediately notify the parties of the identity of an Arbitrator to facilitate resolution of the issues raised by the request.  The Assigned Commissioner may act as Arbitrator if he/she chooses.  The Arbitrator must attend all arbitration meetings, conferences, and hearings.</w:t>
      </w:r>
    </w:p>
    <w:p w:rsidR="0064591C" w:rsidRPr="00D717F9" w:rsidRDefault="0064591C" w:rsidP="002E40C3">
      <w:pPr>
        <w:pStyle w:val="standard"/>
        <w:keepNext/>
        <w:tabs>
          <w:tab w:val="left" w:pos="1440"/>
        </w:tabs>
        <w:spacing w:after="120" w:line="240" w:lineRule="auto"/>
        <w:ind w:left="1454" w:hanging="547"/>
        <w:rPr>
          <w:b/>
        </w:rPr>
      </w:pPr>
      <w:r w:rsidRPr="00D717F9">
        <w:t xml:space="preserve">4. </w:t>
      </w:r>
      <w:r w:rsidRPr="00D717F9">
        <w:tab/>
      </w:r>
      <w:r w:rsidRPr="00D717F9">
        <w:rPr>
          <w:b/>
        </w:rPr>
        <w:t>Discovery</w:t>
      </w:r>
    </w:p>
    <w:p w:rsidR="0064591C" w:rsidRPr="00D717F9" w:rsidRDefault="0064591C" w:rsidP="0064591C">
      <w:pPr>
        <w:pStyle w:val="standard"/>
        <w:spacing w:after="120" w:line="240" w:lineRule="auto"/>
        <w:ind w:left="1440" w:firstLine="0"/>
      </w:pPr>
      <w:r w:rsidRPr="00D717F9">
        <w:t>Discovery should begin as soon as possible prior to or after filing of the request for negotiation and should be completed before a request for arbitration is filed.  For good cause, the Arbitrator or Administrative Law Judge assigned to Law and Motion may compel response to a data request; in such cases, the response normally will be required in three working days or less.</w:t>
      </w:r>
    </w:p>
    <w:p w:rsidR="0064591C" w:rsidRPr="00D717F9" w:rsidRDefault="0064591C" w:rsidP="0064591C">
      <w:pPr>
        <w:pStyle w:val="standard"/>
        <w:tabs>
          <w:tab w:val="left" w:pos="1440"/>
        </w:tabs>
        <w:spacing w:after="120" w:line="240" w:lineRule="auto"/>
        <w:ind w:left="1440" w:hanging="540"/>
        <w:rPr>
          <w:b/>
        </w:rPr>
      </w:pPr>
      <w:r w:rsidRPr="00D717F9">
        <w:t xml:space="preserve">5. </w:t>
      </w:r>
      <w:r w:rsidRPr="00D717F9">
        <w:tab/>
      </w:r>
      <w:r w:rsidRPr="00D717F9">
        <w:rPr>
          <w:b/>
        </w:rPr>
        <w:t>Opportunity to Respond</w:t>
      </w:r>
    </w:p>
    <w:p w:rsidR="0064591C" w:rsidRPr="00D717F9" w:rsidRDefault="0064591C" w:rsidP="0064591C">
      <w:pPr>
        <w:pStyle w:val="standard"/>
        <w:spacing w:after="120" w:line="240" w:lineRule="auto"/>
        <w:ind w:left="1440" w:firstLine="0"/>
      </w:pPr>
      <w:r w:rsidRPr="00D717F9">
        <w:t xml:space="preserve">Pursuant to Subsection 252(b)(3), any party to a negotiation which did not make the request for arbitration (“respondent”) may file a response with the Commission within 15 days of the request for arbitration.  In the response, the respondent shall address each issue listed in the request, describe the respondent’s position on these issues, and identify and present any additional issues for which the respondent seeks resolution and provide such additional information and evidence necessary for the Commission’s review.  Building upon the contract language proposed by the applicant and using the form of agreement selected by the applicant, the respondent shall include, in the response, a single-text “mark-up” document containing the language upon which the parties agree and, where they disagree, both the applicant’s proposed language (bolded) and the respondent’s proposed language (underscored).  Finally, the response should contain any direct testimony </w:t>
      </w:r>
      <w:r w:rsidRPr="00D717F9">
        <w:lastRenderedPageBreak/>
        <w:t>supporting the respondent’s position on underlying factual predicates.  On the same day that it files its response before the Commission, the respondent must serve a copy of the Response and all supporting documentation on any other party to the negotiation.</w:t>
      </w:r>
    </w:p>
    <w:p w:rsidR="0064591C" w:rsidRPr="00D717F9" w:rsidRDefault="0064591C" w:rsidP="0064591C">
      <w:pPr>
        <w:pStyle w:val="standard"/>
        <w:keepNext/>
        <w:tabs>
          <w:tab w:val="left" w:pos="1440"/>
        </w:tabs>
        <w:spacing w:after="120" w:line="240" w:lineRule="auto"/>
        <w:ind w:left="1454" w:hanging="547"/>
        <w:rPr>
          <w:b/>
        </w:rPr>
      </w:pPr>
      <w:r w:rsidRPr="00D717F9">
        <w:t xml:space="preserve">6. </w:t>
      </w:r>
      <w:r w:rsidRPr="00D717F9">
        <w:tab/>
      </w:r>
      <w:r w:rsidRPr="00D717F9">
        <w:rPr>
          <w:b/>
        </w:rPr>
        <w:t>Revised Statement of Unresolved Issues</w:t>
      </w:r>
    </w:p>
    <w:p w:rsidR="0064591C" w:rsidRPr="00D717F9" w:rsidRDefault="0064591C" w:rsidP="0064591C">
      <w:pPr>
        <w:pStyle w:val="standard"/>
        <w:spacing w:after="120" w:line="240" w:lineRule="auto"/>
        <w:ind w:left="1440" w:firstLine="0"/>
      </w:pPr>
      <w:r w:rsidRPr="00D717F9">
        <w:t>Within 3 days of receiving the response, the applicant and respondent shall jointly file a revised statement of unresolved issues that removes from the list presented in the initial petition those issues which are no longer in dispute based on the contract language offered by the respondent in the mark-up document and adds to the list only those other issues which now appear to be in dispute based on the mark-up document and other portions of the response.</w:t>
      </w:r>
    </w:p>
    <w:p w:rsidR="0064591C" w:rsidRPr="00C86CCB" w:rsidRDefault="0064591C" w:rsidP="0064591C">
      <w:pPr>
        <w:pStyle w:val="standard"/>
        <w:keepNext/>
        <w:tabs>
          <w:tab w:val="left" w:pos="1440"/>
        </w:tabs>
        <w:spacing w:after="120" w:line="240" w:lineRule="auto"/>
        <w:ind w:left="1454" w:hanging="547"/>
        <w:rPr>
          <w:b/>
        </w:rPr>
      </w:pPr>
      <w:r w:rsidRPr="00C86CCB">
        <w:t xml:space="preserve">7. </w:t>
      </w:r>
      <w:r w:rsidRPr="00C86CCB">
        <w:tab/>
      </w:r>
      <w:r w:rsidRPr="00C86CCB">
        <w:rPr>
          <w:b/>
        </w:rPr>
        <w:t>Initial Arbitration Meeting</w:t>
      </w:r>
    </w:p>
    <w:p w:rsidR="0064591C" w:rsidRPr="00C86CCB" w:rsidRDefault="0064591C" w:rsidP="0064591C">
      <w:pPr>
        <w:pStyle w:val="standard"/>
        <w:spacing w:after="120" w:line="240" w:lineRule="auto"/>
        <w:ind w:left="1440" w:firstLine="0"/>
      </w:pPr>
      <w:r w:rsidRPr="00C86CCB">
        <w:t>An Arbitrator may call an initial meeting for purposes such as setting a schedule, simplifying issues, or resolving the scope and timing of discovery.</w:t>
      </w:r>
    </w:p>
    <w:p w:rsidR="0064591C" w:rsidRPr="00C86CCB" w:rsidRDefault="0064591C" w:rsidP="0064591C">
      <w:pPr>
        <w:pStyle w:val="standard"/>
        <w:keepNext/>
        <w:tabs>
          <w:tab w:val="left" w:pos="1440"/>
        </w:tabs>
        <w:spacing w:after="120" w:line="240" w:lineRule="auto"/>
        <w:ind w:left="1454" w:hanging="547"/>
        <w:rPr>
          <w:b/>
        </w:rPr>
      </w:pPr>
      <w:r w:rsidRPr="00C86CCB">
        <w:t xml:space="preserve">8. </w:t>
      </w:r>
      <w:r w:rsidRPr="00C86CCB">
        <w:tab/>
      </w:r>
      <w:r w:rsidRPr="00C86CCB">
        <w:rPr>
          <w:b/>
        </w:rPr>
        <w:t>Arbitration Conference and Hearing</w:t>
      </w:r>
    </w:p>
    <w:p w:rsidR="0064591C" w:rsidRPr="00C86CCB" w:rsidRDefault="0064591C" w:rsidP="0064591C">
      <w:pPr>
        <w:pStyle w:val="standard"/>
        <w:spacing w:after="120" w:line="240" w:lineRule="auto"/>
        <w:ind w:left="1440" w:firstLine="0"/>
      </w:pPr>
      <w:r w:rsidRPr="00C86CCB">
        <w:t>Within 7 days after the filing of a response to the request for arbitration, the arbitration conference and hearing shall begin.  The conduct of the conference and hearing shall be noticed on the Commission calendar and notice shall be provided to all parties on the service list.</w:t>
      </w:r>
    </w:p>
    <w:p w:rsidR="0064591C" w:rsidRPr="003B6736" w:rsidRDefault="0064591C" w:rsidP="009B60E2">
      <w:pPr>
        <w:pStyle w:val="standard"/>
        <w:keepNext/>
        <w:tabs>
          <w:tab w:val="left" w:pos="1440"/>
        </w:tabs>
        <w:spacing w:after="120" w:line="240" w:lineRule="auto"/>
        <w:ind w:left="1454" w:hanging="547"/>
        <w:rPr>
          <w:b/>
        </w:rPr>
      </w:pPr>
      <w:r>
        <w:rPr>
          <w:b/>
        </w:rPr>
        <w:t xml:space="preserve">9. </w:t>
      </w:r>
      <w:r>
        <w:rPr>
          <w:b/>
        </w:rPr>
        <w:tab/>
      </w:r>
      <w:r w:rsidRPr="003B6736">
        <w:rPr>
          <w:b/>
        </w:rPr>
        <w:t>Limitation of Issues</w:t>
      </w:r>
    </w:p>
    <w:p w:rsidR="0064591C" w:rsidRPr="003B6736" w:rsidRDefault="0064591C" w:rsidP="0064591C">
      <w:pPr>
        <w:pStyle w:val="standard"/>
        <w:spacing w:after="120" w:line="240" w:lineRule="auto"/>
        <w:ind w:left="1440" w:firstLine="0"/>
      </w:pPr>
      <w:r w:rsidRPr="003B6736">
        <w:t>The Arbitrator shall limit the arbitration to the resolution of issues raised in the application, the response, and the revised statement of unresolved issues (where applicable).  In resolving the issues raised, the Arbitrator may take into account any issues already resolved between the parties.</w:t>
      </w:r>
    </w:p>
    <w:p w:rsidR="0064591C" w:rsidRPr="003B6736" w:rsidRDefault="0064591C" w:rsidP="0064591C">
      <w:pPr>
        <w:pStyle w:val="standard"/>
        <w:tabs>
          <w:tab w:val="left" w:pos="1440"/>
        </w:tabs>
        <w:spacing w:after="120" w:line="240" w:lineRule="auto"/>
        <w:ind w:left="1440" w:hanging="540"/>
        <w:rPr>
          <w:b/>
        </w:rPr>
      </w:pPr>
      <w:r w:rsidRPr="003B6736">
        <w:t xml:space="preserve">10. </w:t>
      </w:r>
      <w:r w:rsidRPr="003B6736">
        <w:tab/>
      </w:r>
      <w:r w:rsidRPr="003B6736">
        <w:rPr>
          <w:b/>
        </w:rPr>
        <w:t>Arbitrator’s Reliance on Experts</w:t>
      </w:r>
    </w:p>
    <w:p w:rsidR="0064591C" w:rsidRPr="003B6736" w:rsidRDefault="0064591C" w:rsidP="0064591C">
      <w:pPr>
        <w:pStyle w:val="standard"/>
        <w:spacing w:after="120" w:line="240" w:lineRule="auto"/>
        <w:ind w:left="1440" w:firstLine="0"/>
      </w:pPr>
      <w:r w:rsidRPr="003B6736">
        <w:t>The Arbitrator may rely on experts retained by, or on the Staff of the Commission.  Such expert(s) may assist the Arbitrator throughout the arbitration process.</w:t>
      </w:r>
    </w:p>
    <w:p w:rsidR="0064591C" w:rsidRPr="003B6736" w:rsidRDefault="0064591C" w:rsidP="0064591C">
      <w:pPr>
        <w:pStyle w:val="standard"/>
        <w:tabs>
          <w:tab w:val="left" w:pos="1440"/>
        </w:tabs>
        <w:spacing w:after="120" w:line="240" w:lineRule="auto"/>
        <w:ind w:left="1440" w:hanging="540"/>
        <w:rPr>
          <w:b/>
        </w:rPr>
      </w:pPr>
      <w:r w:rsidRPr="003B6736">
        <w:t xml:space="preserve">11. </w:t>
      </w:r>
      <w:r w:rsidRPr="003B6736">
        <w:tab/>
      </w:r>
      <w:r w:rsidRPr="003B6736">
        <w:rPr>
          <w:b/>
        </w:rPr>
        <w:t>Close of Arbitration</w:t>
      </w:r>
    </w:p>
    <w:p w:rsidR="0064591C" w:rsidRPr="00A54EB6" w:rsidRDefault="0064591C" w:rsidP="0064591C">
      <w:pPr>
        <w:pStyle w:val="standard"/>
        <w:spacing w:after="120" w:line="240" w:lineRule="auto"/>
        <w:ind w:left="1440" w:firstLine="0"/>
      </w:pPr>
      <w:r w:rsidRPr="00A54EB6">
        <w:t xml:space="preserve">The arbitration shall consist of mark-up conferences and limited evidentiary hearings.  At the mark-up conferences, the arbitrator </w:t>
      </w:r>
      <w:r w:rsidRPr="00A54EB6">
        <w:lastRenderedPageBreak/>
        <w:t>will hear the concerns of the parties, determine whether the parties can further resolve their differences, and identify factual issues that may require limited evidentiary hearings.  The arbitrator will also announce his or her rulings at the conferences as the issues are resolved.  The conference and hearing process shall conclude within 3 days of the hearing’s commencement, unless the Arbitrator determines otherwise.</w:t>
      </w:r>
    </w:p>
    <w:p w:rsidR="0064591C" w:rsidRPr="00A54EB6" w:rsidRDefault="0064591C" w:rsidP="0064591C">
      <w:pPr>
        <w:pStyle w:val="standard"/>
        <w:keepNext/>
        <w:tabs>
          <w:tab w:val="left" w:pos="1440"/>
        </w:tabs>
        <w:spacing w:after="120" w:line="240" w:lineRule="auto"/>
        <w:ind w:left="1454" w:hanging="547"/>
        <w:rPr>
          <w:b/>
        </w:rPr>
      </w:pPr>
      <w:r w:rsidRPr="00A54EB6">
        <w:t xml:space="preserve">12. </w:t>
      </w:r>
      <w:r w:rsidRPr="00A54EB6">
        <w:tab/>
      </w:r>
      <w:r w:rsidRPr="00A54EB6">
        <w:rPr>
          <w:b/>
        </w:rPr>
        <w:t>Expedited Stenographic Record</w:t>
      </w:r>
    </w:p>
    <w:p w:rsidR="0064591C" w:rsidRPr="00A54EB6" w:rsidRDefault="0064591C" w:rsidP="0064591C">
      <w:pPr>
        <w:pStyle w:val="standard"/>
        <w:spacing w:after="120" w:line="240" w:lineRule="auto"/>
        <w:ind w:left="1440" w:firstLine="0"/>
      </w:pPr>
      <w:r w:rsidRPr="00A54EB6">
        <w:t>An expedited stenographic record of each evidentiary hearing shall be made.  The cost of preparation of the expedited transcript shall be borne in equal shares by the parties.</w:t>
      </w:r>
    </w:p>
    <w:p w:rsidR="0064591C" w:rsidRPr="00A54EB6" w:rsidRDefault="0064591C" w:rsidP="0064591C">
      <w:pPr>
        <w:pStyle w:val="standard"/>
        <w:keepNext/>
        <w:tabs>
          <w:tab w:val="left" w:pos="1440"/>
        </w:tabs>
        <w:spacing w:after="120" w:line="240" w:lineRule="auto"/>
        <w:ind w:left="1454" w:hanging="547"/>
        <w:rPr>
          <w:b/>
        </w:rPr>
      </w:pPr>
      <w:r w:rsidRPr="00A54EB6">
        <w:t xml:space="preserve">13. </w:t>
      </w:r>
      <w:r w:rsidRPr="00A54EB6">
        <w:tab/>
      </w:r>
      <w:r w:rsidRPr="00A54EB6">
        <w:rPr>
          <w:b/>
        </w:rPr>
        <w:t>Authority of the Arbitrator</w:t>
      </w:r>
    </w:p>
    <w:p w:rsidR="0064591C" w:rsidRPr="00A54EB6" w:rsidRDefault="0064591C" w:rsidP="0064591C">
      <w:pPr>
        <w:pStyle w:val="standard"/>
        <w:spacing w:after="120" w:line="240" w:lineRule="auto"/>
        <w:ind w:left="1440" w:firstLine="0"/>
      </w:pPr>
      <w:r w:rsidRPr="00A54EB6">
        <w:t>In addition to authority granted elsewhere in these rules, the Arbitrator shall have the same authority to conduct the arbitration process as an Administrative Law Judge has in conducting hearings under the Rules of Practice and Procedure.  The Arbitrator shall have the authority to change the arbitration schedule contained in these rules.</w:t>
      </w:r>
    </w:p>
    <w:p w:rsidR="0064591C" w:rsidRPr="00A54EB6" w:rsidRDefault="0064591C" w:rsidP="0064591C">
      <w:pPr>
        <w:pStyle w:val="standard"/>
        <w:spacing w:after="120" w:line="240" w:lineRule="auto"/>
        <w:ind w:left="1440" w:firstLine="0"/>
      </w:pPr>
      <w:r w:rsidRPr="00A54EB6">
        <w:rPr>
          <w:b/>
        </w:rPr>
        <w:t>Participation Open to the Public Participation</w:t>
      </w:r>
      <w:r w:rsidRPr="00A54EB6">
        <w:t xml:space="preserve"> in the arbitration conferences and hearings is strictly limited to the parties negotiating a ROW agreement pursuant to the terms of these adopted rules.</w:t>
      </w:r>
    </w:p>
    <w:p w:rsidR="0064591C" w:rsidRPr="00FD5139" w:rsidRDefault="0064591C" w:rsidP="0064591C">
      <w:pPr>
        <w:pStyle w:val="standard"/>
        <w:keepNext/>
        <w:tabs>
          <w:tab w:val="left" w:pos="1440"/>
        </w:tabs>
        <w:spacing w:after="120" w:line="240" w:lineRule="auto"/>
        <w:ind w:left="1454" w:hanging="547"/>
        <w:rPr>
          <w:b/>
        </w:rPr>
      </w:pPr>
      <w:r w:rsidRPr="00FD5139">
        <w:t xml:space="preserve">14. </w:t>
      </w:r>
      <w:r w:rsidRPr="00FD5139">
        <w:tab/>
      </w:r>
      <w:r w:rsidRPr="00FD5139">
        <w:rPr>
          <w:b/>
        </w:rPr>
        <w:t>Arbitration Open to the Public</w:t>
      </w:r>
    </w:p>
    <w:p w:rsidR="0064591C" w:rsidRPr="00FD5139" w:rsidRDefault="0064591C" w:rsidP="0064591C">
      <w:pPr>
        <w:pStyle w:val="standard"/>
        <w:spacing w:after="120" w:line="240" w:lineRule="auto"/>
        <w:ind w:left="1440" w:firstLine="0"/>
      </w:pPr>
      <w:r w:rsidRPr="00FD5139">
        <w:t>Though participation at arbitration conferences and hearings is strictly limited to the parties that were negotiating the agreements being arbitrated, the general public is permitted to attend arbitration hearings unless circumstances dictate that a hearing, or portion thereof, be conducted in closed session.  Any party to an arbitration seeking a closed session must make a written request to the Arbitrator describing the circumstances compelling a closed session.  The Arbitrator shall consult with the assigned Commissioner and rule on such request before hearings begin.</w:t>
      </w:r>
    </w:p>
    <w:p w:rsidR="0064591C" w:rsidRPr="00FD5139" w:rsidRDefault="0064591C" w:rsidP="0064591C">
      <w:pPr>
        <w:pStyle w:val="standard"/>
        <w:keepNext/>
        <w:tabs>
          <w:tab w:val="left" w:pos="1440"/>
        </w:tabs>
        <w:spacing w:after="120" w:line="240" w:lineRule="auto"/>
        <w:ind w:left="1454" w:hanging="547"/>
        <w:rPr>
          <w:b/>
        </w:rPr>
      </w:pPr>
      <w:r w:rsidRPr="00FD5139">
        <w:t xml:space="preserve">15. </w:t>
      </w:r>
      <w:r w:rsidRPr="00FD5139">
        <w:tab/>
      </w:r>
      <w:r w:rsidRPr="00FD5139">
        <w:rPr>
          <w:b/>
        </w:rPr>
        <w:t>Filing of Draft Arbitrator’s Report</w:t>
      </w:r>
    </w:p>
    <w:p w:rsidR="0064591C" w:rsidRPr="00FD5139" w:rsidRDefault="0064591C" w:rsidP="0064591C">
      <w:pPr>
        <w:pStyle w:val="standard"/>
        <w:spacing w:after="120" w:line="240" w:lineRule="auto"/>
        <w:ind w:left="1440" w:firstLine="0"/>
      </w:pPr>
      <w:r w:rsidRPr="00FD5139">
        <w:t xml:space="preserve">Within 15 days following the hearings, the Arbitrator, after consultation with the Assigned Commissioner, shall file a Draft Arbitrator’s Report.  The Draft Arbitrator’s Report will include (a) a </w:t>
      </w:r>
      <w:r w:rsidRPr="00FD5139">
        <w:lastRenderedPageBreak/>
        <w:t>concise summary of the issues resolved by the Arbitrator, and (b) a reasoned articulation of the basis for the decision.</w:t>
      </w:r>
    </w:p>
    <w:p w:rsidR="0064591C" w:rsidRPr="00FD5139" w:rsidRDefault="0064591C" w:rsidP="0064591C">
      <w:pPr>
        <w:pStyle w:val="standard"/>
        <w:keepNext/>
        <w:tabs>
          <w:tab w:val="left" w:pos="1440"/>
        </w:tabs>
        <w:spacing w:after="120" w:line="240" w:lineRule="auto"/>
        <w:ind w:left="1454" w:hanging="547"/>
        <w:rPr>
          <w:b/>
        </w:rPr>
      </w:pPr>
      <w:r w:rsidRPr="00FD5139">
        <w:t xml:space="preserve">16. </w:t>
      </w:r>
      <w:r w:rsidRPr="00FD5139">
        <w:tab/>
      </w:r>
      <w:r w:rsidRPr="00FD5139">
        <w:rPr>
          <w:b/>
        </w:rPr>
        <w:t>Filing of Post-Hearing Briefs and Comments on the Draft Arbitrator’s Report</w:t>
      </w:r>
    </w:p>
    <w:p w:rsidR="0064591C" w:rsidRPr="001F16C6" w:rsidRDefault="0064591C" w:rsidP="0064591C">
      <w:pPr>
        <w:pStyle w:val="standard"/>
        <w:spacing w:after="120" w:line="240" w:lineRule="auto"/>
        <w:ind w:left="1440" w:firstLine="0"/>
      </w:pPr>
      <w:r w:rsidRPr="001F16C6">
        <w:t>Each party to the arbitration may file a post-hearing brief within 7</w:t>
      </w:r>
      <w:r>
        <w:t> </w:t>
      </w:r>
      <w:r w:rsidRPr="001F16C6">
        <w:t>days of the end of the mark-up conferences and hearings unless the Arbitrator rules otherwise.  Post-hearing briefs shall present a party’s argument in support of adopting its recommended position with all supporting evidence and legal authorities cited therein.  The length of post-hearing briefs may be limited by the Arbitrator and shall otherwise comply with the Commission’s Rules of Practice and Procedure.  Each party and any member of the public may file comments on the Draft arbitrator’s Report within 10 days of its release.  Such comments shall not exceed 20 pages.</w:t>
      </w:r>
    </w:p>
    <w:p w:rsidR="0064591C" w:rsidRPr="001F16C6" w:rsidRDefault="0064591C" w:rsidP="0064591C">
      <w:pPr>
        <w:pStyle w:val="standard"/>
        <w:keepNext/>
        <w:tabs>
          <w:tab w:val="left" w:pos="1440"/>
        </w:tabs>
        <w:spacing w:after="120" w:line="240" w:lineRule="auto"/>
        <w:ind w:left="1454" w:hanging="547"/>
        <w:rPr>
          <w:b/>
        </w:rPr>
      </w:pPr>
      <w:r w:rsidRPr="001F16C6">
        <w:t xml:space="preserve">17. </w:t>
      </w:r>
      <w:r w:rsidRPr="001F16C6">
        <w:tab/>
      </w:r>
      <w:r w:rsidRPr="001F16C6">
        <w:rPr>
          <w:b/>
        </w:rPr>
        <w:t>Filing of the Final Arbitrator’s Report</w:t>
      </w:r>
    </w:p>
    <w:p w:rsidR="0064591C" w:rsidRPr="001F16C6" w:rsidRDefault="0064591C" w:rsidP="0064591C">
      <w:pPr>
        <w:pStyle w:val="standard"/>
        <w:spacing w:after="120" w:line="240" w:lineRule="auto"/>
        <w:ind w:left="1440" w:firstLine="0"/>
      </w:pPr>
      <w:r w:rsidRPr="001F16C6">
        <w:t>The arbitrator shall file the Final Arbitrator’s Report no later than 15</w:t>
      </w:r>
      <w:r>
        <w:t> </w:t>
      </w:r>
      <w:r w:rsidRPr="001F16C6">
        <w:t>days after the filing date for comments.  Prior to the report’s release, the Telecommunications Division will review the report and prepare a matrix comparing the outcomes in the report to those adopted in prior Commission arbitration decisions, highlighting variances from prior Commission policy.  Whenever the Assigned Commissioner is not acting as the arbitrator, the Assigned Commissioner will participate in the release of the Final Arbitrator’s Report consistent with the Commission’s filing of Proposed Decisions as set forth in Rule 77.1 of the Commission’s Rules of Practice and Procedure.</w:t>
      </w:r>
    </w:p>
    <w:p w:rsidR="0064591C" w:rsidRPr="001F16C6" w:rsidRDefault="0064591C" w:rsidP="0064591C">
      <w:pPr>
        <w:pStyle w:val="standard"/>
        <w:keepNext/>
        <w:tabs>
          <w:tab w:val="left" w:pos="1440"/>
        </w:tabs>
        <w:spacing w:after="120" w:line="240" w:lineRule="auto"/>
        <w:ind w:left="1454" w:hanging="547"/>
        <w:rPr>
          <w:b/>
        </w:rPr>
      </w:pPr>
      <w:r w:rsidRPr="001F16C6">
        <w:t xml:space="preserve">18. </w:t>
      </w:r>
      <w:r w:rsidRPr="001F16C6">
        <w:tab/>
      </w:r>
      <w:r w:rsidRPr="001F16C6">
        <w:rPr>
          <w:b/>
        </w:rPr>
        <w:t>Filing of Arbitrated Agreement</w:t>
      </w:r>
    </w:p>
    <w:p w:rsidR="0064591C" w:rsidRPr="001F16C6" w:rsidRDefault="0064591C" w:rsidP="0064591C">
      <w:pPr>
        <w:pStyle w:val="standard"/>
        <w:spacing w:after="120" w:line="240" w:lineRule="auto"/>
        <w:ind w:left="1440" w:firstLine="0"/>
      </w:pPr>
      <w:r w:rsidRPr="001F16C6">
        <w:t>Within 7 days of the filing of the Final Arbitrator’s Report, the parties shall file the entire agreement for approval.</w:t>
      </w:r>
    </w:p>
    <w:p w:rsidR="0064591C" w:rsidRPr="001F16C6" w:rsidRDefault="0064591C" w:rsidP="0064591C">
      <w:pPr>
        <w:pStyle w:val="standard"/>
        <w:keepNext/>
        <w:tabs>
          <w:tab w:val="left" w:pos="1440"/>
        </w:tabs>
        <w:spacing w:after="120" w:line="240" w:lineRule="auto"/>
        <w:ind w:left="1454" w:hanging="547"/>
        <w:rPr>
          <w:b/>
        </w:rPr>
      </w:pPr>
      <w:r w:rsidRPr="001F16C6">
        <w:t xml:space="preserve">19. </w:t>
      </w:r>
      <w:r w:rsidRPr="001F16C6">
        <w:tab/>
      </w:r>
      <w:r w:rsidRPr="001F16C6">
        <w:rPr>
          <w:b/>
        </w:rPr>
        <w:t>Commission Review of Arbitrated Agreement</w:t>
      </w:r>
    </w:p>
    <w:p w:rsidR="0064591C" w:rsidRPr="0047474E" w:rsidRDefault="0064591C" w:rsidP="0064591C">
      <w:pPr>
        <w:pStyle w:val="standard"/>
        <w:spacing w:after="120" w:line="240" w:lineRule="auto"/>
        <w:ind w:left="1440" w:firstLine="0"/>
      </w:pPr>
      <w:r w:rsidRPr="0047474E">
        <w:t>Within 30 days following filing of the arbitrated agreement, the Commission shall issue a decision approving or rejecting the arbitrated agreement (including those parts arrived at through negotiations) pursuant to Subsection 252(e) and all its subparts.</w:t>
      </w:r>
    </w:p>
    <w:p w:rsidR="0064591C" w:rsidRPr="0047474E" w:rsidRDefault="0064591C" w:rsidP="0064591C">
      <w:pPr>
        <w:pStyle w:val="standard"/>
        <w:keepNext/>
        <w:tabs>
          <w:tab w:val="left" w:pos="1440"/>
        </w:tabs>
        <w:spacing w:after="120" w:line="240" w:lineRule="auto"/>
        <w:ind w:left="1454" w:hanging="547"/>
        <w:rPr>
          <w:b/>
        </w:rPr>
      </w:pPr>
      <w:r w:rsidRPr="0047474E">
        <w:lastRenderedPageBreak/>
        <w:t>20.</w:t>
      </w:r>
      <w:r>
        <w:rPr>
          <w:b/>
        </w:rPr>
        <w:t xml:space="preserve"> </w:t>
      </w:r>
      <w:r>
        <w:rPr>
          <w:b/>
        </w:rPr>
        <w:tab/>
      </w:r>
      <w:r w:rsidRPr="0047474E">
        <w:rPr>
          <w:b/>
        </w:rPr>
        <w:t>Standards for Review</w:t>
      </w:r>
    </w:p>
    <w:p w:rsidR="0064591C" w:rsidRPr="0047474E" w:rsidRDefault="0064591C" w:rsidP="0064591C">
      <w:pPr>
        <w:pStyle w:val="standard"/>
        <w:spacing w:after="120" w:line="240" w:lineRule="auto"/>
        <w:ind w:left="1440" w:firstLine="0"/>
      </w:pPr>
      <w:r w:rsidRPr="0047474E">
        <w:t>The Commission may reject arbitrated agreements or portions thereof that do not meet the requirements of the Commission, including, but not limited to, quality of service standards adopted by the Commission.</w:t>
      </w:r>
    </w:p>
    <w:p w:rsidR="0064591C" w:rsidRPr="0047474E" w:rsidRDefault="0064591C" w:rsidP="0064591C">
      <w:pPr>
        <w:pStyle w:val="standard"/>
        <w:keepNext/>
        <w:tabs>
          <w:tab w:val="left" w:pos="1440"/>
        </w:tabs>
        <w:spacing w:after="120" w:line="240" w:lineRule="auto"/>
        <w:ind w:left="1454" w:hanging="547"/>
        <w:rPr>
          <w:b/>
        </w:rPr>
      </w:pPr>
      <w:r w:rsidRPr="0047474E">
        <w:t xml:space="preserve">21. </w:t>
      </w:r>
      <w:r>
        <w:rPr>
          <w:b/>
        </w:rPr>
        <w:tab/>
      </w:r>
      <w:r w:rsidRPr="0047474E">
        <w:rPr>
          <w:b/>
        </w:rPr>
        <w:t>Written Findings</w:t>
      </w:r>
    </w:p>
    <w:p w:rsidR="0064591C" w:rsidRPr="0047474E" w:rsidRDefault="0064591C" w:rsidP="0064591C">
      <w:pPr>
        <w:pStyle w:val="standard"/>
        <w:spacing w:after="120" w:line="240" w:lineRule="auto"/>
        <w:ind w:left="1440" w:firstLine="0"/>
      </w:pPr>
      <w:r w:rsidRPr="0047474E">
        <w:t>The Commission’s decision approving or rejecting an arbitration agreement shall contain written findings.  In the event of rejection, the Commission shall address the deficiencies of the arbitrated agreement in writing and may state what modifications of such agreement would make the agreement acceptable to the Commission.</w:t>
      </w:r>
    </w:p>
    <w:p w:rsidR="0064591C" w:rsidRPr="0047474E" w:rsidRDefault="0064591C" w:rsidP="0064591C">
      <w:pPr>
        <w:pStyle w:val="standard"/>
        <w:keepNext/>
        <w:tabs>
          <w:tab w:val="left" w:pos="1440"/>
        </w:tabs>
        <w:spacing w:after="120" w:line="240" w:lineRule="auto"/>
        <w:ind w:left="1454" w:hanging="547"/>
      </w:pPr>
      <w:r>
        <w:t xml:space="preserve">22. </w:t>
      </w:r>
      <w:r>
        <w:tab/>
      </w:r>
      <w:r w:rsidRPr="0047474E">
        <w:rPr>
          <w:b/>
        </w:rPr>
        <w:t>Application for Rehearing</w:t>
      </w:r>
    </w:p>
    <w:p w:rsidR="0064591C" w:rsidRPr="0047474E" w:rsidRDefault="0064591C" w:rsidP="0064591C">
      <w:pPr>
        <w:pStyle w:val="standard"/>
        <w:spacing w:after="120" w:line="240" w:lineRule="auto"/>
        <w:ind w:left="1440" w:firstLine="0"/>
      </w:pPr>
      <w:r w:rsidRPr="0047474E">
        <w:t>A party wishing to appeal a Commission decision approving an arbitration must first seek administrative review pursuant to the Commission’s Rules of Practice and Procedure.</w:t>
      </w:r>
    </w:p>
    <w:p w:rsidR="0064591C" w:rsidRPr="0047474E" w:rsidRDefault="0064591C" w:rsidP="0064591C">
      <w:pPr>
        <w:pStyle w:val="standard"/>
        <w:tabs>
          <w:tab w:val="left" w:pos="1440"/>
        </w:tabs>
        <w:spacing w:after="120" w:line="240" w:lineRule="auto"/>
        <w:ind w:left="1440" w:hanging="547"/>
      </w:pPr>
      <w:r>
        <w:t xml:space="preserve">23. </w:t>
      </w:r>
      <w:r>
        <w:tab/>
      </w:r>
      <w:r w:rsidRPr="0047474E">
        <w:t>The party identified by the arbitrator as the “losing party” shall reimburse the party identified by the arbitrator as the “prevailing party” for all costs of the arbitration, including the reasonable attorney and expert witness fees incurred by the prevailing party.</w:t>
      </w:r>
    </w:p>
    <w:p w:rsidR="0064591C" w:rsidRPr="00FA0C4B" w:rsidRDefault="0064591C" w:rsidP="0064591C">
      <w:pPr>
        <w:pStyle w:val="standard"/>
        <w:ind w:firstLine="0"/>
      </w:pPr>
    </w:p>
    <w:p w:rsidR="0064591C" w:rsidRPr="00752DB1" w:rsidRDefault="0064591C" w:rsidP="0064591C">
      <w:pPr>
        <w:pStyle w:val="standard"/>
        <w:keepNext/>
        <w:spacing w:after="120" w:line="240" w:lineRule="auto"/>
        <w:ind w:firstLine="0"/>
      </w:pPr>
      <w:r>
        <w:t xml:space="preserve">X. </w:t>
      </w:r>
      <w:r>
        <w:tab/>
      </w:r>
      <w:r w:rsidRPr="00752DB1">
        <w:t>ACCESS TO CUSTOMER PREMISES</w:t>
      </w:r>
    </w:p>
    <w:p w:rsidR="0064591C" w:rsidRPr="00752DB1" w:rsidRDefault="0064591C" w:rsidP="0064591C">
      <w:pPr>
        <w:pStyle w:val="standard"/>
        <w:tabs>
          <w:tab w:val="left" w:pos="720"/>
        </w:tabs>
        <w:spacing w:after="120" w:line="240" w:lineRule="auto"/>
        <w:ind w:left="720" w:hanging="540"/>
      </w:pPr>
      <w:r>
        <w:t xml:space="preserve">A. </w:t>
      </w:r>
      <w:r>
        <w:tab/>
      </w:r>
      <w:r w:rsidRPr="00752DB1">
        <w:t>No carrier may use its ownership or control of any right of way or support structure to impede the access of a telecommunications carrier</w:t>
      </w:r>
      <w:r>
        <w:t xml:space="preserve">, </w:t>
      </w:r>
      <w:r w:rsidRPr="003827EC">
        <w:t>CMRS carrier,</w:t>
      </w:r>
      <w:r w:rsidRPr="00752DB1">
        <w:t xml:space="preserve"> or cable TV company to a customer’s premises.</w:t>
      </w:r>
    </w:p>
    <w:p w:rsidR="0064591C" w:rsidRPr="00752DB1" w:rsidRDefault="0064591C" w:rsidP="0064591C">
      <w:pPr>
        <w:pStyle w:val="standard"/>
        <w:tabs>
          <w:tab w:val="left" w:pos="720"/>
        </w:tabs>
        <w:spacing w:after="120" w:line="240" w:lineRule="auto"/>
        <w:ind w:left="720" w:hanging="540"/>
      </w:pPr>
      <w:r>
        <w:t xml:space="preserve">B. </w:t>
      </w:r>
      <w:r>
        <w:tab/>
      </w:r>
      <w:r w:rsidRPr="00752DB1">
        <w:t>A carrier shall provide access, when technically feasible, to building entrance facilities it owns or controls, up to the applicable minimum point of entry (MPOE) for that property, on a nondiscriminatory, first</w:t>
      </w:r>
      <w:r w:rsidRPr="00752DB1">
        <w:noBreakHyphen/>
        <w:t>come, first</w:t>
      </w:r>
      <w:r w:rsidRPr="00752DB1">
        <w:noBreakHyphen/>
        <w:t>served basis, provided that the requesting telecommunications carrier</w:t>
      </w:r>
      <w:r w:rsidRPr="003827EC">
        <w:t>, CMRS carrier,</w:t>
      </w:r>
      <w:r w:rsidRPr="00752DB1">
        <w:t xml:space="preserve"> or cable TV provider has first obtained all necessary access and/or use rights from the underlying property owners(s).</w:t>
      </w:r>
    </w:p>
    <w:p w:rsidR="0064591C" w:rsidRPr="00752DB1" w:rsidRDefault="0064591C" w:rsidP="0064591C">
      <w:pPr>
        <w:pStyle w:val="standard"/>
        <w:tabs>
          <w:tab w:val="left" w:pos="720"/>
        </w:tabs>
        <w:spacing w:after="120" w:line="240" w:lineRule="auto"/>
        <w:ind w:left="720" w:hanging="540"/>
      </w:pPr>
      <w:r>
        <w:t xml:space="preserve">C. </w:t>
      </w:r>
      <w:r>
        <w:tab/>
      </w:r>
      <w:r w:rsidRPr="00752DB1">
        <w:t xml:space="preserve">A carrier will have 60 days to renegotiate a contract deemed discriminatory by the Commission in response to a formal complaint.  Failing to do so, this carrier will become subject to a fine ranging from $500 </w:t>
      </w:r>
      <w:r w:rsidRPr="00752DB1">
        <w:lastRenderedPageBreak/>
        <w:t>to $20,000 per day beyond the 60-day limit for renegotiation until the discriminatory provisions of the arrangement have been eliminated.</w:t>
      </w:r>
    </w:p>
    <w:p w:rsidR="0064591C" w:rsidRPr="00752DB1" w:rsidRDefault="0064591C" w:rsidP="0064591C">
      <w:pPr>
        <w:pStyle w:val="standard"/>
        <w:ind w:firstLine="0"/>
      </w:pPr>
    </w:p>
    <w:p w:rsidR="0064591C" w:rsidRPr="00ED331B" w:rsidRDefault="0064591C" w:rsidP="0064591C">
      <w:pPr>
        <w:pStyle w:val="standard"/>
        <w:keepNext/>
        <w:spacing w:after="120" w:line="240" w:lineRule="auto"/>
        <w:ind w:firstLine="0"/>
      </w:pPr>
      <w:r>
        <w:t xml:space="preserve">XI. </w:t>
      </w:r>
      <w:r>
        <w:tab/>
      </w:r>
      <w:r w:rsidRPr="00ED331B">
        <w:t>SAFETY</w:t>
      </w:r>
    </w:p>
    <w:p w:rsidR="0064591C" w:rsidRPr="00ED331B" w:rsidRDefault="0064591C" w:rsidP="0064591C">
      <w:pPr>
        <w:pStyle w:val="standard"/>
        <w:spacing w:after="120" w:line="240" w:lineRule="auto"/>
        <w:ind w:firstLine="0"/>
      </w:pPr>
      <w:r w:rsidRPr="00ED331B">
        <w:t>Access to utility rights of way and support structures shall be governed at all times by the provisions of Commission General Order Nos. 95 and 128 and by Cal/OSHA Title 8.  Where necessary and appropriate, said General Orders shall be supplemented by the National Electric Safety Code, and any reasonable and justifiable safety and construction standards which are required by the utility.</w:t>
      </w:r>
    </w:p>
    <w:p w:rsidR="0064591C" w:rsidRPr="00ED331B" w:rsidRDefault="0064591C" w:rsidP="0064591C">
      <w:pPr>
        <w:pStyle w:val="standard"/>
        <w:tabs>
          <w:tab w:val="left" w:pos="720"/>
        </w:tabs>
        <w:spacing w:after="120" w:line="240" w:lineRule="auto"/>
        <w:ind w:left="720" w:hanging="540"/>
      </w:pPr>
      <w:r>
        <w:t>A.</w:t>
      </w:r>
      <w:r>
        <w:tab/>
      </w:r>
      <w:r w:rsidRPr="00ED331B">
        <w:t>The incumbent utility shall not be liable for work that is performed by a third party without notice and supervision, work that does not pass inspection, or equipment that contains some dangerous defect that the incumbent utility cannot reasonably be expected to detect through a visual inspection.  The incumbent utility and its customers shall be immunized from financial damages in these instances.</w:t>
      </w:r>
    </w:p>
    <w:p w:rsidR="0064591C" w:rsidRPr="00E35516" w:rsidRDefault="0064591C" w:rsidP="0064591C">
      <w:pPr>
        <w:pStyle w:val="standard"/>
        <w:ind w:firstLine="0"/>
      </w:pPr>
    </w:p>
    <w:p w:rsidR="0064591C" w:rsidRPr="00E35516" w:rsidRDefault="0064591C" w:rsidP="009A4E87">
      <w:pPr>
        <w:pStyle w:val="standard"/>
        <w:ind w:firstLine="0"/>
      </w:pPr>
    </w:p>
    <w:p w:rsidR="00D313F5" w:rsidRPr="00C43369" w:rsidRDefault="00D313F5" w:rsidP="00C43369">
      <w:pPr>
        <w:pStyle w:val="standard"/>
        <w:spacing w:line="240" w:lineRule="auto"/>
        <w:ind w:firstLine="0"/>
        <w:jc w:val="center"/>
        <w:rPr>
          <w:b/>
        </w:rPr>
      </w:pPr>
      <w:r w:rsidRPr="00C43369">
        <w:rPr>
          <w:b/>
        </w:rPr>
        <w:t>(END OF APPENDIX A)</w:t>
      </w:r>
    </w:p>
    <w:bookmarkEnd w:id="152"/>
    <w:p w:rsidR="00D313F5" w:rsidRPr="007C199F" w:rsidRDefault="00D313F5" w:rsidP="007C199F">
      <w:pPr>
        <w:pStyle w:val="standard"/>
      </w:pPr>
    </w:p>
    <w:p w:rsidR="00BC3AA7" w:rsidRPr="007C199F" w:rsidRDefault="00BC3AA7" w:rsidP="007C199F">
      <w:pPr>
        <w:pStyle w:val="standard"/>
        <w:sectPr w:rsidR="00BC3AA7" w:rsidRPr="007C199F" w:rsidSect="00094215">
          <w:headerReference w:type="even" r:id="rId36"/>
          <w:footerReference w:type="default" r:id="rId37"/>
          <w:pgSz w:w="12240" w:h="15840"/>
          <w:pgMar w:top="1440" w:right="1440" w:bottom="1440" w:left="1440" w:header="720" w:footer="720" w:gutter="0"/>
          <w:cols w:space="720"/>
          <w:docGrid w:linePitch="360"/>
        </w:sectPr>
      </w:pPr>
    </w:p>
    <w:p w:rsidR="00BC3AA7" w:rsidRDefault="00BC3AA7" w:rsidP="007C199F">
      <w:pPr>
        <w:pStyle w:val="standard"/>
      </w:pPr>
    </w:p>
    <w:p w:rsidR="008C2F16" w:rsidRDefault="008C2F16" w:rsidP="008C2F16">
      <w:pPr>
        <w:pStyle w:val="standard"/>
      </w:pPr>
    </w:p>
    <w:p w:rsidR="008C2F16" w:rsidRDefault="008C2F16" w:rsidP="00A845DC">
      <w:pPr>
        <w:pStyle w:val="Heading9"/>
      </w:pPr>
      <w:bookmarkStart w:id="156" w:name="_Toc424322169"/>
      <w:bookmarkStart w:id="157" w:name="_Toc378669353"/>
      <w:r>
        <w:t xml:space="preserve">  </w:t>
      </w:r>
      <w:bookmarkStart w:id="158" w:name="_Toc436647386"/>
      <w:r>
        <w:t xml:space="preserve">Proposed </w:t>
      </w:r>
      <w:r w:rsidR="001C0541">
        <w:t>Revisions to GO 95</w:t>
      </w:r>
      <w:bookmarkEnd w:id="156"/>
      <w:bookmarkEnd w:id="158"/>
    </w:p>
    <w:p w:rsidR="008C2F16" w:rsidRDefault="008C2F16" w:rsidP="008C2F16">
      <w:pPr>
        <w:pStyle w:val="standard"/>
      </w:pPr>
    </w:p>
    <w:p w:rsidR="008C2F16" w:rsidRDefault="008C2F16" w:rsidP="008C2F16">
      <w:pPr>
        <w:pStyle w:val="standard"/>
        <w:ind w:firstLine="0"/>
        <w:jc w:val="center"/>
      </w:pPr>
      <w:r>
        <w:t xml:space="preserve">Appendix </w:t>
      </w:r>
      <w:r w:rsidR="00B65145">
        <w:t>B</w:t>
      </w:r>
      <w:r>
        <w:t xml:space="preserve"> shows propose</w:t>
      </w:r>
      <w:r w:rsidR="00E86735">
        <w:t xml:space="preserve">d revisions to General Order 95 </w:t>
      </w:r>
      <w:r>
        <w:t>with </w:t>
      </w:r>
      <w:r w:rsidR="00E86735">
        <w:t>bold font</w:t>
      </w:r>
      <w:r w:rsidR="005A140D">
        <w:t>, </w:t>
      </w:r>
      <w:r>
        <w:t>underline</w:t>
      </w:r>
      <w:r w:rsidR="005A140D">
        <w:t>, and/or strikeout</w:t>
      </w:r>
      <w:r>
        <w:t>.</w:t>
      </w:r>
    </w:p>
    <w:p w:rsidR="008C2F16" w:rsidRDefault="008C2F16" w:rsidP="008C2F16">
      <w:pPr>
        <w:pStyle w:val="standard"/>
      </w:pPr>
    </w:p>
    <w:bookmarkEnd w:id="157"/>
    <w:p w:rsidR="008C2F16" w:rsidRDefault="008C2F16" w:rsidP="008C2F16">
      <w:pPr>
        <w:pStyle w:val="standard"/>
      </w:pPr>
    </w:p>
    <w:p w:rsidR="008C2F16" w:rsidRDefault="008C2F16" w:rsidP="008C2F16">
      <w:pPr>
        <w:pStyle w:val="standard"/>
        <w:sectPr w:rsidR="008C2F16" w:rsidSect="0035469A">
          <w:footerReference w:type="default" r:id="rId38"/>
          <w:pgSz w:w="12240" w:h="15840"/>
          <w:pgMar w:top="1440" w:right="1440" w:bottom="1440" w:left="1440" w:header="720" w:footer="720" w:gutter="0"/>
          <w:pgNumType w:start="1" w:chapStyle="9"/>
          <w:cols w:space="720"/>
          <w:docGrid w:linePitch="360"/>
        </w:sectPr>
      </w:pPr>
    </w:p>
    <w:p w:rsidR="008C2F16" w:rsidRDefault="00C05FC5" w:rsidP="00214651">
      <w:pPr>
        <w:pStyle w:val="AppendixPageHeaders"/>
      </w:pPr>
      <w:bookmarkStart w:id="159" w:name="_Toc378669354"/>
      <w:bookmarkStart w:id="160" w:name="_Toc424322170"/>
      <w:bookmarkStart w:id="161" w:name="_Toc436647387"/>
      <w:r>
        <w:lastRenderedPageBreak/>
        <w:t xml:space="preserve">Revised </w:t>
      </w:r>
      <w:r w:rsidR="008C2F16">
        <w:t>Rule </w:t>
      </w:r>
      <w:bookmarkEnd w:id="159"/>
      <w:r w:rsidR="00600A8D">
        <w:t xml:space="preserve">21.0-D </w:t>
      </w:r>
      <w:r w:rsidR="00535ADD">
        <w:t>and Rule 87.7</w:t>
      </w:r>
      <w:r w:rsidR="00535ADD">
        <w:noBreakHyphen/>
        <w:t xml:space="preserve">B </w:t>
      </w:r>
      <w:r w:rsidR="00600A8D">
        <w:t>(Guard</w:t>
      </w:r>
      <w:r w:rsidR="00535ADD">
        <w:t> </w:t>
      </w:r>
      <w:r w:rsidR="00600A8D">
        <w:t>Arms)</w:t>
      </w:r>
      <w:bookmarkEnd w:id="160"/>
      <w:bookmarkEnd w:id="161"/>
      <w:r w:rsidR="008C2F16">
        <w:t xml:space="preserve"> </w:t>
      </w:r>
    </w:p>
    <w:p w:rsidR="008C2F16" w:rsidRDefault="008C2F16" w:rsidP="008C2F16">
      <w:pPr>
        <w:pStyle w:val="standard"/>
        <w:spacing w:before="60" w:after="180" w:line="240" w:lineRule="auto"/>
        <w:ind w:firstLine="0"/>
        <w:jc w:val="center"/>
        <w:rPr>
          <w:b/>
        </w:rPr>
      </w:pPr>
      <w:r>
        <w:rPr>
          <w:b/>
        </w:rPr>
        <w:t xml:space="preserve">Proposed Revisions to Rule </w:t>
      </w:r>
      <w:r w:rsidR="00600A8D">
        <w:rPr>
          <w:b/>
        </w:rPr>
        <w:t>21.0</w:t>
      </w:r>
      <w:r>
        <w:rPr>
          <w:b/>
        </w:rPr>
        <w:t xml:space="preserve"> Shown with</w:t>
      </w:r>
      <w:r>
        <w:rPr>
          <w:rFonts w:cs="Helvetica"/>
          <w:b/>
        </w:rPr>
        <w:t> </w:t>
      </w:r>
      <w:r w:rsidR="00600A8D">
        <w:rPr>
          <w:rFonts w:cs="Helvetica"/>
          <w:b/>
        </w:rPr>
        <w:t>Underline</w:t>
      </w:r>
      <w:r w:rsidR="003865AE">
        <w:rPr>
          <w:rFonts w:cs="Helvetica"/>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C2F16" w:rsidTr="00600A8D">
        <w:tc>
          <w:tcPr>
            <w:tcW w:w="5000" w:type="pct"/>
          </w:tcPr>
          <w:p w:rsidR="00600A8D" w:rsidRPr="009D2402" w:rsidRDefault="00600A8D" w:rsidP="00BD4412">
            <w:pPr>
              <w:pStyle w:val="standard"/>
              <w:spacing w:before="120" w:after="120" w:line="240" w:lineRule="auto"/>
              <w:ind w:firstLine="0"/>
              <w:rPr>
                <w:b/>
              </w:rPr>
            </w:pPr>
            <w:r w:rsidRPr="009D2402">
              <w:rPr>
                <w:b/>
                <w:bCs/>
              </w:rPr>
              <w:t xml:space="preserve">21.0 Crossarm or Arm </w:t>
            </w:r>
            <w:r w:rsidRPr="009D2402">
              <w:t>means a horizontal support attached to poles or structures generally at right angles to the conductor supported.</w:t>
            </w:r>
          </w:p>
          <w:p w:rsidR="00600A8D" w:rsidRPr="004572ED" w:rsidRDefault="00600A8D" w:rsidP="00600A8D">
            <w:pPr>
              <w:pStyle w:val="standard"/>
              <w:spacing w:after="120" w:line="240" w:lineRule="auto"/>
              <w:ind w:firstLine="0"/>
            </w:pPr>
            <w:r>
              <w:t xml:space="preserve">  </w:t>
            </w:r>
            <w:r w:rsidRPr="004572ED">
              <w:t>(No change to parts A thr</w:t>
            </w:r>
            <w:r w:rsidR="005A140D">
              <w:t>o</w:t>
            </w:r>
            <w:r w:rsidRPr="004572ED">
              <w:t>u</w:t>
            </w:r>
            <w:r w:rsidR="005A140D">
              <w:t>gh</w:t>
            </w:r>
            <w:r w:rsidRPr="004572ED">
              <w:t xml:space="preserve"> C)</w:t>
            </w:r>
          </w:p>
          <w:p w:rsidR="008C2F16" w:rsidRDefault="00600A8D" w:rsidP="00BD4412">
            <w:pPr>
              <w:pStyle w:val="standard"/>
              <w:spacing w:after="120" w:line="240" w:lineRule="auto"/>
              <w:ind w:firstLine="0"/>
            </w:pPr>
            <w:r w:rsidRPr="009D2402">
              <w:rPr>
                <w:b/>
                <w:bCs/>
                <w:szCs w:val="24"/>
              </w:rPr>
              <w:t xml:space="preserve">D. Guard Arm </w:t>
            </w:r>
            <w:r w:rsidRPr="009D2402">
              <w:rPr>
                <w:szCs w:val="24"/>
              </w:rPr>
              <w:t xml:space="preserve">means a crossarm installed on a pole not more than 4 inches directly above and approximately parallel to the messenger, cable or conductors being guarded. </w:t>
            </w:r>
            <w:r>
              <w:rPr>
                <w:szCs w:val="24"/>
              </w:rPr>
              <w:t xml:space="preserve"> </w:t>
            </w:r>
            <w:r w:rsidRPr="009D2402">
              <w:rPr>
                <w:szCs w:val="24"/>
              </w:rPr>
              <w:t xml:space="preserve">Guard arms shall not be used to support conductors, </w:t>
            </w:r>
            <w:r w:rsidRPr="005A140D">
              <w:rPr>
                <w:b/>
                <w:color w:val="FF0000"/>
                <w:szCs w:val="24"/>
                <w:u w:val="single"/>
              </w:rPr>
              <w:t>antennas</w:t>
            </w:r>
            <w:r w:rsidRPr="009D2402">
              <w:rPr>
                <w:color w:val="FF0000"/>
                <w:szCs w:val="24"/>
                <w:u w:val="single"/>
              </w:rPr>
              <w:t>,</w:t>
            </w:r>
            <w:r w:rsidRPr="009D2402">
              <w:rPr>
                <w:color w:val="FF0000"/>
                <w:szCs w:val="24"/>
              </w:rPr>
              <w:t xml:space="preserve"> </w:t>
            </w:r>
            <w:r w:rsidRPr="009D2402">
              <w:rPr>
                <w:szCs w:val="24"/>
              </w:rPr>
              <w:t>or other line facilities except as specifically provided in these rules (see Rules 84.8–B2c and 87.7–B).</w:t>
            </w:r>
            <w:r w:rsidR="00BD4412">
              <w:rPr>
                <w:szCs w:val="24"/>
              </w:rPr>
              <w:t xml:space="preserve"> </w:t>
            </w:r>
            <w:r w:rsidR="008C2F16">
              <w:rPr>
                <w:b/>
                <w:bCs/>
              </w:rPr>
              <w:t xml:space="preserve"> </w:t>
            </w:r>
          </w:p>
        </w:tc>
      </w:tr>
    </w:tbl>
    <w:p w:rsidR="008C2F16" w:rsidRDefault="008C2F16" w:rsidP="008C2F16">
      <w:pPr>
        <w:pStyle w:val="standard"/>
        <w:spacing w:line="240" w:lineRule="auto"/>
      </w:pPr>
    </w:p>
    <w:p w:rsidR="00535ADD" w:rsidRDefault="00535ADD" w:rsidP="008C2F16">
      <w:pPr>
        <w:pStyle w:val="standard"/>
        <w:spacing w:line="240" w:lineRule="auto"/>
      </w:pPr>
    </w:p>
    <w:p w:rsidR="006237FE" w:rsidRDefault="006237FE" w:rsidP="006237FE">
      <w:pPr>
        <w:pStyle w:val="standard"/>
        <w:spacing w:before="60" w:after="180" w:line="240" w:lineRule="auto"/>
        <w:ind w:firstLine="0"/>
        <w:jc w:val="center"/>
        <w:rPr>
          <w:b/>
        </w:rPr>
      </w:pPr>
      <w:r>
        <w:rPr>
          <w:b/>
        </w:rPr>
        <w:t>Proposed Revisions to Rule 87.7-B Shown with</w:t>
      </w:r>
      <w:r>
        <w:rPr>
          <w:rFonts w:cs="Helvetica"/>
          <w:b/>
        </w:rPr>
        <w:t> Underline</w:t>
      </w:r>
      <w:r w:rsidR="003865AE">
        <w:rPr>
          <w:rFonts w:cs="Helvetica"/>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6237FE" w:rsidTr="00972624">
        <w:tc>
          <w:tcPr>
            <w:tcW w:w="5000" w:type="pct"/>
          </w:tcPr>
          <w:p w:rsidR="006237FE" w:rsidRPr="0056070D" w:rsidRDefault="006237FE" w:rsidP="006237FE">
            <w:pPr>
              <w:pStyle w:val="standard"/>
              <w:spacing w:before="120" w:after="120" w:line="240" w:lineRule="auto"/>
              <w:ind w:firstLine="0"/>
              <w:rPr>
                <w:b/>
              </w:rPr>
            </w:pPr>
            <w:r w:rsidRPr="0056070D">
              <w:rPr>
                <w:b/>
              </w:rPr>
              <w:t>87.7 Covering or Guarding</w:t>
            </w:r>
          </w:p>
          <w:p w:rsidR="006237FE" w:rsidRPr="0056070D" w:rsidRDefault="006237FE" w:rsidP="006237FE">
            <w:pPr>
              <w:pStyle w:val="standard"/>
              <w:spacing w:after="120" w:line="240" w:lineRule="auto"/>
              <w:ind w:firstLine="0"/>
              <w:rPr>
                <w:b/>
              </w:rPr>
            </w:pPr>
            <w:r w:rsidRPr="0056070D">
              <w:rPr>
                <w:b/>
              </w:rPr>
              <w:t>B. Longitudinal Aerial Cables or Messengers</w:t>
            </w:r>
          </w:p>
          <w:p w:rsidR="006237FE" w:rsidRPr="0056070D" w:rsidRDefault="006237FE" w:rsidP="006237FE">
            <w:pPr>
              <w:pStyle w:val="standard"/>
              <w:spacing w:after="120" w:line="240" w:lineRule="auto"/>
              <w:ind w:firstLine="0"/>
            </w:pPr>
            <w:r w:rsidRPr="0056070D">
              <w:t xml:space="preserve">A guard arm, at least 4 feet in length, shall be placed directly above and as nearly parallel as practicable to longitudinal aerial cables or messengers over which a guard arm is required by the provisions of Rule 87.4–C3. </w:t>
            </w:r>
            <w:r>
              <w:t xml:space="preserve"> </w:t>
            </w:r>
            <w:r w:rsidRPr="0056070D">
              <w:t>In lieu of the guard arm a suitable wood covering of the length specified for guard arms may be placed around the cable and messenger.</w:t>
            </w:r>
          </w:p>
          <w:p w:rsidR="006237FE" w:rsidRPr="009D2402" w:rsidRDefault="006237FE" w:rsidP="006237FE">
            <w:pPr>
              <w:pStyle w:val="standard"/>
              <w:spacing w:after="120" w:line="240" w:lineRule="auto"/>
              <w:ind w:firstLine="0"/>
              <w:rPr>
                <w:szCs w:val="24"/>
              </w:rPr>
            </w:pPr>
            <w:r w:rsidRPr="009D2402">
              <w:rPr>
                <w:szCs w:val="24"/>
              </w:rPr>
              <w:t>Double guard arms shall be installed above cables and messengers which are deadended on poles where the installation of guard arms is required by the provisions of Rule 87.4–C3.</w:t>
            </w:r>
          </w:p>
          <w:p w:rsidR="006237FE" w:rsidRDefault="006237FE" w:rsidP="006237FE">
            <w:pPr>
              <w:pStyle w:val="standard"/>
              <w:spacing w:after="120" w:line="240" w:lineRule="auto"/>
              <w:ind w:firstLine="0"/>
            </w:pPr>
            <w:r w:rsidRPr="009D2402">
              <w:rPr>
                <w:szCs w:val="24"/>
              </w:rPr>
              <w:t xml:space="preserve">No communication </w:t>
            </w:r>
            <w:r w:rsidRPr="005A140D">
              <w:rPr>
                <w:b/>
                <w:color w:val="FF0000"/>
                <w:szCs w:val="24"/>
                <w:u w:val="single"/>
              </w:rPr>
              <w:t>antenna</w:t>
            </w:r>
            <w:r w:rsidRPr="009D2402">
              <w:rPr>
                <w:color w:val="FF0000"/>
                <w:szCs w:val="24"/>
                <w:u w:val="single"/>
              </w:rPr>
              <w:t>,</w:t>
            </w:r>
            <w:r w:rsidRPr="009D2402">
              <w:rPr>
                <w:szCs w:val="24"/>
              </w:rPr>
              <w:t xml:space="preserve"> conductor, cable or messenger shall be supported on or attached to the top or side surface of any guard arm except as permitted for service drops and their (vertical and lateral) runs by the provisions of Rules 84.6</w:t>
            </w:r>
            <w:r>
              <w:rPr>
                <w:szCs w:val="24"/>
              </w:rPr>
              <w:noBreakHyphen/>
            </w:r>
            <w:r w:rsidRPr="009D2402">
              <w:rPr>
                <w:szCs w:val="24"/>
              </w:rPr>
              <w:t>C and 84.8–B2c.</w:t>
            </w:r>
            <w:r>
              <w:rPr>
                <w:szCs w:val="24"/>
              </w:rPr>
              <w:t xml:space="preserve"> </w:t>
            </w:r>
          </w:p>
        </w:tc>
      </w:tr>
    </w:tbl>
    <w:p w:rsidR="006237FE" w:rsidRDefault="006237FE" w:rsidP="008C2F16">
      <w:pPr>
        <w:pStyle w:val="standard"/>
        <w:spacing w:line="240" w:lineRule="auto"/>
      </w:pPr>
    </w:p>
    <w:p w:rsidR="00045AA7" w:rsidRDefault="00045AA7">
      <w:r>
        <w:br w:type="page"/>
      </w:r>
    </w:p>
    <w:p w:rsidR="00535ADD" w:rsidRDefault="00535ADD" w:rsidP="008C2F16">
      <w:pPr>
        <w:pStyle w:val="standard"/>
        <w:spacing w:line="240" w:lineRule="auto"/>
      </w:pPr>
    </w:p>
    <w:p w:rsidR="00045AA7" w:rsidRDefault="00045AA7" w:rsidP="00214651">
      <w:pPr>
        <w:pStyle w:val="AppendixPageHeaders"/>
      </w:pPr>
      <w:bookmarkStart w:id="162" w:name="_Toc424322171"/>
      <w:bookmarkStart w:id="163" w:name="_Toc436647388"/>
      <w:r>
        <w:t>New Rule 94.3</w:t>
      </w:r>
      <w:r>
        <w:rPr>
          <w:rFonts w:cs="Helvetica"/>
        </w:rPr>
        <w:noBreakHyphen/>
      </w:r>
      <w:r>
        <w:t>D (</w:t>
      </w:r>
      <w:r w:rsidR="009D6C30">
        <w:t>Load</w:t>
      </w:r>
      <w:r>
        <w:t xml:space="preserve"> Calculation)</w:t>
      </w:r>
      <w:bookmarkEnd w:id="162"/>
      <w:bookmarkEnd w:id="163"/>
      <w:r>
        <w:t xml:space="preserve"> </w:t>
      </w:r>
    </w:p>
    <w:p w:rsidR="00045AA7" w:rsidRDefault="00045AA7" w:rsidP="008C2F16">
      <w:pPr>
        <w:pStyle w:val="standard"/>
        <w:spacing w:line="240" w:lineRule="auto"/>
      </w:pPr>
    </w:p>
    <w:p w:rsidR="00045AA7" w:rsidRDefault="00045AA7" w:rsidP="00045AA7">
      <w:pPr>
        <w:pStyle w:val="standard"/>
        <w:spacing w:before="60" w:after="180" w:line="240" w:lineRule="auto"/>
        <w:ind w:firstLine="0"/>
        <w:jc w:val="center"/>
        <w:rPr>
          <w:b/>
        </w:rPr>
      </w:pPr>
      <w:r>
        <w:rPr>
          <w:b/>
        </w:rPr>
        <w:t>Proposed Additions to GO 95 Shown with Underline</w:t>
      </w:r>
      <w:r w:rsidR="003865AE">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045AA7" w:rsidTr="00045AA7">
        <w:tc>
          <w:tcPr>
            <w:tcW w:w="5000" w:type="pct"/>
          </w:tcPr>
          <w:p w:rsidR="00045AA7" w:rsidRPr="003D013C" w:rsidRDefault="00045AA7" w:rsidP="00045AA7">
            <w:pPr>
              <w:pStyle w:val="standard"/>
              <w:spacing w:before="120" w:after="120" w:line="240" w:lineRule="auto"/>
              <w:ind w:firstLine="0"/>
              <w:rPr>
                <w:b/>
              </w:rPr>
            </w:pPr>
            <w:r w:rsidRPr="003D013C">
              <w:rPr>
                <w:b/>
              </w:rPr>
              <w:t>94.3 General Requirements</w:t>
            </w:r>
          </w:p>
          <w:p w:rsidR="00045AA7" w:rsidRPr="003D013C" w:rsidRDefault="00045AA7" w:rsidP="00045AA7">
            <w:pPr>
              <w:pStyle w:val="standard"/>
              <w:tabs>
                <w:tab w:val="left" w:pos="720"/>
              </w:tabs>
              <w:spacing w:after="120" w:line="240" w:lineRule="auto"/>
              <w:ind w:left="720" w:hanging="360"/>
              <w:rPr>
                <w:color w:val="FF0000"/>
                <w:u w:val="single"/>
              </w:rPr>
            </w:pPr>
            <w:r w:rsidRPr="003D013C">
              <w:rPr>
                <w:color w:val="FF0000"/>
                <w:u w:val="single"/>
              </w:rPr>
              <w:t>D.</w:t>
            </w:r>
            <w:r w:rsidRPr="003D013C">
              <w:rPr>
                <w:color w:val="FF0000"/>
                <w:u w:val="single"/>
              </w:rPr>
              <w:tab/>
              <w:t xml:space="preserve">Prior to the installation of antennas and associated equipment, a safety factor calculation must be performed to ensure compliance with the requirements of Rule 44, as follows: </w:t>
            </w:r>
          </w:p>
          <w:p w:rsidR="00045AA7" w:rsidRPr="003D013C" w:rsidRDefault="00045AA7" w:rsidP="00045AA7">
            <w:pPr>
              <w:pStyle w:val="standard"/>
              <w:tabs>
                <w:tab w:val="left" w:pos="1080"/>
              </w:tabs>
              <w:spacing w:after="120" w:line="240" w:lineRule="auto"/>
              <w:ind w:left="1080" w:hanging="360"/>
              <w:rPr>
                <w:color w:val="FF0000"/>
                <w:u w:val="single"/>
              </w:rPr>
            </w:pPr>
            <w:r w:rsidRPr="003D013C">
              <w:rPr>
                <w:color w:val="FF0000"/>
                <w:u w:val="single"/>
              </w:rPr>
              <w:t>(1)</w:t>
            </w:r>
            <w:r w:rsidRPr="003D013C">
              <w:rPr>
                <w:color w:val="FF0000"/>
                <w:u w:val="single"/>
              </w:rPr>
              <w:tab/>
              <w:t>The calculation must be performed using methods and/or software applications accepted as good industry practice.</w:t>
            </w:r>
          </w:p>
          <w:p w:rsidR="00045AA7" w:rsidRPr="003D013C" w:rsidRDefault="00045AA7" w:rsidP="00045AA7">
            <w:pPr>
              <w:pStyle w:val="standard"/>
              <w:tabs>
                <w:tab w:val="left" w:pos="1080"/>
              </w:tabs>
              <w:spacing w:after="120" w:line="240" w:lineRule="auto"/>
              <w:ind w:left="1080" w:hanging="360"/>
              <w:rPr>
                <w:color w:val="FF0000"/>
                <w:u w:val="single"/>
              </w:rPr>
            </w:pPr>
            <w:r w:rsidRPr="003D013C">
              <w:rPr>
                <w:color w:val="FF0000"/>
                <w:u w:val="single"/>
              </w:rPr>
              <w:t>(2)</w:t>
            </w:r>
            <w:r w:rsidRPr="003D013C">
              <w:rPr>
                <w:color w:val="FF0000"/>
                <w:u w:val="single"/>
              </w:rPr>
              <w:tab/>
              <w:t>The parameters used in the safety factor calculation shall be based on the actual specifications of the conductors and equipment on the pole and not on general assumptions and estimates.</w:t>
            </w:r>
          </w:p>
          <w:p w:rsidR="00045AA7" w:rsidRPr="003D013C" w:rsidRDefault="00045AA7" w:rsidP="00045AA7">
            <w:pPr>
              <w:pStyle w:val="standard"/>
              <w:tabs>
                <w:tab w:val="left" w:pos="1080"/>
              </w:tabs>
              <w:spacing w:after="120" w:line="240" w:lineRule="auto"/>
              <w:ind w:left="1080" w:hanging="360"/>
              <w:rPr>
                <w:color w:val="FF0000"/>
                <w:u w:val="single"/>
              </w:rPr>
            </w:pPr>
            <w:r w:rsidRPr="003D013C">
              <w:rPr>
                <w:color w:val="FF0000"/>
                <w:u w:val="single"/>
              </w:rPr>
              <w:t>(3)</w:t>
            </w:r>
            <w:r w:rsidRPr="003D013C">
              <w:rPr>
                <w:color w:val="FF0000"/>
                <w:u w:val="single"/>
              </w:rPr>
              <w:tab/>
              <w:t>The safety factor calculation shall be retained for the life of the facility.</w:t>
            </w:r>
          </w:p>
          <w:p w:rsidR="00045AA7" w:rsidRDefault="00045AA7" w:rsidP="00045AA7">
            <w:pPr>
              <w:pStyle w:val="standard"/>
              <w:tabs>
                <w:tab w:val="left" w:pos="1080"/>
              </w:tabs>
              <w:spacing w:after="120" w:line="240" w:lineRule="auto"/>
              <w:ind w:left="1080" w:hanging="360"/>
            </w:pPr>
            <w:r w:rsidRPr="003D013C">
              <w:rPr>
                <w:color w:val="FF0000"/>
                <w:u w:val="single"/>
              </w:rPr>
              <w:t>(4)</w:t>
            </w:r>
            <w:r w:rsidRPr="003D013C">
              <w:rPr>
                <w:color w:val="FF0000"/>
                <w:u w:val="single"/>
              </w:rPr>
              <w:tab/>
              <w:t>A new safety factor calculation shall be performed in accordance with Rule</w:t>
            </w:r>
            <w:r>
              <w:rPr>
                <w:color w:val="FF0000"/>
                <w:u w:val="single"/>
              </w:rPr>
              <w:t> </w:t>
            </w:r>
            <w:r w:rsidRPr="003D013C">
              <w:rPr>
                <w:color w:val="FF0000"/>
                <w:u w:val="single"/>
              </w:rPr>
              <w:t>94.3-D, sections 1, 2 and 3 each time additional facilities are installed on the pole, or the loading is altered as a result of any other condition.</w:t>
            </w:r>
          </w:p>
        </w:tc>
      </w:tr>
    </w:tbl>
    <w:p w:rsidR="00045AA7" w:rsidRDefault="00045AA7" w:rsidP="00045AA7">
      <w:pPr>
        <w:pStyle w:val="standard"/>
        <w:spacing w:line="240" w:lineRule="auto"/>
      </w:pPr>
    </w:p>
    <w:p w:rsidR="005A140D" w:rsidRDefault="005A140D" w:rsidP="00045AA7">
      <w:pPr>
        <w:pStyle w:val="standard"/>
        <w:spacing w:line="240" w:lineRule="auto"/>
      </w:pPr>
    </w:p>
    <w:p w:rsidR="005A140D" w:rsidRDefault="005A140D" w:rsidP="00045AA7">
      <w:pPr>
        <w:pStyle w:val="standard"/>
        <w:spacing w:line="240" w:lineRule="auto"/>
      </w:pPr>
    </w:p>
    <w:p w:rsidR="00230807" w:rsidRDefault="00230807" w:rsidP="00214651">
      <w:pPr>
        <w:pStyle w:val="AppendixPageHeaders"/>
      </w:pPr>
      <w:bookmarkStart w:id="164" w:name="_Toc436647389"/>
      <w:r>
        <w:t>Revised Rule 94.5</w:t>
      </w:r>
      <w:r w:rsidR="006526B9">
        <w:t>-A</w:t>
      </w:r>
      <w:r>
        <w:t xml:space="preserve"> (Marking)</w:t>
      </w:r>
      <w:bookmarkEnd w:id="164"/>
      <w:r>
        <w:t xml:space="preserve"> </w:t>
      </w:r>
    </w:p>
    <w:p w:rsidR="00230807" w:rsidRDefault="00230807" w:rsidP="00230807">
      <w:pPr>
        <w:pStyle w:val="standard"/>
        <w:spacing w:line="240" w:lineRule="auto"/>
      </w:pPr>
    </w:p>
    <w:p w:rsidR="00230807" w:rsidRDefault="00230807" w:rsidP="00230807">
      <w:pPr>
        <w:pStyle w:val="standard"/>
        <w:spacing w:before="60" w:after="180" w:line="240" w:lineRule="auto"/>
        <w:ind w:firstLine="0"/>
        <w:jc w:val="center"/>
        <w:rPr>
          <w:b/>
        </w:rPr>
      </w:pPr>
      <w:r>
        <w:rPr>
          <w:b/>
        </w:rPr>
        <w:t xml:space="preserve">Proposed </w:t>
      </w:r>
      <w:r w:rsidR="006526B9">
        <w:rPr>
          <w:b/>
        </w:rPr>
        <w:t xml:space="preserve">Revisions </w:t>
      </w:r>
      <w:r>
        <w:rPr>
          <w:b/>
        </w:rPr>
        <w:t>to GO 95 Shown with Str</w:t>
      </w:r>
      <w:r w:rsidR="006526B9">
        <w:rPr>
          <w:b/>
        </w:rPr>
        <w:t>ikeout and Underline</w:t>
      </w:r>
      <w:r w:rsidR="003865AE">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230807" w:rsidTr="007F55F6">
        <w:tc>
          <w:tcPr>
            <w:tcW w:w="5000" w:type="pct"/>
          </w:tcPr>
          <w:p w:rsidR="00230807" w:rsidRPr="003D013C" w:rsidRDefault="00230807" w:rsidP="007F55F6">
            <w:pPr>
              <w:pStyle w:val="standard"/>
              <w:spacing w:before="120" w:after="120" w:line="240" w:lineRule="auto"/>
              <w:ind w:firstLine="0"/>
              <w:rPr>
                <w:b/>
              </w:rPr>
            </w:pPr>
            <w:r w:rsidRPr="003D013C">
              <w:rPr>
                <w:b/>
              </w:rPr>
              <w:t>94.</w:t>
            </w:r>
            <w:r w:rsidR="006526B9">
              <w:rPr>
                <w:b/>
              </w:rPr>
              <w:t>5</w:t>
            </w:r>
            <w:r w:rsidRPr="003D013C">
              <w:rPr>
                <w:b/>
              </w:rPr>
              <w:t xml:space="preserve"> </w:t>
            </w:r>
            <w:r w:rsidR="006526B9">
              <w:rPr>
                <w:b/>
              </w:rPr>
              <w:t xml:space="preserve">Marking </w:t>
            </w:r>
          </w:p>
          <w:p w:rsidR="00230807" w:rsidRPr="005A140D" w:rsidRDefault="006526B9" w:rsidP="005A140D">
            <w:pPr>
              <w:pStyle w:val="standard"/>
              <w:tabs>
                <w:tab w:val="left" w:pos="720"/>
              </w:tabs>
              <w:spacing w:after="120" w:line="240" w:lineRule="auto"/>
              <w:ind w:left="720" w:hanging="360"/>
              <w:rPr>
                <w:color w:val="FF0000"/>
              </w:rPr>
            </w:pPr>
            <w:r w:rsidRPr="007B22C7">
              <w:rPr>
                <w:color w:val="FF0000"/>
              </w:rPr>
              <w:t>A.</w:t>
            </w:r>
            <w:r w:rsidRPr="007B22C7">
              <w:rPr>
                <w:color w:val="FF0000"/>
              </w:rPr>
              <w:tab/>
            </w:r>
            <w:r w:rsidRPr="007B22C7">
              <w:rPr>
                <w:strike/>
                <w:color w:val="FF0000"/>
              </w:rPr>
              <w:t xml:space="preserve">No antenna owner or operator shall install an antenna on a joint use pole unless such </w:t>
            </w:r>
            <w:r w:rsidRPr="0078735C">
              <w:rPr>
                <w:strike/>
                <w:color w:val="FF0000"/>
              </w:rPr>
              <w:t>installation</w:t>
            </w:r>
            <w:r w:rsidRPr="007B22C7">
              <w:rPr>
                <w:strike/>
                <w:color w:val="FF0000"/>
              </w:rPr>
              <w:t xml:space="preserve"> is subject to an agreement with the pole owner(s) that includes marking requirements that are substantially similar to and achieve at least the same safety standards as those set forth in</w:t>
            </w:r>
            <w:r w:rsidRPr="007B22C7">
              <w:rPr>
                <w:color w:val="FF0000"/>
              </w:rPr>
              <w:t xml:space="preserve"> </w:t>
            </w:r>
            <w:r w:rsidRPr="007B22C7">
              <w:rPr>
                <w:color w:val="FF0000"/>
                <w:u w:val="single"/>
              </w:rPr>
              <w:t>Antennas shall be marked in accordance with Appendix H., including Exhibit</w:t>
            </w:r>
            <w:r w:rsidR="0078735C">
              <w:rPr>
                <w:color w:val="FF0000"/>
                <w:u w:val="single"/>
              </w:rPr>
              <w:t> </w:t>
            </w:r>
            <w:r w:rsidRPr="007B22C7">
              <w:rPr>
                <w:color w:val="FF0000"/>
                <w:u w:val="single"/>
              </w:rPr>
              <w:t>A, to GO</w:t>
            </w:r>
            <w:r w:rsidR="0078735C">
              <w:rPr>
                <w:color w:val="FF0000"/>
                <w:u w:val="single"/>
              </w:rPr>
              <w:t> </w:t>
            </w:r>
            <w:r w:rsidRPr="007B22C7">
              <w:rPr>
                <w:color w:val="FF0000"/>
                <w:u w:val="single"/>
              </w:rPr>
              <w:t>95</w:t>
            </w:r>
            <w:r w:rsidRPr="007B22C7">
              <w:rPr>
                <w:color w:val="FF0000"/>
              </w:rPr>
              <w:t xml:space="preserve">. </w:t>
            </w:r>
            <w:r>
              <w:t xml:space="preserve"> </w:t>
            </w:r>
          </w:p>
        </w:tc>
      </w:tr>
    </w:tbl>
    <w:p w:rsidR="005A140D" w:rsidRDefault="005A140D">
      <w:r>
        <w:br w:type="page"/>
      </w:r>
    </w:p>
    <w:p w:rsidR="00230807" w:rsidRDefault="00230807" w:rsidP="00230807">
      <w:pPr>
        <w:pStyle w:val="standard"/>
        <w:spacing w:line="240" w:lineRule="auto"/>
      </w:pPr>
    </w:p>
    <w:p w:rsidR="00D116A9" w:rsidRDefault="00D116A9" w:rsidP="00214651">
      <w:pPr>
        <w:pStyle w:val="AppendixPageHeaders"/>
      </w:pPr>
      <w:bookmarkStart w:id="165" w:name="_Toc436647390"/>
      <w:r>
        <w:t xml:space="preserve">New Rule 94.6-C (Fall-Protection </w:t>
      </w:r>
      <w:r w:rsidR="003B0769">
        <w:t>Gear</w:t>
      </w:r>
      <w:r>
        <w:t>)</w:t>
      </w:r>
      <w:bookmarkEnd w:id="165"/>
      <w:r>
        <w:t xml:space="preserve"> </w:t>
      </w:r>
    </w:p>
    <w:p w:rsidR="00D116A9" w:rsidRDefault="00D116A9" w:rsidP="00D116A9">
      <w:pPr>
        <w:pStyle w:val="standard"/>
        <w:spacing w:line="240" w:lineRule="auto"/>
      </w:pPr>
    </w:p>
    <w:p w:rsidR="00D116A9" w:rsidRDefault="00D116A9" w:rsidP="006018ED">
      <w:pPr>
        <w:pStyle w:val="standard"/>
        <w:spacing w:after="180" w:line="240" w:lineRule="auto"/>
        <w:ind w:firstLine="0"/>
        <w:jc w:val="center"/>
        <w:rPr>
          <w:b/>
        </w:rPr>
      </w:pPr>
      <w:r>
        <w:rPr>
          <w:b/>
        </w:rPr>
        <w:t xml:space="preserve">Proposed </w:t>
      </w:r>
      <w:r w:rsidR="00A52E50">
        <w:rPr>
          <w:b/>
        </w:rPr>
        <w:t>Additions</w:t>
      </w:r>
      <w:r>
        <w:rPr>
          <w:b/>
        </w:rPr>
        <w:t xml:space="preserve"> </w:t>
      </w:r>
      <w:r w:rsidR="00A52E50">
        <w:rPr>
          <w:b/>
        </w:rPr>
        <w:t>t</w:t>
      </w:r>
      <w:r>
        <w:rPr>
          <w:b/>
        </w:rPr>
        <w:t>o GO 95 Shown with Underline</w:t>
      </w:r>
      <w:r w:rsidR="006018ED">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D116A9" w:rsidTr="00B629C4">
        <w:tc>
          <w:tcPr>
            <w:tcW w:w="5000" w:type="pct"/>
          </w:tcPr>
          <w:p w:rsidR="00D116A9" w:rsidRPr="003D013C" w:rsidRDefault="00D116A9" w:rsidP="00B629C4">
            <w:pPr>
              <w:pStyle w:val="standard"/>
              <w:spacing w:before="120" w:after="120" w:line="240" w:lineRule="auto"/>
              <w:ind w:firstLine="0"/>
              <w:rPr>
                <w:b/>
              </w:rPr>
            </w:pPr>
            <w:r w:rsidRPr="003D013C">
              <w:rPr>
                <w:b/>
              </w:rPr>
              <w:t>94.</w:t>
            </w:r>
            <w:r>
              <w:rPr>
                <w:b/>
              </w:rPr>
              <w:t>6</w:t>
            </w:r>
            <w:r w:rsidRPr="003D013C">
              <w:rPr>
                <w:b/>
              </w:rPr>
              <w:t xml:space="preserve"> </w:t>
            </w:r>
            <w:r>
              <w:rPr>
                <w:b/>
              </w:rPr>
              <w:t xml:space="preserve">Climbing Space </w:t>
            </w:r>
          </w:p>
          <w:p w:rsidR="00451E8D" w:rsidRDefault="00451E8D" w:rsidP="00B629C4">
            <w:pPr>
              <w:pStyle w:val="standard"/>
              <w:tabs>
                <w:tab w:val="left" w:pos="360"/>
              </w:tabs>
              <w:spacing w:after="120" w:line="240" w:lineRule="auto"/>
              <w:ind w:left="360" w:hanging="360"/>
              <w:rPr>
                <w:szCs w:val="24"/>
              </w:rPr>
            </w:pPr>
            <w:r>
              <w:rPr>
                <w:szCs w:val="24"/>
              </w:rPr>
              <w:t xml:space="preserve">(No Changes to Parts </w:t>
            </w:r>
            <w:r w:rsidR="00B629C4" w:rsidRPr="0076634D">
              <w:rPr>
                <w:szCs w:val="24"/>
              </w:rPr>
              <w:t>A</w:t>
            </w:r>
            <w:r>
              <w:rPr>
                <w:szCs w:val="24"/>
              </w:rPr>
              <w:t xml:space="preserve"> and B</w:t>
            </w:r>
            <w:r w:rsidR="00B629C4" w:rsidRPr="0076634D">
              <w:rPr>
                <w:szCs w:val="24"/>
              </w:rPr>
              <w:t>.</w:t>
            </w:r>
            <w:r>
              <w:rPr>
                <w:szCs w:val="24"/>
              </w:rPr>
              <w:t>)</w:t>
            </w:r>
          </w:p>
          <w:p w:rsidR="00B629C4" w:rsidRPr="00B629C4" w:rsidRDefault="00B629C4" w:rsidP="00B629C4">
            <w:pPr>
              <w:pStyle w:val="standard"/>
              <w:tabs>
                <w:tab w:val="left" w:pos="720"/>
              </w:tabs>
              <w:spacing w:after="120" w:line="240" w:lineRule="auto"/>
              <w:ind w:firstLine="0"/>
              <w:rPr>
                <w:b/>
                <w:u w:val="single"/>
              </w:rPr>
            </w:pPr>
            <w:r w:rsidRPr="00B629C4">
              <w:rPr>
                <w:b/>
                <w:u w:val="single"/>
              </w:rPr>
              <w:t>Electric IOUs’ Proposed Rule 94.6-C</w:t>
            </w:r>
          </w:p>
          <w:p w:rsidR="00B629C4" w:rsidRPr="0081536E" w:rsidRDefault="00B629C4" w:rsidP="00A52E50">
            <w:pPr>
              <w:pStyle w:val="standard"/>
              <w:tabs>
                <w:tab w:val="left" w:pos="360"/>
              </w:tabs>
              <w:spacing w:after="240" w:line="240" w:lineRule="auto"/>
              <w:ind w:left="360" w:hanging="360"/>
              <w:rPr>
                <w:color w:val="FF0000"/>
                <w:szCs w:val="24"/>
                <w:u w:val="single"/>
              </w:rPr>
            </w:pPr>
            <w:r w:rsidRPr="0081536E">
              <w:rPr>
                <w:color w:val="FF0000"/>
                <w:szCs w:val="24"/>
                <w:u w:val="single"/>
              </w:rPr>
              <w:t>C.</w:t>
            </w:r>
            <w:r w:rsidRPr="0081536E">
              <w:rPr>
                <w:color w:val="FF0000"/>
                <w:szCs w:val="24"/>
                <w:u w:val="single"/>
              </w:rPr>
              <w:tab/>
              <w:t>Unnecessary impairment of the climbing space or interference with fall restraint and fall protection equipment is not permitted by the application of Rule 54.7 or Rule 84.7.</w:t>
            </w:r>
          </w:p>
          <w:p w:rsidR="00A52E50" w:rsidRPr="00B629C4" w:rsidRDefault="00451E8D" w:rsidP="00A52E50">
            <w:pPr>
              <w:pStyle w:val="standard"/>
              <w:keepNext/>
              <w:tabs>
                <w:tab w:val="left" w:pos="720"/>
              </w:tabs>
              <w:spacing w:after="120" w:line="240" w:lineRule="auto"/>
              <w:ind w:firstLine="0"/>
              <w:rPr>
                <w:b/>
                <w:u w:val="single"/>
              </w:rPr>
            </w:pPr>
            <w:r>
              <w:rPr>
                <w:b/>
                <w:u w:val="single"/>
              </w:rPr>
              <w:t xml:space="preserve">AT&amp;T Mobility and CTIA’s </w:t>
            </w:r>
            <w:r w:rsidR="00A52E50" w:rsidRPr="00B629C4">
              <w:rPr>
                <w:b/>
                <w:u w:val="single"/>
              </w:rPr>
              <w:t>Proposed Rule 94.6-C</w:t>
            </w:r>
          </w:p>
          <w:p w:rsidR="00A52E50" w:rsidRPr="00020452" w:rsidRDefault="00A52E50" w:rsidP="00A52E50">
            <w:pPr>
              <w:pStyle w:val="standard"/>
              <w:tabs>
                <w:tab w:val="left" w:pos="360"/>
              </w:tabs>
              <w:spacing w:after="120" w:line="240" w:lineRule="auto"/>
              <w:ind w:left="360" w:hanging="360"/>
              <w:rPr>
                <w:color w:val="FF0000"/>
                <w:szCs w:val="24"/>
                <w:u w:val="single"/>
              </w:rPr>
            </w:pPr>
            <w:r w:rsidRPr="00020452">
              <w:rPr>
                <w:color w:val="FF0000"/>
                <w:szCs w:val="24"/>
                <w:u w:val="single"/>
              </w:rPr>
              <w:t>C.</w:t>
            </w:r>
            <w:r w:rsidRPr="00020452">
              <w:rPr>
                <w:color w:val="FF0000"/>
                <w:szCs w:val="24"/>
                <w:u w:val="single"/>
              </w:rPr>
              <w:tab/>
              <w:t>This Rule is not intended to authorize unnecessary interference with fall restraint and fall protection equipment.  Examples of obstructions that shall not be considered to interfere with fall restraint and fall protection equipment include, but are not limited to, the following:</w:t>
            </w:r>
          </w:p>
          <w:p w:rsidR="00A52E50" w:rsidRPr="00020452" w:rsidRDefault="00A52E50" w:rsidP="00A52E50">
            <w:pPr>
              <w:pStyle w:val="standard"/>
              <w:tabs>
                <w:tab w:val="left" w:pos="900"/>
              </w:tabs>
              <w:spacing w:after="120" w:line="240" w:lineRule="auto"/>
              <w:ind w:left="900" w:hanging="540"/>
              <w:rPr>
                <w:color w:val="FF0000"/>
                <w:szCs w:val="24"/>
                <w:u w:val="single"/>
              </w:rPr>
            </w:pPr>
            <w:r w:rsidRPr="00020452">
              <w:rPr>
                <w:color w:val="FF0000"/>
                <w:szCs w:val="24"/>
                <w:u w:val="single"/>
              </w:rPr>
              <w:t xml:space="preserve">(1) </w:t>
            </w:r>
            <w:r w:rsidRPr="00020452">
              <w:rPr>
                <w:color w:val="FF0000"/>
                <w:szCs w:val="24"/>
                <w:u w:val="single"/>
              </w:rPr>
              <w:tab/>
              <w:t>Surface-mounted equipment that occupies no more than 18 inches of vertical space;</w:t>
            </w:r>
          </w:p>
          <w:p w:rsidR="00A52E50" w:rsidRPr="00020452" w:rsidRDefault="00A52E50" w:rsidP="00A52E50">
            <w:pPr>
              <w:pStyle w:val="standard"/>
              <w:tabs>
                <w:tab w:val="left" w:pos="900"/>
              </w:tabs>
              <w:spacing w:after="120" w:line="240" w:lineRule="auto"/>
              <w:ind w:left="900" w:hanging="540"/>
              <w:rPr>
                <w:color w:val="FF0000"/>
                <w:szCs w:val="24"/>
                <w:u w:val="single"/>
              </w:rPr>
            </w:pPr>
            <w:r w:rsidRPr="00020452">
              <w:rPr>
                <w:color w:val="FF0000"/>
                <w:szCs w:val="24"/>
                <w:u w:val="single"/>
              </w:rPr>
              <w:t xml:space="preserve">(2)  </w:t>
            </w:r>
            <w:r w:rsidRPr="00020452">
              <w:rPr>
                <w:color w:val="FF0000"/>
                <w:szCs w:val="24"/>
                <w:u w:val="single"/>
              </w:rPr>
              <w:tab/>
              <w:t>Equipment stood off from the pole to maintain a minimum of 4 inches of clear space between the equipment and the pole;</w:t>
            </w:r>
          </w:p>
          <w:p w:rsidR="00A52E50" w:rsidRPr="00020452" w:rsidRDefault="00A52E50" w:rsidP="00A52E50">
            <w:pPr>
              <w:pStyle w:val="standard"/>
              <w:tabs>
                <w:tab w:val="left" w:pos="900"/>
              </w:tabs>
              <w:spacing w:after="120" w:line="240" w:lineRule="auto"/>
              <w:ind w:left="900" w:hanging="540"/>
              <w:rPr>
                <w:color w:val="FF0000"/>
                <w:szCs w:val="24"/>
                <w:u w:val="single"/>
              </w:rPr>
            </w:pPr>
            <w:r w:rsidRPr="00020452">
              <w:rPr>
                <w:color w:val="FF0000"/>
                <w:szCs w:val="24"/>
                <w:u w:val="single"/>
              </w:rPr>
              <w:t xml:space="preserve">(3)  </w:t>
            </w:r>
            <w:r w:rsidRPr="00020452">
              <w:rPr>
                <w:color w:val="FF0000"/>
                <w:szCs w:val="24"/>
                <w:u w:val="single"/>
              </w:rPr>
              <w:tab/>
              <w:t>Appropriately designed and installed surface-mounted risers;</w:t>
            </w:r>
          </w:p>
          <w:p w:rsidR="00A52E50" w:rsidRPr="001F3E49" w:rsidRDefault="00A52E50" w:rsidP="00A52E50">
            <w:pPr>
              <w:pStyle w:val="standard"/>
              <w:tabs>
                <w:tab w:val="left" w:pos="900"/>
              </w:tabs>
              <w:spacing w:after="240" w:line="240" w:lineRule="auto"/>
              <w:ind w:left="907" w:hanging="547"/>
              <w:rPr>
                <w:szCs w:val="24"/>
              </w:rPr>
            </w:pPr>
            <w:r w:rsidRPr="00020452">
              <w:rPr>
                <w:color w:val="FF0000"/>
                <w:szCs w:val="24"/>
                <w:u w:val="single"/>
              </w:rPr>
              <w:t xml:space="preserve">(4)  </w:t>
            </w:r>
            <w:r w:rsidRPr="00020452">
              <w:rPr>
                <w:color w:val="FF0000"/>
                <w:szCs w:val="24"/>
                <w:u w:val="single"/>
              </w:rPr>
              <w:tab/>
              <w:t>Obstructions detailed in Rules 54.7-A2c(3) and 84.7-A(5).</w:t>
            </w:r>
            <w:r w:rsidRPr="001F3E49">
              <w:rPr>
                <w:szCs w:val="24"/>
              </w:rPr>
              <w:t xml:space="preserve">  </w:t>
            </w:r>
          </w:p>
          <w:p w:rsidR="00A52E50" w:rsidRPr="00B629C4" w:rsidRDefault="00A52E50" w:rsidP="00A52E50">
            <w:pPr>
              <w:pStyle w:val="standard"/>
              <w:tabs>
                <w:tab w:val="left" w:pos="720"/>
              </w:tabs>
              <w:spacing w:after="120" w:line="240" w:lineRule="auto"/>
              <w:ind w:firstLine="0"/>
              <w:rPr>
                <w:b/>
                <w:u w:val="single"/>
              </w:rPr>
            </w:pPr>
            <w:r>
              <w:rPr>
                <w:b/>
                <w:u w:val="single"/>
              </w:rPr>
              <w:t xml:space="preserve">SED’s </w:t>
            </w:r>
            <w:r w:rsidRPr="00B629C4">
              <w:rPr>
                <w:b/>
                <w:u w:val="single"/>
              </w:rPr>
              <w:t>Proposed Rule 94.6-C</w:t>
            </w:r>
          </w:p>
          <w:p w:rsidR="00A52E50" w:rsidRPr="00007871" w:rsidRDefault="00A52E50" w:rsidP="00A52E50">
            <w:pPr>
              <w:pStyle w:val="standard"/>
              <w:tabs>
                <w:tab w:val="left" w:pos="360"/>
              </w:tabs>
              <w:spacing w:after="120" w:line="240" w:lineRule="auto"/>
              <w:ind w:left="360" w:hanging="360"/>
              <w:rPr>
                <w:color w:val="FF0000"/>
                <w:szCs w:val="24"/>
                <w:u w:val="single"/>
              </w:rPr>
            </w:pPr>
            <w:r w:rsidRPr="00007871">
              <w:rPr>
                <w:color w:val="FF0000"/>
                <w:szCs w:val="24"/>
                <w:u w:val="single"/>
              </w:rPr>
              <w:t xml:space="preserve">C. </w:t>
            </w:r>
            <w:r w:rsidRPr="00007871">
              <w:rPr>
                <w:color w:val="FF0000"/>
                <w:szCs w:val="24"/>
                <w:u w:val="single"/>
              </w:rPr>
              <w:tab/>
              <w:t>Interference with fall restraint and fall protection equipment is not permitted by the application of Rule 54.7 or Rule 84.7.</w:t>
            </w:r>
          </w:p>
          <w:p w:rsidR="00D116A9" w:rsidRDefault="00D116A9" w:rsidP="00B629C4">
            <w:pPr>
              <w:pStyle w:val="standard"/>
              <w:tabs>
                <w:tab w:val="left" w:pos="1080"/>
              </w:tabs>
              <w:spacing w:after="120" w:line="240" w:lineRule="auto"/>
              <w:ind w:left="1080" w:hanging="360"/>
            </w:pPr>
          </w:p>
        </w:tc>
      </w:tr>
    </w:tbl>
    <w:p w:rsidR="00D116A9" w:rsidRDefault="00D116A9" w:rsidP="00D116A9">
      <w:pPr>
        <w:pStyle w:val="standard"/>
        <w:spacing w:line="240" w:lineRule="auto"/>
      </w:pPr>
    </w:p>
    <w:p w:rsidR="00230807" w:rsidRDefault="00230807" w:rsidP="008C2F16">
      <w:pPr>
        <w:pStyle w:val="standard"/>
        <w:spacing w:line="240" w:lineRule="auto"/>
      </w:pPr>
    </w:p>
    <w:p w:rsidR="00451E8D" w:rsidRDefault="00451E8D">
      <w:r>
        <w:br w:type="page"/>
      </w:r>
    </w:p>
    <w:p w:rsidR="006018ED" w:rsidRDefault="006018ED" w:rsidP="008C2F16">
      <w:pPr>
        <w:pStyle w:val="standard"/>
        <w:spacing w:line="240" w:lineRule="auto"/>
      </w:pPr>
    </w:p>
    <w:p w:rsidR="006018ED" w:rsidRDefault="006018ED" w:rsidP="00214651">
      <w:pPr>
        <w:pStyle w:val="AppendixPageHeaders"/>
      </w:pPr>
      <w:bookmarkStart w:id="166" w:name="_Toc436647391"/>
      <w:r>
        <w:t>Revised Rule 94.9 (De-Energizing Protocols)</w:t>
      </w:r>
      <w:bookmarkEnd w:id="166"/>
      <w:r>
        <w:t xml:space="preserve"> </w:t>
      </w:r>
    </w:p>
    <w:p w:rsidR="006018ED" w:rsidRDefault="006018ED" w:rsidP="006018ED">
      <w:pPr>
        <w:pStyle w:val="standard"/>
        <w:spacing w:line="240" w:lineRule="auto"/>
      </w:pPr>
    </w:p>
    <w:p w:rsidR="006018ED" w:rsidRDefault="006018ED" w:rsidP="006018ED">
      <w:pPr>
        <w:pStyle w:val="standard"/>
        <w:spacing w:after="180" w:line="240" w:lineRule="auto"/>
        <w:ind w:firstLine="0"/>
        <w:jc w:val="center"/>
        <w:rPr>
          <w:b/>
        </w:rPr>
      </w:pPr>
      <w:r>
        <w:rPr>
          <w:b/>
        </w:rPr>
        <w:t xml:space="preserve">Proposed </w:t>
      </w:r>
      <w:r w:rsidR="00BC6BFD">
        <w:rPr>
          <w:b/>
        </w:rPr>
        <w:t>Revisions</w:t>
      </w:r>
      <w:r>
        <w:rPr>
          <w:b/>
        </w:rPr>
        <w:t xml:space="preserve"> to GO 95 Shown with Strikeout and Underline.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6018ED" w:rsidTr="009F7CC4">
        <w:tc>
          <w:tcPr>
            <w:tcW w:w="5000" w:type="pct"/>
          </w:tcPr>
          <w:p w:rsidR="006018ED" w:rsidRPr="003D013C" w:rsidRDefault="006018ED" w:rsidP="009F7CC4">
            <w:pPr>
              <w:pStyle w:val="standard"/>
              <w:spacing w:before="120" w:after="120" w:line="240" w:lineRule="auto"/>
              <w:ind w:firstLine="0"/>
              <w:rPr>
                <w:b/>
              </w:rPr>
            </w:pPr>
            <w:r w:rsidRPr="003D013C">
              <w:rPr>
                <w:b/>
              </w:rPr>
              <w:t>94.</w:t>
            </w:r>
            <w:r>
              <w:rPr>
                <w:b/>
              </w:rPr>
              <w:t>9</w:t>
            </w:r>
            <w:r w:rsidRPr="003D013C">
              <w:rPr>
                <w:b/>
              </w:rPr>
              <w:t xml:space="preserve"> </w:t>
            </w:r>
            <w:r>
              <w:rPr>
                <w:b/>
              </w:rPr>
              <w:t xml:space="preserve">De-Energizing </w:t>
            </w:r>
          </w:p>
          <w:p w:rsidR="006018ED" w:rsidRPr="00697322" w:rsidRDefault="006018ED" w:rsidP="006018ED">
            <w:pPr>
              <w:pStyle w:val="Default"/>
              <w:rPr>
                <w:rFonts w:ascii="Palatino" w:hAnsi="Palatino"/>
                <w:color w:val="FF0000"/>
                <w:sz w:val="26"/>
                <w:szCs w:val="20"/>
                <w:u w:val="single"/>
              </w:rPr>
            </w:pPr>
            <w:r w:rsidRPr="00697322">
              <w:rPr>
                <w:rFonts w:ascii="Palatino" w:hAnsi="Palatino"/>
                <w:strike/>
                <w:color w:val="FF0000"/>
                <w:sz w:val="26"/>
                <w:szCs w:val="20"/>
                <w:u w:val="single"/>
              </w:rPr>
              <w:t>No antenna owner or operator shall install an antenna on a joint use pole unless such installation is subject to an agreement with the pole owner(s) that includes de-energizing protocols that are</w:t>
            </w:r>
            <w:r w:rsidRPr="0032304A">
              <w:rPr>
                <w:strike/>
                <w:color w:val="FF0000"/>
              </w:rPr>
              <w:t xml:space="preserve"> </w:t>
            </w:r>
            <w:r w:rsidRPr="00697322">
              <w:rPr>
                <w:rFonts w:ascii="Palatino" w:hAnsi="Palatino"/>
                <w:strike/>
                <w:color w:val="FF0000"/>
                <w:sz w:val="26"/>
                <w:szCs w:val="20"/>
                <w:u w:val="single"/>
              </w:rPr>
              <w:t xml:space="preserve">substantially similar to and achieve at least the same safety standards as those set forth in </w:t>
            </w:r>
            <w:r w:rsidRPr="00697322">
              <w:rPr>
                <w:rFonts w:ascii="Palatino" w:hAnsi="Palatino"/>
                <w:color w:val="FF0000"/>
                <w:sz w:val="26"/>
                <w:szCs w:val="20"/>
                <w:u w:val="single"/>
              </w:rPr>
              <w:t>The de</w:t>
            </w:r>
            <w:r w:rsidRPr="00697322">
              <w:rPr>
                <w:rFonts w:ascii="Palatino" w:hAnsi="Palatino"/>
                <w:color w:val="FF0000"/>
                <w:sz w:val="26"/>
                <w:szCs w:val="20"/>
                <w:u w:val="single"/>
              </w:rPr>
              <w:noBreakHyphen/>
              <w:t>energizing protocols in</w:t>
            </w:r>
            <w:r w:rsidRPr="0032304A">
              <w:rPr>
                <w:iCs/>
                <w:color w:val="FF0000"/>
              </w:rPr>
              <w:t xml:space="preserve"> </w:t>
            </w:r>
            <w:r w:rsidRPr="0095229D">
              <w:rPr>
                <w:rFonts w:ascii="Palatino" w:hAnsi="Palatino"/>
                <w:color w:val="auto"/>
                <w:sz w:val="26"/>
                <w:szCs w:val="20"/>
              </w:rPr>
              <w:t>Appendix</w:t>
            </w:r>
            <w:r w:rsidR="0095229D">
              <w:rPr>
                <w:rFonts w:ascii="Palatino" w:hAnsi="Palatino"/>
                <w:color w:val="auto"/>
                <w:sz w:val="26"/>
                <w:szCs w:val="20"/>
              </w:rPr>
              <w:t> </w:t>
            </w:r>
            <w:r w:rsidRPr="0095229D">
              <w:rPr>
                <w:rFonts w:ascii="Palatino" w:hAnsi="Palatino"/>
                <w:color w:val="auto"/>
                <w:sz w:val="26"/>
                <w:szCs w:val="20"/>
              </w:rPr>
              <w:t>H</w:t>
            </w:r>
            <w:r w:rsidRPr="0095229D">
              <w:rPr>
                <w:rFonts w:ascii="Book Antiqua" w:hAnsi="Book Antiqua"/>
                <w:strike/>
                <w:color w:val="FF0000"/>
                <w:sz w:val="26"/>
                <w:szCs w:val="20"/>
                <w:u w:val="single"/>
              </w:rPr>
              <w:t>.</w:t>
            </w:r>
            <w:r w:rsidRPr="0095229D">
              <w:rPr>
                <w:rFonts w:ascii="Book Antiqua" w:hAnsi="Book Antiqua"/>
                <w:color w:val="FF0000"/>
                <w:sz w:val="26"/>
                <w:szCs w:val="20"/>
                <w:u w:val="single"/>
              </w:rPr>
              <w:t>,</w:t>
            </w:r>
            <w:r w:rsidRPr="00697322">
              <w:rPr>
                <w:rFonts w:ascii="Palatino" w:hAnsi="Palatino"/>
                <w:color w:val="FF0000"/>
                <w:sz w:val="26"/>
                <w:szCs w:val="20"/>
                <w:u w:val="single"/>
              </w:rPr>
              <w:t xml:space="preserve"> Exhibits B and C, to GO 95 shall be followed by antenna owners for routine and emergency working conditions respectively.</w:t>
            </w:r>
          </w:p>
          <w:p w:rsidR="006018ED" w:rsidRDefault="006018ED" w:rsidP="006018ED">
            <w:pPr>
              <w:pStyle w:val="standard"/>
              <w:tabs>
                <w:tab w:val="left" w:pos="360"/>
              </w:tabs>
              <w:spacing w:after="120" w:line="240" w:lineRule="auto"/>
              <w:ind w:left="360" w:hanging="360"/>
            </w:pPr>
          </w:p>
        </w:tc>
      </w:tr>
    </w:tbl>
    <w:p w:rsidR="006018ED" w:rsidRDefault="006018ED" w:rsidP="006018ED">
      <w:pPr>
        <w:pStyle w:val="standard"/>
        <w:spacing w:line="240" w:lineRule="auto"/>
      </w:pPr>
    </w:p>
    <w:p w:rsidR="00451E8D" w:rsidRDefault="00451E8D" w:rsidP="006018ED">
      <w:pPr>
        <w:pStyle w:val="standard"/>
        <w:spacing w:line="240" w:lineRule="auto"/>
      </w:pPr>
    </w:p>
    <w:p w:rsidR="007B4ECF" w:rsidRDefault="007B4ECF" w:rsidP="00214651">
      <w:pPr>
        <w:pStyle w:val="AppendixPageHeaders"/>
      </w:pPr>
      <w:bookmarkStart w:id="167" w:name="_Toc436647392"/>
      <w:r>
        <w:t>New Rule 94.10 (Pad Mounting)</w:t>
      </w:r>
      <w:bookmarkEnd w:id="167"/>
      <w:r>
        <w:t xml:space="preserve"> </w:t>
      </w:r>
    </w:p>
    <w:p w:rsidR="007B4ECF" w:rsidRDefault="007B4ECF" w:rsidP="007B4ECF">
      <w:pPr>
        <w:pStyle w:val="standard"/>
        <w:spacing w:after="180" w:line="240" w:lineRule="auto"/>
        <w:ind w:firstLine="0"/>
        <w:jc w:val="center"/>
        <w:rPr>
          <w:b/>
        </w:rPr>
      </w:pPr>
      <w:r>
        <w:rPr>
          <w:b/>
        </w:rPr>
        <w:t>Proposed Additions to GO 95 Shown with Underline.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7B4ECF" w:rsidTr="007B4ECF">
        <w:tc>
          <w:tcPr>
            <w:tcW w:w="5000" w:type="pct"/>
          </w:tcPr>
          <w:p w:rsidR="007B4ECF" w:rsidRPr="007B4ECF" w:rsidRDefault="007B4ECF" w:rsidP="007B4ECF">
            <w:pPr>
              <w:pStyle w:val="standard"/>
              <w:spacing w:before="120" w:after="120" w:line="240" w:lineRule="auto"/>
              <w:ind w:firstLine="0"/>
              <w:rPr>
                <w:b/>
                <w:u w:val="single"/>
              </w:rPr>
            </w:pPr>
            <w:r w:rsidRPr="007B4ECF">
              <w:rPr>
                <w:b/>
                <w:color w:val="FF0000"/>
                <w:u w:val="single"/>
              </w:rPr>
              <w:t xml:space="preserve">94.10 De-Energizing </w:t>
            </w:r>
          </w:p>
          <w:p w:rsidR="007B4ECF" w:rsidRDefault="007B4ECF" w:rsidP="007B4ECF">
            <w:pPr>
              <w:pStyle w:val="standard"/>
              <w:spacing w:after="240" w:line="240" w:lineRule="auto"/>
              <w:ind w:firstLine="0"/>
            </w:pPr>
            <w:r w:rsidRPr="00F03567">
              <w:rPr>
                <w:color w:val="FF0000"/>
                <w:szCs w:val="24"/>
                <w:u w:val="single"/>
              </w:rPr>
              <w:t>Without good cause, any equipment that is associated with an antenna that increases loading on a pole shall be installed in a pad-mounted structure.</w:t>
            </w:r>
            <w:r>
              <w:rPr>
                <w:color w:val="FF0000"/>
                <w:szCs w:val="24"/>
                <w:u w:val="single"/>
              </w:rPr>
              <w:t xml:space="preserve"> </w:t>
            </w:r>
          </w:p>
        </w:tc>
      </w:tr>
    </w:tbl>
    <w:p w:rsidR="007B4ECF" w:rsidRDefault="007B4ECF" w:rsidP="007B4ECF">
      <w:pPr>
        <w:pStyle w:val="standard"/>
        <w:spacing w:line="240" w:lineRule="auto"/>
      </w:pPr>
    </w:p>
    <w:p w:rsidR="007B4ECF" w:rsidRDefault="007B4ECF" w:rsidP="008C2F16">
      <w:pPr>
        <w:pStyle w:val="standard"/>
        <w:spacing w:line="240" w:lineRule="auto"/>
      </w:pPr>
    </w:p>
    <w:p w:rsidR="003523C4" w:rsidRDefault="003523C4" w:rsidP="00214651">
      <w:pPr>
        <w:pStyle w:val="AppendixPageHeaders"/>
      </w:pPr>
      <w:bookmarkStart w:id="168" w:name="_Toc436647393"/>
      <w:r>
        <w:t>New Rule 94.11 (Pole Embedment)</w:t>
      </w:r>
      <w:bookmarkEnd w:id="168"/>
      <w:r>
        <w:t xml:space="preserve"> </w:t>
      </w:r>
    </w:p>
    <w:p w:rsidR="003523C4" w:rsidRDefault="003523C4" w:rsidP="003523C4">
      <w:pPr>
        <w:pStyle w:val="standard"/>
        <w:spacing w:after="180" w:line="240" w:lineRule="auto"/>
        <w:ind w:firstLine="0"/>
        <w:jc w:val="center"/>
        <w:rPr>
          <w:b/>
        </w:rPr>
      </w:pPr>
      <w:r>
        <w:rPr>
          <w:b/>
        </w:rPr>
        <w:t>Proposed Additions to GO 95 Shown with Underline.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3523C4" w:rsidTr="006514A3">
        <w:tc>
          <w:tcPr>
            <w:tcW w:w="5000" w:type="pct"/>
          </w:tcPr>
          <w:p w:rsidR="003523C4" w:rsidRPr="007B4ECF" w:rsidRDefault="003523C4" w:rsidP="006514A3">
            <w:pPr>
              <w:pStyle w:val="standard"/>
              <w:spacing w:before="120" w:after="120" w:line="240" w:lineRule="auto"/>
              <w:ind w:firstLine="0"/>
              <w:rPr>
                <w:b/>
                <w:u w:val="single"/>
              </w:rPr>
            </w:pPr>
            <w:r w:rsidRPr="007B4ECF">
              <w:rPr>
                <w:b/>
                <w:color w:val="FF0000"/>
                <w:u w:val="single"/>
              </w:rPr>
              <w:t>94.</w:t>
            </w:r>
            <w:r w:rsidR="00D36312" w:rsidRPr="007B4ECF">
              <w:rPr>
                <w:b/>
                <w:color w:val="FF0000"/>
                <w:u w:val="single"/>
              </w:rPr>
              <w:t>1</w:t>
            </w:r>
            <w:r w:rsidR="00D36312">
              <w:rPr>
                <w:b/>
                <w:color w:val="FF0000"/>
                <w:u w:val="single"/>
              </w:rPr>
              <w:t>1</w:t>
            </w:r>
            <w:r w:rsidR="00D36312" w:rsidRPr="007B4ECF">
              <w:rPr>
                <w:b/>
                <w:color w:val="FF0000"/>
                <w:u w:val="single"/>
              </w:rPr>
              <w:t xml:space="preserve"> </w:t>
            </w:r>
            <w:r>
              <w:rPr>
                <w:b/>
                <w:color w:val="FF0000"/>
                <w:u w:val="single"/>
              </w:rPr>
              <w:t>Pole Top Extensions</w:t>
            </w:r>
            <w:r w:rsidRPr="007B4ECF">
              <w:rPr>
                <w:b/>
                <w:color w:val="FF0000"/>
                <w:u w:val="single"/>
              </w:rPr>
              <w:t xml:space="preserve"> </w:t>
            </w:r>
          </w:p>
          <w:p w:rsidR="003523C4" w:rsidRDefault="003523C4" w:rsidP="006514A3">
            <w:pPr>
              <w:pStyle w:val="standard"/>
              <w:spacing w:after="240" w:line="240" w:lineRule="auto"/>
              <w:ind w:firstLine="0"/>
            </w:pPr>
            <w:r w:rsidRPr="00DC7309">
              <w:rPr>
                <w:color w:val="FF0000"/>
                <w:u w:val="single"/>
              </w:rPr>
              <w:t>If a pole top extension is installed, the length of the extension shall be added to the length of the pole to determine the required depth in accordance with Rule</w:t>
            </w:r>
            <w:r>
              <w:rPr>
                <w:color w:val="FF0000"/>
                <w:u w:val="single"/>
              </w:rPr>
              <w:t> </w:t>
            </w:r>
            <w:r w:rsidRPr="00DC7309">
              <w:rPr>
                <w:color w:val="FF0000"/>
                <w:u w:val="single"/>
              </w:rPr>
              <w:t xml:space="preserve">49.1-C. </w:t>
            </w:r>
            <w:r>
              <w:rPr>
                <w:color w:val="FF0000"/>
                <w:u w:val="single"/>
              </w:rPr>
              <w:t xml:space="preserve"> </w:t>
            </w:r>
            <w:r w:rsidRPr="00DC7309">
              <w:rPr>
                <w:color w:val="FF0000"/>
                <w:u w:val="single"/>
              </w:rPr>
              <w:t>For existing poles, if the depth of the pole is not adequate to support a pole top extension, the extension shall not be installed.</w:t>
            </w:r>
          </w:p>
        </w:tc>
      </w:tr>
    </w:tbl>
    <w:p w:rsidR="003523C4" w:rsidRDefault="003523C4" w:rsidP="003523C4">
      <w:pPr>
        <w:pStyle w:val="standard"/>
        <w:spacing w:line="240" w:lineRule="auto"/>
      </w:pPr>
    </w:p>
    <w:p w:rsidR="00451E8D" w:rsidRDefault="00451E8D">
      <w:r>
        <w:br w:type="page"/>
      </w:r>
    </w:p>
    <w:p w:rsidR="003523C4" w:rsidRDefault="003523C4" w:rsidP="008C2F16">
      <w:pPr>
        <w:pStyle w:val="standard"/>
        <w:spacing w:line="240" w:lineRule="auto"/>
      </w:pPr>
    </w:p>
    <w:p w:rsidR="002B59C7" w:rsidRDefault="002B59C7" w:rsidP="00214651">
      <w:pPr>
        <w:pStyle w:val="AppendixPageHeaders"/>
      </w:pPr>
      <w:bookmarkStart w:id="169" w:name="_Toc436647394"/>
      <w:r>
        <w:t>New Rule 94.3-C(1) (Pole Embedment)</w:t>
      </w:r>
      <w:bookmarkEnd w:id="169"/>
      <w:r>
        <w:t xml:space="preserve"> </w:t>
      </w:r>
    </w:p>
    <w:p w:rsidR="002B59C7" w:rsidRDefault="002B59C7" w:rsidP="002B59C7">
      <w:pPr>
        <w:pStyle w:val="standard"/>
        <w:spacing w:line="240" w:lineRule="auto"/>
      </w:pPr>
    </w:p>
    <w:p w:rsidR="002B59C7" w:rsidRDefault="002B59C7" w:rsidP="002B59C7">
      <w:pPr>
        <w:pStyle w:val="standard"/>
        <w:spacing w:after="180" w:line="240" w:lineRule="auto"/>
        <w:ind w:firstLine="0"/>
        <w:jc w:val="center"/>
        <w:rPr>
          <w:b/>
        </w:rPr>
      </w:pPr>
      <w:r>
        <w:rPr>
          <w:b/>
        </w:rPr>
        <w:t>Proposed Additions to GO 95 Shown with Underline.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2B59C7" w:rsidTr="006514A3">
        <w:tc>
          <w:tcPr>
            <w:tcW w:w="5000" w:type="pct"/>
          </w:tcPr>
          <w:p w:rsidR="002B59C7" w:rsidRPr="00866115" w:rsidRDefault="002B59C7" w:rsidP="00866115">
            <w:pPr>
              <w:pStyle w:val="standard"/>
              <w:tabs>
                <w:tab w:val="left" w:pos="360"/>
              </w:tabs>
              <w:spacing w:before="120" w:after="120" w:line="240" w:lineRule="auto"/>
              <w:ind w:left="360" w:hanging="360"/>
              <w:rPr>
                <w:b/>
              </w:rPr>
            </w:pPr>
            <w:r w:rsidRPr="00866115">
              <w:rPr>
                <w:b/>
              </w:rPr>
              <w:t>94.3</w:t>
            </w:r>
            <w:r w:rsidR="00866115" w:rsidRPr="00866115">
              <w:rPr>
                <w:b/>
              </w:rPr>
              <w:t xml:space="preserve"> General </w:t>
            </w:r>
            <w:r w:rsidR="00E8539F" w:rsidRPr="00866115">
              <w:rPr>
                <w:b/>
              </w:rPr>
              <w:t>Requirements</w:t>
            </w:r>
            <w:r w:rsidRPr="00866115">
              <w:rPr>
                <w:b/>
              </w:rPr>
              <w:t xml:space="preserve">  </w:t>
            </w:r>
          </w:p>
          <w:p w:rsidR="002B59C7" w:rsidRPr="00265500" w:rsidRDefault="002B59C7" w:rsidP="002B59C7">
            <w:pPr>
              <w:pStyle w:val="standard"/>
              <w:tabs>
                <w:tab w:val="left" w:pos="360"/>
              </w:tabs>
              <w:spacing w:after="120" w:line="240" w:lineRule="auto"/>
              <w:ind w:left="360" w:hanging="360"/>
            </w:pPr>
            <w:r w:rsidRPr="00265500">
              <w:t xml:space="preserve">C. </w:t>
            </w:r>
            <w:r>
              <w:tab/>
            </w:r>
            <w:r w:rsidRPr="00265500">
              <w:t>Support elements (e.g. arms, braces, brackets, hardware) and pole-top extensions shall conform to the requirements of Section IV.</w:t>
            </w:r>
          </w:p>
          <w:p w:rsidR="002B59C7" w:rsidRDefault="002B59C7" w:rsidP="006514A3">
            <w:pPr>
              <w:pStyle w:val="standard"/>
              <w:tabs>
                <w:tab w:val="left" w:pos="1080"/>
              </w:tabs>
              <w:spacing w:after="120" w:line="240" w:lineRule="auto"/>
              <w:ind w:left="1080" w:hanging="360"/>
            </w:pPr>
            <w:r w:rsidRPr="00D24FC5">
              <w:rPr>
                <w:color w:val="FF0000"/>
                <w:u w:val="single"/>
              </w:rPr>
              <w:t>(1) If a pole top extension is installed, the length of the extension shall not be added to the length of the pole to determine the required depth in accordance with Rule</w:t>
            </w:r>
            <w:r w:rsidR="006514A3">
              <w:rPr>
                <w:color w:val="FF0000"/>
                <w:u w:val="single"/>
              </w:rPr>
              <w:t> </w:t>
            </w:r>
            <w:r w:rsidRPr="00D24FC5">
              <w:rPr>
                <w:color w:val="FF0000"/>
                <w:u w:val="single"/>
              </w:rPr>
              <w:t xml:space="preserve">49.1-C. </w:t>
            </w:r>
            <w:r>
              <w:rPr>
                <w:color w:val="FF0000"/>
                <w:u w:val="single"/>
              </w:rPr>
              <w:t xml:space="preserve"> </w:t>
            </w:r>
            <w:r w:rsidRPr="00D24FC5">
              <w:rPr>
                <w:color w:val="FF0000"/>
                <w:u w:val="single"/>
              </w:rPr>
              <w:t xml:space="preserve">However, where a pole top extension is added for the purpose of installing antennae, consideration shall be given to affirm the overturning moment is not exceeded.  </w:t>
            </w:r>
          </w:p>
        </w:tc>
      </w:tr>
    </w:tbl>
    <w:p w:rsidR="0048363B" w:rsidRDefault="0048363B" w:rsidP="002B59C7">
      <w:pPr>
        <w:pStyle w:val="standard"/>
        <w:spacing w:line="240" w:lineRule="auto"/>
      </w:pPr>
    </w:p>
    <w:p w:rsidR="00451E8D" w:rsidRDefault="00451E8D" w:rsidP="002B59C7">
      <w:pPr>
        <w:pStyle w:val="standard"/>
        <w:spacing w:line="240" w:lineRule="auto"/>
      </w:pPr>
    </w:p>
    <w:p w:rsidR="002B59C7" w:rsidRDefault="002B59C7" w:rsidP="002B59C7">
      <w:pPr>
        <w:pStyle w:val="standard"/>
        <w:spacing w:line="240" w:lineRule="auto"/>
      </w:pPr>
    </w:p>
    <w:p w:rsidR="0048363B" w:rsidRDefault="0048363B" w:rsidP="00214651">
      <w:pPr>
        <w:pStyle w:val="AppendixPageHeaders"/>
      </w:pPr>
      <w:bookmarkStart w:id="170" w:name="_Toc436647395"/>
      <w:r>
        <w:t>New Rule 94.12 (Pole-Top Antenna Access)</w:t>
      </w:r>
      <w:bookmarkEnd w:id="170"/>
      <w:r>
        <w:t xml:space="preserve"> </w:t>
      </w:r>
    </w:p>
    <w:p w:rsidR="0048363B" w:rsidRDefault="0048363B" w:rsidP="0048363B">
      <w:pPr>
        <w:pStyle w:val="standard"/>
        <w:spacing w:line="240" w:lineRule="auto"/>
      </w:pPr>
    </w:p>
    <w:p w:rsidR="0048363B" w:rsidRDefault="0048363B" w:rsidP="0048363B">
      <w:pPr>
        <w:pStyle w:val="standard"/>
        <w:spacing w:after="180" w:line="240" w:lineRule="auto"/>
        <w:ind w:firstLine="0"/>
        <w:jc w:val="center"/>
        <w:rPr>
          <w:b/>
        </w:rPr>
      </w:pPr>
      <w:r>
        <w:rPr>
          <w:b/>
        </w:rPr>
        <w:t>Proposed Additions to GO 95 Shown with Underline.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48363B" w:rsidTr="00723A07">
        <w:tc>
          <w:tcPr>
            <w:tcW w:w="5000" w:type="pct"/>
          </w:tcPr>
          <w:p w:rsidR="0048363B" w:rsidRPr="007B4ECF" w:rsidRDefault="0048363B" w:rsidP="00723A07">
            <w:pPr>
              <w:pStyle w:val="standard"/>
              <w:spacing w:before="120" w:after="120" w:line="240" w:lineRule="auto"/>
              <w:ind w:firstLine="0"/>
              <w:rPr>
                <w:b/>
                <w:u w:val="single"/>
              </w:rPr>
            </w:pPr>
            <w:r w:rsidRPr="007B4ECF">
              <w:rPr>
                <w:b/>
                <w:color w:val="FF0000"/>
                <w:u w:val="single"/>
              </w:rPr>
              <w:t>94.1</w:t>
            </w:r>
            <w:r>
              <w:rPr>
                <w:b/>
                <w:color w:val="FF0000"/>
                <w:u w:val="single"/>
              </w:rPr>
              <w:t>2</w:t>
            </w:r>
            <w:r w:rsidRPr="007B4ECF">
              <w:rPr>
                <w:b/>
                <w:color w:val="FF0000"/>
                <w:u w:val="single"/>
              </w:rPr>
              <w:t xml:space="preserve"> </w:t>
            </w:r>
            <w:r>
              <w:rPr>
                <w:b/>
                <w:color w:val="FF0000"/>
                <w:u w:val="single"/>
              </w:rPr>
              <w:t>Pole Top Antenna Access</w:t>
            </w:r>
            <w:r w:rsidRPr="007B4ECF">
              <w:rPr>
                <w:b/>
                <w:color w:val="FF0000"/>
                <w:u w:val="single"/>
              </w:rPr>
              <w:t xml:space="preserve"> </w:t>
            </w:r>
          </w:p>
          <w:p w:rsidR="0048363B" w:rsidRDefault="0048363B" w:rsidP="0048363B">
            <w:pPr>
              <w:pStyle w:val="standard"/>
              <w:spacing w:after="120" w:line="240" w:lineRule="auto"/>
              <w:ind w:firstLine="0"/>
            </w:pPr>
            <w:r w:rsidRPr="003952F9">
              <w:rPr>
                <w:color w:val="FF0000"/>
                <w:u w:val="single"/>
              </w:rPr>
              <w:t>Above the supply level, antennas or associated elements shall only be installed, maintained or physically accessed by employees of the owner of the supply system, its contractors or other qualified electrical workers that are authorized by the owner of the supply system.</w:t>
            </w:r>
            <w:r w:rsidRPr="00891A12">
              <w:rPr>
                <w:color w:val="FF0000"/>
                <w:u w:val="single"/>
              </w:rPr>
              <w:t xml:space="preserve">  </w:t>
            </w:r>
            <w:r>
              <w:rPr>
                <w:color w:val="FF0000"/>
                <w:u w:val="single"/>
              </w:rPr>
              <w:t xml:space="preserve"> </w:t>
            </w:r>
          </w:p>
        </w:tc>
      </w:tr>
    </w:tbl>
    <w:p w:rsidR="0048363B" w:rsidRDefault="0048363B" w:rsidP="0048363B">
      <w:pPr>
        <w:pStyle w:val="standard"/>
        <w:spacing w:line="240" w:lineRule="auto"/>
      </w:pPr>
    </w:p>
    <w:p w:rsidR="0048363B" w:rsidRDefault="0048363B" w:rsidP="0048363B">
      <w:pPr>
        <w:pStyle w:val="standard"/>
        <w:spacing w:line="240" w:lineRule="auto"/>
      </w:pPr>
    </w:p>
    <w:p w:rsidR="008C2F16" w:rsidRDefault="008C2F16" w:rsidP="008C2F16">
      <w:pPr>
        <w:pStyle w:val="standard"/>
      </w:pPr>
    </w:p>
    <w:p w:rsidR="008C2F16" w:rsidRDefault="008C2F16" w:rsidP="008C2F16">
      <w:pPr>
        <w:pStyle w:val="standard"/>
        <w:sectPr w:rsidR="008C2F16" w:rsidSect="0035469A">
          <w:footerReference w:type="default" r:id="rId39"/>
          <w:pgSz w:w="12240" w:h="15840"/>
          <w:pgMar w:top="1440" w:right="1440" w:bottom="1440" w:left="1440" w:header="720" w:footer="720" w:gutter="0"/>
          <w:pgNumType w:start="2" w:chapStyle="9"/>
          <w:cols w:space="720"/>
          <w:docGrid w:linePitch="360"/>
        </w:sectPr>
      </w:pPr>
    </w:p>
    <w:p w:rsidR="008C2F16" w:rsidRDefault="008C2F16" w:rsidP="008C2F16">
      <w:pPr>
        <w:pStyle w:val="standard"/>
      </w:pPr>
    </w:p>
    <w:p w:rsidR="001C0541" w:rsidRDefault="001C0541" w:rsidP="00A845DC">
      <w:pPr>
        <w:pStyle w:val="Heading9"/>
      </w:pPr>
      <w:bookmarkStart w:id="171" w:name="_Toc424322172"/>
      <w:r>
        <w:t xml:space="preserve">  </w:t>
      </w:r>
      <w:bookmarkStart w:id="172" w:name="_Toc436647396"/>
      <w:r>
        <w:t xml:space="preserve">Adopted </w:t>
      </w:r>
      <w:r w:rsidR="005A140D">
        <w:t>Amendments</w:t>
      </w:r>
      <w:r w:rsidR="003829E7">
        <w:t xml:space="preserve"> </w:t>
      </w:r>
      <w:r w:rsidR="005A140D">
        <w:t>to</w:t>
      </w:r>
      <w:r>
        <w:t xml:space="preserve"> G</w:t>
      </w:r>
      <w:r w:rsidR="0056048D">
        <w:t xml:space="preserve">eneral </w:t>
      </w:r>
      <w:r>
        <w:t>O</w:t>
      </w:r>
      <w:r w:rsidR="0056048D">
        <w:t>rder</w:t>
      </w:r>
      <w:r>
        <w:t xml:space="preserve"> 95</w:t>
      </w:r>
      <w:bookmarkEnd w:id="171"/>
      <w:bookmarkEnd w:id="172"/>
    </w:p>
    <w:p w:rsidR="001C0541" w:rsidRDefault="001C0541" w:rsidP="001C0541">
      <w:pPr>
        <w:pStyle w:val="standard"/>
      </w:pPr>
    </w:p>
    <w:p w:rsidR="0056048D" w:rsidRDefault="0056048D" w:rsidP="0056048D">
      <w:pPr>
        <w:pStyle w:val="standard"/>
        <w:ind w:firstLine="0"/>
        <w:jc w:val="center"/>
      </w:pPr>
      <w:r>
        <w:t xml:space="preserve">Appendix </w:t>
      </w:r>
      <w:r w:rsidR="00B65145">
        <w:t>C</w:t>
      </w:r>
      <w:r>
        <w:t xml:space="preserve"> shows the </w:t>
      </w:r>
      <w:r w:rsidR="005A140D">
        <w:t xml:space="preserve">new and </w:t>
      </w:r>
      <w:r>
        <w:t>revised General Order 95 Rules adopted by </w:t>
      </w:r>
      <w:r w:rsidR="00BC6BFD">
        <w:t>today’s</w:t>
      </w:r>
      <w:r w:rsidR="005A140D">
        <w:t> </w:t>
      </w:r>
      <w:r>
        <w:t>decision</w:t>
      </w:r>
      <w:r w:rsidR="00C238A4">
        <w:t xml:space="preserve"> in final form</w:t>
      </w:r>
      <w:r>
        <w:t>.</w:t>
      </w:r>
    </w:p>
    <w:p w:rsidR="00720A2D" w:rsidRPr="00720A2D" w:rsidRDefault="00720A2D" w:rsidP="00720A2D">
      <w:pPr>
        <w:pStyle w:val="standard"/>
      </w:pPr>
    </w:p>
    <w:p w:rsidR="00720A2D" w:rsidRDefault="00720A2D" w:rsidP="00720A2D">
      <w:pPr>
        <w:pStyle w:val="standard"/>
      </w:pPr>
    </w:p>
    <w:p w:rsidR="00720A2D" w:rsidRDefault="00720A2D" w:rsidP="00720A2D">
      <w:pPr>
        <w:pStyle w:val="standard"/>
      </w:pPr>
    </w:p>
    <w:p w:rsidR="00720A2D" w:rsidRPr="00720A2D" w:rsidRDefault="00720A2D" w:rsidP="00720A2D">
      <w:pPr>
        <w:pStyle w:val="standard"/>
      </w:pPr>
    </w:p>
    <w:p w:rsidR="00720A2D" w:rsidRDefault="00720A2D" w:rsidP="00972624">
      <w:pPr>
        <w:pStyle w:val="standard"/>
      </w:pPr>
    </w:p>
    <w:p w:rsidR="001C0541" w:rsidRPr="00720A2D" w:rsidRDefault="001C0541" w:rsidP="00972624">
      <w:pPr>
        <w:pStyle w:val="standard"/>
        <w:sectPr w:rsidR="001C0541" w:rsidRPr="00720A2D" w:rsidSect="0035469A">
          <w:footerReference w:type="default" r:id="rId40"/>
          <w:pgSz w:w="12240" w:h="15840"/>
          <w:pgMar w:top="1440" w:right="1440" w:bottom="1440" w:left="1440" w:header="720" w:footer="720" w:gutter="0"/>
          <w:pgNumType w:start="1" w:chapStyle="9"/>
          <w:cols w:space="720"/>
          <w:docGrid w:linePitch="360"/>
        </w:sectPr>
      </w:pPr>
    </w:p>
    <w:p w:rsidR="00F31010" w:rsidRDefault="00F31010" w:rsidP="00214651">
      <w:pPr>
        <w:pStyle w:val="AppendixPageHeaders"/>
      </w:pPr>
      <w:bookmarkStart w:id="173" w:name="_Toc378669406"/>
      <w:bookmarkStart w:id="174" w:name="_Toc424322173"/>
      <w:bookmarkStart w:id="175" w:name="_Toc436647397"/>
      <w:r>
        <w:lastRenderedPageBreak/>
        <w:t>Rule 21.0</w:t>
      </w:r>
      <w:r>
        <w:noBreakHyphen/>
        <w:t xml:space="preserve">D </w:t>
      </w:r>
      <w:bookmarkEnd w:id="173"/>
      <w:r>
        <w:t>(Guard Arms)</w:t>
      </w:r>
      <w:bookmarkEnd w:id="174"/>
      <w:bookmarkEnd w:id="175"/>
      <w:r>
        <w:t xml:space="preserve"> </w:t>
      </w:r>
    </w:p>
    <w:p w:rsidR="00F31010" w:rsidRDefault="00F31010" w:rsidP="009928FF">
      <w:pPr>
        <w:pStyle w:val="standard"/>
        <w:spacing w:before="120" w:line="240" w:lineRule="auto"/>
        <w:ind w:firstLine="0"/>
        <w:jc w:val="center"/>
        <w:rPr>
          <w:b/>
        </w:rPr>
      </w:pPr>
      <w:r>
        <w:rPr>
          <w:b/>
        </w:rPr>
        <w:t>Adopted Rule in Final Form</w:t>
      </w:r>
    </w:p>
    <w:p w:rsidR="001C0541" w:rsidRPr="00F31010" w:rsidRDefault="001C0541" w:rsidP="00F31010">
      <w:pPr>
        <w:pStyle w:val="standard"/>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1C0541" w:rsidTr="00BC0445">
        <w:tc>
          <w:tcPr>
            <w:tcW w:w="5000" w:type="pct"/>
          </w:tcPr>
          <w:p w:rsidR="001C0541" w:rsidRPr="009D2402" w:rsidRDefault="001C0541" w:rsidP="00BC0445">
            <w:pPr>
              <w:pStyle w:val="standard"/>
              <w:spacing w:before="120" w:after="120" w:line="240" w:lineRule="auto"/>
              <w:ind w:firstLine="0"/>
              <w:rPr>
                <w:b/>
              </w:rPr>
            </w:pPr>
            <w:r w:rsidRPr="009D2402">
              <w:rPr>
                <w:b/>
                <w:bCs/>
              </w:rPr>
              <w:t xml:space="preserve">21.0 Crossarm or Arm </w:t>
            </w:r>
            <w:r w:rsidRPr="009D2402">
              <w:t>means a horizontal support attached to poles or structures generally at right angles to the conductor supported.</w:t>
            </w:r>
          </w:p>
          <w:p w:rsidR="001C0541" w:rsidRPr="004572ED" w:rsidRDefault="001C0541" w:rsidP="00BC0445">
            <w:pPr>
              <w:pStyle w:val="standard"/>
              <w:spacing w:after="120" w:line="240" w:lineRule="auto"/>
              <w:ind w:firstLine="0"/>
            </w:pPr>
            <w:r>
              <w:t xml:space="preserve">  </w:t>
            </w:r>
            <w:r w:rsidRPr="004572ED">
              <w:t>(No change to parts A thr</w:t>
            </w:r>
            <w:r w:rsidR="005A140D">
              <w:t>o</w:t>
            </w:r>
            <w:r w:rsidRPr="004572ED">
              <w:t>u</w:t>
            </w:r>
            <w:r w:rsidR="005A140D">
              <w:t>gh</w:t>
            </w:r>
            <w:r w:rsidRPr="004572ED">
              <w:t xml:space="preserve"> C)</w:t>
            </w:r>
          </w:p>
          <w:p w:rsidR="001C0541" w:rsidRDefault="001C0541" w:rsidP="00BC0445">
            <w:pPr>
              <w:pStyle w:val="standard"/>
              <w:spacing w:after="120" w:line="240" w:lineRule="auto"/>
              <w:ind w:firstLine="0"/>
            </w:pPr>
            <w:r w:rsidRPr="009D2402">
              <w:rPr>
                <w:b/>
                <w:bCs/>
                <w:szCs w:val="24"/>
              </w:rPr>
              <w:t xml:space="preserve">D. Guard Arm </w:t>
            </w:r>
            <w:r w:rsidRPr="009D2402">
              <w:rPr>
                <w:szCs w:val="24"/>
              </w:rPr>
              <w:t xml:space="preserve">means a crossarm installed on a pole not more than 4 inches directly above and approximately parallel to the messenger, cable or conductors being guarded. </w:t>
            </w:r>
            <w:r>
              <w:rPr>
                <w:szCs w:val="24"/>
              </w:rPr>
              <w:t xml:space="preserve"> </w:t>
            </w:r>
            <w:r w:rsidRPr="009D2402">
              <w:rPr>
                <w:szCs w:val="24"/>
              </w:rPr>
              <w:t xml:space="preserve">Guard arms shall not be used to support conductors, </w:t>
            </w:r>
            <w:r w:rsidRPr="00F31010">
              <w:rPr>
                <w:szCs w:val="24"/>
              </w:rPr>
              <w:t xml:space="preserve">antennas, </w:t>
            </w:r>
            <w:r w:rsidRPr="009D2402">
              <w:rPr>
                <w:szCs w:val="24"/>
              </w:rPr>
              <w:t>or other line facilities except as specifically provided in these rules (see Rules 84.8–B2c and 87.7–B).</w:t>
            </w:r>
            <w:r>
              <w:rPr>
                <w:szCs w:val="24"/>
              </w:rPr>
              <w:t xml:space="preserve"> </w:t>
            </w:r>
            <w:r>
              <w:rPr>
                <w:b/>
                <w:bCs/>
              </w:rPr>
              <w:t xml:space="preserve"> </w:t>
            </w:r>
          </w:p>
        </w:tc>
      </w:tr>
    </w:tbl>
    <w:p w:rsidR="001C0541" w:rsidRDefault="001C0541" w:rsidP="001C0541">
      <w:pPr>
        <w:pStyle w:val="standard"/>
        <w:spacing w:line="240" w:lineRule="auto"/>
      </w:pPr>
    </w:p>
    <w:p w:rsidR="00F31010" w:rsidRDefault="00F31010" w:rsidP="001C0541">
      <w:pPr>
        <w:pStyle w:val="standard"/>
        <w:spacing w:line="240" w:lineRule="auto"/>
      </w:pPr>
    </w:p>
    <w:p w:rsidR="00720A2D" w:rsidRDefault="00720A2D" w:rsidP="00214651">
      <w:pPr>
        <w:pStyle w:val="AppendixPageHeaders"/>
      </w:pPr>
      <w:bookmarkStart w:id="176" w:name="_Toc424322174"/>
      <w:bookmarkStart w:id="177" w:name="_Toc436647398"/>
      <w:r>
        <w:t>Rule 87.7</w:t>
      </w:r>
      <w:r>
        <w:noBreakHyphen/>
        <w:t>B (Guard Arms)</w:t>
      </w:r>
      <w:bookmarkEnd w:id="176"/>
      <w:bookmarkEnd w:id="177"/>
      <w:r>
        <w:t xml:space="preserve"> </w:t>
      </w:r>
    </w:p>
    <w:p w:rsidR="00720A2D" w:rsidRDefault="00720A2D" w:rsidP="009928FF">
      <w:pPr>
        <w:pStyle w:val="standard"/>
        <w:spacing w:before="120" w:line="240" w:lineRule="auto"/>
        <w:ind w:firstLine="0"/>
        <w:jc w:val="center"/>
        <w:rPr>
          <w:b/>
        </w:rPr>
      </w:pPr>
      <w:r>
        <w:rPr>
          <w:b/>
        </w:rPr>
        <w:t>Adopted Rule in Final Form</w:t>
      </w:r>
    </w:p>
    <w:p w:rsidR="00720A2D" w:rsidRPr="00F31010" w:rsidRDefault="00720A2D" w:rsidP="00720A2D">
      <w:pPr>
        <w:pStyle w:val="standard"/>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720A2D" w:rsidTr="00972624">
        <w:tc>
          <w:tcPr>
            <w:tcW w:w="5000" w:type="pct"/>
          </w:tcPr>
          <w:p w:rsidR="00720A2D" w:rsidRPr="0056070D" w:rsidRDefault="00720A2D" w:rsidP="00972624">
            <w:pPr>
              <w:pStyle w:val="standard"/>
              <w:spacing w:before="120" w:after="120" w:line="240" w:lineRule="auto"/>
              <w:ind w:firstLine="0"/>
              <w:rPr>
                <w:b/>
              </w:rPr>
            </w:pPr>
            <w:r w:rsidRPr="0056070D">
              <w:rPr>
                <w:b/>
              </w:rPr>
              <w:t>87.7 Covering or Guarding</w:t>
            </w:r>
          </w:p>
          <w:p w:rsidR="00720A2D" w:rsidRPr="0056070D" w:rsidRDefault="00720A2D" w:rsidP="00972624">
            <w:pPr>
              <w:pStyle w:val="standard"/>
              <w:spacing w:after="120" w:line="240" w:lineRule="auto"/>
              <w:ind w:firstLine="0"/>
              <w:rPr>
                <w:b/>
              </w:rPr>
            </w:pPr>
            <w:r w:rsidRPr="0056070D">
              <w:rPr>
                <w:b/>
              </w:rPr>
              <w:t>B. Longitudinal Aerial Cables or Messengers</w:t>
            </w:r>
          </w:p>
          <w:p w:rsidR="00720A2D" w:rsidRPr="004572ED" w:rsidRDefault="00720A2D" w:rsidP="00720A2D">
            <w:pPr>
              <w:pStyle w:val="standard"/>
              <w:spacing w:after="120" w:line="240" w:lineRule="auto"/>
              <w:ind w:firstLine="0"/>
            </w:pPr>
            <w:r>
              <w:t xml:space="preserve">  </w:t>
            </w:r>
            <w:r w:rsidRPr="004572ED">
              <w:t xml:space="preserve">(No change to </w:t>
            </w:r>
            <w:r>
              <w:t>first two paragraphs</w:t>
            </w:r>
            <w:r w:rsidRPr="004572ED">
              <w:t>)</w:t>
            </w:r>
          </w:p>
          <w:p w:rsidR="00720A2D" w:rsidRDefault="00720A2D" w:rsidP="00972624">
            <w:pPr>
              <w:pStyle w:val="standard"/>
              <w:spacing w:after="120" w:line="240" w:lineRule="auto"/>
              <w:ind w:firstLine="0"/>
            </w:pPr>
            <w:r w:rsidRPr="009D2402">
              <w:rPr>
                <w:szCs w:val="24"/>
              </w:rPr>
              <w:t xml:space="preserve">No communication </w:t>
            </w:r>
            <w:r w:rsidRPr="00720A2D">
              <w:rPr>
                <w:szCs w:val="24"/>
              </w:rPr>
              <w:t>antenna,</w:t>
            </w:r>
            <w:r w:rsidRPr="009D2402">
              <w:rPr>
                <w:szCs w:val="24"/>
              </w:rPr>
              <w:t xml:space="preserve"> conductor, cable or messenger shall be supported on or attached to the top or side surface of any guard arm except as permitted for service drops and their (vertical and lateral) runs by the provisions of Rules 84.6</w:t>
            </w:r>
            <w:r>
              <w:rPr>
                <w:szCs w:val="24"/>
              </w:rPr>
              <w:noBreakHyphen/>
            </w:r>
            <w:r w:rsidRPr="009D2402">
              <w:rPr>
                <w:szCs w:val="24"/>
              </w:rPr>
              <w:t>C and 84.8–B2c.</w:t>
            </w:r>
            <w:r>
              <w:rPr>
                <w:szCs w:val="24"/>
              </w:rPr>
              <w:t xml:space="preserve"> </w:t>
            </w:r>
          </w:p>
        </w:tc>
      </w:tr>
    </w:tbl>
    <w:p w:rsidR="00720A2D" w:rsidRDefault="00720A2D" w:rsidP="00720A2D">
      <w:pPr>
        <w:pStyle w:val="standard"/>
        <w:spacing w:line="240" w:lineRule="auto"/>
      </w:pPr>
    </w:p>
    <w:p w:rsidR="005356DA" w:rsidRDefault="005356DA" w:rsidP="00720A2D">
      <w:pPr>
        <w:pStyle w:val="standard"/>
        <w:spacing w:line="240" w:lineRule="auto"/>
      </w:pPr>
    </w:p>
    <w:p w:rsidR="005356DA" w:rsidRDefault="005356DA">
      <w:r>
        <w:br w:type="page"/>
      </w:r>
    </w:p>
    <w:p w:rsidR="005356DA" w:rsidRDefault="005356DA" w:rsidP="00720A2D">
      <w:pPr>
        <w:pStyle w:val="standard"/>
        <w:spacing w:line="240" w:lineRule="auto"/>
      </w:pPr>
    </w:p>
    <w:p w:rsidR="005356DA" w:rsidRDefault="005356DA" w:rsidP="00214651">
      <w:pPr>
        <w:pStyle w:val="AppendixPageHeaders"/>
      </w:pPr>
      <w:bookmarkStart w:id="178" w:name="_Toc436647399"/>
      <w:r>
        <w:t>Rule 94.5</w:t>
      </w:r>
      <w:r>
        <w:noBreakHyphen/>
        <w:t>A (Marking)</w:t>
      </w:r>
      <w:bookmarkEnd w:id="178"/>
      <w:r>
        <w:t xml:space="preserve"> </w:t>
      </w:r>
    </w:p>
    <w:p w:rsidR="005356DA" w:rsidRDefault="005356DA" w:rsidP="009928FF">
      <w:pPr>
        <w:pStyle w:val="standard"/>
        <w:spacing w:before="120" w:line="240" w:lineRule="auto"/>
        <w:ind w:firstLine="0"/>
        <w:jc w:val="center"/>
        <w:rPr>
          <w:b/>
        </w:rPr>
      </w:pPr>
      <w:r>
        <w:rPr>
          <w:b/>
        </w:rPr>
        <w:t>Adopted Rule in Final Form</w:t>
      </w:r>
    </w:p>
    <w:p w:rsidR="005356DA" w:rsidRPr="00F31010" w:rsidRDefault="005356DA" w:rsidP="005356DA">
      <w:pPr>
        <w:pStyle w:val="standard"/>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356DA" w:rsidTr="00DB4D6E">
        <w:tc>
          <w:tcPr>
            <w:tcW w:w="5000" w:type="pct"/>
          </w:tcPr>
          <w:p w:rsidR="005356DA" w:rsidRPr="0056070D" w:rsidRDefault="00B828E8" w:rsidP="00DB4D6E">
            <w:pPr>
              <w:pStyle w:val="standard"/>
              <w:spacing w:before="120" w:after="120" w:line="240" w:lineRule="auto"/>
              <w:ind w:firstLine="0"/>
              <w:rPr>
                <w:b/>
              </w:rPr>
            </w:pPr>
            <w:r>
              <w:rPr>
                <w:b/>
              </w:rPr>
              <w:t>9</w:t>
            </w:r>
            <w:r w:rsidR="00FF6214">
              <w:rPr>
                <w:b/>
              </w:rPr>
              <w:t>4</w:t>
            </w:r>
            <w:r w:rsidR="005356DA" w:rsidRPr="0056070D">
              <w:rPr>
                <w:b/>
              </w:rPr>
              <w:t>.</w:t>
            </w:r>
            <w:r w:rsidR="00FF6214">
              <w:rPr>
                <w:b/>
              </w:rPr>
              <w:t>5</w:t>
            </w:r>
            <w:r w:rsidR="005356DA" w:rsidRPr="0056070D">
              <w:rPr>
                <w:b/>
              </w:rPr>
              <w:t xml:space="preserve"> </w:t>
            </w:r>
            <w:r w:rsidR="00FF6214">
              <w:rPr>
                <w:b/>
              </w:rPr>
              <w:t>Marking</w:t>
            </w:r>
          </w:p>
          <w:p w:rsidR="005356DA" w:rsidRDefault="00FF6214" w:rsidP="00D539C3">
            <w:pPr>
              <w:pStyle w:val="standard"/>
              <w:tabs>
                <w:tab w:val="left" w:pos="360"/>
              </w:tabs>
              <w:spacing w:after="120" w:line="240" w:lineRule="auto"/>
              <w:ind w:left="360" w:hanging="360"/>
            </w:pPr>
            <w:r w:rsidRPr="00FF6214">
              <w:rPr>
                <w:b/>
              </w:rPr>
              <w:t>A</w:t>
            </w:r>
            <w:r>
              <w:t xml:space="preserve">. </w:t>
            </w:r>
            <w:r>
              <w:tab/>
            </w:r>
            <w:r w:rsidRPr="00BE752B">
              <w:t>Antennas shall be marked in accordance with Appendi</w:t>
            </w:r>
            <w:r>
              <w:t>x H, including Exhibit A, to GO </w:t>
            </w:r>
            <w:r w:rsidRPr="00BE752B">
              <w:t>95.</w:t>
            </w:r>
            <w:r>
              <w:t xml:space="preserve"> </w:t>
            </w:r>
          </w:p>
        </w:tc>
      </w:tr>
    </w:tbl>
    <w:p w:rsidR="005356DA" w:rsidRDefault="005356DA" w:rsidP="005356DA">
      <w:pPr>
        <w:pStyle w:val="standard"/>
        <w:spacing w:line="240" w:lineRule="auto"/>
      </w:pPr>
    </w:p>
    <w:p w:rsidR="005356DA" w:rsidRDefault="005356DA" w:rsidP="00720A2D">
      <w:pPr>
        <w:pStyle w:val="standard"/>
        <w:spacing w:line="240" w:lineRule="auto"/>
      </w:pPr>
    </w:p>
    <w:p w:rsidR="003E7B29" w:rsidRDefault="003E7B29" w:rsidP="00214651">
      <w:pPr>
        <w:pStyle w:val="AppendixPageHeaders"/>
      </w:pPr>
      <w:bookmarkStart w:id="179" w:name="_Toc436647400"/>
      <w:r>
        <w:t>Rule 94.6</w:t>
      </w:r>
      <w:r>
        <w:noBreakHyphen/>
        <w:t>C (Climbing Space</w:t>
      </w:r>
      <w:r w:rsidR="00C238A4">
        <w:t xml:space="preserve"> and Fall Protection</w:t>
      </w:r>
      <w:r>
        <w:t>)</w:t>
      </w:r>
      <w:bookmarkEnd w:id="179"/>
      <w:r>
        <w:t xml:space="preserve"> </w:t>
      </w:r>
    </w:p>
    <w:p w:rsidR="003E7B29" w:rsidRDefault="003E7B29" w:rsidP="009928FF">
      <w:pPr>
        <w:pStyle w:val="standard"/>
        <w:spacing w:before="120" w:line="240" w:lineRule="auto"/>
        <w:ind w:firstLine="0"/>
        <w:jc w:val="center"/>
        <w:rPr>
          <w:b/>
        </w:rPr>
      </w:pPr>
      <w:r>
        <w:rPr>
          <w:b/>
        </w:rPr>
        <w:t>Adopted Rule in Final Form</w:t>
      </w:r>
    </w:p>
    <w:p w:rsidR="003E7B29" w:rsidRPr="00F31010" w:rsidRDefault="003E7B29" w:rsidP="003E7B29">
      <w:pPr>
        <w:pStyle w:val="standard"/>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3E7B29" w:rsidTr="005C5F5A">
        <w:tc>
          <w:tcPr>
            <w:tcW w:w="5000" w:type="pct"/>
          </w:tcPr>
          <w:p w:rsidR="003E7B29" w:rsidRPr="0056070D" w:rsidRDefault="00B828E8" w:rsidP="005C5F5A">
            <w:pPr>
              <w:pStyle w:val="standard"/>
              <w:spacing w:before="120" w:after="120" w:line="240" w:lineRule="auto"/>
              <w:ind w:firstLine="0"/>
              <w:rPr>
                <w:b/>
              </w:rPr>
            </w:pPr>
            <w:r>
              <w:rPr>
                <w:b/>
              </w:rPr>
              <w:t>9</w:t>
            </w:r>
            <w:r w:rsidR="003E7B29">
              <w:rPr>
                <w:b/>
              </w:rPr>
              <w:t>4</w:t>
            </w:r>
            <w:r w:rsidR="003E7B29" w:rsidRPr="0056070D">
              <w:rPr>
                <w:b/>
              </w:rPr>
              <w:t>.</w:t>
            </w:r>
            <w:r w:rsidR="003E7B29">
              <w:rPr>
                <w:b/>
              </w:rPr>
              <w:t>6</w:t>
            </w:r>
            <w:r w:rsidR="003E7B29" w:rsidRPr="0056070D">
              <w:rPr>
                <w:b/>
              </w:rPr>
              <w:t xml:space="preserve"> </w:t>
            </w:r>
            <w:r w:rsidR="003E7B29">
              <w:rPr>
                <w:b/>
              </w:rPr>
              <w:t>Climbin</w:t>
            </w:r>
            <w:r w:rsidR="0067725D">
              <w:rPr>
                <w:b/>
              </w:rPr>
              <w:t>g</w:t>
            </w:r>
            <w:r w:rsidR="003E7B29">
              <w:rPr>
                <w:b/>
              </w:rPr>
              <w:t xml:space="preserve"> Space</w:t>
            </w:r>
          </w:p>
          <w:p w:rsidR="003E7B29" w:rsidRDefault="003E7B29" w:rsidP="003E7B29">
            <w:pPr>
              <w:pStyle w:val="standard"/>
              <w:tabs>
                <w:tab w:val="left" w:pos="360"/>
              </w:tabs>
              <w:spacing w:after="120" w:line="240" w:lineRule="auto"/>
              <w:ind w:left="360" w:hanging="360"/>
              <w:rPr>
                <w:szCs w:val="24"/>
              </w:rPr>
            </w:pPr>
            <w:r>
              <w:rPr>
                <w:b/>
              </w:rPr>
              <w:t>C</w:t>
            </w:r>
            <w:r>
              <w:t xml:space="preserve">. </w:t>
            </w:r>
            <w:r>
              <w:tab/>
            </w:r>
            <w:r w:rsidR="005E47ED">
              <w:t xml:space="preserve">Antennas and </w:t>
            </w:r>
            <w:r w:rsidR="00BD2B1A">
              <w:t xml:space="preserve">all </w:t>
            </w:r>
            <w:r w:rsidR="005E47ED">
              <w:t xml:space="preserve">associated attachments shall not impair </w:t>
            </w:r>
            <w:r w:rsidRPr="0076634D">
              <w:rPr>
                <w:szCs w:val="24"/>
              </w:rPr>
              <w:t>climbing space or interfer</w:t>
            </w:r>
            <w:r w:rsidR="00BD2B1A">
              <w:rPr>
                <w:szCs w:val="24"/>
              </w:rPr>
              <w:t>e</w:t>
            </w:r>
            <w:r w:rsidRPr="0076634D">
              <w:rPr>
                <w:szCs w:val="24"/>
              </w:rPr>
              <w:t xml:space="preserve"> with fall restraint and fall protection equipment </w:t>
            </w:r>
            <w:r w:rsidR="0067725D">
              <w:rPr>
                <w:szCs w:val="24"/>
              </w:rPr>
              <w:t>except as permitted</w:t>
            </w:r>
            <w:r w:rsidRPr="0076634D">
              <w:rPr>
                <w:szCs w:val="24"/>
              </w:rPr>
              <w:t xml:space="preserve"> by the application of Rule</w:t>
            </w:r>
            <w:r>
              <w:rPr>
                <w:szCs w:val="24"/>
              </w:rPr>
              <w:t> </w:t>
            </w:r>
            <w:r w:rsidRPr="0076634D">
              <w:rPr>
                <w:szCs w:val="24"/>
              </w:rPr>
              <w:t>54.7 or Rule 84.7.</w:t>
            </w:r>
            <w:r>
              <w:rPr>
                <w:szCs w:val="24"/>
              </w:rPr>
              <w:t xml:space="preserve">  </w:t>
            </w:r>
          </w:p>
          <w:p w:rsidR="00794052" w:rsidRPr="001F3E49" w:rsidRDefault="00794052" w:rsidP="00794052">
            <w:pPr>
              <w:pStyle w:val="standard"/>
              <w:tabs>
                <w:tab w:val="left" w:pos="360"/>
              </w:tabs>
              <w:spacing w:after="120" w:line="240" w:lineRule="auto"/>
              <w:ind w:left="360" w:hanging="360"/>
              <w:rPr>
                <w:szCs w:val="24"/>
              </w:rPr>
            </w:pPr>
            <w:r>
              <w:rPr>
                <w:szCs w:val="24"/>
              </w:rPr>
              <w:tab/>
              <w:t xml:space="preserve">Note:  </w:t>
            </w:r>
            <w:r w:rsidRPr="001F3E49">
              <w:rPr>
                <w:szCs w:val="24"/>
              </w:rPr>
              <w:t xml:space="preserve">Examples of </w:t>
            </w:r>
            <w:r w:rsidR="0067725D">
              <w:rPr>
                <w:szCs w:val="24"/>
              </w:rPr>
              <w:t>attachments</w:t>
            </w:r>
            <w:r w:rsidRPr="001F3E49">
              <w:rPr>
                <w:szCs w:val="24"/>
              </w:rPr>
              <w:t xml:space="preserve"> that </w:t>
            </w:r>
            <w:r w:rsidR="005A140D">
              <w:rPr>
                <w:szCs w:val="24"/>
              </w:rPr>
              <w:t>might</w:t>
            </w:r>
            <w:r>
              <w:rPr>
                <w:szCs w:val="24"/>
              </w:rPr>
              <w:t xml:space="preserve"> </w:t>
            </w:r>
            <w:r w:rsidR="00235FDB">
              <w:rPr>
                <w:szCs w:val="24"/>
              </w:rPr>
              <w:t xml:space="preserve">not </w:t>
            </w:r>
            <w:r w:rsidRPr="001F3E49">
              <w:rPr>
                <w:szCs w:val="24"/>
              </w:rPr>
              <w:t>interfere with fall restraint and fall protection equipment include, but are not limited to, the following:</w:t>
            </w:r>
          </w:p>
          <w:p w:rsidR="005C5F5A" w:rsidRPr="001F3E49" w:rsidRDefault="005C5F5A" w:rsidP="005C5F5A">
            <w:pPr>
              <w:pStyle w:val="standard"/>
              <w:tabs>
                <w:tab w:val="left" w:pos="900"/>
              </w:tabs>
              <w:spacing w:after="120" w:line="240" w:lineRule="auto"/>
              <w:ind w:left="900" w:hanging="540"/>
              <w:rPr>
                <w:szCs w:val="24"/>
              </w:rPr>
            </w:pPr>
            <w:r w:rsidRPr="001F3E49">
              <w:rPr>
                <w:szCs w:val="24"/>
              </w:rPr>
              <w:t xml:space="preserve">(1) </w:t>
            </w:r>
            <w:r>
              <w:rPr>
                <w:szCs w:val="24"/>
              </w:rPr>
              <w:tab/>
            </w:r>
            <w:r w:rsidRPr="001F3E49">
              <w:rPr>
                <w:szCs w:val="24"/>
              </w:rPr>
              <w:t>Surface-mounted equipment that occupies no more than 18 inches of vertical space</w:t>
            </w:r>
            <w:r w:rsidR="009D3D1C">
              <w:rPr>
                <w:szCs w:val="24"/>
              </w:rPr>
              <w:t>.</w:t>
            </w:r>
          </w:p>
          <w:p w:rsidR="005C5F5A" w:rsidRPr="001F3E49" w:rsidRDefault="005C5F5A" w:rsidP="005C5F5A">
            <w:pPr>
              <w:pStyle w:val="standard"/>
              <w:tabs>
                <w:tab w:val="left" w:pos="900"/>
              </w:tabs>
              <w:spacing w:after="120" w:line="240" w:lineRule="auto"/>
              <w:ind w:left="900" w:hanging="540"/>
              <w:rPr>
                <w:szCs w:val="24"/>
              </w:rPr>
            </w:pPr>
            <w:r w:rsidRPr="001F3E49">
              <w:rPr>
                <w:szCs w:val="24"/>
              </w:rPr>
              <w:t xml:space="preserve">(2)  </w:t>
            </w:r>
            <w:r>
              <w:rPr>
                <w:szCs w:val="24"/>
              </w:rPr>
              <w:tab/>
            </w:r>
            <w:r w:rsidRPr="001F3E49">
              <w:rPr>
                <w:szCs w:val="24"/>
              </w:rPr>
              <w:t>Equipment stood off from the pole to maintain a minimum of 4 inches of clear space between the equipment and the pole</w:t>
            </w:r>
            <w:r w:rsidR="009D3D1C">
              <w:rPr>
                <w:szCs w:val="24"/>
              </w:rPr>
              <w:t>.</w:t>
            </w:r>
          </w:p>
          <w:p w:rsidR="003E7B29" w:rsidRPr="009D3D1C" w:rsidRDefault="005C5F5A" w:rsidP="009D3D1C">
            <w:pPr>
              <w:pStyle w:val="standard"/>
              <w:tabs>
                <w:tab w:val="left" w:pos="900"/>
              </w:tabs>
              <w:spacing w:after="120" w:line="240" w:lineRule="auto"/>
              <w:ind w:left="907" w:hanging="547"/>
              <w:rPr>
                <w:szCs w:val="24"/>
              </w:rPr>
            </w:pPr>
            <w:r w:rsidRPr="001F3E49">
              <w:rPr>
                <w:szCs w:val="24"/>
              </w:rPr>
              <w:t xml:space="preserve">(3)  </w:t>
            </w:r>
            <w:r>
              <w:rPr>
                <w:szCs w:val="24"/>
              </w:rPr>
              <w:tab/>
            </w:r>
            <w:r w:rsidRPr="001F3E49">
              <w:rPr>
                <w:szCs w:val="24"/>
              </w:rPr>
              <w:t>Appropriately designed and installed surface-mounted risers</w:t>
            </w:r>
            <w:r w:rsidR="009D3D1C">
              <w:rPr>
                <w:szCs w:val="24"/>
              </w:rPr>
              <w:t>.</w:t>
            </w:r>
          </w:p>
        </w:tc>
      </w:tr>
    </w:tbl>
    <w:p w:rsidR="003E7B29" w:rsidRDefault="003E7B29" w:rsidP="003E7B29">
      <w:pPr>
        <w:pStyle w:val="standard"/>
        <w:spacing w:line="240" w:lineRule="auto"/>
      </w:pPr>
    </w:p>
    <w:p w:rsidR="00B828E8" w:rsidRDefault="00B828E8">
      <w:r>
        <w:br w:type="page"/>
      </w:r>
    </w:p>
    <w:p w:rsidR="003E7B29" w:rsidRDefault="003E7B29" w:rsidP="00720A2D">
      <w:pPr>
        <w:pStyle w:val="standard"/>
        <w:spacing w:line="240" w:lineRule="auto"/>
      </w:pPr>
    </w:p>
    <w:p w:rsidR="00B828E8" w:rsidRDefault="00B828E8" w:rsidP="00214651">
      <w:pPr>
        <w:pStyle w:val="AppendixPageHeaders"/>
      </w:pPr>
      <w:bookmarkStart w:id="180" w:name="_Toc436647401"/>
      <w:r>
        <w:t>Rule 94.9 (De-Energizing Protocols)</w:t>
      </w:r>
      <w:bookmarkEnd w:id="180"/>
      <w:r>
        <w:t xml:space="preserve"> </w:t>
      </w:r>
    </w:p>
    <w:p w:rsidR="00B828E8" w:rsidRDefault="00B828E8" w:rsidP="009928FF">
      <w:pPr>
        <w:pStyle w:val="standard"/>
        <w:spacing w:before="120" w:line="240" w:lineRule="auto"/>
        <w:ind w:firstLine="0"/>
        <w:jc w:val="center"/>
        <w:rPr>
          <w:b/>
        </w:rPr>
      </w:pPr>
      <w:r>
        <w:rPr>
          <w:b/>
        </w:rPr>
        <w:t>Adopted Rule in Final Form</w:t>
      </w:r>
    </w:p>
    <w:p w:rsidR="00B828E8" w:rsidRPr="00F31010" w:rsidRDefault="00B828E8" w:rsidP="00B828E8">
      <w:pPr>
        <w:pStyle w:val="standard"/>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B828E8" w:rsidTr="002D6875">
        <w:tc>
          <w:tcPr>
            <w:tcW w:w="5000" w:type="pct"/>
          </w:tcPr>
          <w:p w:rsidR="00B828E8" w:rsidRPr="0056070D" w:rsidRDefault="00B828E8" w:rsidP="002D6875">
            <w:pPr>
              <w:pStyle w:val="standard"/>
              <w:spacing w:before="120" w:after="120" w:line="240" w:lineRule="auto"/>
              <w:ind w:firstLine="0"/>
              <w:rPr>
                <w:b/>
              </w:rPr>
            </w:pPr>
            <w:r>
              <w:rPr>
                <w:b/>
              </w:rPr>
              <w:t>94</w:t>
            </w:r>
            <w:r w:rsidRPr="0056070D">
              <w:rPr>
                <w:b/>
              </w:rPr>
              <w:t>.</w:t>
            </w:r>
            <w:r>
              <w:rPr>
                <w:b/>
              </w:rPr>
              <w:t>9</w:t>
            </w:r>
            <w:r w:rsidRPr="0056070D">
              <w:rPr>
                <w:b/>
              </w:rPr>
              <w:t xml:space="preserve"> </w:t>
            </w:r>
            <w:r>
              <w:rPr>
                <w:b/>
              </w:rPr>
              <w:t>De-Energizing</w:t>
            </w:r>
          </w:p>
          <w:p w:rsidR="00B828E8" w:rsidRDefault="00B828E8" w:rsidP="00C238A4">
            <w:pPr>
              <w:pStyle w:val="standard"/>
              <w:tabs>
                <w:tab w:val="left" w:pos="360"/>
              </w:tabs>
              <w:spacing w:after="120" w:line="240" w:lineRule="auto"/>
              <w:ind w:left="360" w:firstLine="0"/>
            </w:pPr>
            <w:r w:rsidRPr="0032304A">
              <w:t>The de-energizing protocols in Appendix</w:t>
            </w:r>
            <w:r w:rsidR="00105A9E">
              <w:t> </w:t>
            </w:r>
            <w:r w:rsidRPr="0032304A">
              <w:t xml:space="preserve">H, Exhibits B and C, </w:t>
            </w:r>
            <w:r w:rsidR="00C238A4">
              <w:t>of</w:t>
            </w:r>
            <w:r w:rsidRPr="0032304A">
              <w:t xml:space="preserve"> GO 95 shall be followed by antenna owners for routine and emergency working conditions respectively.</w:t>
            </w:r>
          </w:p>
        </w:tc>
      </w:tr>
    </w:tbl>
    <w:p w:rsidR="00B828E8" w:rsidRDefault="00B828E8" w:rsidP="00B828E8">
      <w:pPr>
        <w:pStyle w:val="standard"/>
        <w:spacing w:line="240" w:lineRule="auto"/>
      </w:pPr>
    </w:p>
    <w:p w:rsidR="00B828E8" w:rsidRDefault="00B828E8" w:rsidP="00B828E8">
      <w:pPr>
        <w:pStyle w:val="standard"/>
        <w:spacing w:line="240" w:lineRule="auto"/>
      </w:pPr>
    </w:p>
    <w:p w:rsidR="00D12033" w:rsidRDefault="00D12033" w:rsidP="00214651">
      <w:pPr>
        <w:pStyle w:val="AppendixPageHeaders"/>
      </w:pPr>
      <w:bookmarkStart w:id="181" w:name="_Toc436647402"/>
      <w:r>
        <w:t>Rule 94.11 (</w:t>
      </w:r>
      <w:r w:rsidR="00E720A3">
        <w:t>Pole</w:t>
      </w:r>
      <w:r w:rsidR="000F7691">
        <w:t xml:space="preserve"> </w:t>
      </w:r>
      <w:r>
        <w:t>Overturning Calculation)</w:t>
      </w:r>
      <w:bookmarkEnd w:id="181"/>
      <w:r>
        <w:t xml:space="preserve"> </w:t>
      </w:r>
    </w:p>
    <w:p w:rsidR="00D12033" w:rsidRDefault="00D12033" w:rsidP="009928FF">
      <w:pPr>
        <w:pStyle w:val="standard"/>
        <w:spacing w:before="120" w:line="240" w:lineRule="auto"/>
        <w:ind w:firstLine="0"/>
        <w:jc w:val="center"/>
        <w:rPr>
          <w:b/>
        </w:rPr>
      </w:pPr>
      <w:r>
        <w:rPr>
          <w:b/>
        </w:rPr>
        <w:t>Adopted Rule in Final Form</w:t>
      </w:r>
    </w:p>
    <w:p w:rsidR="00D12033" w:rsidRPr="00F31010" w:rsidRDefault="00D12033" w:rsidP="00D12033">
      <w:pPr>
        <w:pStyle w:val="standard"/>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D12033" w:rsidTr="00C42A02">
        <w:tc>
          <w:tcPr>
            <w:tcW w:w="5000" w:type="pct"/>
          </w:tcPr>
          <w:p w:rsidR="00D12033" w:rsidRPr="0056070D" w:rsidRDefault="00D12033" w:rsidP="00C42A02">
            <w:pPr>
              <w:pStyle w:val="standard"/>
              <w:spacing w:before="120" w:after="120" w:line="240" w:lineRule="auto"/>
              <w:ind w:firstLine="0"/>
              <w:rPr>
                <w:b/>
              </w:rPr>
            </w:pPr>
            <w:r>
              <w:rPr>
                <w:b/>
              </w:rPr>
              <w:t>94</w:t>
            </w:r>
            <w:r w:rsidRPr="0056070D">
              <w:rPr>
                <w:b/>
              </w:rPr>
              <w:t>.</w:t>
            </w:r>
            <w:r>
              <w:rPr>
                <w:b/>
              </w:rPr>
              <w:t>11</w:t>
            </w:r>
            <w:r w:rsidRPr="0056070D">
              <w:rPr>
                <w:b/>
              </w:rPr>
              <w:t xml:space="preserve"> </w:t>
            </w:r>
            <w:r w:rsidR="00E720A3">
              <w:rPr>
                <w:b/>
              </w:rPr>
              <w:t>Pole</w:t>
            </w:r>
            <w:r w:rsidR="000F7691">
              <w:rPr>
                <w:b/>
              </w:rPr>
              <w:t xml:space="preserve"> </w:t>
            </w:r>
            <w:r w:rsidR="003804C1">
              <w:rPr>
                <w:b/>
              </w:rPr>
              <w:t xml:space="preserve">Overturning Calculation </w:t>
            </w:r>
          </w:p>
          <w:p w:rsidR="00D12033" w:rsidRDefault="003804C1">
            <w:pPr>
              <w:pStyle w:val="standard"/>
              <w:tabs>
                <w:tab w:val="left" w:pos="360"/>
              </w:tabs>
              <w:spacing w:after="120" w:line="240" w:lineRule="auto"/>
              <w:ind w:left="360" w:firstLine="0"/>
            </w:pPr>
            <w:r>
              <w:t>A</w:t>
            </w:r>
            <w:r w:rsidR="008F5342">
              <w:t xml:space="preserve"> </w:t>
            </w:r>
            <w:r w:rsidR="00E720A3">
              <w:t>pole</w:t>
            </w:r>
            <w:r w:rsidR="008F5342">
              <w:t xml:space="preserve"> </w:t>
            </w:r>
            <w:r>
              <w:t xml:space="preserve">overturning calculation shall be performed before a pole-top antenna </w:t>
            </w:r>
            <w:r w:rsidR="00D410FF">
              <w:t xml:space="preserve">installation </w:t>
            </w:r>
            <w:r>
              <w:t>is added to a pol</w:t>
            </w:r>
            <w:r w:rsidR="002F0026">
              <w:t>e</w:t>
            </w:r>
            <w:r>
              <w:t xml:space="preserve">.  </w:t>
            </w:r>
            <w:r w:rsidR="006F3936">
              <w:t>Th</w:t>
            </w:r>
            <w:r w:rsidR="002D3C24">
              <w:t>e</w:t>
            </w:r>
            <w:r w:rsidR="006F3936">
              <w:t xml:space="preserve"> calculation shall use </w:t>
            </w:r>
            <w:r w:rsidR="000F7691">
              <w:t xml:space="preserve">a </w:t>
            </w:r>
            <w:r w:rsidR="006F3936">
              <w:t>s</w:t>
            </w:r>
            <w:r>
              <w:t xml:space="preserve">afety factor of 3.0 </w:t>
            </w:r>
            <w:r w:rsidR="000F7691">
              <w:t xml:space="preserve">for </w:t>
            </w:r>
            <w:r w:rsidR="006F3936">
              <w:t>Grade A construction</w:t>
            </w:r>
            <w:r w:rsidR="000F7691">
              <w:t xml:space="preserve">, and </w:t>
            </w:r>
            <w:r w:rsidR="006F3936">
              <w:t xml:space="preserve">2.0 </w:t>
            </w:r>
            <w:r w:rsidR="000F7691">
              <w:t xml:space="preserve">for </w:t>
            </w:r>
            <w:r w:rsidR="006F3936">
              <w:t>Grades B and C construction</w:t>
            </w:r>
            <w:r w:rsidR="000F7691">
              <w:t xml:space="preserve">, </w:t>
            </w:r>
            <w:r w:rsidR="00827B09">
              <w:t xml:space="preserve">and </w:t>
            </w:r>
            <w:r w:rsidR="00B3565F">
              <w:t>incorporat</w:t>
            </w:r>
            <w:r w:rsidR="00827B09">
              <w:t>e</w:t>
            </w:r>
            <w:r w:rsidR="00B3565F">
              <w:t xml:space="preserve"> loads </w:t>
            </w:r>
            <w:r w:rsidR="006F3936">
              <w:t xml:space="preserve">for the entire pole structure, including all existing attachments </w:t>
            </w:r>
            <w:r w:rsidR="002D3C24">
              <w:t>an</w:t>
            </w:r>
            <w:r w:rsidR="005A140D">
              <w:t>d</w:t>
            </w:r>
            <w:r w:rsidR="002D3C24">
              <w:t xml:space="preserve"> guys (if any), </w:t>
            </w:r>
            <w:r w:rsidR="006F3936">
              <w:t>and all elements of the planned pole-top antenna installation.  After the installation, the safety factor shall comply with Rule 44.3.</w:t>
            </w:r>
            <w:r>
              <w:t xml:space="preserve"> </w:t>
            </w:r>
          </w:p>
          <w:p w:rsidR="00B3565F" w:rsidRDefault="00B3565F">
            <w:pPr>
              <w:pStyle w:val="standard"/>
              <w:tabs>
                <w:tab w:val="left" w:pos="360"/>
              </w:tabs>
              <w:spacing w:after="120" w:line="240" w:lineRule="auto"/>
              <w:ind w:left="360" w:firstLine="0"/>
            </w:pPr>
            <w:r>
              <w:t xml:space="preserve">Note:  The purpose of this calculation is to ensure that the pole overturning moment does not exceed the capacity of the soil, rock, or other material in which the pole is embedded to resist the pole overturning moment.  </w:t>
            </w:r>
          </w:p>
        </w:tc>
      </w:tr>
    </w:tbl>
    <w:p w:rsidR="00D12033" w:rsidRDefault="00D12033" w:rsidP="00D12033">
      <w:pPr>
        <w:pStyle w:val="standard"/>
        <w:spacing w:line="240" w:lineRule="auto"/>
      </w:pPr>
    </w:p>
    <w:p w:rsidR="00B828E8" w:rsidRDefault="00B828E8" w:rsidP="00720A2D">
      <w:pPr>
        <w:pStyle w:val="standard"/>
        <w:spacing w:line="240" w:lineRule="auto"/>
      </w:pPr>
    </w:p>
    <w:p w:rsidR="008F3130" w:rsidRDefault="008F3130" w:rsidP="00214651">
      <w:pPr>
        <w:pStyle w:val="AppendixPageHeaders"/>
      </w:pPr>
      <w:bookmarkStart w:id="182" w:name="_Toc436647403"/>
      <w:r>
        <w:t>Rule 94.12 (</w:t>
      </w:r>
      <w:r w:rsidR="00FE5D52">
        <w:t xml:space="preserve">Personnel </w:t>
      </w:r>
      <w:r>
        <w:t>Access Above Supply Line</w:t>
      </w:r>
      <w:r w:rsidR="00CA365E">
        <w:t>s</w:t>
      </w:r>
      <w:r>
        <w:t>)</w:t>
      </w:r>
      <w:bookmarkEnd w:id="182"/>
      <w:r>
        <w:t xml:space="preserve"> </w:t>
      </w:r>
    </w:p>
    <w:p w:rsidR="008F3130" w:rsidRDefault="008F3130" w:rsidP="009928FF">
      <w:pPr>
        <w:pStyle w:val="standard"/>
        <w:spacing w:before="120" w:line="240" w:lineRule="auto"/>
        <w:ind w:firstLine="0"/>
        <w:jc w:val="center"/>
        <w:rPr>
          <w:b/>
        </w:rPr>
      </w:pPr>
      <w:r>
        <w:rPr>
          <w:b/>
        </w:rPr>
        <w:t>Adopted Rule in Final Form</w:t>
      </w:r>
    </w:p>
    <w:p w:rsidR="008F3130" w:rsidRPr="00F31010" w:rsidRDefault="008F3130" w:rsidP="008F3130">
      <w:pPr>
        <w:pStyle w:val="standard"/>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F3130" w:rsidTr="001F62AD">
        <w:tc>
          <w:tcPr>
            <w:tcW w:w="5000" w:type="pct"/>
          </w:tcPr>
          <w:p w:rsidR="008F3130" w:rsidRPr="0056070D" w:rsidRDefault="008F3130" w:rsidP="001F62AD">
            <w:pPr>
              <w:pStyle w:val="standard"/>
              <w:spacing w:before="120" w:after="120" w:line="240" w:lineRule="auto"/>
              <w:ind w:firstLine="0"/>
              <w:rPr>
                <w:b/>
              </w:rPr>
            </w:pPr>
            <w:r>
              <w:rPr>
                <w:b/>
              </w:rPr>
              <w:t>94</w:t>
            </w:r>
            <w:r w:rsidRPr="0056070D">
              <w:rPr>
                <w:b/>
              </w:rPr>
              <w:t>.</w:t>
            </w:r>
            <w:r>
              <w:rPr>
                <w:b/>
              </w:rPr>
              <w:t>1</w:t>
            </w:r>
            <w:r w:rsidR="001650F7">
              <w:rPr>
                <w:b/>
              </w:rPr>
              <w:t>2</w:t>
            </w:r>
            <w:r w:rsidRPr="0056070D">
              <w:rPr>
                <w:b/>
              </w:rPr>
              <w:t xml:space="preserve"> </w:t>
            </w:r>
            <w:r w:rsidR="001650F7">
              <w:rPr>
                <w:b/>
              </w:rPr>
              <w:t>Personnel Access Above Supply Lines</w:t>
            </w:r>
            <w:r>
              <w:rPr>
                <w:b/>
              </w:rPr>
              <w:t xml:space="preserve"> </w:t>
            </w:r>
          </w:p>
          <w:p w:rsidR="008F3130" w:rsidRDefault="001650F7">
            <w:pPr>
              <w:pStyle w:val="standard"/>
              <w:tabs>
                <w:tab w:val="left" w:pos="360"/>
              </w:tabs>
              <w:spacing w:after="120" w:line="240" w:lineRule="auto"/>
              <w:ind w:left="360" w:firstLine="0"/>
            </w:pPr>
            <w:r>
              <w:t xml:space="preserve">Only personnel </w:t>
            </w:r>
            <w:r w:rsidR="00CA365E">
              <w:t xml:space="preserve">and contractors </w:t>
            </w:r>
            <w:r>
              <w:t xml:space="preserve">who are </w:t>
            </w:r>
            <w:r w:rsidR="00CA365E">
              <w:t xml:space="preserve">properly qualified </w:t>
            </w:r>
            <w:r>
              <w:t>to work in proximity to supply line</w:t>
            </w:r>
            <w:r w:rsidR="00CA365E">
              <w:t>s</w:t>
            </w:r>
            <w:r>
              <w:t xml:space="preserve"> shall have access to, and work on, wireless facilities installed above supply lines on the same support structure.  </w:t>
            </w:r>
            <w:r w:rsidR="008F3130">
              <w:t xml:space="preserve"> </w:t>
            </w:r>
          </w:p>
        </w:tc>
      </w:tr>
    </w:tbl>
    <w:p w:rsidR="001C0541" w:rsidRDefault="001C0541" w:rsidP="001C0541">
      <w:pPr>
        <w:pStyle w:val="standard"/>
        <w:sectPr w:rsidR="001C0541" w:rsidSect="0035469A">
          <w:footerReference w:type="default" r:id="rId41"/>
          <w:pgSz w:w="12240" w:h="15840"/>
          <w:pgMar w:top="1440" w:right="1440" w:bottom="1440" w:left="1440" w:header="720" w:footer="720" w:gutter="0"/>
          <w:pgNumType w:start="2" w:chapStyle="9"/>
          <w:cols w:space="720"/>
          <w:docGrid w:linePitch="360"/>
        </w:sectPr>
      </w:pPr>
    </w:p>
    <w:p w:rsidR="0037014A" w:rsidRPr="00E9643A" w:rsidRDefault="0037014A" w:rsidP="00A845DC">
      <w:pPr>
        <w:pStyle w:val="Heading9"/>
      </w:pPr>
      <w:r>
        <w:lastRenderedPageBreak/>
        <w:t xml:space="preserve">  </w:t>
      </w:r>
      <w:bookmarkStart w:id="183" w:name="_Toc436647404"/>
      <w:r>
        <w:t>Examples of Pole Space Subject to the 7.4% Fee</w:t>
      </w:r>
      <w:bookmarkEnd w:id="183"/>
      <w:r>
        <w:t xml:space="preserve"> </w:t>
      </w:r>
    </w:p>
    <w:p w:rsidR="0037014A" w:rsidRDefault="0037014A" w:rsidP="0037014A">
      <w:pPr>
        <w:pStyle w:val="standard"/>
        <w:ind w:firstLine="0"/>
      </w:pPr>
    </w:p>
    <w:p w:rsidR="0037014A" w:rsidRDefault="0037014A" w:rsidP="0037014A">
      <w:pPr>
        <w:pStyle w:val="standard"/>
      </w:pPr>
      <w:r>
        <w:t xml:space="preserve">Today’s Decision adopts a default pricing standard that each foot of vertical pole space which a CMRS attachment renders unusable for </w:t>
      </w:r>
      <w:r w:rsidR="009B60E2">
        <w:t>non</w:t>
      </w:r>
      <w:r w:rsidR="009B60E2">
        <w:noBreakHyphen/>
        <w:t xml:space="preserve">CMRS </w:t>
      </w:r>
      <w:r>
        <w:t xml:space="preserve">attachments shall be subject to an annual attachment fee equal to 7.4% of the pole owner’s annual cost-of-ownership.  The following examples provide guidance for implementing this principle.  </w:t>
      </w:r>
    </w:p>
    <w:p w:rsidR="0037014A" w:rsidRDefault="0037014A" w:rsidP="0037014A">
      <w:pPr>
        <w:pStyle w:val="standard"/>
      </w:pPr>
      <w:r w:rsidRPr="00AF317C">
        <w:rPr>
          <w:b/>
          <w:u w:val="single"/>
        </w:rPr>
        <w:t xml:space="preserve">Example </w:t>
      </w:r>
      <w:r>
        <w:rPr>
          <w:b/>
          <w:u w:val="single"/>
        </w:rPr>
        <w:t>1</w:t>
      </w:r>
      <w:r w:rsidRPr="00AF317C">
        <w:rPr>
          <w:b/>
        </w:rPr>
        <w:t xml:space="preserve">:  </w:t>
      </w:r>
      <w:r>
        <w:rPr>
          <w:b/>
        </w:rPr>
        <w:t>Pole Space Immediately Below Power Lines Operating at 75</w:t>
      </w:r>
      <w:r w:rsidRPr="00006395">
        <w:rPr>
          <w:b/>
        </w:rPr>
        <w:t>0 </w:t>
      </w:r>
      <w:r w:rsidRPr="00006395">
        <w:rPr>
          <w:b/>
        </w:rPr>
        <w:noBreakHyphen/>
      </w:r>
      <w:r>
        <w:rPr>
          <w:b/>
        </w:rPr>
        <w:t> 7,500 Volts</w:t>
      </w:r>
      <w:r>
        <w:t>.  The minimum safety clearance between power lines operating at 750 </w:t>
      </w:r>
      <w:r>
        <w:noBreakHyphen/>
        <w:t> 7,500 volts and a communication conductor is 4 feet.</w:t>
      </w:r>
      <w:r>
        <w:rPr>
          <w:rStyle w:val="FootnoteReference"/>
        </w:rPr>
        <w:footnoteReference w:id="131"/>
      </w:r>
      <w:r>
        <w:t xml:space="preserve">  The minimum safety clearance between communication conductors is 1 foot.</w:t>
      </w:r>
      <w:r w:rsidRPr="00E15E99">
        <w:rPr>
          <w:rStyle w:val="StandardFootnoteReferenceChar"/>
        </w:rPr>
        <w:footnoteReference w:id="132"/>
      </w:r>
      <w:r>
        <w:t xml:space="preserve">  Thus, for power lines operating at 750 </w:t>
      </w:r>
      <w:r>
        <w:noBreakHyphen/>
        <w:t xml:space="preserve"> 7,500 volts, a communication conductor may be installed 4 feet below the power lines, another communication conductor 5 feet below the power lines, and every foot thereafter.  </w:t>
      </w:r>
    </w:p>
    <w:p w:rsidR="0037014A" w:rsidRDefault="0037014A" w:rsidP="0037014A">
      <w:pPr>
        <w:pStyle w:val="standard"/>
      </w:pPr>
      <w:r>
        <w:t>The minimum safety clearance between power lines operating at 750 </w:t>
      </w:r>
      <w:r>
        <w:noBreakHyphen/>
        <w:t> 7,500 volts and an antenna installed below the power lines is 6 feet.</w:t>
      </w:r>
      <w:r>
        <w:rPr>
          <w:rStyle w:val="FootnoteReference"/>
        </w:rPr>
        <w:footnoteReference w:id="133"/>
      </w:r>
      <w:r>
        <w:t xml:space="preserve">  The minimum safety clearance between an antenna and a communication conductor is 2 feet.</w:t>
      </w:r>
      <w:r w:rsidRPr="00E15E99">
        <w:rPr>
          <w:rStyle w:val="StandardFootnoteReferenceChar"/>
        </w:rPr>
        <w:footnoteReference w:id="134"/>
      </w:r>
      <w:r>
        <w:t xml:space="preserve">  Thus, for power lines operating at 750 </w:t>
      </w:r>
      <w:r>
        <w:noBreakHyphen/>
        <w:t xml:space="preserve"> 7,500 volts, it would be possible to install a communication conductor 4 feet below the power lines, and a CMRS antenna 6 feet below the power lines.  However, no communication conductor could be installed 5 feet below the power lines or 6 feet below the power lines as would be the case without the CMRS antenna.  </w:t>
      </w:r>
    </w:p>
    <w:p w:rsidR="0037014A" w:rsidRDefault="0037014A" w:rsidP="0037014A">
      <w:pPr>
        <w:pStyle w:val="standard"/>
      </w:pPr>
      <w:r>
        <w:lastRenderedPageBreak/>
        <w:t xml:space="preserve">In this example, for the pole space between the power lines and the CMRS antenna installed 6 feet below the power lines, the pole space that is rendered unusable for communication conductors due to the CMRS antenna is 1 foot (i.e., the pole space between 5 and 6 feet below the power lines can no longer be used for communication conductors due solely to the installation of the CMRS antenna).     </w:t>
      </w:r>
    </w:p>
    <w:p w:rsidR="0037014A" w:rsidRDefault="0037014A" w:rsidP="0037014A">
      <w:pPr>
        <w:pStyle w:val="standard"/>
      </w:pPr>
      <w:r w:rsidRPr="00AF317C">
        <w:rPr>
          <w:b/>
          <w:u w:val="single"/>
        </w:rPr>
        <w:t xml:space="preserve">Example </w:t>
      </w:r>
      <w:r>
        <w:rPr>
          <w:b/>
          <w:u w:val="single"/>
        </w:rPr>
        <w:t>2</w:t>
      </w:r>
      <w:r w:rsidRPr="00AF317C">
        <w:rPr>
          <w:b/>
        </w:rPr>
        <w:t xml:space="preserve">:  </w:t>
      </w:r>
      <w:r>
        <w:rPr>
          <w:b/>
        </w:rPr>
        <w:t>Pole Space Immediately Below Power Lines Operating at 7,500 – 50,000 Volts</w:t>
      </w:r>
      <w:r>
        <w:t>.  The minimum safety clearance between power lines operating at 7,500 </w:t>
      </w:r>
      <w:r>
        <w:noBreakHyphen/>
        <w:t> 50,000 volts and a communication conductor is 6 feet.</w:t>
      </w:r>
      <w:r>
        <w:rPr>
          <w:rStyle w:val="FootnoteReference"/>
        </w:rPr>
        <w:footnoteReference w:id="135"/>
      </w:r>
      <w:r>
        <w:t xml:space="preserve">  The minimum safety clearance between power lines operating at 7,500 </w:t>
      </w:r>
      <w:r>
        <w:noBreakHyphen/>
        <w:t> 50,000 volts and an antenna installed below the power lines is 6 feet.</w:t>
      </w:r>
      <w:r>
        <w:rPr>
          <w:rStyle w:val="FootnoteReference"/>
        </w:rPr>
        <w:footnoteReference w:id="136"/>
      </w:r>
      <w:r>
        <w:t xml:space="preserve">  Thus, for power lines operating at 7,500 – 50,00 volts, it would </w:t>
      </w:r>
      <w:r w:rsidRPr="00892A46">
        <w:rPr>
          <w:u w:val="single"/>
        </w:rPr>
        <w:t>not</w:t>
      </w:r>
      <w:r>
        <w:t xml:space="preserve"> be possible to install a communication conductor in the first 6 feet below the power lines, with or without the CMRS antenna.    </w:t>
      </w:r>
    </w:p>
    <w:p w:rsidR="0037014A" w:rsidRDefault="0037014A" w:rsidP="0037014A">
      <w:pPr>
        <w:pStyle w:val="standard"/>
      </w:pPr>
      <w:r>
        <w:t xml:space="preserve">In this example, for the pole space between the power lines and the CMRS antenna installed 6 feet below the power lines, there is </w:t>
      </w:r>
      <w:r w:rsidRPr="00852B98">
        <w:t>no</w:t>
      </w:r>
      <w:r>
        <w:t xml:space="preserve"> pole space that is rendered unusable for communication conductors due to the CMRS antenna.   </w:t>
      </w:r>
    </w:p>
    <w:p w:rsidR="0037014A" w:rsidRDefault="0037014A" w:rsidP="0037014A">
      <w:pPr>
        <w:pStyle w:val="standard"/>
      </w:pPr>
      <w:r w:rsidRPr="00AF317C">
        <w:rPr>
          <w:b/>
          <w:u w:val="single"/>
        </w:rPr>
        <w:t xml:space="preserve">Example </w:t>
      </w:r>
      <w:r>
        <w:rPr>
          <w:b/>
          <w:u w:val="single"/>
        </w:rPr>
        <w:t>3</w:t>
      </w:r>
      <w:r w:rsidRPr="00AF317C">
        <w:rPr>
          <w:b/>
        </w:rPr>
        <w:t xml:space="preserve">:  </w:t>
      </w:r>
      <w:r>
        <w:rPr>
          <w:b/>
        </w:rPr>
        <w:t>Pole Space Immediately Above Power Lines Operating at 750 – 7,500 Volts, Attached 6 Feet Below the Pole Top</w:t>
      </w:r>
      <w:r>
        <w:t>.  Power lines operating at 750 </w:t>
      </w:r>
      <w:r>
        <w:noBreakHyphen/>
        <w:t> 7,500 volts must maintain a minimum safety clearance of 4 feet from other power lines attached to the same pole operating at 0 </w:t>
      </w:r>
      <w:r>
        <w:noBreakHyphen/>
        <w:t> 75,000 volts.</w:t>
      </w:r>
      <w:r>
        <w:rPr>
          <w:rStyle w:val="FootnoteReference"/>
        </w:rPr>
        <w:footnoteReference w:id="137"/>
      </w:r>
      <w:r>
        <w:t xml:space="preserve">  So, if power lines operating at 750 – 7,500 volts are attached 6 feet below the top of the pole, </w:t>
      </w:r>
      <w:r>
        <w:lastRenderedPageBreak/>
        <w:t>there would enough pole space to allow another set of power lines operating at 0 </w:t>
      </w:r>
      <w:r>
        <w:noBreakHyphen/>
        <w:t xml:space="preserve"> 75,000 volts to be attached at the top 2 feet of the pole.   </w:t>
      </w:r>
    </w:p>
    <w:p w:rsidR="0037014A" w:rsidRDefault="0037014A" w:rsidP="0037014A">
      <w:pPr>
        <w:pStyle w:val="standard"/>
      </w:pPr>
      <w:r>
        <w:t>Power lines operating at 750 </w:t>
      </w:r>
      <w:r>
        <w:noBreakHyphen/>
        <w:t> 7,500 volts must maintain a minimum vertical safety clearance o</w:t>
      </w:r>
      <w:r w:rsidR="008B2C51">
        <w:t>f</w:t>
      </w:r>
      <w:r>
        <w:t xml:space="preserve"> 6 feet from an antenna.</w:t>
      </w:r>
      <w:r>
        <w:rPr>
          <w:rStyle w:val="FootnoteReference"/>
        </w:rPr>
        <w:footnoteReference w:id="138"/>
      </w:r>
      <w:r>
        <w:t xml:space="preserve">  Therefore, an antenna attached at the top of the pole would prevent the installation of additional power lines between the antenna and the existing power lines attached 6 feet below the top of the pole.  </w:t>
      </w:r>
    </w:p>
    <w:p w:rsidR="0037014A" w:rsidRDefault="0037014A" w:rsidP="0037014A">
      <w:pPr>
        <w:pStyle w:val="standard"/>
      </w:pPr>
      <w:r>
        <w:t xml:space="preserve">In this example, for the pole space between the CMRS antenna and the power lines 6 feet below the antenna, the pole space that is rendered unusable for additional power lines due to the </w:t>
      </w:r>
      <w:r w:rsidR="008B2C51">
        <w:t>CMRS</w:t>
      </w:r>
      <w:r>
        <w:t xml:space="preserve"> antenna is 2 feet (i.e., the top two feet of pole space can no longer be used for power lines due solely to the installation of the CMRS antenna).    </w:t>
      </w:r>
    </w:p>
    <w:p w:rsidR="0037014A" w:rsidRDefault="0037014A" w:rsidP="0037014A">
      <w:pPr>
        <w:pStyle w:val="standard"/>
      </w:pPr>
      <w:r w:rsidRPr="00AF317C">
        <w:rPr>
          <w:b/>
          <w:u w:val="single"/>
        </w:rPr>
        <w:t xml:space="preserve">Example </w:t>
      </w:r>
      <w:r>
        <w:rPr>
          <w:b/>
          <w:u w:val="single"/>
        </w:rPr>
        <w:t>4</w:t>
      </w:r>
      <w:r w:rsidRPr="00AF317C">
        <w:rPr>
          <w:b/>
        </w:rPr>
        <w:t xml:space="preserve">:  </w:t>
      </w:r>
      <w:r>
        <w:rPr>
          <w:b/>
        </w:rPr>
        <w:t>Pole Space Immediately Above Power Lines Operating at 750 – 7,500 Volts, Attached 3 Feet Below the Pole Top</w:t>
      </w:r>
      <w:r>
        <w:t>.  Power lines operating at 750 </w:t>
      </w:r>
      <w:r>
        <w:noBreakHyphen/>
        <w:t> 7,500 volts must maintain a minimum safety clearance of 4 feet from other power lines attached to the same pole operating at 0 </w:t>
      </w:r>
      <w:r>
        <w:noBreakHyphen/>
        <w:t> 75,000 volts.</w:t>
      </w:r>
      <w:r>
        <w:rPr>
          <w:rStyle w:val="FootnoteReference"/>
        </w:rPr>
        <w:footnoteReference w:id="139"/>
      </w:r>
      <w:r>
        <w:t xml:space="preserve">  So, if power lines operating at 750 – 7,500 volts are attached 3 feet below the top of the pole, there would not be enough pole space to allow another set of power lines to be attached at the top of the pole.   </w:t>
      </w:r>
    </w:p>
    <w:p w:rsidR="0037014A" w:rsidRDefault="0037014A" w:rsidP="0037014A">
      <w:pPr>
        <w:pStyle w:val="standard"/>
      </w:pPr>
      <w:r>
        <w:t>Power lines operating at 750 </w:t>
      </w:r>
      <w:r>
        <w:noBreakHyphen/>
        <w:t> 7,500 volts must maintain a minimum vertical safety clearance or 6 feet from an antenna.</w:t>
      </w:r>
      <w:r>
        <w:rPr>
          <w:rStyle w:val="FootnoteReference"/>
        </w:rPr>
        <w:footnoteReference w:id="140"/>
      </w:r>
      <w:r>
        <w:t xml:space="preserve">  Thus, for an antenna to be attached to the top of the pole in this example, the antenna would require a </w:t>
      </w:r>
      <w:r>
        <w:lastRenderedPageBreak/>
        <w:t>pole</w:t>
      </w:r>
      <w:r>
        <w:noBreakHyphen/>
        <w:t>top extension of at least 3 feet to obtain the minimum 6</w:t>
      </w:r>
      <w:r>
        <w:noBreakHyphen/>
        <w:t xml:space="preserve">foot safety clearance with the power lines attached 3 feet below the top of the pole.   </w:t>
      </w:r>
    </w:p>
    <w:p w:rsidR="0037014A" w:rsidRDefault="0037014A" w:rsidP="0037014A">
      <w:pPr>
        <w:pStyle w:val="standard"/>
      </w:pPr>
      <w:r>
        <w:t xml:space="preserve">In this example, for the pole space between the CMRS antenna and the existing power lines 3 feet below the pole top, there is </w:t>
      </w:r>
      <w:r w:rsidRPr="00852B98">
        <w:t>no</w:t>
      </w:r>
      <w:r>
        <w:t xml:space="preserve"> pole space that is rendered unusable for additional power lines </w:t>
      </w:r>
      <w:r w:rsidR="009753BC">
        <w:t xml:space="preserve">because of safety clearances associated with </w:t>
      </w:r>
      <w:r>
        <w:t>the CMRS antenna.  However, the 7.4% pole</w:t>
      </w:r>
      <w:r>
        <w:noBreakHyphen/>
        <w:t>attachment fee would still apply to the pole space occupied by the antenna’s attachment bracket.</w:t>
      </w:r>
      <w:r w:rsidRPr="00E15E99">
        <w:rPr>
          <w:rStyle w:val="StandardFootnoteReferenceChar"/>
        </w:rPr>
        <w:footnoteReference w:id="141"/>
      </w:r>
      <w:r>
        <w:t xml:space="preserve">   </w:t>
      </w:r>
    </w:p>
    <w:p w:rsidR="0037014A" w:rsidRDefault="0037014A" w:rsidP="0037014A">
      <w:pPr>
        <w:pStyle w:val="standard"/>
        <w:ind w:firstLine="0"/>
      </w:pPr>
    </w:p>
    <w:p w:rsidR="0037014A" w:rsidRDefault="0037014A" w:rsidP="0037014A">
      <w:pPr>
        <w:pStyle w:val="standard"/>
        <w:ind w:firstLine="0"/>
        <w:sectPr w:rsidR="0037014A" w:rsidSect="0035469A">
          <w:footerReference w:type="default" r:id="rId42"/>
          <w:pgSz w:w="12240" w:h="15840"/>
          <w:pgMar w:top="1440" w:right="1440" w:bottom="1440" w:left="1440" w:header="720" w:footer="720" w:gutter="0"/>
          <w:pgNumType w:start="1" w:chapStyle="9"/>
          <w:cols w:space="720"/>
          <w:docGrid w:linePitch="360"/>
        </w:sectPr>
      </w:pPr>
    </w:p>
    <w:p w:rsidR="00BC3AA7" w:rsidRPr="00E9643A" w:rsidRDefault="00BC3AA7" w:rsidP="00A845DC">
      <w:pPr>
        <w:pStyle w:val="Heading9"/>
      </w:pPr>
      <w:r>
        <w:lastRenderedPageBreak/>
        <w:t xml:space="preserve">  </w:t>
      </w:r>
      <w:bookmarkStart w:id="184" w:name="_Toc436647405"/>
      <w:r w:rsidR="00A67ED9">
        <w:t xml:space="preserve">Example Calculations of </w:t>
      </w:r>
      <w:r w:rsidR="00582D7D">
        <w:t>Pole</w:t>
      </w:r>
      <w:r w:rsidR="00E71449">
        <w:t xml:space="preserve"> </w:t>
      </w:r>
      <w:r w:rsidR="00A67ED9">
        <w:t>Overturning Moment</w:t>
      </w:r>
      <w:bookmarkEnd w:id="184"/>
    </w:p>
    <w:p w:rsidR="00BC3AA7" w:rsidRPr="007C199F" w:rsidRDefault="00BC3AA7" w:rsidP="00A67ED9">
      <w:pPr>
        <w:pStyle w:val="standard"/>
        <w:ind w:firstLine="0"/>
      </w:pPr>
    </w:p>
    <w:p w:rsidR="00BC3AA7" w:rsidRDefault="00A3739D" w:rsidP="00A67ED9">
      <w:pPr>
        <w:pStyle w:val="standard"/>
        <w:ind w:firstLine="0"/>
      </w:pPr>
      <w:r w:rsidRPr="00A3739D">
        <w:rPr>
          <w:noProof/>
        </w:rPr>
        <w:drawing>
          <wp:inline distT="0" distB="0" distL="0" distR="0" wp14:anchorId="58CF2779" wp14:editId="1E2A3ABB">
            <wp:extent cx="5943600" cy="656398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6563988"/>
                    </a:xfrm>
                    <a:prstGeom prst="rect">
                      <a:avLst/>
                    </a:prstGeom>
                    <a:noFill/>
                    <a:ln>
                      <a:noFill/>
                    </a:ln>
                  </pic:spPr>
                </pic:pic>
              </a:graphicData>
            </a:graphic>
          </wp:inline>
        </w:drawing>
      </w:r>
    </w:p>
    <w:p w:rsidR="00067534" w:rsidRDefault="00067534">
      <w:r>
        <w:br w:type="page"/>
      </w:r>
    </w:p>
    <w:p w:rsidR="001D69AA" w:rsidRDefault="001D69AA" w:rsidP="00F715F5">
      <w:pPr>
        <w:pStyle w:val="standard"/>
      </w:pPr>
    </w:p>
    <w:p w:rsidR="00067534" w:rsidRDefault="00396F2B" w:rsidP="00E06D59">
      <w:pPr>
        <w:pStyle w:val="standard"/>
        <w:ind w:firstLine="0"/>
      </w:pPr>
      <w:r w:rsidRPr="00396F2B">
        <w:rPr>
          <w:noProof/>
        </w:rPr>
        <w:drawing>
          <wp:inline distT="0" distB="0" distL="0" distR="0" wp14:anchorId="551BCF61" wp14:editId="26EFA5F7">
            <wp:extent cx="5943600" cy="609227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6092278"/>
                    </a:xfrm>
                    <a:prstGeom prst="rect">
                      <a:avLst/>
                    </a:prstGeom>
                    <a:noFill/>
                    <a:ln>
                      <a:noFill/>
                    </a:ln>
                  </pic:spPr>
                </pic:pic>
              </a:graphicData>
            </a:graphic>
          </wp:inline>
        </w:drawing>
      </w:r>
    </w:p>
    <w:p w:rsidR="00E06D59" w:rsidRDefault="00E06D59" w:rsidP="00C43369">
      <w:pPr>
        <w:pStyle w:val="standard"/>
        <w:spacing w:line="240" w:lineRule="auto"/>
        <w:ind w:firstLine="0"/>
        <w:jc w:val="center"/>
        <w:rPr>
          <w:b/>
        </w:rPr>
      </w:pPr>
    </w:p>
    <w:p w:rsidR="00F44782" w:rsidRDefault="00F44782" w:rsidP="00C43369">
      <w:pPr>
        <w:pStyle w:val="standard"/>
        <w:spacing w:line="240" w:lineRule="auto"/>
        <w:ind w:firstLine="0"/>
        <w:jc w:val="center"/>
        <w:rPr>
          <w:b/>
        </w:rPr>
      </w:pPr>
    </w:p>
    <w:p w:rsidR="00F44782" w:rsidRDefault="00F44782" w:rsidP="00C43369">
      <w:pPr>
        <w:pStyle w:val="standard"/>
        <w:spacing w:line="240" w:lineRule="auto"/>
        <w:ind w:firstLine="0"/>
        <w:jc w:val="center"/>
        <w:rPr>
          <w:b/>
        </w:rPr>
      </w:pPr>
    </w:p>
    <w:p w:rsidR="0035124D" w:rsidRDefault="0035124D" w:rsidP="00C43369">
      <w:pPr>
        <w:pStyle w:val="standard"/>
        <w:spacing w:line="240" w:lineRule="auto"/>
        <w:ind w:firstLine="0"/>
        <w:jc w:val="center"/>
        <w:rPr>
          <w:b/>
        </w:rPr>
      </w:pPr>
      <w:r w:rsidRPr="00C43369">
        <w:rPr>
          <w:b/>
        </w:rPr>
        <w:t xml:space="preserve">(END OF APPENDIX </w:t>
      </w:r>
      <w:r w:rsidR="00C1758D">
        <w:rPr>
          <w:b/>
        </w:rPr>
        <w:t>E</w:t>
      </w:r>
      <w:r w:rsidRPr="00C43369">
        <w:rPr>
          <w:b/>
        </w:rPr>
        <w:t>)</w:t>
      </w:r>
      <w:r w:rsidR="00F44782">
        <w:rPr>
          <w:b/>
        </w:rPr>
        <w:t xml:space="preserve"> </w:t>
      </w:r>
    </w:p>
    <w:p w:rsidR="00F44782" w:rsidRDefault="00F44782" w:rsidP="00C43369">
      <w:pPr>
        <w:pStyle w:val="standard"/>
        <w:spacing w:line="240" w:lineRule="auto"/>
        <w:ind w:firstLine="0"/>
        <w:jc w:val="center"/>
        <w:rPr>
          <w:b/>
        </w:rPr>
      </w:pPr>
    </w:p>
    <w:sectPr w:rsidR="00F44782" w:rsidSect="0035469A">
      <w:pgSz w:w="12240" w:h="15840"/>
      <w:pgMar w:top="1440" w:right="1440" w:bottom="1440" w:left="1440" w:header="720" w:footer="720" w:gutter="0"/>
      <w:pgNumType w:start="1" w:chapStyle="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32E" w:rsidRDefault="00E3632E">
      <w:r>
        <w:separator/>
      </w:r>
    </w:p>
    <w:p w:rsidR="00E3632E" w:rsidRDefault="00E3632E"/>
    <w:p w:rsidR="00E3632E" w:rsidRDefault="00E3632E"/>
    <w:p w:rsidR="00E3632E" w:rsidRDefault="00E3632E"/>
    <w:p w:rsidR="00E3632E" w:rsidRDefault="00E3632E"/>
    <w:p w:rsidR="00E3632E" w:rsidRDefault="00E3632E"/>
    <w:p w:rsidR="00E3632E" w:rsidRDefault="00E3632E"/>
    <w:p w:rsidR="00E3632E" w:rsidRDefault="00E3632E"/>
    <w:p w:rsidR="00E3632E" w:rsidRDefault="00E3632E"/>
  </w:endnote>
  <w:endnote w:type="continuationSeparator" w:id="0">
    <w:p w:rsidR="00E3632E" w:rsidRDefault="00E3632E">
      <w:r>
        <w:continuationSeparator/>
      </w:r>
    </w:p>
    <w:p w:rsidR="00E3632E" w:rsidRDefault="00E3632E"/>
    <w:p w:rsidR="00E3632E" w:rsidRDefault="00E3632E"/>
    <w:p w:rsidR="00E3632E" w:rsidRDefault="00E3632E"/>
    <w:p w:rsidR="00E3632E" w:rsidRDefault="00E3632E"/>
    <w:p w:rsidR="00E3632E" w:rsidRDefault="00E3632E"/>
    <w:p w:rsidR="00E3632E" w:rsidRDefault="00E3632E"/>
    <w:p w:rsidR="00E3632E" w:rsidRDefault="00E3632E"/>
    <w:p w:rsidR="00E3632E" w:rsidRDefault="00E363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5A2" w:rsidRDefault="004D65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4D65A2" w:rsidRDefault="004D65A2">
    <w:pPr>
      <w:pStyle w:val="Footer"/>
    </w:pPr>
  </w:p>
  <w:p w:rsidR="004D65A2" w:rsidRDefault="004D65A2"/>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5A2" w:rsidRPr="00094215" w:rsidRDefault="004D65A2" w:rsidP="00094215">
    <w:pPr>
      <w:pStyle w:val="Footer"/>
    </w:pPr>
    <w:r>
      <w:fldChar w:fldCharType="begin"/>
    </w:r>
    <w:r>
      <w:instrText xml:space="preserve"> PAGE   \* MERGEFORMAT </w:instrText>
    </w:r>
    <w:r>
      <w:fldChar w:fldCharType="separate"/>
    </w:r>
    <w:r w:rsidR="00F94EB1">
      <w:rPr>
        <w:noProof/>
      </w:rPr>
      <w:t>A-23</w:t>
    </w:r>
    <w:r>
      <w:rPr>
        <w:noProof/>
      </w:rPr>
      <w:fldChar w:fldCharType="end"/>
    </w:r>
    <w:r>
      <w:rPr>
        <w:noProof/>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5A2" w:rsidRPr="00094215" w:rsidRDefault="004D65A2" w:rsidP="00094215">
    <w:pPr>
      <w:pStyle w:val="Footer"/>
    </w:pPr>
    <w:r>
      <w:t>A-</w:t>
    </w:r>
    <w:r>
      <w:fldChar w:fldCharType="begin"/>
    </w:r>
    <w:r>
      <w:instrText xml:space="preserve"> PAGE   \* MERGEFORMAT </w:instrText>
    </w:r>
    <w:r>
      <w:fldChar w:fldCharType="separate"/>
    </w:r>
    <w:r w:rsidR="00F94EB1">
      <w:rPr>
        <w:noProof/>
      </w:rPr>
      <w:t>43</w:t>
    </w:r>
    <w:r>
      <w:rPr>
        <w:noProof/>
      </w:rPr>
      <w:fldChar w:fldCharType="end"/>
    </w:r>
    <w:r>
      <w:rPr>
        <w:noProof/>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5A2" w:rsidRDefault="004D65A2" w:rsidP="0035469A">
    <w:pPr>
      <w:jc w:val="center"/>
    </w:pPr>
    <w:r>
      <w:fldChar w:fldCharType="begin"/>
    </w:r>
    <w:r>
      <w:instrText xml:space="preserve"> PAGE   \* MERGEFORMAT </w:instrText>
    </w:r>
    <w:r>
      <w:fldChar w:fldCharType="separate"/>
    </w:r>
    <w:r w:rsidR="00F94EB1">
      <w:rPr>
        <w:noProof/>
      </w:rPr>
      <w:t>B-1</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5A2" w:rsidRDefault="004D65A2" w:rsidP="008C2F16">
    <w:pPr>
      <w:pStyle w:val="Footer"/>
    </w:pPr>
    <w:r>
      <w:fldChar w:fldCharType="begin"/>
    </w:r>
    <w:r>
      <w:instrText xml:space="preserve"> PAGE   \* MERGEFORMAT </w:instrText>
    </w:r>
    <w:r>
      <w:fldChar w:fldCharType="separate"/>
    </w:r>
    <w:r w:rsidR="00F94EB1">
      <w:rPr>
        <w:noProof/>
      </w:rPr>
      <w:t>B-6</w:t>
    </w:r>
    <w:r>
      <w:rPr>
        <w:noProof/>
      </w:rPr>
      <w:fldChar w:fldCharType="end"/>
    </w:r>
    <w:r>
      <w:rPr>
        <w:noProof/>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5A2" w:rsidRDefault="004D65A2" w:rsidP="0035469A">
    <w:pPr>
      <w:jc w:val="center"/>
    </w:pPr>
    <w:r>
      <w:fldChar w:fldCharType="begin"/>
    </w:r>
    <w:r>
      <w:instrText xml:space="preserve"> PAGE   \* MERGEFORMAT </w:instrText>
    </w:r>
    <w:r>
      <w:fldChar w:fldCharType="separate"/>
    </w:r>
    <w:r w:rsidR="00F94EB1">
      <w:rPr>
        <w:noProof/>
      </w:rPr>
      <w:t>C-1</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5A2" w:rsidRDefault="004D65A2" w:rsidP="008C2F16">
    <w:pPr>
      <w:pStyle w:val="Footer"/>
    </w:pPr>
    <w:r>
      <w:fldChar w:fldCharType="begin"/>
    </w:r>
    <w:r>
      <w:instrText xml:space="preserve"> PAGE   \* MERGEFORMAT </w:instrText>
    </w:r>
    <w:r>
      <w:fldChar w:fldCharType="separate"/>
    </w:r>
    <w:r w:rsidR="00F94EB1">
      <w:rPr>
        <w:noProof/>
      </w:rPr>
      <w:t>C-4</w:t>
    </w:r>
    <w:r>
      <w:rPr>
        <w:noProof/>
      </w:rPr>
      <w:fldChar w:fldCharType="end"/>
    </w:r>
    <w:r>
      <w:rPr>
        <w:noProof/>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5A2" w:rsidRDefault="004D65A2" w:rsidP="0035469A">
    <w:pPr>
      <w:pStyle w:val="Footer"/>
      <w:tabs>
        <w:tab w:val="clear" w:pos="4320"/>
        <w:tab w:val="clear" w:pos="8640"/>
        <w:tab w:val="center" w:pos="4680"/>
      </w:tabs>
    </w:pPr>
    <w:r>
      <w:fldChar w:fldCharType="begin"/>
    </w:r>
    <w:r>
      <w:instrText xml:space="preserve"> PAGE   \* MERGEFORMAT </w:instrText>
    </w:r>
    <w:r>
      <w:fldChar w:fldCharType="separate"/>
    </w:r>
    <w:r w:rsidR="00F94EB1">
      <w:rPr>
        <w:noProof/>
      </w:rPr>
      <w:t>E-2</w:t>
    </w:r>
    <w:r>
      <w:rPr>
        <w:noProof/>
      </w:rPr>
      <w:fldChar w:fldCharType="end"/>
    </w:r>
    <w:r>
      <w:rPr>
        <w:noProof/>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5A2" w:rsidRDefault="004D65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4D65A2" w:rsidRDefault="004D65A2">
    <w:pPr>
      <w:pStyle w:val="Footer"/>
      <w:framePr w:w="542" w:wrap="around" w:vAnchor="text" w:hAnchor="page" w:x="5842" w:y="-37"/>
      <w:rPr>
        <w:rStyle w:val="PageNumber"/>
      </w:rPr>
    </w:pPr>
    <w:r>
      <w:rPr>
        <w:rStyle w:val="PageNumber"/>
      </w:rPr>
      <w:t>-     -</w:t>
    </w:r>
  </w:p>
  <w:p w:rsidR="004D65A2" w:rsidRDefault="004D65A2">
    <w:pPr>
      <w:pStyle w:val="Footer"/>
      <w:jc w:val="left"/>
    </w:pPr>
  </w:p>
  <w:p w:rsidR="004D65A2" w:rsidRDefault="004D65A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5A2" w:rsidRDefault="00023842" w:rsidP="006B13D5">
    <w:pPr>
      <w:pStyle w:val="Footer"/>
      <w:tabs>
        <w:tab w:val="clear" w:pos="4320"/>
        <w:tab w:val="center" w:pos="4680"/>
      </w:tabs>
      <w:jc w:val="left"/>
    </w:pPr>
    <w:r w:rsidRPr="00D94EAA">
      <w:rPr>
        <w:sz w:val="16"/>
        <w:szCs w:val="16"/>
      </w:rPr>
      <w:t>156</w:t>
    </w:r>
    <w:r w:rsidR="000F0471">
      <w:rPr>
        <w:sz w:val="16"/>
        <w:szCs w:val="16"/>
      </w:rPr>
      <w:t>17595</w:t>
    </w:r>
    <w:r w:rsidR="00DA5806">
      <w:rPr>
        <w:sz w:val="16"/>
        <w:szCs w:val="16"/>
      </w:rPr>
      <w:t>1</w:t>
    </w:r>
    <w:r w:rsidR="004D65A2">
      <w:tab/>
      <w:t xml:space="preserve">- </w:t>
    </w:r>
    <w:r w:rsidR="004D65A2">
      <w:rPr>
        <w:rStyle w:val="PageNumber"/>
      </w:rPr>
      <w:fldChar w:fldCharType="begin"/>
    </w:r>
    <w:r w:rsidR="004D65A2">
      <w:rPr>
        <w:rStyle w:val="PageNumber"/>
      </w:rPr>
      <w:instrText xml:space="preserve"> PAGE </w:instrText>
    </w:r>
    <w:r w:rsidR="004D65A2">
      <w:rPr>
        <w:rStyle w:val="PageNumber"/>
      </w:rPr>
      <w:fldChar w:fldCharType="separate"/>
    </w:r>
    <w:r w:rsidR="00F94EB1">
      <w:rPr>
        <w:rStyle w:val="PageNumber"/>
        <w:noProof/>
      </w:rPr>
      <w:t>1</w:t>
    </w:r>
    <w:r w:rsidR="004D65A2">
      <w:rPr>
        <w:rStyle w:val="PageNumber"/>
      </w:rPr>
      <w:fldChar w:fldCharType="end"/>
    </w:r>
    <w:r w:rsidR="004D65A2">
      <w:rPr>
        <w:rStyle w:val="PageNumber"/>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5A2" w:rsidRDefault="004D65A2">
    <w:pPr>
      <w:pStyle w:val="Footer"/>
      <w:framePr w:wrap="around" w:vAnchor="text" w:hAnchor="margin" w:xAlign="center" w:y="1"/>
      <w:jc w:val="left"/>
      <w:rPr>
        <w:rStyle w:val="PageNumber"/>
      </w:rPr>
    </w:pP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F94EB1">
      <w:rPr>
        <w:rStyle w:val="PageNumber"/>
        <w:noProof/>
      </w:rPr>
      <w:t>iii</w:t>
    </w:r>
    <w:r>
      <w:rPr>
        <w:rStyle w:val="PageNumber"/>
      </w:rPr>
      <w:fldChar w:fldCharType="end"/>
    </w:r>
    <w:r>
      <w:rPr>
        <w:rStyle w:val="PageNumber"/>
      </w:rPr>
      <w:t xml:space="preserve"> -</w:t>
    </w:r>
  </w:p>
  <w:p w:rsidR="004D65A2" w:rsidRDefault="004D65A2" w:rsidP="00F7408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5A2" w:rsidRDefault="004D65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94EB1">
      <w:rPr>
        <w:rStyle w:val="PageNumber"/>
        <w:noProof/>
      </w:rPr>
      <w:t>i</w:t>
    </w:r>
    <w:r>
      <w:rPr>
        <w:rStyle w:val="PageNumber"/>
      </w:rPr>
      <w:fldChar w:fldCharType="end"/>
    </w:r>
  </w:p>
  <w:p w:rsidR="004D65A2" w:rsidRDefault="004D65A2">
    <w:pPr>
      <w:pStyle w:val="Footer"/>
    </w:pPr>
    <w:r>
      <w:t xml:space="preserve">- </w:t>
    </w:r>
    <w:r>
      <w:rPr>
        <w:rStyle w:val="PageNumber"/>
      </w:rPr>
      <w:t xml:space="preserve"> -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5A2" w:rsidRDefault="004D65A2">
    <w:pPr>
      <w:pStyle w:val="Footer"/>
      <w:rPr>
        <w:szCs w:val="26"/>
      </w:rPr>
    </w:pPr>
  </w:p>
  <w:p w:rsidR="004D65A2" w:rsidRDefault="004D65A2"/>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5A2" w:rsidRDefault="004D65A2" w:rsidP="005E4C0A">
    <w:pPr>
      <w:pStyle w:val="Footer"/>
      <w:tabs>
        <w:tab w:val="clear" w:pos="4320"/>
        <w:tab w:val="clear" w:pos="8640"/>
        <w:tab w:val="right" w:pos="9270"/>
      </w:tabs>
      <w:rPr>
        <w:noProof/>
      </w:rPr>
    </w:pPr>
    <w:r>
      <w:t xml:space="preserve">- </w:t>
    </w:r>
    <w:r>
      <w:fldChar w:fldCharType="begin"/>
    </w:r>
    <w:r>
      <w:instrText xml:space="preserve"> PAGE   \* MERGEFORMAT </w:instrText>
    </w:r>
    <w:r>
      <w:fldChar w:fldCharType="separate"/>
    </w:r>
    <w:r w:rsidR="00F94EB1">
      <w:rPr>
        <w:noProof/>
      </w:rPr>
      <w:t>134</w:t>
    </w:r>
    <w:r>
      <w:rPr>
        <w:noProof/>
      </w:rPr>
      <w:fldChar w:fldCharType="end"/>
    </w:r>
    <w:r>
      <w:rPr>
        <w:noProof/>
      </w:rPr>
      <w:t xml:space="preserve"> -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5A2" w:rsidRPr="00094215" w:rsidRDefault="004D65A2" w:rsidP="00094215">
    <w:pPr>
      <w:pStyle w:val="Footer"/>
    </w:pPr>
    <w:r>
      <w:fldChar w:fldCharType="begin"/>
    </w:r>
    <w:r>
      <w:instrText xml:space="preserve"> PAGE   \* MERGEFORMAT </w:instrText>
    </w:r>
    <w:r>
      <w:fldChar w:fldCharType="separate"/>
    </w:r>
    <w:r w:rsidR="00F94EB1">
      <w:rPr>
        <w:noProof/>
      </w:rPr>
      <w:t>A-1</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5A2" w:rsidRPr="00094215" w:rsidRDefault="004D65A2" w:rsidP="00094215">
    <w:pPr>
      <w:pStyle w:val="Footer"/>
    </w:pPr>
    <w:r>
      <w:fldChar w:fldCharType="begin"/>
    </w:r>
    <w:r>
      <w:instrText xml:space="preserve"> PAGE   \* MERGEFORMAT </w:instrText>
    </w:r>
    <w:r>
      <w:fldChar w:fldCharType="separate"/>
    </w:r>
    <w:r w:rsidR="00F94EB1">
      <w:rPr>
        <w:noProof/>
      </w:rPr>
      <w:t>A-2</w:t>
    </w:r>
    <w:r>
      <w:rPr>
        <w:noProof/>
      </w:rPr>
      <w:fldChar w:fldCharType="end"/>
    </w:r>
    <w:r>
      <w:rPr>
        <w:noProo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32E" w:rsidRDefault="00E3632E" w:rsidP="00E60FA0">
      <w:pPr>
        <w:spacing w:after="60"/>
      </w:pPr>
      <w:r>
        <w:separator/>
      </w:r>
    </w:p>
  </w:footnote>
  <w:footnote w:type="continuationSeparator" w:id="0">
    <w:p w:rsidR="00E3632E" w:rsidRDefault="00E3632E" w:rsidP="00E60FA0">
      <w:pPr>
        <w:spacing w:after="60"/>
      </w:pPr>
      <w:r>
        <w:continuationSeparator/>
      </w:r>
    </w:p>
  </w:footnote>
  <w:footnote w:type="continuationNotice" w:id="1">
    <w:p w:rsidR="00E3632E" w:rsidRDefault="00E3632E"/>
  </w:footnote>
  <w:footnote w:id="2">
    <w:p w:rsidR="004D65A2" w:rsidRPr="00F353B7" w:rsidRDefault="004D65A2" w:rsidP="00B009CB">
      <w:pPr>
        <w:pStyle w:val="FootnoteText"/>
        <w:rPr>
          <w:szCs w:val="22"/>
        </w:rPr>
      </w:pPr>
      <w:r w:rsidRPr="00F353B7">
        <w:rPr>
          <w:rStyle w:val="FootnoteReference"/>
          <w:sz w:val="22"/>
          <w:szCs w:val="22"/>
        </w:rPr>
        <w:footnoteRef/>
      </w:r>
      <w:r w:rsidRPr="00F353B7">
        <w:rPr>
          <w:szCs w:val="22"/>
        </w:rPr>
        <w:t xml:space="preserve"> </w:t>
      </w:r>
      <w:r w:rsidRPr="00F353B7">
        <w:rPr>
          <w:szCs w:val="22"/>
        </w:rPr>
        <w:tab/>
        <w:t>47 U.S.C. § 224 (a)(1) defines the term “utility” as “any person who is a local exchange carrier or an electric, gas, water, steam, or other public utility, and who owns or controls poles, ducts, conduits, or rights-of-way used, in whole or in part, for any wire communications.”</w:t>
      </w:r>
    </w:p>
  </w:footnote>
  <w:footnote w:id="3">
    <w:p w:rsidR="004D65A2" w:rsidRPr="00F353B7" w:rsidRDefault="004D65A2" w:rsidP="002C32CC">
      <w:pPr>
        <w:pStyle w:val="FootnoteText"/>
        <w:rPr>
          <w:szCs w:val="22"/>
        </w:rPr>
      </w:pPr>
      <w:r w:rsidRPr="00F353B7">
        <w:rPr>
          <w:rStyle w:val="FootnoteReference"/>
          <w:sz w:val="22"/>
          <w:szCs w:val="22"/>
        </w:rPr>
        <w:footnoteRef/>
      </w:r>
      <w:r w:rsidRPr="00F353B7">
        <w:rPr>
          <w:szCs w:val="22"/>
        </w:rPr>
        <w:t xml:space="preserve"> </w:t>
      </w:r>
      <w:r w:rsidRPr="00F353B7">
        <w:rPr>
          <w:szCs w:val="22"/>
        </w:rPr>
        <w:tab/>
        <w:t>See also 47 U.S.C. § 251(b)(4).</w:t>
      </w:r>
    </w:p>
  </w:footnote>
  <w:footnote w:id="4">
    <w:p w:rsidR="004D65A2" w:rsidRPr="00F353B7" w:rsidRDefault="004D65A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Section 224(a)(4) defines the term “pole attachment” as “any attachment by a cable television system or provider of telecommunications service to a pole, duct, conduit, or right-of-way owned or controlled by a utility.”  </w:t>
      </w:r>
    </w:p>
  </w:footnote>
  <w:footnote w:id="5">
    <w:p w:rsidR="004D65A2" w:rsidRPr="00F353B7" w:rsidRDefault="004D65A2" w:rsidP="00EE0496">
      <w:pPr>
        <w:pStyle w:val="FootnoteText"/>
        <w:rPr>
          <w:szCs w:val="22"/>
        </w:rPr>
      </w:pPr>
      <w:r w:rsidRPr="00F353B7">
        <w:rPr>
          <w:rStyle w:val="FootnoteReference"/>
          <w:sz w:val="22"/>
          <w:szCs w:val="22"/>
        </w:rPr>
        <w:footnoteRef/>
      </w:r>
      <w:r w:rsidRPr="00F353B7">
        <w:rPr>
          <w:szCs w:val="22"/>
        </w:rPr>
        <w:t xml:space="preserve"> </w:t>
      </w:r>
      <w:r w:rsidRPr="00F353B7">
        <w:rPr>
          <w:szCs w:val="22"/>
        </w:rPr>
        <w:tab/>
      </w:r>
      <w:r w:rsidRPr="00F353B7">
        <w:rPr>
          <w:rStyle w:val="FootnoteTextChar"/>
          <w:i/>
          <w:szCs w:val="22"/>
        </w:rPr>
        <w:t>I</w:t>
      </w:r>
      <w:r w:rsidRPr="00F353B7">
        <w:rPr>
          <w:rStyle w:val="FootnoteTextChar"/>
          <w:i/>
          <w:iCs/>
          <w:szCs w:val="22"/>
        </w:rPr>
        <w:t xml:space="preserve">n </w:t>
      </w:r>
      <w:r w:rsidRPr="00F353B7">
        <w:rPr>
          <w:rStyle w:val="FootnoteTextChar"/>
          <w:i/>
          <w:szCs w:val="22"/>
        </w:rPr>
        <w:t>t</w:t>
      </w:r>
      <w:r w:rsidRPr="00F353B7">
        <w:rPr>
          <w:rStyle w:val="FootnoteTextChar"/>
          <w:i/>
          <w:iCs/>
          <w:szCs w:val="22"/>
        </w:rPr>
        <w:t xml:space="preserve">he </w:t>
      </w:r>
      <w:r w:rsidRPr="00F353B7">
        <w:rPr>
          <w:rStyle w:val="FootnoteTextChar"/>
          <w:i/>
          <w:szCs w:val="22"/>
        </w:rPr>
        <w:t>Matte</w:t>
      </w:r>
      <w:r w:rsidRPr="00F353B7">
        <w:rPr>
          <w:rStyle w:val="FootnoteTextChar"/>
          <w:i/>
          <w:iCs/>
          <w:szCs w:val="22"/>
        </w:rPr>
        <w:t xml:space="preserve">r </w:t>
      </w:r>
      <w:r w:rsidRPr="00F353B7">
        <w:rPr>
          <w:rStyle w:val="FootnoteTextChar"/>
          <w:i/>
          <w:szCs w:val="22"/>
        </w:rPr>
        <w:t>o</w:t>
      </w:r>
      <w:r w:rsidRPr="00F353B7">
        <w:rPr>
          <w:rStyle w:val="FootnoteTextChar"/>
          <w:i/>
          <w:iCs/>
          <w:szCs w:val="22"/>
        </w:rPr>
        <w:t xml:space="preserve">f </w:t>
      </w:r>
      <w:r w:rsidRPr="00F353B7">
        <w:rPr>
          <w:rStyle w:val="FootnoteTextChar"/>
          <w:i/>
          <w:szCs w:val="22"/>
        </w:rPr>
        <w:t>Implementatio</w:t>
      </w:r>
      <w:r w:rsidRPr="00F353B7">
        <w:rPr>
          <w:rStyle w:val="FootnoteTextChar"/>
          <w:i/>
          <w:iCs/>
          <w:szCs w:val="22"/>
        </w:rPr>
        <w:t xml:space="preserve">n </w:t>
      </w:r>
      <w:r w:rsidRPr="00F353B7">
        <w:rPr>
          <w:rStyle w:val="FootnoteTextChar"/>
          <w:i/>
          <w:szCs w:val="22"/>
        </w:rPr>
        <w:t>o</w:t>
      </w:r>
      <w:r w:rsidRPr="00F353B7">
        <w:rPr>
          <w:rStyle w:val="FootnoteTextChar"/>
          <w:i/>
          <w:iCs/>
          <w:szCs w:val="22"/>
        </w:rPr>
        <w:t>f Se</w:t>
      </w:r>
      <w:r w:rsidRPr="00F353B7">
        <w:rPr>
          <w:rStyle w:val="FootnoteTextChar"/>
          <w:i/>
          <w:szCs w:val="22"/>
        </w:rPr>
        <w:t>ctio</w:t>
      </w:r>
      <w:r w:rsidRPr="00F353B7">
        <w:rPr>
          <w:rStyle w:val="FootnoteTextChar"/>
          <w:i/>
          <w:iCs/>
          <w:szCs w:val="22"/>
        </w:rPr>
        <w:t xml:space="preserve">n </w:t>
      </w:r>
      <w:r w:rsidRPr="00F353B7">
        <w:rPr>
          <w:rStyle w:val="FootnoteTextChar"/>
          <w:i/>
          <w:szCs w:val="22"/>
        </w:rPr>
        <w:t>22</w:t>
      </w:r>
      <w:r w:rsidRPr="00F353B7">
        <w:rPr>
          <w:rStyle w:val="FootnoteTextChar"/>
          <w:i/>
          <w:iCs/>
          <w:szCs w:val="22"/>
        </w:rPr>
        <w:t xml:space="preserve">4 </w:t>
      </w:r>
      <w:r w:rsidRPr="00F353B7">
        <w:rPr>
          <w:rStyle w:val="FootnoteTextChar"/>
          <w:i/>
          <w:szCs w:val="22"/>
        </w:rPr>
        <w:t>o</w:t>
      </w:r>
      <w:r w:rsidRPr="00F353B7">
        <w:rPr>
          <w:rStyle w:val="FootnoteTextChar"/>
          <w:i/>
          <w:iCs/>
          <w:szCs w:val="22"/>
        </w:rPr>
        <w:t xml:space="preserve">f </w:t>
      </w:r>
      <w:r w:rsidRPr="00F353B7">
        <w:rPr>
          <w:rStyle w:val="FootnoteTextChar"/>
          <w:i/>
          <w:szCs w:val="22"/>
        </w:rPr>
        <w:t>t</w:t>
      </w:r>
      <w:r w:rsidRPr="00F353B7">
        <w:rPr>
          <w:rStyle w:val="FootnoteTextChar"/>
          <w:i/>
          <w:iCs/>
          <w:szCs w:val="22"/>
        </w:rPr>
        <w:t xml:space="preserve">he </w:t>
      </w:r>
      <w:r w:rsidRPr="00F353B7">
        <w:rPr>
          <w:rStyle w:val="FootnoteTextChar"/>
          <w:i/>
          <w:szCs w:val="22"/>
        </w:rPr>
        <w:t>Act</w:t>
      </w:r>
      <w:r w:rsidRPr="00F353B7">
        <w:rPr>
          <w:rStyle w:val="FootnoteTextChar"/>
          <w:i/>
          <w:iCs/>
          <w:szCs w:val="22"/>
        </w:rPr>
        <w:t xml:space="preserve">; A </w:t>
      </w:r>
      <w:r w:rsidRPr="00F353B7">
        <w:rPr>
          <w:rStyle w:val="FootnoteTextChar"/>
          <w:i/>
          <w:szCs w:val="22"/>
        </w:rPr>
        <w:t>Natio</w:t>
      </w:r>
      <w:r w:rsidRPr="00F353B7">
        <w:rPr>
          <w:rStyle w:val="FootnoteTextChar"/>
          <w:i/>
          <w:iCs/>
          <w:szCs w:val="22"/>
        </w:rPr>
        <w:t>n</w:t>
      </w:r>
      <w:r w:rsidRPr="00F353B7">
        <w:rPr>
          <w:rStyle w:val="FootnoteTextChar"/>
          <w:i/>
          <w:szCs w:val="22"/>
        </w:rPr>
        <w:t>a</w:t>
      </w:r>
      <w:r w:rsidRPr="00F353B7">
        <w:rPr>
          <w:rStyle w:val="FootnoteTextChar"/>
          <w:i/>
          <w:iCs/>
          <w:szCs w:val="22"/>
        </w:rPr>
        <w:t xml:space="preserve">l </w:t>
      </w:r>
      <w:r w:rsidRPr="00F353B7">
        <w:rPr>
          <w:rStyle w:val="FootnoteTextChar"/>
          <w:i/>
          <w:szCs w:val="22"/>
        </w:rPr>
        <w:t>Broadban</w:t>
      </w:r>
      <w:r w:rsidRPr="00F353B7">
        <w:rPr>
          <w:rStyle w:val="FootnoteTextChar"/>
          <w:i/>
          <w:iCs/>
          <w:szCs w:val="22"/>
        </w:rPr>
        <w:t xml:space="preserve">d </w:t>
      </w:r>
      <w:r w:rsidRPr="00F353B7">
        <w:rPr>
          <w:rStyle w:val="FootnoteTextChar"/>
          <w:i/>
          <w:szCs w:val="22"/>
        </w:rPr>
        <w:t>Pla</w:t>
      </w:r>
      <w:r w:rsidRPr="00F353B7">
        <w:rPr>
          <w:rStyle w:val="FootnoteTextChar"/>
          <w:i/>
          <w:iCs/>
          <w:szCs w:val="22"/>
        </w:rPr>
        <w:t xml:space="preserve">n </w:t>
      </w:r>
      <w:r w:rsidRPr="00F353B7">
        <w:rPr>
          <w:rStyle w:val="FootnoteTextChar"/>
          <w:i/>
          <w:szCs w:val="22"/>
        </w:rPr>
        <w:t>f</w:t>
      </w:r>
      <w:r w:rsidRPr="00F353B7">
        <w:rPr>
          <w:rStyle w:val="FootnoteTextChar"/>
          <w:i/>
          <w:iCs/>
          <w:szCs w:val="22"/>
        </w:rPr>
        <w:t xml:space="preserve">or </w:t>
      </w:r>
      <w:r w:rsidRPr="00F353B7">
        <w:rPr>
          <w:rStyle w:val="FootnoteTextChar"/>
          <w:i/>
          <w:szCs w:val="22"/>
        </w:rPr>
        <w:t>Our Futur</w:t>
      </w:r>
      <w:r w:rsidRPr="00F353B7">
        <w:rPr>
          <w:rStyle w:val="FootnoteTextChar"/>
          <w:i/>
          <w:iCs/>
          <w:szCs w:val="22"/>
        </w:rPr>
        <w:t>e</w:t>
      </w:r>
      <w:r w:rsidRPr="00F353B7">
        <w:rPr>
          <w:rStyle w:val="FootnoteTextChar"/>
          <w:szCs w:val="22"/>
        </w:rPr>
        <w:t xml:space="preserve">, WC Docket No. 07-245, GN Docket No. 09-51, </w:t>
      </w:r>
      <w:r w:rsidRPr="00F353B7">
        <w:rPr>
          <w:rStyle w:val="FootnoteTextChar"/>
          <w:i/>
          <w:szCs w:val="22"/>
        </w:rPr>
        <w:t>Report and Order</w:t>
      </w:r>
      <w:r w:rsidRPr="00F353B7">
        <w:rPr>
          <w:rStyle w:val="FootnoteTextChar"/>
          <w:szCs w:val="22"/>
        </w:rPr>
        <w:t xml:space="preserve"> </w:t>
      </w:r>
      <w:r w:rsidRPr="00F353B7">
        <w:rPr>
          <w:rStyle w:val="FootnoteTextChar"/>
          <w:i/>
          <w:szCs w:val="22"/>
        </w:rPr>
        <w:t>and Order</w:t>
      </w:r>
      <w:r w:rsidRPr="00F353B7">
        <w:rPr>
          <w:rStyle w:val="FootnoteTextChar"/>
          <w:szCs w:val="22"/>
        </w:rPr>
        <w:t xml:space="preserve"> </w:t>
      </w:r>
      <w:r w:rsidRPr="00F353B7">
        <w:rPr>
          <w:rStyle w:val="FootnoteTextChar"/>
          <w:i/>
          <w:szCs w:val="22"/>
        </w:rPr>
        <w:t>on Reconsideration</w:t>
      </w:r>
      <w:r w:rsidRPr="00F353B7">
        <w:rPr>
          <w:rStyle w:val="FootnoteTextChar"/>
          <w:szCs w:val="22"/>
        </w:rPr>
        <w:t>, 26 FCC Rcd. 5240, 52 Communications Reg. (P&amp;F) 1027, FCC 11</w:t>
      </w:r>
      <w:r w:rsidRPr="00F353B7">
        <w:rPr>
          <w:rStyle w:val="FootnoteTextChar"/>
          <w:szCs w:val="22"/>
        </w:rPr>
        <w:noBreakHyphen/>
        <w:t>50 (rel. Apr. 7, 2011) (hereafter “FCC 11</w:t>
      </w:r>
      <w:r w:rsidRPr="00F353B7">
        <w:rPr>
          <w:rStyle w:val="FootnoteTextChar"/>
          <w:szCs w:val="22"/>
        </w:rPr>
        <w:noBreakHyphen/>
        <w:t xml:space="preserve">50”) at </w:t>
      </w:r>
      <w:r w:rsidRPr="00F353B7">
        <w:rPr>
          <w:rStyle w:val="FootnoteTextChar"/>
          <w:rFonts w:ascii="Book Antiqua" w:hAnsi="Book Antiqua"/>
          <w:szCs w:val="22"/>
        </w:rPr>
        <w:t>¶¶</w:t>
      </w:r>
      <w:r w:rsidRPr="00F353B7">
        <w:rPr>
          <w:rStyle w:val="FootnoteTextChar"/>
          <w:szCs w:val="22"/>
        </w:rPr>
        <w:t xml:space="preserve"> 12, 77, and 153. </w:t>
      </w:r>
    </w:p>
  </w:footnote>
  <w:footnote w:id="6">
    <w:p w:rsidR="004D65A2" w:rsidRPr="00F353B7" w:rsidRDefault="004D65A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D.98-10-058 uses the terms “competitive local carrier” and “CLC” to identify a competitive local exchange carrier.  </w:t>
      </w:r>
    </w:p>
  </w:footnote>
  <w:footnote w:id="7">
    <w:p w:rsidR="004D65A2" w:rsidRPr="00F353B7" w:rsidRDefault="004D65A2" w:rsidP="00C128C3">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CMRS carriers are “telephone corporations” and therefore public utilities subject to the Commission’s jurisdiction under Pub. Util. Code </w:t>
      </w:r>
      <w:r w:rsidRPr="00F353B7">
        <w:rPr>
          <w:rFonts w:ascii="Book Antiqua" w:hAnsi="Book Antiqua"/>
          <w:szCs w:val="22"/>
        </w:rPr>
        <w:t>§§</w:t>
      </w:r>
      <w:r w:rsidRPr="00F353B7">
        <w:rPr>
          <w:szCs w:val="22"/>
        </w:rPr>
        <w:t xml:space="preserve"> 216, 233, and 234.  In 1993, 47 U.S.C. </w:t>
      </w:r>
      <w:r w:rsidRPr="00F353B7">
        <w:rPr>
          <w:rFonts w:ascii="Book Antiqua" w:hAnsi="Book Antiqua"/>
          <w:szCs w:val="22"/>
        </w:rPr>
        <w:t>§</w:t>
      </w:r>
      <w:r w:rsidRPr="00F353B7">
        <w:rPr>
          <w:szCs w:val="22"/>
        </w:rPr>
        <w:t> 332(c)(3)(A) was amended to restrict state jurisdiction over CMRS carriers to “other terms and conditions” of CMRS service.  These “other terms and conditions” include facility siting and public safety.</w:t>
      </w:r>
    </w:p>
  </w:footnote>
  <w:footnote w:id="8">
    <w:p w:rsidR="004D65A2" w:rsidRPr="00F353B7" w:rsidRDefault="004D65A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CMRS includes cellular services, personal communications services, wide-area specialized mobile services, radio telephone services, and many other wireless services.  (D.96-12-071, 70 CPUC 2d 61, 65.)  In the common vernacular, the term “CMRS” is used interchangeably with the terms “wireless” and “cellular.” </w:t>
      </w:r>
    </w:p>
  </w:footnote>
  <w:footnote w:id="9">
    <w:p w:rsidR="004D65A2" w:rsidRPr="00F353B7" w:rsidRDefault="004D65A2" w:rsidP="00EF79C9">
      <w:pPr>
        <w:pStyle w:val="FootnoteText"/>
        <w:rPr>
          <w:szCs w:val="22"/>
        </w:rPr>
      </w:pPr>
      <w:r w:rsidRPr="00F353B7">
        <w:rPr>
          <w:rStyle w:val="FootnoteReference"/>
          <w:sz w:val="22"/>
          <w:szCs w:val="22"/>
        </w:rPr>
        <w:footnoteRef/>
      </w:r>
      <w:r w:rsidRPr="00F353B7">
        <w:rPr>
          <w:szCs w:val="22"/>
        </w:rPr>
        <w:t xml:space="preserve"> </w:t>
      </w:r>
      <w:r w:rsidRPr="00F353B7">
        <w:rPr>
          <w:szCs w:val="22"/>
        </w:rPr>
        <w:tab/>
        <w:t>“AT&amp;T Mobility” refers to, collectively, AT&amp;T Mobility Wireless Operations Holdings, Inc. (U-3021-C); New Cingular Wireless PCS, LLC (U-3060-C) d/b/a AT&amp;T Mobility; and Santa</w:t>
      </w:r>
      <w:r>
        <w:rPr>
          <w:szCs w:val="22"/>
        </w:rPr>
        <w:t> </w:t>
      </w:r>
      <w:r w:rsidRPr="00F353B7">
        <w:rPr>
          <w:szCs w:val="22"/>
        </w:rPr>
        <w:t>Barbara Cellular Systems, Ltd. (U</w:t>
      </w:r>
      <w:r w:rsidRPr="00F353B7">
        <w:rPr>
          <w:szCs w:val="22"/>
        </w:rPr>
        <w:noBreakHyphen/>
        <w:t>3015-C).</w:t>
      </w:r>
    </w:p>
  </w:footnote>
  <w:footnote w:id="10">
    <w:p w:rsidR="004D65A2" w:rsidRPr="00F353B7" w:rsidRDefault="004D65A2" w:rsidP="00061588">
      <w:pPr>
        <w:pStyle w:val="FootnoteText"/>
        <w:rPr>
          <w:szCs w:val="22"/>
        </w:rPr>
      </w:pPr>
      <w:r w:rsidRPr="00F353B7">
        <w:rPr>
          <w:rStyle w:val="StandardFootnoteReferenceChar"/>
          <w:sz w:val="22"/>
          <w:szCs w:val="22"/>
        </w:rPr>
        <w:footnoteRef/>
      </w:r>
      <w:r w:rsidRPr="00F353B7">
        <w:rPr>
          <w:szCs w:val="22"/>
        </w:rPr>
        <w:t xml:space="preserve"> </w:t>
      </w:r>
      <w:r w:rsidRPr="00F353B7">
        <w:rPr>
          <w:szCs w:val="22"/>
        </w:rPr>
        <w:tab/>
        <w:t xml:space="preserve">Consistent with the OIR, today’s decision uses the definition of “pole attachment” set forth in the ROW Rules adopted by D.98-10-058, Appendix A, Section II.   </w:t>
      </w:r>
    </w:p>
  </w:footnote>
  <w:footnote w:id="11">
    <w:p w:rsidR="004D65A2" w:rsidRPr="00F353B7" w:rsidRDefault="004D65A2" w:rsidP="00AA315F">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SDG&amp;E submitted a corrected report on December 9, 2014. </w:t>
      </w:r>
    </w:p>
  </w:footnote>
  <w:footnote w:id="12">
    <w:p w:rsidR="004D65A2" w:rsidRPr="00F353B7" w:rsidRDefault="004D65A2" w:rsidP="00554C10">
      <w:pPr>
        <w:pStyle w:val="FootnoteText"/>
        <w:rPr>
          <w:szCs w:val="22"/>
        </w:rPr>
      </w:pPr>
      <w:r w:rsidRPr="00F353B7">
        <w:rPr>
          <w:rStyle w:val="StandardFootnoteReferenceChar"/>
          <w:sz w:val="22"/>
          <w:szCs w:val="22"/>
        </w:rPr>
        <w:footnoteRef/>
      </w:r>
      <w:r w:rsidRPr="00F353B7">
        <w:rPr>
          <w:szCs w:val="22"/>
        </w:rPr>
        <w:t xml:space="preserve"> </w:t>
      </w:r>
      <w:r w:rsidRPr="00F353B7">
        <w:rPr>
          <w:szCs w:val="22"/>
        </w:rPr>
        <w:tab/>
        <w:t xml:space="preserve">47 U.S.C. </w:t>
      </w:r>
      <w:r w:rsidRPr="00F353B7">
        <w:rPr>
          <w:rFonts w:ascii="Book Antiqua" w:hAnsi="Book Antiqua"/>
          <w:szCs w:val="22"/>
        </w:rPr>
        <w:t>§</w:t>
      </w:r>
      <w:r w:rsidRPr="00F353B7">
        <w:rPr>
          <w:szCs w:val="22"/>
        </w:rPr>
        <w:t> 224(f); 47 C.F.R. §§ 1.1401-1.1424; and FCC 11-50 at ¶¶ 12, 74-77, 136, 153.</w:t>
      </w:r>
    </w:p>
  </w:footnote>
  <w:footnote w:id="13">
    <w:p w:rsidR="004D65A2" w:rsidRPr="00F353B7" w:rsidRDefault="004D65A2" w:rsidP="00554C10">
      <w:pPr>
        <w:pStyle w:val="FootnoteText"/>
        <w:rPr>
          <w:szCs w:val="22"/>
        </w:rPr>
      </w:pPr>
      <w:r w:rsidRPr="00F353B7">
        <w:rPr>
          <w:rStyle w:val="StandardFootnoteReferenceChar"/>
          <w:sz w:val="22"/>
          <w:szCs w:val="22"/>
        </w:rPr>
        <w:footnoteRef/>
      </w:r>
      <w:r w:rsidRPr="00F353B7">
        <w:rPr>
          <w:szCs w:val="22"/>
        </w:rPr>
        <w:t xml:space="preserve"> </w:t>
      </w:r>
      <w:r w:rsidRPr="00F353B7">
        <w:rPr>
          <w:szCs w:val="22"/>
        </w:rPr>
        <w:tab/>
        <w:t>D.98-10-058, Conclusions of Law 1 </w:t>
      </w:r>
      <w:r w:rsidRPr="00F353B7">
        <w:rPr>
          <w:szCs w:val="22"/>
        </w:rPr>
        <w:noBreakHyphen/>
        <w:t xml:space="preserve"> 3.  </w:t>
      </w:r>
    </w:p>
  </w:footnote>
  <w:footnote w:id="14">
    <w:p w:rsidR="004D65A2" w:rsidRPr="00F353B7" w:rsidRDefault="004D65A2" w:rsidP="00554C10">
      <w:pPr>
        <w:pStyle w:val="FootnoteText"/>
        <w:rPr>
          <w:szCs w:val="22"/>
        </w:rPr>
      </w:pPr>
      <w:r w:rsidRPr="00F353B7">
        <w:rPr>
          <w:rStyle w:val="StandardFootnoteReferenceChar"/>
          <w:sz w:val="22"/>
          <w:szCs w:val="22"/>
        </w:rPr>
        <w:footnoteRef/>
      </w:r>
      <w:r w:rsidRPr="00F353B7">
        <w:rPr>
          <w:szCs w:val="22"/>
        </w:rPr>
        <w:t xml:space="preserve"> </w:t>
      </w:r>
      <w:r w:rsidRPr="00F353B7">
        <w:rPr>
          <w:szCs w:val="22"/>
        </w:rPr>
        <w:tab/>
        <w:t xml:space="preserve">D.07-03-014 at 5.  (“Advanced video and broadband systems are critical to social and economic development in our state.”)  There are several California programs to help close the digital divide.  The California Advanced Services Fund increases geographic access to broadband.  The California Emerging Technology Fund promotes access to broadband.  And the California Lifeline program provides free or reduced cost cell phones to low-income households to enable access to wireless voice, text, and internet.  </w:t>
      </w:r>
    </w:p>
  </w:footnote>
  <w:footnote w:id="15">
    <w:p w:rsidR="004D65A2" w:rsidRPr="00F353B7" w:rsidRDefault="004D65A2" w:rsidP="00554C10">
      <w:pPr>
        <w:pStyle w:val="FootnoteText"/>
        <w:rPr>
          <w:szCs w:val="22"/>
        </w:rPr>
      </w:pPr>
      <w:r w:rsidRPr="00F353B7">
        <w:rPr>
          <w:rStyle w:val="FootnoteReference"/>
          <w:sz w:val="22"/>
          <w:szCs w:val="22"/>
        </w:rPr>
        <w:footnoteRef/>
      </w:r>
      <w:r w:rsidRPr="00F353B7">
        <w:rPr>
          <w:szCs w:val="22"/>
        </w:rPr>
        <w:t xml:space="preserve"> </w:t>
      </w:r>
      <w:r w:rsidRPr="00F353B7">
        <w:rPr>
          <w:szCs w:val="22"/>
        </w:rPr>
        <w:tab/>
        <w:t>47 U.S.C. § 224(b), (c), and (f).</w:t>
      </w:r>
    </w:p>
  </w:footnote>
  <w:footnote w:id="16">
    <w:p w:rsidR="004D65A2" w:rsidRPr="00F353B7" w:rsidRDefault="004D65A2" w:rsidP="00DA3402">
      <w:pPr>
        <w:pStyle w:val="FootnoteText"/>
        <w:rPr>
          <w:szCs w:val="22"/>
        </w:rPr>
      </w:pPr>
      <w:r w:rsidRPr="00F353B7">
        <w:rPr>
          <w:rStyle w:val="FootnoteReference"/>
          <w:sz w:val="22"/>
          <w:szCs w:val="22"/>
        </w:rPr>
        <w:footnoteRef/>
      </w:r>
      <w:r w:rsidRPr="00F353B7">
        <w:rPr>
          <w:szCs w:val="22"/>
        </w:rPr>
        <w:t xml:space="preserve"> </w:t>
      </w:r>
      <w:r w:rsidRPr="00F353B7">
        <w:rPr>
          <w:szCs w:val="22"/>
        </w:rPr>
        <w:tab/>
        <w:t>PCIA Comments (July 7, 2014) at 5</w:t>
      </w:r>
      <w:r w:rsidRPr="00F353B7">
        <w:rPr>
          <w:szCs w:val="22"/>
        </w:rPr>
        <w:noBreakHyphen/>
        <w:t>7; and CTIA Reply Comments (July 17, 2014) at 2.</w:t>
      </w:r>
    </w:p>
  </w:footnote>
  <w:footnote w:id="17">
    <w:p w:rsidR="004D65A2" w:rsidRPr="00F353B7" w:rsidRDefault="004D65A2" w:rsidP="00F551B4">
      <w:pPr>
        <w:pStyle w:val="FootnoteText"/>
        <w:rPr>
          <w:szCs w:val="22"/>
        </w:rPr>
      </w:pPr>
      <w:r w:rsidRPr="00F353B7">
        <w:rPr>
          <w:rStyle w:val="FootnoteReference"/>
          <w:sz w:val="22"/>
          <w:szCs w:val="22"/>
        </w:rPr>
        <w:footnoteRef/>
      </w:r>
      <w:r w:rsidRPr="00F353B7">
        <w:rPr>
          <w:szCs w:val="22"/>
        </w:rPr>
        <w:t xml:space="preserve"> </w:t>
      </w:r>
      <w:r w:rsidRPr="00F353B7">
        <w:rPr>
          <w:szCs w:val="22"/>
        </w:rPr>
        <w:tab/>
        <w:t>PCIA Comments (July 7, 2014) at 5</w:t>
      </w:r>
      <w:r w:rsidRPr="00F353B7">
        <w:rPr>
          <w:szCs w:val="22"/>
        </w:rPr>
        <w:noBreakHyphen/>
        <w:t>7; and PCIA Reply Comments (Jan. 7, 2015) at 4.</w:t>
      </w:r>
    </w:p>
  </w:footnote>
  <w:footnote w:id="18">
    <w:p w:rsidR="004D65A2" w:rsidRPr="00F353B7" w:rsidRDefault="004D65A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Today’s decision uses the terms “cable,”  “wire,” and “wireline” synonymously.  </w:t>
      </w:r>
    </w:p>
  </w:footnote>
  <w:footnote w:id="19">
    <w:p w:rsidR="004D65A2" w:rsidRPr="00F353B7" w:rsidRDefault="004D65A2" w:rsidP="004F11E5">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Pub. Util. Code § 767.5(c)(2)(A) states:  “For </w:t>
      </w:r>
      <w:r w:rsidRPr="00F353B7">
        <w:rPr>
          <w:b/>
          <w:szCs w:val="22"/>
          <w:u w:val="single"/>
        </w:rPr>
        <w:t>each pole</w:t>
      </w:r>
      <w:r w:rsidRPr="00F353B7">
        <w:rPr>
          <w:szCs w:val="22"/>
        </w:rPr>
        <w:t xml:space="preserve"> and supporting anchor actually used by the cable television corporation…the annual fee shall be [$2.50] or 7.4 percent of the public utility’s annual cost of ownership for the pole and supporting anchor.” (Emphasis added.)</w:t>
      </w:r>
    </w:p>
  </w:footnote>
  <w:footnote w:id="20">
    <w:p w:rsidR="004D65A2" w:rsidRPr="00F353B7" w:rsidRDefault="004D65A2" w:rsidP="009F67B3">
      <w:pPr>
        <w:pStyle w:val="FootnoteText"/>
        <w:rPr>
          <w:szCs w:val="22"/>
        </w:rPr>
      </w:pPr>
      <w:r w:rsidRPr="00F353B7">
        <w:rPr>
          <w:rStyle w:val="FootnoteReference"/>
          <w:sz w:val="22"/>
          <w:szCs w:val="22"/>
        </w:rPr>
        <w:footnoteRef/>
      </w:r>
      <w:r w:rsidRPr="00F353B7">
        <w:rPr>
          <w:szCs w:val="22"/>
        </w:rPr>
        <w:t xml:space="preserve"> </w:t>
      </w:r>
      <w:r w:rsidRPr="00F353B7">
        <w:rPr>
          <w:szCs w:val="22"/>
        </w:rPr>
        <w:tab/>
        <w:t>47 C.F.R. § 1.1409(c).</w:t>
      </w:r>
    </w:p>
  </w:footnote>
  <w:footnote w:id="21">
    <w:p w:rsidR="004D65A2" w:rsidRPr="00F353B7" w:rsidRDefault="004D65A2" w:rsidP="00C113C7">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The minimum clearance between communication conductors is 12 inches pursuant to GO 95, Rule 38, Table 2, Case 8.  </w:t>
      </w:r>
    </w:p>
  </w:footnote>
  <w:footnote w:id="22">
    <w:p w:rsidR="004D65A2" w:rsidRPr="00F353B7" w:rsidRDefault="004D65A2" w:rsidP="00EA2E1B">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FCC 11-50, at ¶ 153. </w:t>
      </w:r>
    </w:p>
  </w:footnote>
  <w:footnote w:id="23">
    <w:p w:rsidR="004D65A2" w:rsidRPr="00F353B7" w:rsidRDefault="004D65A2" w:rsidP="00A57F7A">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FCC </w:t>
      </w:r>
      <w:r w:rsidRPr="00F353B7">
        <w:rPr>
          <w:rFonts w:eastAsia="Calibri"/>
          <w:szCs w:val="22"/>
        </w:rPr>
        <w:t>Public Notice, DA 04-4046, 19 FCC Rcd. 24930 (rel. Dec. 23, 2004).</w:t>
      </w:r>
    </w:p>
  </w:footnote>
  <w:footnote w:id="24">
    <w:p w:rsidR="004D65A2" w:rsidRPr="00F353B7" w:rsidRDefault="004D65A2" w:rsidP="008E0D61">
      <w:pPr>
        <w:pStyle w:val="FootnoteText"/>
        <w:rPr>
          <w:szCs w:val="22"/>
        </w:rPr>
      </w:pPr>
      <w:r w:rsidRPr="00F353B7">
        <w:rPr>
          <w:rStyle w:val="FootnoteReference"/>
          <w:sz w:val="22"/>
          <w:szCs w:val="22"/>
        </w:rPr>
        <w:footnoteRef/>
      </w:r>
      <w:r w:rsidRPr="00F353B7">
        <w:rPr>
          <w:szCs w:val="22"/>
        </w:rPr>
        <w:t xml:space="preserve"> </w:t>
      </w:r>
      <w:r w:rsidRPr="00F353B7">
        <w:rPr>
          <w:szCs w:val="22"/>
        </w:rPr>
        <w:tab/>
        <w:t>D.98-10-058, at 20.</w:t>
      </w:r>
    </w:p>
  </w:footnote>
  <w:footnote w:id="25">
    <w:p w:rsidR="004D65A2" w:rsidRPr="00F353B7" w:rsidRDefault="004D65A2">
      <w:pPr>
        <w:pStyle w:val="FootnoteText"/>
        <w:rPr>
          <w:szCs w:val="22"/>
        </w:rPr>
      </w:pPr>
      <w:r w:rsidRPr="00F353B7">
        <w:rPr>
          <w:rStyle w:val="FootnoteReference"/>
          <w:sz w:val="22"/>
          <w:szCs w:val="22"/>
        </w:rPr>
        <w:footnoteRef/>
      </w:r>
      <w:r w:rsidRPr="00F353B7">
        <w:rPr>
          <w:szCs w:val="22"/>
        </w:rPr>
        <w:t xml:space="preserve"> </w:t>
      </w:r>
      <w:r w:rsidRPr="00F353B7">
        <w:rPr>
          <w:szCs w:val="22"/>
        </w:rPr>
        <w:tab/>
        <w:t>D.98-10-058, Appendix A, Section XI.B.</w:t>
      </w:r>
    </w:p>
  </w:footnote>
  <w:footnote w:id="26">
    <w:p w:rsidR="004D65A2" w:rsidRPr="00F353B7" w:rsidRDefault="004D65A2" w:rsidP="00443CFF">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TURN Comments (Dec. 19, 2014), at 8. </w:t>
      </w:r>
    </w:p>
  </w:footnote>
  <w:footnote w:id="27">
    <w:p w:rsidR="004D65A2" w:rsidRPr="00F353B7" w:rsidRDefault="004D65A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D.98-10-058, at 55.  </w:t>
      </w:r>
    </w:p>
  </w:footnote>
  <w:footnote w:id="28">
    <w:p w:rsidR="004D65A2" w:rsidRPr="00F353B7" w:rsidRDefault="004D65A2">
      <w:pPr>
        <w:pStyle w:val="FootnoteText"/>
        <w:rPr>
          <w:szCs w:val="22"/>
        </w:rPr>
      </w:pPr>
      <w:r w:rsidRPr="00F353B7">
        <w:rPr>
          <w:rStyle w:val="FootnoteReference"/>
          <w:sz w:val="22"/>
          <w:szCs w:val="22"/>
        </w:rPr>
        <w:footnoteRef/>
      </w:r>
      <w:r w:rsidRPr="00F353B7">
        <w:rPr>
          <w:szCs w:val="22"/>
        </w:rPr>
        <w:t xml:space="preserve"> </w:t>
      </w:r>
      <w:r w:rsidRPr="00F353B7">
        <w:rPr>
          <w:szCs w:val="22"/>
        </w:rPr>
        <w:tab/>
        <w:t>AT&amp;T Mobility Comments (July 7, 2014), attached Declaration of Dr. Kent A. Currie on Behalf of AT&amp;T Mobility, at page 4, Paragraph 16.</w:t>
      </w:r>
    </w:p>
  </w:footnote>
  <w:footnote w:id="29">
    <w:p w:rsidR="004D65A2" w:rsidRPr="00F353B7" w:rsidRDefault="004D65A2" w:rsidP="00847FA9">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AT&amp;T Mobility Informational Report (Oct. 21, 2014) at 1 (listing the components of a CMRS installation) and 7 (table listing the physical dimensions of components). </w:t>
      </w:r>
    </w:p>
  </w:footnote>
  <w:footnote w:id="30">
    <w:p w:rsidR="004D65A2" w:rsidRPr="00F353B7" w:rsidRDefault="004D65A2">
      <w:pPr>
        <w:pStyle w:val="FootnoteText"/>
        <w:rPr>
          <w:szCs w:val="22"/>
        </w:rPr>
      </w:pPr>
      <w:r w:rsidRPr="00F353B7">
        <w:rPr>
          <w:rStyle w:val="FootnoteReference"/>
          <w:sz w:val="22"/>
          <w:szCs w:val="22"/>
        </w:rPr>
        <w:footnoteRef/>
      </w:r>
      <w:r w:rsidRPr="00F353B7">
        <w:rPr>
          <w:szCs w:val="22"/>
        </w:rPr>
        <w:t xml:space="preserve"> </w:t>
      </w:r>
      <w:r w:rsidRPr="00F353B7">
        <w:rPr>
          <w:szCs w:val="22"/>
        </w:rPr>
        <w:tab/>
        <w:t>D.98-10-058, at 52</w:t>
      </w:r>
      <w:r w:rsidR="005C2349">
        <w:rPr>
          <w:szCs w:val="22"/>
        </w:rPr>
        <w:t>–</w:t>
      </w:r>
      <w:r w:rsidRPr="00F353B7">
        <w:rPr>
          <w:szCs w:val="22"/>
        </w:rPr>
        <w:t xml:space="preserve">57. </w:t>
      </w:r>
    </w:p>
  </w:footnote>
  <w:footnote w:id="31">
    <w:p w:rsidR="004D65A2" w:rsidRPr="00F353B7" w:rsidRDefault="004D65A2" w:rsidP="00BF6BB0">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The space on utility poles is analogous to hotel rooms.  A guest who occupies 6 hotel rooms should pay more than a guest who occupies 1 room.  Analogously, a CMRS pole installation that uses 6 feet of pole space should a pay a higher pole-attachment fee than a CLEC or CATV attachment that uses 1 foot.  </w:t>
      </w:r>
    </w:p>
  </w:footnote>
  <w:footnote w:id="32">
    <w:p w:rsidR="004D65A2" w:rsidRPr="00F353B7" w:rsidRDefault="004D65A2" w:rsidP="00EF5D11">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The FCC has acknowledged that wireless pole attachments may require more than one foot of usable space on a pole, and that a higher pole-attachment fee may be appropriate in these situations. (FCC 11-50, at ¶ 153.)   </w:t>
      </w:r>
    </w:p>
  </w:footnote>
  <w:footnote w:id="33">
    <w:p w:rsidR="004D65A2" w:rsidRPr="00F353B7" w:rsidRDefault="004D65A2" w:rsidP="001148A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FCC </w:t>
      </w:r>
      <w:r w:rsidRPr="00F353B7">
        <w:rPr>
          <w:rFonts w:eastAsia="Calibri"/>
          <w:szCs w:val="22"/>
        </w:rPr>
        <w:t>Public Notice, DA 04-4046, 19 FCC Rcd. 24930 (rel. Dec. 23, 2004).</w:t>
      </w:r>
    </w:p>
  </w:footnote>
  <w:footnote w:id="34">
    <w:p w:rsidR="004D65A2" w:rsidRPr="00F353B7" w:rsidRDefault="004D65A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In D.98-10-058, the Commission certified to the FCC that the Commission regulates the rate, terms, and conditions for access to poles, ducts, conduits, and ROW in conformance with 47 U.S.C. 224(c)(2) and (3). (D.98-10-058, at 9.)  </w:t>
      </w:r>
    </w:p>
  </w:footnote>
  <w:footnote w:id="35">
    <w:p w:rsidR="004D65A2" w:rsidRPr="00F353B7" w:rsidRDefault="004D65A2" w:rsidP="00510668">
      <w:pPr>
        <w:pStyle w:val="FootnoteText"/>
        <w:rPr>
          <w:szCs w:val="22"/>
        </w:rPr>
      </w:pPr>
      <w:r w:rsidRPr="00F353B7">
        <w:rPr>
          <w:rStyle w:val="FootnoteReference"/>
          <w:sz w:val="22"/>
          <w:szCs w:val="22"/>
        </w:rPr>
        <w:footnoteRef/>
      </w:r>
      <w:r w:rsidRPr="00F353B7">
        <w:rPr>
          <w:szCs w:val="22"/>
        </w:rPr>
        <w:t xml:space="preserve"> </w:t>
      </w:r>
      <w:r w:rsidRPr="00F353B7">
        <w:rPr>
          <w:szCs w:val="22"/>
        </w:rPr>
        <w:tab/>
        <w:t>D.98-10-058, Conclusion of Law 33.</w:t>
      </w:r>
    </w:p>
  </w:footnote>
  <w:footnote w:id="36">
    <w:p w:rsidR="004D65A2" w:rsidRPr="00F353B7" w:rsidRDefault="004D65A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Today’s decision uses the terms “supply conductors,” “supply lines,” and “power lines” synonymously. </w:t>
      </w:r>
    </w:p>
  </w:footnote>
  <w:footnote w:id="37">
    <w:p w:rsidR="004D65A2" w:rsidRPr="00F353B7" w:rsidRDefault="004D65A2" w:rsidP="00F725B9">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In addition to safety clearances, a communication conductor uses 2 to 3 inches of pole space for attachment hardware.  (Electric IOUs Reply Comments (April 24, 2015) at 3.) </w:t>
      </w:r>
    </w:p>
  </w:footnote>
  <w:footnote w:id="38">
    <w:p w:rsidR="004D65A2" w:rsidRPr="00F353B7" w:rsidRDefault="004D65A2" w:rsidP="00D13094">
      <w:pPr>
        <w:pStyle w:val="FootnoteText"/>
        <w:rPr>
          <w:szCs w:val="22"/>
        </w:rPr>
      </w:pPr>
      <w:r w:rsidRPr="00F353B7">
        <w:rPr>
          <w:rStyle w:val="FootnoteReference"/>
          <w:sz w:val="22"/>
          <w:szCs w:val="22"/>
        </w:rPr>
        <w:footnoteRef/>
      </w:r>
      <w:r w:rsidRPr="00F353B7">
        <w:rPr>
          <w:szCs w:val="22"/>
        </w:rPr>
        <w:t xml:space="preserve"> </w:t>
      </w:r>
      <w:r w:rsidRPr="00F353B7">
        <w:rPr>
          <w:szCs w:val="22"/>
        </w:rPr>
        <w:tab/>
        <w:t>AT&amp;T Mobility Informational Report (Dec. 5, 2014), at 6 </w:t>
      </w:r>
      <w:r w:rsidRPr="00F353B7">
        <w:rPr>
          <w:szCs w:val="22"/>
        </w:rPr>
        <w:noBreakHyphen/>
        <w:t xml:space="preserve"> 7.   </w:t>
      </w:r>
    </w:p>
  </w:footnote>
  <w:footnote w:id="39">
    <w:p w:rsidR="004D65A2" w:rsidRPr="00F353B7" w:rsidRDefault="004D65A2" w:rsidP="00187BA8">
      <w:pPr>
        <w:pStyle w:val="FootnoteText"/>
        <w:rPr>
          <w:szCs w:val="22"/>
        </w:rPr>
      </w:pPr>
      <w:r w:rsidRPr="00F353B7">
        <w:rPr>
          <w:rStyle w:val="FootnoteReference"/>
          <w:sz w:val="22"/>
          <w:szCs w:val="22"/>
        </w:rPr>
        <w:footnoteRef/>
      </w:r>
      <w:r w:rsidRPr="00F353B7">
        <w:rPr>
          <w:szCs w:val="22"/>
        </w:rPr>
        <w:t xml:space="preserve"> </w:t>
      </w:r>
      <w:r w:rsidRPr="00F353B7">
        <w:rPr>
          <w:szCs w:val="22"/>
        </w:rPr>
        <w:tab/>
        <w:t>AT&amp;T Mobility Informational Report (Dec. 5, 2014), at 1 – 7, and Appendices H and I.  See also CCTA-JVSV Informational Report (Dec. 5, 2014) at 3, and TURN Comments (Dec. 19, 2014) at 7</w:t>
      </w:r>
      <w:r w:rsidRPr="00F353B7">
        <w:rPr>
          <w:szCs w:val="22"/>
        </w:rPr>
        <w:noBreakHyphen/>
        <w:t xml:space="preserve"> 8.  </w:t>
      </w:r>
    </w:p>
  </w:footnote>
  <w:footnote w:id="40">
    <w:p w:rsidR="004D65A2" w:rsidRPr="00F353B7" w:rsidRDefault="004D65A2" w:rsidP="00187BA8">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Assuming the attachment bracket for a pole-top antenna occupies 2 feet of pole space, the annual attachment fee adopted by today’s decision would be 14.8% of the pole’s annual cost-of-ownership (2 feet x 7.4%), or double the 7.4% attachment fee that applies to CLEC and CATV attachments which occupy 1 foot of pole space.  </w:t>
      </w:r>
    </w:p>
  </w:footnote>
  <w:footnote w:id="41">
    <w:p w:rsidR="004D65A2" w:rsidRPr="00F353B7" w:rsidRDefault="004D65A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The GO 165 inspection schedule is not affected by presence or absence of pole-top facilities installed by Electric IOUs, CMRS carriers, or others. </w:t>
      </w:r>
    </w:p>
  </w:footnote>
  <w:footnote w:id="42">
    <w:p w:rsidR="004D65A2" w:rsidRPr="00F353B7" w:rsidRDefault="004D65A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GO 165 states at page 2, Section II:  “This General Order does not apply to facilities of communication infrastructure providers.”  CMRS carriers are communication infrastructure providers.  </w:t>
      </w:r>
    </w:p>
  </w:footnote>
  <w:footnote w:id="43">
    <w:p w:rsidR="004D65A2" w:rsidRPr="00F353B7" w:rsidRDefault="004D65A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AT&amp;T Mobility acknowledges that it is the CMRS carrier’s obligation to inspect and maintain its own attachments. (AT&amp;T Mobility Informational Report (Oct. 21, 2014), at page 25, Q&amp;A 7.a. </w:t>
      </w:r>
    </w:p>
  </w:footnote>
  <w:footnote w:id="44">
    <w:p w:rsidR="004D65A2" w:rsidRPr="00F353B7" w:rsidRDefault="004D65A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The annual cost-of-ownership for the pole, which is the basis for the 7.4% annual pole-attachment fee, includes all pole-related inspection and maintenance costs.  In addition, the Commission held in D.98-04-062 that the pole-attachment fee adopted in that case may include an incremental amount to recover the pole owner’s costs for regular safety inspections of CATV pole attachments.  (D.98-04-062 at Findings of Fact 3 and 6, Conclusion of Law 1, and Ordering Paragraph 1.)  PG&amp;E and SCE have filed advice letters stating that their pole-attachment fees are based on D.98-04-062.  </w:t>
      </w:r>
    </w:p>
  </w:footnote>
  <w:footnote w:id="45">
    <w:p w:rsidR="004D65A2" w:rsidRPr="00F353B7" w:rsidRDefault="004D65A2" w:rsidP="003234A1">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PG&amp;E and SDG&amp;E already embed GO 165-related costs in their 7.4% fee.  (Workshop Report (April 7, 2015), Appendix C, page C-3, Q&amp;A 6.)  </w:t>
      </w:r>
    </w:p>
  </w:footnote>
  <w:footnote w:id="46">
    <w:p w:rsidR="004D65A2" w:rsidRPr="00F353B7" w:rsidRDefault="004D65A2" w:rsidP="000B6A8E">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D.98-10-058 at Sections IV.B and VIII.B, Conclusions of Law 21, 27, 55, and 59, and Appendix A, Sections VI.B, VII, and VIII.C.  </w:t>
      </w:r>
    </w:p>
  </w:footnote>
  <w:footnote w:id="47">
    <w:p w:rsidR="004D65A2" w:rsidRPr="00F353B7" w:rsidRDefault="004D65A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AT&amp;T Mobility Informational Report (Oct. 21, 2014), at 1, 7, and Table 1.  </w:t>
      </w:r>
    </w:p>
  </w:footnote>
  <w:footnote w:id="48">
    <w:p w:rsidR="004D65A2" w:rsidRPr="00F353B7" w:rsidRDefault="004D65A2" w:rsidP="00C40E8D">
      <w:pPr>
        <w:pStyle w:val="FootnoteText"/>
        <w:rPr>
          <w:szCs w:val="22"/>
        </w:rPr>
      </w:pPr>
      <w:r w:rsidRPr="00F353B7">
        <w:rPr>
          <w:rStyle w:val="FootnoteReference"/>
          <w:sz w:val="22"/>
          <w:szCs w:val="22"/>
        </w:rPr>
        <w:footnoteRef/>
      </w:r>
      <w:r w:rsidRPr="00F353B7">
        <w:rPr>
          <w:szCs w:val="22"/>
        </w:rPr>
        <w:t xml:space="preserve"> </w:t>
      </w:r>
      <w:r w:rsidRPr="00F353B7">
        <w:rPr>
          <w:szCs w:val="22"/>
        </w:rPr>
        <w:tab/>
        <w:t>D.98-10-058, at Section IV.B and Conclusion of Law 21.</w:t>
      </w:r>
    </w:p>
  </w:footnote>
  <w:footnote w:id="49">
    <w:p w:rsidR="004D65A2" w:rsidRPr="00F353B7" w:rsidRDefault="004D65A2" w:rsidP="006751F0">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AT&amp;T Mobility’s affiliate, AT&amp;T California, charges for attachments in the common space. (Workshop Report (April 7, 2015), at 13.)  It appears that PG&amp;E </w:t>
      </w:r>
      <w:r>
        <w:rPr>
          <w:szCs w:val="22"/>
        </w:rPr>
        <w:t xml:space="preserve">and SDG&amp;E </w:t>
      </w:r>
      <w:r w:rsidRPr="00F353B7">
        <w:rPr>
          <w:szCs w:val="22"/>
        </w:rPr>
        <w:t>also charge for attachments in the common space. (Electric IOUs Informational Report (Oct. 21, 2014), at Attachment</w:t>
      </w:r>
      <w:r>
        <w:rPr>
          <w:szCs w:val="22"/>
        </w:rPr>
        <w:t> G, Section 1.1; PG&amp;E Informational Report (Dec. 5, 2014), Attachment 2; and SDG&amp;E Informational Report (Dec. 9, 2014), Attachment A, at A-4.</w:t>
      </w:r>
      <w:r w:rsidRPr="00F353B7">
        <w:rPr>
          <w:szCs w:val="22"/>
        </w:rPr>
        <w:t xml:space="preserve">)  </w:t>
      </w:r>
    </w:p>
  </w:footnote>
  <w:footnote w:id="50">
    <w:p w:rsidR="004D65A2" w:rsidRPr="00F353B7" w:rsidRDefault="004D65A2" w:rsidP="009B51A8">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If CMRS carriers did not pay for their use of the common space, their net cost per foot of occupied pole space would be significantly less than what CLECs and CATV attachers must pay per foot of occupied pole space, resulting in discriminatory application of the 7.4% attachment fee.  </w:t>
      </w:r>
    </w:p>
  </w:footnote>
  <w:footnote w:id="51">
    <w:p w:rsidR="004D65A2" w:rsidRPr="00F353B7" w:rsidRDefault="004D65A2" w:rsidP="00356F75">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Electric IOUs’ Informational Report (Oct. 21, 2014) at 10.  The inability to place attachments in the common space may preclude attachments elsewhere on the pole that cannot operate without attachments in the common space. (Id.  See also IBEW 1245 Comments (July 7, 2014) at 2 – 3.) </w:t>
      </w:r>
    </w:p>
  </w:footnote>
  <w:footnote w:id="52">
    <w:p w:rsidR="004D65A2" w:rsidRPr="00F353B7" w:rsidRDefault="004D65A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Mathematically, the 7.4% per-foot attachment fee shall apply to CMRS attachments until 13.5 feet of pole space is occupied by all attachments (100% </w:t>
      </w:r>
      <w:r w:rsidRPr="00F353B7">
        <w:rPr>
          <w:rFonts w:ascii="Book Antiqua" w:hAnsi="Book Antiqua"/>
          <w:szCs w:val="22"/>
        </w:rPr>
        <w:t>÷</w:t>
      </w:r>
      <w:r w:rsidRPr="00F353B7">
        <w:rPr>
          <w:szCs w:val="22"/>
        </w:rPr>
        <w:t xml:space="preserve"> 7.4% per foot = 13.5 feet).  This equates to 14.0 feet when rounded to the nearest whole foot.  Once more than 14 feet of pole space is occupied by all attachments, the 7.4% fee for CMRS attachments shall be adjusted as described in the body to today’s decision.  </w:t>
      </w:r>
    </w:p>
  </w:footnote>
  <w:footnote w:id="53">
    <w:p w:rsidR="004D65A2" w:rsidRPr="00F353B7" w:rsidRDefault="004D65A2">
      <w:pPr>
        <w:pStyle w:val="FootnoteText"/>
        <w:rPr>
          <w:szCs w:val="22"/>
        </w:rPr>
      </w:pPr>
      <w:r w:rsidRPr="00F353B7">
        <w:rPr>
          <w:rStyle w:val="FootnoteReference"/>
          <w:sz w:val="22"/>
          <w:szCs w:val="22"/>
        </w:rPr>
        <w:footnoteRef/>
      </w:r>
      <w:r w:rsidRPr="00F353B7">
        <w:rPr>
          <w:szCs w:val="22"/>
        </w:rPr>
        <w:t xml:space="preserve"> </w:t>
      </w:r>
      <w:r w:rsidRPr="00F353B7">
        <w:rPr>
          <w:szCs w:val="22"/>
        </w:rPr>
        <w:tab/>
        <w:t>The Electric IOUs and TURN expect pole-attachment fees will seldom exceed 100% of a pole’s cost-of-ownership because safety clearances limit the number of attachments on a pole.  TURN anticipates that the dollars at stake are small for both pole owners and attachers. (TURN Comments (Dec. 19, 2014), at 12.)</w:t>
      </w:r>
    </w:p>
  </w:footnote>
  <w:footnote w:id="54">
    <w:p w:rsidR="004D65A2" w:rsidRPr="00F353B7" w:rsidRDefault="004D65A2" w:rsidP="00BB065B">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Scoping Memo at 7. </w:t>
      </w:r>
    </w:p>
  </w:footnote>
  <w:footnote w:id="55">
    <w:p w:rsidR="004D65A2" w:rsidRDefault="004D65A2">
      <w:pPr>
        <w:pStyle w:val="FootnoteText"/>
      </w:pPr>
      <w:r>
        <w:rPr>
          <w:rStyle w:val="FootnoteReference"/>
        </w:rPr>
        <w:footnoteRef/>
      </w:r>
      <w:r>
        <w:t xml:space="preserve"> </w:t>
      </w:r>
      <w:r>
        <w:tab/>
        <w:t xml:space="preserve">D.15-05-002, at 38 and Conclusion of Law 5. </w:t>
      </w:r>
    </w:p>
  </w:footnote>
  <w:footnote w:id="56">
    <w:p w:rsidR="004D65A2" w:rsidRPr="00F353B7" w:rsidRDefault="004D65A2">
      <w:pPr>
        <w:pStyle w:val="FootnoteText"/>
        <w:rPr>
          <w:szCs w:val="22"/>
        </w:rPr>
      </w:pPr>
      <w:r w:rsidRPr="00F353B7">
        <w:rPr>
          <w:rStyle w:val="FootnoteReference"/>
          <w:sz w:val="22"/>
          <w:szCs w:val="22"/>
        </w:rPr>
        <w:footnoteRef/>
      </w:r>
      <w:r w:rsidRPr="00F353B7">
        <w:rPr>
          <w:szCs w:val="22"/>
        </w:rPr>
        <w:t xml:space="preserve"> </w:t>
      </w:r>
      <w:r w:rsidRPr="00F353B7">
        <w:rPr>
          <w:szCs w:val="22"/>
        </w:rPr>
        <w:tab/>
        <w:t>A CMRS carrier that offers intrastate wireless telecommunication services in California must file a Wireless Identification Registration with the Commi</w:t>
      </w:r>
      <w:r>
        <w:rPr>
          <w:szCs w:val="22"/>
        </w:rPr>
        <w:t>ssion. (D.13</w:t>
      </w:r>
      <w:r>
        <w:rPr>
          <w:szCs w:val="22"/>
        </w:rPr>
        <w:noBreakHyphen/>
        <w:t>05</w:t>
      </w:r>
      <w:r>
        <w:rPr>
          <w:szCs w:val="22"/>
        </w:rPr>
        <w:noBreakHyphen/>
        <w:t>035 and D.94</w:t>
      </w:r>
      <w:r>
        <w:rPr>
          <w:szCs w:val="22"/>
        </w:rPr>
        <w:noBreakHyphen/>
        <w:t>10</w:t>
      </w:r>
      <w:r>
        <w:rPr>
          <w:szCs w:val="22"/>
        </w:rPr>
        <w:noBreakHyphen/>
      </w:r>
      <w:r w:rsidRPr="00F353B7">
        <w:rPr>
          <w:szCs w:val="22"/>
        </w:rPr>
        <w:t>032.)</w:t>
      </w:r>
    </w:p>
  </w:footnote>
  <w:footnote w:id="57">
    <w:p w:rsidR="004D65A2" w:rsidRPr="00F353B7" w:rsidRDefault="004D65A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OIR 14-05-001, Appendix A. </w:t>
      </w:r>
    </w:p>
  </w:footnote>
  <w:footnote w:id="58">
    <w:p w:rsidR="004D65A2" w:rsidRPr="00F353B7" w:rsidRDefault="004D65A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CCTA Reply Comments (July 17, 2014), at 2. </w:t>
      </w:r>
    </w:p>
  </w:footnote>
  <w:footnote w:id="59">
    <w:p w:rsidR="004D65A2" w:rsidRPr="00F353B7" w:rsidRDefault="004D65A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Electric IOUs Comments (July 7, 2014), at 15 and A-1. </w:t>
      </w:r>
    </w:p>
  </w:footnote>
  <w:footnote w:id="60">
    <w:p w:rsidR="004D65A2" w:rsidRPr="00F353B7" w:rsidRDefault="004D65A2" w:rsidP="002C1C54">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TURN Comments (Dec. 19, 2014), at 8 – 9. </w:t>
      </w:r>
    </w:p>
  </w:footnote>
  <w:footnote w:id="61">
    <w:p w:rsidR="004D65A2" w:rsidRPr="00F353B7" w:rsidRDefault="004D65A2" w:rsidP="002C1C54">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D.98-10-058, Appendix A, Section VI.A.1.  </w:t>
      </w:r>
    </w:p>
  </w:footnote>
  <w:footnote w:id="62">
    <w:p w:rsidR="004D65A2" w:rsidRPr="00F353B7" w:rsidRDefault="004D65A2">
      <w:pPr>
        <w:pStyle w:val="FootnoteText"/>
        <w:rPr>
          <w:szCs w:val="22"/>
        </w:rPr>
      </w:pPr>
      <w:r w:rsidRPr="00F353B7">
        <w:rPr>
          <w:rStyle w:val="FootnoteReference"/>
          <w:sz w:val="22"/>
          <w:szCs w:val="22"/>
        </w:rPr>
        <w:footnoteRef/>
      </w:r>
      <w:r w:rsidRPr="00F353B7">
        <w:rPr>
          <w:szCs w:val="22"/>
        </w:rPr>
        <w:t xml:space="preserve"> </w:t>
      </w:r>
      <w:r w:rsidRPr="00F353B7">
        <w:rPr>
          <w:szCs w:val="22"/>
        </w:rPr>
        <w:tab/>
        <w:t>D.98-10-058, at 19.  After a contract is negotiated, the utility must file a copy of the executed contract with the Commission.  (D.98-10-058, Appendix A, Section VI.C.1.)</w:t>
      </w:r>
    </w:p>
  </w:footnote>
  <w:footnote w:id="63">
    <w:p w:rsidR="004D65A2" w:rsidRPr="00F353B7" w:rsidRDefault="004D65A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TURN Comments (Dec. 19, 2014), at 2 – 5.  </w:t>
      </w:r>
    </w:p>
  </w:footnote>
  <w:footnote w:id="64">
    <w:p w:rsidR="004D65A2" w:rsidRPr="00F353B7" w:rsidRDefault="004D65A2" w:rsidP="00F23EED">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TURN Comments (Dec. 19, 2014), at 15; and TURN Comments (April 17, 2015), at 8. </w:t>
      </w:r>
    </w:p>
  </w:footnote>
  <w:footnote w:id="65">
    <w:p w:rsidR="004D65A2" w:rsidRPr="00F353B7" w:rsidRDefault="004D65A2" w:rsidP="00F23EED">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Many utility poles in PG&amp;E’s and SCE’s service territories are owned jointly by the Electric IOU and communication companies.  This is not true in SDG&amp;E’s service territory where SDG&amp;E is the sole owner of its poles.  When the pole is jointly owned, the communication owners administer the communication space and receive the revenues from attachments in the communication space.  The attachment fees from such tenants are not shared with the Electric IOU.   </w:t>
      </w:r>
    </w:p>
  </w:footnote>
  <w:footnote w:id="66">
    <w:p w:rsidR="004D65A2" w:rsidRDefault="004D65A2">
      <w:pPr>
        <w:pStyle w:val="FootnoteText"/>
      </w:pPr>
      <w:r>
        <w:rPr>
          <w:rStyle w:val="FootnoteReference"/>
        </w:rPr>
        <w:footnoteRef/>
      </w:r>
      <w:r>
        <w:t xml:space="preserve"> </w:t>
      </w:r>
      <w:r>
        <w:tab/>
        <w:t>Electric IOUs Comments on the proposed decision (Nov. 19, 2015), at 2 - 3.</w:t>
      </w:r>
    </w:p>
  </w:footnote>
  <w:footnote w:id="67">
    <w:p w:rsidR="004D65A2" w:rsidRPr="00F353B7" w:rsidRDefault="004D65A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D.98-10-058, Appendix A, Section XI. </w:t>
      </w:r>
    </w:p>
  </w:footnote>
  <w:footnote w:id="68">
    <w:p w:rsidR="004D65A2" w:rsidRPr="00F353B7" w:rsidRDefault="004D65A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OIR 14-05-001, at 23 – 25.  </w:t>
      </w:r>
    </w:p>
  </w:footnote>
  <w:footnote w:id="69">
    <w:p w:rsidR="004D65A2" w:rsidRPr="00F353B7" w:rsidRDefault="004D65A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Today’s decision defines “pole overloading” as a failure to meet the minimum safety factor requirements in Rules 43, 44, and 48 as supplemented by Rules 31.1 and 40.   </w:t>
      </w:r>
    </w:p>
  </w:footnote>
  <w:footnote w:id="70">
    <w:p w:rsidR="004D65A2" w:rsidRPr="00F353B7" w:rsidRDefault="004D65A2" w:rsidP="001956AF">
      <w:pPr>
        <w:pStyle w:val="FootnoteText"/>
        <w:rPr>
          <w:szCs w:val="22"/>
        </w:rPr>
      </w:pPr>
      <w:r w:rsidRPr="00F353B7">
        <w:rPr>
          <w:rStyle w:val="FootnoteReference"/>
          <w:sz w:val="22"/>
          <w:szCs w:val="22"/>
        </w:rPr>
        <w:footnoteRef/>
      </w:r>
      <w:r w:rsidRPr="00F353B7">
        <w:rPr>
          <w:szCs w:val="22"/>
        </w:rPr>
        <w:t xml:space="preserve"> </w:t>
      </w:r>
      <w:r w:rsidRPr="00F353B7">
        <w:rPr>
          <w:szCs w:val="22"/>
        </w:rPr>
        <w:tab/>
        <w:t>The Malibu Canyon Fire occurred on October 21, 2007, when three interconnected utility poles located next to Malibu Canyon Road in Los Angeles County fell to the ground during a Santa Ana windstorm.  The Malibu Canyon Fire burned 3,836 acres, destroyed 14 structures and 36 vehicles, and damaged 19 other structures. There were no reported injuries or fatalities. (D.13-09-026, Finding of Fact 1.)</w:t>
      </w:r>
    </w:p>
  </w:footnote>
  <w:footnote w:id="71">
    <w:p w:rsidR="004D65A2" w:rsidRPr="00F353B7" w:rsidRDefault="004D65A2">
      <w:pPr>
        <w:pStyle w:val="FootnoteText"/>
        <w:rPr>
          <w:szCs w:val="22"/>
        </w:rPr>
      </w:pPr>
      <w:r w:rsidRPr="00F353B7">
        <w:rPr>
          <w:rStyle w:val="FootnoteReference"/>
          <w:sz w:val="22"/>
          <w:szCs w:val="22"/>
        </w:rPr>
        <w:footnoteRef/>
      </w:r>
      <w:r w:rsidRPr="00F353B7">
        <w:rPr>
          <w:szCs w:val="22"/>
        </w:rPr>
        <w:t xml:space="preserve"> </w:t>
      </w:r>
      <w:r w:rsidRPr="00F353B7">
        <w:rPr>
          <w:szCs w:val="22"/>
        </w:rPr>
        <w:tab/>
        <w:t>D.13-09-026, Finding of Fact 3.</w:t>
      </w:r>
    </w:p>
  </w:footnote>
  <w:footnote w:id="72">
    <w:p w:rsidR="004D65A2" w:rsidRPr="00F353B7" w:rsidRDefault="004D65A2" w:rsidP="00C6218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The only way SCE could have known the pole would be overloaded is if a load calculation had been performed.  </w:t>
      </w:r>
    </w:p>
  </w:footnote>
  <w:footnote w:id="73">
    <w:p w:rsidR="004D65A2" w:rsidRPr="00E41DE5" w:rsidRDefault="004D65A2">
      <w:pPr>
        <w:pStyle w:val="FootnoteText"/>
        <w:rPr>
          <w:szCs w:val="22"/>
        </w:rPr>
      </w:pPr>
      <w:r w:rsidRPr="00E41DE5">
        <w:rPr>
          <w:rStyle w:val="FootnoteReference"/>
          <w:sz w:val="22"/>
          <w:szCs w:val="22"/>
        </w:rPr>
        <w:footnoteRef/>
      </w:r>
      <w:r w:rsidRPr="00E41DE5">
        <w:rPr>
          <w:szCs w:val="22"/>
        </w:rPr>
        <w:t xml:space="preserve"> </w:t>
      </w:r>
      <w:r w:rsidRPr="00E41DE5">
        <w:rPr>
          <w:szCs w:val="22"/>
        </w:rPr>
        <w:tab/>
        <w:t>Three decisions issued in I.09-01-018 require an assessment or survey of pole overloading in SCE’s service territory. (D.12-09-019 at 2; D.13-09-026 at 2; and D.13</w:t>
      </w:r>
      <w:r w:rsidRPr="00E41DE5">
        <w:rPr>
          <w:szCs w:val="22"/>
        </w:rPr>
        <w:noBreakHyphen/>
        <w:t>09</w:t>
      </w:r>
      <w:r w:rsidRPr="00E41DE5">
        <w:rPr>
          <w:szCs w:val="22"/>
        </w:rPr>
        <w:noBreakHyphen/>
        <w:t xml:space="preserve">028 at 2.)  Data from these assessments/surveys might provide a foundation for SED’s proposed Rule 94.3-D, but such data was not submitted in the instant rulemaking proceeding.  </w:t>
      </w:r>
    </w:p>
  </w:footnote>
  <w:footnote w:id="74">
    <w:p w:rsidR="004D65A2" w:rsidRDefault="004D65A2">
      <w:pPr>
        <w:pStyle w:val="FootnoteText"/>
      </w:pPr>
      <w:r>
        <w:rPr>
          <w:rStyle w:val="FootnoteReference"/>
        </w:rPr>
        <w:footnoteRef/>
      </w:r>
      <w:r>
        <w:t xml:space="preserve"> </w:t>
      </w:r>
      <w:r>
        <w:tab/>
        <w:t xml:space="preserve">D.15-11-021 was issued after the proposed decision was mailed.  </w:t>
      </w:r>
    </w:p>
  </w:footnote>
  <w:footnote w:id="75">
    <w:p w:rsidR="004D65A2" w:rsidRDefault="004D65A2" w:rsidP="00064F83">
      <w:pPr>
        <w:pStyle w:val="FootnoteText"/>
      </w:pPr>
      <w:r>
        <w:rPr>
          <w:rStyle w:val="FootnoteReference"/>
        </w:rPr>
        <w:footnoteRef/>
      </w:r>
      <w:r>
        <w:t xml:space="preserve"> </w:t>
      </w:r>
      <w:r>
        <w:tab/>
        <w:t>SED Comments on the proposed decision (Nov. 19, 2015), at 1–3, citing D.15-11-021 at 134 and Findings of Fact 144</w:t>
      </w:r>
      <w:r w:rsidR="00A821A0">
        <w:t xml:space="preserve"> </w:t>
      </w:r>
      <w:r>
        <w:t>–</w:t>
      </w:r>
      <w:r w:rsidR="00A821A0">
        <w:t xml:space="preserve"> </w:t>
      </w:r>
      <w:r>
        <w:t xml:space="preserve">148.  </w:t>
      </w:r>
    </w:p>
  </w:footnote>
  <w:footnote w:id="76">
    <w:p w:rsidR="004D65A2" w:rsidRDefault="004D65A2">
      <w:pPr>
        <w:pStyle w:val="FootnoteText"/>
      </w:pPr>
      <w:r>
        <w:rPr>
          <w:rStyle w:val="FootnoteReference"/>
        </w:rPr>
        <w:footnoteRef/>
      </w:r>
      <w:r>
        <w:t xml:space="preserve"> </w:t>
      </w:r>
      <w:r>
        <w:tab/>
        <w:t>We cannot rely on D.15</w:t>
      </w:r>
      <w:r>
        <w:noBreakHyphen/>
        <w:t>11</w:t>
      </w:r>
      <w:r>
        <w:noBreakHyphen/>
        <w:t xml:space="preserve">021 as the basis for factual findings in today’s decision because parties have not had notice that D.15-11-021 might be used for this purpose and an opportunity to respond. (D.01-09-025, 2001 Cal. PUC LEXIS 747, at *6 - *9.)   </w:t>
      </w:r>
    </w:p>
  </w:footnote>
  <w:footnote w:id="77">
    <w:p w:rsidR="004D65A2" w:rsidRPr="00E41DE5" w:rsidRDefault="004D65A2" w:rsidP="00993F63">
      <w:pPr>
        <w:pStyle w:val="FootnoteText"/>
        <w:rPr>
          <w:szCs w:val="22"/>
        </w:rPr>
      </w:pPr>
      <w:r w:rsidRPr="00E41DE5">
        <w:rPr>
          <w:rStyle w:val="FootnoteReference"/>
          <w:sz w:val="22"/>
          <w:szCs w:val="22"/>
        </w:rPr>
        <w:footnoteRef/>
      </w:r>
      <w:r w:rsidRPr="00E41DE5">
        <w:rPr>
          <w:szCs w:val="22"/>
        </w:rPr>
        <w:t xml:space="preserve"> </w:t>
      </w:r>
      <w:r w:rsidRPr="00E41DE5">
        <w:rPr>
          <w:szCs w:val="22"/>
        </w:rPr>
        <w:tab/>
        <w:t>Workshop Report (April 7, 2015), at E-6; AT&amp;T Mobility C</w:t>
      </w:r>
      <w:r>
        <w:rPr>
          <w:szCs w:val="22"/>
        </w:rPr>
        <w:t>omments (April 17, 2015), at 11</w:t>
      </w:r>
      <w:r>
        <w:rPr>
          <w:szCs w:val="22"/>
        </w:rPr>
        <w:noBreakHyphen/>
      </w:r>
      <w:r w:rsidRPr="00E41DE5">
        <w:rPr>
          <w:szCs w:val="22"/>
        </w:rPr>
        <w:t>12; CTIA Comments (April 17, 2015), at 8; CTIA Reply Comments (April 24, 2015), at 7; Electric</w:t>
      </w:r>
      <w:r>
        <w:rPr>
          <w:szCs w:val="22"/>
        </w:rPr>
        <w:t> </w:t>
      </w:r>
      <w:r w:rsidRPr="00E41DE5">
        <w:rPr>
          <w:szCs w:val="22"/>
        </w:rPr>
        <w:t>IOUs Reply Comments (April 24, 2015), at 8; and PCIA Reply Comments (April</w:t>
      </w:r>
      <w:r>
        <w:rPr>
          <w:szCs w:val="22"/>
        </w:rPr>
        <w:t> </w:t>
      </w:r>
      <w:r w:rsidRPr="00E41DE5">
        <w:rPr>
          <w:szCs w:val="22"/>
        </w:rPr>
        <w:t>24, 2015), at 3 – 4.</w:t>
      </w:r>
    </w:p>
  </w:footnote>
  <w:footnote w:id="78">
    <w:p w:rsidR="004D65A2" w:rsidRPr="00E41DE5" w:rsidRDefault="004D65A2" w:rsidP="00DC1EB8">
      <w:pPr>
        <w:pStyle w:val="FootnoteText"/>
        <w:rPr>
          <w:szCs w:val="22"/>
        </w:rPr>
      </w:pPr>
      <w:r w:rsidRPr="00E41DE5">
        <w:rPr>
          <w:rStyle w:val="FootnoteReference"/>
          <w:sz w:val="22"/>
          <w:szCs w:val="22"/>
        </w:rPr>
        <w:footnoteRef/>
      </w:r>
      <w:r w:rsidRPr="00E41DE5">
        <w:rPr>
          <w:szCs w:val="22"/>
        </w:rPr>
        <w:t xml:space="preserve"> </w:t>
      </w:r>
      <w:r w:rsidRPr="00E41DE5">
        <w:rPr>
          <w:szCs w:val="22"/>
        </w:rPr>
        <w:tab/>
        <w:t>The Rules Committee consists of electric utilities, communication utilities, cable television corporations, trade associations, and labor unions.  The Rules Committee provides a forum to share information on GOs 95 and 128 and to develop consensus proposals to revise GOs</w:t>
      </w:r>
      <w:r>
        <w:rPr>
          <w:szCs w:val="22"/>
        </w:rPr>
        <w:t> </w:t>
      </w:r>
      <w:r w:rsidRPr="00E41DE5">
        <w:rPr>
          <w:szCs w:val="22"/>
        </w:rPr>
        <w:t>95 and 128. (D.15-01-005 at 2 – 3.)</w:t>
      </w:r>
    </w:p>
  </w:footnote>
  <w:footnote w:id="79">
    <w:p w:rsidR="004D65A2" w:rsidRPr="00E41DE5" w:rsidRDefault="004D65A2">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SED may file the Rule 6.3 petition jointly with other parties.  </w:t>
      </w:r>
    </w:p>
  </w:footnote>
  <w:footnote w:id="80">
    <w:p w:rsidR="004D65A2" w:rsidRPr="00E41DE5" w:rsidRDefault="004D65A2">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The ROW Rules also authorize pole owners to impose conditions and restrictions on pole attachments that </w:t>
      </w:r>
      <w:r>
        <w:rPr>
          <w:szCs w:val="22"/>
        </w:rPr>
        <w:t xml:space="preserve">are necessary to ensure safety.  </w:t>
      </w:r>
      <w:r w:rsidRPr="00E41DE5">
        <w:rPr>
          <w:szCs w:val="22"/>
        </w:rPr>
        <w:t>(D.98</w:t>
      </w:r>
      <w:r w:rsidRPr="00E41DE5">
        <w:rPr>
          <w:szCs w:val="22"/>
        </w:rPr>
        <w:noBreakHyphen/>
        <w:t>10</w:t>
      </w:r>
      <w:r w:rsidRPr="00E41DE5">
        <w:rPr>
          <w:szCs w:val="22"/>
        </w:rPr>
        <w:noBreakHyphen/>
        <w:t>058, Section VII.A.2.)</w:t>
      </w:r>
    </w:p>
  </w:footnote>
  <w:footnote w:id="81">
    <w:p w:rsidR="004D65A2" w:rsidRPr="00E41DE5" w:rsidRDefault="004D65A2" w:rsidP="006F120D">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D.07-02-030, at 15 - </w:t>
      </w:r>
      <w:r w:rsidRPr="00E41DE5">
        <w:rPr>
          <w:rStyle w:val="FootnoteTextChar"/>
          <w:szCs w:val="22"/>
        </w:rPr>
        <w:t>1</w:t>
      </w:r>
      <w:r w:rsidRPr="00E41DE5">
        <w:rPr>
          <w:szCs w:val="22"/>
        </w:rPr>
        <w:t>6.</w:t>
      </w:r>
    </w:p>
  </w:footnote>
  <w:footnote w:id="82">
    <w:p w:rsidR="004D65A2" w:rsidRPr="00E41DE5" w:rsidRDefault="004D65A2" w:rsidP="009D328A">
      <w:pPr>
        <w:pStyle w:val="FootnoteText"/>
        <w:rPr>
          <w:szCs w:val="22"/>
        </w:rPr>
      </w:pPr>
      <w:r w:rsidRPr="00E41DE5">
        <w:rPr>
          <w:rStyle w:val="FootnoteReference"/>
          <w:sz w:val="22"/>
          <w:szCs w:val="22"/>
        </w:rPr>
        <w:footnoteRef/>
      </w:r>
      <w:r w:rsidRPr="00E41DE5">
        <w:rPr>
          <w:szCs w:val="22"/>
        </w:rPr>
        <w:tab/>
        <w:t>D.07-02-030, at 23.</w:t>
      </w:r>
    </w:p>
  </w:footnote>
  <w:footnote w:id="83">
    <w:p w:rsidR="004D65A2" w:rsidRPr="00E41DE5" w:rsidRDefault="004D65A2" w:rsidP="00601306">
      <w:pPr>
        <w:pStyle w:val="FootnoteText"/>
        <w:rPr>
          <w:szCs w:val="22"/>
        </w:rPr>
      </w:pPr>
      <w:r w:rsidRPr="00E41DE5">
        <w:rPr>
          <w:rStyle w:val="FootnoteReference"/>
          <w:sz w:val="22"/>
          <w:szCs w:val="22"/>
        </w:rPr>
        <w:footnoteRef/>
      </w:r>
      <w:r w:rsidRPr="00E41DE5">
        <w:rPr>
          <w:szCs w:val="22"/>
        </w:rPr>
        <w:t xml:space="preserve"> </w:t>
      </w:r>
      <w:r w:rsidRPr="00E41DE5">
        <w:rPr>
          <w:szCs w:val="22"/>
        </w:rPr>
        <w:tab/>
      </w:r>
      <w:r w:rsidRPr="00E41DE5">
        <w:rPr>
          <w:rFonts w:eastAsia="Calibri"/>
          <w:szCs w:val="22"/>
        </w:rPr>
        <w:t xml:space="preserve">The Commission adopted Rule 94.5-A </w:t>
      </w:r>
      <w:r w:rsidRPr="00D94EAA">
        <w:rPr>
          <w:rFonts w:eastAsia="Calibri"/>
          <w:i/>
          <w:szCs w:val="22"/>
        </w:rPr>
        <w:t>sua sponte</w:t>
      </w:r>
      <w:r>
        <w:rPr>
          <w:rFonts w:eastAsia="Calibri"/>
          <w:szCs w:val="22"/>
        </w:rPr>
        <w:t xml:space="preserve"> </w:t>
      </w:r>
      <w:r w:rsidRPr="00E41DE5">
        <w:rPr>
          <w:rFonts w:eastAsia="Calibri"/>
          <w:szCs w:val="22"/>
        </w:rPr>
        <w:t xml:space="preserve">in D.07-02-030 in order to extend the safety benefits of the Settlement Agreement to antenna owners and pole owners who were not parties to the Settlement Agreement.  </w:t>
      </w:r>
      <w:r w:rsidRPr="00E41DE5">
        <w:rPr>
          <w:szCs w:val="22"/>
        </w:rPr>
        <w:t>(D.07</w:t>
      </w:r>
      <w:r w:rsidRPr="00E41DE5">
        <w:rPr>
          <w:szCs w:val="22"/>
        </w:rPr>
        <w:noBreakHyphen/>
        <w:t>02</w:t>
      </w:r>
      <w:r w:rsidRPr="00E41DE5">
        <w:rPr>
          <w:szCs w:val="22"/>
        </w:rPr>
        <w:noBreakHyphen/>
        <w:t xml:space="preserve">030 at 18 and Conclusions of Law 3 and 6.)  </w:t>
      </w:r>
    </w:p>
  </w:footnote>
  <w:footnote w:id="84">
    <w:p w:rsidR="004D65A2" w:rsidRPr="00E41DE5" w:rsidRDefault="004D65A2">
      <w:pPr>
        <w:pStyle w:val="FootnoteText"/>
        <w:rPr>
          <w:szCs w:val="22"/>
        </w:rPr>
      </w:pPr>
      <w:r w:rsidRPr="00E41DE5">
        <w:rPr>
          <w:rStyle w:val="FootnoteReference"/>
          <w:sz w:val="22"/>
          <w:szCs w:val="22"/>
        </w:rPr>
        <w:footnoteRef/>
      </w:r>
      <w:r w:rsidRPr="00E41DE5">
        <w:rPr>
          <w:szCs w:val="22"/>
        </w:rPr>
        <w:t xml:space="preserve"> </w:t>
      </w:r>
      <w:r w:rsidRPr="00E41DE5">
        <w:rPr>
          <w:szCs w:val="22"/>
        </w:rPr>
        <w:tab/>
      </w:r>
      <w:r w:rsidRPr="00E41DE5">
        <w:rPr>
          <w:rFonts w:eastAsia="Calibri"/>
          <w:szCs w:val="22"/>
        </w:rPr>
        <w:t>The revisions to Rule 94.5-A adopted by today’s decision do not affect the Settlement Agreement, which remains in effect.</w:t>
      </w:r>
    </w:p>
  </w:footnote>
  <w:footnote w:id="85">
    <w:p w:rsidR="004D65A2" w:rsidRPr="00E41DE5" w:rsidRDefault="004D65A2" w:rsidP="00371454">
      <w:pPr>
        <w:pStyle w:val="FootnoteText"/>
        <w:rPr>
          <w:szCs w:val="22"/>
        </w:rPr>
      </w:pPr>
      <w:r w:rsidRPr="00E41DE5">
        <w:rPr>
          <w:rStyle w:val="FootnoteReference"/>
          <w:sz w:val="22"/>
          <w:szCs w:val="22"/>
        </w:rPr>
        <w:footnoteRef/>
      </w:r>
      <w:r w:rsidRPr="00E41DE5">
        <w:rPr>
          <w:szCs w:val="22"/>
        </w:rPr>
        <w:t xml:space="preserve"> </w:t>
      </w:r>
      <w:r w:rsidRPr="00E41DE5">
        <w:rPr>
          <w:szCs w:val="22"/>
        </w:rPr>
        <w:tab/>
        <w:t>E</w:t>
      </w:r>
      <w:r w:rsidRPr="00E41DE5">
        <w:rPr>
          <w:rFonts w:eastAsia="Calibri"/>
          <w:szCs w:val="22"/>
        </w:rPr>
        <w:t xml:space="preserve">ven if 47 U.S.C. 332(c)(7) does apply, States have express authority under 47 U.S.C. 332(c)(7)(A) to regulate the placement, construction, and modification of wireless facilities.  </w:t>
      </w:r>
    </w:p>
  </w:footnote>
  <w:footnote w:id="86">
    <w:p w:rsidR="004D65A2" w:rsidRPr="00E41DE5" w:rsidRDefault="004D65A2">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47 CFR 1.1310(e)(1).  See also FCC Office of Engineering and Technology </w:t>
      </w:r>
      <w:r w:rsidRPr="00E41DE5">
        <w:rPr>
          <w:i/>
          <w:szCs w:val="22"/>
        </w:rPr>
        <w:t>Questions and Answers About the Biological Effects and Potential Hazards of Radio Frequency Electromagnetic Fields</w:t>
      </w:r>
      <w:r w:rsidRPr="00E41DE5">
        <w:rPr>
          <w:szCs w:val="22"/>
        </w:rPr>
        <w:t>. (http://transition.fcc.gov/oet/rfsafety/rf-faqs.html#Q21)</w:t>
      </w:r>
    </w:p>
  </w:footnote>
  <w:footnote w:id="87">
    <w:p w:rsidR="004D65A2" w:rsidRPr="00AF3E73" w:rsidRDefault="004D65A2">
      <w:pPr>
        <w:pStyle w:val="FootnoteText"/>
        <w:rPr>
          <w:szCs w:val="22"/>
        </w:rPr>
      </w:pPr>
      <w:r w:rsidRPr="00AF3E73">
        <w:rPr>
          <w:rStyle w:val="FootnoteReference"/>
          <w:sz w:val="22"/>
          <w:szCs w:val="22"/>
        </w:rPr>
        <w:footnoteRef/>
      </w:r>
      <w:r w:rsidRPr="00AF3E73">
        <w:rPr>
          <w:szCs w:val="22"/>
        </w:rPr>
        <w:t xml:space="preserve"> </w:t>
      </w:r>
      <w:r w:rsidRPr="00AF3E73">
        <w:rPr>
          <w:szCs w:val="22"/>
        </w:rPr>
        <w:tab/>
      </w:r>
      <w:r>
        <w:rPr>
          <w:szCs w:val="22"/>
        </w:rPr>
        <w:t xml:space="preserve">AT&amp;T Mobility Comments on the proposed decision, at 5 – 6, citing </w:t>
      </w:r>
      <w:r w:rsidRPr="00AF3E73">
        <w:rPr>
          <w:szCs w:val="22"/>
        </w:rPr>
        <w:t>FCC 97-303, at Paragraph 89.</w:t>
      </w:r>
    </w:p>
  </w:footnote>
  <w:footnote w:id="88">
    <w:p w:rsidR="004D65A2" w:rsidRPr="00E41DE5" w:rsidRDefault="004D65A2" w:rsidP="00607751">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The Electric IOUs cite 29 CRF </w:t>
      </w:r>
      <w:r w:rsidRPr="00E41DE5">
        <w:rPr>
          <w:rFonts w:ascii="Book Antiqua" w:hAnsi="Book Antiqua"/>
          <w:szCs w:val="22"/>
        </w:rPr>
        <w:t>§§</w:t>
      </w:r>
      <w:r w:rsidRPr="00E41DE5">
        <w:rPr>
          <w:szCs w:val="22"/>
        </w:rPr>
        <w:t> 1910 and 1926.  PG&amp;E and SCE state that</w:t>
      </w:r>
      <w:r>
        <w:t xml:space="preserve"> </w:t>
      </w:r>
      <w:r w:rsidRPr="00E41DE5">
        <w:rPr>
          <w:szCs w:val="22"/>
        </w:rPr>
        <w:t>California OSHA has not adopted fall-protection rules that mirror Federal OSHA’s.</w:t>
      </w:r>
    </w:p>
  </w:footnote>
  <w:footnote w:id="89">
    <w:p w:rsidR="004D65A2" w:rsidRPr="00E41DE5" w:rsidRDefault="004D65A2" w:rsidP="00AB7F4F">
      <w:pPr>
        <w:pStyle w:val="FootnoteText"/>
        <w:rPr>
          <w:szCs w:val="22"/>
        </w:rPr>
      </w:pPr>
      <w:r w:rsidRPr="00E41DE5">
        <w:rPr>
          <w:rStyle w:val="FootnoteReference"/>
          <w:sz w:val="22"/>
          <w:szCs w:val="22"/>
        </w:rPr>
        <w:footnoteRef/>
      </w:r>
      <w:r w:rsidRPr="00E41DE5">
        <w:rPr>
          <w:szCs w:val="22"/>
        </w:rPr>
        <w:t xml:space="preserve"> </w:t>
      </w:r>
      <w:r w:rsidRPr="00E41DE5">
        <w:rPr>
          <w:szCs w:val="22"/>
        </w:rPr>
        <w:tab/>
        <w:t>The Electric IOUs point to Reference Item 1, which was distributed at the November 2014 Informational Workshop, as an example of a pole where there appears to be unnecessary interference in the climbing space.</w:t>
      </w:r>
    </w:p>
  </w:footnote>
  <w:footnote w:id="90">
    <w:p w:rsidR="004D65A2" w:rsidRPr="00E41DE5" w:rsidRDefault="004D65A2" w:rsidP="00455194">
      <w:pPr>
        <w:pStyle w:val="FootnoteText"/>
        <w:rPr>
          <w:szCs w:val="22"/>
        </w:rPr>
      </w:pPr>
      <w:r w:rsidRPr="00E41DE5">
        <w:rPr>
          <w:rStyle w:val="FootnoteReference"/>
          <w:sz w:val="22"/>
          <w:szCs w:val="22"/>
        </w:rPr>
        <w:footnoteRef/>
      </w:r>
      <w:r w:rsidRPr="00E41DE5">
        <w:rPr>
          <w:szCs w:val="22"/>
        </w:rPr>
        <w:t xml:space="preserve"> </w:t>
      </w:r>
      <w:r w:rsidRPr="00E41DE5">
        <w:rPr>
          <w:szCs w:val="22"/>
        </w:rPr>
        <w:tab/>
        <w:t>Scoping Memo at 14.</w:t>
      </w:r>
    </w:p>
  </w:footnote>
  <w:footnote w:id="91">
    <w:p w:rsidR="004D65A2" w:rsidRPr="00E41DE5" w:rsidRDefault="004D65A2" w:rsidP="00E61642">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29 CFR </w:t>
      </w:r>
      <w:r w:rsidRPr="00E41DE5">
        <w:rPr>
          <w:rFonts w:ascii="Book Antiqua" w:hAnsi="Book Antiqua"/>
          <w:szCs w:val="22"/>
        </w:rPr>
        <w:t>§§</w:t>
      </w:r>
      <w:r w:rsidRPr="00E41DE5">
        <w:rPr>
          <w:szCs w:val="22"/>
        </w:rPr>
        <w:t> 1910 and 1926.</w:t>
      </w:r>
    </w:p>
  </w:footnote>
  <w:footnote w:id="92">
    <w:p w:rsidR="004D65A2" w:rsidRPr="00E41DE5" w:rsidRDefault="004D65A2" w:rsidP="00C1238E">
      <w:pPr>
        <w:pStyle w:val="FootnoteText"/>
        <w:rPr>
          <w:szCs w:val="22"/>
        </w:rPr>
      </w:pPr>
      <w:r w:rsidRPr="00E41DE5">
        <w:rPr>
          <w:rStyle w:val="FootnoteReference"/>
          <w:sz w:val="22"/>
          <w:szCs w:val="22"/>
        </w:rPr>
        <w:footnoteRef/>
      </w:r>
      <w:r w:rsidRPr="00E41DE5">
        <w:rPr>
          <w:szCs w:val="22"/>
        </w:rPr>
        <w:t xml:space="preserve"> </w:t>
      </w:r>
      <w:r w:rsidRPr="00E41DE5">
        <w:rPr>
          <w:szCs w:val="22"/>
        </w:rPr>
        <w:tab/>
        <w:t>Workshop Report, at E-21 (SCE stating that certain of its p</w:t>
      </w:r>
      <w:r w:rsidRPr="00E41DE5">
        <w:rPr>
          <w:rFonts w:eastAsia="Calibri"/>
          <w:szCs w:val="22"/>
        </w:rPr>
        <w:t>ole attachments may be installed in a manner that interferes with fall-protection equipment).</w:t>
      </w:r>
    </w:p>
  </w:footnote>
  <w:footnote w:id="93">
    <w:p w:rsidR="004D65A2" w:rsidRPr="00E41DE5" w:rsidRDefault="004D65A2" w:rsidP="00847FA9">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AT&amp;T Mobility Informational Report (Oct. 21, 2014), at 1 - 4, 7, and 16. </w:t>
      </w:r>
    </w:p>
  </w:footnote>
  <w:footnote w:id="94">
    <w:p w:rsidR="004D65A2" w:rsidRPr="00E41DE5" w:rsidRDefault="004D65A2">
      <w:pPr>
        <w:pStyle w:val="FootnoteText"/>
        <w:rPr>
          <w:szCs w:val="22"/>
        </w:rPr>
      </w:pPr>
      <w:r w:rsidRPr="00E41DE5">
        <w:rPr>
          <w:rStyle w:val="FootnoteReference"/>
          <w:sz w:val="22"/>
          <w:szCs w:val="22"/>
        </w:rPr>
        <w:footnoteRef/>
      </w:r>
      <w:r w:rsidRPr="00E41DE5">
        <w:rPr>
          <w:szCs w:val="22"/>
        </w:rPr>
        <w:t xml:space="preserve"> </w:t>
      </w:r>
      <w:r w:rsidRPr="00E41DE5">
        <w:rPr>
          <w:szCs w:val="22"/>
        </w:rPr>
        <w:tab/>
        <w:t>Rules 54.7 and 84.7 both state:  “Climbing space shall be maintained from the ground level.”  Allowable obstructions to climbing space are set forth in Rule 54.7</w:t>
      </w:r>
      <w:r w:rsidRPr="00E41DE5">
        <w:rPr>
          <w:szCs w:val="22"/>
        </w:rPr>
        <w:noBreakHyphen/>
        <w:t>A(3) and Rule 84.7-A(5).</w:t>
      </w:r>
    </w:p>
  </w:footnote>
  <w:footnote w:id="95">
    <w:p w:rsidR="004D65A2" w:rsidRPr="00E41DE5" w:rsidRDefault="004D65A2">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One of the examples is included in the text of the adopted Rule 94.6-C, and hence there is no need to include this example in an accompanying note. </w:t>
      </w:r>
    </w:p>
  </w:footnote>
  <w:footnote w:id="96">
    <w:p w:rsidR="004D65A2" w:rsidRPr="00E41DE5" w:rsidRDefault="004D65A2" w:rsidP="00914B77">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The Electric IOUs provided a photograph showing CMRS equipment obstructing climbing space. (Electric IOUs’ Informational Report (Oct. 21, 2014), at 28. </w:t>
      </w:r>
    </w:p>
  </w:footnote>
  <w:footnote w:id="97">
    <w:p w:rsidR="004D65A2" w:rsidRPr="00E41DE5" w:rsidRDefault="004D65A2">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Rule 94.9 specifies certain types of antennas that are exempt from the rule.  These exemptions are not relevant to today’s decision.   </w:t>
      </w:r>
    </w:p>
  </w:footnote>
  <w:footnote w:id="98">
    <w:p w:rsidR="004D65A2" w:rsidRPr="00E41DE5" w:rsidRDefault="004D65A2" w:rsidP="00B346DD">
      <w:pPr>
        <w:pStyle w:val="FootnoteText"/>
        <w:rPr>
          <w:szCs w:val="22"/>
        </w:rPr>
      </w:pPr>
      <w:r w:rsidRPr="00E41DE5">
        <w:rPr>
          <w:rStyle w:val="FootnoteReference"/>
          <w:sz w:val="22"/>
          <w:szCs w:val="22"/>
        </w:rPr>
        <w:footnoteRef/>
      </w:r>
      <w:r w:rsidRPr="00E41DE5">
        <w:rPr>
          <w:szCs w:val="22"/>
        </w:rPr>
        <w:tab/>
        <w:t>D.07-02-030, at 23.</w:t>
      </w:r>
    </w:p>
  </w:footnote>
  <w:footnote w:id="99">
    <w:p w:rsidR="004D65A2" w:rsidRPr="00E41DE5" w:rsidRDefault="004D65A2" w:rsidP="00EA56A6">
      <w:pPr>
        <w:pStyle w:val="FootnoteText"/>
        <w:rPr>
          <w:szCs w:val="22"/>
        </w:rPr>
      </w:pPr>
      <w:r w:rsidRPr="00E41DE5">
        <w:rPr>
          <w:rStyle w:val="FootnoteReference"/>
          <w:sz w:val="22"/>
          <w:szCs w:val="22"/>
        </w:rPr>
        <w:footnoteRef/>
      </w:r>
      <w:r w:rsidRPr="00E41DE5">
        <w:rPr>
          <w:szCs w:val="22"/>
        </w:rPr>
        <w:t xml:space="preserve"> </w:t>
      </w:r>
      <w:r w:rsidRPr="00E41DE5">
        <w:rPr>
          <w:szCs w:val="22"/>
        </w:rPr>
        <w:tab/>
      </w:r>
      <w:r w:rsidRPr="00E41DE5">
        <w:rPr>
          <w:rFonts w:eastAsia="Calibri"/>
          <w:szCs w:val="22"/>
        </w:rPr>
        <w:t>The Commission adopted the current text of Rule 94.9 on its own initiative in D.07</w:t>
      </w:r>
      <w:r w:rsidRPr="00E41DE5">
        <w:rPr>
          <w:rFonts w:eastAsia="Calibri"/>
          <w:szCs w:val="22"/>
        </w:rPr>
        <w:noBreakHyphen/>
        <w:t xml:space="preserve">02-030 in order to extend the substance of the Settlement Agreement to antenna owners and pole owners who were not parties to the Settlement Agreement.  </w:t>
      </w:r>
      <w:r w:rsidRPr="00E41DE5">
        <w:rPr>
          <w:szCs w:val="22"/>
        </w:rPr>
        <w:t>(D.07</w:t>
      </w:r>
      <w:r w:rsidRPr="00E41DE5">
        <w:rPr>
          <w:szCs w:val="22"/>
        </w:rPr>
        <w:noBreakHyphen/>
        <w:t>02</w:t>
      </w:r>
      <w:r w:rsidRPr="00E41DE5">
        <w:rPr>
          <w:szCs w:val="22"/>
        </w:rPr>
        <w:noBreakHyphen/>
        <w:t xml:space="preserve">030 at 18 and Conclusions of Law 3 and 6.)  </w:t>
      </w:r>
    </w:p>
  </w:footnote>
  <w:footnote w:id="100">
    <w:p w:rsidR="004D65A2" w:rsidRPr="00E41DE5" w:rsidRDefault="004D65A2">
      <w:pPr>
        <w:pStyle w:val="FootnoteText"/>
        <w:rPr>
          <w:szCs w:val="22"/>
        </w:rPr>
      </w:pPr>
      <w:r w:rsidRPr="00E41DE5">
        <w:rPr>
          <w:rStyle w:val="FootnoteReference"/>
          <w:sz w:val="22"/>
          <w:szCs w:val="22"/>
        </w:rPr>
        <w:footnoteRef/>
      </w:r>
      <w:r w:rsidRPr="00E41DE5">
        <w:rPr>
          <w:szCs w:val="22"/>
        </w:rPr>
        <w:t xml:space="preserve"> </w:t>
      </w:r>
      <w:r w:rsidRPr="00E41DE5">
        <w:rPr>
          <w:szCs w:val="22"/>
        </w:rPr>
        <w:tab/>
      </w:r>
      <w:r w:rsidRPr="00E41DE5">
        <w:rPr>
          <w:rFonts w:eastAsia="Calibri"/>
          <w:szCs w:val="22"/>
        </w:rPr>
        <w:t xml:space="preserve">The revisions to Rule 94.9 adopted by today’s decision do not affect the Settlement Agreement, which remains in effect.  </w:t>
      </w:r>
    </w:p>
  </w:footnote>
  <w:footnote w:id="101">
    <w:p w:rsidR="004D65A2" w:rsidRPr="00E41DE5" w:rsidRDefault="004D65A2" w:rsidP="00E85865">
      <w:pPr>
        <w:pStyle w:val="FootnoteText"/>
        <w:rPr>
          <w:szCs w:val="22"/>
        </w:rPr>
      </w:pPr>
      <w:r w:rsidRPr="00E41DE5">
        <w:rPr>
          <w:rStyle w:val="FootnoteReference"/>
          <w:sz w:val="22"/>
          <w:szCs w:val="22"/>
        </w:rPr>
        <w:footnoteRef/>
      </w:r>
      <w:r w:rsidRPr="00E41DE5">
        <w:rPr>
          <w:szCs w:val="22"/>
        </w:rPr>
        <w:t xml:space="preserve"> </w:t>
      </w:r>
      <w:r w:rsidRPr="00E41DE5">
        <w:rPr>
          <w:szCs w:val="22"/>
        </w:rPr>
        <w:tab/>
        <w:t>E</w:t>
      </w:r>
      <w:r w:rsidRPr="00E41DE5">
        <w:rPr>
          <w:rFonts w:eastAsia="Calibri"/>
          <w:szCs w:val="22"/>
        </w:rPr>
        <w:t xml:space="preserve">ven if 47 U.S.C. 332(c)(7) does apply, States have authority under 47 U.S.C. 332(c)(7)(A) to regulate the placement, construction, and modification of wireless facilities.  </w:t>
      </w:r>
    </w:p>
  </w:footnote>
  <w:footnote w:id="102">
    <w:p w:rsidR="004D65A2" w:rsidRPr="00E41DE5" w:rsidRDefault="004D65A2" w:rsidP="00E85865">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FCC Office of </w:t>
      </w:r>
      <w:r w:rsidRPr="00E85865">
        <w:rPr>
          <w:rFonts w:eastAsia="Calibri"/>
          <w:szCs w:val="22"/>
        </w:rPr>
        <w:t>Engineering</w:t>
      </w:r>
      <w:r w:rsidRPr="00E41DE5">
        <w:rPr>
          <w:szCs w:val="22"/>
        </w:rPr>
        <w:t xml:space="preserve"> and Technology </w:t>
      </w:r>
      <w:r w:rsidRPr="00E41DE5">
        <w:rPr>
          <w:rFonts w:eastAsia="Calibri"/>
          <w:szCs w:val="22"/>
        </w:rPr>
        <w:t xml:space="preserve">Bulletin 65, issued in 1997, at page 56.  </w:t>
      </w:r>
      <w:r w:rsidRPr="00E41DE5">
        <w:rPr>
          <w:szCs w:val="22"/>
        </w:rPr>
        <w:t>(</w:t>
      </w:r>
      <w:hyperlink r:id="rId1" w:history="1">
        <w:r w:rsidRPr="00E41DE5">
          <w:rPr>
            <w:rStyle w:val="Hyperlink"/>
            <w:szCs w:val="22"/>
          </w:rPr>
          <w:t>https://transition.fcc.gov/Bureaus/Engineering_Technology/Documents/bulletins/oet65/oet65.pdf</w:t>
        </w:r>
      </w:hyperlink>
      <w:r w:rsidRPr="00E41DE5">
        <w:rPr>
          <w:szCs w:val="22"/>
        </w:rPr>
        <w:t xml:space="preserve">) </w:t>
      </w:r>
    </w:p>
  </w:footnote>
  <w:footnote w:id="103">
    <w:p w:rsidR="004D65A2" w:rsidRPr="00343744" w:rsidRDefault="004D65A2" w:rsidP="003C2052">
      <w:pPr>
        <w:pStyle w:val="FootnoteText"/>
        <w:rPr>
          <w:szCs w:val="22"/>
        </w:rPr>
      </w:pPr>
      <w:r w:rsidRPr="00343744">
        <w:rPr>
          <w:rStyle w:val="FootnoteReference"/>
          <w:sz w:val="22"/>
          <w:szCs w:val="22"/>
        </w:rPr>
        <w:footnoteRef/>
      </w:r>
      <w:r w:rsidRPr="00343744">
        <w:rPr>
          <w:szCs w:val="22"/>
        </w:rPr>
        <w:t xml:space="preserve"> </w:t>
      </w:r>
      <w:r w:rsidRPr="00343744">
        <w:rPr>
          <w:szCs w:val="22"/>
        </w:rPr>
        <w:tab/>
      </w:r>
      <w:r>
        <w:rPr>
          <w:szCs w:val="22"/>
        </w:rPr>
        <w:t xml:space="preserve">AT&amp;T Mobility Comments on the proposed decision, at 5 – 6, citing </w:t>
      </w:r>
      <w:r w:rsidRPr="00343744">
        <w:rPr>
          <w:szCs w:val="22"/>
        </w:rPr>
        <w:t>FCC 97-303, at Paragraph 89.</w:t>
      </w:r>
    </w:p>
  </w:footnote>
  <w:footnote w:id="104">
    <w:p w:rsidR="004D65A2" w:rsidRPr="00E41DE5" w:rsidRDefault="004D65A2" w:rsidP="00DE1724">
      <w:pPr>
        <w:pStyle w:val="FootnoteText"/>
        <w:rPr>
          <w:szCs w:val="22"/>
        </w:rPr>
      </w:pPr>
      <w:r w:rsidRPr="00E41DE5">
        <w:rPr>
          <w:rStyle w:val="FootnoteReference"/>
          <w:sz w:val="22"/>
          <w:szCs w:val="22"/>
        </w:rPr>
        <w:footnoteRef/>
      </w:r>
      <w:r w:rsidRPr="00E41DE5">
        <w:rPr>
          <w:szCs w:val="22"/>
        </w:rPr>
        <w:t xml:space="preserve"> </w:t>
      </w:r>
      <w:r w:rsidRPr="00E41DE5">
        <w:rPr>
          <w:szCs w:val="22"/>
        </w:rPr>
        <w:tab/>
        <w:t>CTIA cites the City of Los Angeles Above Grade Facilities (“AGF”) Ordinance.  Under th</w:t>
      </w:r>
      <w:r w:rsidR="005C2349">
        <w:rPr>
          <w:szCs w:val="22"/>
        </w:rPr>
        <w:t>i</w:t>
      </w:r>
      <w:r w:rsidRPr="00E41DE5">
        <w:rPr>
          <w:szCs w:val="22"/>
        </w:rPr>
        <w:t>s ordinance, an application that includes a pedestal requires a preliminary</w:t>
      </w:r>
      <w:r w:rsidRPr="006B36F4">
        <w:t xml:space="preserve"> </w:t>
      </w:r>
      <w:r w:rsidRPr="00E41DE5">
        <w:rPr>
          <w:szCs w:val="22"/>
        </w:rPr>
        <w:t>review by</w:t>
      </w:r>
      <w:r w:rsidRPr="006B36F4">
        <w:t xml:space="preserve"> </w:t>
      </w:r>
      <w:r w:rsidRPr="00E41DE5">
        <w:rPr>
          <w:szCs w:val="22"/>
        </w:rPr>
        <w:t>multiple City agencies prior to submitting the application for the AGF Permit.  CTIA represents that the application process takes 4 to 6 months if there is minimal substantive public opposition.</w:t>
      </w:r>
    </w:p>
  </w:footnote>
  <w:footnote w:id="105">
    <w:p w:rsidR="004D65A2" w:rsidRPr="00E41DE5" w:rsidRDefault="004D65A2">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SED is willing to replace the phrase with “without good cause” in its proposed Rule 94.10 with the phrase “where practicable.”  </w:t>
      </w:r>
    </w:p>
  </w:footnote>
  <w:footnote w:id="106">
    <w:p w:rsidR="004D65A2" w:rsidRPr="00E41DE5" w:rsidRDefault="004D65A2" w:rsidP="00B66A28">
      <w:pPr>
        <w:pStyle w:val="FootnoteText"/>
        <w:rPr>
          <w:szCs w:val="22"/>
        </w:rPr>
      </w:pPr>
      <w:r w:rsidRPr="00E41DE5">
        <w:rPr>
          <w:rStyle w:val="FootnoteReference"/>
          <w:sz w:val="22"/>
          <w:szCs w:val="22"/>
        </w:rPr>
        <w:footnoteRef/>
      </w:r>
      <w:r w:rsidRPr="00E41DE5">
        <w:rPr>
          <w:szCs w:val="22"/>
        </w:rPr>
        <w:t xml:space="preserve"> </w:t>
      </w:r>
      <w:r w:rsidRPr="00E41DE5">
        <w:rPr>
          <w:szCs w:val="22"/>
        </w:rPr>
        <w:tab/>
        <w:t>AT&amp;T Mobility Informational Report (Dec. 5, 2014), at 1 – 7, and Appendices H and I; CCTA-JVSV Informational Report (Dec. 5, 2014), at 3; PG&amp;E Informational Report (Dec. 5, 2014), Attachment 3, at pp. 1-3; SDG&amp;E Informational Report (Dec. 5, 2014), at pp. B-1 through B-3; SCE Informational Report (Dec. 5, 2014), at pp. C-2 and C-3; and TURN Comments (Dec. 19, 2014), at 7</w:t>
      </w:r>
      <w:r w:rsidRPr="00E41DE5">
        <w:rPr>
          <w:szCs w:val="22"/>
        </w:rPr>
        <w:noBreakHyphen/>
        <w:t xml:space="preserve"> 8.  </w:t>
      </w:r>
    </w:p>
  </w:footnote>
  <w:footnote w:id="107">
    <w:p w:rsidR="004D65A2" w:rsidRPr="00E41DE5" w:rsidRDefault="004D65A2" w:rsidP="005D4E54">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Workshop Report (April 7, 2015), at E-43. </w:t>
      </w:r>
    </w:p>
  </w:footnote>
  <w:footnote w:id="108">
    <w:p w:rsidR="004D65A2" w:rsidRPr="00E41DE5" w:rsidRDefault="004D65A2" w:rsidP="005D4E54">
      <w:pPr>
        <w:pStyle w:val="FootnoteText"/>
        <w:rPr>
          <w:szCs w:val="22"/>
        </w:rPr>
      </w:pPr>
      <w:r w:rsidRPr="00E41DE5">
        <w:rPr>
          <w:rStyle w:val="FootnoteReference"/>
          <w:sz w:val="22"/>
          <w:szCs w:val="22"/>
        </w:rPr>
        <w:footnoteRef/>
      </w:r>
      <w:r w:rsidRPr="00E41DE5">
        <w:rPr>
          <w:szCs w:val="22"/>
        </w:rPr>
        <w:t xml:space="preserve"> </w:t>
      </w:r>
      <w:r w:rsidRPr="00E41DE5">
        <w:rPr>
          <w:szCs w:val="22"/>
        </w:rPr>
        <w:tab/>
        <w:t>CTIA Comments (April 17, 2015), at 20 – 21.</w:t>
      </w:r>
    </w:p>
  </w:footnote>
  <w:footnote w:id="109">
    <w:p w:rsidR="004D65A2" w:rsidRPr="00E41DE5" w:rsidRDefault="004D65A2" w:rsidP="008A100E">
      <w:pPr>
        <w:pStyle w:val="FootnoteText"/>
        <w:rPr>
          <w:szCs w:val="22"/>
        </w:rPr>
      </w:pPr>
      <w:r w:rsidRPr="00E41DE5">
        <w:rPr>
          <w:rStyle w:val="FootnoteReference"/>
          <w:sz w:val="22"/>
          <w:szCs w:val="22"/>
        </w:rPr>
        <w:footnoteRef/>
      </w:r>
      <w:r w:rsidRPr="00E41DE5">
        <w:rPr>
          <w:szCs w:val="22"/>
        </w:rPr>
        <w:t xml:space="preserve"> </w:t>
      </w:r>
      <w:r w:rsidRPr="00E41DE5">
        <w:rPr>
          <w:szCs w:val="22"/>
        </w:rPr>
        <w:tab/>
        <w:t>Workshop Report (April 7, 2015), at E-41.</w:t>
      </w:r>
    </w:p>
  </w:footnote>
  <w:footnote w:id="110">
    <w:p w:rsidR="004D65A2" w:rsidRPr="00E41DE5" w:rsidRDefault="004D65A2">
      <w:pPr>
        <w:pStyle w:val="FootnoteText"/>
        <w:rPr>
          <w:szCs w:val="22"/>
        </w:rPr>
      </w:pPr>
      <w:r w:rsidRPr="00E41DE5">
        <w:rPr>
          <w:rStyle w:val="FootnoteReference"/>
          <w:sz w:val="22"/>
          <w:szCs w:val="22"/>
        </w:rPr>
        <w:footnoteRef/>
      </w:r>
      <w:r w:rsidRPr="00E41DE5">
        <w:rPr>
          <w:szCs w:val="22"/>
        </w:rPr>
        <w:t xml:space="preserve"> </w:t>
      </w:r>
      <w:r w:rsidRPr="00E41DE5">
        <w:rPr>
          <w:szCs w:val="22"/>
        </w:rPr>
        <w:tab/>
        <w:t>OIR 14</w:t>
      </w:r>
      <w:r w:rsidRPr="00E41DE5">
        <w:rPr>
          <w:szCs w:val="22"/>
        </w:rPr>
        <w:noBreakHyphen/>
        <w:t>05</w:t>
      </w:r>
      <w:r w:rsidRPr="00E41DE5">
        <w:rPr>
          <w:szCs w:val="22"/>
        </w:rPr>
        <w:noBreakHyphen/>
        <w:t xml:space="preserve">001, at 19.  </w:t>
      </w:r>
    </w:p>
  </w:footnote>
  <w:footnote w:id="111">
    <w:p w:rsidR="004D65A2" w:rsidRPr="00E41DE5" w:rsidRDefault="004D65A2">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The derivation of all figures in the above table is provided in Appendix E of today’s decision.  </w:t>
      </w:r>
    </w:p>
  </w:footnote>
  <w:footnote w:id="112">
    <w:p w:rsidR="004D65A2" w:rsidRPr="00E41DE5" w:rsidRDefault="004D65A2" w:rsidP="009D4864">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Soil conditions may range from loose sand and marshy soil, to solid rock and urban concrete.   </w:t>
      </w:r>
    </w:p>
  </w:footnote>
  <w:footnote w:id="113">
    <w:p w:rsidR="004D65A2" w:rsidRPr="00E41DE5" w:rsidRDefault="004D65A2" w:rsidP="00A617E1">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Rule 44.3 states, “Lines or parts thereof shall be replaced or reinforced before safety factors have been reduced (due to factors such as deterioration and/or installation of additional facilities) in Grades ‘A’ and ‘B’ construction to less than two-thirds of the safety factors specified in Rule 44.1 and in Grade ‘C’ construction to less than one-half of the safety factors specified in Rule 44.1…  In no case shall the application of this rule be held to permit the use of structures or any member of any structure with a safety factor less than one.” </w:t>
      </w:r>
    </w:p>
  </w:footnote>
  <w:footnote w:id="114">
    <w:p w:rsidR="004D65A2" w:rsidRPr="00AF3E73" w:rsidRDefault="004D65A2" w:rsidP="00791E1C">
      <w:pPr>
        <w:pStyle w:val="FootnoteText"/>
        <w:rPr>
          <w:szCs w:val="22"/>
        </w:rPr>
      </w:pPr>
      <w:r w:rsidRPr="00AF3E73">
        <w:rPr>
          <w:rStyle w:val="FootnoteReference"/>
          <w:sz w:val="22"/>
          <w:szCs w:val="22"/>
        </w:rPr>
        <w:footnoteRef/>
      </w:r>
      <w:r w:rsidRPr="00AF3E73">
        <w:rPr>
          <w:szCs w:val="22"/>
        </w:rPr>
        <w:t xml:space="preserve"> </w:t>
      </w:r>
      <w:r w:rsidRPr="00AF3E73">
        <w:rPr>
          <w:szCs w:val="22"/>
        </w:rPr>
        <w:tab/>
      </w:r>
      <w:r>
        <w:rPr>
          <w:szCs w:val="22"/>
        </w:rPr>
        <w:t xml:space="preserve">The variables for the overturning calculation are the pole dimensions, pole burial depth, and soil constant.  Pole owners should know the dimensions and burial depths of their poles.  They should also have a reasonable estimate of the soil constant (e.g., a soil constant of 70 for average soil and 110 for good soil) because </w:t>
      </w:r>
      <w:r w:rsidRPr="00AF3E73">
        <w:rPr>
          <w:szCs w:val="22"/>
        </w:rPr>
        <w:t xml:space="preserve">Rule 49.1-C </w:t>
      </w:r>
      <w:r>
        <w:rPr>
          <w:szCs w:val="22"/>
        </w:rPr>
        <w:t xml:space="preserve">requires </w:t>
      </w:r>
      <w:r w:rsidRPr="00AF3E73">
        <w:rPr>
          <w:szCs w:val="22"/>
        </w:rPr>
        <w:t xml:space="preserve">pole owners </w:t>
      </w:r>
      <w:r>
        <w:rPr>
          <w:szCs w:val="22"/>
        </w:rPr>
        <w:t>to</w:t>
      </w:r>
      <w:r w:rsidRPr="00AF3E73">
        <w:rPr>
          <w:szCs w:val="22"/>
        </w:rPr>
        <w:t xml:space="preserve"> assess soil condition when determining the required depth of </w:t>
      </w:r>
      <w:r>
        <w:rPr>
          <w:szCs w:val="22"/>
        </w:rPr>
        <w:t xml:space="preserve">every new </w:t>
      </w:r>
      <w:r w:rsidRPr="00AF3E73">
        <w:rPr>
          <w:szCs w:val="22"/>
        </w:rPr>
        <w:t>pole.  Rule</w:t>
      </w:r>
      <w:r>
        <w:rPr>
          <w:szCs w:val="22"/>
        </w:rPr>
        <w:t> </w:t>
      </w:r>
      <w:r w:rsidRPr="00AF3E73">
        <w:rPr>
          <w:szCs w:val="22"/>
        </w:rPr>
        <w:t>44.4 requir</w:t>
      </w:r>
      <w:r>
        <w:rPr>
          <w:szCs w:val="22"/>
        </w:rPr>
        <w:t>es</w:t>
      </w:r>
      <w:r w:rsidRPr="00AF3E73">
        <w:rPr>
          <w:szCs w:val="22"/>
        </w:rPr>
        <w:t xml:space="preserve"> pole owners to cooperate with the entity performing the overturning calculation.   </w:t>
      </w:r>
    </w:p>
  </w:footnote>
  <w:footnote w:id="115">
    <w:p w:rsidR="004D65A2" w:rsidRPr="00AF3E73" w:rsidRDefault="004D65A2">
      <w:pPr>
        <w:pStyle w:val="FootnoteText"/>
        <w:rPr>
          <w:szCs w:val="22"/>
        </w:rPr>
      </w:pPr>
      <w:r w:rsidRPr="00AF3E73">
        <w:rPr>
          <w:rStyle w:val="FootnoteReference"/>
          <w:sz w:val="22"/>
          <w:szCs w:val="22"/>
        </w:rPr>
        <w:footnoteRef/>
      </w:r>
      <w:r w:rsidRPr="00AF3E73">
        <w:rPr>
          <w:szCs w:val="22"/>
        </w:rPr>
        <w:t xml:space="preserve"> </w:t>
      </w:r>
      <w:r w:rsidRPr="00AF3E73">
        <w:rPr>
          <w:szCs w:val="22"/>
        </w:rPr>
        <w:tab/>
      </w:r>
      <w:r>
        <w:rPr>
          <w:szCs w:val="22"/>
        </w:rPr>
        <w:t>The Electric IOUs determine setting depth based on pole height, soil conditions, and calculated overturning moment. (Workshop Report (April 7, 2015), at G-2.)  If the pole owner does not have information regarding the soil condition for a particular pole, the CMRS carrier should be able to obtain such information independently at a reasonable cost, as t</w:t>
      </w:r>
      <w:r w:rsidRPr="00AF3E73">
        <w:rPr>
          <w:szCs w:val="22"/>
        </w:rPr>
        <w:t xml:space="preserve">he utility industry has </w:t>
      </w:r>
      <w:r>
        <w:rPr>
          <w:szCs w:val="22"/>
        </w:rPr>
        <w:t xml:space="preserve">more than </w:t>
      </w:r>
      <w:r w:rsidRPr="00AF3E73">
        <w:rPr>
          <w:szCs w:val="22"/>
        </w:rPr>
        <w:t xml:space="preserve">a </w:t>
      </w:r>
      <w:r>
        <w:rPr>
          <w:szCs w:val="22"/>
        </w:rPr>
        <w:t>century’s worth</w:t>
      </w:r>
      <w:r w:rsidRPr="00AF3E73">
        <w:rPr>
          <w:szCs w:val="22"/>
        </w:rPr>
        <w:t xml:space="preserve"> of experience in identifying and assessing soil conditions in relation to pole burial depths.  </w:t>
      </w:r>
    </w:p>
  </w:footnote>
  <w:footnote w:id="116">
    <w:p w:rsidR="004D65A2" w:rsidRPr="00E41DE5" w:rsidRDefault="004D65A2" w:rsidP="00483B8D">
      <w:pPr>
        <w:pStyle w:val="FootnoteText"/>
        <w:rPr>
          <w:szCs w:val="22"/>
        </w:rPr>
      </w:pPr>
      <w:r w:rsidRPr="00E41DE5">
        <w:rPr>
          <w:rStyle w:val="FootnoteReference"/>
          <w:sz w:val="22"/>
          <w:szCs w:val="22"/>
        </w:rPr>
        <w:footnoteRef/>
      </w:r>
      <w:r w:rsidRPr="00E41DE5">
        <w:rPr>
          <w:szCs w:val="22"/>
        </w:rPr>
        <w:t xml:space="preserve"> </w:t>
      </w:r>
      <w:r w:rsidRPr="00E41DE5">
        <w:rPr>
          <w:szCs w:val="22"/>
        </w:rPr>
        <w:tab/>
        <w:t>AT&amp;T Mobility suggests that soil conditions are adequate in most situations to meet the minimum safety factor for the pole overturning moment adopted by today’s decision. (AT&amp;T Mobility Comments (April 17, 2015), at 20 -21; and AT&amp;T Mobility Reply Comments (April 24, 2015), at 10 – 11.)  PCIA agrees. (PCIA Reply Comments (April 17, 2015, at 10 - 11.)  This is consistent with the overturning calculations</w:t>
      </w:r>
      <w:r>
        <w:t xml:space="preserve"> </w:t>
      </w:r>
      <w:r w:rsidRPr="00E41DE5">
        <w:rPr>
          <w:szCs w:val="22"/>
        </w:rPr>
        <w:t>submitted by PG&amp;E and SDG&amp;E (Workshop Report (April 7, 2015), Appendix H, at H-2 and H-6), which indicate there are many existing poles that can accommodate a pole-top antenna installation</w:t>
      </w:r>
      <w:r>
        <w:t xml:space="preserve"> </w:t>
      </w:r>
      <w:r w:rsidRPr="00E41DE5">
        <w:rPr>
          <w:szCs w:val="22"/>
        </w:rPr>
        <w:t>and achieve the</w:t>
      </w:r>
      <w:r>
        <w:t xml:space="preserve"> </w:t>
      </w:r>
      <w:r w:rsidRPr="00E41DE5">
        <w:rPr>
          <w:szCs w:val="22"/>
        </w:rPr>
        <w:t xml:space="preserve">minimum safety factors for the pole overturning moment adopted by today’s decision.  </w:t>
      </w:r>
    </w:p>
  </w:footnote>
  <w:footnote w:id="117">
    <w:p w:rsidR="004D65A2" w:rsidRPr="00E41DE5" w:rsidRDefault="004D65A2">
      <w:pPr>
        <w:pStyle w:val="FootnoteText"/>
        <w:rPr>
          <w:szCs w:val="22"/>
        </w:rPr>
      </w:pPr>
      <w:r w:rsidRPr="00E41DE5">
        <w:rPr>
          <w:rStyle w:val="FootnoteReference"/>
          <w:sz w:val="22"/>
          <w:szCs w:val="22"/>
        </w:rPr>
        <w:footnoteRef/>
      </w:r>
      <w:r w:rsidRPr="00E41DE5">
        <w:rPr>
          <w:szCs w:val="22"/>
        </w:rPr>
        <w:t xml:space="preserve"> </w:t>
      </w:r>
      <w:r w:rsidRPr="00E41DE5">
        <w:rPr>
          <w:szCs w:val="22"/>
        </w:rPr>
        <w:tab/>
        <w:t>See, e.g., CCTA Comments (April 17, 2015), at 9 – 11; and AT&amp;T Mobility Reply Comments (April 24, 2015), at 11 – 12.</w:t>
      </w:r>
    </w:p>
  </w:footnote>
  <w:footnote w:id="118">
    <w:p w:rsidR="004D65A2" w:rsidRPr="00E41DE5" w:rsidRDefault="004D65A2">
      <w:pPr>
        <w:pStyle w:val="FootnoteText"/>
        <w:rPr>
          <w:szCs w:val="22"/>
        </w:rPr>
      </w:pPr>
      <w:r w:rsidRPr="00E41DE5">
        <w:rPr>
          <w:rStyle w:val="FootnoteReference"/>
          <w:sz w:val="22"/>
          <w:szCs w:val="22"/>
        </w:rPr>
        <w:footnoteRef/>
      </w:r>
      <w:r w:rsidRPr="00E41DE5">
        <w:rPr>
          <w:szCs w:val="22"/>
        </w:rPr>
        <w:t xml:space="preserve"> </w:t>
      </w:r>
      <w:r w:rsidRPr="00E41DE5">
        <w:rPr>
          <w:szCs w:val="22"/>
        </w:rPr>
        <w:tab/>
        <w:t>The Workshop Report shows that a 45-foot pole (</w:t>
      </w:r>
      <w:r w:rsidRPr="00E41DE5">
        <w:rPr>
          <w:szCs w:val="22"/>
          <w:u w:val="single"/>
        </w:rPr>
        <w:t>without</w:t>
      </w:r>
      <w:r w:rsidRPr="00E41DE5">
        <w:rPr>
          <w:szCs w:val="22"/>
        </w:rPr>
        <w:t xml:space="preserve"> a pole-top extension) embedded 6 feet in soil, with a soil constant of 110, has an allowable bending moment of 22,638 fp. with a safety factor of 4.0, and an allowable overturning moment of 21,589 fp. with a safety factor of 4.0.  (Workshop Report (April 7, 2015), Appendix H, at H-3 and H-8.)  </w:t>
      </w:r>
    </w:p>
  </w:footnote>
  <w:footnote w:id="119">
    <w:p w:rsidR="004D65A2" w:rsidRPr="00E41DE5" w:rsidRDefault="004D65A2">
      <w:pPr>
        <w:pStyle w:val="FootnoteText"/>
        <w:rPr>
          <w:szCs w:val="22"/>
        </w:rPr>
      </w:pPr>
      <w:r w:rsidRPr="00E41DE5">
        <w:rPr>
          <w:rStyle w:val="FootnoteReference"/>
          <w:sz w:val="22"/>
          <w:szCs w:val="22"/>
        </w:rPr>
        <w:footnoteRef/>
      </w:r>
      <w:r w:rsidRPr="00E41DE5">
        <w:rPr>
          <w:szCs w:val="22"/>
        </w:rPr>
        <w:t xml:space="preserve"> </w:t>
      </w:r>
      <w:r w:rsidRPr="00E41DE5">
        <w:rPr>
          <w:szCs w:val="22"/>
        </w:rPr>
        <w:tab/>
        <w:t>Today’s decision does not suggest that the allowable overturning moment is always less than the allowable bending moment.  The allowable overturning moment depends on the strength of the supporting soil, how deeply the pole is buried, and</w:t>
      </w:r>
      <w:r>
        <w:t xml:space="preserve"> </w:t>
      </w:r>
      <w:r w:rsidRPr="00E41DE5">
        <w:rPr>
          <w:szCs w:val="22"/>
        </w:rPr>
        <w:t xml:space="preserve">the diameter and taper of the pole.  There are likely many poles that have an allowable overturning moment that exceeds the allowable bending moment.   </w:t>
      </w:r>
    </w:p>
  </w:footnote>
  <w:footnote w:id="120">
    <w:p w:rsidR="004D65A2" w:rsidRPr="00AF3E73" w:rsidRDefault="004D65A2">
      <w:pPr>
        <w:pStyle w:val="FootnoteText"/>
        <w:rPr>
          <w:szCs w:val="22"/>
        </w:rPr>
      </w:pPr>
      <w:r w:rsidRPr="00AF3E73">
        <w:rPr>
          <w:rStyle w:val="FootnoteReference"/>
          <w:sz w:val="22"/>
          <w:szCs w:val="22"/>
        </w:rPr>
        <w:footnoteRef/>
      </w:r>
      <w:r w:rsidRPr="00AF3E73">
        <w:rPr>
          <w:szCs w:val="22"/>
        </w:rPr>
        <w:t xml:space="preserve"> </w:t>
      </w:r>
      <w:r w:rsidRPr="00AF3E73">
        <w:rPr>
          <w:szCs w:val="22"/>
        </w:rPr>
        <w:tab/>
        <w:t xml:space="preserve">AT&amp;T Comments on the </w:t>
      </w:r>
      <w:r>
        <w:rPr>
          <w:szCs w:val="22"/>
        </w:rPr>
        <w:t>p</w:t>
      </w:r>
      <w:r w:rsidRPr="00AF3E73">
        <w:rPr>
          <w:szCs w:val="22"/>
        </w:rPr>
        <w:t xml:space="preserve">roposed </w:t>
      </w:r>
      <w:r>
        <w:rPr>
          <w:szCs w:val="22"/>
        </w:rPr>
        <w:t>d</w:t>
      </w:r>
      <w:r w:rsidRPr="00AF3E73">
        <w:rPr>
          <w:szCs w:val="22"/>
        </w:rPr>
        <w:t xml:space="preserve">ecision (Nov. 19, 2015), at 6. </w:t>
      </w:r>
    </w:p>
  </w:footnote>
  <w:footnote w:id="121">
    <w:p w:rsidR="004D65A2" w:rsidRPr="00AF3E73" w:rsidRDefault="004D65A2">
      <w:pPr>
        <w:pStyle w:val="FootnoteText"/>
        <w:rPr>
          <w:szCs w:val="22"/>
        </w:rPr>
      </w:pPr>
      <w:r w:rsidRPr="00AF3E73">
        <w:rPr>
          <w:rStyle w:val="FootnoteReference"/>
          <w:sz w:val="22"/>
          <w:szCs w:val="22"/>
        </w:rPr>
        <w:footnoteRef/>
      </w:r>
      <w:r w:rsidRPr="00AF3E73">
        <w:rPr>
          <w:szCs w:val="22"/>
        </w:rPr>
        <w:t xml:space="preserve"> </w:t>
      </w:r>
      <w:r w:rsidRPr="00AF3E73">
        <w:rPr>
          <w:szCs w:val="22"/>
        </w:rPr>
        <w:tab/>
        <w:t xml:space="preserve">Workshop Report (April 7, 2015), Appendix H; and Electric IOUs’ Comments (April 17, 2015), Attachments 1, 2, and 3.  </w:t>
      </w:r>
    </w:p>
  </w:footnote>
  <w:footnote w:id="122">
    <w:p w:rsidR="004D65A2" w:rsidRPr="00AF3E73" w:rsidRDefault="004D65A2">
      <w:pPr>
        <w:pStyle w:val="FootnoteText"/>
        <w:rPr>
          <w:szCs w:val="22"/>
        </w:rPr>
      </w:pPr>
      <w:r w:rsidRPr="00AF3E73">
        <w:rPr>
          <w:rStyle w:val="FootnoteReference"/>
          <w:sz w:val="22"/>
          <w:szCs w:val="22"/>
        </w:rPr>
        <w:footnoteRef/>
      </w:r>
      <w:r w:rsidRPr="00AF3E73">
        <w:rPr>
          <w:szCs w:val="22"/>
        </w:rPr>
        <w:t xml:space="preserve"> </w:t>
      </w:r>
      <w:r w:rsidRPr="00AF3E73">
        <w:rPr>
          <w:szCs w:val="22"/>
        </w:rPr>
        <w:tab/>
        <w:t xml:space="preserve">AT&amp;T Comments (April 17, 2015), at 20; and AT&amp;T Reply Comments (April 24, 2015), at 11. </w:t>
      </w:r>
    </w:p>
  </w:footnote>
  <w:footnote w:id="123">
    <w:p w:rsidR="004D65A2" w:rsidRPr="00AF3E73" w:rsidRDefault="004D65A2">
      <w:pPr>
        <w:pStyle w:val="FootnoteText"/>
        <w:rPr>
          <w:szCs w:val="22"/>
        </w:rPr>
      </w:pPr>
      <w:r w:rsidRPr="00AF3E73">
        <w:rPr>
          <w:rStyle w:val="FootnoteReference"/>
          <w:sz w:val="22"/>
          <w:szCs w:val="22"/>
        </w:rPr>
        <w:footnoteRef/>
      </w:r>
      <w:r w:rsidRPr="00AF3E73">
        <w:rPr>
          <w:szCs w:val="22"/>
        </w:rPr>
        <w:t xml:space="preserve"> </w:t>
      </w:r>
      <w:r w:rsidRPr="00AF3E73">
        <w:rPr>
          <w:szCs w:val="22"/>
        </w:rPr>
        <w:tab/>
        <w:t>TURN Comments (April 17, 2015), at 7</w:t>
      </w:r>
      <w:r>
        <w:rPr>
          <w:szCs w:val="22"/>
        </w:rPr>
        <w:t>. (</w:t>
      </w:r>
      <w:r w:rsidRPr="00AF3E73">
        <w:rPr>
          <w:szCs w:val="22"/>
        </w:rPr>
        <w:t>“</w:t>
      </w:r>
      <w:r>
        <w:rPr>
          <w:szCs w:val="22"/>
        </w:rPr>
        <w:t>P</w:t>
      </w:r>
      <w:r w:rsidRPr="00AF3E73">
        <w:rPr>
          <w:szCs w:val="22"/>
        </w:rPr>
        <w:t>erhaps a better approach would be to recalculate the pole safety factor assuming addition of the pole extension and new antenna, but without increasing pole burial depth.”</w:t>
      </w:r>
      <w:r>
        <w:rPr>
          <w:szCs w:val="22"/>
        </w:rPr>
        <w:t>)</w:t>
      </w:r>
      <w:r w:rsidRPr="00AF3E73">
        <w:rPr>
          <w:szCs w:val="22"/>
        </w:rPr>
        <w:t xml:space="preserve"> </w:t>
      </w:r>
    </w:p>
  </w:footnote>
  <w:footnote w:id="124">
    <w:p w:rsidR="004D65A2" w:rsidRPr="00AF3E73" w:rsidRDefault="004D65A2" w:rsidP="002F54E1">
      <w:pPr>
        <w:pStyle w:val="FootnoteText"/>
        <w:rPr>
          <w:szCs w:val="22"/>
        </w:rPr>
      </w:pPr>
      <w:r w:rsidRPr="00AF3E73">
        <w:rPr>
          <w:rStyle w:val="FootnoteReference"/>
          <w:sz w:val="22"/>
          <w:szCs w:val="22"/>
        </w:rPr>
        <w:footnoteRef/>
      </w:r>
      <w:r w:rsidRPr="00AF3E73">
        <w:rPr>
          <w:szCs w:val="22"/>
        </w:rPr>
        <w:t xml:space="preserve"> </w:t>
      </w:r>
      <w:r w:rsidRPr="00AF3E73">
        <w:rPr>
          <w:szCs w:val="22"/>
        </w:rPr>
        <w:tab/>
        <w:t xml:space="preserve">AT&amp;T Comments on the </w:t>
      </w:r>
      <w:r>
        <w:rPr>
          <w:szCs w:val="22"/>
        </w:rPr>
        <w:t>p</w:t>
      </w:r>
      <w:r w:rsidRPr="00AF3E73">
        <w:rPr>
          <w:szCs w:val="22"/>
        </w:rPr>
        <w:t xml:space="preserve">roposed </w:t>
      </w:r>
      <w:r>
        <w:rPr>
          <w:szCs w:val="22"/>
        </w:rPr>
        <w:t>d</w:t>
      </w:r>
      <w:r w:rsidRPr="00AF3E73">
        <w:rPr>
          <w:szCs w:val="22"/>
        </w:rPr>
        <w:t xml:space="preserve">ecision (Nov. 19, 2015), at 6; and CCTA Comments on the </w:t>
      </w:r>
      <w:r>
        <w:rPr>
          <w:szCs w:val="22"/>
        </w:rPr>
        <w:t>p</w:t>
      </w:r>
      <w:r w:rsidRPr="00AF3E73">
        <w:rPr>
          <w:szCs w:val="22"/>
        </w:rPr>
        <w:t xml:space="preserve">roposed </w:t>
      </w:r>
      <w:r>
        <w:rPr>
          <w:szCs w:val="22"/>
        </w:rPr>
        <w:t>d</w:t>
      </w:r>
      <w:r w:rsidRPr="00AF3E73">
        <w:rPr>
          <w:szCs w:val="22"/>
        </w:rPr>
        <w:t xml:space="preserve">ecision (Nov. 19, 2015), at 10. </w:t>
      </w:r>
    </w:p>
  </w:footnote>
  <w:footnote w:id="125">
    <w:p w:rsidR="004D65A2" w:rsidRPr="00E41DE5" w:rsidRDefault="004D65A2">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AT&amp;T Mobility Comments (July 7, 2014), at 10 – 13 and Attachment 3.  </w:t>
      </w:r>
    </w:p>
  </w:footnote>
  <w:footnote w:id="126">
    <w:p w:rsidR="004D65A2" w:rsidRPr="00E41DE5" w:rsidRDefault="004D65A2" w:rsidP="00D54350">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Workshop Report (April 7, 2015), at J-10, 11, 13, and 19. </w:t>
      </w:r>
    </w:p>
  </w:footnote>
  <w:footnote w:id="127">
    <w:p w:rsidR="004D65A2" w:rsidRPr="00E41DE5" w:rsidRDefault="004D65A2" w:rsidP="00D54350">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Workshop Report (April 7, 2015), at 8 – 9.  </w:t>
      </w:r>
    </w:p>
  </w:footnote>
  <w:footnote w:id="128">
    <w:p w:rsidR="004D65A2" w:rsidRPr="00E41DE5" w:rsidRDefault="004D65A2" w:rsidP="00DF1DBE">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CEQA is codified in </w:t>
      </w:r>
      <w:hyperlink r:id="rId2" w:history="1">
        <w:r w:rsidRPr="00E41DE5">
          <w:rPr>
            <w:szCs w:val="22"/>
          </w:rPr>
          <w:t>Cal. Pub. Res. Code § 21000</w:t>
        </w:r>
      </w:hyperlink>
      <w:r w:rsidRPr="00E41DE5">
        <w:rPr>
          <w:szCs w:val="22"/>
        </w:rPr>
        <w:t xml:space="preserve"> et seq.</w:t>
      </w:r>
    </w:p>
  </w:footnote>
  <w:footnote w:id="129">
    <w:p w:rsidR="004D65A2" w:rsidRPr="00E41DE5" w:rsidRDefault="004D65A2" w:rsidP="00DF1DBE">
      <w:pPr>
        <w:pStyle w:val="FootnoteText"/>
        <w:rPr>
          <w:szCs w:val="22"/>
        </w:rPr>
      </w:pPr>
      <w:r w:rsidRPr="00E41DE5">
        <w:rPr>
          <w:rStyle w:val="FootnoteReference"/>
          <w:sz w:val="22"/>
          <w:szCs w:val="22"/>
        </w:rPr>
        <w:footnoteRef/>
      </w:r>
      <w:r w:rsidRPr="00E41DE5">
        <w:rPr>
          <w:szCs w:val="22"/>
        </w:rPr>
        <w:t xml:space="preserve"> </w:t>
      </w:r>
      <w:r w:rsidRPr="00E41DE5">
        <w:rPr>
          <w:szCs w:val="22"/>
        </w:rPr>
        <w:tab/>
      </w:r>
      <w:hyperlink r:id="rId3" w:history="1">
        <w:r w:rsidRPr="00E41DE5">
          <w:rPr>
            <w:szCs w:val="22"/>
          </w:rPr>
          <w:t>14 Cal. Code Regs., Section 15378</w:t>
        </w:r>
      </w:hyperlink>
      <w:r w:rsidRPr="00E41DE5">
        <w:rPr>
          <w:szCs w:val="22"/>
        </w:rPr>
        <w:t>.</w:t>
      </w:r>
    </w:p>
  </w:footnote>
  <w:footnote w:id="130">
    <w:p w:rsidR="004D65A2" w:rsidRPr="00E41DE5" w:rsidRDefault="004D65A2">
      <w:pPr>
        <w:pStyle w:val="FootnoteText"/>
        <w:rPr>
          <w:szCs w:val="22"/>
        </w:rPr>
      </w:pPr>
      <w:r w:rsidRPr="00E41DE5">
        <w:rPr>
          <w:rStyle w:val="FootnoteReference"/>
          <w:sz w:val="22"/>
          <w:szCs w:val="22"/>
        </w:rPr>
        <w:footnoteRef/>
      </w:r>
      <w:r w:rsidRPr="00E41DE5">
        <w:rPr>
          <w:szCs w:val="22"/>
        </w:rPr>
        <w:t xml:space="preserve"> </w:t>
      </w:r>
      <w:r w:rsidRPr="00E41DE5">
        <w:rPr>
          <w:szCs w:val="22"/>
        </w:rPr>
        <w:tab/>
        <w:t>CMRS carriers have an existing right under federal laws and regulations to obtain nondiscriminatory access to public utility infrastructure.</w:t>
      </w:r>
    </w:p>
  </w:footnote>
  <w:footnote w:id="131">
    <w:p w:rsidR="004D65A2" w:rsidRDefault="004D65A2" w:rsidP="0037014A">
      <w:pPr>
        <w:pStyle w:val="FootnoteText"/>
      </w:pPr>
      <w:r>
        <w:rPr>
          <w:rStyle w:val="FootnoteReference"/>
        </w:rPr>
        <w:footnoteRef/>
      </w:r>
      <w:r>
        <w:t xml:space="preserve"> </w:t>
      </w:r>
      <w:r>
        <w:tab/>
        <w:t xml:space="preserve">GO 95, Rule 38, Table 2, Case 8, Column E. </w:t>
      </w:r>
    </w:p>
  </w:footnote>
  <w:footnote w:id="132">
    <w:p w:rsidR="004D65A2" w:rsidRPr="00871F3D" w:rsidRDefault="004D65A2" w:rsidP="0037014A">
      <w:pPr>
        <w:pStyle w:val="FootnoteText"/>
      </w:pPr>
      <w:r>
        <w:rPr>
          <w:rStyle w:val="FootnoteReference"/>
        </w:rPr>
        <w:footnoteRef/>
      </w:r>
      <w:r w:rsidRPr="00871F3D">
        <w:tab/>
      </w:r>
      <w:r>
        <w:rPr>
          <w:szCs w:val="22"/>
        </w:rPr>
        <w:t>GO 95, Rule 38, Table 2, Case 8, Column C.</w:t>
      </w:r>
    </w:p>
  </w:footnote>
  <w:footnote w:id="133">
    <w:p w:rsidR="004D65A2" w:rsidRDefault="004D65A2" w:rsidP="0037014A">
      <w:pPr>
        <w:pStyle w:val="FootnoteText"/>
      </w:pPr>
      <w:r>
        <w:rPr>
          <w:rStyle w:val="FootnoteReference"/>
        </w:rPr>
        <w:footnoteRef/>
      </w:r>
      <w:r>
        <w:t xml:space="preserve"> </w:t>
      </w:r>
      <w:r>
        <w:tab/>
        <w:t>GO 95, Rule 94.4-A.  See also GO 95, Table 2, Case 21, Column E.</w:t>
      </w:r>
    </w:p>
  </w:footnote>
  <w:footnote w:id="134">
    <w:p w:rsidR="004D65A2" w:rsidRPr="00871F3D" w:rsidRDefault="004D65A2" w:rsidP="0037014A">
      <w:pPr>
        <w:pStyle w:val="FootnoteText"/>
      </w:pPr>
      <w:r>
        <w:rPr>
          <w:rStyle w:val="FootnoteReference"/>
        </w:rPr>
        <w:footnoteRef/>
      </w:r>
      <w:r w:rsidRPr="00871F3D">
        <w:tab/>
      </w:r>
      <w:r>
        <w:rPr>
          <w:szCs w:val="22"/>
        </w:rPr>
        <w:t>GO 95, Rule 38, Table 2, Case 21, Column C.</w:t>
      </w:r>
    </w:p>
  </w:footnote>
  <w:footnote w:id="135">
    <w:p w:rsidR="004D65A2" w:rsidRDefault="004D65A2" w:rsidP="0037014A">
      <w:pPr>
        <w:pStyle w:val="FootnoteText"/>
      </w:pPr>
      <w:r>
        <w:rPr>
          <w:rStyle w:val="FootnoteReference"/>
        </w:rPr>
        <w:footnoteRef/>
      </w:r>
      <w:r>
        <w:t xml:space="preserve"> </w:t>
      </w:r>
      <w:r>
        <w:tab/>
        <w:t xml:space="preserve">GO 95, Rule 38, Table 2, Case 8, Columns F, G, and H. </w:t>
      </w:r>
    </w:p>
  </w:footnote>
  <w:footnote w:id="136">
    <w:p w:rsidR="004D65A2" w:rsidRDefault="004D65A2" w:rsidP="0037014A">
      <w:pPr>
        <w:pStyle w:val="FootnoteText"/>
      </w:pPr>
      <w:r>
        <w:rPr>
          <w:rStyle w:val="FootnoteReference"/>
        </w:rPr>
        <w:footnoteRef/>
      </w:r>
      <w:r>
        <w:t xml:space="preserve"> </w:t>
      </w:r>
      <w:r>
        <w:tab/>
        <w:t>GO 95, Rule 94.4-A.  See also GO 95, Table 2, Case 21, Columns F, G, and H, and Footnote (uu).</w:t>
      </w:r>
    </w:p>
  </w:footnote>
  <w:footnote w:id="137">
    <w:p w:rsidR="004D65A2" w:rsidRDefault="004D65A2" w:rsidP="0037014A">
      <w:pPr>
        <w:pStyle w:val="FootnoteText"/>
      </w:pPr>
      <w:r>
        <w:rPr>
          <w:rStyle w:val="FootnoteReference"/>
        </w:rPr>
        <w:footnoteRef/>
      </w:r>
      <w:r>
        <w:t xml:space="preserve"> </w:t>
      </w:r>
      <w:r>
        <w:tab/>
        <w:t xml:space="preserve">GO 95, Rule 38, Table 2, Case 10, Columns D through H. </w:t>
      </w:r>
    </w:p>
  </w:footnote>
  <w:footnote w:id="138">
    <w:p w:rsidR="004D65A2" w:rsidRDefault="004D65A2" w:rsidP="0037014A">
      <w:pPr>
        <w:pStyle w:val="FootnoteText"/>
      </w:pPr>
      <w:r>
        <w:rPr>
          <w:rStyle w:val="FootnoteReference"/>
        </w:rPr>
        <w:footnoteRef/>
      </w:r>
      <w:r>
        <w:t xml:space="preserve"> </w:t>
      </w:r>
      <w:r>
        <w:tab/>
        <w:t xml:space="preserve">GO 95, Rule 38, Table 2, Case 21, Column E.  </w:t>
      </w:r>
    </w:p>
  </w:footnote>
  <w:footnote w:id="139">
    <w:p w:rsidR="004D65A2" w:rsidRDefault="004D65A2" w:rsidP="0037014A">
      <w:pPr>
        <w:pStyle w:val="FootnoteText"/>
      </w:pPr>
      <w:r>
        <w:rPr>
          <w:rStyle w:val="FootnoteReference"/>
        </w:rPr>
        <w:footnoteRef/>
      </w:r>
      <w:r>
        <w:t xml:space="preserve"> </w:t>
      </w:r>
      <w:r>
        <w:tab/>
        <w:t xml:space="preserve">GO 95, Rule 38, Table 2, Case 10, Columns D through H. </w:t>
      </w:r>
    </w:p>
  </w:footnote>
  <w:footnote w:id="140">
    <w:p w:rsidR="004D65A2" w:rsidRDefault="004D65A2" w:rsidP="0037014A">
      <w:pPr>
        <w:pStyle w:val="FootnoteText"/>
      </w:pPr>
      <w:r>
        <w:rPr>
          <w:rStyle w:val="FootnoteReference"/>
        </w:rPr>
        <w:footnoteRef/>
      </w:r>
      <w:r>
        <w:t xml:space="preserve"> </w:t>
      </w:r>
      <w:r>
        <w:tab/>
        <w:t xml:space="preserve">GO 95, Rule 38, Table 2, Case 21, Column E.  </w:t>
      </w:r>
    </w:p>
  </w:footnote>
  <w:footnote w:id="141">
    <w:p w:rsidR="004D65A2" w:rsidRPr="00A96028" w:rsidRDefault="004D65A2" w:rsidP="0037014A">
      <w:pPr>
        <w:pStyle w:val="FootnoteText"/>
      </w:pPr>
      <w:r w:rsidRPr="00056BC9">
        <w:rPr>
          <w:rStyle w:val="FootnoteReference"/>
        </w:rPr>
        <w:footnoteRef/>
      </w:r>
      <w:r w:rsidRPr="00A96028">
        <w:t xml:space="preserve"> </w:t>
      </w:r>
      <w:r>
        <w:tab/>
        <w:t>P</w:t>
      </w:r>
      <w:r w:rsidRPr="00902B0C">
        <w:t>ole</w:t>
      </w:r>
      <w:r>
        <w:noBreakHyphen/>
      </w:r>
      <w:r w:rsidRPr="00902B0C">
        <w:t xml:space="preserve">top attachers </w:t>
      </w:r>
      <w:r>
        <w:t xml:space="preserve">must </w:t>
      </w:r>
      <w:r w:rsidRPr="00902B0C">
        <w:t>pay, as part of make-ready charges, the entire cost of any pole</w:t>
      </w:r>
      <w:r>
        <w:noBreakHyphen/>
      </w:r>
      <w:r w:rsidRPr="00902B0C">
        <w:t xml:space="preserve">top extension required to create the necessary </w:t>
      </w:r>
      <w:r>
        <w:t>6</w:t>
      </w:r>
      <w:r>
        <w:noBreakHyphen/>
      </w:r>
      <w:r w:rsidRPr="00902B0C">
        <w:t>foot clearance</w:t>
      </w:r>
      <w:r>
        <w:t>.</w:t>
      </w:r>
      <w:r w:rsidRPr="00902B0C">
        <w:rPr>
          <w:rFonts w:eastAsia="Calibr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338" w:rsidRDefault="006713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338" w:rsidRDefault="006713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5A2" w:rsidRDefault="004D65A2" w:rsidP="001F23DD">
    <w:pPr>
      <w:tabs>
        <w:tab w:val="right"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5A2" w:rsidRDefault="004D65A2" w:rsidP="001A33B3">
    <w:pPr>
      <w:tabs>
        <w:tab w:val="right" w:pos="9360"/>
      </w:tabs>
    </w:pPr>
    <w:r>
      <w:rPr>
        <w:szCs w:val="26"/>
      </w:rPr>
      <w:t>R.14-05-001  COM/LR1/lil</w:t>
    </w:r>
    <w:r w:rsidRPr="00D106BF">
      <w:rPr>
        <w:szCs w:val="26"/>
      </w:rPr>
      <w:tab/>
    </w:r>
    <w:r w:rsidRPr="00243B49">
      <w:rPr>
        <w:rFonts w:ascii="Helvetica" w:hAnsi="Helvetica"/>
        <w:b/>
        <w:sz w:val="28"/>
        <w:szCs w:val="28"/>
      </w:rPr>
      <w:t>PROPOSED DECISION</w:t>
    </w:r>
    <w:r w:rsidR="0098198B">
      <w:rPr>
        <w:rFonts w:ascii="Helvetica" w:hAnsi="Helvetica"/>
        <w:b/>
        <w:sz w:val="28"/>
        <w:szCs w:val="28"/>
      </w:rPr>
      <w:t xml:space="preserve">  (Rev. 1)</w:t>
    </w:r>
  </w:p>
  <w:p w:rsidR="004D65A2" w:rsidRDefault="004D65A2">
    <w:pPr>
      <w:rPr>
        <w:sz w:val="24"/>
        <w:szCs w:val="24"/>
      </w:rPr>
    </w:pPr>
  </w:p>
  <w:p w:rsidR="004D65A2" w:rsidRDefault="004D65A2">
    <w:pPr>
      <w:rPr>
        <w:sz w:val="24"/>
        <w:szCs w:val="24"/>
      </w:rPr>
    </w:pPr>
  </w:p>
  <w:p w:rsidR="004D65A2" w:rsidRDefault="004D65A2">
    <w:pPr>
      <w:pStyle w:val="standard"/>
      <w:spacing w:after="80" w:line="240" w:lineRule="auto"/>
      <w:ind w:firstLine="0"/>
      <w:jc w:val="center"/>
      <w:outlineLvl w:val="0"/>
      <w:rPr>
        <w:b/>
      </w:rPr>
    </w:pPr>
    <w:r>
      <w:rPr>
        <w:b/>
      </w:rPr>
      <w:t>TABLE OF CONTENTS (cont.)</w:t>
    </w:r>
  </w:p>
  <w:p w:rsidR="004D65A2" w:rsidRDefault="004D65A2" w:rsidP="00361134">
    <w:pPr>
      <w:pStyle w:val="standard"/>
      <w:tabs>
        <w:tab w:val="left" w:pos="900"/>
        <w:tab w:val="right" w:pos="9360"/>
      </w:tabs>
      <w:spacing w:before="60" w:after="200" w:line="240" w:lineRule="auto"/>
      <w:ind w:firstLine="0"/>
    </w:pPr>
    <w:r>
      <w:tab/>
    </w:r>
    <w:r w:rsidRPr="00DA1676">
      <w:rPr>
        <w:b/>
      </w:rPr>
      <w:t>Title</w:t>
    </w:r>
    <w:r>
      <w:tab/>
    </w:r>
    <w:r w:rsidRPr="00DA1676">
      <w:rPr>
        <w:b/>
      </w:rPr>
      <w:t>Page</w:t>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5A2" w:rsidRDefault="004D65A2" w:rsidP="001F23DD">
    <w:pPr>
      <w:tabs>
        <w:tab w:val="right" w:pos="9360"/>
      </w:tabs>
    </w:pPr>
    <w:r>
      <w:rPr>
        <w:szCs w:val="26"/>
      </w:rPr>
      <w:t>R.14-05-001  COM/LR1/lil</w:t>
    </w:r>
    <w:r>
      <w:rPr>
        <w:szCs w:val="26"/>
      </w:rPr>
      <w:tab/>
    </w:r>
    <w:r w:rsidRPr="00243B49">
      <w:rPr>
        <w:rFonts w:ascii="Helvetica" w:hAnsi="Helvetica"/>
        <w:b/>
        <w:sz w:val="28"/>
        <w:szCs w:val="28"/>
      </w:rPr>
      <w:t>PROPOSED DECISION</w:t>
    </w:r>
    <w:r w:rsidR="0098198B">
      <w:rPr>
        <w:rFonts w:ascii="Helvetica" w:hAnsi="Helvetica"/>
        <w:b/>
        <w:sz w:val="28"/>
        <w:szCs w:val="28"/>
      </w:rPr>
      <w:t xml:space="preserve">  (Rev. 1)</w:t>
    </w:r>
  </w:p>
  <w:p w:rsidR="004D65A2" w:rsidRDefault="004D65A2" w:rsidP="00FE5D52">
    <w:pPr>
      <w:rPr>
        <w:sz w:val="24"/>
        <w:szCs w:val="24"/>
      </w:rPr>
    </w:pPr>
  </w:p>
  <w:p w:rsidR="004D65A2" w:rsidRPr="00FE5D52" w:rsidRDefault="004D65A2" w:rsidP="00FE5D52">
    <w:pPr>
      <w:rPr>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5A2" w:rsidRPr="001F65AB" w:rsidRDefault="004D65A2" w:rsidP="001F65AB">
    <w:pPr>
      <w:widowControl w:val="0"/>
      <w:tabs>
        <w:tab w:val="center" w:pos="4320"/>
        <w:tab w:val="right" w:pos="9360"/>
      </w:tabs>
      <w:rPr>
        <w:sz w:val="20"/>
      </w:rPr>
    </w:pPr>
    <w:r w:rsidRPr="001F65AB">
      <w:rPr>
        <w:szCs w:val="26"/>
      </w:rPr>
      <w:t>R.14-05-001  COM/</w:t>
    </w:r>
    <w:r>
      <w:rPr>
        <w:szCs w:val="26"/>
      </w:rPr>
      <w:t>LR</w:t>
    </w:r>
    <w:r w:rsidRPr="001F65AB">
      <w:rPr>
        <w:szCs w:val="26"/>
      </w:rPr>
      <w:t>1</w:t>
    </w:r>
    <w:r>
      <w:rPr>
        <w:szCs w:val="26"/>
      </w:rPr>
      <w:t>/lil</w:t>
    </w:r>
    <w:r w:rsidRPr="001F65AB">
      <w:rPr>
        <w:szCs w:val="26"/>
      </w:rPr>
      <w:tab/>
    </w:r>
    <w:r w:rsidRPr="001F65AB">
      <w:rPr>
        <w:szCs w:val="26"/>
      </w:rPr>
      <w:tab/>
    </w:r>
    <w:r>
      <w:rPr>
        <w:rFonts w:ascii="Helvetica" w:hAnsi="Helvetica"/>
        <w:b/>
        <w:sz w:val="24"/>
        <w:szCs w:val="24"/>
      </w:rPr>
      <w:t>P</w:t>
    </w:r>
    <w:r w:rsidRPr="005B3A5B">
      <w:rPr>
        <w:rFonts w:ascii="Helvetica" w:hAnsi="Helvetica"/>
        <w:b/>
        <w:sz w:val="24"/>
        <w:szCs w:val="24"/>
      </w:rPr>
      <w:t>ROPOSED DECISION</w:t>
    </w:r>
    <w:r w:rsidR="0098198B">
      <w:rPr>
        <w:rFonts w:ascii="Helvetica" w:hAnsi="Helvetica"/>
        <w:b/>
        <w:sz w:val="24"/>
        <w:szCs w:val="24"/>
      </w:rPr>
      <w:t xml:space="preserve">  (Rev. 1)</w:t>
    </w:r>
  </w:p>
  <w:p w:rsidR="004D65A2" w:rsidRDefault="004D65A2" w:rsidP="001F65AB">
    <w:pPr>
      <w:rPr>
        <w:sz w:val="24"/>
        <w:szCs w:val="24"/>
      </w:rPr>
    </w:pPr>
  </w:p>
  <w:p w:rsidR="004D65A2" w:rsidRDefault="004D65A2" w:rsidP="001F65AB">
    <w:pPr>
      <w:rPr>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5A2" w:rsidRDefault="004D65A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884798A"/>
    <w:lvl w:ilvl="0">
      <w:start w:val="1"/>
      <w:numFmt w:val="decimal"/>
      <w:lvlText w:val="%1."/>
      <w:lvlJc w:val="left"/>
      <w:pPr>
        <w:tabs>
          <w:tab w:val="num" w:pos="1800"/>
        </w:tabs>
        <w:ind w:left="1800" w:hanging="360"/>
      </w:pPr>
    </w:lvl>
  </w:abstractNum>
  <w:abstractNum w:abstractNumId="1">
    <w:nsid w:val="FFFFFF7D"/>
    <w:multiLevelType w:val="singleLevel"/>
    <w:tmpl w:val="567E88EA"/>
    <w:lvl w:ilvl="0">
      <w:start w:val="1"/>
      <w:numFmt w:val="decimal"/>
      <w:pStyle w:val="ListNumber3"/>
      <w:lvlText w:val="%1."/>
      <w:lvlJc w:val="left"/>
      <w:pPr>
        <w:tabs>
          <w:tab w:val="num" w:pos="1440"/>
        </w:tabs>
        <w:ind w:left="1440" w:hanging="360"/>
      </w:pPr>
      <w:rPr>
        <w:rFonts w:cs="Times New Roman"/>
      </w:rPr>
    </w:lvl>
  </w:abstractNum>
  <w:abstractNum w:abstractNumId="2">
    <w:nsid w:val="FFFFFF7E"/>
    <w:multiLevelType w:val="singleLevel"/>
    <w:tmpl w:val="FA288C7C"/>
    <w:lvl w:ilvl="0">
      <w:start w:val="1"/>
      <w:numFmt w:val="decimal"/>
      <w:pStyle w:val="StandardNumber"/>
      <w:lvlText w:val="%1."/>
      <w:lvlJc w:val="left"/>
      <w:pPr>
        <w:tabs>
          <w:tab w:val="num" w:pos="1080"/>
        </w:tabs>
        <w:ind w:left="1080" w:hanging="360"/>
      </w:pPr>
      <w:rPr>
        <w:rFonts w:cs="Times New Roman"/>
      </w:rPr>
    </w:lvl>
  </w:abstractNum>
  <w:abstractNum w:abstractNumId="3">
    <w:nsid w:val="FFFFFF7F"/>
    <w:multiLevelType w:val="singleLevel"/>
    <w:tmpl w:val="2EAA893C"/>
    <w:lvl w:ilvl="0">
      <w:start w:val="1"/>
      <w:numFmt w:val="bullet"/>
      <w:pStyle w:val="ListNumber2"/>
      <w:lvlText w:val=""/>
      <w:lvlJc w:val="left"/>
      <w:pPr>
        <w:ind w:left="1440" w:hanging="360"/>
      </w:pPr>
      <w:rPr>
        <w:rFonts w:ascii="Symbol" w:hAnsi="Symbol" w:hint="default"/>
      </w:rPr>
    </w:lvl>
  </w:abstractNum>
  <w:abstractNum w:abstractNumId="4">
    <w:nsid w:val="FFFFFF80"/>
    <w:multiLevelType w:val="singleLevel"/>
    <w:tmpl w:val="A502E52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B38BC3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4BA483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DB6DACE"/>
    <w:lvl w:ilvl="0">
      <w:start w:val="1"/>
      <w:numFmt w:val="bullet"/>
      <w:lvlText w:val=""/>
      <w:lvlJc w:val="left"/>
      <w:pPr>
        <w:tabs>
          <w:tab w:val="num" w:pos="720"/>
        </w:tabs>
        <w:ind w:left="720" w:hanging="360"/>
      </w:pPr>
      <w:rPr>
        <w:rFonts w:ascii="Symbol" w:hAnsi="Symbol" w:hint="default"/>
      </w:rPr>
    </w:lvl>
  </w:abstractNum>
  <w:abstractNum w:abstractNumId="8">
    <w:nsid w:val="FFFFFF89"/>
    <w:multiLevelType w:val="singleLevel"/>
    <w:tmpl w:val="2B2A6668"/>
    <w:lvl w:ilvl="0">
      <w:start w:val="1"/>
      <w:numFmt w:val="bullet"/>
      <w:lvlText w:val=""/>
      <w:lvlJc w:val="left"/>
      <w:pPr>
        <w:tabs>
          <w:tab w:val="num" w:pos="360"/>
        </w:tabs>
        <w:ind w:left="360" w:hanging="360"/>
      </w:pPr>
      <w:rPr>
        <w:rFonts w:ascii="Symbol" w:hAnsi="Symbol" w:hint="default"/>
      </w:rPr>
    </w:lvl>
  </w:abstractNum>
  <w:abstractNum w:abstractNumId="9">
    <w:nsid w:val="035A3BB5"/>
    <w:multiLevelType w:val="multilevel"/>
    <w:tmpl w:val="B6847EAA"/>
    <w:name w:val="HeadingStyles||Heading|3|3|0|1|0|45||1|0|37||mpNA||mpNA||mpNA||mpNA||mpNA||mpNA||mpNA||"/>
    <w:lvl w:ilvl="0">
      <w:start w:val="3"/>
      <w:numFmt w:val="upperRoman"/>
      <w:lvlText w:val="%1."/>
      <w:lvlJc w:val="left"/>
      <w:pPr>
        <w:tabs>
          <w:tab w:val="num" w:pos="720"/>
        </w:tabs>
        <w:ind w:left="720" w:hanging="720"/>
      </w:pPr>
      <w:rPr>
        <w:rFonts w:ascii="Times New Roman" w:hAnsi="Times New Roman" w:cs="Times New Roman" w:hint="default"/>
        <w:b/>
        <w:i w:val="0"/>
        <w:caps w:val="0"/>
        <w:strike w:val="0"/>
        <w:dstrike w:val="0"/>
        <w:vanish w:val="0"/>
        <w:color w:val="auto"/>
        <w:u w:val="none"/>
        <w:vertAlign w:val="baseline"/>
      </w:rPr>
    </w:lvl>
    <w:lvl w:ilvl="1">
      <w:start w:val="1"/>
      <w:numFmt w:val="upperLetter"/>
      <w:lvlText w:val="%2."/>
      <w:lvlJc w:val="left"/>
      <w:pPr>
        <w:tabs>
          <w:tab w:val="num" w:pos="1320"/>
        </w:tabs>
        <w:ind w:left="1320" w:hanging="720"/>
      </w:pPr>
      <w:rPr>
        <w:rFonts w:ascii="Times New Roman" w:hAnsi="Times New Roman" w:cs="Times New Roman" w:hint="default"/>
        <w:b/>
        <w:i w:val="0"/>
        <w:caps w:val="0"/>
        <w:strike w:val="0"/>
        <w:dstrike w:val="0"/>
        <w:vanish w:val="0"/>
        <w:color w:val="auto"/>
        <w:u w:val="none"/>
        <w:vertAlign w:val="baseline"/>
      </w:rPr>
    </w:lvl>
    <w:lvl w:ilvl="2">
      <w:start w:val="1"/>
      <w:numFmt w:val="decimal"/>
      <w:lvlText w:val="(%3)"/>
      <w:lvlJc w:val="left"/>
      <w:pPr>
        <w:tabs>
          <w:tab w:val="num" w:pos="2160"/>
        </w:tabs>
        <w:ind w:left="2160" w:hanging="720"/>
      </w:pPr>
      <w:rPr>
        <w:rFonts w:cs="Times New Roman" w:hint="default"/>
        <w:b/>
        <w:i w:val="0"/>
        <w:caps w:val="0"/>
        <w:strike w:val="0"/>
        <w:dstrike w:val="0"/>
        <w:vanish w:val="0"/>
        <w:color w:val="000000"/>
        <w:u w:val="none"/>
        <w:vertAlign w:val="baseline"/>
      </w:rPr>
    </w:lvl>
    <w:lvl w:ilvl="3">
      <w:start w:val="1"/>
      <w:numFmt w:val="bullet"/>
      <w:lvlText w:val=""/>
      <w:lvlJc w:val="left"/>
      <w:pPr>
        <w:tabs>
          <w:tab w:val="num" w:pos="1080"/>
        </w:tabs>
        <w:ind w:left="1080" w:hanging="360"/>
      </w:pPr>
      <w:rPr>
        <w:rFonts w:ascii="Symbol" w:hAnsi="Symbol" w:hint="default"/>
        <w:b/>
        <w:i w:val="0"/>
        <w:caps w:val="0"/>
        <w:strike w:val="0"/>
        <w:dstrike w:val="0"/>
        <w:vanish w:val="0"/>
        <w:color w:val="auto"/>
        <w:u w:val="none"/>
        <w:vertAlign w:val="baseline"/>
      </w:rPr>
    </w:lvl>
    <w:lvl w:ilvl="4">
      <w:start w:val="1"/>
      <w:numFmt w:val="decimal"/>
      <w:lvlText w:val="(%5)"/>
      <w:lvlJc w:val="left"/>
      <w:pPr>
        <w:tabs>
          <w:tab w:val="num" w:pos="3600"/>
        </w:tabs>
        <w:ind w:left="3600" w:hanging="720"/>
      </w:pPr>
      <w:rPr>
        <w:rFonts w:cs="Times New Roman" w:hint="default"/>
        <w:b w:val="0"/>
        <w:i w:val="0"/>
        <w:caps w:val="0"/>
        <w:strike w:val="0"/>
        <w:dstrike w:val="0"/>
        <w:vanish w:val="0"/>
        <w:color w:val="000000"/>
        <w:u w:val="none"/>
        <w:vertAlign w:val="baseline"/>
      </w:rPr>
    </w:lvl>
    <w:lvl w:ilvl="5">
      <w:start w:val="1"/>
      <w:numFmt w:val="lowerLetter"/>
      <w:lvlText w:val="(%6)"/>
      <w:lvlJc w:val="left"/>
      <w:pPr>
        <w:tabs>
          <w:tab w:val="num" w:pos="4320"/>
        </w:tabs>
        <w:ind w:left="4320" w:hanging="720"/>
      </w:pPr>
      <w:rPr>
        <w:rFonts w:cs="Times New Roman" w:hint="default"/>
        <w:b w:val="0"/>
        <w:i w:val="0"/>
        <w:caps w:val="0"/>
        <w:strike w:val="0"/>
        <w:dstrike w:val="0"/>
        <w:vanish w:val="0"/>
        <w:color w:val="000000"/>
        <w:u w:val="none"/>
        <w:vertAlign w:val="baseline"/>
      </w:rPr>
    </w:lvl>
    <w:lvl w:ilvl="6">
      <w:start w:val="1"/>
      <w:numFmt w:val="lowerRoman"/>
      <w:lvlText w:val="(%7)"/>
      <w:lvlJc w:val="left"/>
      <w:pPr>
        <w:tabs>
          <w:tab w:val="num" w:pos="5040"/>
        </w:tabs>
        <w:ind w:left="5040" w:hanging="720"/>
      </w:pPr>
      <w:rPr>
        <w:rFonts w:cs="Times New Roman" w:hint="default"/>
        <w:b w:val="0"/>
        <w:i w:val="0"/>
        <w:caps w:val="0"/>
        <w:strike w:val="0"/>
        <w:dstrike w:val="0"/>
        <w:vanish w:val="0"/>
        <w:color w:val="000000"/>
        <w:u w:val="none"/>
        <w:vertAlign w:val="baseline"/>
      </w:rPr>
    </w:lvl>
    <w:lvl w:ilvl="7">
      <w:start w:val="1"/>
      <w:numFmt w:val="lowerLetter"/>
      <w:lvlText w:val="%8)"/>
      <w:lvlJc w:val="left"/>
      <w:pPr>
        <w:tabs>
          <w:tab w:val="num" w:pos="5760"/>
        </w:tabs>
        <w:ind w:left="5760" w:hanging="720"/>
      </w:pPr>
      <w:rPr>
        <w:rFonts w:cs="Times New Roman" w:hint="default"/>
        <w:b w:val="0"/>
        <w:i w:val="0"/>
        <w:caps w:val="0"/>
        <w:strike w:val="0"/>
        <w:dstrike w:val="0"/>
        <w:vanish w:val="0"/>
        <w:color w:val="000000"/>
        <w:u w:val="none"/>
        <w:vertAlign w:val="baseline"/>
      </w:rPr>
    </w:lvl>
    <w:lvl w:ilvl="8">
      <w:start w:val="1"/>
      <w:numFmt w:val="lowerRoman"/>
      <w:lvlText w:val="%9)"/>
      <w:lvlJc w:val="left"/>
      <w:pPr>
        <w:tabs>
          <w:tab w:val="num" w:pos="6480"/>
        </w:tabs>
        <w:ind w:left="6480" w:hanging="720"/>
      </w:pPr>
      <w:rPr>
        <w:rFonts w:cs="Times New Roman" w:hint="default"/>
        <w:b w:val="0"/>
        <w:i w:val="0"/>
        <w:caps w:val="0"/>
        <w:strike w:val="0"/>
        <w:dstrike w:val="0"/>
        <w:vanish w:val="0"/>
        <w:color w:val="000000"/>
        <w:u w:val="none"/>
        <w:vertAlign w:val="baseline"/>
      </w:rPr>
    </w:lvl>
  </w:abstractNum>
  <w:abstractNum w:abstractNumId="10">
    <w:nsid w:val="04E16369"/>
    <w:multiLevelType w:val="hybridMultilevel"/>
    <w:tmpl w:val="13D63CE6"/>
    <w:lvl w:ilvl="0" w:tplc="0748A5B8">
      <w:start w:val="1"/>
      <w:numFmt w:val="decimal"/>
      <w:pStyle w:val="StyleHeading3TimesNewRoman"/>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058909FA"/>
    <w:multiLevelType w:val="hybridMultilevel"/>
    <w:tmpl w:val="FE688AEC"/>
    <w:name w:val="zzmpPUC||PUC|3|1|0|1|2|41||1|2|37||1|2|32||1|2|33||1|2|32||1|2|32||1|2|32||1|2|32||1|2|32||42222"/>
    <w:lvl w:ilvl="0" w:tplc="79486476">
      <w:start w:val="1"/>
      <w:numFmt w:val="lowerLetter"/>
      <w:lvlText w:val="%1."/>
      <w:lvlJc w:val="left"/>
      <w:pPr>
        <w:tabs>
          <w:tab w:val="num" w:pos="1440"/>
        </w:tabs>
        <w:ind w:left="1440" w:hanging="576"/>
      </w:pPr>
      <w:rPr>
        <w:rFonts w:cs="Times New Roman" w:hint="default"/>
      </w:rPr>
    </w:lvl>
    <w:lvl w:ilvl="1" w:tplc="956CE398" w:tentative="1">
      <w:start w:val="1"/>
      <w:numFmt w:val="lowerLetter"/>
      <w:lvlText w:val="%2."/>
      <w:lvlJc w:val="left"/>
      <w:pPr>
        <w:tabs>
          <w:tab w:val="num" w:pos="1440"/>
        </w:tabs>
        <w:ind w:left="1440" w:hanging="360"/>
      </w:pPr>
      <w:rPr>
        <w:rFonts w:cs="Times New Roman"/>
      </w:rPr>
    </w:lvl>
    <w:lvl w:ilvl="2" w:tplc="D13EE5C8" w:tentative="1">
      <w:start w:val="1"/>
      <w:numFmt w:val="lowerRoman"/>
      <w:lvlText w:val="%3."/>
      <w:lvlJc w:val="right"/>
      <w:pPr>
        <w:tabs>
          <w:tab w:val="num" w:pos="2160"/>
        </w:tabs>
        <w:ind w:left="2160" w:hanging="180"/>
      </w:pPr>
      <w:rPr>
        <w:rFonts w:cs="Times New Roman"/>
      </w:rPr>
    </w:lvl>
    <w:lvl w:ilvl="3" w:tplc="E9923EEA" w:tentative="1">
      <w:start w:val="1"/>
      <w:numFmt w:val="decimal"/>
      <w:lvlText w:val="%4."/>
      <w:lvlJc w:val="left"/>
      <w:pPr>
        <w:tabs>
          <w:tab w:val="num" w:pos="2880"/>
        </w:tabs>
        <w:ind w:left="2880" w:hanging="360"/>
      </w:pPr>
      <w:rPr>
        <w:rFonts w:cs="Times New Roman"/>
      </w:rPr>
    </w:lvl>
    <w:lvl w:ilvl="4" w:tplc="05D29E36" w:tentative="1">
      <w:start w:val="1"/>
      <w:numFmt w:val="lowerLetter"/>
      <w:lvlText w:val="%5."/>
      <w:lvlJc w:val="left"/>
      <w:pPr>
        <w:tabs>
          <w:tab w:val="num" w:pos="3600"/>
        </w:tabs>
        <w:ind w:left="3600" w:hanging="360"/>
      </w:pPr>
      <w:rPr>
        <w:rFonts w:cs="Times New Roman"/>
      </w:rPr>
    </w:lvl>
    <w:lvl w:ilvl="5" w:tplc="FA401A12" w:tentative="1">
      <w:start w:val="1"/>
      <w:numFmt w:val="lowerRoman"/>
      <w:lvlText w:val="%6."/>
      <w:lvlJc w:val="right"/>
      <w:pPr>
        <w:tabs>
          <w:tab w:val="num" w:pos="4320"/>
        </w:tabs>
        <w:ind w:left="4320" w:hanging="180"/>
      </w:pPr>
      <w:rPr>
        <w:rFonts w:cs="Times New Roman"/>
      </w:rPr>
    </w:lvl>
    <w:lvl w:ilvl="6" w:tplc="79D0A1A6" w:tentative="1">
      <w:start w:val="1"/>
      <w:numFmt w:val="decimal"/>
      <w:lvlText w:val="%7."/>
      <w:lvlJc w:val="left"/>
      <w:pPr>
        <w:tabs>
          <w:tab w:val="num" w:pos="5040"/>
        </w:tabs>
        <w:ind w:left="5040" w:hanging="360"/>
      </w:pPr>
      <w:rPr>
        <w:rFonts w:cs="Times New Roman"/>
      </w:rPr>
    </w:lvl>
    <w:lvl w:ilvl="7" w:tplc="C97656CE" w:tentative="1">
      <w:start w:val="1"/>
      <w:numFmt w:val="lowerLetter"/>
      <w:lvlText w:val="%8."/>
      <w:lvlJc w:val="left"/>
      <w:pPr>
        <w:tabs>
          <w:tab w:val="num" w:pos="5760"/>
        </w:tabs>
        <w:ind w:left="5760" w:hanging="360"/>
      </w:pPr>
      <w:rPr>
        <w:rFonts w:cs="Times New Roman"/>
      </w:rPr>
    </w:lvl>
    <w:lvl w:ilvl="8" w:tplc="B30C7B62" w:tentative="1">
      <w:start w:val="1"/>
      <w:numFmt w:val="lowerRoman"/>
      <w:lvlText w:val="%9."/>
      <w:lvlJc w:val="right"/>
      <w:pPr>
        <w:tabs>
          <w:tab w:val="num" w:pos="6480"/>
        </w:tabs>
        <w:ind w:left="6480" w:hanging="180"/>
      </w:pPr>
      <w:rPr>
        <w:rFonts w:cs="Times New Roman"/>
      </w:rPr>
    </w:lvl>
  </w:abstractNum>
  <w:abstractNum w:abstractNumId="12">
    <w:nsid w:val="06BD2B77"/>
    <w:multiLevelType w:val="hybridMultilevel"/>
    <w:tmpl w:val="48A0B6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9287DEC"/>
    <w:multiLevelType w:val="multilevel"/>
    <w:tmpl w:val="948C5C90"/>
    <w:lvl w:ilvl="0">
      <w:start w:val="1"/>
      <w:numFmt w:val="decimal"/>
      <w:pStyle w:val="ListNumber"/>
      <w:lvlText w:val="%1"/>
      <w:lvlJc w:val="left"/>
      <w:pPr>
        <w:ind w:left="432" w:hanging="432"/>
      </w:pPr>
      <w:rPr>
        <w:rFonts w:hint="default"/>
        <w:b/>
        <w:i w:val="0"/>
        <w:sz w:val="26"/>
      </w:rPr>
    </w:lvl>
    <w:lvl w:ilvl="1">
      <w:start w:val="1"/>
      <w:numFmt w:val="decimal"/>
      <w:lvlText w:val="%1.%2"/>
      <w:lvlJc w:val="left"/>
      <w:pPr>
        <w:ind w:left="576" w:hanging="576"/>
      </w:pPr>
      <w:rPr>
        <w:rFonts w:hint="default"/>
        <w:b/>
        <w:i w:val="0"/>
        <w:sz w:val="26"/>
      </w:rPr>
    </w:lvl>
    <w:lvl w:ilvl="2">
      <w:start w:val="1"/>
      <w:numFmt w:val="decimal"/>
      <w:lvlText w:val="%1.%2.%3"/>
      <w:lvlJc w:val="left"/>
      <w:pPr>
        <w:ind w:left="720" w:hanging="720"/>
      </w:pPr>
      <w:rPr>
        <w:rFonts w:hint="default"/>
        <w:b/>
        <w:i w:val="0"/>
        <w:sz w:val="26"/>
      </w:rPr>
    </w:lvl>
    <w:lvl w:ilvl="3">
      <w:start w:val="1"/>
      <w:numFmt w:val="decimal"/>
      <w:lvlText w:val="%1.%2.%3.%4"/>
      <w:lvlJc w:val="left"/>
      <w:pPr>
        <w:ind w:left="864" w:hanging="864"/>
      </w:pPr>
      <w:rPr>
        <w:rFonts w:hint="default"/>
        <w:b/>
        <w:i w:val="0"/>
        <w:sz w:val="26"/>
      </w:rPr>
    </w:lvl>
    <w:lvl w:ilvl="4">
      <w:start w:val="1"/>
      <w:numFmt w:val="decimal"/>
      <w:lvlText w:val="%1.%2.%3.%4.%5"/>
      <w:lvlJc w:val="left"/>
      <w:pPr>
        <w:ind w:left="1008" w:hanging="1008"/>
      </w:pPr>
      <w:rPr>
        <w:rFonts w:hint="default"/>
        <w:b/>
        <w:i w:val="0"/>
        <w:sz w:val="26"/>
        <w:szCs w:val="26"/>
      </w:rPr>
    </w:lvl>
    <w:lvl w:ilvl="5">
      <w:start w:val="1"/>
      <w:numFmt w:val="decimal"/>
      <w:lvlText w:val="%1.%2.%3.%4.%5.%6"/>
      <w:lvlJc w:val="left"/>
      <w:pPr>
        <w:ind w:left="1152" w:hanging="1152"/>
      </w:pPr>
      <w:rPr>
        <w:rFonts w:hint="default"/>
        <w:b/>
        <w:i w:val="0"/>
        <w:sz w:val="26"/>
        <w:szCs w:val="26"/>
      </w:rPr>
    </w:lvl>
    <w:lvl w:ilvl="6">
      <w:start w:val="1"/>
      <w:numFmt w:val="decimal"/>
      <w:lvlText w:val="%1.%2.%3.%4.%5.%6.%7"/>
      <w:lvlJc w:val="left"/>
      <w:pPr>
        <w:ind w:left="1296" w:hanging="1296"/>
      </w:pPr>
      <w:rPr>
        <w:rFonts w:hint="default"/>
        <w:b/>
        <w:i w:val="0"/>
        <w:sz w:val="26"/>
      </w:rPr>
    </w:lvl>
    <w:lvl w:ilvl="7">
      <w:start w:val="1"/>
      <w:numFmt w:val="decimal"/>
      <w:lvlText w:val="%1.%2.%3.%4.%5.%6.%7.%8"/>
      <w:lvlJc w:val="left"/>
      <w:pPr>
        <w:ind w:left="1440" w:hanging="1440"/>
      </w:pPr>
      <w:rPr>
        <w:rFonts w:hint="default"/>
        <w:b/>
        <w:i w:val="0"/>
        <w:sz w:val="26"/>
      </w:rPr>
    </w:lvl>
    <w:lvl w:ilvl="8">
      <w:start w:val="1"/>
      <w:numFmt w:val="decimal"/>
      <w:lvlText w:val="%1.%2.%3.%4.%5.%6.%7.%8.%9"/>
      <w:lvlJc w:val="left"/>
      <w:pPr>
        <w:ind w:left="1584" w:hanging="1584"/>
      </w:pPr>
      <w:rPr>
        <w:rFonts w:hint="default"/>
        <w:b/>
        <w:i w:val="0"/>
        <w:sz w:val="26"/>
      </w:rPr>
    </w:lvl>
  </w:abstractNum>
  <w:abstractNum w:abstractNumId="14">
    <w:nsid w:val="10775F89"/>
    <w:multiLevelType w:val="multilevel"/>
    <w:tmpl w:val="95B49A8A"/>
    <w:lvl w:ilvl="0">
      <w:start w:val="1"/>
      <w:numFmt w:val="decimal"/>
      <w:pStyle w:val="Heading1"/>
      <w:lvlText w:val="%1."/>
      <w:lvlJc w:val="left"/>
      <w:pPr>
        <w:tabs>
          <w:tab w:val="num" w:pos="720"/>
        </w:tabs>
        <w:ind w:left="720" w:hanging="720"/>
      </w:pPr>
      <w:rPr>
        <w:rFonts w:hint="default"/>
        <w:b/>
        <w:i w:val="0"/>
        <w:sz w:val="26"/>
      </w:rPr>
    </w:lvl>
    <w:lvl w:ilvl="1">
      <w:start w:val="1"/>
      <w:numFmt w:val="decimal"/>
      <w:pStyle w:val="Heading2"/>
      <w:lvlText w:val="%1.%2."/>
      <w:lvlJc w:val="left"/>
      <w:pPr>
        <w:tabs>
          <w:tab w:val="num" w:pos="1440"/>
        </w:tabs>
        <w:ind w:left="1440" w:hanging="720"/>
      </w:pPr>
      <w:rPr>
        <w:rFonts w:hint="default"/>
        <w:b/>
        <w:i w:val="0"/>
        <w:sz w:val="26"/>
      </w:rPr>
    </w:lvl>
    <w:lvl w:ilvl="2">
      <w:start w:val="1"/>
      <w:numFmt w:val="decimal"/>
      <w:pStyle w:val="Heading3"/>
      <w:lvlText w:val="%1.%2.%3."/>
      <w:lvlJc w:val="left"/>
      <w:pPr>
        <w:tabs>
          <w:tab w:val="num" w:pos="1728"/>
        </w:tabs>
        <w:ind w:left="1728" w:hanging="1008"/>
      </w:pPr>
      <w:rPr>
        <w:rFonts w:hint="default"/>
        <w:b/>
        <w:i w:val="0"/>
        <w:sz w:val="26"/>
      </w:rPr>
    </w:lvl>
    <w:lvl w:ilvl="3">
      <w:start w:val="1"/>
      <w:numFmt w:val="decimal"/>
      <w:pStyle w:val="Heading4"/>
      <w:lvlText w:val="%1.%2.%3.%4"/>
      <w:lvlJc w:val="left"/>
      <w:pPr>
        <w:tabs>
          <w:tab w:val="num" w:pos="2160"/>
        </w:tabs>
        <w:ind w:left="2160" w:hanging="1440"/>
      </w:pPr>
      <w:rPr>
        <w:rFonts w:hint="default"/>
        <w:b/>
        <w:i w:val="0"/>
        <w:sz w:val="26"/>
      </w:rPr>
    </w:lvl>
    <w:lvl w:ilvl="4">
      <w:start w:val="1"/>
      <w:numFmt w:val="decimal"/>
      <w:pStyle w:val="Heading5"/>
      <w:lvlText w:val="%1.%2.%3.%4.%5"/>
      <w:lvlJc w:val="left"/>
      <w:pPr>
        <w:tabs>
          <w:tab w:val="num" w:pos="3600"/>
        </w:tabs>
        <w:ind w:left="3600" w:hanging="2880"/>
      </w:pPr>
      <w:rPr>
        <w:rFonts w:hint="default"/>
        <w:b/>
        <w:i w:val="0"/>
        <w:sz w:val="26"/>
        <w:szCs w:val="26"/>
      </w:rPr>
    </w:lvl>
    <w:lvl w:ilvl="5">
      <w:start w:val="1"/>
      <w:numFmt w:val="decimal"/>
      <w:lvlText w:val="%1.%2.%3.%4.%5.%6"/>
      <w:lvlJc w:val="left"/>
      <w:pPr>
        <w:tabs>
          <w:tab w:val="num" w:pos="4104"/>
        </w:tabs>
        <w:ind w:left="4104" w:hanging="3384"/>
      </w:pPr>
      <w:rPr>
        <w:rFonts w:hint="default"/>
        <w:b/>
        <w:i w:val="0"/>
        <w:sz w:val="26"/>
        <w:szCs w:val="26"/>
      </w:rPr>
    </w:lvl>
    <w:lvl w:ilvl="6">
      <w:start w:val="1"/>
      <w:numFmt w:val="decimal"/>
      <w:lvlText w:val="%1.%2.%3.%4.%5.%6.%7."/>
      <w:lvlJc w:val="left"/>
      <w:pPr>
        <w:tabs>
          <w:tab w:val="num" w:pos="4320"/>
        </w:tabs>
        <w:ind w:left="4320" w:hanging="3600"/>
      </w:pPr>
      <w:rPr>
        <w:rFonts w:hint="default"/>
        <w:b/>
        <w:i w:val="0"/>
        <w:sz w:val="26"/>
      </w:rPr>
    </w:lvl>
    <w:lvl w:ilvl="7">
      <w:start w:val="1"/>
      <w:numFmt w:val="decimal"/>
      <w:lvlText w:val="%1.%2.%3.%4.%5.%6.%7.%8."/>
      <w:lvlJc w:val="left"/>
      <w:pPr>
        <w:tabs>
          <w:tab w:val="num" w:pos="4608"/>
        </w:tabs>
        <w:ind w:left="4608" w:hanging="3888"/>
      </w:pPr>
      <w:rPr>
        <w:rFonts w:hint="default"/>
        <w:b/>
        <w:i w:val="0"/>
        <w:sz w:val="26"/>
      </w:rPr>
    </w:lvl>
    <w:lvl w:ilvl="8">
      <w:start w:val="1"/>
      <w:numFmt w:val="upperLetter"/>
      <w:lvlText w:val="Appendix %9:"/>
      <w:lvlJc w:val="left"/>
      <w:pPr>
        <w:tabs>
          <w:tab w:val="num" w:pos="1800"/>
        </w:tabs>
        <w:ind w:left="1800" w:hanging="1800"/>
      </w:pPr>
      <w:rPr>
        <w:rFonts w:hint="default"/>
        <w:b/>
        <w:i w:val="0"/>
        <w:sz w:val="26"/>
      </w:rPr>
    </w:lvl>
  </w:abstractNum>
  <w:abstractNum w:abstractNumId="15">
    <w:nsid w:val="11CE31C1"/>
    <w:multiLevelType w:val="hybridMultilevel"/>
    <w:tmpl w:val="0C3471DE"/>
    <w:lvl w:ilvl="0" w:tplc="07AA8380">
      <w:start w:val="1"/>
      <w:numFmt w:val="upperLetter"/>
      <w:pStyle w:val="StyleHeading2TimesNewRoman"/>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40410F8"/>
    <w:multiLevelType w:val="hybridMultilevel"/>
    <w:tmpl w:val="772A23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CFC3872"/>
    <w:multiLevelType w:val="multilevel"/>
    <w:tmpl w:val="BB64748A"/>
    <w:lvl w:ilvl="0">
      <w:start w:val="1"/>
      <w:numFmt w:val="upperRoman"/>
      <w:lvlRestart w:val="0"/>
      <w:pStyle w:val="Level1"/>
      <w:lvlText w:val="%1."/>
      <w:lvlJc w:val="left"/>
      <w:pPr>
        <w:tabs>
          <w:tab w:val="num" w:pos="720"/>
        </w:tabs>
      </w:pPr>
      <w:rPr>
        <w:rFonts w:cs="Times New Roman"/>
        <w:b/>
        <w:i w:val="0"/>
        <w:u w:val="none"/>
      </w:rPr>
    </w:lvl>
    <w:lvl w:ilvl="1">
      <w:start w:val="1"/>
      <w:numFmt w:val="upperLetter"/>
      <w:pStyle w:val="Level2"/>
      <w:lvlText w:val="%2."/>
      <w:lvlJc w:val="left"/>
      <w:pPr>
        <w:tabs>
          <w:tab w:val="num" w:pos="1440"/>
        </w:tabs>
        <w:ind w:firstLine="720"/>
      </w:pPr>
      <w:rPr>
        <w:rFonts w:cs="Times New Roman"/>
        <w:b/>
        <w:i w:val="0"/>
        <w:u w:val="none"/>
      </w:rPr>
    </w:lvl>
    <w:lvl w:ilvl="2">
      <w:start w:val="1"/>
      <w:numFmt w:val="decimal"/>
      <w:pStyle w:val="Level3"/>
      <w:lvlText w:val="%3."/>
      <w:lvlJc w:val="left"/>
      <w:pPr>
        <w:tabs>
          <w:tab w:val="num" w:pos="2880"/>
        </w:tabs>
        <w:ind w:firstLine="2160"/>
      </w:pPr>
      <w:rPr>
        <w:rFonts w:cs="Times New Roman"/>
        <w:b w:val="0"/>
        <w:i w:val="0"/>
        <w:u w:val="none"/>
      </w:rPr>
    </w:lvl>
    <w:lvl w:ilvl="3">
      <w:start w:val="1"/>
      <w:numFmt w:val="lowerLetter"/>
      <w:pStyle w:val="Level4"/>
      <w:lvlText w:val="(%4)"/>
      <w:lvlJc w:val="left"/>
      <w:pPr>
        <w:tabs>
          <w:tab w:val="num" w:pos="3600"/>
        </w:tabs>
        <w:ind w:firstLine="2880"/>
      </w:pPr>
      <w:rPr>
        <w:rFonts w:cs="Times New Roman"/>
        <w:b w:val="0"/>
        <w:i w:val="0"/>
        <w:u w:val="none"/>
      </w:rPr>
    </w:lvl>
    <w:lvl w:ilvl="4">
      <w:start w:val="1"/>
      <w:numFmt w:val="lowerRoman"/>
      <w:pStyle w:val="Level5"/>
      <w:lvlText w:val="(%5)"/>
      <w:lvlJc w:val="left"/>
      <w:pPr>
        <w:tabs>
          <w:tab w:val="num" w:pos="4320"/>
        </w:tabs>
        <w:ind w:firstLine="3600"/>
      </w:pPr>
      <w:rPr>
        <w:rFonts w:cs="Times New Roman"/>
        <w:b w:val="0"/>
        <w:i w:val="0"/>
        <w:u w:val="none"/>
      </w:rPr>
    </w:lvl>
    <w:lvl w:ilvl="5">
      <w:start w:val="1"/>
      <w:numFmt w:val="upperLetter"/>
      <w:pStyle w:val="Level6"/>
      <w:lvlText w:val="(%6)"/>
      <w:lvlJc w:val="left"/>
      <w:pPr>
        <w:tabs>
          <w:tab w:val="num" w:pos="5040"/>
        </w:tabs>
        <w:ind w:firstLine="4320"/>
      </w:pPr>
      <w:rPr>
        <w:rFonts w:cs="Times New Roman"/>
        <w:b w:val="0"/>
        <w:i w:val="0"/>
        <w:u w:val="none"/>
      </w:rPr>
    </w:lvl>
    <w:lvl w:ilvl="6">
      <w:start w:val="1"/>
      <w:numFmt w:val="decimal"/>
      <w:pStyle w:val="Level7"/>
      <w:lvlText w:val="%7)"/>
      <w:lvlJc w:val="left"/>
      <w:pPr>
        <w:tabs>
          <w:tab w:val="num" w:pos="5760"/>
        </w:tabs>
        <w:ind w:firstLine="5040"/>
      </w:pPr>
      <w:rPr>
        <w:rFonts w:cs="Times New Roman"/>
        <w:b w:val="0"/>
        <w:i w:val="0"/>
        <w:u w:val="none"/>
      </w:rPr>
    </w:lvl>
    <w:lvl w:ilvl="7">
      <w:start w:val="1"/>
      <w:numFmt w:val="lowerLetter"/>
      <w:pStyle w:val="Level8"/>
      <w:lvlText w:val="%8)"/>
      <w:lvlJc w:val="left"/>
      <w:pPr>
        <w:tabs>
          <w:tab w:val="num" w:pos="6480"/>
        </w:tabs>
        <w:ind w:firstLine="5760"/>
      </w:pPr>
      <w:rPr>
        <w:rFonts w:cs="Times New Roman"/>
        <w:b w:val="0"/>
        <w:i w:val="0"/>
        <w:u w:val="none"/>
      </w:rPr>
    </w:lvl>
    <w:lvl w:ilvl="8">
      <w:start w:val="1"/>
      <w:numFmt w:val="lowerRoman"/>
      <w:lvlText w:val="%9)"/>
      <w:lvlJc w:val="left"/>
      <w:pPr>
        <w:tabs>
          <w:tab w:val="num" w:pos="7200"/>
        </w:tabs>
        <w:ind w:firstLine="6480"/>
      </w:pPr>
      <w:rPr>
        <w:rFonts w:cs="Times New Roman"/>
        <w:b w:val="0"/>
        <w:i w:val="0"/>
        <w:u w:val="none"/>
      </w:rPr>
    </w:lvl>
  </w:abstractNum>
  <w:abstractNum w:abstractNumId="18">
    <w:nsid w:val="1D712C3A"/>
    <w:multiLevelType w:val="multilevel"/>
    <w:tmpl w:val="A6D25F6A"/>
    <w:numStyleLink w:val="Style1"/>
  </w:abstractNum>
  <w:abstractNum w:abstractNumId="19">
    <w:nsid w:val="1EDB688B"/>
    <w:multiLevelType w:val="hybridMultilevel"/>
    <w:tmpl w:val="CF8EFBCC"/>
    <w:name w:val="zzmpPUC||PUC|3|1|0|1|2|41||1|2|37||1|2|32||1|2|33||1|2|32||1|2|32||1|2|32||1|2|32||1|2|32||4"/>
    <w:lvl w:ilvl="0" w:tplc="860CE828">
      <w:start w:val="1"/>
      <w:numFmt w:val="lowerRoman"/>
      <w:lvlText w:val="%1."/>
      <w:lvlJc w:val="left"/>
      <w:pPr>
        <w:tabs>
          <w:tab w:val="num" w:pos="1296"/>
        </w:tabs>
        <w:ind w:left="1296" w:hanging="576"/>
      </w:pPr>
      <w:rPr>
        <w:rFonts w:cs="Times New Roman" w:hint="default"/>
      </w:rPr>
    </w:lvl>
    <w:lvl w:ilvl="1" w:tplc="E26AA20A" w:tentative="1">
      <w:start w:val="1"/>
      <w:numFmt w:val="lowerLetter"/>
      <w:lvlText w:val="%2."/>
      <w:lvlJc w:val="left"/>
      <w:pPr>
        <w:tabs>
          <w:tab w:val="num" w:pos="1440"/>
        </w:tabs>
        <w:ind w:left="1440" w:hanging="360"/>
      </w:pPr>
      <w:rPr>
        <w:rFonts w:cs="Times New Roman"/>
      </w:rPr>
    </w:lvl>
    <w:lvl w:ilvl="2" w:tplc="ECE0DB70" w:tentative="1">
      <w:start w:val="1"/>
      <w:numFmt w:val="lowerRoman"/>
      <w:lvlText w:val="%3."/>
      <w:lvlJc w:val="right"/>
      <w:pPr>
        <w:tabs>
          <w:tab w:val="num" w:pos="2160"/>
        </w:tabs>
        <w:ind w:left="2160" w:hanging="180"/>
      </w:pPr>
      <w:rPr>
        <w:rFonts w:cs="Times New Roman"/>
      </w:rPr>
    </w:lvl>
    <w:lvl w:ilvl="3" w:tplc="F2E49652" w:tentative="1">
      <w:start w:val="1"/>
      <w:numFmt w:val="decimal"/>
      <w:lvlText w:val="%4."/>
      <w:lvlJc w:val="left"/>
      <w:pPr>
        <w:tabs>
          <w:tab w:val="num" w:pos="2880"/>
        </w:tabs>
        <w:ind w:left="2880" w:hanging="360"/>
      </w:pPr>
      <w:rPr>
        <w:rFonts w:cs="Times New Roman"/>
      </w:rPr>
    </w:lvl>
    <w:lvl w:ilvl="4" w:tplc="62860AB8" w:tentative="1">
      <w:start w:val="1"/>
      <w:numFmt w:val="lowerLetter"/>
      <w:lvlText w:val="%5."/>
      <w:lvlJc w:val="left"/>
      <w:pPr>
        <w:tabs>
          <w:tab w:val="num" w:pos="3600"/>
        </w:tabs>
        <w:ind w:left="3600" w:hanging="360"/>
      </w:pPr>
      <w:rPr>
        <w:rFonts w:cs="Times New Roman"/>
      </w:rPr>
    </w:lvl>
    <w:lvl w:ilvl="5" w:tplc="A1B2B212" w:tentative="1">
      <w:start w:val="1"/>
      <w:numFmt w:val="lowerRoman"/>
      <w:lvlText w:val="%6."/>
      <w:lvlJc w:val="right"/>
      <w:pPr>
        <w:tabs>
          <w:tab w:val="num" w:pos="4320"/>
        </w:tabs>
        <w:ind w:left="4320" w:hanging="180"/>
      </w:pPr>
      <w:rPr>
        <w:rFonts w:cs="Times New Roman"/>
      </w:rPr>
    </w:lvl>
    <w:lvl w:ilvl="6" w:tplc="F1780AF2" w:tentative="1">
      <w:start w:val="1"/>
      <w:numFmt w:val="decimal"/>
      <w:lvlText w:val="%7."/>
      <w:lvlJc w:val="left"/>
      <w:pPr>
        <w:tabs>
          <w:tab w:val="num" w:pos="5040"/>
        </w:tabs>
        <w:ind w:left="5040" w:hanging="360"/>
      </w:pPr>
      <w:rPr>
        <w:rFonts w:cs="Times New Roman"/>
      </w:rPr>
    </w:lvl>
    <w:lvl w:ilvl="7" w:tplc="56CEAF1E" w:tentative="1">
      <w:start w:val="1"/>
      <w:numFmt w:val="lowerLetter"/>
      <w:lvlText w:val="%8."/>
      <w:lvlJc w:val="left"/>
      <w:pPr>
        <w:tabs>
          <w:tab w:val="num" w:pos="5760"/>
        </w:tabs>
        <w:ind w:left="5760" w:hanging="360"/>
      </w:pPr>
      <w:rPr>
        <w:rFonts w:cs="Times New Roman"/>
      </w:rPr>
    </w:lvl>
    <w:lvl w:ilvl="8" w:tplc="8EEA3352" w:tentative="1">
      <w:start w:val="1"/>
      <w:numFmt w:val="lowerRoman"/>
      <w:lvlText w:val="%9."/>
      <w:lvlJc w:val="right"/>
      <w:pPr>
        <w:tabs>
          <w:tab w:val="num" w:pos="6480"/>
        </w:tabs>
        <w:ind w:left="6480" w:hanging="180"/>
      </w:pPr>
      <w:rPr>
        <w:rFonts w:cs="Times New Roman"/>
      </w:rPr>
    </w:lvl>
  </w:abstractNum>
  <w:abstractNum w:abstractNumId="20">
    <w:nsid w:val="207D14B4"/>
    <w:multiLevelType w:val="hybridMultilevel"/>
    <w:tmpl w:val="F574E8FC"/>
    <w:lvl w:ilvl="0" w:tplc="10CA710C">
      <w:start w:val="1"/>
      <w:numFmt w:val="lowerLetter"/>
      <w:pStyle w:val="StyleHeading4TimesNewRoman"/>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nsid w:val="21C828DD"/>
    <w:multiLevelType w:val="singleLevel"/>
    <w:tmpl w:val="F72A9324"/>
    <w:lvl w:ilvl="0">
      <w:start w:val="1"/>
      <w:numFmt w:val="decimal"/>
      <w:pStyle w:val="num1"/>
      <w:lvlText w:val="%1."/>
      <w:lvlJc w:val="right"/>
      <w:pPr>
        <w:tabs>
          <w:tab w:val="num" w:pos="720"/>
        </w:tabs>
        <w:ind w:left="0" w:firstLine="504"/>
      </w:pPr>
      <w:rPr>
        <w:rFonts w:cs="Times New Roman" w:hint="default"/>
      </w:rPr>
    </w:lvl>
  </w:abstractNum>
  <w:abstractNum w:abstractNumId="22">
    <w:nsid w:val="229F6258"/>
    <w:multiLevelType w:val="hybridMultilevel"/>
    <w:tmpl w:val="251E3F98"/>
    <w:name w:val="zzmpPUC||PUC|3|1|0|1|2|41||1|2|37||1|2|32||1|2|33||1|2|32||1|2|32||1|2|32||1|2|32||1|2|32||4222"/>
    <w:lvl w:ilvl="0" w:tplc="04090001">
      <w:start w:val="1"/>
      <w:numFmt w:val="lowerRoman"/>
      <w:lvlText w:val="%1."/>
      <w:lvlJc w:val="left"/>
      <w:pPr>
        <w:tabs>
          <w:tab w:val="num" w:pos="1296"/>
        </w:tabs>
        <w:ind w:left="1296" w:hanging="576"/>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3">
    <w:nsid w:val="24A46E3B"/>
    <w:multiLevelType w:val="hybridMultilevel"/>
    <w:tmpl w:val="13E0EB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4415EBE"/>
    <w:multiLevelType w:val="multilevel"/>
    <w:tmpl w:val="5F747726"/>
    <w:name w:val="OutHead1"/>
    <w:lvl w:ilvl="0">
      <w:start w:val="1"/>
      <w:numFmt w:val="upperRoman"/>
      <w:pStyle w:val="OutHead1"/>
      <w:lvlText w:val="%1."/>
      <w:lvlJc w:val="left"/>
      <w:pPr>
        <w:tabs>
          <w:tab w:val="num" w:pos="0"/>
        </w:tabs>
        <w:ind w:left="0" w:firstLine="0"/>
      </w:pPr>
      <w:rPr>
        <w:rFonts w:ascii="Times New Roman" w:hAnsi="Times New Roman"/>
        <w:b/>
        <w:i w:val="0"/>
        <w:caps/>
        <w:smallCaps w:val="0"/>
        <w:strike w:val="0"/>
        <w:dstrike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OutHead2"/>
      <w:lvlText w:val="%2."/>
      <w:lvlJc w:val="left"/>
      <w:pPr>
        <w:tabs>
          <w:tab w:val="num" w:pos="1440"/>
        </w:tabs>
        <w:ind w:left="1440" w:hanging="720"/>
      </w:pPr>
      <w:rPr>
        <w:rFonts w:ascii="Times New Roman" w:hAnsi="Times New Roman"/>
        <w:b/>
        <w:i w:val="0"/>
        <w:caps w:val="0"/>
        <w:smallCaps w:val="0"/>
        <w:strike w:val="0"/>
        <w:dstrike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OutHead3"/>
      <w:lvlText w:val="%3."/>
      <w:lvlJc w:val="left"/>
      <w:pPr>
        <w:tabs>
          <w:tab w:val="num" w:pos="2160"/>
        </w:tabs>
        <w:ind w:left="2160" w:hanging="720"/>
      </w:pPr>
      <w:rPr>
        <w:rFonts w:ascii="Times New Roman" w:hAnsi="Times New Roman"/>
        <w:b/>
        <w:i w:val="0"/>
        <w:caps w:val="0"/>
        <w:smallCaps w:val="0"/>
        <w:strike w:val="0"/>
        <w:dstrike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OutHead4"/>
      <w:lvlText w:val="%4."/>
      <w:lvlJc w:val="left"/>
      <w:pPr>
        <w:tabs>
          <w:tab w:val="num" w:pos="2880"/>
        </w:tabs>
        <w:ind w:left="2880" w:hanging="720"/>
      </w:pPr>
      <w:rPr>
        <w:rFonts w:ascii="Times New Roman" w:hAnsi="Times New Roman"/>
        <w:b/>
        <w:i w:val="0"/>
        <w:caps w:val="0"/>
        <w:smallCaps w:val="0"/>
        <w:strike w:val="0"/>
        <w:dstrike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OutHead5"/>
      <w:lvlText w:val="(%5)"/>
      <w:lvlJc w:val="left"/>
      <w:pPr>
        <w:tabs>
          <w:tab w:val="num" w:pos="3600"/>
        </w:tabs>
        <w:ind w:left="3600" w:hanging="720"/>
      </w:pPr>
      <w:rPr>
        <w:rFonts w:ascii="Times New Roman" w:hAnsi="Times New Roman"/>
        <w:b/>
        <w:i w:val="0"/>
        <w:caps w:val="0"/>
        <w:smallCaps w:val="0"/>
        <w:strike w:val="0"/>
        <w:dstrike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OutHead6"/>
      <w:lvlText w:val="(%6)"/>
      <w:lvlJc w:val="left"/>
      <w:pPr>
        <w:tabs>
          <w:tab w:val="num" w:pos="4320"/>
        </w:tabs>
        <w:ind w:left="4320" w:hanging="720"/>
      </w:pPr>
      <w:rPr>
        <w:rFonts w:ascii="Times New Roman" w:hAnsi="Times New Roman"/>
        <w:b/>
        <w:i w:val="0"/>
        <w:caps w:val="0"/>
        <w:smallCaps w:val="0"/>
        <w:strike w:val="0"/>
        <w:dstrike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Roman"/>
      <w:pStyle w:val="OutHead7"/>
      <w:lvlText w:val="%7)"/>
      <w:lvlJc w:val="left"/>
      <w:pPr>
        <w:tabs>
          <w:tab w:val="num" w:pos="5040"/>
        </w:tabs>
        <w:ind w:left="5040" w:hanging="720"/>
      </w:pPr>
      <w:rPr>
        <w:rFonts w:ascii="Times New Roman" w:hAnsi="Times New Roman"/>
        <w:b/>
        <w:i w:val="0"/>
        <w:caps w:val="0"/>
        <w:smallCaps w:val="0"/>
        <w:strike w:val="0"/>
        <w:dstrike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OutHead8"/>
      <w:lvlText w:val="%8)"/>
      <w:lvlJc w:val="left"/>
      <w:pPr>
        <w:tabs>
          <w:tab w:val="num" w:pos="5760"/>
        </w:tabs>
        <w:ind w:left="5760" w:hanging="720"/>
      </w:pPr>
      <w:rPr>
        <w:rFonts w:ascii="Times New Roman" w:hAnsi="Times New Roman"/>
        <w:b/>
        <w:i w:val="0"/>
        <w:caps w:val="0"/>
        <w:smallCaps w:val="0"/>
        <w:strike w:val="0"/>
        <w:dstrike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3240"/>
        </w:tabs>
        <w:ind w:left="3240" w:hanging="360"/>
      </w:pPr>
    </w:lvl>
  </w:abstractNum>
  <w:abstractNum w:abstractNumId="25">
    <w:nsid w:val="37FB5336"/>
    <w:multiLevelType w:val="multilevel"/>
    <w:tmpl w:val="D402030C"/>
    <w:styleLink w:val="AppendixA"/>
    <w:lvl w:ilvl="0">
      <w:start w:val="1"/>
      <w:numFmt w:val="upperLetter"/>
      <w:lvlText w:val="Appendix %1:"/>
      <w:lvlJc w:val="left"/>
      <w:pPr>
        <w:tabs>
          <w:tab w:val="num" w:pos="1800"/>
        </w:tabs>
        <w:ind w:left="1800" w:hanging="1800"/>
      </w:pPr>
      <w:rPr>
        <w:rFonts w:ascii="Helvetica" w:hAnsi="Helvetica" w:hint="default"/>
        <w:sz w:val="2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39F23473"/>
    <w:multiLevelType w:val="multilevel"/>
    <w:tmpl w:val="B2201ED6"/>
    <w:name w:val="zzmpPleading1||Pleading1|2|1|1|1|4|41||1|4|33||1|4|33||1|4|36||1|4|32||1|4|32||1|4|32||1|4|32||1|4|32||2"/>
    <w:lvl w:ilvl="0">
      <w:start w:val="3"/>
      <w:numFmt w:val="upperRoman"/>
      <w:lvlText w:val="%1."/>
      <w:lvlJc w:val="left"/>
      <w:pPr>
        <w:tabs>
          <w:tab w:val="num" w:pos="720"/>
        </w:tabs>
        <w:ind w:left="720" w:hanging="720"/>
      </w:pPr>
      <w:rPr>
        <w:rFonts w:ascii="Times New Roman" w:hAnsi="Times New Roman" w:cs="Times New Roman" w:hint="default"/>
        <w:b/>
        <w:i w:val="0"/>
        <w:caps w:val="0"/>
        <w:strike w:val="0"/>
        <w:dstrike w:val="0"/>
        <w:vanish w:val="0"/>
        <w:color w:val="auto"/>
        <w:u w:val="none"/>
        <w:vertAlign w:val="baseline"/>
      </w:rPr>
    </w:lvl>
    <w:lvl w:ilvl="1">
      <w:start w:val="1"/>
      <w:numFmt w:val="upperLetter"/>
      <w:lvlText w:val="%2."/>
      <w:lvlJc w:val="left"/>
      <w:pPr>
        <w:tabs>
          <w:tab w:val="num" w:pos="1320"/>
        </w:tabs>
        <w:ind w:left="1320" w:hanging="720"/>
      </w:pPr>
      <w:rPr>
        <w:rFonts w:ascii="Times New Roman" w:hAnsi="Times New Roman" w:cs="Times New Roman" w:hint="default"/>
        <w:b/>
        <w:i w:val="0"/>
        <w:caps w:val="0"/>
        <w:strike w:val="0"/>
        <w:dstrike w:val="0"/>
        <w:vanish w:val="0"/>
        <w:color w:val="auto"/>
        <w:u w:val="none"/>
        <w:vertAlign w:val="baseline"/>
      </w:rPr>
    </w:lvl>
    <w:lvl w:ilvl="2">
      <w:start w:val="1"/>
      <w:numFmt w:val="decimal"/>
      <w:lvlText w:val="(%3)"/>
      <w:lvlJc w:val="left"/>
      <w:pPr>
        <w:tabs>
          <w:tab w:val="num" w:pos="2160"/>
        </w:tabs>
        <w:ind w:left="2160" w:hanging="720"/>
      </w:pPr>
      <w:rPr>
        <w:rFonts w:cs="Times New Roman" w:hint="default"/>
        <w:b/>
        <w:i w:val="0"/>
        <w:caps w:val="0"/>
        <w:strike w:val="0"/>
        <w:dstrike w:val="0"/>
        <w:vanish w:val="0"/>
        <w:color w:val="000000"/>
        <w:u w:val="none"/>
        <w:vertAlign w:val="baseline"/>
      </w:rPr>
    </w:lvl>
    <w:lvl w:ilvl="3">
      <w:start w:val="1"/>
      <w:numFmt w:val="bullet"/>
      <w:lvlText w:val=""/>
      <w:lvlJc w:val="left"/>
      <w:pPr>
        <w:tabs>
          <w:tab w:val="num" w:pos="1080"/>
        </w:tabs>
        <w:ind w:left="1080" w:hanging="360"/>
      </w:pPr>
      <w:rPr>
        <w:rFonts w:ascii="Symbol" w:hAnsi="Symbol" w:hint="default"/>
        <w:b/>
        <w:i w:val="0"/>
        <w:caps w:val="0"/>
        <w:strike w:val="0"/>
        <w:dstrike w:val="0"/>
        <w:vanish w:val="0"/>
        <w:color w:val="auto"/>
        <w:u w:val="none"/>
        <w:vertAlign w:val="baseline"/>
      </w:rPr>
    </w:lvl>
    <w:lvl w:ilvl="4">
      <w:start w:val="1"/>
      <w:numFmt w:val="decimal"/>
      <w:lvlText w:val="(%5)"/>
      <w:lvlJc w:val="left"/>
      <w:pPr>
        <w:tabs>
          <w:tab w:val="num" w:pos="3600"/>
        </w:tabs>
        <w:ind w:left="3600" w:hanging="720"/>
      </w:pPr>
      <w:rPr>
        <w:rFonts w:cs="Times New Roman" w:hint="default"/>
        <w:b w:val="0"/>
        <w:i w:val="0"/>
        <w:caps w:val="0"/>
        <w:strike w:val="0"/>
        <w:dstrike w:val="0"/>
        <w:vanish w:val="0"/>
        <w:color w:val="000000"/>
        <w:u w:val="none"/>
        <w:vertAlign w:val="baseline"/>
      </w:rPr>
    </w:lvl>
    <w:lvl w:ilvl="5">
      <w:start w:val="1"/>
      <w:numFmt w:val="lowerLetter"/>
      <w:lvlText w:val="(%6)"/>
      <w:lvlJc w:val="left"/>
      <w:pPr>
        <w:tabs>
          <w:tab w:val="num" w:pos="4320"/>
        </w:tabs>
        <w:ind w:left="4320" w:hanging="720"/>
      </w:pPr>
      <w:rPr>
        <w:rFonts w:cs="Times New Roman" w:hint="default"/>
        <w:b w:val="0"/>
        <w:i w:val="0"/>
        <w:caps w:val="0"/>
        <w:strike w:val="0"/>
        <w:dstrike w:val="0"/>
        <w:vanish w:val="0"/>
        <w:color w:val="000000"/>
        <w:u w:val="none"/>
        <w:vertAlign w:val="baseline"/>
      </w:rPr>
    </w:lvl>
    <w:lvl w:ilvl="6">
      <w:start w:val="1"/>
      <w:numFmt w:val="lowerRoman"/>
      <w:lvlText w:val="(%7)"/>
      <w:lvlJc w:val="left"/>
      <w:pPr>
        <w:tabs>
          <w:tab w:val="num" w:pos="5040"/>
        </w:tabs>
        <w:ind w:left="5040" w:hanging="720"/>
      </w:pPr>
      <w:rPr>
        <w:rFonts w:cs="Times New Roman" w:hint="default"/>
        <w:b w:val="0"/>
        <w:i w:val="0"/>
        <w:caps w:val="0"/>
        <w:strike w:val="0"/>
        <w:dstrike w:val="0"/>
        <w:vanish w:val="0"/>
        <w:color w:val="000000"/>
        <w:u w:val="none"/>
        <w:vertAlign w:val="baseline"/>
      </w:rPr>
    </w:lvl>
    <w:lvl w:ilvl="7">
      <w:start w:val="1"/>
      <w:numFmt w:val="lowerLetter"/>
      <w:lvlText w:val="%8)"/>
      <w:lvlJc w:val="left"/>
      <w:pPr>
        <w:tabs>
          <w:tab w:val="num" w:pos="5760"/>
        </w:tabs>
        <w:ind w:left="5760" w:hanging="720"/>
      </w:pPr>
      <w:rPr>
        <w:rFonts w:cs="Times New Roman" w:hint="default"/>
        <w:b w:val="0"/>
        <w:i w:val="0"/>
        <w:caps w:val="0"/>
        <w:strike w:val="0"/>
        <w:dstrike w:val="0"/>
        <w:vanish w:val="0"/>
        <w:color w:val="000000"/>
        <w:u w:val="none"/>
        <w:vertAlign w:val="baseline"/>
      </w:rPr>
    </w:lvl>
    <w:lvl w:ilvl="8">
      <w:start w:val="1"/>
      <w:numFmt w:val="lowerRoman"/>
      <w:lvlText w:val="%9)"/>
      <w:lvlJc w:val="left"/>
      <w:pPr>
        <w:tabs>
          <w:tab w:val="num" w:pos="6480"/>
        </w:tabs>
        <w:ind w:left="6480" w:hanging="720"/>
      </w:pPr>
      <w:rPr>
        <w:rFonts w:cs="Times New Roman" w:hint="default"/>
        <w:b w:val="0"/>
        <w:i w:val="0"/>
        <w:caps w:val="0"/>
        <w:strike w:val="0"/>
        <w:dstrike w:val="0"/>
        <w:vanish w:val="0"/>
        <w:color w:val="000000"/>
        <w:u w:val="none"/>
        <w:vertAlign w:val="baseline"/>
      </w:rPr>
    </w:lvl>
  </w:abstractNum>
  <w:abstractNum w:abstractNumId="27">
    <w:nsid w:val="3B685662"/>
    <w:multiLevelType w:val="multilevel"/>
    <w:tmpl w:val="280A77B8"/>
    <w:name w:val="zzmpPleading1||Pleading1|2|1|1|1|4|41||1|4|33||1|4|33||1|4|36||1|4|32||1|4|32||1|4|32||1|4|32||1|4|32||24"/>
    <w:lvl w:ilvl="0">
      <w:start w:val="1"/>
      <w:numFmt w:val="upperRoman"/>
      <w:lvlRestart w:val="0"/>
      <w:lvlText w:val="%1."/>
      <w:lvlJc w:val="left"/>
      <w:pPr>
        <w:tabs>
          <w:tab w:val="num" w:pos="720"/>
        </w:tabs>
        <w:ind w:left="720" w:hanging="720"/>
      </w:pPr>
      <w:rPr>
        <w:rFonts w:ascii="Times New Roman" w:hAnsi="Times New Roman" w:cs="Times New Roman"/>
        <w:b/>
        <w:i w:val="0"/>
        <w:caps/>
        <w:smallCaps w:val="0"/>
        <w:sz w:val="26"/>
        <w:u w:val="none"/>
      </w:rPr>
    </w:lvl>
    <w:lvl w:ilvl="1">
      <w:start w:val="1"/>
      <w:numFmt w:val="upperLetter"/>
      <w:lvlText w:val="%2."/>
      <w:lvlJc w:val="left"/>
      <w:pPr>
        <w:tabs>
          <w:tab w:val="num" w:pos="1440"/>
        </w:tabs>
        <w:ind w:left="1440" w:hanging="720"/>
      </w:pPr>
      <w:rPr>
        <w:rFonts w:cs="Times New Roman"/>
        <w:b/>
        <w:i w:val="0"/>
        <w:caps w:val="0"/>
        <w:sz w:val="24"/>
        <w:szCs w:val="24"/>
        <w:u w:val="none"/>
      </w:rPr>
    </w:lvl>
    <w:lvl w:ilvl="2">
      <w:start w:val="1"/>
      <w:numFmt w:val="decimal"/>
      <w:lvlText w:val="%3."/>
      <w:lvlJc w:val="left"/>
      <w:pPr>
        <w:tabs>
          <w:tab w:val="num" w:pos="2160"/>
        </w:tabs>
        <w:ind w:left="2160" w:hanging="720"/>
      </w:pPr>
      <w:rPr>
        <w:rFonts w:cs="Times New Roman"/>
        <w:b w:val="0"/>
        <w:i w:val="0"/>
        <w:caps w:val="0"/>
        <w:u w:val="none"/>
      </w:rPr>
    </w:lvl>
    <w:lvl w:ilvl="3">
      <w:start w:val="1"/>
      <w:numFmt w:val="lowerLetter"/>
      <w:lvlText w:val="%4."/>
      <w:lvlJc w:val="left"/>
      <w:pPr>
        <w:tabs>
          <w:tab w:val="num" w:pos="2880"/>
        </w:tabs>
        <w:ind w:left="2880" w:hanging="720"/>
      </w:pPr>
      <w:rPr>
        <w:rFonts w:cs="Times New Roman"/>
        <w:b w:val="0"/>
        <w:i w:val="0"/>
        <w:caps w:val="0"/>
        <w:u w:val="none"/>
      </w:rPr>
    </w:lvl>
    <w:lvl w:ilvl="4">
      <w:start w:val="1"/>
      <w:numFmt w:val="decimal"/>
      <w:lvlText w:val="(%5)"/>
      <w:lvlJc w:val="left"/>
      <w:pPr>
        <w:tabs>
          <w:tab w:val="num" w:pos="3600"/>
        </w:tabs>
        <w:ind w:left="3600" w:hanging="720"/>
      </w:pPr>
      <w:rPr>
        <w:rFonts w:cs="Times New Roman"/>
        <w:b w:val="0"/>
        <w:i w:val="0"/>
        <w:caps w:val="0"/>
        <w:u w:val="none"/>
      </w:rPr>
    </w:lvl>
    <w:lvl w:ilvl="5">
      <w:start w:val="1"/>
      <w:numFmt w:val="lowerLetter"/>
      <w:lvlText w:val="(%6)"/>
      <w:lvlJc w:val="left"/>
      <w:pPr>
        <w:tabs>
          <w:tab w:val="num" w:pos="4320"/>
        </w:tabs>
        <w:ind w:left="4320" w:hanging="720"/>
      </w:pPr>
      <w:rPr>
        <w:rFonts w:cs="Times New Roman"/>
        <w:b w:val="0"/>
        <w:i w:val="0"/>
        <w:caps w:val="0"/>
        <w:u w:val="none"/>
      </w:rPr>
    </w:lvl>
    <w:lvl w:ilvl="6">
      <w:start w:val="1"/>
      <w:numFmt w:val="lowerRoman"/>
      <w:lvlText w:val="(%7)"/>
      <w:lvlJc w:val="left"/>
      <w:pPr>
        <w:tabs>
          <w:tab w:val="num" w:pos="5040"/>
        </w:tabs>
        <w:ind w:left="5040" w:hanging="720"/>
      </w:pPr>
      <w:rPr>
        <w:rFonts w:cs="Times New Roman"/>
        <w:b w:val="0"/>
        <w:i w:val="0"/>
        <w:caps w:val="0"/>
        <w:u w:val="none"/>
      </w:rPr>
    </w:lvl>
    <w:lvl w:ilvl="7">
      <w:start w:val="1"/>
      <w:numFmt w:val="lowerLetter"/>
      <w:lvlText w:val="%8)"/>
      <w:lvlJc w:val="left"/>
      <w:pPr>
        <w:tabs>
          <w:tab w:val="num" w:pos="5760"/>
        </w:tabs>
        <w:ind w:left="5760" w:hanging="720"/>
      </w:pPr>
      <w:rPr>
        <w:rFonts w:cs="Times New Roman"/>
        <w:b w:val="0"/>
        <w:i w:val="0"/>
        <w:caps w:val="0"/>
        <w:u w:val="none"/>
      </w:rPr>
    </w:lvl>
    <w:lvl w:ilvl="8">
      <w:start w:val="1"/>
      <w:numFmt w:val="lowerRoman"/>
      <w:lvlText w:val="%9)"/>
      <w:lvlJc w:val="left"/>
      <w:pPr>
        <w:tabs>
          <w:tab w:val="num" w:pos="6480"/>
        </w:tabs>
        <w:ind w:left="6480" w:hanging="720"/>
      </w:pPr>
      <w:rPr>
        <w:rFonts w:cs="Times New Roman"/>
        <w:b w:val="0"/>
        <w:i w:val="0"/>
        <w:caps w:val="0"/>
        <w:u w:val="none"/>
      </w:rPr>
    </w:lvl>
  </w:abstractNum>
  <w:abstractNum w:abstractNumId="28">
    <w:nsid w:val="3F4E5E7F"/>
    <w:multiLevelType w:val="hybridMultilevel"/>
    <w:tmpl w:val="F31408B0"/>
    <w:name w:val="zzmpPUC||PUC|3|1|0|1|2|41||1|2|37||1|2|32||1|2|33||1|2|32||1|2|32||1|2|32||1|2|32||1|2|32||422"/>
    <w:lvl w:ilvl="0" w:tplc="11425060">
      <w:start w:val="1"/>
      <w:numFmt w:val="lowerRoman"/>
      <w:lvlText w:val="%1."/>
      <w:lvlJc w:val="left"/>
      <w:pPr>
        <w:tabs>
          <w:tab w:val="num" w:pos="1296"/>
        </w:tabs>
        <w:ind w:left="1296" w:hanging="57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3F8D54C0"/>
    <w:multiLevelType w:val="multilevel"/>
    <w:tmpl w:val="3A369AB6"/>
    <w:name w:val="Brief/Motion Left11"/>
    <w:lvl w:ilvl="0">
      <w:start w:val="3"/>
      <w:numFmt w:val="upperRoman"/>
      <w:lvlText w:val="%1."/>
      <w:lvlJc w:val="left"/>
      <w:pPr>
        <w:tabs>
          <w:tab w:val="num" w:pos="720"/>
        </w:tabs>
        <w:ind w:left="720" w:hanging="720"/>
      </w:pPr>
      <w:rPr>
        <w:rFonts w:ascii="Times New Roman" w:hAnsi="Times New Roman" w:cs="Times New Roman" w:hint="default"/>
        <w:b/>
        <w:i w:val="0"/>
        <w:caps w:val="0"/>
        <w:strike w:val="0"/>
        <w:dstrike w:val="0"/>
        <w:vanish w:val="0"/>
        <w:color w:val="auto"/>
        <w:u w:val="none"/>
        <w:vertAlign w:val="baseline"/>
      </w:rPr>
    </w:lvl>
    <w:lvl w:ilvl="1">
      <w:start w:val="1"/>
      <w:numFmt w:val="upperLetter"/>
      <w:lvlText w:val="%2."/>
      <w:lvlJc w:val="left"/>
      <w:pPr>
        <w:tabs>
          <w:tab w:val="num" w:pos="1320"/>
        </w:tabs>
        <w:ind w:left="1320" w:hanging="720"/>
      </w:pPr>
      <w:rPr>
        <w:rFonts w:ascii="Times New Roman" w:hAnsi="Times New Roman" w:cs="Times New Roman" w:hint="default"/>
        <w:b/>
        <w:i w:val="0"/>
        <w:caps w:val="0"/>
        <w:strike w:val="0"/>
        <w:dstrike w:val="0"/>
        <w:vanish w:val="0"/>
        <w:color w:val="auto"/>
        <w:u w:val="none"/>
        <w:vertAlign w:val="baseline"/>
      </w:rPr>
    </w:lvl>
    <w:lvl w:ilvl="2">
      <w:start w:val="5"/>
      <w:numFmt w:val="decimal"/>
      <w:lvlText w:val="(%3)"/>
      <w:lvlJc w:val="left"/>
      <w:pPr>
        <w:tabs>
          <w:tab w:val="num" w:pos="2160"/>
        </w:tabs>
        <w:ind w:left="2160" w:hanging="720"/>
      </w:pPr>
      <w:rPr>
        <w:rFonts w:cs="Times New Roman" w:hint="default"/>
        <w:b/>
        <w:i w:val="0"/>
        <w:caps w:val="0"/>
        <w:strike w:val="0"/>
        <w:dstrike w:val="0"/>
        <w:vanish w:val="0"/>
        <w:color w:val="000000"/>
        <w:u w:val="none"/>
        <w:vertAlign w:val="baseline"/>
      </w:rPr>
    </w:lvl>
    <w:lvl w:ilvl="3">
      <w:start w:val="1"/>
      <w:numFmt w:val="bullet"/>
      <w:lvlRestart w:val="0"/>
      <w:lvlText w:val="·"/>
      <w:lvlJc w:val="left"/>
      <w:pPr>
        <w:tabs>
          <w:tab w:val="num" w:pos="1440"/>
        </w:tabs>
        <w:ind w:left="1440" w:hanging="720"/>
      </w:pPr>
      <w:rPr>
        <w:rFonts w:ascii="Symbol" w:hAnsi="Symbol" w:hint="default"/>
        <w:b w:val="0"/>
        <w:i w:val="0"/>
        <w:caps w:val="0"/>
        <w:strike w:val="0"/>
        <w:dstrike w:val="0"/>
        <w:vanish w:val="0"/>
        <w:color w:val="000000"/>
        <w:u w:val="none"/>
        <w:vertAlign w:val="baseline"/>
      </w:rPr>
    </w:lvl>
    <w:lvl w:ilvl="4">
      <w:start w:val="1"/>
      <w:numFmt w:val="decimal"/>
      <w:lvlText w:val="(%5)"/>
      <w:lvlJc w:val="left"/>
      <w:pPr>
        <w:tabs>
          <w:tab w:val="num" w:pos="3600"/>
        </w:tabs>
        <w:ind w:left="3600" w:hanging="720"/>
      </w:pPr>
      <w:rPr>
        <w:rFonts w:cs="Times New Roman" w:hint="default"/>
        <w:b w:val="0"/>
        <w:i w:val="0"/>
        <w:caps w:val="0"/>
        <w:strike w:val="0"/>
        <w:dstrike w:val="0"/>
        <w:vanish w:val="0"/>
        <w:color w:val="000000"/>
        <w:u w:val="none"/>
        <w:vertAlign w:val="baseline"/>
      </w:rPr>
    </w:lvl>
    <w:lvl w:ilvl="5">
      <w:start w:val="1"/>
      <w:numFmt w:val="lowerLetter"/>
      <w:lvlText w:val="(%6)"/>
      <w:lvlJc w:val="left"/>
      <w:pPr>
        <w:tabs>
          <w:tab w:val="num" w:pos="4320"/>
        </w:tabs>
        <w:ind w:left="4320" w:hanging="720"/>
      </w:pPr>
      <w:rPr>
        <w:rFonts w:cs="Times New Roman" w:hint="default"/>
        <w:b w:val="0"/>
        <w:i w:val="0"/>
        <w:caps w:val="0"/>
        <w:strike w:val="0"/>
        <w:dstrike w:val="0"/>
        <w:vanish w:val="0"/>
        <w:color w:val="000000"/>
        <w:u w:val="none"/>
        <w:vertAlign w:val="baseline"/>
      </w:rPr>
    </w:lvl>
    <w:lvl w:ilvl="6">
      <w:start w:val="1"/>
      <w:numFmt w:val="lowerRoman"/>
      <w:lvlText w:val="(%7)"/>
      <w:lvlJc w:val="left"/>
      <w:pPr>
        <w:tabs>
          <w:tab w:val="num" w:pos="5040"/>
        </w:tabs>
        <w:ind w:left="5040" w:hanging="720"/>
      </w:pPr>
      <w:rPr>
        <w:rFonts w:cs="Times New Roman" w:hint="default"/>
        <w:b w:val="0"/>
        <w:i w:val="0"/>
        <w:caps w:val="0"/>
        <w:strike w:val="0"/>
        <w:dstrike w:val="0"/>
        <w:vanish w:val="0"/>
        <w:color w:val="000000"/>
        <w:u w:val="none"/>
        <w:vertAlign w:val="baseline"/>
      </w:rPr>
    </w:lvl>
    <w:lvl w:ilvl="7">
      <w:start w:val="1"/>
      <w:numFmt w:val="lowerLetter"/>
      <w:lvlText w:val="%8)"/>
      <w:lvlJc w:val="left"/>
      <w:pPr>
        <w:tabs>
          <w:tab w:val="num" w:pos="5760"/>
        </w:tabs>
        <w:ind w:left="5760" w:hanging="720"/>
      </w:pPr>
      <w:rPr>
        <w:rFonts w:cs="Times New Roman" w:hint="default"/>
        <w:b w:val="0"/>
        <w:i w:val="0"/>
        <w:caps w:val="0"/>
        <w:strike w:val="0"/>
        <w:dstrike w:val="0"/>
        <w:vanish w:val="0"/>
        <w:color w:val="000000"/>
        <w:u w:val="none"/>
        <w:vertAlign w:val="baseline"/>
      </w:rPr>
    </w:lvl>
    <w:lvl w:ilvl="8">
      <w:start w:val="1"/>
      <w:numFmt w:val="lowerRoman"/>
      <w:lvlText w:val="%9)"/>
      <w:lvlJc w:val="left"/>
      <w:pPr>
        <w:tabs>
          <w:tab w:val="num" w:pos="6480"/>
        </w:tabs>
        <w:ind w:left="6480" w:hanging="720"/>
      </w:pPr>
      <w:rPr>
        <w:rFonts w:cs="Times New Roman" w:hint="default"/>
        <w:b w:val="0"/>
        <w:i w:val="0"/>
        <w:caps w:val="0"/>
        <w:strike w:val="0"/>
        <w:dstrike w:val="0"/>
        <w:vanish w:val="0"/>
        <w:color w:val="000000"/>
        <w:u w:val="none"/>
        <w:vertAlign w:val="baseline"/>
      </w:rPr>
    </w:lvl>
  </w:abstractNum>
  <w:abstractNum w:abstractNumId="30">
    <w:nsid w:val="42F73F5D"/>
    <w:multiLevelType w:val="multilevel"/>
    <w:tmpl w:val="263AD43C"/>
    <w:name w:val="Outline Left2"/>
    <w:lvl w:ilvl="0">
      <w:start w:val="3"/>
      <w:numFmt w:val="upperRoman"/>
      <w:lvlText w:val="%1."/>
      <w:lvlJc w:val="left"/>
      <w:pPr>
        <w:tabs>
          <w:tab w:val="num" w:pos="720"/>
        </w:tabs>
        <w:ind w:left="720" w:hanging="720"/>
      </w:pPr>
      <w:rPr>
        <w:rFonts w:ascii="Times New Roman" w:hAnsi="Times New Roman" w:cs="Times New Roman" w:hint="default"/>
        <w:b/>
        <w:i w:val="0"/>
        <w:caps w:val="0"/>
        <w:strike w:val="0"/>
        <w:dstrike w:val="0"/>
        <w:vanish w:val="0"/>
        <w:color w:val="auto"/>
        <w:u w:val="none"/>
        <w:vertAlign w:val="baseline"/>
      </w:rPr>
    </w:lvl>
    <w:lvl w:ilvl="1">
      <w:start w:val="1"/>
      <w:numFmt w:val="upperLetter"/>
      <w:lvlText w:val="%2."/>
      <w:lvlJc w:val="left"/>
      <w:pPr>
        <w:tabs>
          <w:tab w:val="num" w:pos="1320"/>
        </w:tabs>
        <w:ind w:left="1320" w:hanging="720"/>
      </w:pPr>
      <w:rPr>
        <w:rFonts w:ascii="Times New Roman" w:hAnsi="Times New Roman" w:cs="Times New Roman" w:hint="default"/>
        <w:b/>
        <w:i w:val="0"/>
        <w:caps w:val="0"/>
        <w:strike w:val="0"/>
        <w:dstrike w:val="0"/>
        <w:vanish w:val="0"/>
        <w:color w:val="auto"/>
        <w:u w:val="none"/>
        <w:vertAlign w:val="baseline"/>
      </w:rPr>
    </w:lvl>
    <w:lvl w:ilvl="2">
      <w:start w:val="1"/>
      <w:numFmt w:val="decimal"/>
      <w:lvlText w:val="(%3)"/>
      <w:lvlJc w:val="left"/>
      <w:pPr>
        <w:tabs>
          <w:tab w:val="num" w:pos="2160"/>
        </w:tabs>
        <w:ind w:left="2160" w:hanging="720"/>
      </w:pPr>
      <w:rPr>
        <w:rFonts w:cs="Times New Roman" w:hint="default"/>
        <w:b/>
        <w:i w:val="0"/>
        <w:caps w:val="0"/>
        <w:strike w:val="0"/>
        <w:dstrike w:val="0"/>
        <w:vanish w:val="0"/>
        <w:color w:val="000000"/>
        <w:u w:val="none"/>
        <w:vertAlign w:val="baseline"/>
      </w:rPr>
    </w:lvl>
    <w:lvl w:ilvl="3">
      <w:start w:val="1"/>
      <w:numFmt w:val="bullet"/>
      <w:lvlText w:val=""/>
      <w:lvlJc w:val="left"/>
      <w:pPr>
        <w:tabs>
          <w:tab w:val="num" w:pos="1080"/>
        </w:tabs>
        <w:ind w:left="1080" w:hanging="360"/>
      </w:pPr>
      <w:rPr>
        <w:rFonts w:ascii="Symbol" w:hAnsi="Symbol" w:hint="default"/>
        <w:b/>
        <w:i w:val="0"/>
        <w:caps w:val="0"/>
        <w:strike w:val="0"/>
        <w:dstrike w:val="0"/>
        <w:vanish w:val="0"/>
        <w:color w:val="auto"/>
        <w:u w:val="none"/>
        <w:vertAlign w:val="baseline"/>
      </w:rPr>
    </w:lvl>
    <w:lvl w:ilvl="4">
      <w:start w:val="1"/>
      <w:numFmt w:val="decimal"/>
      <w:lvlText w:val="(%5)"/>
      <w:lvlJc w:val="left"/>
      <w:pPr>
        <w:tabs>
          <w:tab w:val="num" w:pos="3600"/>
        </w:tabs>
        <w:ind w:left="3600" w:hanging="720"/>
      </w:pPr>
      <w:rPr>
        <w:rFonts w:cs="Times New Roman" w:hint="default"/>
        <w:b w:val="0"/>
        <w:i w:val="0"/>
        <w:caps w:val="0"/>
        <w:strike w:val="0"/>
        <w:dstrike w:val="0"/>
        <w:vanish w:val="0"/>
        <w:color w:val="000000"/>
        <w:u w:val="none"/>
        <w:vertAlign w:val="baseline"/>
      </w:rPr>
    </w:lvl>
    <w:lvl w:ilvl="5">
      <w:start w:val="1"/>
      <w:numFmt w:val="lowerLetter"/>
      <w:lvlText w:val="(%6)"/>
      <w:lvlJc w:val="left"/>
      <w:pPr>
        <w:tabs>
          <w:tab w:val="num" w:pos="4320"/>
        </w:tabs>
        <w:ind w:left="4320" w:hanging="720"/>
      </w:pPr>
      <w:rPr>
        <w:rFonts w:cs="Times New Roman" w:hint="default"/>
        <w:b w:val="0"/>
        <w:i w:val="0"/>
        <w:caps w:val="0"/>
        <w:strike w:val="0"/>
        <w:dstrike w:val="0"/>
        <w:vanish w:val="0"/>
        <w:color w:val="000000"/>
        <w:u w:val="none"/>
        <w:vertAlign w:val="baseline"/>
      </w:rPr>
    </w:lvl>
    <w:lvl w:ilvl="6">
      <w:start w:val="1"/>
      <w:numFmt w:val="lowerRoman"/>
      <w:lvlText w:val="(%7)"/>
      <w:lvlJc w:val="left"/>
      <w:pPr>
        <w:tabs>
          <w:tab w:val="num" w:pos="5040"/>
        </w:tabs>
        <w:ind w:left="5040" w:hanging="720"/>
      </w:pPr>
      <w:rPr>
        <w:rFonts w:cs="Times New Roman" w:hint="default"/>
        <w:b w:val="0"/>
        <w:i w:val="0"/>
        <w:caps w:val="0"/>
        <w:strike w:val="0"/>
        <w:dstrike w:val="0"/>
        <w:vanish w:val="0"/>
        <w:color w:val="000000"/>
        <w:u w:val="none"/>
        <w:vertAlign w:val="baseline"/>
      </w:rPr>
    </w:lvl>
    <w:lvl w:ilvl="7">
      <w:start w:val="1"/>
      <w:numFmt w:val="lowerLetter"/>
      <w:lvlText w:val="%8)"/>
      <w:lvlJc w:val="left"/>
      <w:pPr>
        <w:tabs>
          <w:tab w:val="num" w:pos="5760"/>
        </w:tabs>
        <w:ind w:left="5760" w:hanging="720"/>
      </w:pPr>
      <w:rPr>
        <w:rFonts w:cs="Times New Roman" w:hint="default"/>
        <w:b w:val="0"/>
        <w:i w:val="0"/>
        <w:caps w:val="0"/>
        <w:strike w:val="0"/>
        <w:dstrike w:val="0"/>
        <w:vanish w:val="0"/>
        <w:color w:val="000000"/>
        <w:u w:val="none"/>
        <w:vertAlign w:val="baseline"/>
      </w:rPr>
    </w:lvl>
    <w:lvl w:ilvl="8">
      <w:start w:val="1"/>
      <w:numFmt w:val="lowerRoman"/>
      <w:lvlText w:val="%9)"/>
      <w:lvlJc w:val="left"/>
      <w:pPr>
        <w:tabs>
          <w:tab w:val="num" w:pos="6480"/>
        </w:tabs>
        <w:ind w:left="6480" w:hanging="720"/>
      </w:pPr>
      <w:rPr>
        <w:rFonts w:cs="Times New Roman" w:hint="default"/>
        <w:b w:val="0"/>
        <w:i w:val="0"/>
        <w:caps w:val="0"/>
        <w:strike w:val="0"/>
        <w:dstrike w:val="0"/>
        <w:vanish w:val="0"/>
        <w:color w:val="000000"/>
        <w:u w:val="none"/>
        <w:vertAlign w:val="baseline"/>
      </w:rPr>
    </w:lvl>
  </w:abstractNum>
  <w:abstractNum w:abstractNumId="31">
    <w:nsid w:val="433D2FD4"/>
    <w:multiLevelType w:val="multilevel"/>
    <w:tmpl w:val="A6D25F6A"/>
    <w:styleLink w:val="Style1"/>
    <w:lvl w:ilvl="0">
      <w:start w:val="1"/>
      <w:numFmt w:val="decimal"/>
      <w:lvlText w:val="%1."/>
      <w:lvlJc w:val="left"/>
      <w:pPr>
        <w:tabs>
          <w:tab w:val="num" w:pos="720"/>
        </w:tabs>
        <w:ind w:left="720" w:hanging="720"/>
      </w:pPr>
      <w:rPr>
        <w:rFonts w:hint="default"/>
        <w:b/>
        <w:i w:val="0"/>
        <w:sz w:val="26"/>
      </w:rPr>
    </w:lvl>
    <w:lvl w:ilvl="1">
      <w:start w:val="1"/>
      <w:numFmt w:val="decimal"/>
      <w:lvlText w:val="%1.%2."/>
      <w:lvlJc w:val="left"/>
      <w:pPr>
        <w:tabs>
          <w:tab w:val="num" w:pos="1440"/>
        </w:tabs>
        <w:ind w:left="1440" w:hanging="720"/>
      </w:pPr>
      <w:rPr>
        <w:rFonts w:hint="default"/>
        <w:b/>
        <w:i w:val="0"/>
        <w:sz w:val="26"/>
      </w:rPr>
    </w:lvl>
    <w:lvl w:ilvl="2">
      <w:start w:val="1"/>
      <w:numFmt w:val="decimal"/>
      <w:lvlText w:val="%1.%2.%3."/>
      <w:lvlJc w:val="left"/>
      <w:pPr>
        <w:tabs>
          <w:tab w:val="num" w:pos="1728"/>
        </w:tabs>
        <w:ind w:left="1728" w:hanging="1008"/>
      </w:pPr>
      <w:rPr>
        <w:rFonts w:hint="default"/>
        <w:b/>
        <w:i w:val="0"/>
        <w:sz w:val="26"/>
      </w:rPr>
    </w:lvl>
    <w:lvl w:ilvl="3">
      <w:start w:val="1"/>
      <w:numFmt w:val="decimal"/>
      <w:lvlText w:val="%1.%2.%3.%4."/>
      <w:lvlJc w:val="left"/>
      <w:pPr>
        <w:tabs>
          <w:tab w:val="num" w:pos="1872"/>
        </w:tabs>
        <w:ind w:left="1872" w:hanging="1152"/>
      </w:pPr>
      <w:rPr>
        <w:rFonts w:ascii="Helvetica" w:hAnsi="Helvetica" w:hint="default"/>
        <w:b/>
        <w:i w:val="0"/>
        <w:sz w:val="26"/>
      </w:rPr>
    </w:lvl>
    <w:lvl w:ilvl="4">
      <w:start w:val="1"/>
      <w:numFmt w:val="decimal"/>
      <w:lvlText w:val="%1.%2.%3.%4.%5"/>
      <w:lvlJc w:val="left"/>
      <w:pPr>
        <w:tabs>
          <w:tab w:val="num" w:pos="2160"/>
        </w:tabs>
        <w:ind w:left="2160" w:hanging="1440"/>
      </w:pPr>
      <w:rPr>
        <w:rFonts w:hint="default"/>
        <w:b/>
        <w:i w:val="0"/>
        <w:sz w:val="26"/>
        <w:szCs w:val="26"/>
      </w:rPr>
    </w:lvl>
    <w:lvl w:ilvl="5">
      <w:start w:val="1"/>
      <w:numFmt w:val="decimal"/>
      <w:pStyle w:val="Heading6"/>
      <w:lvlText w:val="%1.%2.%3.%4.%5.%6"/>
      <w:lvlJc w:val="left"/>
      <w:pPr>
        <w:tabs>
          <w:tab w:val="num" w:pos="2448"/>
        </w:tabs>
        <w:ind w:left="2448" w:hanging="1728"/>
      </w:pPr>
      <w:rPr>
        <w:rFonts w:hint="default"/>
        <w:b/>
        <w:i w:val="0"/>
        <w:sz w:val="26"/>
        <w:szCs w:val="26"/>
      </w:rPr>
    </w:lvl>
    <w:lvl w:ilvl="6">
      <w:start w:val="1"/>
      <w:numFmt w:val="decimal"/>
      <w:pStyle w:val="Heading7"/>
      <w:lvlText w:val="%1.%2.%3.%4.%5.%6.%7."/>
      <w:lvlJc w:val="left"/>
      <w:pPr>
        <w:tabs>
          <w:tab w:val="num" w:pos="2592"/>
        </w:tabs>
        <w:ind w:left="2592" w:hanging="1872"/>
      </w:pPr>
      <w:rPr>
        <w:rFonts w:hint="default"/>
        <w:b/>
        <w:i w:val="0"/>
        <w:sz w:val="26"/>
      </w:rPr>
    </w:lvl>
    <w:lvl w:ilvl="7">
      <w:start w:val="1"/>
      <w:numFmt w:val="decimal"/>
      <w:pStyle w:val="Heading8"/>
      <w:lvlText w:val="%1.%2.%3.%4.%5.%6.%7.%8."/>
      <w:lvlJc w:val="left"/>
      <w:pPr>
        <w:tabs>
          <w:tab w:val="num" w:pos="2880"/>
        </w:tabs>
        <w:ind w:left="2880" w:hanging="2160"/>
      </w:pPr>
      <w:rPr>
        <w:rFonts w:hint="default"/>
        <w:b/>
        <w:i w:val="0"/>
        <w:sz w:val="26"/>
      </w:rPr>
    </w:lvl>
    <w:lvl w:ilvl="8">
      <w:start w:val="1"/>
      <w:numFmt w:val="upperLetter"/>
      <w:pStyle w:val="Heading9"/>
      <w:suff w:val="nothing"/>
      <w:lvlText w:val="Appendix %9:"/>
      <w:lvlJc w:val="left"/>
      <w:pPr>
        <w:ind w:left="0" w:firstLine="0"/>
      </w:pPr>
      <w:rPr>
        <w:rFonts w:hint="default"/>
        <w:b/>
        <w:i w:val="0"/>
        <w:sz w:val="26"/>
      </w:rPr>
    </w:lvl>
  </w:abstractNum>
  <w:abstractNum w:abstractNumId="32">
    <w:nsid w:val="45AD354D"/>
    <w:multiLevelType w:val="hybridMultilevel"/>
    <w:tmpl w:val="FDC8A87C"/>
    <w:name w:val="zzmpPleading1||Pleading1|2|1|1|1|4|41||1|4|33||1|4|33||1|4|36||1|4|32||1|4|32||1|4|32||1|4|32||1|4|32||26"/>
    <w:lvl w:ilvl="0" w:tplc="A51EF14A">
      <w:start w:val="1"/>
      <w:numFmt w:val="decimal"/>
      <w:lvlText w:val="%1."/>
      <w:lvlJc w:val="left"/>
      <w:pPr>
        <w:tabs>
          <w:tab w:val="num" w:pos="1440"/>
        </w:tabs>
        <w:ind w:left="1440" w:hanging="576"/>
      </w:pPr>
      <w:rPr>
        <w:rFonts w:cs="Times New Roman" w:hint="default"/>
      </w:rPr>
    </w:lvl>
    <w:lvl w:ilvl="1" w:tplc="04090019">
      <w:start w:val="3"/>
      <w:numFmt w:val="decimal"/>
      <w:lvlText w:val="%2"/>
      <w:lvlJc w:val="left"/>
      <w:pPr>
        <w:tabs>
          <w:tab w:val="num" w:pos="1440"/>
        </w:tabs>
        <w:ind w:left="1440" w:hanging="360"/>
      </w:pPr>
      <w:rPr>
        <w:rFonts w:cs="Times New Roman" w:hint="default"/>
        <w:b/>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45C43EFF"/>
    <w:multiLevelType w:val="hybridMultilevel"/>
    <w:tmpl w:val="0B02965A"/>
    <w:name w:val="zzmpPUC||PUC|3|1|0|1|2|41||1|2|37||1|2|32||1|2|33||1|2|32||1|2|32||1|2|32||1|2|32||1|2|32||2"/>
    <w:lvl w:ilvl="0" w:tplc="6EDA0ED2">
      <w:start w:val="1"/>
      <w:numFmt w:val="lowerRoman"/>
      <w:lvlText w:val="%1."/>
      <w:lvlJc w:val="left"/>
      <w:pPr>
        <w:tabs>
          <w:tab w:val="num" w:pos="0"/>
        </w:tabs>
      </w:pPr>
      <w:rPr>
        <w:rFonts w:cs="Times New Roman" w:hint="default"/>
      </w:rPr>
    </w:lvl>
    <w:lvl w:ilvl="1" w:tplc="FB9403D8" w:tentative="1">
      <w:start w:val="1"/>
      <w:numFmt w:val="lowerLetter"/>
      <w:lvlText w:val="%2."/>
      <w:lvlJc w:val="left"/>
      <w:pPr>
        <w:tabs>
          <w:tab w:val="num" w:pos="1440"/>
        </w:tabs>
        <w:ind w:left="1440" w:hanging="360"/>
      </w:pPr>
      <w:rPr>
        <w:rFonts w:cs="Times New Roman"/>
      </w:rPr>
    </w:lvl>
    <w:lvl w:ilvl="2" w:tplc="ACC0E87C" w:tentative="1">
      <w:start w:val="1"/>
      <w:numFmt w:val="lowerRoman"/>
      <w:lvlText w:val="%3."/>
      <w:lvlJc w:val="right"/>
      <w:pPr>
        <w:tabs>
          <w:tab w:val="num" w:pos="2160"/>
        </w:tabs>
        <w:ind w:left="2160" w:hanging="180"/>
      </w:pPr>
      <w:rPr>
        <w:rFonts w:cs="Times New Roman"/>
      </w:rPr>
    </w:lvl>
    <w:lvl w:ilvl="3" w:tplc="82AC8E60" w:tentative="1">
      <w:start w:val="1"/>
      <w:numFmt w:val="decimal"/>
      <w:lvlText w:val="%4."/>
      <w:lvlJc w:val="left"/>
      <w:pPr>
        <w:tabs>
          <w:tab w:val="num" w:pos="2880"/>
        </w:tabs>
        <w:ind w:left="2880" w:hanging="360"/>
      </w:pPr>
      <w:rPr>
        <w:rFonts w:cs="Times New Roman"/>
      </w:rPr>
    </w:lvl>
    <w:lvl w:ilvl="4" w:tplc="9CAA8CA6" w:tentative="1">
      <w:start w:val="1"/>
      <w:numFmt w:val="lowerLetter"/>
      <w:lvlText w:val="%5."/>
      <w:lvlJc w:val="left"/>
      <w:pPr>
        <w:tabs>
          <w:tab w:val="num" w:pos="3600"/>
        </w:tabs>
        <w:ind w:left="3600" w:hanging="360"/>
      </w:pPr>
      <w:rPr>
        <w:rFonts w:cs="Times New Roman"/>
      </w:rPr>
    </w:lvl>
    <w:lvl w:ilvl="5" w:tplc="2580188C" w:tentative="1">
      <w:start w:val="1"/>
      <w:numFmt w:val="lowerRoman"/>
      <w:lvlText w:val="%6."/>
      <w:lvlJc w:val="right"/>
      <w:pPr>
        <w:tabs>
          <w:tab w:val="num" w:pos="4320"/>
        </w:tabs>
        <w:ind w:left="4320" w:hanging="180"/>
      </w:pPr>
      <w:rPr>
        <w:rFonts w:cs="Times New Roman"/>
      </w:rPr>
    </w:lvl>
    <w:lvl w:ilvl="6" w:tplc="339094FA" w:tentative="1">
      <w:start w:val="1"/>
      <w:numFmt w:val="decimal"/>
      <w:lvlText w:val="%7."/>
      <w:lvlJc w:val="left"/>
      <w:pPr>
        <w:tabs>
          <w:tab w:val="num" w:pos="5040"/>
        </w:tabs>
        <w:ind w:left="5040" w:hanging="360"/>
      </w:pPr>
      <w:rPr>
        <w:rFonts w:cs="Times New Roman"/>
      </w:rPr>
    </w:lvl>
    <w:lvl w:ilvl="7" w:tplc="CC1CC99E" w:tentative="1">
      <w:start w:val="1"/>
      <w:numFmt w:val="lowerLetter"/>
      <w:lvlText w:val="%8."/>
      <w:lvlJc w:val="left"/>
      <w:pPr>
        <w:tabs>
          <w:tab w:val="num" w:pos="5760"/>
        </w:tabs>
        <w:ind w:left="5760" w:hanging="360"/>
      </w:pPr>
      <w:rPr>
        <w:rFonts w:cs="Times New Roman"/>
      </w:rPr>
    </w:lvl>
    <w:lvl w:ilvl="8" w:tplc="640EC1CA" w:tentative="1">
      <w:start w:val="1"/>
      <w:numFmt w:val="lowerRoman"/>
      <w:lvlText w:val="%9."/>
      <w:lvlJc w:val="right"/>
      <w:pPr>
        <w:tabs>
          <w:tab w:val="num" w:pos="6480"/>
        </w:tabs>
        <w:ind w:left="6480" w:hanging="180"/>
      </w:pPr>
      <w:rPr>
        <w:rFonts w:cs="Times New Roman"/>
      </w:rPr>
    </w:lvl>
  </w:abstractNum>
  <w:abstractNum w:abstractNumId="34">
    <w:nsid w:val="4950524E"/>
    <w:multiLevelType w:val="multilevel"/>
    <w:tmpl w:val="0409001D"/>
    <w:name w:val="zzmpPleading1||Pleading1|2|1|1|1|4|41||1|4|33||1|4|33||1|4|32||1|4|32||1|4|32||1|4|32||1|4|32||1|4|32||"/>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nsid w:val="4C063D60"/>
    <w:multiLevelType w:val="hybridMultilevel"/>
    <w:tmpl w:val="8848D1EE"/>
    <w:lvl w:ilvl="0" w:tplc="46CEBA4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5F4377B"/>
    <w:multiLevelType w:val="multilevel"/>
    <w:tmpl w:val="929CF992"/>
    <w:name w:val="zzmpEZEPleadin||EZE Pleading1|3|1|1|1|4|41||1|4|33||1|4|33||1|4|33||1|4|33||1|4|33||1|4|33||1|4|33||1|4|33||"/>
    <w:lvl w:ilvl="0">
      <w:start w:val="1"/>
      <w:numFmt w:val="upperRoman"/>
      <w:lvlText w:val="%1."/>
      <w:lvlJc w:val="left"/>
      <w:pPr>
        <w:tabs>
          <w:tab w:val="num" w:pos="720"/>
        </w:tabs>
        <w:ind w:left="720" w:hanging="720"/>
      </w:pPr>
      <w:rPr>
        <w:rFonts w:ascii="Times New Roman" w:hAnsi="Times New Roman" w:cs="Times New Roman"/>
        <w:b/>
        <w:i w:val="0"/>
        <w:caps w:val="0"/>
        <w:color w:val="auto"/>
        <w:sz w:val="24"/>
        <w:u w:val="none"/>
      </w:rPr>
    </w:lvl>
    <w:lvl w:ilvl="1">
      <w:start w:val="1"/>
      <w:numFmt w:val="upperLetter"/>
      <w:lvlText w:val="%2."/>
      <w:lvlJc w:val="left"/>
      <w:pPr>
        <w:tabs>
          <w:tab w:val="num" w:pos="1440"/>
        </w:tabs>
        <w:ind w:left="1440" w:hanging="720"/>
      </w:pPr>
      <w:rPr>
        <w:rFonts w:ascii="Times New Roman" w:hAnsi="Times New Roman" w:cs="Times New Roman"/>
        <w:b/>
        <w:i w:val="0"/>
        <w:caps w:val="0"/>
        <w:color w:val="auto"/>
        <w:sz w:val="24"/>
        <w:u w:val="none"/>
      </w:rPr>
    </w:lvl>
    <w:lvl w:ilvl="2">
      <w:start w:val="1"/>
      <w:numFmt w:val="decimal"/>
      <w:lvlText w:val="%3."/>
      <w:lvlJc w:val="left"/>
      <w:pPr>
        <w:tabs>
          <w:tab w:val="num" w:pos="2160"/>
        </w:tabs>
        <w:ind w:left="2160" w:hanging="720"/>
      </w:pPr>
      <w:rPr>
        <w:rFonts w:ascii="Times New Roman" w:hAnsi="Times New Roman" w:cs="Times New Roman"/>
        <w:b/>
        <w:i w:val="0"/>
        <w:caps w:val="0"/>
        <w:sz w:val="24"/>
        <w:u w:val="none"/>
      </w:rPr>
    </w:lvl>
    <w:lvl w:ilvl="3">
      <w:start w:val="1"/>
      <w:numFmt w:val="lowerLetter"/>
      <w:lvlText w:val="%4."/>
      <w:lvlJc w:val="left"/>
      <w:pPr>
        <w:tabs>
          <w:tab w:val="num" w:pos="2880"/>
        </w:tabs>
        <w:ind w:left="2880" w:hanging="720"/>
      </w:pPr>
      <w:rPr>
        <w:rFonts w:ascii="Times New Roman" w:hAnsi="Times New Roman" w:cs="Times New Roman"/>
        <w:b/>
        <w:i w:val="0"/>
        <w:caps w:val="0"/>
        <w:sz w:val="24"/>
        <w:u w:val="none"/>
      </w:rPr>
    </w:lvl>
    <w:lvl w:ilvl="4">
      <w:start w:val="1"/>
      <w:numFmt w:val="decimal"/>
      <w:lvlText w:val="(%5)"/>
      <w:lvlJc w:val="left"/>
      <w:pPr>
        <w:tabs>
          <w:tab w:val="num" w:pos="3600"/>
        </w:tabs>
        <w:ind w:left="3600" w:hanging="720"/>
      </w:pPr>
      <w:rPr>
        <w:rFonts w:ascii="Times New Roman" w:hAnsi="Times New Roman" w:cs="Times New Roman"/>
        <w:b/>
        <w:i w:val="0"/>
        <w:caps w:val="0"/>
        <w:sz w:val="24"/>
        <w:u w:val="none"/>
      </w:rPr>
    </w:lvl>
    <w:lvl w:ilvl="5">
      <w:start w:val="1"/>
      <w:numFmt w:val="lowerLetter"/>
      <w:lvlText w:val="(%6)"/>
      <w:lvlJc w:val="left"/>
      <w:pPr>
        <w:tabs>
          <w:tab w:val="num" w:pos="4320"/>
        </w:tabs>
        <w:ind w:left="4320" w:hanging="720"/>
      </w:pPr>
      <w:rPr>
        <w:rFonts w:ascii="Times New Roman" w:hAnsi="Times New Roman" w:cs="Times New Roman"/>
        <w:b/>
        <w:i w:val="0"/>
        <w:caps w:val="0"/>
        <w:sz w:val="24"/>
        <w:u w:val="none"/>
      </w:rPr>
    </w:lvl>
    <w:lvl w:ilvl="6">
      <w:start w:val="1"/>
      <w:numFmt w:val="lowerRoman"/>
      <w:lvlText w:val="(%7)"/>
      <w:lvlJc w:val="left"/>
      <w:pPr>
        <w:tabs>
          <w:tab w:val="num" w:pos="5040"/>
        </w:tabs>
        <w:ind w:left="5040" w:hanging="720"/>
      </w:pPr>
      <w:rPr>
        <w:rFonts w:ascii="Times New Roman" w:hAnsi="Times New Roman" w:cs="Times New Roman"/>
        <w:b/>
        <w:i w:val="0"/>
        <w:caps w:val="0"/>
        <w:sz w:val="24"/>
        <w:u w:val="none"/>
      </w:rPr>
    </w:lvl>
    <w:lvl w:ilvl="7">
      <w:start w:val="1"/>
      <w:numFmt w:val="lowerLetter"/>
      <w:lvlText w:val="%8)"/>
      <w:lvlJc w:val="left"/>
      <w:pPr>
        <w:tabs>
          <w:tab w:val="num" w:pos="5760"/>
        </w:tabs>
        <w:ind w:left="5760" w:hanging="720"/>
      </w:pPr>
      <w:rPr>
        <w:rFonts w:ascii="Times New Roman" w:hAnsi="Times New Roman" w:cs="Times New Roman"/>
        <w:b/>
        <w:i w:val="0"/>
        <w:caps w:val="0"/>
        <w:sz w:val="24"/>
        <w:u w:val="none"/>
      </w:rPr>
    </w:lvl>
    <w:lvl w:ilvl="8">
      <w:start w:val="1"/>
      <w:numFmt w:val="lowerRoman"/>
      <w:lvlText w:val="%9)"/>
      <w:lvlJc w:val="left"/>
      <w:pPr>
        <w:tabs>
          <w:tab w:val="num" w:pos="6480"/>
        </w:tabs>
        <w:ind w:left="6480" w:hanging="720"/>
      </w:pPr>
      <w:rPr>
        <w:rFonts w:ascii="Times New Roman" w:hAnsi="Times New Roman" w:cs="Times New Roman"/>
        <w:b/>
        <w:i w:val="0"/>
        <w:caps w:val="0"/>
        <w:sz w:val="24"/>
        <w:u w:val="none"/>
      </w:rPr>
    </w:lvl>
  </w:abstractNum>
  <w:abstractNum w:abstractNumId="37">
    <w:nsid w:val="5D944DBE"/>
    <w:multiLevelType w:val="multilevel"/>
    <w:tmpl w:val="40A2ECA4"/>
    <w:name w:val="zzmpPleading1||Pleading1|2|1|1|1|4|41||1|4|33||1|4|33||1|4|33||1|4|32||1|4|32||1|4|32||1|4|32||1|4|32||"/>
    <w:lvl w:ilvl="0">
      <w:start w:val="1"/>
      <w:numFmt w:val="decimal"/>
      <w:lvlText w:val="%1."/>
      <w:lvlJc w:val="left"/>
      <w:pPr>
        <w:tabs>
          <w:tab w:val="num" w:pos="720"/>
        </w:tabs>
        <w:ind w:left="720" w:hanging="720"/>
      </w:pPr>
      <w:rPr>
        <w:rFonts w:cs="Times New Roman" w:hint="default"/>
        <w:b/>
      </w:rPr>
    </w:lvl>
    <w:lvl w:ilvl="1">
      <w:start w:val="1"/>
      <w:numFmt w:val="decimal"/>
      <w:lvlText w:val="%1.%2."/>
      <w:lvlJc w:val="left"/>
      <w:pPr>
        <w:tabs>
          <w:tab w:val="num" w:pos="1728"/>
        </w:tabs>
        <w:ind w:left="1728" w:hanging="1008"/>
      </w:pPr>
      <w:rPr>
        <w:rFonts w:cs="Times New Roman" w:hint="default"/>
        <w:b/>
        <w:i w:val="0"/>
      </w:rPr>
    </w:lvl>
    <w:lvl w:ilvl="2">
      <w:start w:val="1"/>
      <w:numFmt w:val="decimal"/>
      <w:lvlText w:val="%1.%2.%3."/>
      <w:lvlJc w:val="left"/>
      <w:pPr>
        <w:tabs>
          <w:tab w:val="num" w:pos="1728"/>
        </w:tabs>
        <w:ind w:left="1728" w:hanging="1008"/>
      </w:pPr>
      <w:rPr>
        <w:rFonts w:cs="Times New Roman" w:hint="default"/>
        <w:b/>
        <w:i w:val="0"/>
      </w:rPr>
    </w:lvl>
    <w:lvl w:ilvl="3">
      <w:start w:val="1"/>
      <w:numFmt w:val="decimal"/>
      <w:lvlText w:val="%1.%2.%3.%4"/>
      <w:lvlJc w:val="left"/>
      <w:pPr>
        <w:tabs>
          <w:tab w:val="num" w:pos="2160"/>
        </w:tabs>
        <w:ind w:left="2160" w:hanging="1440"/>
      </w:pPr>
      <w:rPr>
        <w:rFonts w:cs="Times New Roman" w:hint="default"/>
        <w:b/>
        <w:i w:val="0"/>
      </w:rPr>
    </w:lvl>
    <w:lvl w:ilvl="4">
      <w:start w:val="1"/>
      <w:numFmt w:val="decimal"/>
      <w:lvlText w:val="%1.%2.%3.%4.%5"/>
      <w:lvlJc w:val="left"/>
      <w:pPr>
        <w:tabs>
          <w:tab w:val="num" w:pos="2520"/>
        </w:tabs>
        <w:ind w:left="2520" w:hanging="1800"/>
      </w:pPr>
      <w:rPr>
        <w:rFonts w:cs="Times New Roman" w:hint="default"/>
        <w:b/>
        <w:i w:val="0"/>
      </w:rPr>
    </w:lvl>
    <w:lvl w:ilvl="5">
      <w:start w:val="1"/>
      <w:numFmt w:val="decimal"/>
      <w:lvlText w:val="%1.%2.%3.%4.%5.%6"/>
      <w:lvlJc w:val="left"/>
      <w:pPr>
        <w:tabs>
          <w:tab w:val="num" w:pos="2520"/>
        </w:tabs>
        <w:ind w:left="2520" w:hanging="1800"/>
      </w:pPr>
      <w:rPr>
        <w:rFonts w:cs="Times New Roman" w:hint="default"/>
      </w:rPr>
    </w:lvl>
    <w:lvl w:ilvl="6">
      <w:numFmt w:val="none"/>
      <w:lvlText w:val=""/>
      <w:lvlJc w:val="left"/>
      <w:pPr>
        <w:tabs>
          <w:tab w:val="num" w:pos="360"/>
        </w:tabs>
      </w:pPr>
      <w:rPr>
        <w:rFonts w:cs="Times New Roman" w:hint="default"/>
      </w:rPr>
    </w:lvl>
    <w:lvl w:ilvl="7">
      <w:numFmt w:val="none"/>
      <w:lvlText w:val=""/>
      <w:lvlJc w:val="left"/>
      <w:pPr>
        <w:tabs>
          <w:tab w:val="num" w:pos="360"/>
        </w:tabs>
      </w:pPr>
      <w:rPr>
        <w:rFonts w:cs="Times New Roman" w:hint="default"/>
      </w:rPr>
    </w:lvl>
    <w:lvl w:ilvl="8">
      <w:numFmt w:val="none"/>
      <w:lvlText w:val=""/>
      <w:lvlJc w:val="left"/>
      <w:pPr>
        <w:tabs>
          <w:tab w:val="num" w:pos="360"/>
        </w:tabs>
      </w:pPr>
      <w:rPr>
        <w:rFonts w:cs="Times New Roman" w:hint="default"/>
      </w:rPr>
    </w:lvl>
  </w:abstractNum>
  <w:abstractNum w:abstractNumId="38">
    <w:nsid w:val="609039F7"/>
    <w:multiLevelType w:val="singleLevel"/>
    <w:tmpl w:val="A72A5EEC"/>
    <w:name w:val="zzmpPUC||PUC|3|1|0|1|2|41||1|2|37||1|2|32||1|2|33||1|2|32||1|2|32||1|2|32||1|2|32||1|2|32||"/>
    <w:lvl w:ilvl="0">
      <w:start w:val="1"/>
      <w:numFmt w:val="decimal"/>
      <w:lvlText w:val="%1."/>
      <w:legacy w:legacy="1" w:legacySpace="144" w:legacyIndent="0"/>
      <w:lvlJc w:val="left"/>
      <w:rPr>
        <w:rFonts w:ascii="Times New Roman" w:hAnsi="Times New Roman" w:cs="Times New Roman" w:hint="default"/>
      </w:rPr>
    </w:lvl>
  </w:abstractNum>
  <w:abstractNum w:abstractNumId="39">
    <w:nsid w:val="68652BCB"/>
    <w:multiLevelType w:val="hybridMultilevel"/>
    <w:tmpl w:val="AE407DF2"/>
    <w:name w:val="Brief/Motion Left"/>
    <w:lvl w:ilvl="0" w:tplc="0FF20924">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hint="default"/>
      </w:rPr>
    </w:lvl>
    <w:lvl w:ilvl="2" w:tplc="0409001B">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40">
    <w:nsid w:val="688A4BF0"/>
    <w:multiLevelType w:val="multilevel"/>
    <w:tmpl w:val="2AEE37AA"/>
    <w:name w:val="zzmpPUC||PUC|3|1|0|1|2|41||1|2|37||1|2|32||1|2|33||1|2|32||1|2|32||1|2|32||1|2|32||1|2|32||5"/>
    <w:lvl w:ilvl="0">
      <w:start w:val="1"/>
      <w:numFmt w:val="upperLetter"/>
      <w:lvlText w:val="Appendix %1:"/>
      <w:lvlJc w:val="center"/>
      <w:pPr>
        <w:tabs>
          <w:tab w:val="num" w:pos="720"/>
        </w:tabs>
        <w:ind w:left="720" w:hanging="432"/>
      </w:pPr>
      <w:rPr>
        <w:rFonts w:cs="Times New Roman" w:hint="default"/>
        <w:b/>
      </w:rPr>
    </w:lvl>
    <w:lvl w:ilvl="1">
      <w:start w:val="1"/>
      <w:numFmt w:val="lowerRoman"/>
      <w:lvlText w:val="%1.%2."/>
      <w:lvlJc w:val="left"/>
      <w:pPr>
        <w:tabs>
          <w:tab w:val="num" w:pos="1728"/>
        </w:tabs>
        <w:ind w:left="1728" w:hanging="1008"/>
      </w:pPr>
      <w:rPr>
        <w:rFonts w:cs="Times New Roman" w:hint="default"/>
        <w:b/>
        <w:i w:val="0"/>
      </w:rPr>
    </w:lvl>
    <w:lvl w:ilvl="2">
      <w:start w:val="1"/>
      <w:numFmt w:val="decimal"/>
      <w:lvlText w:val="%1.%2.%3."/>
      <w:lvlJc w:val="left"/>
      <w:pPr>
        <w:tabs>
          <w:tab w:val="num" w:pos="1728"/>
        </w:tabs>
        <w:ind w:left="1728" w:hanging="1008"/>
      </w:pPr>
      <w:rPr>
        <w:rFonts w:cs="Times New Roman" w:hint="default"/>
        <w:b/>
        <w:i w:val="0"/>
      </w:rPr>
    </w:lvl>
    <w:lvl w:ilvl="3">
      <w:start w:val="1"/>
      <w:numFmt w:val="decimal"/>
      <w:lvlText w:val="%1.%2.%3.%4"/>
      <w:lvlJc w:val="left"/>
      <w:pPr>
        <w:tabs>
          <w:tab w:val="num" w:pos="2160"/>
        </w:tabs>
        <w:ind w:left="2160" w:hanging="1440"/>
      </w:pPr>
      <w:rPr>
        <w:rFonts w:cs="Times New Roman" w:hint="default"/>
        <w:b/>
        <w:i w:val="0"/>
      </w:rPr>
    </w:lvl>
    <w:lvl w:ilvl="4">
      <w:start w:val="1"/>
      <w:numFmt w:val="decimal"/>
      <w:lvlText w:val="%1.%2.%3.%4.%5"/>
      <w:lvlJc w:val="left"/>
      <w:pPr>
        <w:tabs>
          <w:tab w:val="num" w:pos="2520"/>
        </w:tabs>
        <w:ind w:left="2520" w:hanging="1800"/>
      </w:pPr>
      <w:rPr>
        <w:rFonts w:cs="Times New Roman" w:hint="default"/>
        <w:b/>
        <w:i w:val="0"/>
      </w:rPr>
    </w:lvl>
    <w:lvl w:ilvl="5">
      <w:start w:val="1"/>
      <w:numFmt w:val="decimal"/>
      <w:lvlText w:val="%1.%2.%3.%4.%5.%6"/>
      <w:lvlJc w:val="left"/>
      <w:pPr>
        <w:tabs>
          <w:tab w:val="num" w:pos="2520"/>
        </w:tabs>
        <w:ind w:left="2520" w:hanging="1800"/>
      </w:pPr>
      <w:rPr>
        <w:rFonts w:cs="Times New Roman" w:hint="default"/>
      </w:rPr>
    </w:lvl>
    <w:lvl w:ilvl="6">
      <w:numFmt w:val="none"/>
      <w:lvlText w:val=""/>
      <w:lvlJc w:val="left"/>
      <w:pPr>
        <w:tabs>
          <w:tab w:val="num" w:pos="360"/>
        </w:tabs>
      </w:pPr>
      <w:rPr>
        <w:rFonts w:cs="Times New Roman" w:hint="default"/>
      </w:rPr>
    </w:lvl>
    <w:lvl w:ilvl="7">
      <w:numFmt w:val="none"/>
      <w:lvlText w:val=""/>
      <w:lvlJc w:val="left"/>
      <w:pPr>
        <w:tabs>
          <w:tab w:val="num" w:pos="360"/>
        </w:tabs>
      </w:pPr>
      <w:rPr>
        <w:rFonts w:cs="Times New Roman" w:hint="default"/>
      </w:rPr>
    </w:lvl>
    <w:lvl w:ilvl="8">
      <w:start w:val="1"/>
      <w:numFmt w:val="upperLetter"/>
      <w:lvlText w:val="Appendix %9:"/>
      <w:lvlJc w:val="left"/>
      <w:pPr>
        <w:tabs>
          <w:tab w:val="num" w:pos="360"/>
        </w:tabs>
      </w:pPr>
      <w:rPr>
        <w:rFonts w:cs="Times New Roman" w:hint="default"/>
      </w:rPr>
    </w:lvl>
  </w:abstractNum>
  <w:abstractNum w:abstractNumId="41">
    <w:nsid w:val="6BD339FF"/>
    <w:multiLevelType w:val="hybridMultilevel"/>
    <w:tmpl w:val="C0109B92"/>
    <w:name w:val="zzmpPleading1||Pleading1|2|1|1|1|4|41||1|4|33||1|4|33||1|4|36||1|4|32||1|4|32||1|4|32||1|4|32||1|4|32||272"/>
    <w:lvl w:ilvl="0" w:tplc="385A5186">
      <w:start w:val="1"/>
      <w:numFmt w:val="bullet"/>
      <w:pStyle w:val="StandardBullet"/>
      <w:lvlText w:val=""/>
      <w:lvlJc w:val="left"/>
      <w:pPr>
        <w:tabs>
          <w:tab w:val="num" w:pos="1332"/>
        </w:tabs>
        <w:ind w:left="1332" w:hanging="432"/>
      </w:pPr>
      <w:rPr>
        <w:rFonts w:ascii="Symbol" w:hAnsi="Symbol" w:hint="default"/>
      </w:rPr>
    </w:lvl>
    <w:lvl w:ilvl="1" w:tplc="04090005">
      <w:start w:val="1"/>
      <w:numFmt w:val="bullet"/>
      <w:lvlText w:val=""/>
      <w:lvlJc w:val="left"/>
      <w:pPr>
        <w:tabs>
          <w:tab w:val="num" w:pos="1890"/>
        </w:tabs>
        <w:ind w:left="1890" w:hanging="360"/>
      </w:pPr>
      <w:rPr>
        <w:rFonts w:ascii="Wingdings" w:hAnsi="Wingdings"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42">
    <w:nsid w:val="6CE9732C"/>
    <w:multiLevelType w:val="hybridMultilevel"/>
    <w:tmpl w:val="7E9EDC84"/>
    <w:name w:val="zzmpPUC||PUC|3|1|0|1|2|41||1|2|37||1|2|32||1|2|33||1|2|32||1|2|32||1|2|32||1|2|32||1|2|32||42"/>
    <w:lvl w:ilvl="0" w:tplc="F5F08A70">
      <w:start w:val="1"/>
      <w:numFmt w:val="lowerRoman"/>
      <w:lvlText w:val="%1."/>
      <w:lvlJc w:val="left"/>
      <w:pPr>
        <w:tabs>
          <w:tab w:val="num" w:pos="1296"/>
        </w:tabs>
        <w:ind w:left="1296" w:hanging="57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nsid w:val="6F3B796C"/>
    <w:multiLevelType w:val="multilevel"/>
    <w:tmpl w:val="96DE4FE4"/>
    <w:styleLink w:val="AppendixHeader"/>
    <w:lvl w:ilvl="0">
      <w:start w:val="1"/>
      <w:numFmt w:val="upperLetter"/>
      <w:lvlText w:val="Appendix %1:"/>
      <w:lvlJc w:val="left"/>
      <w:pPr>
        <w:tabs>
          <w:tab w:val="num" w:pos="1800"/>
        </w:tabs>
        <w:ind w:left="1800" w:hanging="1800"/>
      </w:pPr>
      <w:rPr>
        <w:rFonts w:ascii="Helvetica" w:hAnsi="Helvetica"/>
        <w:b/>
        <w:i w:val="0"/>
        <w:color w:val="auto"/>
        <w:sz w:val="2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72817D46"/>
    <w:multiLevelType w:val="hybridMultilevel"/>
    <w:tmpl w:val="939A25FE"/>
    <w:name w:val="zzmpPUC||PUC|3|1|0|1|2|41||1|2|37||1|2|32||1|2|33||1|2|32||1|2|32||1|2|32||1|2|32||1|2|32||43"/>
    <w:lvl w:ilvl="0" w:tplc="ED268282">
      <w:start w:val="1"/>
      <w:numFmt w:val="lowerRoman"/>
      <w:lvlText w:val="%1."/>
      <w:lvlJc w:val="left"/>
      <w:pPr>
        <w:tabs>
          <w:tab w:val="num" w:pos="1296"/>
        </w:tabs>
        <w:ind w:left="1296" w:hanging="57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729E7981"/>
    <w:multiLevelType w:val="hybridMultilevel"/>
    <w:tmpl w:val="E84C7228"/>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decimal"/>
      <w:pStyle w:val="DeclStyle"/>
      <w:lvlText w:val="%3."/>
      <w:lvlJc w:val="left"/>
      <w:pPr>
        <w:tabs>
          <w:tab w:val="num" w:pos="1620"/>
        </w:tabs>
        <w:ind w:left="1620" w:hanging="360"/>
      </w:pPr>
      <w:rPr>
        <w:rFonts w:hint="default"/>
        <w:b w:val="0"/>
        <w:i w:val="0"/>
      </w:rPr>
    </w:lvl>
    <w:lvl w:ilvl="3" w:tplc="1F9AB7CA">
      <w:start w:val="1"/>
      <w:numFmt w:val="upperLetter"/>
      <w:lvlText w:val="%4."/>
      <w:lvlJc w:val="left"/>
      <w:pPr>
        <w:tabs>
          <w:tab w:val="num" w:pos="1440"/>
        </w:tabs>
        <w:ind w:left="720" w:firstLine="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nsid w:val="77246767"/>
    <w:multiLevelType w:val="hybridMultilevel"/>
    <w:tmpl w:val="65A4D80A"/>
    <w:name w:val="zzmpPUC||PUC|3|1|0|1|2|41||1|2|37||1|2|32||1|2|33||1|2|32||1|2|32||1|2|32||1|2|32||1|2|32||3"/>
    <w:lvl w:ilvl="0" w:tplc="FFFFFFFF">
      <w:start w:val="1"/>
      <w:numFmt w:val="lowerRoman"/>
      <w:lvlText w:val="%1."/>
      <w:lvlJc w:val="left"/>
      <w:pPr>
        <w:tabs>
          <w:tab w:val="num" w:pos="0"/>
        </w:tabs>
        <w:ind w:left="1440" w:hanging="72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1F9AB7CA"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7">
    <w:nsid w:val="7B1D5917"/>
    <w:multiLevelType w:val="hybridMultilevel"/>
    <w:tmpl w:val="10B68CE4"/>
    <w:name w:val="zzmpPUC||PUC|3|1|0|1|2|41||1|2|37||1|2|32||1|2|33||1|2|32||1|2|32||1|2|32||1|2|32||1|2|32||423"/>
    <w:lvl w:ilvl="0" w:tplc="C78AB59A">
      <w:start w:val="1"/>
      <w:numFmt w:val="lowerRoman"/>
      <w:lvlText w:val="%1."/>
      <w:lvlJc w:val="left"/>
      <w:pPr>
        <w:tabs>
          <w:tab w:val="num" w:pos="1296"/>
        </w:tabs>
        <w:ind w:left="1296" w:hanging="57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nsid w:val="7B3502A2"/>
    <w:multiLevelType w:val="hybridMultilevel"/>
    <w:tmpl w:val="C21894B8"/>
    <w:name w:val="zzmpPleading1||Pleading1|2|1|1|1|4|41||1|4|33||1|4|33||1|4|33||1|4|33||1|4|33||1|4|33||1|4|33||1|4|33||"/>
    <w:lvl w:ilvl="0" w:tplc="ED268282">
      <w:start w:val="31"/>
      <w:numFmt w:val="bullet"/>
      <w:lvlText w:val=""/>
      <w:lvlJc w:val="left"/>
      <w:pPr>
        <w:ind w:left="1800" w:hanging="360"/>
      </w:pPr>
      <w:rPr>
        <w:rFonts w:ascii="Symbol" w:eastAsia="Times New Roman" w:hAnsi="Symbol" w:hint="default"/>
        <w:u w:val="none"/>
      </w:rPr>
    </w:lvl>
    <w:lvl w:ilvl="1" w:tplc="04090019" w:tentative="1">
      <w:start w:val="1"/>
      <w:numFmt w:val="bullet"/>
      <w:lvlText w:val="o"/>
      <w:lvlJc w:val="left"/>
      <w:pPr>
        <w:ind w:left="2520" w:hanging="360"/>
      </w:pPr>
      <w:rPr>
        <w:rFonts w:ascii="Courier New" w:hAnsi="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49">
    <w:nsid w:val="7CFD53E3"/>
    <w:multiLevelType w:val="hybridMultilevel"/>
    <w:tmpl w:val="C2E07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D307C8D"/>
    <w:multiLevelType w:val="hybridMultilevel"/>
    <w:tmpl w:val="05B433F4"/>
    <w:name w:val="zzmpPUC||PUC|3|1|0|1|2|41||1|2|37||1|2|32||1|2|33||1|2|32||1|2|32||1|2|32||1|2|32||1|2|32||44"/>
    <w:lvl w:ilvl="0" w:tplc="B93E0786">
      <w:start w:val="1"/>
      <w:numFmt w:val="lowerRoman"/>
      <w:lvlText w:val="%1."/>
      <w:lvlJc w:val="left"/>
      <w:pPr>
        <w:tabs>
          <w:tab w:val="num" w:pos="1296"/>
        </w:tabs>
        <w:ind w:left="1296" w:hanging="57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3"/>
  </w:num>
  <w:num w:numId="2">
    <w:abstractNumId w:val="3"/>
  </w:num>
  <w:num w:numId="3">
    <w:abstractNumId w:val="2"/>
  </w:num>
  <w:num w:numId="4">
    <w:abstractNumId w:val="1"/>
  </w:num>
  <w:num w:numId="5">
    <w:abstractNumId w:val="34"/>
  </w:num>
  <w:num w:numId="6">
    <w:abstractNumId w:val="17"/>
  </w:num>
  <w:num w:numId="7">
    <w:abstractNumId w:val="31"/>
  </w:num>
  <w:num w:numId="8">
    <w:abstractNumId w:val="21"/>
  </w:num>
  <w:num w:numId="9">
    <w:abstractNumId w:val="21"/>
    <w:lvlOverride w:ilvl="0">
      <w:startOverride w:val="1"/>
    </w:lvlOverride>
  </w:num>
  <w:num w:numId="10">
    <w:abstractNumId w:val="21"/>
    <w:lvlOverride w:ilvl="0">
      <w:startOverride w:val="1"/>
    </w:lvlOverride>
  </w:num>
  <w:num w:numId="11">
    <w:abstractNumId w:val="23"/>
  </w:num>
  <w:num w:numId="12">
    <w:abstractNumId w:val="45"/>
  </w:num>
  <w:num w:numId="13">
    <w:abstractNumId w:val="15"/>
  </w:num>
  <w:num w:numId="14">
    <w:abstractNumId w:val="10"/>
  </w:num>
  <w:num w:numId="15">
    <w:abstractNumId w:val="20"/>
  </w:num>
  <w:num w:numId="16">
    <w:abstractNumId w:val="24"/>
  </w:num>
  <w:num w:numId="17">
    <w:abstractNumId w:val="35"/>
  </w:num>
  <w:num w:numId="18">
    <w:abstractNumId w:val="16"/>
  </w:num>
  <w:num w:numId="19">
    <w:abstractNumId w:val="49"/>
  </w:num>
  <w:num w:numId="20">
    <w:abstractNumId w:val="12"/>
  </w:num>
  <w:num w:numId="21">
    <w:abstractNumId w:val="41"/>
  </w:num>
  <w:num w:numId="22">
    <w:abstractNumId w:val="43"/>
  </w:num>
  <w:num w:numId="23">
    <w:abstractNumId w:val="25"/>
  </w:num>
  <w:num w:numId="24">
    <w:abstractNumId w:val="14"/>
  </w:num>
  <w:num w:numId="25">
    <w:abstractNumId w:val="18"/>
  </w:num>
  <w:num w:numId="26">
    <w:abstractNumId w:val="18"/>
  </w:num>
  <w:num w:numId="27">
    <w:abstractNumId w:val="18"/>
  </w:num>
  <w:num w:numId="28">
    <w:abstractNumId w:val="8"/>
  </w:num>
  <w:num w:numId="29">
    <w:abstractNumId w:val="7"/>
  </w:num>
  <w:num w:numId="30">
    <w:abstractNumId w:val="6"/>
  </w:num>
  <w:num w:numId="31">
    <w:abstractNumId w:val="5"/>
  </w:num>
  <w:num w:numId="32">
    <w:abstractNumId w:val="4"/>
  </w:num>
  <w:num w:numId="33">
    <w:abstractNumId w:val="0"/>
  </w:num>
  <w:num w:numId="34">
    <w:abstractNumId w:val="14"/>
  </w:num>
  <w:num w:numId="35">
    <w:abstractNumId w:val="41"/>
  </w:num>
  <w:num w:numId="36">
    <w:abstractNumId w:val="41"/>
  </w:num>
  <w:num w:numId="37">
    <w:abstractNumId w:val="41"/>
  </w:num>
  <w:num w:numId="38">
    <w:abstractNumId w:val="41"/>
  </w:num>
  <w:num w:numId="39">
    <w:abstractNumId w:val="41"/>
  </w:num>
  <w:num w:numId="40">
    <w:abstractNumId w:val="41"/>
  </w:num>
  <w:num w:numId="41">
    <w:abstractNumId w:val="41"/>
  </w:num>
  <w:num w:numId="42">
    <w:abstractNumId w:val="41"/>
  </w:num>
  <w:num w:numId="43">
    <w:abstractNumId w:val="41"/>
  </w:num>
  <w:num w:numId="44">
    <w:abstractNumId w:val="41"/>
  </w:num>
  <w:num w:numId="45">
    <w:abstractNumId w:val="41"/>
  </w:num>
  <w:num w:numId="46">
    <w:abstractNumId w:val="41"/>
  </w:num>
  <w:num w:numId="47">
    <w:abstractNumId w:val="41"/>
  </w:num>
  <w:num w:numId="48">
    <w:abstractNumId w:val="41"/>
  </w:num>
  <w:num w:numId="49">
    <w:abstractNumId w:val="41"/>
  </w:num>
  <w:num w:numId="50">
    <w:abstractNumId w:val="4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removePersonalInformatio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8193" fillcolor="white" strokecolor="white">
      <v:fill color="white"/>
      <v:stroke color="white" weight=".5pt"/>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FFD"/>
    <w:rsid w:val="00000A7D"/>
    <w:rsid w:val="00000AD1"/>
    <w:rsid w:val="00000C5B"/>
    <w:rsid w:val="00000DEF"/>
    <w:rsid w:val="00000E8B"/>
    <w:rsid w:val="00001023"/>
    <w:rsid w:val="000012CF"/>
    <w:rsid w:val="0000156C"/>
    <w:rsid w:val="00001AD9"/>
    <w:rsid w:val="00001BB3"/>
    <w:rsid w:val="00001CB4"/>
    <w:rsid w:val="00001D00"/>
    <w:rsid w:val="00001D61"/>
    <w:rsid w:val="0000228F"/>
    <w:rsid w:val="00002372"/>
    <w:rsid w:val="000024BF"/>
    <w:rsid w:val="00002991"/>
    <w:rsid w:val="00002F19"/>
    <w:rsid w:val="00003567"/>
    <w:rsid w:val="00003D3E"/>
    <w:rsid w:val="00003D9B"/>
    <w:rsid w:val="000041AF"/>
    <w:rsid w:val="00004326"/>
    <w:rsid w:val="0000439C"/>
    <w:rsid w:val="000045B3"/>
    <w:rsid w:val="00004B61"/>
    <w:rsid w:val="00005089"/>
    <w:rsid w:val="00005389"/>
    <w:rsid w:val="00005503"/>
    <w:rsid w:val="000056A3"/>
    <w:rsid w:val="0000571E"/>
    <w:rsid w:val="0000578D"/>
    <w:rsid w:val="00005A95"/>
    <w:rsid w:val="00005CAB"/>
    <w:rsid w:val="00005D36"/>
    <w:rsid w:val="0000611A"/>
    <w:rsid w:val="00006172"/>
    <w:rsid w:val="0000630F"/>
    <w:rsid w:val="00006395"/>
    <w:rsid w:val="0000678A"/>
    <w:rsid w:val="00006853"/>
    <w:rsid w:val="00006971"/>
    <w:rsid w:val="00006AF8"/>
    <w:rsid w:val="00006E30"/>
    <w:rsid w:val="00006E8C"/>
    <w:rsid w:val="00006EE9"/>
    <w:rsid w:val="0000710D"/>
    <w:rsid w:val="00007362"/>
    <w:rsid w:val="000075E2"/>
    <w:rsid w:val="00007762"/>
    <w:rsid w:val="00007871"/>
    <w:rsid w:val="00007B1D"/>
    <w:rsid w:val="00010080"/>
    <w:rsid w:val="00010255"/>
    <w:rsid w:val="000102C3"/>
    <w:rsid w:val="0001033C"/>
    <w:rsid w:val="00011070"/>
    <w:rsid w:val="00011455"/>
    <w:rsid w:val="00011684"/>
    <w:rsid w:val="000116DC"/>
    <w:rsid w:val="000117DF"/>
    <w:rsid w:val="000117FE"/>
    <w:rsid w:val="0001194A"/>
    <w:rsid w:val="00011ED8"/>
    <w:rsid w:val="00011FF7"/>
    <w:rsid w:val="00012590"/>
    <w:rsid w:val="000126FF"/>
    <w:rsid w:val="00012A2E"/>
    <w:rsid w:val="00012EBD"/>
    <w:rsid w:val="00012EC7"/>
    <w:rsid w:val="000130EE"/>
    <w:rsid w:val="000131F8"/>
    <w:rsid w:val="0001322C"/>
    <w:rsid w:val="000135C5"/>
    <w:rsid w:val="000140D5"/>
    <w:rsid w:val="0001490B"/>
    <w:rsid w:val="000149D1"/>
    <w:rsid w:val="00014AF9"/>
    <w:rsid w:val="0001505E"/>
    <w:rsid w:val="00015087"/>
    <w:rsid w:val="00015204"/>
    <w:rsid w:val="00015AD2"/>
    <w:rsid w:val="000160B2"/>
    <w:rsid w:val="000160F9"/>
    <w:rsid w:val="000166AB"/>
    <w:rsid w:val="00016E52"/>
    <w:rsid w:val="00016F5A"/>
    <w:rsid w:val="000170CC"/>
    <w:rsid w:val="00017176"/>
    <w:rsid w:val="0001719C"/>
    <w:rsid w:val="00017234"/>
    <w:rsid w:val="000172DE"/>
    <w:rsid w:val="000173FD"/>
    <w:rsid w:val="0001747A"/>
    <w:rsid w:val="000174B1"/>
    <w:rsid w:val="000176FA"/>
    <w:rsid w:val="0001783F"/>
    <w:rsid w:val="00017BD5"/>
    <w:rsid w:val="00017E73"/>
    <w:rsid w:val="00017FE9"/>
    <w:rsid w:val="00020452"/>
    <w:rsid w:val="00020599"/>
    <w:rsid w:val="0002068F"/>
    <w:rsid w:val="00020843"/>
    <w:rsid w:val="00020893"/>
    <w:rsid w:val="00021144"/>
    <w:rsid w:val="000212F2"/>
    <w:rsid w:val="00021810"/>
    <w:rsid w:val="00021888"/>
    <w:rsid w:val="000219AA"/>
    <w:rsid w:val="000227BF"/>
    <w:rsid w:val="00022B91"/>
    <w:rsid w:val="00022D3C"/>
    <w:rsid w:val="00022EC0"/>
    <w:rsid w:val="00022FFE"/>
    <w:rsid w:val="00023054"/>
    <w:rsid w:val="0002320F"/>
    <w:rsid w:val="00023284"/>
    <w:rsid w:val="000233D5"/>
    <w:rsid w:val="00023842"/>
    <w:rsid w:val="00023CDC"/>
    <w:rsid w:val="00023E47"/>
    <w:rsid w:val="0002445F"/>
    <w:rsid w:val="00024649"/>
    <w:rsid w:val="000248F7"/>
    <w:rsid w:val="00024A02"/>
    <w:rsid w:val="00024AFA"/>
    <w:rsid w:val="00024B95"/>
    <w:rsid w:val="00024CD8"/>
    <w:rsid w:val="00024D45"/>
    <w:rsid w:val="00024E3E"/>
    <w:rsid w:val="00024E89"/>
    <w:rsid w:val="000250CD"/>
    <w:rsid w:val="00025352"/>
    <w:rsid w:val="0002558F"/>
    <w:rsid w:val="000255F5"/>
    <w:rsid w:val="00025612"/>
    <w:rsid w:val="000256F5"/>
    <w:rsid w:val="000257CD"/>
    <w:rsid w:val="00025861"/>
    <w:rsid w:val="0002587A"/>
    <w:rsid w:val="00025926"/>
    <w:rsid w:val="00025AF6"/>
    <w:rsid w:val="00025DB9"/>
    <w:rsid w:val="00025E45"/>
    <w:rsid w:val="00025F33"/>
    <w:rsid w:val="000260D6"/>
    <w:rsid w:val="000260F3"/>
    <w:rsid w:val="000265EF"/>
    <w:rsid w:val="00026883"/>
    <w:rsid w:val="000268C2"/>
    <w:rsid w:val="000269D2"/>
    <w:rsid w:val="00026CB7"/>
    <w:rsid w:val="000270C5"/>
    <w:rsid w:val="00027739"/>
    <w:rsid w:val="000278A5"/>
    <w:rsid w:val="00027D90"/>
    <w:rsid w:val="00027F6B"/>
    <w:rsid w:val="00030E24"/>
    <w:rsid w:val="000310FF"/>
    <w:rsid w:val="00031815"/>
    <w:rsid w:val="00031CFB"/>
    <w:rsid w:val="00031D2A"/>
    <w:rsid w:val="00031F65"/>
    <w:rsid w:val="000321CD"/>
    <w:rsid w:val="000321CF"/>
    <w:rsid w:val="00032309"/>
    <w:rsid w:val="00032472"/>
    <w:rsid w:val="0003272E"/>
    <w:rsid w:val="000327C3"/>
    <w:rsid w:val="00032B47"/>
    <w:rsid w:val="00032B89"/>
    <w:rsid w:val="00032C5A"/>
    <w:rsid w:val="00032DEF"/>
    <w:rsid w:val="00032EA8"/>
    <w:rsid w:val="00032F03"/>
    <w:rsid w:val="00033914"/>
    <w:rsid w:val="00033A7C"/>
    <w:rsid w:val="00033B91"/>
    <w:rsid w:val="00033E5E"/>
    <w:rsid w:val="00033EBA"/>
    <w:rsid w:val="00033ECD"/>
    <w:rsid w:val="00034355"/>
    <w:rsid w:val="000343DA"/>
    <w:rsid w:val="000347C9"/>
    <w:rsid w:val="00034F4E"/>
    <w:rsid w:val="00035304"/>
    <w:rsid w:val="0003560D"/>
    <w:rsid w:val="000358D4"/>
    <w:rsid w:val="00035997"/>
    <w:rsid w:val="00035A07"/>
    <w:rsid w:val="00036742"/>
    <w:rsid w:val="00036751"/>
    <w:rsid w:val="000368E8"/>
    <w:rsid w:val="00036A45"/>
    <w:rsid w:val="00036BD5"/>
    <w:rsid w:val="00036E2E"/>
    <w:rsid w:val="000379A2"/>
    <w:rsid w:val="00037D22"/>
    <w:rsid w:val="00037E28"/>
    <w:rsid w:val="00040084"/>
    <w:rsid w:val="0004028A"/>
    <w:rsid w:val="000404A2"/>
    <w:rsid w:val="00040C86"/>
    <w:rsid w:val="00040D49"/>
    <w:rsid w:val="00040FAB"/>
    <w:rsid w:val="0004119D"/>
    <w:rsid w:val="000413B2"/>
    <w:rsid w:val="00041929"/>
    <w:rsid w:val="00041C27"/>
    <w:rsid w:val="00041D1D"/>
    <w:rsid w:val="00041D6E"/>
    <w:rsid w:val="0004213A"/>
    <w:rsid w:val="000422DD"/>
    <w:rsid w:val="00042801"/>
    <w:rsid w:val="00042983"/>
    <w:rsid w:val="00042BC1"/>
    <w:rsid w:val="00042C7A"/>
    <w:rsid w:val="00042D1C"/>
    <w:rsid w:val="00042D8A"/>
    <w:rsid w:val="00043080"/>
    <w:rsid w:val="00043DCD"/>
    <w:rsid w:val="00044259"/>
    <w:rsid w:val="0004440E"/>
    <w:rsid w:val="0004464D"/>
    <w:rsid w:val="00044676"/>
    <w:rsid w:val="00044B10"/>
    <w:rsid w:val="00044D94"/>
    <w:rsid w:val="00044DE4"/>
    <w:rsid w:val="00044E85"/>
    <w:rsid w:val="00044EDB"/>
    <w:rsid w:val="0004502D"/>
    <w:rsid w:val="000456A0"/>
    <w:rsid w:val="00045A82"/>
    <w:rsid w:val="00045AA7"/>
    <w:rsid w:val="00045E4F"/>
    <w:rsid w:val="00046174"/>
    <w:rsid w:val="00046375"/>
    <w:rsid w:val="000463DE"/>
    <w:rsid w:val="000464AB"/>
    <w:rsid w:val="00046732"/>
    <w:rsid w:val="000467B0"/>
    <w:rsid w:val="0004686F"/>
    <w:rsid w:val="0004716B"/>
    <w:rsid w:val="00047279"/>
    <w:rsid w:val="0004733F"/>
    <w:rsid w:val="00047342"/>
    <w:rsid w:val="0004773D"/>
    <w:rsid w:val="0004791C"/>
    <w:rsid w:val="000479BD"/>
    <w:rsid w:val="00047A43"/>
    <w:rsid w:val="00047BBD"/>
    <w:rsid w:val="00050067"/>
    <w:rsid w:val="0005012B"/>
    <w:rsid w:val="00050183"/>
    <w:rsid w:val="000503D8"/>
    <w:rsid w:val="000505AE"/>
    <w:rsid w:val="000507D8"/>
    <w:rsid w:val="00050862"/>
    <w:rsid w:val="000509A6"/>
    <w:rsid w:val="00050A31"/>
    <w:rsid w:val="00050AD7"/>
    <w:rsid w:val="00050BA7"/>
    <w:rsid w:val="00050BEA"/>
    <w:rsid w:val="00050DF7"/>
    <w:rsid w:val="00051135"/>
    <w:rsid w:val="00051340"/>
    <w:rsid w:val="000515F1"/>
    <w:rsid w:val="0005177B"/>
    <w:rsid w:val="000519B7"/>
    <w:rsid w:val="00051ED7"/>
    <w:rsid w:val="00051F33"/>
    <w:rsid w:val="0005207A"/>
    <w:rsid w:val="000522C4"/>
    <w:rsid w:val="000525AF"/>
    <w:rsid w:val="00052766"/>
    <w:rsid w:val="00052A61"/>
    <w:rsid w:val="00052ABC"/>
    <w:rsid w:val="00052C6E"/>
    <w:rsid w:val="00052CD3"/>
    <w:rsid w:val="00052D5F"/>
    <w:rsid w:val="00052F63"/>
    <w:rsid w:val="000532AF"/>
    <w:rsid w:val="00053375"/>
    <w:rsid w:val="00053426"/>
    <w:rsid w:val="000539C8"/>
    <w:rsid w:val="00053BF8"/>
    <w:rsid w:val="00053D53"/>
    <w:rsid w:val="00053F59"/>
    <w:rsid w:val="0005412B"/>
    <w:rsid w:val="0005416E"/>
    <w:rsid w:val="0005417A"/>
    <w:rsid w:val="0005420D"/>
    <w:rsid w:val="00054476"/>
    <w:rsid w:val="000544AA"/>
    <w:rsid w:val="000544CB"/>
    <w:rsid w:val="00054658"/>
    <w:rsid w:val="0005497B"/>
    <w:rsid w:val="00054C0B"/>
    <w:rsid w:val="0005539B"/>
    <w:rsid w:val="00055850"/>
    <w:rsid w:val="00055946"/>
    <w:rsid w:val="000560B1"/>
    <w:rsid w:val="0005654F"/>
    <w:rsid w:val="000566DB"/>
    <w:rsid w:val="0005676D"/>
    <w:rsid w:val="000567C1"/>
    <w:rsid w:val="00056BC9"/>
    <w:rsid w:val="00056D51"/>
    <w:rsid w:val="00056E15"/>
    <w:rsid w:val="00057636"/>
    <w:rsid w:val="000576A3"/>
    <w:rsid w:val="000577A3"/>
    <w:rsid w:val="000577BB"/>
    <w:rsid w:val="00057A1F"/>
    <w:rsid w:val="00060002"/>
    <w:rsid w:val="000600BA"/>
    <w:rsid w:val="00060105"/>
    <w:rsid w:val="0006039F"/>
    <w:rsid w:val="000605FD"/>
    <w:rsid w:val="00060C8E"/>
    <w:rsid w:val="00060D7E"/>
    <w:rsid w:val="00060E4D"/>
    <w:rsid w:val="00060E87"/>
    <w:rsid w:val="000610A3"/>
    <w:rsid w:val="000611DE"/>
    <w:rsid w:val="0006138F"/>
    <w:rsid w:val="00061588"/>
    <w:rsid w:val="0006161E"/>
    <w:rsid w:val="00061688"/>
    <w:rsid w:val="0006175C"/>
    <w:rsid w:val="00061E9F"/>
    <w:rsid w:val="00062081"/>
    <w:rsid w:val="000626A4"/>
    <w:rsid w:val="000628C9"/>
    <w:rsid w:val="000628ED"/>
    <w:rsid w:val="000629C4"/>
    <w:rsid w:val="00062C5E"/>
    <w:rsid w:val="00062DC1"/>
    <w:rsid w:val="00062F20"/>
    <w:rsid w:val="00063199"/>
    <w:rsid w:val="00063411"/>
    <w:rsid w:val="0006360F"/>
    <w:rsid w:val="00063740"/>
    <w:rsid w:val="00063930"/>
    <w:rsid w:val="00063992"/>
    <w:rsid w:val="00063995"/>
    <w:rsid w:val="00063E1C"/>
    <w:rsid w:val="00063FEE"/>
    <w:rsid w:val="0006403E"/>
    <w:rsid w:val="0006438F"/>
    <w:rsid w:val="000647D9"/>
    <w:rsid w:val="00064C6D"/>
    <w:rsid w:val="00064ECC"/>
    <w:rsid w:val="00064F83"/>
    <w:rsid w:val="00065924"/>
    <w:rsid w:val="00065B3E"/>
    <w:rsid w:val="00065CD8"/>
    <w:rsid w:val="00065ED2"/>
    <w:rsid w:val="00066060"/>
    <w:rsid w:val="00066185"/>
    <w:rsid w:val="000662F9"/>
    <w:rsid w:val="000664C4"/>
    <w:rsid w:val="00066751"/>
    <w:rsid w:val="00066A75"/>
    <w:rsid w:val="0006748E"/>
    <w:rsid w:val="00067534"/>
    <w:rsid w:val="0006777A"/>
    <w:rsid w:val="0006795F"/>
    <w:rsid w:val="00067C04"/>
    <w:rsid w:val="00070148"/>
    <w:rsid w:val="0007022B"/>
    <w:rsid w:val="0007026D"/>
    <w:rsid w:val="000702F4"/>
    <w:rsid w:val="00070CFB"/>
    <w:rsid w:val="00070D5B"/>
    <w:rsid w:val="000711A6"/>
    <w:rsid w:val="0007143B"/>
    <w:rsid w:val="00071550"/>
    <w:rsid w:val="00071945"/>
    <w:rsid w:val="0007206E"/>
    <w:rsid w:val="00072545"/>
    <w:rsid w:val="00072633"/>
    <w:rsid w:val="00072658"/>
    <w:rsid w:val="0007265C"/>
    <w:rsid w:val="00072A68"/>
    <w:rsid w:val="00072B6C"/>
    <w:rsid w:val="00072E39"/>
    <w:rsid w:val="00072E8E"/>
    <w:rsid w:val="0007302A"/>
    <w:rsid w:val="00073229"/>
    <w:rsid w:val="00073454"/>
    <w:rsid w:val="000734B4"/>
    <w:rsid w:val="00073547"/>
    <w:rsid w:val="00073652"/>
    <w:rsid w:val="000736D7"/>
    <w:rsid w:val="000739CB"/>
    <w:rsid w:val="00073F94"/>
    <w:rsid w:val="00074199"/>
    <w:rsid w:val="00074271"/>
    <w:rsid w:val="00074790"/>
    <w:rsid w:val="000747E2"/>
    <w:rsid w:val="000749F2"/>
    <w:rsid w:val="00074AF4"/>
    <w:rsid w:val="00074B56"/>
    <w:rsid w:val="000750FB"/>
    <w:rsid w:val="00075771"/>
    <w:rsid w:val="000759F4"/>
    <w:rsid w:val="00075CB6"/>
    <w:rsid w:val="00075D8D"/>
    <w:rsid w:val="00075D9B"/>
    <w:rsid w:val="00075E2C"/>
    <w:rsid w:val="00075EC6"/>
    <w:rsid w:val="00076165"/>
    <w:rsid w:val="0007650B"/>
    <w:rsid w:val="00076841"/>
    <w:rsid w:val="00076913"/>
    <w:rsid w:val="00076B4A"/>
    <w:rsid w:val="00076BAD"/>
    <w:rsid w:val="00076DEE"/>
    <w:rsid w:val="00076F4A"/>
    <w:rsid w:val="000774C2"/>
    <w:rsid w:val="0007770C"/>
    <w:rsid w:val="0007778A"/>
    <w:rsid w:val="00077A52"/>
    <w:rsid w:val="00077BAC"/>
    <w:rsid w:val="00077E1E"/>
    <w:rsid w:val="00077F0F"/>
    <w:rsid w:val="0008045D"/>
    <w:rsid w:val="00080983"/>
    <w:rsid w:val="00080DF2"/>
    <w:rsid w:val="000813C7"/>
    <w:rsid w:val="00081A81"/>
    <w:rsid w:val="00081D35"/>
    <w:rsid w:val="0008206A"/>
    <w:rsid w:val="00082114"/>
    <w:rsid w:val="00082404"/>
    <w:rsid w:val="00082A5F"/>
    <w:rsid w:val="00082E84"/>
    <w:rsid w:val="00083090"/>
    <w:rsid w:val="0008314A"/>
    <w:rsid w:val="00083699"/>
    <w:rsid w:val="00083AD8"/>
    <w:rsid w:val="00083D04"/>
    <w:rsid w:val="00083F5A"/>
    <w:rsid w:val="0008445B"/>
    <w:rsid w:val="00084566"/>
    <w:rsid w:val="0008466D"/>
    <w:rsid w:val="00084A3D"/>
    <w:rsid w:val="00084A65"/>
    <w:rsid w:val="00084B3C"/>
    <w:rsid w:val="00084C23"/>
    <w:rsid w:val="00085286"/>
    <w:rsid w:val="0008545B"/>
    <w:rsid w:val="000855A7"/>
    <w:rsid w:val="000859D8"/>
    <w:rsid w:val="00085D39"/>
    <w:rsid w:val="000861B4"/>
    <w:rsid w:val="00086EB2"/>
    <w:rsid w:val="000870BB"/>
    <w:rsid w:val="000870BF"/>
    <w:rsid w:val="000871DA"/>
    <w:rsid w:val="00087329"/>
    <w:rsid w:val="000877A1"/>
    <w:rsid w:val="00087A8A"/>
    <w:rsid w:val="00087D5B"/>
    <w:rsid w:val="00087ECA"/>
    <w:rsid w:val="00087EEF"/>
    <w:rsid w:val="0009014C"/>
    <w:rsid w:val="000906D0"/>
    <w:rsid w:val="000909AB"/>
    <w:rsid w:val="00090ACD"/>
    <w:rsid w:val="00090CB9"/>
    <w:rsid w:val="00091232"/>
    <w:rsid w:val="000915A7"/>
    <w:rsid w:val="0009166A"/>
    <w:rsid w:val="00091727"/>
    <w:rsid w:val="0009187B"/>
    <w:rsid w:val="00091AAE"/>
    <w:rsid w:val="00091CBA"/>
    <w:rsid w:val="00092815"/>
    <w:rsid w:val="000929B3"/>
    <w:rsid w:val="00092BA3"/>
    <w:rsid w:val="00092E6D"/>
    <w:rsid w:val="000931F4"/>
    <w:rsid w:val="00093277"/>
    <w:rsid w:val="00093452"/>
    <w:rsid w:val="00093574"/>
    <w:rsid w:val="000936CA"/>
    <w:rsid w:val="000937AD"/>
    <w:rsid w:val="000939E6"/>
    <w:rsid w:val="00093FC8"/>
    <w:rsid w:val="000940F3"/>
    <w:rsid w:val="00094215"/>
    <w:rsid w:val="0009475D"/>
    <w:rsid w:val="00094A71"/>
    <w:rsid w:val="00094AF6"/>
    <w:rsid w:val="00094C0F"/>
    <w:rsid w:val="000956C4"/>
    <w:rsid w:val="00095894"/>
    <w:rsid w:val="00095DC0"/>
    <w:rsid w:val="00095E21"/>
    <w:rsid w:val="00095FF3"/>
    <w:rsid w:val="000961B0"/>
    <w:rsid w:val="00096299"/>
    <w:rsid w:val="000963A9"/>
    <w:rsid w:val="000963E3"/>
    <w:rsid w:val="000964A2"/>
    <w:rsid w:val="000965C5"/>
    <w:rsid w:val="000969DA"/>
    <w:rsid w:val="00096A5A"/>
    <w:rsid w:val="00096B08"/>
    <w:rsid w:val="00096F0B"/>
    <w:rsid w:val="00096F6C"/>
    <w:rsid w:val="00097868"/>
    <w:rsid w:val="00097F91"/>
    <w:rsid w:val="000A010E"/>
    <w:rsid w:val="000A022A"/>
    <w:rsid w:val="000A02CC"/>
    <w:rsid w:val="000A0357"/>
    <w:rsid w:val="000A0551"/>
    <w:rsid w:val="000A0695"/>
    <w:rsid w:val="000A088D"/>
    <w:rsid w:val="000A0A17"/>
    <w:rsid w:val="000A0BEC"/>
    <w:rsid w:val="000A0D91"/>
    <w:rsid w:val="000A116C"/>
    <w:rsid w:val="000A1317"/>
    <w:rsid w:val="000A14A7"/>
    <w:rsid w:val="000A15B2"/>
    <w:rsid w:val="000A18E8"/>
    <w:rsid w:val="000A1944"/>
    <w:rsid w:val="000A1AAD"/>
    <w:rsid w:val="000A1EB5"/>
    <w:rsid w:val="000A1F07"/>
    <w:rsid w:val="000A2159"/>
    <w:rsid w:val="000A2276"/>
    <w:rsid w:val="000A2583"/>
    <w:rsid w:val="000A25B6"/>
    <w:rsid w:val="000A2657"/>
    <w:rsid w:val="000A2767"/>
    <w:rsid w:val="000A2770"/>
    <w:rsid w:val="000A2AC7"/>
    <w:rsid w:val="000A3134"/>
    <w:rsid w:val="000A3277"/>
    <w:rsid w:val="000A32EC"/>
    <w:rsid w:val="000A36F5"/>
    <w:rsid w:val="000A38C3"/>
    <w:rsid w:val="000A3BA2"/>
    <w:rsid w:val="000A3CB1"/>
    <w:rsid w:val="000A3D99"/>
    <w:rsid w:val="000A3E97"/>
    <w:rsid w:val="000A415D"/>
    <w:rsid w:val="000A4519"/>
    <w:rsid w:val="000A4863"/>
    <w:rsid w:val="000A515E"/>
    <w:rsid w:val="000A5A45"/>
    <w:rsid w:val="000A695A"/>
    <w:rsid w:val="000A6BCC"/>
    <w:rsid w:val="000A6C30"/>
    <w:rsid w:val="000A6CE8"/>
    <w:rsid w:val="000A6E79"/>
    <w:rsid w:val="000A7130"/>
    <w:rsid w:val="000A71C7"/>
    <w:rsid w:val="000A787B"/>
    <w:rsid w:val="000A7BF5"/>
    <w:rsid w:val="000A7D05"/>
    <w:rsid w:val="000A7D9C"/>
    <w:rsid w:val="000A7E5C"/>
    <w:rsid w:val="000B042E"/>
    <w:rsid w:val="000B045D"/>
    <w:rsid w:val="000B0853"/>
    <w:rsid w:val="000B0AA5"/>
    <w:rsid w:val="000B0B84"/>
    <w:rsid w:val="000B0EAC"/>
    <w:rsid w:val="000B126D"/>
    <w:rsid w:val="000B15F4"/>
    <w:rsid w:val="000B1AD9"/>
    <w:rsid w:val="000B1B7F"/>
    <w:rsid w:val="000B201A"/>
    <w:rsid w:val="000B25AB"/>
    <w:rsid w:val="000B27E4"/>
    <w:rsid w:val="000B2C35"/>
    <w:rsid w:val="000B2DDB"/>
    <w:rsid w:val="000B2FA5"/>
    <w:rsid w:val="000B3372"/>
    <w:rsid w:val="000B3D7A"/>
    <w:rsid w:val="000B4019"/>
    <w:rsid w:val="000B4278"/>
    <w:rsid w:val="000B4465"/>
    <w:rsid w:val="000B45A5"/>
    <w:rsid w:val="000B4667"/>
    <w:rsid w:val="000B4711"/>
    <w:rsid w:val="000B4CAC"/>
    <w:rsid w:val="000B5EC9"/>
    <w:rsid w:val="000B60EC"/>
    <w:rsid w:val="000B6176"/>
    <w:rsid w:val="000B666A"/>
    <w:rsid w:val="000B6A67"/>
    <w:rsid w:val="000B6A8E"/>
    <w:rsid w:val="000B6AFC"/>
    <w:rsid w:val="000B6B4F"/>
    <w:rsid w:val="000B6D64"/>
    <w:rsid w:val="000B6DD6"/>
    <w:rsid w:val="000B6F29"/>
    <w:rsid w:val="000B7037"/>
    <w:rsid w:val="000B70C4"/>
    <w:rsid w:val="000B70D6"/>
    <w:rsid w:val="000B74B4"/>
    <w:rsid w:val="000B7987"/>
    <w:rsid w:val="000B7BF1"/>
    <w:rsid w:val="000B7CDD"/>
    <w:rsid w:val="000B7CE0"/>
    <w:rsid w:val="000B7E0C"/>
    <w:rsid w:val="000C0128"/>
    <w:rsid w:val="000C0180"/>
    <w:rsid w:val="000C01B4"/>
    <w:rsid w:val="000C020D"/>
    <w:rsid w:val="000C06B8"/>
    <w:rsid w:val="000C0764"/>
    <w:rsid w:val="000C0949"/>
    <w:rsid w:val="000C1118"/>
    <w:rsid w:val="000C12EE"/>
    <w:rsid w:val="000C1576"/>
    <w:rsid w:val="000C1638"/>
    <w:rsid w:val="000C17BD"/>
    <w:rsid w:val="000C239B"/>
    <w:rsid w:val="000C240F"/>
    <w:rsid w:val="000C24AB"/>
    <w:rsid w:val="000C2538"/>
    <w:rsid w:val="000C25F8"/>
    <w:rsid w:val="000C2663"/>
    <w:rsid w:val="000C2710"/>
    <w:rsid w:val="000C298C"/>
    <w:rsid w:val="000C2D58"/>
    <w:rsid w:val="000C2E38"/>
    <w:rsid w:val="000C2EB6"/>
    <w:rsid w:val="000C34E6"/>
    <w:rsid w:val="000C35D2"/>
    <w:rsid w:val="000C3BBD"/>
    <w:rsid w:val="000C3C8B"/>
    <w:rsid w:val="000C3EBE"/>
    <w:rsid w:val="000C411D"/>
    <w:rsid w:val="000C41D6"/>
    <w:rsid w:val="000C42E0"/>
    <w:rsid w:val="000C438C"/>
    <w:rsid w:val="000C4953"/>
    <w:rsid w:val="000C4ACF"/>
    <w:rsid w:val="000C4CA5"/>
    <w:rsid w:val="000C4D85"/>
    <w:rsid w:val="000C4D9C"/>
    <w:rsid w:val="000C4FA5"/>
    <w:rsid w:val="000C523E"/>
    <w:rsid w:val="000C528A"/>
    <w:rsid w:val="000C5410"/>
    <w:rsid w:val="000C5781"/>
    <w:rsid w:val="000C5783"/>
    <w:rsid w:val="000C583C"/>
    <w:rsid w:val="000C5F3E"/>
    <w:rsid w:val="000C5F88"/>
    <w:rsid w:val="000C651D"/>
    <w:rsid w:val="000C6935"/>
    <w:rsid w:val="000C6E19"/>
    <w:rsid w:val="000C7034"/>
    <w:rsid w:val="000C71F5"/>
    <w:rsid w:val="000C76B4"/>
    <w:rsid w:val="000C7B94"/>
    <w:rsid w:val="000D0392"/>
    <w:rsid w:val="000D05C1"/>
    <w:rsid w:val="000D05C5"/>
    <w:rsid w:val="000D08A4"/>
    <w:rsid w:val="000D0CF1"/>
    <w:rsid w:val="000D0E6F"/>
    <w:rsid w:val="000D124C"/>
    <w:rsid w:val="000D12DC"/>
    <w:rsid w:val="000D1570"/>
    <w:rsid w:val="000D1B23"/>
    <w:rsid w:val="000D1B58"/>
    <w:rsid w:val="000D1B83"/>
    <w:rsid w:val="000D1CD4"/>
    <w:rsid w:val="000D1CDD"/>
    <w:rsid w:val="000D1CF0"/>
    <w:rsid w:val="000D25A9"/>
    <w:rsid w:val="000D2BFC"/>
    <w:rsid w:val="000D3161"/>
    <w:rsid w:val="000D320C"/>
    <w:rsid w:val="000D3503"/>
    <w:rsid w:val="000D3B27"/>
    <w:rsid w:val="000D3F50"/>
    <w:rsid w:val="000D4036"/>
    <w:rsid w:val="000D42BF"/>
    <w:rsid w:val="000D4352"/>
    <w:rsid w:val="000D4432"/>
    <w:rsid w:val="000D4646"/>
    <w:rsid w:val="000D4967"/>
    <w:rsid w:val="000D4A97"/>
    <w:rsid w:val="000D4B30"/>
    <w:rsid w:val="000D53B3"/>
    <w:rsid w:val="000D5946"/>
    <w:rsid w:val="000D5C13"/>
    <w:rsid w:val="000D5C6E"/>
    <w:rsid w:val="000D5DFB"/>
    <w:rsid w:val="000D639F"/>
    <w:rsid w:val="000D6743"/>
    <w:rsid w:val="000D6C95"/>
    <w:rsid w:val="000D6E55"/>
    <w:rsid w:val="000D700D"/>
    <w:rsid w:val="000D7855"/>
    <w:rsid w:val="000D7874"/>
    <w:rsid w:val="000D7A7D"/>
    <w:rsid w:val="000D7C11"/>
    <w:rsid w:val="000E00D3"/>
    <w:rsid w:val="000E0491"/>
    <w:rsid w:val="000E08E1"/>
    <w:rsid w:val="000E0B5F"/>
    <w:rsid w:val="000E0C2A"/>
    <w:rsid w:val="000E0D4E"/>
    <w:rsid w:val="000E15FB"/>
    <w:rsid w:val="000E1729"/>
    <w:rsid w:val="000E1800"/>
    <w:rsid w:val="000E21B2"/>
    <w:rsid w:val="000E27B8"/>
    <w:rsid w:val="000E281A"/>
    <w:rsid w:val="000E294A"/>
    <w:rsid w:val="000E2F2C"/>
    <w:rsid w:val="000E2F90"/>
    <w:rsid w:val="000E327C"/>
    <w:rsid w:val="000E37EE"/>
    <w:rsid w:val="000E386E"/>
    <w:rsid w:val="000E397E"/>
    <w:rsid w:val="000E3E59"/>
    <w:rsid w:val="000E3FBF"/>
    <w:rsid w:val="000E3FFF"/>
    <w:rsid w:val="000E4529"/>
    <w:rsid w:val="000E46B7"/>
    <w:rsid w:val="000E48C4"/>
    <w:rsid w:val="000E4BB4"/>
    <w:rsid w:val="000E4D00"/>
    <w:rsid w:val="000E4F64"/>
    <w:rsid w:val="000E5087"/>
    <w:rsid w:val="000E5149"/>
    <w:rsid w:val="000E52A9"/>
    <w:rsid w:val="000E56BB"/>
    <w:rsid w:val="000E5BC6"/>
    <w:rsid w:val="000E60B4"/>
    <w:rsid w:val="000E6359"/>
    <w:rsid w:val="000E65BD"/>
    <w:rsid w:val="000E6601"/>
    <w:rsid w:val="000E663C"/>
    <w:rsid w:val="000E68CA"/>
    <w:rsid w:val="000E6B45"/>
    <w:rsid w:val="000E6BE1"/>
    <w:rsid w:val="000E6CB5"/>
    <w:rsid w:val="000E70DF"/>
    <w:rsid w:val="000E7407"/>
    <w:rsid w:val="000E7549"/>
    <w:rsid w:val="000E75DA"/>
    <w:rsid w:val="000E75ED"/>
    <w:rsid w:val="000E75FF"/>
    <w:rsid w:val="000E76F8"/>
    <w:rsid w:val="000E7828"/>
    <w:rsid w:val="000E7A49"/>
    <w:rsid w:val="000F011A"/>
    <w:rsid w:val="000F021D"/>
    <w:rsid w:val="000F0449"/>
    <w:rsid w:val="000F0471"/>
    <w:rsid w:val="000F077C"/>
    <w:rsid w:val="000F07A2"/>
    <w:rsid w:val="000F0C2E"/>
    <w:rsid w:val="000F0D39"/>
    <w:rsid w:val="000F0E48"/>
    <w:rsid w:val="000F1105"/>
    <w:rsid w:val="000F1289"/>
    <w:rsid w:val="000F1968"/>
    <w:rsid w:val="000F198C"/>
    <w:rsid w:val="000F1A88"/>
    <w:rsid w:val="000F1AB3"/>
    <w:rsid w:val="000F1B28"/>
    <w:rsid w:val="000F1DDD"/>
    <w:rsid w:val="000F1F7D"/>
    <w:rsid w:val="000F1F99"/>
    <w:rsid w:val="000F2017"/>
    <w:rsid w:val="000F24A7"/>
    <w:rsid w:val="000F24C6"/>
    <w:rsid w:val="000F2539"/>
    <w:rsid w:val="000F2743"/>
    <w:rsid w:val="000F274E"/>
    <w:rsid w:val="000F2B4D"/>
    <w:rsid w:val="000F2ECB"/>
    <w:rsid w:val="000F2EF2"/>
    <w:rsid w:val="000F3157"/>
    <w:rsid w:val="000F33B6"/>
    <w:rsid w:val="000F3425"/>
    <w:rsid w:val="000F39DD"/>
    <w:rsid w:val="000F3A39"/>
    <w:rsid w:val="000F3A3C"/>
    <w:rsid w:val="000F3CB8"/>
    <w:rsid w:val="000F448D"/>
    <w:rsid w:val="000F471B"/>
    <w:rsid w:val="000F4C27"/>
    <w:rsid w:val="000F4DEB"/>
    <w:rsid w:val="000F4F3B"/>
    <w:rsid w:val="000F4F88"/>
    <w:rsid w:val="000F51B4"/>
    <w:rsid w:val="000F5306"/>
    <w:rsid w:val="000F553D"/>
    <w:rsid w:val="000F5691"/>
    <w:rsid w:val="000F63AC"/>
    <w:rsid w:val="000F6E76"/>
    <w:rsid w:val="000F6F90"/>
    <w:rsid w:val="000F7000"/>
    <w:rsid w:val="000F707C"/>
    <w:rsid w:val="000F7374"/>
    <w:rsid w:val="000F74C5"/>
    <w:rsid w:val="000F7691"/>
    <w:rsid w:val="000F78B7"/>
    <w:rsid w:val="000F7BEF"/>
    <w:rsid w:val="000F7E9E"/>
    <w:rsid w:val="001000C7"/>
    <w:rsid w:val="0010082B"/>
    <w:rsid w:val="001008D9"/>
    <w:rsid w:val="00100A72"/>
    <w:rsid w:val="00100AE6"/>
    <w:rsid w:val="00101148"/>
    <w:rsid w:val="001011E5"/>
    <w:rsid w:val="00101439"/>
    <w:rsid w:val="00101A89"/>
    <w:rsid w:val="00101AF4"/>
    <w:rsid w:val="00101C3A"/>
    <w:rsid w:val="00102057"/>
    <w:rsid w:val="0010223B"/>
    <w:rsid w:val="001023D4"/>
    <w:rsid w:val="001024FA"/>
    <w:rsid w:val="001027C6"/>
    <w:rsid w:val="00102BFB"/>
    <w:rsid w:val="00102EED"/>
    <w:rsid w:val="00102F92"/>
    <w:rsid w:val="0010305F"/>
    <w:rsid w:val="0010348A"/>
    <w:rsid w:val="00103829"/>
    <w:rsid w:val="00103EF3"/>
    <w:rsid w:val="00103F64"/>
    <w:rsid w:val="001044A4"/>
    <w:rsid w:val="001048E7"/>
    <w:rsid w:val="00104ABB"/>
    <w:rsid w:val="00104CDA"/>
    <w:rsid w:val="00104DF3"/>
    <w:rsid w:val="00104E63"/>
    <w:rsid w:val="00104EBD"/>
    <w:rsid w:val="00105301"/>
    <w:rsid w:val="00105449"/>
    <w:rsid w:val="00105621"/>
    <w:rsid w:val="00105715"/>
    <w:rsid w:val="00105812"/>
    <w:rsid w:val="00105A9E"/>
    <w:rsid w:val="00106159"/>
    <w:rsid w:val="00106179"/>
    <w:rsid w:val="001064E4"/>
    <w:rsid w:val="0010668E"/>
    <w:rsid w:val="001066C4"/>
    <w:rsid w:val="00106A33"/>
    <w:rsid w:val="00106CEA"/>
    <w:rsid w:val="00106E17"/>
    <w:rsid w:val="00107078"/>
    <w:rsid w:val="00107243"/>
    <w:rsid w:val="0010739F"/>
    <w:rsid w:val="00107480"/>
    <w:rsid w:val="00107D7F"/>
    <w:rsid w:val="00107E06"/>
    <w:rsid w:val="001109F2"/>
    <w:rsid w:val="00110A45"/>
    <w:rsid w:val="00110DD6"/>
    <w:rsid w:val="00110E38"/>
    <w:rsid w:val="00110F60"/>
    <w:rsid w:val="00110F84"/>
    <w:rsid w:val="0011128F"/>
    <w:rsid w:val="001115C1"/>
    <w:rsid w:val="00111925"/>
    <w:rsid w:val="00111EC1"/>
    <w:rsid w:val="00111EF2"/>
    <w:rsid w:val="00112798"/>
    <w:rsid w:val="001127A5"/>
    <w:rsid w:val="00112A1C"/>
    <w:rsid w:val="00112A7E"/>
    <w:rsid w:val="00112AC1"/>
    <w:rsid w:val="00112F3F"/>
    <w:rsid w:val="00113100"/>
    <w:rsid w:val="00113223"/>
    <w:rsid w:val="00113249"/>
    <w:rsid w:val="0011345B"/>
    <w:rsid w:val="00113641"/>
    <w:rsid w:val="001138A3"/>
    <w:rsid w:val="00113A5C"/>
    <w:rsid w:val="00113FF6"/>
    <w:rsid w:val="00113FF8"/>
    <w:rsid w:val="00114064"/>
    <w:rsid w:val="00114446"/>
    <w:rsid w:val="001146ED"/>
    <w:rsid w:val="00114704"/>
    <w:rsid w:val="00114817"/>
    <w:rsid w:val="001148A2"/>
    <w:rsid w:val="00114A62"/>
    <w:rsid w:val="00114F4C"/>
    <w:rsid w:val="001150DF"/>
    <w:rsid w:val="0011552F"/>
    <w:rsid w:val="001157F5"/>
    <w:rsid w:val="0011597E"/>
    <w:rsid w:val="00115FAD"/>
    <w:rsid w:val="001163EF"/>
    <w:rsid w:val="0011645E"/>
    <w:rsid w:val="00116A2F"/>
    <w:rsid w:val="00116B52"/>
    <w:rsid w:val="00116D63"/>
    <w:rsid w:val="00116E43"/>
    <w:rsid w:val="00116E84"/>
    <w:rsid w:val="00116EA5"/>
    <w:rsid w:val="00116FE3"/>
    <w:rsid w:val="00117075"/>
    <w:rsid w:val="0011728F"/>
    <w:rsid w:val="001177A3"/>
    <w:rsid w:val="00117B1B"/>
    <w:rsid w:val="00117CB0"/>
    <w:rsid w:val="00117EBC"/>
    <w:rsid w:val="00120272"/>
    <w:rsid w:val="00120378"/>
    <w:rsid w:val="001205AF"/>
    <w:rsid w:val="0012063C"/>
    <w:rsid w:val="001209EB"/>
    <w:rsid w:val="00120A8A"/>
    <w:rsid w:val="00120C60"/>
    <w:rsid w:val="0012103F"/>
    <w:rsid w:val="001215F0"/>
    <w:rsid w:val="001218C0"/>
    <w:rsid w:val="00122D90"/>
    <w:rsid w:val="00123375"/>
    <w:rsid w:val="00123441"/>
    <w:rsid w:val="00123460"/>
    <w:rsid w:val="00123A6C"/>
    <w:rsid w:val="00123F36"/>
    <w:rsid w:val="00124051"/>
    <w:rsid w:val="00124093"/>
    <w:rsid w:val="0012439A"/>
    <w:rsid w:val="0012454F"/>
    <w:rsid w:val="00124F48"/>
    <w:rsid w:val="0012546F"/>
    <w:rsid w:val="00125485"/>
    <w:rsid w:val="00125693"/>
    <w:rsid w:val="001257B0"/>
    <w:rsid w:val="00125CBC"/>
    <w:rsid w:val="00125DFB"/>
    <w:rsid w:val="00125F70"/>
    <w:rsid w:val="00126282"/>
    <w:rsid w:val="00126408"/>
    <w:rsid w:val="001266E0"/>
    <w:rsid w:val="001268BB"/>
    <w:rsid w:val="001268E2"/>
    <w:rsid w:val="00126900"/>
    <w:rsid w:val="00126A22"/>
    <w:rsid w:val="00126C64"/>
    <w:rsid w:val="00126F7B"/>
    <w:rsid w:val="0012782F"/>
    <w:rsid w:val="00127A4D"/>
    <w:rsid w:val="00127B2F"/>
    <w:rsid w:val="00127C76"/>
    <w:rsid w:val="0013006C"/>
    <w:rsid w:val="00130214"/>
    <w:rsid w:val="00130615"/>
    <w:rsid w:val="0013070D"/>
    <w:rsid w:val="00130CA6"/>
    <w:rsid w:val="00131337"/>
    <w:rsid w:val="001313FD"/>
    <w:rsid w:val="001314AC"/>
    <w:rsid w:val="001315A6"/>
    <w:rsid w:val="00132213"/>
    <w:rsid w:val="00132267"/>
    <w:rsid w:val="001329D0"/>
    <w:rsid w:val="00132A3B"/>
    <w:rsid w:val="00132C2A"/>
    <w:rsid w:val="00132C91"/>
    <w:rsid w:val="00132D8D"/>
    <w:rsid w:val="00132FB0"/>
    <w:rsid w:val="0013310A"/>
    <w:rsid w:val="00133827"/>
    <w:rsid w:val="001338EF"/>
    <w:rsid w:val="00133947"/>
    <w:rsid w:val="00133994"/>
    <w:rsid w:val="00134079"/>
    <w:rsid w:val="0013411D"/>
    <w:rsid w:val="00134559"/>
    <w:rsid w:val="001345B5"/>
    <w:rsid w:val="0013489E"/>
    <w:rsid w:val="00134A94"/>
    <w:rsid w:val="00134AD0"/>
    <w:rsid w:val="00134DC9"/>
    <w:rsid w:val="0013503E"/>
    <w:rsid w:val="001352EB"/>
    <w:rsid w:val="00135588"/>
    <w:rsid w:val="001367A5"/>
    <w:rsid w:val="00136ADF"/>
    <w:rsid w:val="00136F65"/>
    <w:rsid w:val="001372EF"/>
    <w:rsid w:val="00137567"/>
    <w:rsid w:val="001375D5"/>
    <w:rsid w:val="00137886"/>
    <w:rsid w:val="00137CFE"/>
    <w:rsid w:val="0014030D"/>
    <w:rsid w:val="0014055F"/>
    <w:rsid w:val="00140B12"/>
    <w:rsid w:val="00140E22"/>
    <w:rsid w:val="00141226"/>
    <w:rsid w:val="0014128D"/>
    <w:rsid w:val="00141494"/>
    <w:rsid w:val="0014161D"/>
    <w:rsid w:val="00141AF7"/>
    <w:rsid w:val="00141C08"/>
    <w:rsid w:val="00142531"/>
    <w:rsid w:val="00142B2D"/>
    <w:rsid w:val="00142E70"/>
    <w:rsid w:val="00143297"/>
    <w:rsid w:val="001432AC"/>
    <w:rsid w:val="00143725"/>
    <w:rsid w:val="001437E0"/>
    <w:rsid w:val="00143AAF"/>
    <w:rsid w:val="00143D84"/>
    <w:rsid w:val="001445FA"/>
    <w:rsid w:val="00144750"/>
    <w:rsid w:val="0014477C"/>
    <w:rsid w:val="001451BD"/>
    <w:rsid w:val="0014543A"/>
    <w:rsid w:val="001454F3"/>
    <w:rsid w:val="00145B36"/>
    <w:rsid w:val="00145C46"/>
    <w:rsid w:val="00145CC2"/>
    <w:rsid w:val="00146454"/>
    <w:rsid w:val="0014645E"/>
    <w:rsid w:val="001464B2"/>
    <w:rsid w:val="00146949"/>
    <w:rsid w:val="00146B80"/>
    <w:rsid w:val="00146D31"/>
    <w:rsid w:val="00147043"/>
    <w:rsid w:val="0014735A"/>
    <w:rsid w:val="00147385"/>
    <w:rsid w:val="001474F8"/>
    <w:rsid w:val="00147524"/>
    <w:rsid w:val="00147BBF"/>
    <w:rsid w:val="00147C97"/>
    <w:rsid w:val="001501FA"/>
    <w:rsid w:val="0015026E"/>
    <w:rsid w:val="001504BA"/>
    <w:rsid w:val="00150643"/>
    <w:rsid w:val="00150691"/>
    <w:rsid w:val="00150896"/>
    <w:rsid w:val="00150A23"/>
    <w:rsid w:val="00150AE2"/>
    <w:rsid w:val="00151013"/>
    <w:rsid w:val="0015105D"/>
    <w:rsid w:val="0015113A"/>
    <w:rsid w:val="00151459"/>
    <w:rsid w:val="00151635"/>
    <w:rsid w:val="00151703"/>
    <w:rsid w:val="0015181B"/>
    <w:rsid w:val="00151989"/>
    <w:rsid w:val="00152011"/>
    <w:rsid w:val="0015224A"/>
    <w:rsid w:val="001523F3"/>
    <w:rsid w:val="001524D3"/>
    <w:rsid w:val="001524D4"/>
    <w:rsid w:val="0015296A"/>
    <w:rsid w:val="00152B2C"/>
    <w:rsid w:val="00152BE6"/>
    <w:rsid w:val="00152C39"/>
    <w:rsid w:val="00152D64"/>
    <w:rsid w:val="00152E5D"/>
    <w:rsid w:val="00152EF8"/>
    <w:rsid w:val="0015324A"/>
    <w:rsid w:val="0015362B"/>
    <w:rsid w:val="00153738"/>
    <w:rsid w:val="001539B5"/>
    <w:rsid w:val="001539CA"/>
    <w:rsid w:val="00153BBD"/>
    <w:rsid w:val="00153C4A"/>
    <w:rsid w:val="00153D8C"/>
    <w:rsid w:val="00153F8F"/>
    <w:rsid w:val="00154AAC"/>
    <w:rsid w:val="00154D02"/>
    <w:rsid w:val="00154F6A"/>
    <w:rsid w:val="00155237"/>
    <w:rsid w:val="001553D2"/>
    <w:rsid w:val="001553FF"/>
    <w:rsid w:val="0015570E"/>
    <w:rsid w:val="00155732"/>
    <w:rsid w:val="00155BE9"/>
    <w:rsid w:val="00155C15"/>
    <w:rsid w:val="00155CB6"/>
    <w:rsid w:val="00156534"/>
    <w:rsid w:val="0015669E"/>
    <w:rsid w:val="00156B45"/>
    <w:rsid w:val="00156C37"/>
    <w:rsid w:val="0015718B"/>
    <w:rsid w:val="0015738E"/>
    <w:rsid w:val="001573DD"/>
    <w:rsid w:val="0015760A"/>
    <w:rsid w:val="001576CF"/>
    <w:rsid w:val="00157A41"/>
    <w:rsid w:val="00157D1A"/>
    <w:rsid w:val="00160730"/>
    <w:rsid w:val="001608FB"/>
    <w:rsid w:val="00160950"/>
    <w:rsid w:val="00160BC6"/>
    <w:rsid w:val="00160C14"/>
    <w:rsid w:val="00160CDC"/>
    <w:rsid w:val="00160CF2"/>
    <w:rsid w:val="00160F87"/>
    <w:rsid w:val="001611EC"/>
    <w:rsid w:val="001612AF"/>
    <w:rsid w:val="001616FD"/>
    <w:rsid w:val="00161842"/>
    <w:rsid w:val="00161C0A"/>
    <w:rsid w:val="001620C1"/>
    <w:rsid w:val="001620D5"/>
    <w:rsid w:val="001623CE"/>
    <w:rsid w:val="001629DE"/>
    <w:rsid w:val="001631BC"/>
    <w:rsid w:val="00163666"/>
    <w:rsid w:val="0016371A"/>
    <w:rsid w:val="001639BD"/>
    <w:rsid w:val="00163D12"/>
    <w:rsid w:val="00164019"/>
    <w:rsid w:val="001640C9"/>
    <w:rsid w:val="00164258"/>
    <w:rsid w:val="001642BE"/>
    <w:rsid w:val="00164B33"/>
    <w:rsid w:val="00164C59"/>
    <w:rsid w:val="00165061"/>
    <w:rsid w:val="001650C1"/>
    <w:rsid w:val="001650F7"/>
    <w:rsid w:val="001651F3"/>
    <w:rsid w:val="0016525B"/>
    <w:rsid w:val="00165274"/>
    <w:rsid w:val="001652B8"/>
    <w:rsid w:val="001652E8"/>
    <w:rsid w:val="00165A28"/>
    <w:rsid w:val="00166528"/>
    <w:rsid w:val="00166B78"/>
    <w:rsid w:val="00166C45"/>
    <w:rsid w:val="0016711D"/>
    <w:rsid w:val="0016714E"/>
    <w:rsid w:val="00167325"/>
    <w:rsid w:val="00167601"/>
    <w:rsid w:val="0016774B"/>
    <w:rsid w:val="00167775"/>
    <w:rsid w:val="001679D7"/>
    <w:rsid w:val="00167B7E"/>
    <w:rsid w:val="00167D97"/>
    <w:rsid w:val="00167EB9"/>
    <w:rsid w:val="001702C2"/>
    <w:rsid w:val="00170598"/>
    <w:rsid w:val="001706A6"/>
    <w:rsid w:val="001709D4"/>
    <w:rsid w:val="001709EF"/>
    <w:rsid w:val="00171473"/>
    <w:rsid w:val="001714EF"/>
    <w:rsid w:val="0017173C"/>
    <w:rsid w:val="00171A6C"/>
    <w:rsid w:val="00171A9B"/>
    <w:rsid w:val="001720F5"/>
    <w:rsid w:val="0017223B"/>
    <w:rsid w:val="001723B5"/>
    <w:rsid w:val="0017268C"/>
    <w:rsid w:val="00172BB9"/>
    <w:rsid w:val="00172F00"/>
    <w:rsid w:val="00173439"/>
    <w:rsid w:val="00173791"/>
    <w:rsid w:val="00173943"/>
    <w:rsid w:val="00173AEF"/>
    <w:rsid w:val="00173F63"/>
    <w:rsid w:val="001743FB"/>
    <w:rsid w:val="001744C1"/>
    <w:rsid w:val="001745B7"/>
    <w:rsid w:val="001745C9"/>
    <w:rsid w:val="00174655"/>
    <w:rsid w:val="00175005"/>
    <w:rsid w:val="00175236"/>
    <w:rsid w:val="0017545C"/>
    <w:rsid w:val="001756B3"/>
    <w:rsid w:val="001757AD"/>
    <w:rsid w:val="001757DD"/>
    <w:rsid w:val="00175BC3"/>
    <w:rsid w:val="001760EE"/>
    <w:rsid w:val="001763DA"/>
    <w:rsid w:val="0017647F"/>
    <w:rsid w:val="00176834"/>
    <w:rsid w:val="001769B2"/>
    <w:rsid w:val="00176B0A"/>
    <w:rsid w:val="00176ED7"/>
    <w:rsid w:val="0017795B"/>
    <w:rsid w:val="00177A40"/>
    <w:rsid w:val="00177AA6"/>
    <w:rsid w:val="00177AF7"/>
    <w:rsid w:val="001802EC"/>
    <w:rsid w:val="001807AA"/>
    <w:rsid w:val="001807C0"/>
    <w:rsid w:val="001809F2"/>
    <w:rsid w:val="00180A69"/>
    <w:rsid w:val="00180A94"/>
    <w:rsid w:val="00180AD8"/>
    <w:rsid w:val="00181280"/>
    <w:rsid w:val="0018167D"/>
    <w:rsid w:val="001818A3"/>
    <w:rsid w:val="00181CBC"/>
    <w:rsid w:val="00181DCA"/>
    <w:rsid w:val="00181E34"/>
    <w:rsid w:val="001820F2"/>
    <w:rsid w:val="001826C4"/>
    <w:rsid w:val="00182717"/>
    <w:rsid w:val="001829E8"/>
    <w:rsid w:val="00182F6C"/>
    <w:rsid w:val="001831DA"/>
    <w:rsid w:val="001833DA"/>
    <w:rsid w:val="00183624"/>
    <w:rsid w:val="0018380C"/>
    <w:rsid w:val="001843B1"/>
    <w:rsid w:val="00184451"/>
    <w:rsid w:val="0018445C"/>
    <w:rsid w:val="001845D9"/>
    <w:rsid w:val="00184794"/>
    <w:rsid w:val="00184798"/>
    <w:rsid w:val="001847BE"/>
    <w:rsid w:val="00184962"/>
    <w:rsid w:val="00184A05"/>
    <w:rsid w:val="00184E5D"/>
    <w:rsid w:val="00184E6D"/>
    <w:rsid w:val="001853B4"/>
    <w:rsid w:val="00185944"/>
    <w:rsid w:val="00185F21"/>
    <w:rsid w:val="00186208"/>
    <w:rsid w:val="00186318"/>
    <w:rsid w:val="0018669A"/>
    <w:rsid w:val="001866AC"/>
    <w:rsid w:val="00186835"/>
    <w:rsid w:val="001868BF"/>
    <w:rsid w:val="00186F9C"/>
    <w:rsid w:val="001870F9"/>
    <w:rsid w:val="0018731D"/>
    <w:rsid w:val="00187941"/>
    <w:rsid w:val="00187BA8"/>
    <w:rsid w:val="00187C35"/>
    <w:rsid w:val="00187C54"/>
    <w:rsid w:val="00187EFA"/>
    <w:rsid w:val="00187F45"/>
    <w:rsid w:val="0019053D"/>
    <w:rsid w:val="001905EE"/>
    <w:rsid w:val="00190AEC"/>
    <w:rsid w:val="00190BB3"/>
    <w:rsid w:val="00190D04"/>
    <w:rsid w:val="0019113A"/>
    <w:rsid w:val="00191262"/>
    <w:rsid w:val="001912DD"/>
    <w:rsid w:val="001914A4"/>
    <w:rsid w:val="00191556"/>
    <w:rsid w:val="00191564"/>
    <w:rsid w:val="0019156E"/>
    <w:rsid w:val="0019167A"/>
    <w:rsid w:val="001916A1"/>
    <w:rsid w:val="00191727"/>
    <w:rsid w:val="00191BB3"/>
    <w:rsid w:val="00191C35"/>
    <w:rsid w:val="00191DED"/>
    <w:rsid w:val="00192527"/>
    <w:rsid w:val="001926A4"/>
    <w:rsid w:val="0019363B"/>
    <w:rsid w:val="001938A7"/>
    <w:rsid w:val="00193DCA"/>
    <w:rsid w:val="00193DD4"/>
    <w:rsid w:val="00193E3F"/>
    <w:rsid w:val="001945D2"/>
    <w:rsid w:val="00194B35"/>
    <w:rsid w:val="00194C6F"/>
    <w:rsid w:val="00194CFA"/>
    <w:rsid w:val="00194D95"/>
    <w:rsid w:val="00194F23"/>
    <w:rsid w:val="001950C6"/>
    <w:rsid w:val="001951C7"/>
    <w:rsid w:val="001956AF"/>
    <w:rsid w:val="00195B6B"/>
    <w:rsid w:val="00195D65"/>
    <w:rsid w:val="00196285"/>
    <w:rsid w:val="001968AF"/>
    <w:rsid w:val="001969D9"/>
    <w:rsid w:val="00196BF4"/>
    <w:rsid w:val="00196DC8"/>
    <w:rsid w:val="001970DB"/>
    <w:rsid w:val="001973AB"/>
    <w:rsid w:val="0019769E"/>
    <w:rsid w:val="001976A3"/>
    <w:rsid w:val="00197874"/>
    <w:rsid w:val="001978A2"/>
    <w:rsid w:val="00197C2A"/>
    <w:rsid w:val="00197F46"/>
    <w:rsid w:val="001A0305"/>
    <w:rsid w:val="001A04C6"/>
    <w:rsid w:val="001A0730"/>
    <w:rsid w:val="001A0A33"/>
    <w:rsid w:val="001A0D76"/>
    <w:rsid w:val="001A0D97"/>
    <w:rsid w:val="001A0DE4"/>
    <w:rsid w:val="001A0F2F"/>
    <w:rsid w:val="001A14BC"/>
    <w:rsid w:val="001A1C13"/>
    <w:rsid w:val="001A2004"/>
    <w:rsid w:val="001A22CC"/>
    <w:rsid w:val="001A257D"/>
    <w:rsid w:val="001A28ED"/>
    <w:rsid w:val="001A293E"/>
    <w:rsid w:val="001A2940"/>
    <w:rsid w:val="001A29FF"/>
    <w:rsid w:val="001A2C70"/>
    <w:rsid w:val="001A2FE0"/>
    <w:rsid w:val="001A332B"/>
    <w:rsid w:val="001A33B3"/>
    <w:rsid w:val="001A4072"/>
    <w:rsid w:val="001A43CB"/>
    <w:rsid w:val="001A47A8"/>
    <w:rsid w:val="001A4832"/>
    <w:rsid w:val="001A4A06"/>
    <w:rsid w:val="001A4A09"/>
    <w:rsid w:val="001A4A23"/>
    <w:rsid w:val="001A4C06"/>
    <w:rsid w:val="001A4C6A"/>
    <w:rsid w:val="001A5484"/>
    <w:rsid w:val="001A54B8"/>
    <w:rsid w:val="001A57F7"/>
    <w:rsid w:val="001A5CD5"/>
    <w:rsid w:val="001A5DD9"/>
    <w:rsid w:val="001A6403"/>
    <w:rsid w:val="001A6468"/>
    <w:rsid w:val="001A65B4"/>
    <w:rsid w:val="001A66CA"/>
    <w:rsid w:val="001A6C76"/>
    <w:rsid w:val="001A6D7C"/>
    <w:rsid w:val="001A72AF"/>
    <w:rsid w:val="001A72B1"/>
    <w:rsid w:val="001A736A"/>
    <w:rsid w:val="001A7870"/>
    <w:rsid w:val="001A795B"/>
    <w:rsid w:val="001A7966"/>
    <w:rsid w:val="001A79C4"/>
    <w:rsid w:val="001A7A18"/>
    <w:rsid w:val="001A7A2C"/>
    <w:rsid w:val="001A7C97"/>
    <w:rsid w:val="001A7D8C"/>
    <w:rsid w:val="001B0BBA"/>
    <w:rsid w:val="001B10CA"/>
    <w:rsid w:val="001B133B"/>
    <w:rsid w:val="001B13A0"/>
    <w:rsid w:val="001B1552"/>
    <w:rsid w:val="001B16FC"/>
    <w:rsid w:val="001B18E8"/>
    <w:rsid w:val="001B1AF8"/>
    <w:rsid w:val="001B1D0B"/>
    <w:rsid w:val="001B1F39"/>
    <w:rsid w:val="001B20A2"/>
    <w:rsid w:val="001B226E"/>
    <w:rsid w:val="001B2576"/>
    <w:rsid w:val="001B29CF"/>
    <w:rsid w:val="001B2BB8"/>
    <w:rsid w:val="001B2FCE"/>
    <w:rsid w:val="001B31F7"/>
    <w:rsid w:val="001B3A0F"/>
    <w:rsid w:val="001B3D6C"/>
    <w:rsid w:val="001B3D8D"/>
    <w:rsid w:val="001B4200"/>
    <w:rsid w:val="001B421F"/>
    <w:rsid w:val="001B42F2"/>
    <w:rsid w:val="001B469E"/>
    <w:rsid w:val="001B4A64"/>
    <w:rsid w:val="001B4CF2"/>
    <w:rsid w:val="001B5247"/>
    <w:rsid w:val="001B5498"/>
    <w:rsid w:val="001B575B"/>
    <w:rsid w:val="001B5820"/>
    <w:rsid w:val="001B5B8B"/>
    <w:rsid w:val="001B638A"/>
    <w:rsid w:val="001B6978"/>
    <w:rsid w:val="001B6B2B"/>
    <w:rsid w:val="001B71DA"/>
    <w:rsid w:val="001B73BE"/>
    <w:rsid w:val="001B746B"/>
    <w:rsid w:val="001B758F"/>
    <w:rsid w:val="001B7596"/>
    <w:rsid w:val="001B76BA"/>
    <w:rsid w:val="001B779B"/>
    <w:rsid w:val="001B7D19"/>
    <w:rsid w:val="001B7D1D"/>
    <w:rsid w:val="001C0384"/>
    <w:rsid w:val="001C040C"/>
    <w:rsid w:val="001C0541"/>
    <w:rsid w:val="001C05FA"/>
    <w:rsid w:val="001C06A0"/>
    <w:rsid w:val="001C0805"/>
    <w:rsid w:val="001C0862"/>
    <w:rsid w:val="001C0B27"/>
    <w:rsid w:val="001C0ECE"/>
    <w:rsid w:val="001C0F7B"/>
    <w:rsid w:val="001C10C5"/>
    <w:rsid w:val="001C14D0"/>
    <w:rsid w:val="001C1521"/>
    <w:rsid w:val="001C1A5F"/>
    <w:rsid w:val="001C1ADA"/>
    <w:rsid w:val="001C204B"/>
    <w:rsid w:val="001C2618"/>
    <w:rsid w:val="001C29A7"/>
    <w:rsid w:val="001C3106"/>
    <w:rsid w:val="001C3454"/>
    <w:rsid w:val="001C3462"/>
    <w:rsid w:val="001C3697"/>
    <w:rsid w:val="001C3804"/>
    <w:rsid w:val="001C3D56"/>
    <w:rsid w:val="001C4361"/>
    <w:rsid w:val="001C46D1"/>
    <w:rsid w:val="001C48B2"/>
    <w:rsid w:val="001C4985"/>
    <w:rsid w:val="001C4F42"/>
    <w:rsid w:val="001C514B"/>
    <w:rsid w:val="001C530C"/>
    <w:rsid w:val="001C53B8"/>
    <w:rsid w:val="001C5693"/>
    <w:rsid w:val="001C58F3"/>
    <w:rsid w:val="001C5AFC"/>
    <w:rsid w:val="001C5DA3"/>
    <w:rsid w:val="001C6387"/>
    <w:rsid w:val="001C6AD0"/>
    <w:rsid w:val="001C6C48"/>
    <w:rsid w:val="001C6E46"/>
    <w:rsid w:val="001C6E75"/>
    <w:rsid w:val="001C738B"/>
    <w:rsid w:val="001C78B3"/>
    <w:rsid w:val="001D0036"/>
    <w:rsid w:val="001D015A"/>
    <w:rsid w:val="001D02B5"/>
    <w:rsid w:val="001D09E7"/>
    <w:rsid w:val="001D0A49"/>
    <w:rsid w:val="001D0D71"/>
    <w:rsid w:val="001D0D86"/>
    <w:rsid w:val="001D0E0C"/>
    <w:rsid w:val="001D0FA1"/>
    <w:rsid w:val="001D1093"/>
    <w:rsid w:val="001D11C1"/>
    <w:rsid w:val="001D12B5"/>
    <w:rsid w:val="001D1A49"/>
    <w:rsid w:val="001D1A78"/>
    <w:rsid w:val="001D1F96"/>
    <w:rsid w:val="001D2101"/>
    <w:rsid w:val="001D23FC"/>
    <w:rsid w:val="001D2713"/>
    <w:rsid w:val="001D2853"/>
    <w:rsid w:val="001D29FB"/>
    <w:rsid w:val="001D2AC2"/>
    <w:rsid w:val="001D2EBE"/>
    <w:rsid w:val="001D302B"/>
    <w:rsid w:val="001D3AA3"/>
    <w:rsid w:val="001D3AE9"/>
    <w:rsid w:val="001D3C28"/>
    <w:rsid w:val="001D3E2A"/>
    <w:rsid w:val="001D3EAC"/>
    <w:rsid w:val="001D3EDB"/>
    <w:rsid w:val="001D3F69"/>
    <w:rsid w:val="001D40B8"/>
    <w:rsid w:val="001D4173"/>
    <w:rsid w:val="001D42CD"/>
    <w:rsid w:val="001D4302"/>
    <w:rsid w:val="001D4480"/>
    <w:rsid w:val="001D477F"/>
    <w:rsid w:val="001D493F"/>
    <w:rsid w:val="001D50AA"/>
    <w:rsid w:val="001D54A3"/>
    <w:rsid w:val="001D54E8"/>
    <w:rsid w:val="001D55C8"/>
    <w:rsid w:val="001D5FFA"/>
    <w:rsid w:val="001D6600"/>
    <w:rsid w:val="001D69AA"/>
    <w:rsid w:val="001D6B15"/>
    <w:rsid w:val="001D6D53"/>
    <w:rsid w:val="001D6F01"/>
    <w:rsid w:val="001D6F54"/>
    <w:rsid w:val="001D724E"/>
    <w:rsid w:val="001D72FF"/>
    <w:rsid w:val="001D7357"/>
    <w:rsid w:val="001D735C"/>
    <w:rsid w:val="001D7463"/>
    <w:rsid w:val="001D75DE"/>
    <w:rsid w:val="001D7A26"/>
    <w:rsid w:val="001D7EF0"/>
    <w:rsid w:val="001E008C"/>
    <w:rsid w:val="001E03BE"/>
    <w:rsid w:val="001E05C7"/>
    <w:rsid w:val="001E0952"/>
    <w:rsid w:val="001E0A2F"/>
    <w:rsid w:val="001E0A95"/>
    <w:rsid w:val="001E0AB9"/>
    <w:rsid w:val="001E0C65"/>
    <w:rsid w:val="001E0EC7"/>
    <w:rsid w:val="001E0F32"/>
    <w:rsid w:val="001E13C2"/>
    <w:rsid w:val="001E16A1"/>
    <w:rsid w:val="001E182B"/>
    <w:rsid w:val="001E1906"/>
    <w:rsid w:val="001E1927"/>
    <w:rsid w:val="001E22B6"/>
    <w:rsid w:val="001E2650"/>
    <w:rsid w:val="001E279A"/>
    <w:rsid w:val="001E2B2B"/>
    <w:rsid w:val="001E2C5A"/>
    <w:rsid w:val="001E2D66"/>
    <w:rsid w:val="001E30C6"/>
    <w:rsid w:val="001E3174"/>
    <w:rsid w:val="001E331C"/>
    <w:rsid w:val="001E38CC"/>
    <w:rsid w:val="001E3AF9"/>
    <w:rsid w:val="001E3DFB"/>
    <w:rsid w:val="001E3FF0"/>
    <w:rsid w:val="001E4449"/>
    <w:rsid w:val="001E44A0"/>
    <w:rsid w:val="001E456B"/>
    <w:rsid w:val="001E493E"/>
    <w:rsid w:val="001E49F4"/>
    <w:rsid w:val="001E49FB"/>
    <w:rsid w:val="001E4C45"/>
    <w:rsid w:val="001E5050"/>
    <w:rsid w:val="001E5604"/>
    <w:rsid w:val="001E577C"/>
    <w:rsid w:val="001E5E9D"/>
    <w:rsid w:val="001E61CD"/>
    <w:rsid w:val="001E6277"/>
    <w:rsid w:val="001E62F7"/>
    <w:rsid w:val="001E6407"/>
    <w:rsid w:val="001E673A"/>
    <w:rsid w:val="001E6794"/>
    <w:rsid w:val="001E695B"/>
    <w:rsid w:val="001E6E66"/>
    <w:rsid w:val="001E725D"/>
    <w:rsid w:val="001E7B4E"/>
    <w:rsid w:val="001F00BD"/>
    <w:rsid w:val="001F00E0"/>
    <w:rsid w:val="001F03B3"/>
    <w:rsid w:val="001F03B5"/>
    <w:rsid w:val="001F0CA4"/>
    <w:rsid w:val="001F0DC9"/>
    <w:rsid w:val="001F14C3"/>
    <w:rsid w:val="001F1502"/>
    <w:rsid w:val="001F1585"/>
    <w:rsid w:val="001F1661"/>
    <w:rsid w:val="001F16A8"/>
    <w:rsid w:val="001F16C6"/>
    <w:rsid w:val="001F1702"/>
    <w:rsid w:val="001F1A42"/>
    <w:rsid w:val="001F1A46"/>
    <w:rsid w:val="001F1BCA"/>
    <w:rsid w:val="001F1F75"/>
    <w:rsid w:val="001F22DA"/>
    <w:rsid w:val="001F22E3"/>
    <w:rsid w:val="001F23DD"/>
    <w:rsid w:val="001F2523"/>
    <w:rsid w:val="001F2659"/>
    <w:rsid w:val="001F265B"/>
    <w:rsid w:val="001F2723"/>
    <w:rsid w:val="001F31AE"/>
    <w:rsid w:val="001F32F9"/>
    <w:rsid w:val="001F3E49"/>
    <w:rsid w:val="001F41BE"/>
    <w:rsid w:val="001F4285"/>
    <w:rsid w:val="001F42A0"/>
    <w:rsid w:val="001F4322"/>
    <w:rsid w:val="001F4573"/>
    <w:rsid w:val="001F480D"/>
    <w:rsid w:val="001F48B4"/>
    <w:rsid w:val="001F4AB8"/>
    <w:rsid w:val="001F4B4D"/>
    <w:rsid w:val="001F4C81"/>
    <w:rsid w:val="001F4EB3"/>
    <w:rsid w:val="001F539E"/>
    <w:rsid w:val="001F545B"/>
    <w:rsid w:val="001F565F"/>
    <w:rsid w:val="001F5711"/>
    <w:rsid w:val="001F572A"/>
    <w:rsid w:val="001F5880"/>
    <w:rsid w:val="001F5A6A"/>
    <w:rsid w:val="001F5CA9"/>
    <w:rsid w:val="001F5CFC"/>
    <w:rsid w:val="001F5F8F"/>
    <w:rsid w:val="001F61B5"/>
    <w:rsid w:val="001F6223"/>
    <w:rsid w:val="001F628C"/>
    <w:rsid w:val="001F62AD"/>
    <w:rsid w:val="001F6365"/>
    <w:rsid w:val="001F639D"/>
    <w:rsid w:val="001F65AB"/>
    <w:rsid w:val="001F66D4"/>
    <w:rsid w:val="001F6AD4"/>
    <w:rsid w:val="001F6E41"/>
    <w:rsid w:val="001F7404"/>
    <w:rsid w:val="001F7528"/>
    <w:rsid w:val="00200215"/>
    <w:rsid w:val="002003E0"/>
    <w:rsid w:val="00200B4E"/>
    <w:rsid w:val="00200C49"/>
    <w:rsid w:val="00200F5F"/>
    <w:rsid w:val="00201052"/>
    <w:rsid w:val="00201151"/>
    <w:rsid w:val="0020121C"/>
    <w:rsid w:val="00201502"/>
    <w:rsid w:val="00201AEA"/>
    <w:rsid w:val="00201B30"/>
    <w:rsid w:val="002022E9"/>
    <w:rsid w:val="00202EE4"/>
    <w:rsid w:val="00203303"/>
    <w:rsid w:val="0020332A"/>
    <w:rsid w:val="002035C8"/>
    <w:rsid w:val="00203A76"/>
    <w:rsid w:val="002041E2"/>
    <w:rsid w:val="00204499"/>
    <w:rsid w:val="002047F1"/>
    <w:rsid w:val="00204F2A"/>
    <w:rsid w:val="00204F91"/>
    <w:rsid w:val="002056C3"/>
    <w:rsid w:val="00205AE3"/>
    <w:rsid w:val="00205D1D"/>
    <w:rsid w:val="00205DA2"/>
    <w:rsid w:val="00205FE9"/>
    <w:rsid w:val="0020655E"/>
    <w:rsid w:val="002067F7"/>
    <w:rsid w:val="00206921"/>
    <w:rsid w:val="00206973"/>
    <w:rsid w:val="00206ED1"/>
    <w:rsid w:val="00207101"/>
    <w:rsid w:val="002072F0"/>
    <w:rsid w:val="00207432"/>
    <w:rsid w:val="00207563"/>
    <w:rsid w:val="00207978"/>
    <w:rsid w:val="00207B3E"/>
    <w:rsid w:val="0021027C"/>
    <w:rsid w:val="00210458"/>
    <w:rsid w:val="002106BD"/>
    <w:rsid w:val="002107B2"/>
    <w:rsid w:val="00210949"/>
    <w:rsid w:val="00210A34"/>
    <w:rsid w:val="002112B1"/>
    <w:rsid w:val="0021159D"/>
    <w:rsid w:val="00211877"/>
    <w:rsid w:val="00211D1B"/>
    <w:rsid w:val="00211DFE"/>
    <w:rsid w:val="00211F40"/>
    <w:rsid w:val="00212039"/>
    <w:rsid w:val="00212109"/>
    <w:rsid w:val="0021238E"/>
    <w:rsid w:val="0021242B"/>
    <w:rsid w:val="002124C3"/>
    <w:rsid w:val="002126E5"/>
    <w:rsid w:val="00212C09"/>
    <w:rsid w:val="00212C6B"/>
    <w:rsid w:val="00212E1B"/>
    <w:rsid w:val="00213946"/>
    <w:rsid w:val="00213A6A"/>
    <w:rsid w:val="00214188"/>
    <w:rsid w:val="00214449"/>
    <w:rsid w:val="00214651"/>
    <w:rsid w:val="002146E2"/>
    <w:rsid w:val="00214782"/>
    <w:rsid w:val="002149A2"/>
    <w:rsid w:val="00214AB6"/>
    <w:rsid w:val="00214C23"/>
    <w:rsid w:val="002153E1"/>
    <w:rsid w:val="00215422"/>
    <w:rsid w:val="00215430"/>
    <w:rsid w:val="00215A78"/>
    <w:rsid w:val="00215C59"/>
    <w:rsid w:val="00215CC8"/>
    <w:rsid w:val="002161B7"/>
    <w:rsid w:val="0021621A"/>
    <w:rsid w:val="002169DE"/>
    <w:rsid w:val="00217312"/>
    <w:rsid w:val="00217462"/>
    <w:rsid w:val="00217481"/>
    <w:rsid w:val="002176DD"/>
    <w:rsid w:val="0021787E"/>
    <w:rsid w:val="00217B40"/>
    <w:rsid w:val="00217DA5"/>
    <w:rsid w:val="00217FEA"/>
    <w:rsid w:val="00220152"/>
    <w:rsid w:val="002203BD"/>
    <w:rsid w:val="002203EC"/>
    <w:rsid w:val="00220748"/>
    <w:rsid w:val="00220853"/>
    <w:rsid w:val="00220F4F"/>
    <w:rsid w:val="0022103E"/>
    <w:rsid w:val="0022114D"/>
    <w:rsid w:val="002212E2"/>
    <w:rsid w:val="002215A0"/>
    <w:rsid w:val="00221999"/>
    <w:rsid w:val="00221C1E"/>
    <w:rsid w:val="00221CD9"/>
    <w:rsid w:val="00221E42"/>
    <w:rsid w:val="00221E58"/>
    <w:rsid w:val="00221F60"/>
    <w:rsid w:val="0022250C"/>
    <w:rsid w:val="00223277"/>
    <w:rsid w:val="002233FB"/>
    <w:rsid w:val="002239AF"/>
    <w:rsid w:val="00223A80"/>
    <w:rsid w:val="00223B3B"/>
    <w:rsid w:val="00223C04"/>
    <w:rsid w:val="00223C35"/>
    <w:rsid w:val="00223E08"/>
    <w:rsid w:val="00223F39"/>
    <w:rsid w:val="002240CC"/>
    <w:rsid w:val="0022445B"/>
    <w:rsid w:val="002245E6"/>
    <w:rsid w:val="00224C70"/>
    <w:rsid w:val="00224D28"/>
    <w:rsid w:val="00224EA5"/>
    <w:rsid w:val="00224F38"/>
    <w:rsid w:val="002250EB"/>
    <w:rsid w:val="0022547E"/>
    <w:rsid w:val="0022566D"/>
    <w:rsid w:val="00225869"/>
    <w:rsid w:val="00225C4B"/>
    <w:rsid w:val="00225C76"/>
    <w:rsid w:val="00225D99"/>
    <w:rsid w:val="00225DB8"/>
    <w:rsid w:val="00225EA5"/>
    <w:rsid w:val="0022608F"/>
    <w:rsid w:val="002263B4"/>
    <w:rsid w:val="00226B77"/>
    <w:rsid w:val="00226D30"/>
    <w:rsid w:val="00227028"/>
    <w:rsid w:val="00227267"/>
    <w:rsid w:val="002273C3"/>
    <w:rsid w:val="002273EA"/>
    <w:rsid w:val="002274D6"/>
    <w:rsid w:val="00227571"/>
    <w:rsid w:val="002275F4"/>
    <w:rsid w:val="00227B7A"/>
    <w:rsid w:val="0023005B"/>
    <w:rsid w:val="00230807"/>
    <w:rsid w:val="00230919"/>
    <w:rsid w:val="00230CCE"/>
    <w:rsid w:val="00231050"/>
    <w:rsid w:val="0023154C"/>
    <w:rsid w:val="00231550"/>
    <w:rsid w:val="00231D03"/>
    <w:rsid w:val="00231F48"/>
    <w:rsid w:val="0023229E"/>
    <w:rsid w:val="002322BA"/>
    <w:rsid w:val="002323FE"/>
    <w:rsid w:val="002325D2"/>
    <w:rsid w:val="00232DC1"/>
    <w:rsid w:val="00233AD8"/>
    <w:rsid w:val="00233B1F"/>
    <w:rsid w:val="00233CDB"/>
    <w:rsid w:val="00233F47"/>
    <w:rsid w:val="00234659"/>
    <w:rsid w:val="00234665"/>
    <w:rsid w:val="00234880"/>
    <w:rsid w:val="00234D8E"/>
    <w:rsid w:val="00234E55"/>
    <w:rsid w:val="00234FDC"/>
    <w:rsid w:val="0023538D"/>
    <w:rsid w:val="00235789"/>
    <w:rsid w:val="00235B37"/>
    <w:rsid w:val="00235E0E"/>
    <w:rsid w:val="00235EAA"/>
    <w:rsid w:val="00235F28"/>
    <w:rsid w:val="00235F2B"/>
    <w:rsid w:val="00235FDB"/>
    <w:rsid w:val="0023612F"/>
    <w:rsid w:val="00236232"/>
    <w:rsid w:val="00236262"/>
    <w:rsid w:val="0023626C"/>
    <w:rsid w:val="002362F7"/>
    <w:rsid w:val="002364DD"/>
    <w:rsid w:val="002366CB"/>
    <w:rsid w:val="002368E8"/>
    <w:rsid w:val="00236DD4"/>
    <w:rsid w:val="00237097"/>
    <w:rsid w:val="00237341"/>
    <w:rsid w:val="00237637"/>
    <w:rsid w:val="0023792C"/>
    <w:rsid w:val="0023796B"/>
    <w:rsid w:val="00237AF9"/>
    <w:rsid w:val="00237B55"/>
    <w:rsid w:val="00237BAC"/>
    <w:rsid w:val="00237D88"/>
    <w:rsid w:val="00237F4D"/>
    <w:rsid w:val="00240054"/>
    <w:rsid w:val="00240878"/>
    <w:rsid w:val="00241804"/>
    <w:rsid w:val="00241B22"/>
    <w:rsid w:val="00241F0B"/>
    <w:rsid w:val="00241F75"/>
    <w:rsid w:val="00241FF7"/>
    <w:rsid w:val="002420D5"/>
    <w:rsid w:val="0024210E"/>
    <w:rsid w:val="00242125"/>
    <w:rsid w:val="002421C3"/>
    <w:rsid w:val="00242345"/>
    <w:rsid w:val="00242566"/>
    <w:rsid w:val="0024260E"/>
    <w:rsid w:val="00242A7E"/>
    <w:rsid w:val="00242B1C"/>
    <w:rsid w:val="00242D45"/>
    <w:rsid w:val="00242DBE"/>
    <w:rsid w:val="002430D8"/>
    <w:rsid w:val="0024318B"/>
    <w:rsid w:val="002432E2"/>
    <w:rsid w:val="002432F5"/>
    <w:rsid w:val="00243576"/>
    <w:rsid w:val="0024362D"/>
    <w:rsid w:val="002437C5"/>
    <w:rsid w:val="00243887"/>
    <w:rsid w:val="002438CC"/>
    <w:rsid w:val="00243B49"/>
    <w:rsid w:val="00244117"/>
    <w:rsid w:val="002443AE"/>
    <w:rsid w:val="002445A4"/>
    <w:rsid w:val="002445DA"/>
    <w:rsid w:val="002448D9"/>
    <w:rsid w:val="00244A19"/>
    <w:rsid w:val="00244A8C"/>
    <w:rsid w:val="00244C8B"/>
    <w:rsid w:val="00244DB9"/>
    <w:rsid w:val="00244E5E"/>
    <w:rsid w:val="00244F6F"/>
    <w:rsid w:val="00245070"/>
    <w:rsid w:val="0024512A"/>
    <w:rsid w:val="00245171"/>
    <w:rsid w:val="00245591"/>
    <w:rsid w:val="00245C59"/>
    <w:rsid w:val="00245D4E"/>
    <w:rsid w:val="002462EE"/>
    <w:rsid w:val="0024630F"/>
    <w:rsid w:val="002464EB"/>
    <w:rsid w:val="002465E5"/>
    <w:rsid w:val="002466BA"/>
    <w:rsid w:val="00246844"/>
    <w:rsid w:val="00246E02"/>
    <w:rsid w:val="00246EA0"/>
    <w:rsid w:val="00247427"/>
    <w:rsid w:val="00247A34"/>
    <w:rsid w:val="00247B1F"/>
    <w:rsid w:val="00247F95"/>
    <w:rsid w:val="002501BA"/>
    <w:rsid w:val="00250541"/>
    <w:rsid w:val="00250D82"/>
    <w:rsid w:val="00251662"/>
    <w:rsid w:val="002518D8"/>
    <w:rsid w:val="00251AAF"/>
    <w:rsid w:val="0025226B"/>
    <w:rsid w:val="00252939"/>
    <w:rsid w:val="00252A02"/>
    <w:rsid w:val="00252A3E"/>
    <w:rsid w:val="00252AA7"/>
    <w:rsid w:val="00252EFC"/>
    <w:rsid w:val="002531D5"/>
    <w:rsid w:val="00253247"/>
    <w:rsid w:val="0025324A"/>
    <w:rsid w:val="00253264"/>
    <w:rsid w:val="00253272"/>
    <w:rsid w:val="002532A4"/>
    <w:rsid w:val="002532FA"/>
    <w:rsid w:val="00253869"/>
    <w:rsid w:val="00253981"/>
    <w:rsid w:val="00253CB9"/>
    <w:rsid w:val="0025408A"/>
    <w:rsid w:val="0025469A"/>
    <w:rsid w:val="00254E72"/>
    <w:rsid w:val="00255291"/>
    <w:rsid w:val="002554DF"/>
    <w:rsid w:val="00255678"/>
    <w:rsid w:val="00255876"/>
    <w:rsid w:val="00255B73"/>
    <w:rsid w:val="00255CFB"/>
    <w:rsid w:val="0025612C"/>
    <w:rsid w:val="002561C7"/>
    <w:rsid w:val="00256475"/>
    <w:rsid w:val="002565F5"/>
    <w:rsid w:val="0025688F"/>
    <w:rsid w:val="0025694B"/>
    <w:rsid w:val="00256F25"/>
    <w:rsid w:val="00256F40"/>
    <w:rsid w:val="002570D5"/>
    <w:rsid w:val="00257120"/>
    <w:rsid w:val="002576E4"/>
    <w:rsid w:val="002579AF"/>
    <w:rsid w:val="00257AFE"/>
    <w:rsid w:val="00257CDE"/>
    <w:rsid w:val="0026029C"/>
    <w:rsid w:val="002602D8"/>
    <w:rsid w:val="002602EE"/>
    <w:rsid w:val="002603F9"/>
    <w:rsid w:val="00260A29"/>
    <w:rsid w:val="00260D7D"/>
    <w:rsid w:val="002612C1"/>
    <w:rsid w:val="002615AA"/>
    <w:rsid w:val="00261648"/>
    <w:rsid w:val="00261871"/>
    <w:rsid w:val="00261991"/>
    <w:rsid w:val="00261FF7"/>
    <w:rsid w:val="002620B4"/>
    <w:rsid w:val="0026221E"/>
    <w:rsid w:val="002622E6"/>
    <w:rsid w:val="00262B0D"/>
    <w:rsid w:val="002630E1"/>
    <w:rsid w:val="002634D3"/>
    <w:rsid w:val="00263714"/>
    <w:rsid w:val="0026393A"/>
    <w:rsid w:val="00263A7C"/>
    <w:rsid w:val="00263BF1"/>
    <w:rsid w:val="00263DC6"/>
    <w:rsid w:val="002640DD"/>
    <w:rsid w:val="002641AD"/>
    <w:rsid w:val="00264B2E"/>
    <w:rsid w:val="00264C8E"/>
    <w:rsid w:val="00264E27"/>
    <w:rsid w:val="00264E4F"/>
    <w:rsid w:val="00265555"/>
    <w:rsid w:val="002656C1"/>
    <w:rsid w:val="00265C5D"/>
    <w:rsid w:val="00265D38"/>
    <w:rsid w:val="00265D9F"/>
    <w:rsid w:val="00265FDC"/>
    <w:rsid w:val="002660D9"/>
    <w:rsid w:val="002665CE"/>
    <w:rsid w:val="00266691"/>
    <w:rsid w:val="00266825"/>
    <w:rsid w:val="00266CFA"/>
    <w:rsid w:val="00266F47"/>
    <w:rsid w:val="00267041"/>
    <w:rsid w:val="002670BB"/>
    <w:rsid w:val="002675DF"/>
    <w:rsid w:val="00267800"/>
    <w:rsid w:val="00267878"/>
    <w:rsid w:val="00267882"/>
    <w:rsid w:val="00267BE9"/>
    <w:rsid w:val="00267BEC"/>
    <w:rsid w:val="00267C08"/>
    <w:rsid w:val="00267D48"/>
    <w:rsid w:val="00267E43"/>
    <w:rsid w:val="002701D9"/>
    <w:rsid w:val="00270244"/>
    <w:rsid w:val="002705B4"/>
    <w:rsid w:val="00270790"/>
    <w:rsid w:val="00270889"/>
    <w:rsid w:val="002708B7"/>
    <w:rsid w:val="002708DB"/>
    <w:rsid w:val="002709B0"/>
    <w:rsid w:val="00270B53"/>
    <w:rsid w:val="00270B54"/>
    <w:rsid w:val="0027108D"/>
    <w:rsid w:val="002710BA"/>
    <w:rsid w:val="00271125"/>
    <w:rsid w:val="00271223"/>
    <w:rsid w:val="002717D6"/>
    <w:rsid w:val="00271BE0"/>
    <w:rsid w:val="00271E5E"/>
    <w:rsid w:val="00272125"/>
    <w:rsid w:val="00272283"/>
    <w:rsid w:val="00272361"/>
    <w:rsid w:val="00272392"/>
    <w:rsid w:val="00272565"/>
    <w:rsid w:val="002725BE"/>
    <w:rsid w:val="00272BD8"/>
    <w:rsid w:val="00272C5C"/>
    <w:rsid w:val="00272E7C"/>
    <w:rsid w:val="00273936"/>
    <w:rsid w:val="00273FE0"/>
    <w:rsid w:val="0027424A"/>
    <w:rsid w:val="002742F9"/>
    <w:rsid w:val="00274851"/>
    <w:rsid w:val="002749C8"/>
    <w:rsid w:val="00274DF4"/>
    <w:rsid w:val="00275091"/>
    <w:rsid w:val="002750BD"/>
    <w:rsid w:val="002757F0"/>
    <w:rsid w:val="0027581C"/>
    <w:rsid w:val="00275C8B"/>
    <w:rsid w:val="00275C8D"/>
    <w:rsid w:val="00276443"/>
    <w:rsid w:val="002765ED"/>
    <w:rsid w:val="00276850"/>
    <w:rsid w:val="00276B98"/>
    <w:rsid w:val="0027752B"/>
    <w:rsid w:val="002776B6"/>
    <w:rsid w:val="002777A6"/>
    <w:rsid w:val="00277DFC"/>
    <w:rsid w:val="00277EE0"/>
    <w:rsid w:val="0028016B"/>
    <w:rsid w:val="002802E5"/>
    <w:rsid w:val="00280309"/>
    <w:rsid w:val="0028035C"/>
    <w:rsid w:val="0028041B"/>
    <w:rsid w:val="00280696"/>
    <w:rsid w:val="002807B1"/>
    <w:rsid w:val="00280898"/>
    <w:rsid w:val="00280984"/>
    <w:rsid w:val="00281A2C"/>
    <w:rsid w:val="00281BFF"/>
    <w:rsid w:val="00281C67"/>
    <w:rsid w:val="00281CD0"/>
    <w:rsid w:val="00281E87"/>
    <w:rsid w:val="0028214A"/>
    <w:rsid w:val="00282154"/>
    <w:rsid w:val="002825DA"/>
    <w:rsid w:val="00282761"/>
    <w:rsid w:val="0028286D"/>
    <w:rsid w:val="00282D80"/>
    <w:rsid w:val="00282D8E"/>
    <w:rsid w:val="0028346A"/>
    <w:rsid w:val="002834B4"/>
    <w:rsid w:val="00283546"/>
    <w:rsid w:val="002837C7"/>
    <w:rsid w:val="0028383A"/>
    <w:rsid w:val="00283E89"/>
    <w:rsid w:val="00283EF9"/>
    <w:rsid w:val="00284099"/>
    <w:rsid w:val="00284151"/>
    <w:rsid w:val="002842D6"/>
    <w:rsid w:val="002844F6"/>
    <w:rsid w:val="00284579"/>
    <w:rsid w:val="002846FB"/>
    <w:rsid w:val="00284B6A"/>
    <w:rsid w:val="00284CB4"/>
    <w:rsid w:val="00284CD1"/>
    <w:rsid w:val="00284DBD"/>
    <w:rsid w:val="0028502C"/>
    <w:rsid w:val="002851F9"/>
    <w:rsid w:val="00285268"/>
    <w:rsid w:val="0028543C"/>
    <w:rsid w:val="002856CC"/>
    <w:rsid w:val="00285BE7"/>
    <w:rsid w:val="00285C09"/>
    <w:rsid w:val="00285CF9"/>
    <w:rsid w:val="00285D7C"/>
    <w:rsid w:val="00285E15"/>
    <w:rsid w:val="0028608D"/>
    <w:rsid w:val="00286487"/>
    <w:rsid w:val="0028686E"/>
    <w:rsid w:val="00286887"/>
    <w:rsid w:val="00286A67"/>
    <w:rsid w:val="00286E5F"/>
    <w:rsid w:val="002870B7"/>
    <w:rsid w:val="002873BA"/>
    <w:rsid w:val="0028757E"/>
    <w:rsid w:val="00287B86"/>
    <w:rsid w:val="00287DB0"/>
    <w:rsid w:val="00290413"/>
    <w:rsid w:val="002907DD"/>
    <w:rsid w:val="00290AAD"/>
    <w:rsid w:val="00290BD0"/>
    <w:rsid w:val="00290D36"/>
    <w:rsid w:val="00290E87"/>
    <w:rsid w:val="00291045"/>
    <w:rsid w:val="0029107D"/>
    <w:rsid w:val="00291566"/>
    <w:rsid w:val="00291824"/>
    <w:rsid w:val="00291B85"/>
    <w:rsid w:val="00291BC1"/>
    <w:rsid w:val="00292099"/>
    <w:rsid w:val="00292332"/>
    <w:rsid w:val="0029262D"/>
    <w:rsid w:val="00292973"/>
    <w:rsid w:val="002929BC"/>
    <w:rsid w:val="00292C93"/>
    <w:rsid w:val="00292CA9"/>
    <w:rsid w:val="002931DE"/>
    <w:rsid w:val="00293203"/>
    <w:rsid w:val="002935D6"/>
    <w:rsid w:val="002937AE"/>
    <w:rsid w:val="002937C4"/>
    <w:rsid w:val="00293974"/>
    <w:rsid w:val="002939C9"/>
    <w:rsid w:val="00293B50"/>
    <w:rsid w:val="00293B85"/>
    <w:rsid w:val="00293CB4"/>
    <w:rsid w:val="002945B0"/>
    <w:rsid w:val="002946BB"/>
    <w:rsid w:val="002949D4"/>
    <w:rsid w:val="00294A94"/>
    <w:rsid w:val="00294D9A"/>
    <w:rsid w:val="00294F70"/>
    <w:rsid w:val="002950DD"/>
    <w:rsid w:val="00295269"/>
    <w:rsid w:val="00295464"/>
    <w:rsid w:val="002956E6"/>
    <w:rsid w:val="002957F7"/>
    <w:rsid w:val="0029582C"/>
    <w:rsid w:val="00295973"/>
    <w:rsid w:val="00295B43"/>
    <w:rsid w:val="00295CEA"/>
    <w:rsid w:val="00295EDE"/>
    <w:rsid w:val="002962AB"/>
    <w:rsid w:val="00296866"/>
    <w:rsid w:val="0029693E"/>
    <w:rsid w:val="00296C4C"/>
    <w:rsid w:val="00296E8C"/>
    <w:rsid w:val="00297065"/>
    <w:rsid w:val="002970A4"/>
    <w:rsid w:val="002974C9"/>
    <w:rsid w:val="002975F3"/>
    <w:rsid w:val="00297A19"/>
    <w:rsid w:val="00297B30"/>
    <w:rsid w:val="00297DF1"/>
    <w:rsid w:val="002A031C"/>
    <w:rsid w:val="002A0362"/>
    <w:rsid w:val="002A0B04"/>
    <w:rsid w:val="002A1348"/>
    <w:rsid w:val="002A175D"/>
    <w:rsid w:val="002A1AFE"/>
    <w:rsid w:val="002A1D12"/>
    <w:rsid w:val="002A2798"/>
    <w:rsid w:val="002A2CAA"/>
    <w:rsid w:val="002A2D14"/>
    <w:rsid w:val="002A308C"/>
    <w:rsid w:val="002A32CE"/>
    <w:rsid w:val="002A3402"/>
    <w:rsid w:val="002A36B6"/>
    <w:rsid w:val="002A3886"/>
    <w:rsid w:val="002A3BEF"/>
    <w:rsid w:val="002A3C6A"/>
    <w:rsid w:val="002A41CB"/>
    <w:rsid w:val="002A4386"/>
    <w:rsid w:val="002A48FD"/>
    <w:rsid w:val="002A4A07"/>
    <w:rsid w:val="002A4DE9"/>
    <w:rsid w:val="002A57B9"/>
    <w:rsid w:val="002A58F6"/>
    <w:rsid w:val="002A5911"/>
    <w:rsid w:val="002A5AF1"/>
    <w:rsid w:val="002A5B6E"/>
    <w:rsid w:val="002A5DA0"/>
    <w:rsid w:val="002A5F9F"/>
    <w:rsid w:val="002A6093"/>
    <w:rsid w:val="002A613D"/>
    <w:rsid w:val="002A6142"/>
    <w:rsid w:val="002A62FA"/>
    <w:rsid w:val="002A68D7"/>
    <w:rsid w:val="002A6BEA"/>
    <w:rsid w:val="002A6BEC"/>
    <w:rsid w:val="002A6C5F"/>
    <w:rsid w:val="002A6C93"/>
    <w:rsid w:val="002A6CF2"/>
    <w:rsid w:val="002A71DC"/>
    <w:rsid w:val="002A7375"/>
    <w:rsid w:val="002A7924"/>
    <w:rsid w:val="002A7B09"/>
    <w:rsid w:val="002A7C85"/>
    <w:rsid w:val="002A7D06"/>
    <w:rsid w:val="002A7FBA"/>
    <w:rsid w:val="002B0819"/>
    <w:rsid w:val="002B089E"/>
    <w:rsid w:val="002B0C3C"/>
    <w:rsid w:val="002B1767"/>
    <w:rsid w:val="002B1859"/>
    <w:rsid w:val="002B19FC"/>
    <w:rsid w:val="002B1A9F"/>
    <w:rsid w:val="002B1CA2"/>
    <w:rsid w:val="002B1CE7"/>
    <w:rsid w:val="002B1DAC"/>
    <w:rsid w:val="002B1DB3"/>
    <w:rsid w:val="002B1EFC"/>
    <w:rsid w:val="002B23F5"/>
    <w:rsid w:val="002B2730"/>
    <w:rsid w:val="002B2759"/>
    <w:rsid w:val="002B2784"/>
    <w:rsid w:val="002B2922"/>
    <w:rsid w:val="002B2993"/>
    <w:rsid w:val="002B2AEC"/>
    <w:rsid w:val="002B2B97"/>
    <w:rsid w:val="002B2D75"/>
    <w:rsid w:val="002B30EC"/>
    <w:rsid w:val="002B311A"/>
    <w:rsid w:val="002B41D8"/>
    <w:rsid w:val="002B446F"/>
    <w:rsid w:val="002B47BA"/>
    <w:rsid w:val="002B4823"/>
    <w:rsid w:val="002B498A"/>
    <w:rsid w:val="002B49AC"/>
    <w:rsid w:val="002B4B8C"/>
    <w:rsid w:val="002B4D83"/>
    <w:rsid w:val="002B4D96"/>
    <w:rsid w:val="002B4EE8"/>
    <w:rsid w:val="002B5101"/>
    <w:rsid w:val="002B53A0"/>
    <w:rsid w:val="002B53F9"/>
    <w:rsid w:val="002B553C"/>
    <w:rsid w:val="002B5604"/>
    <w:rsid w:val="002B57E8"/>
    <w:rsid w:val="002B59C7"/>
    <w:rsid w:val="002B5E20"/>
    <w:rsid w:val="002B5E88"/>
    <w:rsid w:val="002B5F74"/>
    <w:rsid w:val="002B5FCE"/>
    <w:rsid w:val="002B5FE7"/>
    <w:rsid w:val="002B61A9"/>
    <w:rsid w:val="002B61E7"/>
    <w:rsid w:val="002B63B9"/>
    <w:rsid w:val="002B64B0"/>
    <w:rsid w:val="002B6709"/>
    <w:rsid w:val="002B677B"/>
    <w:rsid w:val="002B6AF9"/>
    <w:rsid w:val="002B6CAB"/>
    <w:rsid w:val="002B6D25"/>
    <w:rsid w:val="002B720B"/>
    <w:rsid w:val="002B72BE"/>
    <w:rsid w:val="002B7393"/>
    <w:rsid w:val="002B7422"/>
    <w:rsid w:val="002B7455"/>
    <w:rsid w:val="002B747C"/>
    <w:rsid w:val="002B74A2"/>
    <w:rsid w:val="002B7518"/>
    <w:rsid w:val="002B75D5"/>
    <w:rsid w:val="002B7DB4"/>
    <w:rsid w:val="002C0102"/>
    <w:rsid w:val="002C0187"/>
    <w:rsid w:val="002C048D"/>
    <w:rsid w:val="002C05D1"/>
    <w:rsid w:val="002C0784"/>
    <w:rsid w:val="002C08C5"/>
    <w:rsid w:val="002C0985"/>
    <w:rsid w:val="002C0F97"/>
    <w:rsid w:val="002C0FA3"/>
    <w:rsid w:val="002C0FC9"/>
    <w:rsid w:val="002C101C"/>
    <w:rsid w:val="002C1C54"/>
    <w:rsid w:val="002C2235"/>
    <w:rsid w:val="002C2365"/>
    <w:rsid w:val="002C237D"/>
    <w:rsid w:val="002C2417"/>
    <w:rsid w:val="002C2453"/>
    <w:rsid w:val="002C26D6"/>
    <w:rsid w:val="002C2E94"/>
    <w:rsid w:val="002C32CC"/>
    <w:rsid w:val="002C3496"/>
    <w:rsid w:val="002C3562"/>
    <w:rsid w:val="002C35EF"/>
    <w:rsid w:val="002C37B5"/>
    <w:rsid w:val="002C3988"/>
    <w:rsid w:val="002C3B98"/>
    <w:rsid w:val="002C3E08"/>
    <w:rsid w:val="002C42BD"/>
    <w:rsid w:val="002C449E"/>
    <w:rsid w:val="002C45BC"/>
    <w:rsid w:val="002C4FAF"/>
    <w:rsid w:val="002C50F6"/>
    <w:rsid w:val="002C53B6"/>
    <w:rsid w:val="002C5492"/>
    <w:rsid w:val="002C558A"/>
    <w:rsid w:val="002C58BE"/>
    <w:rsid w:val="002C5CE0"/>
    <w:rsid w:val="002C5F5D"/>
    <w:rsid w:val="002C60CC"/>
    <w:rsid w:val="002C6629"/>
    <w:rsid w:val="002C6653"/>
    <w:rsid w:val="002C6768"/>
    <w:rsid w:val="002C6951"/>
    <w:rsid w:val="002C6FF7"/>
    <w:rsid w:val="002C70A3"/>
    <w:rsid w:val="002C70A6"/>
    <w:rsid w:val="002C77E7"/>
    <w:rsid w:val="002C7F8C"/>
    <w:rsid w:val="002D02EF"/>
    <w:rsid w:val="002D0311"/>
    <w:rsid w:val="002D0435"/>
    <w:rsid w:val="002D04A3"/>
    <w:rsid w:val="002D081B"/>
    <w:rsid w:val="002D0880"/>
    <w:rsid w:val="002D08C2"/>
    <w:rsid w:val="002D0E98"/>
    <w:rsid w:val="002D1094"/>
    <w:rsid w:val="002D1611"/>
    <w:rsid w:val="002D1795"/>
    <w:rsid w:val="002D18BC"/>
    <w:rsid w:val="002D1C6C"/>
    <w:rsid w:val="002D1F5E"/>
    <w:rsid w:val="002D2366"/>
    <w:rsid w:val="002D23F0"/>
    <w:rsid w:val="002D2559"/>
    <w:rsid w:val="002D25F9"/>
    <w:rsid w:val="002D275C"/>
    <w:rsid w:val="002D29C0"/>
    <w:rsid w:val="002D29FE"/>
    <w:rsid w:val="002D2CB6"/>
    <w:rsid w:val="002D31DA"/>
    <w:rsid w:val="002D33F8"/>
    <w:rsid w:val="002D36D6"/>
    <w:rsid w:val="002D380D"/>
    <w:rsid w:val="002D3A5E"/>
    <w:rsid w:val="002D3C24"/>
    <w:rsid w:val="002D3E6F"/>
    <w:rsid w:val="002D4035"/>
    <w:rsid w:val="002D435B"/>
    <w:rsid w:val="002D4742"/>
    <w:rsid w:val="002D482E"/>
    <w:rsid w:val="002D4C83"/>
    <w:rsid w:val="002D5015"/>
    <w:rsid w:val="002D5122"/>
    <w:rsid w:val="002D5434"/>
    <w:rsid w:val="002D5633"/>
    <w:rsid w:val="002D5A75"/>
    <w:rsid w:val="002D5BA1"/>
    <w:rsid w:val="002D5C1B"/>
    <w:rsid w:val="002D5EC6"/>
    <w:rsid w:val="002D5F0E"/>
    <w:rsid w:val="002D623B"/>
    <w:rsid w:val="002D63A9"/>
    <w:rsid w:val="002D6670"/>
    <w:rsid w:val="002D675F"/>
    <w:rsid w:val="002D678B"/>
    <w:rsid w:val="002D6875"/>
    <w:rsid w:val="002D71F9"/>
    <w:rsid w:val="002D7269"/>
    <w:rsid w:val="002D7DA8"/>
    <w:rsid w:val="002E0324"/>
    <w:rsid w:val="002E09BB"/>
    <w:rsid w:val="002E0BD1"/>
    <w:rsid w:val="002E0E50"/>
    <w:rsid w:val="002E0E59"/>
    <w:rsid w:val="002E11B4"/>
    <w:rsid w:val="002E1571"/>
    <w:rsid w:val="002E1738"/>
    <w:rsid w:val="002E19D4"/>
    <w:rsid w:val="002E1D05"/>
    <w:rsid w:val="002E1EF0"/>
    <w:rsid w:val="002E20C7"/>
    <w:rsid w:val="002E20E6"/>
    <w:rsid w:val="002E26E5"/>
    <w:rsid w:val="002E2938"/>
    <w:rsid w:val="002E2C83"/>
    <w:rsid w:val="002E2D7F"/>
    <w:rsid w:val="002E2FE1"/>
    <w:rsid w:val="002E3201"/>
    <w:rsid w:val="002E3355"/>
    <w:rsid w:val="002E3411"/>
    <w:rsid w:val="002E358B"/>
    <w:rsid w:val="002E358C"/>
    <w:rsid w:val="002E3B0D"/>
    <w:rsid w:val="002E3CB5"/>
    <w:rsid w:val="002E3D16"/>
    <w:rsid w:val="002E3E86"/>
    <w:rsid w:val="002E3FE8"/>
    <w:rsid w:val="002E40C3"/>
    <w:rsid w:val="002E40C5"/>
    <w:rsid w:val="002E4132"/>
    <w:rsid w:val="002E49D6"/>
    <w:rsid w:val="002E534F"/>
    <w:rsid w:val="002E5522"/>
    <w:rsid w:val="002E556C"/>
    <w:rsid w:val="002E5DD6"/>
    <w:rsid w:val="002E63CE"/>
    <w:rsid w:val="002E6705"/>
    <w:rsid w:val="002E6759"/>
    <w:rsid w:val="002E6AC5"/>
    <w:rsid w:val="002E6F44"/>
    <w:rsid w:val="002E7195"/>
    <w:rsid w:val="002E719E"/>
    <w:rsid w:val="002E74FF"/>
    <w:rsid w:val="002E78A8"/>
    <w:rsid w:val="002E7B27"/>
    <w:rsid w:val="002F0026"/>
    <w:rsid w:val="002F0296"/>
    <w:rsid w:val="002F02D4"/>
    <w:rsid w:val="002F03A4"/>
    <w:rsid w:val="002F0456"/>
    <w:rsid w:val="002F04DA"/>
    <w:rsid w:val="002F06F0"/>
    <w:rsid w:val="002F0E60"/>
    <w:rsid w:val="002F1305"/>
    <w:rsid w:val="002F1456"/>
    <w:rsid w:val="002F1675"/>
    <w:rsid w:val="002F2348"/>
    <w:rsid w:val="002F2377"/>
    <w:rsid w:val="002F284E"/>
    <w:rsid w:val="002F2CDF"/>
    <w:rsid w:val="002F492C"/>
    <w:rsid w:val="002F4A42"/>
    <w:rsid w:val="002F4AB3"/>
    <w:rsid w:val="002F4CD6"/>
    <w:rsid w:val="002F4D3F"/>
    <w:rsid w:val="002F4E12"/>
    <w:rsid w:val="002F4E9D"/>
    <w:rsid w:val="002F4FE6"/>
    <w:rsid w:val="002F5222"/>
    <w:rsid w:val="002F522A"/>
    <w:rsid w:val="002F54E1"/>
    <w:rsid w:val="002F5886"/>
    <w:rsid w:val="002F5952"/>
    <w:rsid w:val="002F5A36"/>
    <w:rsid w:val="002F5A4E"/>
    <w:rsid w:val="002F5FCA"/>
    <w:rsid w:val="002F6102"/>
    <w:rsid w:val="002F6194"/>
    <w:rsid w:val="002F63AC"/>
    <w:rsid w:val="002F65C7"/>
    <w:rsid w:val="002F66C2"/>
    <w:rsid w:val="002F67F4"/>
    <w:rsid w:val="002F6CDD"/>
    <w:rsid w:val="002F6EA7"/>
    <w:rsid w:val="002F6EEB"/>
    <w:rsid w:val="002F6F0E"/>
    <w:rsid w:val="002F720C"/>
    <w:rsid w:val="002F75D0"/>
    <w:rsid w:val="002F767E"/>
    <w:rsid w:val="002F7D29"/>
    <w:rsid w:val="003000C9"/>
    <w:rsid w:val="00300185"/>
    <w:rsid w:val="0030050A"/>
    <w:rsid w:val="00300931"/>
    <w:rsid w:val="00300A0B"/>
    <w:rsid w:val="00300A2D"/>
    <w:rsid w:val="00300A5C"/>
    <w:rsid w:val="00300C14"/>
    <w:rsid w:val="00300E45"/>
    <w:rsid w:val="00300E65"/>
    <w:rsid w:val="003010F6"/>
    <w:rsid w:val="003012EA"/>
    <w:rsid w:val="003013E8"/>
    <w:rsid w:val="003019C2"/>
    <w:rsid w:val="00301A9D"/>
    <w:rsid w:val="00301CCC"/>
    <w:rsid w:val="00301E35"/>
    <w:rsid w:val="003020CA"/>
    <w:rsid w:val="00302212"/>
    <w:rsid w:val="003022BF"/>
    <w:rsid w:val="00302716"/>
    <w:rsid w:val="0030299D"/>
    <w:rsid w:val="00302A00"/>
    <w:rsid w:val="00302C8D"/>
    <w:rsid w:val="00302D7F"/>
    <w:rsid w:val="00302EE2"/>
    <w:rsid w:val="00303225"/>
    <w:rsid w:val="00303245"/>
    <w:rsid w:val="003033AA"/>
    <w:rsid w:val="003033CC"/>
    <w:rsid w:val="00303B44"/>
    <w:rsid w:val="00303BA7"/>
    <w:rsid w:val="00303BCA"/>
    <w:rsid w:val="00303C99"/>
    <w:rsid w:val="00303F87"/>
    <w:rsid w:val="0030422F"/>
    <w:rsid w:val="00304238"/>
    <w:rsid w:val="00304414"/>
    <w:rsid w:val="0030462C"/>
    <w:rsid w:val="00304C12"/>
    <w:rsid w:val="00304C15"/>
    <w:rsid w:val="003051FA"/>
    <w:rsid w:val="003052D6"/>
    <w:rsid w:val="0030536E"/>
    <w:rsid w:val="0030588D"/>
    <w:rsid w:val="00305F0A"/>
    <w:rsid w:val="003061A1"/>
    <w:rsid w:val="003062AA"/>
    <w:rsid w:val="00306608"/>
    <w:rsid w:val="003066C1"/>
    <w:rsid w:val="0030670C"/>
    <w:rsid w:val="0030674C"/>
    <w:rsid w:val="00306799"/>
    <w:rsid w:val="0030683B"/>
    <w:rsid w:val="00306B95"/>
    <w:rsid w:val="003071BD"/>
    <w:rsid w:val="00307573"/>
    <w:rsid w:val="00307E29"/>
    <w:rsid w:val="00307E30"/>
    <w:rsid w:val="00307FAE"/>
    <w:rsid w:val="0031046C"/>
    <w:rsid w:val="0031054A"/>
    <w:rsid w:val="00310586"/>
    <w:rsid w:val="00310695"/>
    <w:rsid w:val="00310883"/>
    <w:rsid w:val="00310AA1"/>
    <w:rsid w:val="00310D0C"/>
    <w:rsid w:val="00310FCB"/>
    <w:rsid w:val="003110FD"/>
    <w:rsid w:val="0031130B"/>
    <w:rsid w:val="0031164E"/>
    <w:rsid w:val="00311822"/>
    <w:rsid w:val="00311C90"/>
    <w:rsid w:val="00311DE5"/>
    <w:rsid w:val="00311DF6"/>
    <w:rsid w:val="00311E48"/>
    <w:rsid w:val="003122BC"/>
    <w:rsid w:val="0031239B"/>
    <w:rsid w:val="00312BA1"/>
    <w:rsid w:val="00312E44"/>
    <w:rsid w:val="00313101"/>
    <w:rsid w:val="003133CF"/>
    <w:rsid w:val="003134B9"/>
    <w:rsid w:val="0031397D"/>
    <w:rsid w:val="00313F24"/>
    <w:rsid w:val="00313F72"/>
    <w:rsid w:val="00314079"/>
    <w:rsid w:val="003144E4"/>
    <w:rsid w:val="00314622"/>
    <w:rsid w:val="003147E7"/>
    <w:rsid w:val="003148D6"/>
    <w:rsid w:val="00314C60"/>
    <w:rsid w:val="00314DE3"/>
    <w:rsid w:val="0031527F"/>
    <w:rsid w:val="0031562C"/>
    <w:rsid w:val="003156CA"/>
    <w:rsid w:val="00315C20"/>
    <w:rsid w:val="00315CDC"/>
    <w:rsid w:val="0031646C"/>
    <w:rsid w:val="00316534"/>
    <w:rsid w:val="00316978"/>
    <w:rsid w:val="00316BDE"/>
    <w:rsid w:val="00316C5B"/>
    <w:rsid w:val="00316DBB"/>
    <w:rsid w:val="00316DDE"/>
    <w:rsid w:val="00316E73"/>
    <w:rsid w:val="00316E77"/>
    <w:rsid w:val="00317154"/>
    <w:rsid w:val="0031716F"/>
    <w:rsid w:val="00317313"/>
    <w:rsid w:val="003175FC"/>
    <w:rsid w:val="0031799B"/>
    <w:rsid w:val="00317B86"/>
    <w:rsid w:val="00317D80"/>
    <w:rsid w:val="00317D83"/>
    <w:rsid w:val="00317EB2"/>
    <w:rsid w:val="003200B2"/>
    <w:rsid w:val="00320583"/>
    <w:rsid w:val="00320A6C"/>
    <w:rsid w:val="00320B3C"/>
    <w:rsid w:val="00320B60"/>
    <w:rsid w:val="00320C5F"/>
    <w:rsid w:val="00321276"/>
    <w:rsid w:val="00321532"/>
    <w:rsid w:val="003216AD"/>
    <w:rsid w:val="003219D0"/>
    <w:rsid w:val="00321CB4"/>
    <w:rsid w:val="00321D23"/>
    <w:rsid w:val="00321DD4"/>
    <w:rsid w:val="00321E37"/>
    <w:rsid w:val="003222F8"/>
    <w:rsid w:val="00322780"/>
    <w:rsid w:val="003227B7"/>
    <w:rsid w:val="00322A33"/>
    <w:rsid w:val="00322DA0"/>
    <w:rsid w:val="00322F8E"/>
    <w:rsid w:val="003234A1"/>
    <w:rsid w:val="003234B0"/>
    <w:rsid w:val="003237C5"/>
    <w:rsid w:val="003237CB"/>
    <w:rsid w:val="0032383D"/>
    <w:rsid w:val="00323BF9"/>
    <w:rsid w:val="00323CEC"/>
    <w:rsid w:val="00323EEC"/>
    <w:rsid w:val="003240F4"/>
    <w:rsid w:val="00324418"/>
    <w:rsid w:val="003244DD"/>
    <w:rsid w:val="003249D9"/>
    <w:rsid w:val="00324D31"/>
    <w:rsid w:val="00325223"/>
    <w:rsid w:val="00325D62"/>
    <w:rsid w:val="00325E19"/>
    <w:rsid w:val="00326033"/>
    <w:rsid w:val="0032611D"/>
    <w:rsid w:val="00326A0D"/>
    <w:rsid w:val="00326DE2"/>
    <w:rsid w:val="00326E7B"/>
    <w:rsid w:val="00326E89"/>
    <w:rsid w:val="00326E95"/>
    <w:rsid w:val="00327089"/>
    <w:rsid w:val="00327124"/>
    <w:rsid w:val="003273F2"/>
    <w:rsid w:val="00327861"/>
    <w:rsid w:val="00327C5A"/>
    <w:rsid w:val="00327D29"/>
    <w:rsid w:val="003300B7"/>
    <w:rsid w:val="00330266"/>
    <w:rsid w:val="00330441"/>
    <w:rsid w:val="00330A18"/>
    <w:rsid w:val="00330DF3"/>
    <w:rsid w:val="00330E17"/>
    <w:rsid w:val="00331074"/>
    <w:rsid w:val="003310EE"/>
    <w:rsid w:val="00331112"/>
    <w:rsid w:val="0033121F"/>
    <w:rsid w:val="003319F4"/>
    <w:rsid w:val="00331CD9"/>
    <w:rsid w:val="00331FA4"/>
    <w:rsid w:val="0033228B"/>
    <w:rsid w:val="0033253F"/>
    <w:rsid w:val="00332864"/>
    <w:rsid w:val="00332A01"/>
    <w:rsid w:val="00332BE3"/>
    <w:rsid w:val="00332FA7"/>
    <w:rsid w:val="00333607"/>
    <w:rsid w:val="00333619"/>
    <w:rsid w:val="00333678"/>
    <w:rsid w:val="00333973"/>
    <w:rsid w:val="00333D47"/>
    <w:rsid w:val="00333F14"/>
    <w:rsid w:val="00333FC3"/>
    <w:rsid w:val="003342E3"/>
    <w:rsid w:val="0033449F"/>
    <w:rsid w:val="003348A0"/>
    <w:rsid w:val="00334B50"/>
    <w:rsid w:val="00334F02"/>
    <w:rsid w:val="0033509A"/>
    <w:rsid w:val="0033511D"/>
    <w:rsid w:val="003355B8"/>
    <w:rsid w:val="003358D8"/>
    <w:rsid w:val="00335986"/>
    <w:rsid w:val="00335D8D"/>
    <w:rsid w:val="00335EF2"/>
    <w:rsid w:val="00335FF0"/>
    <w:rsid w:val="0033615E"/>
    <w:rsid w:val="003368EF"/>
    <w:rsid w:val="00336992"/>
    <w:rsid w:val="00336C76"/>
    <w:rsid w:val="00336E90"/>
    <w:rsid w:val="00336FFB"/>
    <w:rsid w:val="00337124"/>
    <w:rsid w:val="003371CB"/>
    <w:rsid w:val="003371D9"/>
    <w:rsid w:val="003375D6"/>
    <w:rsid w:val="003375E9"/>
    <w:rsid w:val="0033798A"/>
    <w:rsid w:val="00340025"/>
    <w:rsid w:val="0034002B"/>
    <w:rsid w:val="00340113"/>
    <w:rsid w:val="00340406"/>
    <w:rsid w:val="00340C5E"/>
    <w:rsid w:val="00340E08"/>
    <w:rsid w:val="00340E39"/>
    <w:rsid w:val="00340F16"/>
    <w:rsid w:val="00341087"/>
    <w:rsid w:val="00341381"/>
    <w:rsid w:val="00341798"/>
    <w:rsid w:val="00341936"/>
    <w:rsid w:val="00341DB1"/>
    <w:rsid w:val="00341EA7"/>
    <w:rsid w:val="0034202A"/>
    <w:rsid w:val="00342678"/>
    <w:rsid w:val="00342859"/>
    <w:rsid w:val="00342C7E"/>
    <w:rsid w:val="00342DFE"/>
    <w:rsid w:val="00342F33"/>
    <w:rsid w:val="003430E5"/>
    <w:rsid w:val="00343116"/>
    <w:rsid w:val="003431A8"/>
    <w:rsid w:val="00343298"/>
    <w:rsid w:val="003433D9"/>
    <w:rsid w:val="003436C9"/>
    <w:rsid w:val="0034380F"/>
    <w:rsid w:val="00343B9A"/>
    <w:rsid w:val="00344733"/>
    <w:rsid w:val="00344798"/>
    <w:rsid w:val="0034498E"/>
    <w:rsid w:val="00344A68"/>
    <w:rsid w:val="00344F3C"/>
    <w:rsid w:val="0034504E"/>
    <w:rsid w:val="0034507F"/>
    <w:rsid w:val="003450F6"/>
    <w:rsid w:val="0034556F"/>
    <w:rsid w:val="00345589"/>
    <w:rsid w:val="00345704"/>
    <w:rsid w:val="003458D6"/>
    <w:rsid w:val="00345FC0"/>
    <w:rsid w:val="003463DA"/>
    <w:rsid w:val="00346633"/>
    <w:rsid w:val="003467C7"/>
    <w:rsid w:val="003468F5"/>
    <w:rsid w:val="00346B0E"/>
    <w:rsid w:val="00346BAF"/>
    <w:rsid w:val="00346D0E"/>
    <w:rsid w:val="0034723F"/>
    <w:rsid w:val="00347428"/>
    <w:rsid w:val="00347711"/>
    <w:rsid w:val="003478A2"/>
    <w:rsid w:val="00347A03"/>
    <w:rsid w:val="00347ABD"/>
    <w:rsid w:val="00347C4E"/>
    <w:rsid w:val="0035070C"/>
    <w:rsid w:val="0035078F"/>
    <w:rsid w:val="00350D6B"/>
    <w:rsid w:val="00350D9C"/>
    <w:rsid w:val="00350F08"/>
    <w:rsid w:val="0035124D"/>
    <w:rsid w:val="003512BE"/>
    <w:rsid w:val="003516C8"/>
    <w:rsid w:val="00351A84"/>
    <w:rsid w:val="00351EE9"/>
    <w:rsid w:val="00352098"/>
    <w:rsid w:val="00352213"/>
    <w:rsid w:val="0035230D"/>
    <w:rsid w:val="003523C4"/>
    <w:rsid w:val="00352408"/>
    <w:rsid w:val="00352673"/>
    <w:rsid w:val="003526D9"/>
    <w:rsid w:val="0035279F"/>
    <w:rsid w:val="003529BA"/>
    <w:rsid w:val="00352F1A"/>
    <w:rsid w:val="003537BC"/>
    <w:rsid w:val="00353B29"/>
    <w:rsid w:val="0035401D"/>
    <w:rsid w:val="003544C5"/>
    <w:rsid w:val="0035469A"/>
    <w:rsid w:val="00354B4F"/>
    <w:rsid w:val="0035559C"/>
    <w:rsid w:val="00355876"/>
    <w:rsid w:val="00355C76"/>
    <w:rsid w:val="0035605E"/>
    <w:rsid w:val="0035622D"/>
    <w:rsid w:val="00356506"/>
    <w:rsid w:val="00356727"/>
    <w:rsid w:val="0035685C"/>
    <w:rsid w:val="003568A1"/>
    <w:rsid w:val="003569A1"/>
    <w:rsid w:val="003569D6"/>
    <w:rsid w:val="00356DE4"/>
    <w:rsid w:val="00356F75"/>
    <w:rsid w:val="00357330"/>
    <w:rsid w:val="0035756C"/>
    <w:rsid w:val="00357723"/>
    <w:rsid w:val="0036017C"/>
    <w:rsid w:val="0036050B"/>
    <w:rsid w:val="00360721"/>
    <w:rsid w:val="003607FE"/>
    <w:rsid w:val="0036084A"/>
    <w:rsid w:val="00360A75"/>
    <w:rsid w:val="00360E0F"/>
    <w:rsid w:val="00360F0C"/>
    <w:rsid w:val="00360F15"/>
    <w:rsid w:val="00361134"/>
    <w:rsid w:val="003614D5"/>
    <w:rsid w:val="0036156C"/>
    <w:rsid w:val="0036167F"/>
    <w:rsid w:val="0036177F"/>
    <w:rsid w:val="00361CD4"/>
    <w:rsid w:val="00361D43"/>
    <w:rsid w:val="00361FD4"/>
    <w:rsid w:val="0036270C"/>
    <w:rsid w:val="003629F9"/>
    <w:rsid w:val="00362D41"/>
    <w:rsid w:val="00362E40"/>
    <w:rsid w:val="003632CF"/>
    <w:rsid w:val="003634C1"/>
    <w:rsid w:val="00363A1E"/>
    <w:rsid w:val="00363CBE"/>
    <w:rsid w:val="00363D23"/>
    <w:rsid w:val="00363DD0"/>
    <w:rsid w:val="00363EE0"/>
    <w:rsid w:val="003641BD"/>
    <w:rsid w:val="003642DE"/>
    <w:rsid w:val="003643CD"/>
    <w:rsid w:val="0036458C"/>
    <w:rsid w:val="003645F0"/>
    <w:rsid w:val="003647C3"/>
    <w:rsid w:val="00364922"/>
    <w:rsid w:val="00365062"/>
    <w:rsid w:val="00365190"/>
    <w:rsid w:val="00365675"/>
    <w:rsid w:val="003659A4"/>
    <w:rsid w:val="00365C25"/>
    <w:rsid w:val="00366260"/>
    <w:rsid w:val="003663F0"/>
    <w:rsid w:val="00366416"/>
    <w:rsid w:val="00366457"/>
    <w:rsid w:val="003665BB"/>
    <w:rsid w:val="003666F8"/>
    <w:rsid w:val="00366990"/>
    <w:rsid w:val="003669B3"/>
    <w:rsid w:val="00366B83"/>
    <w:rsid w:val="00366FA4"/>
    <w:rsid w:val="0036724B"/>
    <w:rsid w:val="003672E7"/>
    <w:rsid w:val="00367824"/>
    <w:rsid w:val="0037014A"/>
    <w:rsid w:val="00370503"/>
    <w:rsid w:val="003706AC"/>
    <w:rsid w:val="00370833"/>
    <w:rsid w:val="00370BDA"/>
    <w:rsid w:val="00370D17"/>
    <w:rsid w:val="00370D96"/>
    <w:rsid w:val="00371187"/>
    <w:rsid w:val="003711D9"/>
    <w:rsid w:val="003711ED"/>
    <w:rsid w:val="0037126C"/>
    <w:rsid w:val="00371454"/>
    <w:rsid w:val="003715CB"/>
    <w:rsid w:val="003716AA"/>
    <w:rsid w:val="003725F6"/>
    <w:rsid w:val="00372633"/>
    <w:rsid w:val="003728BA"/>
    <w:rsid w:val="00372C40"/>
    <w:rsid w:val="00372CD7"/>
    <w:rsid w:val="00372E37"/>
    <w:rsid w:val="003730A1"/>
    <w:rsid w:val="003733CF"/>
    <w:rsid w:val="003734C3"/>
    <w:rsid w:val="00373693"/>
    <w:rsid w:val="00373833"/>
    <w:rsid w:val="0037394D"/>
    <w:rsid w:val="00373BA1"/>
    <w:rsid w:val="00373BCD"/>
    <w:rsid w:val="00374498"/>
    <w:rsid w:val="003747CA"/>
    <w:rsid w:val="00374938"/>
    <w:rsid w:val="00374A58"/>
    <w:rsid w:val="00374BB3"/>
    <w:rsid w:val="00374D6D"/>
    <w:rsid w:val="00374E13"/>
    <w:rsid w:val="00374F5E"/>
    <w:rsid w:val="0037550A"/>
    <w:rsid w:val="00375747"/>
    <w:rsid w:val="0037595D"/>
    <w:rsid w:val="0037657B"/>
    <w:rsid w:val="003767CB"/>
    <w:rsid w:val="00376EEC"/>
    <w:rsid w:val="00377488"/>
    <w:rsid w:val="003777CA"/>
    <w:rsid w:val="00377944"/>
    <w:rsid w:val="00377982"/>
    <w:rsid w:val="00377A43"/>
    <w:rsid w:val="003801E9"/>
    <w:rsid w:val="003804C1"/>
    <w:rsid w:val="0038094A"/>
    <w:rsid w:val="003809AF"/>
    <w:rsid w:val="00380C1A"/>
    <w:rsid w:val="00380C63"/>
    <w:rsid w:val="00380EA0"/>
    <w:rsid w:val="003814E3"/>
    <w:rsid w:val="00381538"/>
    <w:rsid w:val="0038164C"/>
    <w:rsid w:val="00381825"/>
    <w:rsid w:val="00381A30"/>
    <w:rsid w:val="00381BB4"/>
    <w:rsid w:val="00381C99"/>
    <w:rsid w:val="00381CBF"/>
    <w:rsid w:val="00381D8A"/>
    <w:rsid w:val="00382294"/>
    <w:rsid w:val="003822BF"/>
    <w:rsid w:val="003822E4"/>
    <w:rsid w:val="003827EC"/>
    <w:rsid w:val="0038296C"/>
    <w:rsid w:val="003829BA"/>
    <w:rsid w:val="003829E7"/>
    <w:rsid w:val="003830C8"/>
    <w:rsid w:val="00383A61"/>
    <w:rsid w:val="00383A8D"/>
    <w:rsid w:val="003840B7"/>
    <w:rsid w:val="003842BB"/>
    <w:rsid w:val="00384350"/>
    <w:rsid w:val="00384669"/>
    <w:rsid w:val="003849AC"/>
    <w:rsid w:val="00384C41"/>
    <w:rsid w:val="00384DB6"/>
    <w:rsid w:val="00384EA2"/>
    <w:rsid w:val="00384EE6"/>
    <w:rsid w:val="0038502A"/>
    <w:rsid w:val="00385347"/>
    <w:rsid w:val="003854C3"/>
    <w:rsid w:val="00385509"/>
    <w:rsid w:val="003855B9"/>
    <w:rsid w:val="00385663"/>
    <w:rsid w:val="003857CC"/>
    <w:rsid w:val="00385B32"/>
    <w:rsid w:val="00385D51"/>
    <w:rsid w:val="00385DBE"/>
    <w:rsid w:val="00386080"/>
    <w:rsid w:val="00386269"/>
    <w:rsid w:val="00386481"/>
    <w:rsid w:val="0038650D"/>
    <w:rsid w:val="00386519"/>
    <w:rsid w:val="003865AE"/>
    <w:rsid w:val="00386621"/>
    <w:rsid w:val="00386AA7"/>
    <w:rsid w:val="00386E84"/>
    <w:rsid w:val="00386F26"/>
    <w:rsid w:val="0038702D"/>
    <w:rsid w:val="003871A1"/>
    <w:rsid w:val="00387316"/>
    <w:rsid w:val="003874CA"/>
    <w:rsid w:val="00387585"/>
    <w:rsid w:val="003903BC"/>
    <w:rsid w:val="00390A90"/>
    <w:rsid w:val="00390B8B"/>
    <w:rsid w:val="00390D6D"/>
    <w:rsid w:val="00390E8C"/>
    <w:rsid w:val="00390ED8"/>
    <w:rsid w:val="003914EC"/>
    <w:rsid w:val="003916FF"/>
    <w:rsid w:val="00391766"/>
    <w:rsid w:val="003919AE"/>
    <w:rsid w:val="00391A40"/>
    <w:rsid w:val="00391D46"/>
    <w:rsid w:val="00392199"/>
    <w:rsid w:val="0039247B"/>
    <w:rsid w:val="0039251E"/>
    <w:rsid w:val="0039288C"/>
    <w:rsid w:val="00392DDB"/>
    <w:rsid w:val="00392FCB"/>
    <w:rsid w:val="00393078"/>
    <w:rsid w:val="003932C7"/>
    <w:rsid w:val="003932E1"/>
    <w:rsid w:val="003933A0"/>
    <w:rsid w:val="0039356F"/>
    <w:rsid w:val="00393C19"/>
    <w:rsid w:val="00393DD4"/>
    <w:rsid w:val="0039422C"/>
    <w:rsid w:val="00394346"/>
    <w:rsid w:val="003943E5"/>
    <w:rsid w:val="00394907"/>
    <w:rsid w:val="00394A17"/>
    <w:rsid w:val="00394BF4"/>
    <w:rsid w:val="00394D8F"/>
    <w:rsid w:val="0039504D"/>
    <w:rsid w:val="00395134"/>
    <w:rsid w:val="003952F6"/>
    <w:rsid w:val="00395417"/>
    <w:rsid w:val="003956CE"/>
    <w:rsid w:val="00395A85"/>
    <w:rsid w:val="00395BB6"/>
    <w:rsid w:val="00395D45"/>
    <w:rsid w:val="00395F98"/>
    <w:rsid w:val="00396080"/>
    <w:rsid w:val="00396143"/>
    <w:rsid w:val="00396297"/>
    <w:rsid w:val="00396644"/>
    <w:rsid w:val="00396840"/>
    <w:rsid w:val="00396852"/>
    <w:rsid w:val="003969D4"/>
    <w:rsid w:val="00396AEB"/>
    <w:rsid w:val="00396C30"/>
    <w:rsid w:val="00396C65"/>
    <w:rsid w:val="00396D46"/>
    <w:rsid w:val="00396D6E"/>
    <w:rsid w:val="00396F2B"/>
    <w:rsid w:val="00397110"/>
    <w:rsid w:val="003973B8"/>
    <w:rsid w:val="003974DC"/>
    <w:rsid w:val="003977CD"/>
    <w:rsid w:val="003977DF"/>
    <w:rsid w:val="00397907"/>
    <w:rsid w:val="00397EA0"/>
    <w:rsid w:val="00397ECD"/>
    <w:rsid w:val="003A020B"/>
    <w:rsid w:val="003A0382"/>
    <w:rsid w:val="003A06CF"/>
    <w:rsid w:val="003A10F4"/>
    <w:rsid w:val="003A1212"/>
    <w:rsid w:val="003A142F"/>
    <w:rsid w:val="003A1518"/>
    <w:rsid w:val="003A1715"/>
    <w:rsid w:val="003A1906"/>
    <w:rsid w:val="003A1997"/>
    <w:rsid w:val="003A1BC6"/>
    <w:rsid w:val="003A1D27"/>
    <w:rsid w:val="003A21D9"/>
    <w:rsid w:val="003A222C"/>
    <w:rsid w:val="003A295D"/>
    <w:rsid w:val="003A2968"/>
    <w:rsid w:val="003A2AB4"/>
    <w:rsid w:val="003A2B87"/>
    <w:rsid w:val="003A2BE2"/>
    <w:rsid w:val="003A2C40"/>
    <w:rsid w:val="003A2E30"/>
    <w:rsid w:val="003A2F89"/>
    <w:rsid w:val="003A2FA0"/>
    <w:rsid w:val="003A3416"/>
    <w:rsid w:val="003A3592"/>
    <w:rsid w:val="003A3843"/>
    <w:rsid w:val="003A3CB3"/>
    <w:rsid w:val="003A3DE4"/>
    <w:rsid w:val="003A409C"/>
    <w:rsid w:val="003A4127"/>
    <w:rsid w:val="003A42DE"/>
    <w:rsid w:val="003A4A43"/>
    <w:rsid w:val="003A4C31"/>
    <w:rsid w:val="003A4E9A"/>
    <w:rsid w:val="003A4FF2"/>
    <w:rsid w:val="003A505A"/>
    <w:rsid w:val="003A50EA"/>
    <w:rsid w:val="003A5212"/>
    <w:rsid w:val="003A530F"/>
    <w:rsid w:val="003A588D"/>
    <w:rsid w:val="003A5917"/>
    <w:rsid w:val="003A5A1E"/>
    <w:rsid w:val="003A6268"/>
    <w:rsid w:val="003A69DF"/>
    <w:rsid w:val="003A6C32"/>
    <w:rsid w:val="003A6D7E"/>
    <w:rsid w:val="003A6EA9"/>
    <w:rsid w:val="003A70DF"/>
    <w:rsid w:val="003A758F"/>
    <w:rsid w:val="003A761B"/>
    <w:rsid w:val="003A76D5"/>
    <w:rsid w:val="003A79FB"/>
    <w:rsid w:val="003A7C8C"/>
    <w:rsid w:val="003B05AB"/>
    <w:rsid w:val="003B0769"/>
    <w:rsid w:val="003B079F"/>
    <w:rsid w:val="003B08F0"/>
    <w:rsid w:val="003B0AFC"/>
    <w:rsid w:val="003B0B7E"/>
    <w:rsid w:val="003B0C88"/>
    <w:rsid w:val="003B0E80"/>
    <w:rsid w:val="003B17D0"/>
    <w:rsid w:val="003B190C"/>
    <w:rsid w:val="003B1932"/>
    <w:rsid w:val="003B1DE2"/>
    <w:rsid w:val="003B2051"/>
    <w:rsid w:val="003B2256"/>
    <w:rsid w:val="003B24B5"/>
    <w:rsid w:val="003B24EC"/>
    <w:rsid w:val="003B256A"/>
    <w:rsid w:val="003B2614"/>
    <w:rsid w:val="003B2818"/>
    <w:rsid w:val="003B29D1"/>
    <w:rsid w:val="003B2BEB"/>
    <w:rsid w:val="003B2D10"/>
    <w:rsid w:val="003B34AD"/>
    <w:rsid w:val="003B3506"/>
    <w:rsid w:val="003B357D"/>
    <w:rsid w:val="003B389F"/>
    <w:rsid w:val="003B397A"/>
    <w:rsid w:val="003B3AEB"/>
    <w:rsid w:val="003B3C72"/>
    <w:rsid w:val="003B3D72"/>
    <w:rsid w:val="003B3E9C"/>
    <w:rsid w:val="003B3EC8"/>
    <w:rsid w:val="003B415E"/>
    <w:rsid w:val="003B435B"/>
    <w:rsid w:val="003B4AD4"/>
    <w:rsid w:val="003B4B51"/>
    <w:rsid w:val="003B4DC0"/>
    <w:rsid w:val="003B5257"/>
    <w:rsid w:val="003B57B3"/>
    <w:rsid w:val="003B5E05"/>
    <w:rsid w:val="003B5EDE"/>
    <w:rsid w:val="003B5F47"/>
    <w:rsid w:val="003B631C"/>
    <w:rsid w:val="003B6597"/>
    <w:rsid w:val="003B666A"/>
    <w:rsid w:val="003B6736"/>
    <w:rsid w:val="003B6E97"/>
    <w:rsid w:val="003B7893"/>
    <w:rsid w:val="003B79A9"/>
    <w:rsid w:val="003B7B1C"/>
    <w:rsid w:val="003B7F64"/>
    <w:rsid w:val="003B7FB3"/>
    <w:rsid w:val="003C01C9"/>
    <w:rsid w:val="003C0204"/>
    <w:rsid w:val="003C0630"/>
    <w:rsid w:val="003C0CD1"/>
    <w:rsid w:val="003C0E59"/>
    <w:rsid w:val="003C0FC4"/>
    <w:rsid w:val="003C12F7"/>
    <w:rsid w:val="003C1A0D"/>
    <w:rsid w:val="003C1A90"/>
    <w:rsid w:val="003C1E62"/>
    <w:rsid w:val="003C1E6F"/>
    <w:rsid w:val="003C2052"/>
    <w:rsid w:val="003C2176"/>
    <w:rsid w:val="003C21A1"/>
    <w:rsid w:val="003C2406"/>
    <w:rsid w:val="003C24E7"/>
    <w:rsid w:val="003C2724"/>
    <w:rsid w:val="003C290C"/>
    <w:rsid w:val="003C2974"/>
    <w:rsid w:val="003C2A6C"/>
    <w:rsid w:val="003C326A"/>
    <w:rsid w:val="003C33A8"/>
    <w:rsid w:val="003C3566"/>
    <w:rsid w:val="003C3583"/>
    <w:rsid w:val="003C380B"/>
    <w:rsid w:val="003C38EF"/>
    <w:rsid w:val="003C3939"/>
    <w:rsid w:val="003C3B8D"/>
    <w:rsid w:val="003C3FFC"/>
    <w:rsid w:val="003C40C9"/>
    <w:rsid w:val="003C4159"/>
    <w:rsid w:val="003C42C4"/>
    <w:rsid w:val="003C4583"/>
    <w:rsid w:val="003C45B2"/>
    <w:rsid w:val="003C476A"/>
    <w:rsid w:val="003C48D6"/>
    <w:rsid w:val="003C4A12"/>
    <w:rsid w:val="003C4BF2"/>
    <w:rsid w:val="003C4EC2"/>
    <w:rsid w:val="003C5123"/>
    <w:rsid w:val="003C521C"/>
    <w:rsid w:val="003C55D5"/>
    <w:rsid w:val="003C55DD"/>
    <w:rsid w:val="003C584A"/>
    <w:rsid w:val="003C5966"/>
    <w:rsid w:val="003C5980"/>
    <w:rsid w:val="003C5BDB"/>
    <w:rsid w:val="003C650F"/>
    <w:rsid w:val="003C6676"/>
    <w:rsid w:val="003C670F"/>
    <w:rsid w:val="003C6768"/>
    <w:rsid w:val="003C67A1"/>
    <w:rsid w:val="003C6A89"/>
    <w:rsid w:val="003C6B19"/>
    <w:rsid w:val="003C6BAE"/>
    <w:rsid w:val="003C6C94"/>
    <w:rsid w:val="003C6EA2"/>
    <w:rsid w:val="003C6ED4"/>
    <w:rsid w:val="003C7275"/>
    <w:rsid w:val="003C7613"/>
    <w:rsid w:val="003C78D7"/>
    <w:rsid w:val="003C7CF4"/>
    <w:rsid w:val="003D013C"/>
    <w:rsid w:val="003D031B"/>
    <w:rsid w:val="003D0406"/>
    <w:rsid w:val="003D077B"/>
    <w:rsid w:val="003D0C02"/>
    <w:rsid w:val="003D0CE3"/>
    <w:rsid w:val="003D0E85"/>
    <w:rsid w:val="003D11D9"/>
    <w:rsid w:val="003D12EB"/>
    <w:rsid w:val="003D1319"/>
    <w:rsid w:val="003D13D8"/>
    <w:rsid w:val="003D13E4"/>
    <w:rsid w:val="003D1528"/>
    <w:rsid w:val="003D152B"/>
    <w:rsid w:val="003D153B"/>
    <w:rsid w:val="003D1707"/>
    <w:rsid w:val="003D183A"/>
    <w:rsid w:val="003D1989"/>
    <w:rsid w:val="003D1B5D"/>
    <w:rsid w:val="003D2626"/>
    <w:rsid w:val="003D2772"/>
    <w:rsid w:val="003D2778"/>
    <w:rsid w:val="003D29FC"/>
    <w:rsid w:val="003D2CF8"/>
    <w:rsid w:val="003D3001"/>
    <w:rsid w:val="003D30C9"/>
    <w:rsid w:val="003D31E5"/>
    <w:rsid w:val="003D3856"/>
    <w:rsid w:val="003D3AFA"/>
    <w:rsid w:val="003D3E6D"/>
    <w:rsid w:val="003D4183"/>
    <w:rsid w:val="003D418B"/>
    <w:rsid w:val="003D41FD"/>
    <w:rsid w:val="003D4290"/>
    <w:rsid w:val="003D42C3"/>
    <w:rsid w:val="003D4425"/>
    <w:rsid w:val="003D4C7D"/>
    <w:rsid w:val="003D4D93"/>
    <w:rsid w:val="003D4DAC"/>
    <w:rsid w:val="003D4F59"/>
    <w:rsid w:val="003D55B5"/>
    <w:rsid w:val="003D560E"/>
    <w:rsid w:val="003D56E9"/>
    <w:rsid w:val="003D56F1"/>
    <w:rsid w:val="003D58B4"/>
    <w:rsid w:val="003D5A04"/>
    <w:rsid w:val="003D5B49"/>
    <w:rsid w:val="003D5BCE"/>
    <w:rsid w:val="003D5C25"/>
    <w:rsid w:val="003D5F22"/>
    <w:rsid w:val="003D6077"/>
    <w:rsid w:val="003D60CC"/>
    <w:rsid w:val="003D624B"/>
    <w:rsid w:val="003D6657"/>
    <w:rsid w:val="003D6BE3"/>
    <w:rsid w:val="003D6CA1"/>
    <w:rsid w:val="003D6D5E"/>
    <w:rsid w:val="003D6F09"/>
    <w:rsid w:val="003D7115"/>
    <w:rsid w:val="003D7242"/>
    <w:rsid w:val="003D75B7"/>
    <w:rsid w:val="003D77B4"/>
    <w:rsid w:val="003D7812"/>
    <w:rsid w:val="003D7B98"/>
    <w:rsid w:val="003D7CDC"/>
    <w:rsid w:val="003D7D21"/>
    <w:rsid w:val="003D7D5F"/>
    <w:rsid w:val="003E0469"/>
    <w:rsid w:val="003E0674"/>
    <w:rsid w:val="003E07BF"/>
    <w:rsid w:val="003E096B"/>
    <w:rsid w:val="003E101F"/>
    <w:rsid w:val="003E111E"/>
    <w:rsid w:val="003E1281"/>
    <w:rsid w:val="003E15BF"/>
    <w:rsid w:val="003E1AEF"/>
    <w:rsid w:val="003E1D19"/>
    <w:rsid w:val="003E2000"/>
    <w:rsid w:val="003E22EA"/>
    <w:rsid w:val="003E2321"/>
    <w:rsid w:val="003E24C8"/>
    <w:rsid w:val="003E267F"/>
    <w:rsid w:val="003E28C3"/>
    <w:rsid w:val="003E2E99"/>
    <w:rsid w:val="003E3014"/>
    <w:rsid w:val="003E321C"/>
    <w:rsid w:val="003E34C7"/>
    <w:rsid w:val="003E376C"/>
    <w:rsid w:val="003E3A5E"/>
    <w:rsid w:val="003E3D9A"/>
    <w:rsid w:val="003E3F7C"/>
    <w:rsid w:val="003E456F"/>
    <w:rsid w:val="003E45E3"/>
    <w:rsid w:val="003E463F"/>
    <w:rsid w:val="003E46FC"/>
    <w:rsid w:val="003E492E"/>
    <w:rsid w:val="003E4BD9"/>
    <w:rsid w:val="003E4DF6"/>
    <w:rsid w:val="003E4F3B"/>
    <w:rsid w:val="003E5445"/>
    <w:rsid w:val="003E575D"/>
    <w:rsid w:val="003E58A3"/>
    <w:rsid w:val="003E594F"/>
    <w:rsid w:val="003E59DB"/>
    <w:rsid w:val="003E5B3B"/>
    <w:rsid w:val="003E5DAF"/>
    <w:rsid w:val="003E5E7A"/>
    <w:rsid w:val="003E61AE"/>
    <w:rsid w:val="003E6321"/>
    <w:rsid w:val="003E6376"/>
    <w:rsid w:val="003E63F6"/>
    <w:rsid w:val="003E643F"/>
    <w:rsid w:val="003E64D8"/>
    <w:rsid w:val="003E6A15"/>
    <w:rsid w:val="003E6DC1"/>
    <w:rsid w:val="003E6E10"/>
    <w:rsid w:val="003E733A"/>
    <w:rsid w:val="003E751C"/>
    <w:rsid w:val="003E77B1"/>
    <w:rsid w:val="003E77CF"/>
    <w:rsid w:val="003E7B29"/>
    <w:rsid w:val="003E7C9B"/>
    <w:rsid w:val="003F026E"/>
    <w:rsid w:val="003F02E5"/>
    <w:rsid w:val="003F0390"/>
    <w:rsid w:val="003F0773"/>
    <w:rsid w:val="003F0BCD"/>
    <w:rsid w:val="003F1261"/>
    <w:rsid w:val="003F162F"/>
    <w:rsid w:val="003F174F"/>
    <w:rsid w:val="003F1C9D"/>
    <w:rsid w:val="003F2096"/>
    <w:rsid w:val="003F2237"/>
    <w:rsid w:val="003F2441"/>
    <w:rsid w:val="003F2F2C"/>
    <w:rsid w:val="003F35FD"/>
    <w:rsid w:val="003F3AEC"/>
    <w:rsid w:val="003F3C69"/>
    <w:rsid w:val="003F4AAA"/>
    <w:rsid w:val="003F5225"/>
    <w:rsid w:val="003F565F"/>
    <w:rsid w:val="003F5988"/>
    <w:rsid w:val="003F599F"/>
    <w:rsid w:val="003F5B6F"/>
    <w:rsid w:val="003F6054"/>
    <w:rsid w:val="003F6355"/>
    <w:rsid w:val="003F6368"/>
    <w:rsid w:val="003F64FE"/>
    <w:rsid w:val="003F6562"/>
    <w:rsid w:val="003F6686"/>
    <w:rsid w:val="003F6AD1"/>
    <w:rsid w:val="003F739E"/>
    <w:rsid w:val="003F7460"/>
    <w:rsid w:val="003F7575"/>
    <w:rsid w:val="003F7786"/>
    <w:rsid w:val="003F7C1C"/>
    <w:rsid w:val="003F7C61"/>
    <w:rsid w:val="003F7F3A"/>
    <w:rsid w:val="003F7FFD"/>
    <w:rsid w:val="00400005"/>
    <w:rsid w:val="00400099"/>
    <w:rsid w:val="004000BB"/>
    <w:rsid w:val="00400272"/>
    <w:rsid w:val="00400280"/>
    <w:rsid w:val="0040044C"/>
    <w:rsid w:val="00400624"/>
    <w:rsid w:val="00400A6C"/>
    <w:rsid w:val="00400B7A"/>
    <w:rsid w:val="0040148E"/>
    <w:rsid w:val="004014DD"/>
    <w:rsid w:val="004014F9"/>
    <w:rsid w:val="004014FE"/>
    <w:rsid w:val="004017A0"/>
    <w:rsid w:val="004017D5"/>
    <w:rsid w:val="004019FC"/>
    <w:rsid w:val="00401AC2"/>
    <w:rsid w:val="00401C7F"/>
    <w:rsid w:val="00401CB1"/>
    <w:rsid w:val="00402012"/>
    <w:rsid w:val="00402472"/>
    <w:rsid w:val="004025B1"/>
    <w:rsid w:val="00402AC0"/>
    <w:rsid w:val="00402AE5"/>
    <w:rsid w:val="00402BF8"/>
    <w:rsid w:val="00402C83"/>
    <w:rsid w:val="00402DF8"/>
    <w:rsid w:val="00403467"/>
    <w:rsid w:val="00403651"/>
    <w:rsid w:val="004038CD"/>
    <w:rsid w:val="00403C1A"/>
    <w:rsid w:val="0040409E"/>
    <w:rsid w:val="0040493F"/>
    <w:rsid w:val="00404946"/>
    <w:rsid w:val="00404CD7"/>
    <w:rsid w:val="00404ED3"/>
    <w:rsid w:val="00404F13"/>
    <w:rsid w:val="00404F8F"/>
    <w:rsid w:val="00405258"/>
    <w:rsid w:val="0040538B"/>
    <w:rsid w:val="0040540E"/>
    <w:rsid w:val="00405446"/>
    <w:rsid w:val="004059CD"/>
    <w:rsid w:val="004059FB"/>
    <w:rsid w:val="00405B7B"/>
    <w:rsid w:val="00405DDD"/>
    <w:rsid w:val="0040624C"/>
    <w:rsid w:val="00406345"/>
    <w:rsid w:val="00406585"/>
    <w:rsid w:val="00406689"/>
    <w:rsid w:val="00406926"/>
    <w:rsid w:val="00406A54"/>
    <w:rsid w:val="00406ADB"/>
    <w:rsid w:val="00406EA6"/>
    <w:rsid w:val="00406F38"/>
    <w:rsid w:val="0040711E"/>
    <w:rsid w:val="0040752D"/>
    <w:rsid w:val="00407694"/>
    <w:rsid w:val="004076EE"/>
    <w:rsid w:val="00407803"/>
    <w:rsid w:val="004078C5"/>
    <w:rsid w:val="00407BA4"/>
    <w:rsid w:val="00410127"/>
    <w:rsid w:val="00410232"/>
    <w:rsid w:val="00410312"/>
    <w:rsid w:val="0041060E"/>
    <w:rsid w:val="0041067B"/>
    <w:rsid w:val="004106D3"/>
    <w:rsid w:val="00410E60"/>
    <w:rsid w:val="004110C4"/>
    <w:rsid w:val="00411123"/>
    <w:rsid w:val="0041116A"/>
    <w:rsid w:val="0041123C"/>
    <w:rsid w:val="00411495"/>
    <w:rsid w:val="004114C1"/>
    <w:rsid w:val="00411557"/>
    <w:rsid w:val="004115C8"/>
    <w:rsid w:val="00411D3D"/>
    <w:rsid w:val="00411EB4"/>
    <w:rsid w:val="00411EE4"/>
    <w:rsid w:val="004120C2"/>
    <w:rsid w:val="00412182"/>
    <w:rsid w:val="004121B8"/>
    <w:rsid w:val="00412376"/>
    <w:rsid w:val="0041257B"/>
    <w:rsid w:val="00412B37"/>
    <w:rsid w:val="00412B8E"/>
    <w:rsid w:val="00412C36"/>
    <w:rsid w:val="00413291"/>
    <w:rsid w:val="004135DC"/>
    <w:rsid w:val="004138D6"/>
    <w:rsid w:val="00413D3D"/>
    <w:rsid w:val="00413F48"/>
    <w:rsid w:val="0041405C"/>
    <w:rsid w:val="004143D2"/>
    <w:rsid w:val="00414AFE"/>
    <w:rsid w:val="00415237"/>
    <w:rsid w:val="0041530A"/>
    <w:rsid w:val="00415424"/>
    <w:rsid w:val="004157A5"/>
    <w:rsid w:val="004157D1"/>
    <w:rsid w:val="004158B5"/>
    <w:rsid w:val="00415976"/>
    <w:rsid w:val="00415B52"/>
    <w:rsid w:val="00415C81"/>
    <w:rsid w:val="00415CCF"/>
    <w:rsid w:val="00415DC7"/>
    <w:rsid w:val="00415EC4"/>
    <w:rsid w:val="0041626B"/>
    <w:rsid w:val="0041651C"/>
    <w:rsid w:val="00416552"/>
    <w:rsid w:val="00416CA0"/>
    <w:rsid w:val="0041721F"/>
    <w:rsid w:val="0042037B"/>
    <w:rsid w:val="004204DF"/>
    <w:rsid w:val="004205EF"/>
    <w:rsid w:val="00420898"/>
    <w:rsid w:val="004208D8"/>
    <w:rsid w:val="00420E35"/>
    <w:rsid w:val="004211F7"/>
    <w:rsid w:val="00421343"/>
    <w:rsid w:val="00421A1F"/>
    <w:rsid w:val="00421B23"/>
    <w:rsid w:val="004221BB"/>
    <w:rsid w:val="00422229"/>
    <w:rsid w:val="00422549"/>
    <w:rsid w:val="00422597"/>
    <w:rsid w:val="0042275F"/>
    <w:rsid w:val="00422D4F"/>
    <w:rsid w:val="00422F9B"/>
    <w:rsid w:val="004230DA"/>
    <w:rsid w:val="004231B2"/>
    <w:rsid w:val="004237B7"/>
    <w:rsid w:val="004238BE"/>
    <w:rsid w:val="004238FF"/>
    <w:rsid w:val="00424149"/>
    <w:rsid w:val="00424204"/>
    <w:rsid w:val="0042464A"/>
    <w:rsid w:val="0042497C"/>
    <w:rsid w:val="00424C8F"/>
    <w:rsid w:val="00424E1D"/>
    <w:rsid w:val="004251D4"/>
    <w:rsid w:val="004252F4"/>
    <w:rsid w:val="004255CE"/>
    <w:rsid w:val="00425641"/>
    <w:rsid w:val="00425714"/>
    <w:rsid w:val="00426172"/>
    <w:rsid w:val="00426190"/>
    <w:rsid w:val="004262F1"/>
    <w:rsid w:val="00426383"/>
    <w:rsid w:val="004264EE"/>
    <w:rsid w:val="0042650C"/>
    <w:rsid w:val="004266ED"/>
    <w:rsid w:val="00426700"/>
    <w:rsid w:val="00426C67"/>
    <w:rsid w:val="00426CB3"/>
    <w:rsid w:val="00426E32"/>
    <w:rsid w:val="004279C5"/>
    <w:rsid w:val="00430442"/>
    <w:rsid w:val="0043086D"/>
    <w:rsid w:val="00431071"/>
    <w:rsid w:val="004310A8"/>
    <w:rsid w:val="0043119A"/>
    <w:rsid w:val="004312FF"/>
    <w:rsid w:val="00431602"/>
    <w:rsid w:val="00431CEA"/>
    <w:rsid w:val="00431D1B"/>
    <w:rsid w:val="00431FFB"/>
    <w:rsid w:val="00432556"/>
    <w:rsid w:val="00432AB7"/>
    <w:rsid w:val="0043320E"/>
    <w:rsid w:val="0043323F"/>
    <w:rsid w:val="0043334F"/>
    <w:rsid w:val="00433474"/>
    <w:rsid w:val="004334CB"/>
    <w:rsid w:val="004338A9"/>
    <w:rsid w:val="00433B5A"/>
    <w:rsid w:val="00433D0F"/>
    <w:rsid w:val="00433D1A"/>
    <w:rsid w:val="00433E19"/>
    <w:rsid w:val="00433EC1"/>
    <w:rsid w:val="0043409E"/>
    <w:rsid w:val="004341F5"/>
    <w:rsid w:val="004343E6"/>
    <w:rsid w:val="00434AB3"/>
    <w:rsid w:val="00434BA3"/>
    <w:rsid w:val="00434FC5"/>
    <w:rsid w:val="00435B7B"/>
    <w:rsid w:val="00435CA3"/>
    <w:rsid w:val="00435DAF"/>
    <w:rsid w:val="00435F87"/>
    <w:rsid w:val="0043665C"/>
    <w:rsid w:val="00436729"/>
    <w:rsid w:val="00436740"/>
    <w:rsid w:val="004367FC"/>
    <w:rsid w:val="00436933"/>
    <w:rsid w:val="004369C2"/>
    <w:rsid w:val="004374E8"/>
    <w:rsid w:val="0043757B"/>
    <w:rsid w:val="00437938"/>
    <w:rsid w:val="00437B81"/>
    <w:rsid w:val="004400D0"/>
    <w:rsid w:val="004402F3"/>
    <w:rsid w:val="0044095F"/>
    <w:rsid w:val="004415A3"/>
    <w:rsid w:val="0044186F"/>
    <w:rsid w:val="00441A8B"/>
    <w:rsid w:val="00441CD9"/>
    <w:rsid w:val="00441FC3"/>
    <w:rsid w:val="00442581"/>
    <w:rsid w:val="00442709"/>
    <w:rsid w:val="00442C94"/>
    <w:rsid w:val="00442DF1"/>
    <w:rsid w:val="00443052"/>
    <w:rsid w:val="0044309A"/>
    <w:rsid w:val="004431D1"/>
    <w:rsid w:val="00443600"/>
    <w:rsid w:val="00443A87"/>
    <w:rsid w:val="00443B96"/>
    <w:rsid w:val="00443CF0"/>
    <w:rsid w:val="00443CFF"/>
    <w:rsid w:val="00443D52"/>
    <w:rsid w:val="0044408D"/>
    <w:rsid w:val="00444100"/>
    <w:rsid w:val="004443C1"/>
    <w:rsid w:val="00444578"/>
    <w:rsid w:val="004448CA"/>
    <w:rsid w:val="004449F8"/>
    <w:rsid w:val="00444F3F"/>
    <w:rsid w:val="004450C1"/>
    <w:rsid w:val="004451AC"/>
    <w:rsid w:val="00445303"/>
    <w:rsid w:val="0044537E"/>
    <w:rsid w:val="0044550F"/>
    <w:rsid w:val="0044552C"/>
    <w:rsid w:val="00445550"/>
    <w:rsid w:val="004455F2"/>
    <w:rsid w:val="004456E7"/>
    <w:rsid w:val="00445714"/>
    <w:rsid w:val="00445AC1"/>
    <w:rsid w:val="00445AE7"/>
    <w:rsid w:val="00445B02"/>
    <w:rsid w:val="00445BC4"/>
    <w:rsid w:val="00445CAE"/>
    <w:rsid w:val="00445CB9"/>
    <w:rsid w:val="00446312"/>
    <w:rsid w:val="004464D9"/>
    <w:rsid w:val="00446929"/>
    <w:rsid w:val="00446960"/>
    <w:rsid w:val="004469BB"/>
    <w:rsid w:val="00446A32"/>
    <w:rsid w:val="00447091"/>
    <w:rsid w:val="0044715A"/>
    <w:rsid w:val="004472CB"/>
    <w:rsid w:val="00447349"/>
    <w:rsid w:val="00447590"/>
    <w:rsid w:val="004476AC"/>
    <w:rsid w:val="00447796"/>
    <w:rsid w:val="004478DE"/>
    <w:rsid w:val="004479A8"/>
    <w:rsid w:val="00447B5C"/>
    <w:rsid w:val="00447C5C"/>
    <w:rsid w:val="00447FB3"/>
    <w:rsid w:val="00450049"/>
    <w:rsid w:val="004502B5"/>
    <w:rsid w:val="0045038F"/>
    <w:rsid w:val="004506BE"/>
    <w:rsid w:val="004509F1"/>
    <w:rsid w:val="00450D3E"/>
    <w:rsid w:val="00450DA4"/>
    <w:rsid w:val="004510D8"/>
    <w:rsid w:val="0045141C"/>
    <w:rsid w:val="0045169F"/>
    <w:rsid w:val="00451822"/>
    <w:rsid w:val="00451AF6"/>
    <w:rsid w:val="00451B2A"/>
    <w:rsid w:val="00451E8D"/>
    <w:rsid w:val="004524A6"/>
    <w:rsid w:val="004525C3"/>
    <w:rsid w:val="004527A1"/>
    <w:rsid w:val="004527E0"/>
    <w:rsid w:val="00452CE5"/>
    <w:rsid w:val="00452FA0"/>
    <w:rsid w:val="00453440"/>
    <w:rsid w:val="00453486"/>
    <w:rsid w:val="0045371F"/>
    <w:rsid w:val="004539C9"/>
    <w:rsid w:val="00453DF2"/>
    <w:rsid w:val="004540CA"/>
    <w:rsid w:val="00454407"/>
    <w:rsid w:val="004545E5"/>
    <w:rsid w:val="004546F5"/>
    <w:rsid w:val="00454758"/>
    <w:rsid w:val="0045481C"/>
    <w:rsid w:val="00454B20"/>
    <w:rsid w:val="00455194"/>
    <w:rsid w:val="00455592"/>
    <w:rsid w:val="0045562A"/>
    <w:rsid w:val="0045568C"/>
    <w:rsid w:val="0045598C"/>
    <w:rsid w:val="00455A49"/>
    <w:rsid w:val="004561AC"/>
    <w:rsid w:val="004561ED"/>
    <w:rsid w:val="004561F0"/>
    <w:rsid w:val="0045628C"/>
    <w:rsid w:val="00456370"/>
    <w:rsid w:val="004563C3"/>
    <w:rsid w:val="00456457"/>
    <w:rsid w:val="00456676"/>
    <w:rsid w:val="0045673F"/>
    <w:rsid w:val="00456BFB"/>
    <w:rsid w:val="00456FDF"/>
    <w:rsid w:val="004572ED"/>
    <w:rsid w:val="00457535"/>
    <w:rsid w:val="00457688"/>
    <w:rsid w:val="00457AD1"/>
    <w:rsid w:val="00457AE5"/>
    <w:rsid w:val="00457C00"/>
    <w:rsid w:val="00457CC2"/>
    <w:rsid w:val="00457CEA"/>
    <w:rsid w:val="00457D91"/>
    <w:rsid w:val="00457E14"/>
    <w:rsid w:val="004601BF"/>
    <w:rsid w:val="00460500"/>
    <w:rsid w:val="0046077D"/>
    <w:rsid w:val="00460A1E"/>
    <w:rsid w:val="00460CA5"/>
    <w:rsid w:val="00460E5E"/>
    <w:rsid w:val="004612D3"/>
    <w:rsid w:val="0046187D"/>
    <w:rsid w:val="004618A7"/>
    <w:rsid w:val="004618FF"/>
    <w:rsid w:val="00461B99"/>
    <w:rsid w:val="00461EEC"/>
    <w:rsid w:val="00462018"/>
    <w:rsid w:val="004621D7"/>
    <w:rsid w:val="004623EE"/>
    <w:rsid w:val="00462637"/>
    <w:rsid w:val="0046272A"/>
    <w:rsid w:val="00462A7E"/>
    <w:rsid w:val="00462FB6"/>
    <w:rsid w:val="00463BEB"/>
    <w:rsid w:val="00463F20"/>
    <w:rsid w:val="00464024"/>
    <w:rsid w:val="004642F9"/>
    <w:rsid w:val="00464988"/>
    <w:rsid w:val="00464D29"/>
    <w:rsid w:val="00464E2D"/>
    <w:rsid w:val="00464F69"/>
    <w:rsid w:val="00465418"/>
    <w:rsid w:val="004658F9"/>
    <w:rsid w:val="0046618A"/>
    <w:rsid w:val="004662B2"/>
    <w:rsid w:val="0046647E"/>
    <w:rsid w:val="0046666F"/>
    <w:rsid w:val="00466791"/>
    <w:rsid w:val="00466A60"/>
    <w:rsid w:val="00467132"/>
    <w:rsid w:val="00467538"/>
    <w:rsid w:val="004675FA"/>
    <w:rsid w:val="00467667"/>
    <w:rsid w:val="00467732"/>
    <w:rsid w:val="004678A0"/>
    <w:rsid w:val="0046796C"/>
    <w:rsid w:val="00467B4A"/>
    <w:rsid w:val="00467C96"/>
    <w:rsid w:val="00470130"/>
    <w:rsid w:val="00470682"/>
    <w:rsid w:val="004707F1"/>
    <w:rsid w:val="004709B0"/>
    <w:rsid w:val="00470B58"/>
    <w:rsid w:val="0047111E"/>
    <w:rsid w:val="004714C0"/>
    <w:rsid w:val="004714E2"/>
    <w:rsid w:val="004715F1"/>
    <w:rsid w:val="0047171E"/>
    <w:rsid w:val="0047190B"/>
    <w:rsid w:val="00471D5E"/>
    <w:rsid w:val="00471E6C"/>
    <w:rsid w:val="00471F45"/>
    <w:rsid w:val="004723D6"/>
    <w:rsid w:val="004724C8"/>
    <w:rsid w:val="00472996"/>
    <w:rsid w:val="00472B3A"/>
    <w:rsid w:val="00472E7C"/>
    <w:rsid w:val="00472FFC"/>
    <w:rsid w:val="0047344F"/>
    <w:rsid w:val="00473577"/>
    <w:rsid w:val="00473625"/>
    <w:rsid w:val="00473785"/>
    <w:rsid w:val="004737C2"/>
    <w:rsid w:val="00473B51"/>
    <w:rsid w:val="00473FC6"/>
    <w:rsid w:val="00474088"/>
    <w:rsid w:val="0047408A"/>
    <w:rsid w:val="0047420A"/>
    <w:rsid w:val="004743C9"/>
    <w:rsid w:val="004745A6"/>
    <w:rsid w:val="004745CF"/>
    <w:rsid w:val="0047474E"/>
    <w:rsid w:val="00474A71"/>
    <w:rsid w:val="00474B00"/>
    <w:rsid w:val="00474B20"/>
    <w:rsid w:val="0047569C"/>
    <w:rsid w:val="0047592E"/>
    <w:rsid w:val="00475F39"/>
    <w:rsid w:val="00476146"/>
    <w:rsid w:val="00476712"/>
    <w:rsid w:val="0047673E"/>
    <w:rsid w:val="00476974"/>
    <w:rsid w:val="00476AB6"/>
    <w:rsid w:val="00476C7C"/>
    <w:rsid w:val="00476D6A"/>
    <w:rsid w:val="00476D86"/>
    <w:rsid w:val="00476F37"/>
    <w:rsid w:val="00476F46"/>
    <w:rsid w:val="00477079"/>
    <w:rsid w:val="004772C6"/>
    <w:rsid w:val="004773AA"/>
    <w:rsid w:val="00477586"/>
    <w:rsid w:val="00477CC5"/>
    <w:rsid w:val="004807C4"/>
    <w:rsid w:val="00480B99"/>
    <w:rsid w:val="00480CCC"/>
    <w:rsid w:val="00480F4E"/>
    <w:rsid w:val="00481032"/>
    <w:rsid w:val="004811F0"/>
    <w:rsid w:val="004813DF"/>
    <w:rsid w:val="00481439"/>
    <w:rsid w:val="004814C9"/>
    <w:rsid w:val="00481621"/>
    <w:rsid w:val="0048164F"/>
    <w:rsid w:val="0048176C"/>
    <w:rsid w:val="00481799"/>
    <w:rsid w:val="00481906"/>
    <w:rsid w:val="00481A45"/>
    <w:rsid w:val="00481E90"/>
    <w:rsid w:val="0048235A"/>
    <w:rsid w:val="00482436"/>
    <w:rsid w:val="00482477"/>
    <w:rsid w:val="004824A0"/>
    <w:rsid w:val="0048274F"/>
    <w:rsid w:val="00482A82"/>
    <w:rsid w:val="00482AB0"/>
    <w:rsid w:val="00482C48"/>
    <w:rsid w:val="00482CB8"/>
    <w:rsid w:val="00482CD3"/>
    <w:rsid w:val="00482FF6"/>
    <w:rsid w:val="00483480"/>
    <w:rsid w:val="0048363B"/>
    <w:rsid w:val="0048396C"/>
    <w:rsid w:val="00483B8D"/>
    <w:rsid w:val="00483BDB"/>
    <w:rsid w:val="00483C3C"/>
    <w:rsid w:val="00483DD6"/>
    <w:rsid w:val="00483E41"/>
    <w:rsid w:val="00483F38"/>
    <w:rsid w:val="00483F4F"/>
    <w:rsid w:val="00484100"/>
    <w:rsid w:val="00484146"/>
    <w:rsid w:val="004843D1"/>
    <w:rsid w:val="004843DB"/>
    <w:rsid w:val="00484750"/>
    <w:rsid w:val="004848C0"/>
    <w:rsid w:val="0048499D"/>
    <w:rsid w:val="004855C6"/>
    <w:rsid w:val="00485669"/>
    <w:rsid w:val="004857D0"/>
    <w:rsid w:val="0048586D"/>
    <w:rsid w:val="00485A02"/>
    <w:rsid w:val="00485CE8"/>
    <w:rsid w:val="00485E80"/>
    <w:rsid w:val="0048610B"/>
    <w:rsid w:val="004861CF"/>
    <w:rsid w:val="00486325"/>
    <w:rsid w:val="00486612"/>
    <w:rsid w:val="004866EC"/>
    <w:rsid w:val="0048673B"/>
    <w:rsid w:val="004868DD"/>
    <w:rsid w:val="004868E5"/>
    <w:rsid w:val="00486A4B"/>
    <w:rsid w:val="00486FDC"/>
    <w:rsid w:val="0048703C"/>
    <w:rsid w:val="00487259"/>
    <w:rsid w:val="004874EE"/>
    <w:rsid w:val="00487590"/>
    <w:rsid w:val="004875E3"/>
    <w:rsid w:val="00487668"/>
    <w:rsid w:val="0048770D"/>
    <w:rsid w:val="00487941"/>
    <w:rsid w:val="00487C3C"/>
    <w:rsid w:val="00487C4B"/>
    <w:rsid w:val="00487CD3"/>
    <w:rsid w:val="0049007A"/>
    <w:rsid w:val="00490124"/>
    <w:rsid w:val="0049066E"/>
    <w:rsid w:val="0049078B"/>
    <w:rsid w:val="00490946"/>
    <w:rsid w:val="00490AC5"/>
    <w:rsid w:val="00490B58"/>
    <w:rsid w:val="00490FC5"/>
    <w:rsid w:val="0049112A"/>
    <w:rsid w:val="00491297"/>
    <w:rsid w:val="004918DE"/>
    <w:rsid w:val="00491BAB"/>
    <w:rsid w:val="00491BF3"/>
    <w:rsid w:val="00491C03"/>
    <w:rsid w:val="00491DF9"/>
    <w:rsid w:val="00492C33"/>
    <w:rsid w:val="00492E07"/>
    <w:rsid w:val="00492E58"/>
    <w:rsid w:val="00492E7F"/>
    <w:rsid w:val="00492ED0"/>
    <w:rsid w:val="00492F78"/>
    <w:rsid w:val="004931B6"/>
    <w:rsid w:val="0049344E"/>
    <w:rsid w:val="004936D2"/>
    <w:rsid w:val="004937C9"/>
    <w:rsid w:val="0049390A"/>
    <w:rsid w:val="00493A24"/>
    <w:rsid w:val="00493B8D"/>
    <w:rsid w:val="00493C94"/>
    <w:rsid w:val="00493F08"/>
    <w:rsid w:val="004943C3"/>
    <w:rsid w:val="004945BC"/>
    <w:rsid w:val="00494CA7"/>
    <w:rsid w:val="00494F04"/>
    <w:rsid w:val="00494F5C"/>
    <w:rsid w:val="00495300"/>
    <w:rsid w:val="0049530A"/>
    <w:rsid w:val="004954E6"/>
    <w:rsid w:val="004956D2"/>
    <w:rsid w:val="00495732"/>
    <w:rsid w:val="00496564"/>
    <w:rsid w:val="00496914"/>
    <w:rsid w:val="004979CF"/>
    <w:rsid w:val="00497A85"/>
    <w:rsid w:val="00497DFA"/>
    <w:rsid w:val="004A00B5"/>
    <w:rsid w:val="004A0174"/>
    <w:rsid w:val="004A054C"/>
    <w:rsid w:val="004A0611"/>
    <w:rsid w:val="004A0772"/>
    <w:rsid w:val="004A0C7E"/>
    <w:rsid w:val="004A0F45"/>
    <w:rsid w:val="004A12E3"/>
    <w:rsid w:val="004A1713"/>
    <w:rsid w:val="004A19D0"/>
    <w:rsid w:val="004A22A1"/>
    <w:rsid w:val="004A259F"/>
    <w:rsid w:val="004A26C3"/>
    <w:rsid w:val="004A27EE"/>
    <w:rsid w:val="004A2869"/>
    <w:rsid w:val="004A29AA"/>
    <w:rsid w:val="004A2BD7"/>
    <w:rsid w:val="004A2DD8"/>
    <w:rsid w:val="004A322F"/>
    <w:rsid w:val="004A3446"/>
    <w:rsid w:val="004A36CE"/>
    <w:rsid w:val="004A3838"/>
    <w:rsid w:val="004A3B37"/>
    <w:rsid w:val="004A3C7E"/>
    <w:rsid w:val="004A3DEC"/>
    <w:rsid w:val="004A4155"/>
    <w:rsid w:val="004A4310"/>
    <w:rsid w:val="004A435B"/>
    <w:rsid w:val="004A4CF1"/>
    <w:rsid w:val="004A4E6F"/>
    <w:rsid w:val="004A51CA"/>
    <w:rsid w:val="004A5724"/>
    <w:rsid w:val="004A57A7"/>
    <w:rsid w:val="004A5A02"/>
    <w:rsid w:val="004A5EA1"/>
    <w:rsid w:val="004A63FA"/>
    <w:rsid w:val="004A6785"/>
    <w:rsid w:val="004A6A0A"/>
    <w:rsid w:val="004A6CBB"/>
    <w:rsid w:val="004A6CC8"/>
    <w:rsid w:val="004A6E92"/>
    <w:rsid w:val="004A7253"/>
    <w:rsid w:val="004A7422"/>
    <w:rsid w:val="004A7652"/>
    <w:rsid w:val="004A7EAB"/>
    <w:rsid w:val="004A7FED"/>
    <w:rsid w:val="004B002B"/>
    <w:rsid w:val="004B00EA"/>
    <w:rsid w:val="004B0715"/>
    <w:rsid w:val="004B07B6"/>
    <w:rsid w:val="004B097C"/>
    <w:rsid w:val="004B1016"/>
    <w:rsid w:val="004B105A"/>
    <w:rsid w:val="004B10E5"/>
    <w:rsid w:val="004B123C"/>
    <w:rsid w:val="004B16B5"/>
    <w:rsid w:val="004B1822"/>
    <w:rsid w:val="004B21F0"/>
    <w:rsid w:val="004B228D"/>
    <w:rsid w:val="004B22B3"/>
    <w:rsid w:val="004B29A7"/>
    <w:rsid w:val="004B2A55"/>
    <w:rsid w:val="004B2CD4"/>
    <w:rsid w:val="004B34CB"/>
    <w:rsid w:val="004B36B2"/>
    <w:rsid w:val="004B39C3"/>
    <w:rsid w:val="004B3A57"/>
    <w:rsid w:val="004B3FD9"/>
    <w:rsid w:val="004B412B"/>
    <w:rsid w:val="004B4ADA"/>
    <w:rsid w:val="004B4C88"/>
    <w:rsid w:val="004B4EDF"/>
    <w:rsid w:val="004B4F44"/>
    <w:rsid w:val="004B4F5D"/>
    <w:rsid w:val="004B503C"/>
    <w:rsid w:val="004B518F"/>
    <w:rsid w:val="004B536F"/>
    <w:rsid w:val="004B5850"/>
    <w:rsid w:val="004B59B7"/>
    <w:rsid w:val="004B5AE9"/>
    <w:rsid w:val="004B5B5D"/>
    <w:rsid w:val="004B5D25"/>
    <w:rsid w:val="004B60BA"/>
    <w:rsid w:val="004B62C2"/>
    <w:rsid w:val="004B679B"/>
    <w:rsid w:val="004B6B54"/>
    <w:rsid w:val="004B6E1F"/>
    <w:rsid w:val="004B6E6E"/>
    <w:rsid w:val="004B70A4"/>
    <w:rsid w:val="004B7111"/>
    <w:rsid w:val="004B7148"/>
    <w:rsid w:val="004B720F"/>
    <w:rsid w:val="004B74E2"/>
    <w:rsid w:val="004B775E"/>
    <w:rsid w:val="004B7F8C"/>
    <w:rsid w:val="004C0048"/>
    <w:rsid w:val="004C01B9"/>
    <w:rsid w:val="004C0A49"/>
    <w:rsid w:val="004C0B06"/>
    <w:rsid w:val="004C0B9E"/>
    <w:rsid w:val="004C0DD6"/>
    <w:rsid w:val="004C1ECF"/>
    <w:rsid w:val="004C2050"/>
    <w:rsid w:val="004C2419"/>
    <w:rsid w:val="004C2814"/>
    <w:rsid w:val="004C2CED"/>
    <w:rsid w:val="004C2D4B"/>
    <w:rsid w:val="004C2DBF"/>
    <w:rsid w:val="004C2FFB"/>
    <w:rsid w:val="004C35B0"/>
    <w:rsid w:val="004C363D"/>
    <w:rsid w:val="004C36AC"/>
    <w:rsid w:val="004C36C5"/>
    <w:rsid w:val="004C3780"/>
    <w:rsid w:val="004C3A1C"/>
    <w:rsid w:val="004C3CB5"/>
    <w:rsid w:val="004C3F61"/>
    <w:rsid w:val="004C404D"/>
    <w:rsid w:val="004C43C3"/>
    <w:rsid w:val="004C47BA"/>
    <w:rsid w:val="004C47FF"/>
    <w:rsid w:val="004C4BA1"/>
    <w:rsid w:val="004C4D42"/>
    <w:rsid w:val="004C550A"/>
    <w:rsid w:val="004C5604"/>
    <w:rsid w:val="004C57BC"/>
    <w:rsid w:val="004C5C6D"/>
    <w:rsid w:val="004C6371"/>
    <w:rsid w:val="004C63F6"/>
    <w:rsid w:val="004C6456"/>
    <w:rsid w:val="004C68F8"/>
    <w:rsid w:val="004C6AC7"/>
    <w:rsid w:val="004C6FF3"/>
    <w:rsid w:val="004C7161"/>
    <w:rsid w:val="004C77AC"/>
    <w:rsid w:val="004C7F3B"/>
    <w:rsid w:val="004D0357"/>
    <w:rsid w:val="004D0512"/>
    <w:rsid w:val="004D08DF"/>
    <w:rsid w:val="004D0D3F"/>
    <w:rsid w:val="004D0E00"/>
    <w:rsid w:val="004D1444"/>
    <w:rsid w:val="004D1601"/>
    <w:rsid w:val="004D172C"/>
    <w:rsid w:val="004D1AB8"/>
    <w:rsid w:val="004D1E45"/>
    <w:rsid w:val="004D23C7"/>
    <w:rsid w:val="004D294D"/>
    <w:rsid w:val="004D29A1"/>
    <w:rsid w:val="004D2B00"/>
    <w:rsid w:val="004D2B36"/>
    <w:rsid w:val="004D2B85"/>
    <w:rsid w:val="004D2D4A"/>
    <w:rsid w:val="004D2DE9"/>
    <w:rsid w:val="004D34B6"/>
    <w:rsid w:val="004D35FD"/>
    <w:rsid w:val="004D3B84"/>
    <w:rsid w:val="004D3CC3"/>
    <w:rsid w:val="004D3F4A"/>
    <w:rsid w:val="004D457D"/>
    <w:rsid w:val="004D45CF"/>
    <w:rsid w:val="004D488D"/>
    <w:rsid w:val="004D4C52"/>
    <w:rsid w:val="004D4E39"/>
    <w:rsid w:val="004D4F5E"/>
    <w:rsid w:val="004D50FF"/>
    <w:rsid w:val="004D539A"/>
    <w:rsid w:val="004D54A8"/>
    <w:rsid w:val="004D5694"/>
    <w:rsid w:val="004D5B04"/>
    <w:rsid w:val="004D5CB2"/>
    <w:rsid w:val="004D5D95"/>
    <w:rsid w:val="004D6087"/>
    <w:rsid w:val="004D6139"/>
    <w:rsid w:val="004D6479"/>
    <w:rsid w:val="004D6514"/>
    <w:rsid w:val="004D65A2"/>
    <w:rsid w:val="004D6A63"/>
    <w:rsid w:val="004D6A64"/>
    <w:rsid w:val="004D6BBB"/>
    <w:rsid w:val="004D6C7A"/>
    <w:rsid w:val="004D7051"/>
    <w:rsid w:val="004D7C37"/>
    <w:rsid w:val="004D7CCB"/>
    <w:rsid w:val="004E029B"/>
    <w:rsid w:val="004E065F"/>
    <w:rsid w:val="004E0AFF"/>
    <w:rsid w:val="004E0FD9"/>
    <w:rsid w:val="004E15A4"/>
    <w:rsid w:val="004E1635"/>
    <w:rsid w:val="004E1642"/>
    <w:rsid w:val="004E174C"/>
    <w:rsid w:val="004E1778"/>
    <w:rsid w:val="004E1C2D"/>
    <w:rsid w:val="004E1D8E"/>
    <w:rsid w:val="004E1D9B"/>
    <w:rsid w:val="004E216A"/>
    <w:rsid w:val="004E2560"/>
    <w:rsid w:val="004E26B4"/>
    <w:rsid w:val="004E2759"/>
    <w:rsid w:val="004E3080"/>
    <w:rsid w:val="004E31DF"/>
    <w:rsid w:val="004E34F2"/>
    <w:rsid w:val="004E3B3D"/>
    <w:rsid w:val="004E3CC0"/>
    <w:rsid w:val="004E3D07"/>
    <w:rsid w:val="004E3D44"/>
    <w:rsid w:val="004E3D9B"/>
    <w:rsid w:val="004E3F22"/>
    <w:rsid w:val="004E3FB6"/>
    <w:rsid w:val="004E431E"/>
    <w:rsid w:val="004E43A2"/>
    <w:rsid w:val="004E44A4"/>
    <w:rsid w:val="004E47C8"/>
    <w:rsid w:val="004E47CF"/>
    <w:rsid w:val="004E4C28"/>
    <w:rsid w:val="004E4CCA"/>
    <w:rsid w:val="004E4DBE"/>
    <w:rsid w:val="004E4F42"/>
    <w:rsid w:val="004E5076"/>
    <w:rsid w:val="004E520F"/>
    <w:rsid w:val="004E5625"/>
    <w:rsid w:val="004E5887"/>
    <w:rsid w:val="004E5AD1"/>
    <w:rsid w:val="004E5AF4"/>
    <w:rsid w:val="004E6361"/>
    <w:rsid w:val="004E64F0"/>
    <w:rsid w:val="004E6853"/>
    <w:rsid w:val="004E6916"/>
    <w:rsid w:val="004E6EC0"/>
    <w:rsid w:val="004E6F80"/>
    <w:rsid w:val="004E707D"/>
    <w:rsid w:val="004E754A"/>
    <w:rsid w:val="004E75AD"/>
    <w:rsid w:val="004E7A6A"/>
    <w:rsid w:val="004F0319"/>
    <w:rsid w:val="004F063C"/>
    <w:rsid w:val="004F09EE"/>
    <w:rsid w:val="004F0A36"/>
    <w:rsid w:val="004F0D09"/>
    <w:rsid w:val="004F0ECF"/>
    <w:rsid w:val="004F1028"/>
    <w:rsid w:val="004F11E5"/>
    <w:rsid w:val="004F131D"/>
    <w:rsid w:val="004F1830"/>
    <w:rsid w:val="004F18AB"/>
    <w:rsid w:val="004F18CA"/>
    <w:rsid w:val="004F1A26"/>
    <w:rsid w:val="004F1A8A"/>
    <w:rsid w:val="004F1F16"/>
    <w:rsid w:val="004F2122"/>
    <w:rsid w:val="004F215C"/>
    <w:rsid w:val="004F22B7"/>
    <w:rsid w:val="004F2697"/>
    <w:rsid w:val="004F2A9E"/>
    <w:rsid w:val="004F2AE6"/>
    <w:rsid w:val="004F2D4A"/>
    <w:rsid w:val="004F2D75"/>
    <w:rsid w:val="004F2E15"/>
    <w:rsid w:val="004F2F30"/>
    <w:rsid w:val="004F317B"/>
    <w:rsid w:val="004F326F"/>
    <w:rsid w:val="004F33E4"/>
    <w:rsid w:val="004F3417"/>
    <w:rsid w:val="004F355F"/>
    <w:rsid w:val="004F395D"/>
    <w:rsid w:val="004F3C00"/>
    <w:rsid w:val="004F3E52"/>
    <w:rsid w:val="004F3F8C"/>
    <w:rsid w:val="004F4217"/>
    <w:rsid w:val="004F45DD"/>
    <w:rsid w:val="004F4BAC"/>
    <w:rsid w:val="004F4BE6"/>
    <w:rsid w:val="004F4CF1"/>
    <w:rsid w:val="004F4D82"/>
    <w:rsid w:val="004F4E2E"/>
    <w:rsid w:val="004F4E46"/>
    <w:rsid w:val="004F50FD"/>
    <w:rsid w:val="004F55EF"/>
    <w:rsid w:val="004F5AEC"/>
    <w:rsid w:val="004F5C46"/>
    <w:rsid w:val="004F5C7A"/>
    <w:rsid w:val="004F5D5D"/>
    <w:rsid w:val="004F5D92"/>
    <w:rsid w:val="004F5DE3"/>
    <w:rsid w:val="004F5FD6"/>
    <w:rsid w:val="004F6061"/>
    <w:rsid w:val="004F6082"/>
    <w:rsid w:val="004F66B6"/>
    <w:rsid w:val="004F6837"/>
    <w:rsid w:val="004F6881"/>
    <w:rsid w:val="004F6959"/>
    <w:rsid w:val="004F6C12"/>
    <w:rsid w:val="004F6CB6"/>
    <w:rsid w:val="004F6E1F"/>
    <w:rsid w:val="004F72E5"/>
    <w:rsid w:val="004F73BB"/>
    <w:rsid w:val="004F7D67"/>
    <w:rsid w:val="004F7D9C"/>
    <w:rsid w:val="004F7E39"/>
    <w:rsid w:val="005002AC"/>
    <w:rsid w:val="00500731"/>
    <w:rsid w:val="00500771"/>
    <w:rsid w:val="00500772"/>
    <w:rsid w:val="00500967"/>
    <w:rsid w:val="00500B1C"/>
    <w:rsid w:val="00500BCC"/>
    <w:rsid w:val="00500D61"/>
    <w:rsid w:val="00501039"/>
    <w:rsid w:val="0050114D"/>
    <w:rsid w:val="005013C0"/>
    <w:rsid w:val="005014FF"/>
    <w:rsid w:val="00501720"/>
    <w:rsid w:val="00501A72"/>
    <w:rsid w:val="00501D58"/>
    <w:rsid w:val="005021E6"/>
    <w:rsid w:val="00502387"/>
    <w:rsid w:val="00502752"/>
    <w:rsid w:val="005027FD"/>
    <w:rsid w:val="00502F81"/>
    <w:rsid w:val="00503226"/>
    <w:rsid w:val="00503AED"/>
    <w:rsid w:val="00503C57"/>
    <w:rsid w:val="00503CB3"/>
    <w:rsid w:val="005048C3"/>
    <w:rsid w:val="00504923"/>
    <w:rsid w:val="005049A0"/>
    <w:rsid w:val="00504C18"/>
    <w:rsid w:val="00504ECD"/>
    <w:rsid w:val="0050509E"/>
    <w:rsid w:val="005054C6"/>
    <w:rsid w:val="0050552A"/>
    <w:rsid w:val="005055CA"/>
    <w:rsid w:val="0050562B"/>
    <w:rsid w:val="00505CB0"/>
    <w:rsid w:val="00506102"/>
    <w:rsid w:val="005062CC"/>
    <w:rsid w:val="0050666C"/>
    <w:rsid w:val="0050692B"/>
    <w:rsid w:val="00506B82"/>
    <w:rsid w:val="00506E42"/>
    <w:rsid w:val="00506E9C"/>
    <w:rsid w:val="00506F59"/>
    <w:rsid w:val="00506FBF"/>
    <w:rsid w:val="005070BD"/>
    <w:rsid w:val="00507300"/>
    <w:rsid w:val="005077A6"/>
    <w:rsid w:val="00507954"/>
    <w:rsid w:val="00507E27"/>
    <w:rsid w:val="00507E43"/>
    <w:rsid w:val="0051003F"/>
    <w:rsid w:val="00510097"/>
    <w:rsid w:val="00510428"/>
    <w:rsid w:val="00510668"/>
    <w:rsid w:val="00510C49"/>
    <w:rsid w:val="00510EB5"/>
    <w:rsid w:val="00510FB7"/>
    <w:rsid w:val="00511157"/>
    <w:rsid w:val="00511194"/>
    <w:rsid w:val="005111C7"/>
    <w:rsid w:val="00511398"/>
    <w:rsid w:val="0051151C"/>
    <w:rsid w:val="005116D5"/>
    <w:rsid w:val="005118F9"/>
    <w:rsid w:val="00511CA0"/>
    <w:rsid w:val="005124A5"/>
    <w:rsid w:val="005125CE"/>
    <w:rsid w:val="0051279A"/>
    <w:rsid w:val="00512977"/>
    <w:rsid w:val="00512979"/>
    <w:rsid w:val="00512C70"/>
    <w:rsid w:val="00512DA1"/>
    <w:rsid w:val="00513242"/>
    <w:rsid w:val="00513424"/>
    <w:rsid w:val="005134B7"/>
    <w:rsid w:val="00513747"/>
    <w:rsid w:val="00513900"/>
    <w:rsid w:val="005139A4"/>
    <w:rsid w:val="00514164"/>
    <w:rsid w:val="0051421E"/>
    <w:rsid w:val="00514433"/>
    <w:rsid w:val="005147AB"/>
    <w:rsid w:val="00514829"/>
    <w:rsid w:val="0051483C"/>
    <w:rsid w:val="00514AE5"/>
    <w:rsid w:val="00514AEC"/>
    <w:rsid w:val="00514CE5"/>
    <w:rsid w:val="00515309"/>
    <w:rsid w:val="00515707"/>
    <w:rsid w:val="005158CF"/>
    <w:rsid w:val="005159BA"/>
    <w:rsid w:val="00515BC3"/>
    <w:rsid w:val="00515CC8"/>
    <w:rsid w:val="005161C0"/>
    <w:rsid w:val="00516914"/>
    <w:rsid w:val="00516C61"/>
    <w:rsid w:val="00516E8E"/>
    <w:rsid w:val="00516F36"/>
    <w:rsid w:val="00517062"/>
    <w:rsid w:val="005171BC"/>
    <w:rsid w:val="00517244"/>
    <w:rsid w:val="005176E8"/>
    <w:rsid w:val="00517D22"/>
    <w:rsid w:val="005201ED"/>
    <w:rsid w:val="00520321"/>
    <w:rsid w:val="00520329"/>
    <w:rsid w:val="0052073A"/>
    <w:rsid w:val="005209CE"/>
    <w:rsid w:val="00520A54"/>
    <w:rsid w:val="00520F21"/>
    <w:rsid w:val="00521032"/>
    <w:rsid w:val="005210E8"/>
    <w:rsid w:val="005211A5"/>
    <w:rsid w:val="005214AE"/>
    <w:rsid w:val="005217DC"/>
    <w:rsid w:val="00521B11"/>
    <w:rsid w:val="00521BDC"/>
    <w:rsid w:val="00521CE0"/>
    <w:rsid w:val="0052255B"/>
    <w:rsid w:val="005225C2"/>
    <w:rsid w:val="00522790"/>
    <w:rsid w:val="005227C9"/>
    <w:rsid w:val="005229C4"/>
    <w:rsid w:val="00522A46"/>
    <w:rsid w:val="00522D44"/>
    <w:rsid w:val="005231B2"/>
    <w:rsid w:val="00523BE0"/>
    <w:rsid w:val="00523BED"/>
    <w:rsid w:val="00523EE1"/>
    <w:rsid w:val="00523EF4"/>
    <w:rsid w:val="00524064"/>
    <w:rsid w:val="0052436F"/>
    <w:rsid w:val="00524791"/>
    <w:rsid w:val="00525024"/>
    <w:rsid w:val="00525671"/>
    <w:rsid w:val="0052600C"/>
    <w:rsid w:val="0052624E"/>
    <w:rsid w:val="00526406"/>
    <w:rsid w:val="005265FF"/>
    <w:rsid w:val="00526911"/>
    <w:rsid w:val="00526CB2"/>
    <w:rsid w:val="0052718E"/>
    <w:rsid w:val="0052729F"/>
    <w:rsid w:val="005272C7"/>
    <w:rsid w:val="005273EA"/>
    <w:rsid w:val="0052744A"/>
    <w:rsid w:val="00527761"/>
    <w:rsid w:val="005278D0"/>
    <w:rsid w:val="00527A35"/>
    <w:rsid w:val="00527A4C"/>
    <w:rsid w:val="00527BB6"/>
    <w:rsid w:val="00527D8E"/>
    <w:rsid w:val="00527FF6"/>
    <w:rsid w:val="005302CB"/>
    <w:rsid w:val="00530399"/>
    <w:rsid w:val="0053076F"/>
    <w:rsid w:val="00530847"/>
    <w:rsid w:val="00530E81"/>
    <w:rsid w:val="00531220"/>
    <w:rsid w:val="0053131F"/>
    <w:rsid w:val="00531874"/>
    <w:rsid w:val="00531911"/>
    <w:rsid w:val="00531A7E"/>
    <w:rsid w:val="00531DE0"/>
    <w:rsid w:val="00532110"/>
    <w:rsid w:val="005322B4"/>
    <w:rsid w:val="005323E1"/>
    <w:rsid w:val="00532469"/>
    <w:rsid w:val="005324AC"/>
    <w:rsid w:val="00532587"/>
    <w:rsid w:val="005325BC"/>
    <w:rsid w:val="0053266E"/>
    <w:rsid w:val="005328B9"/>
    <w:rsid w:val="0053309C"/>
    <w:rsid w:val="00533379"/>
    <w:rsid w:val="00533812"/>
    <w:rsid w:val="005340E0"/>
    <w:rsid w:val="005342AC"/>
    <w:rsid w:val="00534441"/>
    <w:rsid w:val="0053471A"/>
    <w:rsid w:val="00534B69"/>
    <w:rsid w:val="00535554"/>
    <w:rsid w:val="005356DA"/>
    <w:rsid w:val="0053572C"/>
    <w:rsid w:val="0053577D"/>
    <w:rsid w:val="00535ADD"/>
    <w:rsid w:val="00535FE9"/>
    <w:rsid w:val="0053649E"/>
    <w:rsid w:val="00536578"/>
    <w:rsid w:val="00536B9F"/>
    <w:rsid w:val="00536BC3"/>
    <w:rsid w:val="00536CC4"/>
    <w:rsid w:val="00536D90"/>
    <w:rsid w:val="005373D8"/>
    <w:rsid w:val="005375B9"/>
    <w:rsid w:val="00537B66"/>
    <w:rsid w:val="00540008"/>
    <w:rsid w:val="005400E2"/>
    <w:rsid w:val="00540395"/>
    <w:rsid w:val="005403C2"/>
    <w:rsid w:val="005406B3"/>
    <w:rsid w:val="005409BB"/>
    <w:rsid w:val="00540B10"/>
    <w:rsid w:val="00540B2F"/>
    <w:rsid w:val="00540CFF"/>
    <w:rsid w:val="00540DA5"/>
    <w:rsid w:val="00540E81"/>
    <w:rsid w:val="0054103C"/>
    <w:rsid w:val="005412DC"/>
    <w:rsid w:val="00541351"/>
    <w:rsid w:val="0054169F"/>
    <w:rsid w:val="00541848"/>
    <w:rsid w:val="0054199D"/>
    <w:rsid w:val="00541B3F"/>
    <w:rsid w:val="00541BC8"/>
    <w:rsid w:val="00541BE2"/>
    <w:rsid w:val="0054225E"/>
    <w:rsid w:val="005422B8"/>
    <w:rsid w:val="0054251E"/>
    <w:rsid w:val="005425DF"/>
    <w:rsid w:val="00542D03"/>
    <w:rsid w:val="00542E3B"/>
    <w:rsid w:val="005430AB"/>
    <w:rsid w:val="005436D2"/>
    <w:rsid w:val="0054392D"/>
    <w:rsid w:val="00543AB2"/>
    <w:rsid w:val="00543AC7"/>
    <w:rsid w:val="00543B47"/>
    <w:rsid w:val="00543D1D"/>
    <w:rsid w:val="00544192"/>
    <w:rsid w:val="005441FC"/>
    <w:rsid w:val="00544220"/>
    <w:rsid w:val="005445A3"/>
    <w:rsid w:val="005446CC"/>
    <w:rsid w:val="00544847"/>
    <w:rsid w:val="00544909"/>
    <w:rsid w:val="005449AE"/>
    <w:rsid w:val="00544D2C"/>
    <w:rsid w:val="0054509E"/>
    <w:rsid w:val="005451FB"/>
    <w:rsid w:val="0054555F"/>
    <w:rsid w:val="00545635"/>
    <w:rsid w:val="005457D1"/>
    <w:rsid w:val="005458C0"/>
    <w:rsid w:val="005459F2"/>
    <w:rsid w:val="00545A4B"/>
    <w:rsid w:val="00545CE1"/>
    <w:rsid w:val="00546071"/>
    <w:rsid w:val="0054608E"/>
    <w:rsid w:val="00546BD0"/>
    <w:rsid w:val="0054739E"/>
    <w:rsid w:val="0054744D"/>
    <w:rsid w:val="00547657"/>
    <w:rsid w:val="00547A67"/>
    <w:rsid w:val="00547E4A"/>
    <w:rsid w:val="00550149"/>
    <w:rsid w:val="0055038E"/>
    <w:rsid w:val="00550488"/>
    <w:rsid w:val="00550608"/>
    <w:rsid w:val="005507C4"/>
    <w:rsid w:val="00550D14"/>
    <w:rsid w:val="00550D73"/>
    <w:rsid w:val="005513E0"/>
    <w:rsid w:val="00551436"/>
    <w:rsid w:val="0055143F"/>
    <w:rsid w:val="005514BE"/>
    <w:rsid w:val="00551510"/>
    <w:rsid w:val="00551555"/>
    <w:rsid w:val="00551A88"/>
    <w:rsid w:val="00551CBB"/>
    <w:rsid w:val="005524BB"/>
    <w:rsid w:val="00552506"/>
    <w:rsid w:val="0055263D"/>
    <w:rsid w:val="00552968"/>
    <w:rsid w:val="00552A10"/>
    <w:rsid w:val="00552D3F"/>
    <w:rsid w:val="00552FE5"/>
    <w:rsid w:val="005531A0"/>
    <w:rsid w:val="00553440"/>
    <w:rsid w:val="0055378D"/>
    <w:rsid w:val="00553E1A"/>
    <w:rsid w:val="005540B8"/>
    <w:rsid w:val="00554361"/>
    <w:rsid w:val="005547A9"/>
    <w:rsid w:val="005547DD"/>
    <w:rsid w:val="00554C10"/>
    <w:rsid w:val="00554DFB"/>
    <w:rsid w:val="005550D4"/>
    <w:rsid w:val="0055538F"/>
    <w:rsid w:val="005556DA"/>
    <w:rsid w:val="005557C8"/>
    <w:rsid w:val="00555A6A"/>
    <w:rsid w:val="00555B95"/>
    <w:rsid w:val="00555CF8"/>
    <w:rsid w:val="00555EED"/>
    <w:rsid w:val="0055604E"/>
    <w:rsid w:val="005560D7"/>
    <w:rsid w:val="005563ED"/>
    <w:rsid w:val="0055642E"/>
    <w:rsid w:val="00556588"/>
    <w:rsid w:val="005568DC"/>
    <w:rsid w:val="00556A92"/>
    <w:rsid w:val="00556E8A"/>
    <w:rsid w:val="00556FEB"/>
    <w:rsid w:val="00557043"/>
    <w:rsid w:val="005571FA"/>
    <w:rsid w:val="005574D6"/>
    <w:rsid w:val="00557658"/>
    <w:rsid w:val="00560032"/>
    <w:rsid w:val="00560113"/>
    <w:rsid w:val="0056016A"/>
    <w:rsid w:val="0056048D"/>
    <w:rsid w:val="00560665"/>
    <w:rsid w:val="0056070D"/>
    <w:rsid w:val="00560726"/>
    <w:rsid w:val="00560CB7"/>
    <w:rsid w:val="00561F2F"/>
    <w:rsid w:val="005620C8"/>
    <w:rsid w:val="00562191"/>
    <w:rsid w:val="00562203"/>
    <w:rsid w:val="0056230B"/>
    <w:rsid w:val="00562431"/>
    <w:rsid w:val="0056247A"/>
    <w:rsid w:val="00562AD2"/>
    <w:rsid w:val="00562B3B"/>
    <w:rsid w:val="00562C6A"/>
    <w:rsid w:val="00563991"/>
    <w:rsid w:val="005639C5"/>
    <w:rsid w:val="00563B87"/>
    <w:rsid w:val="00563F0D"/>
    <w:rsid w:val="00563F5E"/>
    <w:rsid w:val="0056408F"/>
    <w:rsid w:val="00564294"/>
    <w:rsid w:val="00564628"/>
    <w:rsid w:val="00564C76"/>
    <w:rsid w:val="00564F2F"/>
    <w:rsid w:val="0056534B"/>
    <w:rsid w:val="005659CC"/>
    <w:rsid w:val="00565D6A"/>
    <w:rsid w:val="00565FB3"/>
    <w:rsid w:val="005660AF"/>
    <w:rsid w:val="00566224"/>
    <w:rsid w:val="005664C3"/>
    <w:rsid w:val="0056651E"/>
    <w:rsid w:val="005668CF"/>
    <w:rsid w:val="00566D4C"/>
    <w:rsid w:val="00566E1C"/>
    <w:rsid w:val="00566F73"/>
    <w:rsid w:val="005670E7"/>
    <w:rsid w:val="0056713D"/>
    <w:rsid w:val="00567E3F"/>
    <w:rsid w:val="00567F7F"/>
    <w:rsid w:val="00567FA9"/>
    <w:rsid w:val="005700A6"/>
    <w:rsid w:val="00570279"/>
    <w:rsid w:val="005702FC"/>
    <w:rsid w:val="00570660"/>
    <w:rsid w:val="00570988"/>
    <w:rsid w:val="005709C3"/>
    <w:rsid w:val="00570BB8"/>
    <w:rsid w:val="00570F26"/>
    <w:rsid w:val="00571061"/>
    <w:rsid w:val="0057141D"/>
    <w:rsid w:val="0057141F"/>
    <w:rsid w:val="00571488"/>
    <w:rsid w:val="00571707"/>
    <w:rsid w:val="005719C1"/>
    <w:rsid w:val="005719C6"/>
    <w:rsid w:val="00571BEF"/>
    <w:rsid w:val="00571F12"/>
    <w:rsid w:val="00572405"/>
    <w:rsid w:val="00572A67"/>
    <w:rsid w:val="00572A8E"/>
    <w:rsid w:val="00572CBA"/>
    <w:rsid w:val="00572F96"/>
    <w:rsid w:val="00572FB6"/>
    <w:rsid w:val="0057325A"/>
    <w:rsid w:val="00573C3A"/>
    <w:rsid w:val="00573E4B"/>
    <w:rsid w:val="00573F07"/>
    <w:rsid w:val="0057434D"/>
    <w:rsid w:val="005747D2"/>
    <w:rsid w:val="00574BEE"/>
    <w:rsid w:val="00574E16"/>
    <w:rsid w:val="0057592B"/>
    <w:rsid w:val="00575F93"/>
    <w:rsid w:val="0057639B"/>
    <w:rsid w:val="0057652D"/>
    <w:rsid w:val="00576650"/>
    <w:rsid w:val="0057689D"/>
    <w:rsid w:val="00576C09"/>
    <w:rsid w:val="00576E07"/>
    <w:rsid w:val="00577118"/>
    <w:rsid w:val="005772D2"/>
    <w:rsid w:val="00577446"/>
    <w:rsid w:val="005775ED"/>
    <w:rsid w:val="005776A0"/>
    <w:rsid w:val="00577744"/>
    <w:rsid w:val="0057789A"/>
    <w:rsid w:val="005778B2"/>
    <w:rsid w:val="00577966"/>
    <w:rsid w:val="00577D7D"/>
    <w:rsid w:val="0058002D"/>
    <w:rsid w:val="00580259"/>
    <w:rsid w:val="00580314"/>
    <w:rsid w:val="0058062B"/>
    <w:rsid w:val="005807AD"/>
    <w:rsid w:val="005808CA"/>
    <w:rsid w:val="00580AB5"/>
    <w:rsid w:val="005810FD"/>
    <w:rsid w:val="00581356"/>
    <w:rsid w:val="00581447"/>
    <w:rsid w:val="0058219D"/>
    <w:rsid w:val="00582312"/>
    <w:rsid w:val="00582566"/>
    <w:rsid w:val="00582A1C"/>
    <w:rsid w:val="00582B07"/>
    <w:rsid w:val="00582BCE"/>
    <w:rsid w:val="00582D7D"/>
    <w:rsid w:val="00583141"/>
    <w:rsid w:val="005831F5"/>
    <w:rsid w:val="00583676"/>
    <w:rsid w:val="0058391A"/>
    <w:rsid w:val="00583C01"/>
    <w:rsid w:val="00583F78"/>
    <w:rsid w:val="005840A9"/>
    <w:rsid w:val="005841A1"/>
    <w:rsid w:val="00584440"/>
    <w:rsid w:val="00584475"/>
    <w:rsid w:val="0058469F"/>
    <w:rsid w:val="00584744"/>
    <w:rsid w:val="00584CB9"/>
    <w:rsid w:val="00584D74"/>
    <w:rsid w:val="00584DAE"/>
    <w:rsid w:val="0058564D"/>
    <w:rsid w:val="0058581D"/>
    <w:rsid w:val="00585DE0"/>
    <w:rsid w:val="00585F7C"/>
    <w:rsid w:val="0058606B"/>
    <w:rsid w:val="0058650A"/>
    <w:rsid w:val="00586606"/>
    <w:rsid w:val="0058726B"/>
    <w:rsid w:val="005874F3"/>
    <w:rsid w:val="005876FA"/>
    <w:rsid w:val="0058772C"/>
    <w:rsid w:val="00587776"/>
    <w:rsid w:val="00587981"/>
    <w:rsid w:val="00587BEE"/>
    <w:rsid w:val="00587E8E"/>
    <w:rsid w:val="00587F2A"/>
    <w:rsid w:val="00587FCC"/>
    <w:rsid w:val="00590698"/>
    <w:rsid w:val="0059069D"/>
    <w:rsid w:val="0059086C"/>
    <w:rsid w:val="00590CEA"/>
    <w:rsid w:val="00590D23"/>
    <w:rsid w:val="00591075"/>
    <w:rsid w:val="005916A7"/>
    <w:rsid w:val="005916F3"/>
    <w:rsid w:val="00591721"/>
    <w:rsid w:val="00591A4C"/>
    <w:rsid w:val="00591E48"/>
    <w:rsid w:val="00592231"/>
    <w:rsid w:val="005925EB"/>
    <w:rsid w:val="005929ED"/>
    <w:rsid w:val="00592A62"/>
    <w:rsid w:val="00592CFE"/>
    <w:rsid w:val="005932F2"/>
    <w:rsid w:val="005933E8"/>
    <w:rsid w:val="00593434"/>
    <w:rsid w:val="0059345D"/>
    <w:rsid w:val="0059351B"/>
    <w:rsid w:val="00593688"/>
    <w:rsid w:val="00593900"/>
    <w:rsid w:val="00593AF9"/>
    <w:rsid w:val="00593E97"/>
    <w:rsid w:val="00593ECE"/>
    <w:rsid w:val="0059449D"/>
    <w:rsid w:val="00594713"/>
    <w:rsid w:val="00594830"/>
    <w:rsid w:val="00594AD1"/>
    <w:rsid w:val="00594C0F"/>
    <w:rsid w:val="005954B5"/>
    <w:rsid w:val="005954FA"/>
    <w:rsid w:val="00595526"/>
    <w:rsid w:val="0059581B"/>
    <w:rsid w:val="005958FA"/>
    <w:rsid w:val="00595E06"/>
    <w:rsid w:val="00595E50"/>
    <w:rsid w:val="00595E93"/>
    <w:rsid w:val="005963CA"/>
    <w:rsid w:val="0059649A"/>
    <w:rsid w:val="005964C4"/>
    <w:rsid w:val="005967F5"/>
    <w:rsid w:val="005969E1"/>
    <w:rsid w:val="00596A10"/>
    <w:rsid w:val="00596B05"/>
    <w:rsid w:val="00596B23"/>
    <w:rsid w:val="00596B3E"/>
    <w:rsid w:val="00596C59"/>
    <w:rsid w:val="00596E71"/>
    <w:rsid w:val="005971AD"/>
    <w:rsid w:val="00597457"/>
    <w:rsid w:val="0059767B"/>
    <w:rsid w:val="005979D7"/>
    <w:rsid w:val="005979F6"/>
    <w:rsid w:val="00597B35"/>
    <w:rsid w:val="00597F30"/>
    <w:rsid w:val="005A0029"/>
    <w:rsid w:val="005A0199"/>
    <w:rsid w:val="005A1000"/>
    <w:rsid w:val="005A1007"/>
    <w:rsid w:val="005A1055"/>
    <w:rsid w:val="005A140D"/>
    <w:rsid w:val="005A1434"/>
    <w:rsid w:val="005A14E2"/>
    <w:rsid w:val="005A17E6"/>
    <w:rsid w:val="005A1897"/>
    <w:rsid w:val="005A1DD2"/>
    <w:rsid w:val="005A1EE3"/>
    <w:rsid w:val="005A1EE6"/>
    <w:rsid w:val="005A20CB"/>
    <w:rsid w:val="005A2226"/>
    <w:rsid w:val="005A23E3"/>
    <w:rsid w:val="005A24E6"/>
    <w:rsid w:val="005A24F3"/>
    <w:rsid w:val="005A252D"/>
    <w:rsid w:val="005A2BE5"/>
    <w:rsid w:val="005A362F"/>
    <w:rsid w:val="005A397E"/>
    <w:rsid w:val="005A3C40"/>
    <w:rsid w:val="005A44F9"/>
    <w:rsid w:val="005A49FB"/>
    <w:rsid w:val="005A4A4B"/>
    <w:rsid w:val="005A4BAC"/>
    <w:rsid w:val="005A4CD4"/>
    <w:rsid w:val="005A4FCF"/>
    <w:rsid w:val="005A50F2"/>
    <w:rsid w:val="005A5191"/>
    <w:rsid w:val="005A52D9"/>
    <w:rsid w:val="005A543A"/>
    <w:rsid w:val="005A5751"/>
    <w:rsid w:val="005A59E4"/>
    <w:rsid w:val="005A5A73"/>
    <w:rsid w:val="005A5B71"/>
    <w:rsid w:val="005A5BBB"/>
    <w:rsid w:val="005A5C1D"/>
    <w:rsid w:val="005A5C53"/>
    <w:rsid w:val="005A5DD7"/>
    <w:rsid w:val="005A5EDA"/>
    <w:rsid w:val="005A6213"/>
    <w:rsid w:val="005A65D5"/>
    <w:rsid w:val="005A668F"/>
    <w:rsid w:val="005A6830"/>
    <w:rsid w:val="005A683E"/>
    <w:rsid w:val="005A6B31"/>
    <w:rsid w:val="005A6EAE"/>
    <w:rsid w:val="005A7278"/>
    <w:rsid w:val="005A7306"/>
    <w:rsid w:val="005A77AD"/>
    <w:rsid w:val="005A784E"/>
    <w:rsid w:val="005A7966"/>
    <w:rsid w:val="005A7AC7"/>
    <w:rsid w:val="005A7B24"/>
    <w:rsid w:val="005A7C95"/>
    <w:rsid w:val="005A7E1E"/>
    <w:rsid w:val="005A7F56"/>
    <w:rsid w:val="005B03DE"/>
    <w:rsid w:val="005B0635"/>
    <w:rsid w:val="005B071A"/>
    <w:rsid w:val="005B08DD"/>
    <w:rsid w:val="005B0CF2"/>
    <w:rsid w:val="005B0D45"/>
    <w:rsid w:val="005B0DF1"/>
    <w:rsid w:val="005B106B"/>
    <w:rsid w:val="005B1141"/>
    <w:rsid w:val="005B12EB"/>
    <w:rsid w:val="005B1DB3"/>
    <w:rsid w:val="005B2789"/>
    <w:rsid w:val="005B2864"/>
    <w:rsid w:val="005B2942"/>
    <w:rsid w:val="005B2CAC"/>
    <w:rsid w:val="005B2DAF"/>
    <w:rsid w:val="005B2EF3"/>
    <w:rsid w:val="005B2F93"/>
    <w:rsid w:val="005B3270"/>
    <w:rsid w:val="005B335D"/>
    <w:rsid w:val="005B350B"/>
    <w:rsid w:val="005B364E"/>
    <w:rsid w:val="005B37DA"/>
    <w:rsid w:val="005B38A1"/>
    <w:rsid w:val="005B38B9"/>
    <w:rsid w:val="005B3A5B"/>
    <w:rsid w:val="005B3E21"/>
    <w:rsid w:val="005B40AF"/>
    <w:rsid w:val="005B4129"/>
    <w:rsid w:val="005B4302"/>
    <w:rsid w:val="005B4355"/>
    <w:rsid w:val="005B44DA"/>
    <w:rsid w:val="005B4ABD"/>
    <w:rsid w:val="005B4BF1"/>
    <w:rsid w:val="005B4C64"/>
    <w:rsid w:val="005B5AA2"/>
    <w:rsid w:val="005B5CD6"/>
    <w:rsid w:val="005B637F"/>
    <w:rsid w:val="005B6515"/>
    <w:rsid w:val="005B661D"/>
    <w:rsid w:val="005B69DB"/>
    <w:rsid w:val="005B69E9"/>
    <w:rsid w:val="005B6B8B"/>
    <w:rsid w:val="005B6CB7"/>
    <w:rsid w:val="005B734E"/>
    <w:rsid w:val="005B73BE"/>
    <w:rsid w:val="005B763E"/>
    <w:rsid w:val="005B79C2"/>
    <w:rsid w:val="005B7EFF"/>
    <w:rsid w:val="005B7F80"/>
    <w:rsid w:val="005C00CE"/>
    <w:rsid w:val="005C0570"/>
    <w:rsid w:val="005C0579"/>
    <w:rsid w:val="005C05CC"/>
    <w:rsid w:val="005C07C1"/>
    <w:rsid w:val="005C0AD1"/>
    <w:rsid w:val="005C0B06"/>
    <w:rsid w:val="005C0B3E"/>
    <w:rsid w:val="005C0BAB"/>
    <w:rsid w:val="005C0DB0"/>
    <w:rsid w:val="005C0F77"/>
    <w:rsid w:val="005C14E1"/>
    <w:rsid w:val="005C17CD"/>
    <w:rsid w:val="005C186E"/>
    <w:rsid w:val="005C19DC"/>
    <w:rsid w:val="005C1EA2"/>
    <w:rsid w:val="005C2349"/>
    <w:rsid w:val="005C29E4"/>
    <w:rsid w:val="005C2D01"/>
    <w:rsid w:val="005C2FB6"/>
    <w:rsid w:val="005C3051"/>
    <w:rsid w:val="005C33A5"/>
    <w:rsid w:val="005C3714"/>
    <w:rsid w:val="005C38DE"/>
    <w:rsid w:val="005C3DC4"/>
    <w:rsid w:val="005C3F41"/>
    <w:rsid w:val="005C4333"/>
    <w:rsid w:val="005C44AD"/>
    <w:rsid w:val="005C4927"/>
    <w:rsid w:val="005C4B5E"/>
    <w:rsid w:val="005C4B67"/>
    <w:rsid w:val="005C4B7D"/>
    <w:rsid w:val="005C4B8A"/>
    <w:rsid w:val="005C4CA0"/>
    <w:rsid w:val="005C4D94"/>
    <w:rsid w:val="005C4E8C"/>
    <w:rsid w:val="005C5500"/>
    <w:rsid w:val="005C56B9"/>
    <w:rsid w:val="005C5F5A"/>
    <w:rsid w:val="005C6380"/>
    <w:rsid w:val="005C64BD"/>
    <w:rsid w:val="005C6512"/>
    <w:rsid w:val="005C669E"/>
    <w:rsid w:val="005C6750"/>
    <w:rsid w:val="005C6D1F"/>
    <w:rsid w:val="005C7031"/>
    <w:rsid w:val="005C7084"/>
    <w:rsid w:val="005C70A1"/>
    <w:rsid w:val="005C712C"/>
    <w:rsid w:val="005C7139"/>
    <w:rsid w:val="005C7253"/>
    <w:rsid w:val="005C726D"/>
    <w:rsid w:val="005C78FE"/>
    <w:rsid w:val="005C7D11"/>
    <w:rsid w:val="005D01BA"/>
    <w:rsid w:val="005D04BB"/>
    <w:rsid w:val="005D05B1"/>
    <w:rsid w:val="005D05EB"/>
    <w:rsid w:val="005D07DA"/>
    <w:rsid w:val="005D0BBD"/>
    <w:rsid w:val="005D0C42"/>
    <w:rsid w:val="005D0D3D"/>
    <w:rsid w:val="005D0D58"/>
    <w:rsid w:val="005D1006"/>
    <w:rsid w:val="005D11A9"/>
    <w:rsid w:val="005D121C"/>
    <w:rsid w:val="005D1CB0"/>
    <w:rsid w:val="005D2145"/>
    <w:rsid w:val="005D22DB"/>
    <w:rsid w:val="005D2389"/>
    <w:rsid w:val="005D2646"/>
    <w:rsid w:val="005D26A9"/>
    <w:rsid w:val="005D2996"/>
    <w:rsid w:val="005D2D16"/>
    <w:rsid w:val="005D2FE7"/>
    <w:rsid w:val="005D3557"/>
    <w:rsid w:val="005D3CE8"/>
    <w:rsid w:val="005D3D16"/>
    <w:rsid w:val="005D3EAF"/>
    <w:rsid w:val="005D4138"/>
    <w:rsid w:val="005D446B"/>
    <w:rsid w:val="005D4501"/>
    <w:rsid w:val="005D46FC"/>
    <w:rsid w:val="005D4706"/>
    <w:rsid w:val="005D487F"/>
    <w:rsid w:val="005D4A48"/>
    <w:rsid w:val="005D4C59"/>
    <w:rsid w:val="005D4D77"/>
    <w:rsid w:val="005D4E54"/>
    <w:rsid w:val="005D4FB7"/>
    <w:rsid w:val="005D4FE2"/>
    <w:rsid w:val="005D541A"/>
    <w:rsid w:val="005D5B0A"/>
    <w:rsid w:val="005D5CCB"/>
    <w:rsid w:val="005D6006"/>
    <w:rsid w:val="005D6144"/>
    <w:rsid w:val="005D6208"/>
    <w:rsid w:val="005D625A"/>
    <w:rsid w:val="005D6862"/>
    <w:rsid w:val="005D705D"/>
    <w:rsid w:val="005D7167"/>
    <w:rsid w:val="005D7202"/>
    <w:rsid w:val="005D74C6"/>
    <w:rsid w:val="005D7838"/>
    <w:rsid w:val="005D79A9"/>
    <w:rsid w:val="005D7D33"/>
    <w:rsid w:val="005E0112"/>
    <w:rsid w:val="005E094E"/>
    <w:rsid w:val="005E0A0C"/>
    <w:rsid w:val="005E0E5B"/>
    <w:rsid w:val="005E0EC0"/>
    <w:rsid w:val="005E0F35"/>
    <w:rsid w:val="005E0F7E"/>
    <w:rsid w:val="005E0FD9"/>
    <w:rsid w:val="005E100D"/>
    <w:rsid w:val="005E10B9"/>
    <w:rsid w:val="005E1147"/>
    <w:rsid w:val="005E12B8"/>
    <w:rsid w:val="005E1421"/>
    <w:rsid w:val="005E15F1"/>
    <w:rsid w:val="005E1C05"/>
    <w:rsid w:val="005E2056"/>
    <w:rsid w:val="005E20A1"/>
    <w:rsid w:val="005E2293"/>
    <w:rsid w:val="005E25D6"/>
    <w:rsid w:val="005E2D5F"/>
    <w:rsid w:val="005E2E99"/>
    <w:rsid w:val="005E3046"/>
    <w:rsid w:val="005E3461"/>
    <w:rsid w:val="005E3497"/>
    <w:rsid w:val="005E35D0"/>
    <w:rsid w:val="005E360A"/>
    <w:rsid w:val="005E368E"/>
    <w:rsid w:val="005E38BC"/>
    <w:rsid w:val="005E3EE5"/>
    <w:rsid w:val="005E4613"/>
    <w:rsid w:val="005E47ED"/>
    <w:rsid w:val="005E48AA"/>
    <w:rsid w:val="005E4A3E"/>
    <w:rsid w:val="005E4C0A"/>
    <w:rsid w:val="005E4FA3"/>
    <w:rsid w:val="005E5164"/>
    <w:rsid w:val="005E5221"/>
    <w:rsid w:val="005E57C1"/>
    <w:rsid w:val="005E5A9C"/>
    <w:rsid w:val="005E6198"/>
    <w:rsid w:val="005E63FA"/>
    <w:rsid w:val="005E6473"/>
    <w:rsid w:val="005E64A2"/>
    <w:rsid w:val="005E66BB"/>
    <w:rsid w:val="005E6992"/>
    <w:rsid w:val="005E6CC9"/>
    <w:rsid w:val="005E7146"/>
    <w:rsid w:val="005E7177"/>
    <w:rsid w:val="005E73EC"/>
    <w:rsid w:val="005E7436"/>
    <w:rsid w:val="005E7806"/>
    <w:rsid w:val="005E7A5A"/>
    <w:rsid w:val="005E7A8A"/>
    <w:rsid w:val="005E7A8D"/>
    <w:rsid w:val="005E7B18"/>
    <w:rsid w:val="005E7C1B"/>
    <w:rsid w:val="005F003A"/>
    <w:rsid w:val="005F03AA"/>
    <w:rsid w:val="005F045B"/>
    <w:rsid w:val="005F04CC"/>
    <w:rsid w:val="005F0559"/>
    <w:rsid w:val="005F0A7C"/>
    <w:rsid w:val="005F0CF5"/>
    <w:rsid w:val="005F0D2E"/>
    <w:rsid w:val="005F0EED"/>
    <w:rsid w:val="005F112A"/>
    <w:rsid w:val="005F112C"/>
    <w:rsid w:val="005F13CC"/>
    <w:rsid w:val="005F1537"/>
    <w:rsid w:val="005F15F7"/>
    <w:rsid w:val="005F16A0"/>
    <w:rsid w:val="005F1726"/>
    <w:rsid w:val="005F180A"/>
    <w:rsid w:val="005F19D7"/>
    <w:rsid w:val="005F1D4A"/>
    <w:rsid w:val="005F1E05"/>
    <w:rsid w:val="005F1F0B"/>
    <w:rsid w:val="005F1F6D"/>
    <w:rsid w:val="005F23ED"/>
    <w:rsid w:val="005F249B"/>
    <w:rsid w:val="005F251E"/>
    <w:rsid w:val="005F270A"/>
    <w:rsid w:val="005F2D39"/>
    <w:rsid w:val="005F310C"/>
    <w:rsid w:val="005F3450"/>
    <w:rsid w:val="005F3631"/>
    <w:rsid w:val="005F3997"/>
    <w:rsid w:val="005F3C00"/>
    <w:rsid w:val="005F3C73"/>
    <w:rsid w:val="005F3F21"/>
    <w:rsid w:val="005F3FC1"/>
    <w:rsid w:val="005F40D2"/>
    <w:rsid w:val="005F4408"/>
    <w:rsid w:val="005F450A"/>
    <w:rsid w:val="005F4D28"/>
    <w:rsid w:val="005F4FDA"/>
    <w:rsid w:val="005F527E"/>
    <w:rsid w:val="005F54FB"/>
    <w:rsid w:val="005F5B01"/>
    <w:rsid w:val="005F5EE3"/>
    <w:rsid w:val="005F5EF7"/>
    <w:rsid w:val="005F6031"/>
    <w:rsid w:val="005F608C"/>
    <w:rsid w:val="005F62F8"/>
    <w:rsid w:val="005F6912"/>
    <w:rsid w:val="005F6AA3"/>
    <w:rsid w:val="005F6E37"/>
    <w:rsid w:val="005F704C"/>
    <w:rsid w:val="005F70C1"/>
    <w:rsid w:val="005F70E2"/>
    <w:rsid w:val="005F71CF"/>
    <w:rsid w:val="005F72DB"/>
    <w:rsid w:val="005F7BC5"/>
    <w:rsid w:val="005F7CD0"/>
    <w:rsid w:val="005F7D4D"/>
    <w:rsid w:val="005F7F41"/>
    <w:rsid w:val="006006AA"/>
    <w:rsid w:val="0060079E"/>
    <w:rsid w:val="00600A8D"/>
    <w:rsid w:val="00600C96"/>
    <w:rsid w:val="00600CC7"/>
    <w:rsid w:val="00600DD7"/>
    <w:rsid w:val="00600E17"/>
    <w:rsid w:val="0060110A"/>
    <w:rsid w:val="00601157"/>
    <w:rsid w:val="00601246"/>
    <w:rsid w:val="0060128E"/>
    <w:rsid w:val="006012F0"/>
    <w:rsid w:val="00601306"/>
    <w:rsid w:val="006013DF"/>
    <w:rsid w:val="0060141F"/>
    <w:rsid w:val="00601856"/>
    <w:rsid w:val="006018ED"/>
    <w:rsid w:val="00601ACD"/>
    <w:rsid w:val="00601AF6"/>
    <w:rsid w:val="00601E9E"/>
    <w:rsid w:val="006021C2"/>
    <w:rsid w:val="0060269D"/>
    <w:rsid w:val="00602D21"/>
    <w:rsid w:val="00602E09"/>
    <w:rsid w:val="00602E69"/>
    <w:rsid w:val="00602EBE"/>
    <w:rsid w:val="00602EFE"/>
    <w:rsid w:val="0060327F"/>
    <w:rsid w:val="006032E4"/>
    <w:rsid w:val="0060348E"/>
    <w:rsid w:val="006034B7"/>
    <w:rsid w:val="006036E1"/>
    <w:rsid w:val="00603722"/>
    <w:rsid w:val="00603761"/>
    <w:rsid w:val="0060376B"/>
    <w:rsid w:val="00603B46"/>
    <w:rsid w:val="00603BBF"/>
    <w:rsid w:val="00603E44"/>
    <w:rsid w:val="00603FC7"/>
    <w:rsid w:val="006040C6"/>
    <w:rsid w:val="006041FF"/>
    <w:rsid w:val="006042A0"/>
    <w:rsid w:val="00604499"/>
    <w:rsid w:val="0060475E"/>
    <w:rsid w:val="0060490A"/>
    <w:rsid w:val="0060563E"/>
    <w:rsid w:val="006057A0"/>
    <w:rsid w:val="00605CA9"/>
    <w:rsid w:val="00606164"/>
    <w:rsid w:val="006061FB"/>
    <w:rsid w:val="006065B0"/>
    <w:rsid w:val="00606A01"/>
    <w:rsid w:val="00606AC8"/>
    <w:rsid w:val="00606BEE"/>
    <w:rsid w:val="00606F73"/>
    <w:rsid w:val="00607452"/>
    <w:rsid w:val="006074C9"/>
    <w:rsid w:val="00607503"/>
    <w:rsid w:val="006076E7"/>
    <w:rsid w:val="00607751"/>
    <w:rsid w:val="006079C9"/>
    <w:rsid w:val="006105ED"/>
    <w:rsid w:val="006108B1"/>
    <w:rsid w:val="00610C2B"/>
    <w:rsid w:val="00610F2B"/>
    <w:rsid w:val="006110F2"/>
    <w:rsid w:val="006111BF"/>
    <w:rsid w:val="00611358"/>
    <w:rsid w:val="00611910"/>
    <w:rsid w:val="00611927"/>
    <w:rsid w:val="006119DF"/>
    <w:rsid w:val="006119FB"/>
    <w:rsid w:val="00611AD5"/>
    <w:rsid w:val="00611E68"/>
    <w:rsid w:val="0061248A"/>
    <w:rsid w:val="006129E0"/>
    <w:rsid w:val="00612DA6"/>
    <w:rsid w:val="0061321B"/>
    <w:rsid w:val="0061324F"/>
    <w:rsid w:val="00613250"/>
    <w:rsid w:val="00613598"/>
    <w:rsid w:val="0061393F"/>
    <w:rsid w:val="006139FA"/>
    <w:rsid w:val="00613E10"/>
    <w:rsid w:val="00614144"/>
    <w:rsid w:val="00614209"/>
    <w:rsid w:val="006146E8"/>
    <w:rsid w:val="00614846"/>
    <w:rsid w:val="006149B8"/>
    <w:rsid w:val="00614CAB"/>
    <w:rsid w:val="00614E6F"/>
    <w:rsid w:val="00614EAF"/>
    <w:rsid w:val="00615013"/>
    <w:rsid w:val="00615415"/>
    <w:rsid w:val="006154FB"/>
    <w:rsid w:val="00615B7F"/>
    <w:rsid w:val="00615C27"/>
    <w:rsid w:val="00615CC1"/>
    <w:rsid w:val="00615CD6"/>
    <w:rsid w:val="0061636B"/>
    <w:rsid w:val="00616C2A"/>
    <w:rsid w:val="00616F26"/>
    <w:rsid w:val="006171E9"/>
    <w:rsid w:val="0061721E"/>
    <w:rsid w:val="00617598"/>
    <w:rsid w:val="00617D94"/>
    <w:rsid w:val="00617DAC"/>
    <w:rsid w:val="00617DD4"/>
    <w:rsid w:val="006200D7"/>
    <w:rsid w:val="0062036F"/>
    <w:rsid w:val="00620425"/>
    <w:rsid w:val="00620629"/>
    <w:rsid w:val="0062079F"/>
    <w:rsid w:val="00620AF0"/>
    <w:rsid w:val="00620B09"/>
    <w:rsid w:val="00620D87"/>
    <w:rsid w:val="00620EFB"/>
    <w:rsid w:val="006217DE"/>
    <w:rsid w:val="006219B5"/>
    <w:rsid w:val="00621C4F"/>
    <w:rsid w:val="00621CB9"/>
    <w:rsid w:val="00621ECD"/>
    <w:rsid w:val="006229BB"/>
    <w:rsid w:val="00623276"/>
    <w:rsid w:val="006235C9"/>
    <w:rsid w:val="006237FE"/>
    <w:rsid w:val="00623A87"/>
    <w:rsid w:val="00623DA6"/>
    <w:rsid w:val="00624142"/>
    <w:rsid w:val="00624256"/>
    <w:rsid w:val="00624552"/>
    <w:rsid w:val="006245AB"/>
    <w:rsid w:val="00624947"/>
    <w:rsid w:val="00624A39"/>
    <w:rsid w:val="00624BF0"/>
    <w:rsid w:val="00624D89"/>
    <w:rsid w:val="006252C4"/>
    <w:rsid w:val="00625304"/>
    <w:rsid w:val="0062534F"/>
    <w:rsid w:val="006253EA"/>
    <w:rsid w:val="0062568A"/>
    <w:rsid w:val="00625909"/>
    <w:rsid w:val="00625910"/>
    <w:rsid w:val="00625AD5"/>
    <w:rsid w:val="00625B86"/>
    <w:rsid w:val="00625C63"/>
    <w:rsid w:val="00625DD0"/>
    <w:rsid w:val="0062606B"/>
    <w:rsid w:val="0062612F"/>
    <w:rsid w:val="00626255"/>
    <w:rsid w:val="00626397"/>
    <w:rsid w:val="006264A1"/>
    <w:rsid w:val="00627370"/>
    <w:rsid w:val="006275DD"/>
    <w:rsid w:val="006276C1"/>
    <w:rsid w:val="006278A4"/>
    <w:rsid w:val="00627E1B"/>
    <w:rsid w:val="00630837"/>
    <w:rsid w:val="00630C8F"/>
    <w:rsid w:val="00630CC1"/>
    <w:rsid w:val="00630D83"/>
    <w:rsid w:val="00630FEF"/>
    <w:rsid w:val="006310E1"/>
    <w:rsid w:val="006312A4"/>
    <w:rsid w:val="006312BC"/>
    <w:rsid w:val="0063195E"/>
    <w:rsid w:val="00631A18"/>
    <w:rsid w:val="00631AB3"/>
    <w:rsid w:val="00631BC5"/>
    <w:rsid w:val="00631D9C"/>
    <w:rsid w:val="00632256"/>
    <w:rsid w:val="0063228E"/>
    <w:rsid w:val="00632293"/>
    <w:rsid w:val="006326D4"/>
    <w:rsid w:val="00632709"/>
    <w:rsid w:val="00632A5A"/>
    <w:rsid w:val="00632AA9"/>
    <w:rsid w:val="00632C42"/>
    <w:rsid w:val="00632CA9"/>
    <w:rsid w:val="006333AA"/>
    <w:rsid w:val="006339B3"/>
    <w:rsid w:val="00633B66"/>
    <w:rsid w:val="00633FB2"/>
    <w:rsid w:val="00634668"/>
    <w:rsid w:val="006347DE"/>
    <w:rsid w:val="00634B37"/>
    <w:rsid w:val="00634BA1"/>
    <w:rsid w:val="00634D05"/>
    <w:rsid w:val="00634F93"/>
    <w:rsid w:val="0063516F"/>
    <w:rsid w:val="0063535E"/>
    <w:rsid w:val="006353CF"/>
    <w:rsid w:val="006356B6"/>
    <w:rsid w:val="00635AF4"/>
    <w:rsid w:val="00635BB3"/>
    <w:rsid w:val="00636160"/>
    <w:rsid w:val="00636185"/>
    <w:rsid w:val="0063622F"/>
    <w:rsid w:val="006363B2"/>
    <w:rsid w:val="00636990"/>
    <w:rsid w:val="00636D10"/>
    <w:rsid w:val="00636F4E"/>
    <w:rsid w:val="00637070"/>
    <w:rsid w:val="006376CD"/>
    <w:rsid w:val="00637737"/>
    <w:rsid w:val="0063773F"/>
    <w:rsid w:val="00637771"/>
    <w:rsid w:val="006377F1"/>
    <w:rsid w:val="00637A37"/>
    <w:rsid w:val="00637AB2"/>
    <w:rsid w:val="00637C8E"/>
    <w:rsid w:val="00637E22"/>
    <w:rsid w:val="00637E57"/>
    <w:rsid w:val="00640027"/>
    <w:rsid w:val="006400F8"/>
    <w:rsid w:val="00640216"/>
    <w:rsid w:val="006403DE"/>
    <w:rsid w:val="00640481"/>
    <w:rsid w:val="00640502"/>
    <w:rsid w:val="00640A2A"/>
    <w:rsid w:val="00640AAE"/>
    <w:rsid w:val="00640ACB"/>
    <w:rsid w:val="00640B68"/>
    <w:rsid w:val="00640CB4"/>
    <w:rsid w:val="006414B5"/>
    <w:rsid w:val="0064162D"/>
    <w:rsid w:val="0064170B"/>
    <w:rsid w:val="006417E0"/>
    <w:rsid w:val="0064198F"/>
    <w:rsid w:val="00641A4D"/>
    <w:rsid w:val="00641B06"/>
    <w:rsid w:val="00641D00"/>
    <w:rsid w:val="00641D92"/>
    <w:rsid w:val="006423CB"/>
    <w:rsid w:val="00642528"/>
    <w:rsid w:val="00642830"/>
    <w:rsid w:val="00642ADF"/>
    <w:rsid w:val="00642D6A"/>
    <w:rsid w:val="00642F37"/>
    <w:rsid w:val="00642FEC"/>
    <w:rsid w:val="006439DF"/>
    <w:rsid w:val="00643E75"/>
    <w:rsid w:val="00643EB3"/>
    <w:rsid w:val="00643FDF"/>
    <w:rsid w:val="00644070"/>
    <w:rsid w:val="0064418A"/>
    <w:rsid w:val="0064469B"/>
    <w:rsid w:val="00644978"/>
    <w:rsid w:val="00644A0D"/>
    <w:rsid w:val="00644F8E"/>
    <w:rsid w:val="00645400"/>
    <w:rsid w:val="006456A3"/>
    <w:rsid w:val="0064591C"/>
    <w:rsid w:val="00645BC8"/>
    <w:rsid w:val="00645CEE"/>
    <w:rsid w:val="00645F92"/>
    <w:rsid w:val="00646037"/>
    <w:rsid w:val="00646254"/>
    <w:rsid w:val="00646529"/>
    <w:rsid w:val="00646543"/>
    <w:rsid w:val="00646870"/>
    <w:rsid w:val="00646951"/>
    <w:rsid w:val="00646BD4"/>
    <w:rsid w:val="00647166"/>
    <w:rsid w:val="0064739C"/>
    <w:rsid w:val="0064769A"/>
    <w:rsid w:val="006476ED"/>
    <w:rsid w:val="00650017"/>
    <w:rsid w:val="006501FD"/>
    <w:rsid w:val="006503D8"/>
    <w:rsid w:val="00650406"/>
    <w:rsid w:val="006506D8"/>
    <w:rsid w:val="00650770"/>
    <w:rsid w:val="00650F5E"/>
    <w:rsid w:val="006514A3"/>
    <w:rsid w:val="0065153E"/>
    <w:rsid w:val="0065171A"/>
    <w:rsid w:val="0065179A"/>
    <w:rsid w:val="006518E2"/>
    <w:rsid w:val="006518F8"/>
    <w:rsid w:val="006521B3"/>
    <w:rsid w:val="006524FD"/>
    <w:rsid w:val="006524FE"/>
    <w:rsid w:val="006526B9"/>
    <w:rsid w:val="00652782"/>
    <w:rsid w:val="006528E1"/>
    <w:rsid w:val="00652A5F"/>
    <w:rsid w:val="00652AB8"/>
    <w:rsid w:val="006531CB"/>
    <w:rsid w:val="006532AD"/>
    <w:rsid w:val="006534A9"/>
    <w:rsid w:val="0065350E"/>
    <w:rsid w:val="00653681"/>
    <w:rsid w:val="00653784"/>
    <w:rsid w:val="0065379F"/>
    <w:rsid w:val="00653915"/>
    <w:rsid w:val="00653B1A"/>
    <w:rsid w:val="00653D07"/>
    <w:rsid w:val="006542DA"/>
    <w:rsid w:val="00654352"/>
    <w:rsid w:val="006544B4"/>
    <w:rsid w:val="006545CF"/>
    <w:rsid w:val="0065487E"/>
    <w:rsid w:val="006548CF"/>
    <w:rsid w:val="00654990"/>
    <w:rsid w:val="00654E2C"/>
    <w:rsid w:val="00654E47"/>
    <w:rsid w:val="006553F7"/>
    <w:rsid w:val="00655A0A"/>
    <w:rsid w:val="00655D3F"/>
    <w:rsid w:val="00655DB5"/>
    <w:rsid w:val="00655E3E"/>
    <w:rsid w:val="006565AB"/>
    <w:rsid w:val="006565B0"/>
    <w:rsid w:val="00656813"/>
    <w:rsid w:val="00656856"/>
    <w:rsid w:val="00656897"/>
    <w:rsid w:val="0065697E"/>
    <w:rsid w:val="00656B24"/>
    <w:rsid w:val="006571E0"/>
    <w:rsid w:val="0065762B"/>
    <w:rsid w:val="006577E9"/>
    <w:rsid w:val="00657848"/>
    <w:rsid w:val="006579CC"/>
    <w:rsid w:val="00657AA6"/>
    <w:rsid w:val="00657AAA"/>
    <w:rsid w:val="00657E2E"/>
    <w:rsid w:val="006603C8"/>
    <w:rsid w:val="00660484"/>
    <w:rsid w:val="006606A3"/>
    <w:rsid w:val="006609E4"/>
    <w:rsid w:val="00660E34"/>
    <w:rsid w:val="00660EEE"/>
    <w:rsid w:val="00660F6F"/>
    <w:rsid w:val="00661203"/>
    <w:rsid w:val="0066169D"/>
    <w:rsid w:val="00661956"/>
    <w:rsid w:val="00661EE5"/>
    <w:rsid w:val="006622FA"/>
    <w:rsid w:val="00662353"/>
    <w:rsid w:val="00662738"/>
    <w:rsid w:val="006629CF"/>
    <w:rsid w:val="00663446"/>
    <w:rsid w:val="00663572"/>
    <w:rsid w:val="00663716"/>
    <w:rsid w:val="00663790"/>
    <w:rsid w:val="00663CB9"/>
    <w:rsid w:val="00663DB3"/>
    <w:rsid w:val="00663F15"/>
    <w:rsid w:val="00664163"/>
    <w:rsid w:val="00664169"/>
    <w:rsid w:val="00664347"/>
    <w:rsid w:val="00664979"/>
    <w:rsid w:val="00664B0C"/>
    <w:rsid w:val="00664F5C"/>
    <w:rsid w:val="00665093"/>
    <w:rsid w:val="006658D4"/>
    <w:rsid w:val="00665A25"/>
    <w:rsid w:val="00665AD4"/>
    <w:rsid w:val="00665B7D"/>
    <w:rsid w:val="00665FFE"/>
    <w:rsid w:val="006661BA"/>
    <w:rsid w:val="0066628B"/>
    <w:rsid w:val="0066679B"/>
    <w:rsid w:val="006668B0"/>
    <w:rsid w:val="00667B3B"/>
    <w:rsid w:val="00667E5F"/>
    <w:rsid w:val="0067009E"/>
    <w:rsid w:val="00670151"/>
    <w:rsid w:val="00670F84"/>
    <w:rsid w:val="00671011"/>
    <w:rsid w:val="00671176"/>
    <w:rsid w:val="00671329"/>
    <w:rsid w:val="00671338"/>
    <w:rsid w:val="006713BC"/>
    <w:rsid w:val="0067144E"/>
    <w:rsid w:val="006715A4"/>
    <w:rsid w:val="00671C66"/>
    <w:rsid w:val="00671D17"/>
    <w:rsid w:val="00672703"/>
    <w:rsid w:val="00672C8F"/>
    <w:rsid w:val="00672CB1"/>
    <w:rsid w:val="00672CD6"/>
    <w:rsid w:val="00672CE6"/>
    <w:rsid w:val="00672F0D"/>
    <w:rsid w:val="00672F14"/>
    <w:rsid w:val="0067330F"/>
    <w:rsid w:val="0067349E"/>
    <w:rsid w:val="006738FB"/>
    <w:rsid w:val="00673A8A"/>
    <w:rsid w:val="00673EB2"/>
    <w:rsid w:val="00673EBF"/>
    <w:rsid w:val="00673F7E"/>
    <w:rsid w:val="006742E1"/>
    <w:rsid w:val="00674849"/>
    <w:rsid w:val="006748E1"/>
    <w:rsid w:val="00674A92"/>
    <w:rsid w:val="0067506A"/>
    <w:rsid w:val="006751F0"/>
    <w:rsid w:val="00675316"/>
    <w:rsid w:val="0067582B"/>
    <w:rsid w:val="00675B23"/>
    <w:rsid w:val="00675B54"/>
    <w:rsid w:val="00675C42"/>
    <w:rsid w:val="00675C62"/>
    <w:rsid w:val="00675D38"/>
    <w:rsid w:val="00675D98"/>
    <w:rsid w:val="00675FFB"/>
    <w:rsid w:val="0067607B"/>
    <w:rsid w:val="006765FF"/>
    <w:rsid w:val="006766BB"/>
    <w:rsid w:val="0067689A"/>
    <w:rsid w:val="00676AD6"/>
    <w:rsid w:val="00676CE9"/>
    <w:rsid w:val="00676F97"/>
    <w:rsid w:val="0067725D"/>
    <w:rsid w:val="006773BE"/>
    <w:rsid w:val="00677500"/>
    <w:rsid w:val="00677855"/>
    <w:rsid w:val="00677883"/>
    <w:rsid w:val="00677B24"/>
    <w:rsid w:val="00677CCC"/>
    <w:rsid w:val="00677F1C"/>
    <w:rsid w:val="00677F8B"/>
    <w:rsid w:val="00677FA1"/>
    <w:rsid w:val="0068040B"/>
    <w:rsid w:val="006805FB"/>
    <w:rsid w:val="00680798"/>
    <w:rsid w:val="006807CF"/>
    <w:rsid w:val="00680BE9"/>
    <w:rsid w:val="00680C10"/>
    <w:rsid w:val="00680D8B"/>
    <w:rsid w:val="00680E45"/>
    <w:rsid w:val="00681143"/>
    <w:rsid w:val="006812E0"/>
    <w:rsid w:val="006813CF"/>
    <w:rsid w:val="00681437"/>
    <w:rsid w:val="00681621"/>
    <w:rsid w:val="00681719"/>
    <w:rsid w:val="00682265"/>
    <w:rsid w:val="006824CE"/>
    <w:rsid w:val="00682700"/>
    <w:rsid w:val="0068295C"/>
    <w:rsid w:val="00682B92"/>
    <w:rsid w:val="00682EDD"/>
    <w:rsid w:val="00682FD8"/>
    <w:rsid w:val="0068308E"/>
    <w:rsid w:val="0068315B"/>
    <w:rsid w:val="0068317A"/>
    <w:rsid w:val="00683829"/>
    <w:rsid w:val="006839EC"/>
    <w:rsid w:val="00683A99"/>
    <w:rsid w:val="00683B4A"/>
    <w:rsid w:val="006840EA"/>
    <w:rsid w:val="0068419A"/>
    <w:rsid w:val="00684628"/>
    <w:rsid w:val="00684754"/>
    <w:rsid w:val="00684977"/>
    <w:rsid w:val="00684B6D"/>
    <w:rsid w:val="00684BC3"/>
    <w:rsid w:val="00684C08"/>
    <w:rsid w:val="00684D32"/>
    <w:rsid w:val="006853C5"/>
    <w:rsid w:val="0068566D"/>
    <w:rsid w:val="00685953"/>
    <w:rsid w:val="00685A67"/>
    <w:rsid w:val="00685B7F"/>
    <w:rsid w:val="00685C95"/>
    <w:rsid w:val="00685E95"/>
    <w:rsid w:val="0068600A"/>
    <w:rsid w:val="00686028"/>
    <w:rsid w:val="00686102"/>
    <w:rsid w:val="00686214"/>
    <w:rsid w:val="0068631A"/>
    <w:rsid w:val="006863DB"/>
    <w:rsid w:val="00686439"/>
    <w:rsid w:val="0068676D"/>
    <w:rsid w:val="00686B9F"/>
    <w:rsid w:val="00686D15"/>
    <w:rsid w:val="00686DD3"/>
    <w:rsid w:val="00686DE6"/>
    <w:rsid w:val="0068721F"/>
    <w:rsid w:val="00687AD6"/>
    <w:rsid w:val="00687D21"/>
    <w:rsid w:val="0069010C"/>
    <w:rsid w:val="00690245"/>
    <w:rsid w:val="00690636"/>
    <w:rsid w:val="0069082D"/>
    <w:rsid w:val="00690892"/>
    <w:rsid w:val="0069126D"/>
    <w:rsid w:val="00691568"/>
    <w:rsid w:val="00691690"/>
    <w:rsid w:val="00691781"/>
    <w:rsid w:val="00691DB9"/>
    <w:rsid w:val="00691F36"/>
    <w:rsid w:val="00691FB2"/>
    <w:rsid w:val="00692494"/>
    <w:rsid w:val="00692762"/>
    <w:rsid w:val="00692788"/>
    <w:rsid w:val="00692800"/>
    <w:rsid w:val="00692B23"/>
    <w:rsid w:val="00692BF4"/>
    <w:rsid w:val="00693A03"/>
    <w:rsid w:val="00693A26"/>
    <w:rsid w:val="00693BAE"/>
    <w:rsid w:val="00693EAD"/>
    <w:rsid w:val="00693FED"/>
    <w:rsid w:val="0069404F"/>
    <w:rsid w:val="006942CF"/>
    <w:rsid w:val="00694779"/>
    <w:rsid w:val="00694B71"/>
    <w:rsid w:val="00695523"/>
    <w:rsid w:val="006959DF"/>
    <w:rsid w:val="00695A51"/>
    <w:rsid w:val="00695D44"/>
    <w:rsid w:val="00695F48"/>
    <w:rsid w:val="00695F95"/>
    <w:rsid w:val="006961A9"/>
    <w:rsid w:val="006962BF"/>
    <w:rsid w:val="0069630B"/>
    <w:rsid w:val="006965D1"/>
    <w:rsid w:val="006965F2"/>
    <w:rsid w:val="006968DD"/>
    <w:rsid w:val="00696958"/>
    <w:rsid w:val="00696FBF"/>
    <w:rsid w:val="00697175"/>
    <w:rsid w:val="00697322"/>
    <w:rsid w:val="00697622"/>
    <w:rsid w:val="006976A3"/>
    <w:rsid w:val="006976E4"/>
    <w:rsid w:val="006977FA"/>
    <w:rsid w:val="006978AA"/>
    <w:rsid w:val="0069791E"/>
    <w:rsid w:val="006979BD"/>
    <w:rsid w:val="006979D5"/>
    <w:rsid w:val="00697B38"/>
    <w:rsid w:val="00697DF9"/>
    <w:rsid w:val="006A01A8"/>
    <w:rsid w:val="006A0DD8"/>
    <w:rsid w:val="006A129E"/>
    <w:rsid w:val="006A1481"/>
    <w:rsid w:val="006A1764"/>
    <w:rsid w:val="006A1A45"/>
    <w:rsid w:val="006A1D4B"/>
    <w:rsid w:val="006A1E59"/>
    <w:rsid w:val="006A2499"/>
    <w:rsid w:val="006A252F"/>
    <w:rsid w:val="006A2B9D"/>
    <w:rsid w:val="006A3F9E"/>
    <w:rsid w:val="006A4347"/>
    <w:rsid w:val="006A43CB"/>
    <w:rsid w:val="006A4509"/>
    <w:rsid w:val="006A467D"/>
    <w:rsid w:val="006A46C7"/>
    <w:rsid w:val="006A4908"/>
    <w:rsid w:val="006A4AC7"/>
    <w:rsid w:val="006A4C9D"/>
    <w:rsid w:val="006A4D83"/>
    <w:rsid w:val="006A512C"/>
    <w:rsid w:val="006A51A7"/>
    <w:rsid w:val="006A536B"/>
    <w:rsid w:val="006A5490"/>
    <w:rsid w:val="006A54E6"/>
    <w:rsid w:val="006A5658"/>
    <w:rsid w:val="006A5CCD"/>
    <w:rsid w:val="006A600C"/>
    <w:rsid w:val="006A60A9"/>
    <w:rsid w:val="006A6296"/>
    <w:rsid w:val="006A6737"/>
    <w:rsid w:val="006A6AE2"/>
    <w:rsid w:val="006A6BFA"/>
    <w:rsid w:val="006A6D36"/>
    <w:rsid w:val="006A6D3B"/>
    <w:rsid w:val="006A6FF6"/>
    <w:rsid w:val="006A7127"/>
    <w:rsid w:val="006A7171"/>
    <w:rsid w:val="006A7194"/>
    <w:rsid w:val="006A727B"/>
    <w:rsid w:val="006A75FE"/>
    <w:rsid w:val="006A760D"/>
    <w:rsid w:val="006A76F9"/>
    <w:rsid w:val="006A7AFB"/>
    <w:rsid w:val="006A7E63"/>
    <w:rsid w:val="006A7EEC"/>
    <w:rsid w:val="006B0036"/>
    <w:rsid w:val="006B058D"/>
    <w:rsid w:val="006B061F"/>
    <w:rsid w:val="006B0A72"/>
    <w:rsid w:val="006B0C70"/>
    <w:rsid w:val="006B0EE9"/>
    <w:rsid w:val="006B11CD"/>
    <w:rsid w:val="006B11F1"/>
    <w:rsid w:val="006B12CA"/>
    <w:rsid w:val="006B1334"/>
    <w:rsid w:val="006B13D5"/>
    <w:rsid w:val="006B17EE"/>
    <w:rsid w:val="006B1851"/>
    <w:rsid w:val="006B19DE"/>
    <w:rsid w:val="006B1AC5"/>
    <w:rsid w:val="006B1BB1"/>
    <w:rsid w:val="006B1C2E"/>
    <w:rsid w:val="006B1C8B"/>
    <w:rsid w:val="006B1C90"/>
    <w:rsid w:val="006B1FB7"/>
    <w:rsid w:val="006B1FB9"/>
    <w:rsid w:val="006B269D"/>
    <w:rsid w:val="006B2B04"/>
    <w:rsid w:val="006B2ED2"/>
    <w:rsid w:val="006B2F24"/>
    <w:rsid w:val="006B380A"/>
    <w:rsid w:val="006B3870"/>
    <w:rsid w:val="006B3B0B"/>
    <w:rsid w:val="006B44C8"/>
    <w:rsid w:val="006B4AD0"/>
    <w:rsid w:val="006B4CB6"/>
    <w:rsid w:val="006B515E"/>
    <w:rsid w:val="006B5913"/>
    <w:rsid w:val="006B597C"/>
    <w:rsid w:val="006B5A76"/>
    <w:rsid w:val="006B5E3C"/>
    <w:rsid w:val="006B5FFC"/>
    <w:rsid w:val="006B6590"/>
    <w:rsid w:val="006B65A9"/>
    <w:rsid w:val="006B66B0"/>
    <w:rsid w:val="006B6ACD"/>
    <w:rsid w:val="006B6AFC"/>
    <w:rsid w:val="006B6FA8"/>
    <w:rsid w:val="006B7864"/>
    <w:rsid w:val="006B7981"/>
    <w:rsid w:val="006B7BB3"/>
    <w:rsid w:val="006C00DE"/>
    <w:rsid w:val="006C03C3"/>
    <w:rsid w:val="006C073B"/>
    <w:rsid w:val="006C07F2"/>
    <w:rsid w:val="006C098C"/>
    <w:rsid w:val="006C09B6"/>
    <w:rsid w:val="006C0E8E"/>
    <w:rsid w:val="006C0EAE"/>
    <w:rsid w:val="006C0F8E"/>
    <w:rsid w:val="006C118C"/>
    <w:rsid w:val="006C137B"/>
    <w:rsid w:val="006C147E"/>
    <w:rsid w:val="006C17C0"/>
    <w:rsid w:val="006C1BC9"/>
    <w:rsid w:val="006C1C9B"/>
    <w:rsid w:val="006C229B"/>
    <w:rsid w:val="006C2378"/>
    <w:rsid w:val="006C2587"/>
    <w:rsid w:val="006C2D52"/>
    <w:rsid w:val="006C2F55"/>
    <w:rsid w:val="006C3411"/>
    <w:rsid w:val="006C34A8"/>
    <w:rsid w:val="006C3590"/>
    <w:rsid w:val="006C3871"/>
    <w:rsid w:val="006C3BA9"/>
    <w:rsid w:val="006C3D91"/>
    <w:rsid w:val="006C3FCA"/>
    <w:rsid w:val="006C4429"/>
    <w:rsid w:val="006C4495"/>
    <w:rsid w:val="006C44F1"/>
    <w:rsid w:val="006C452A"/>
    <w:rsid w:val="006C4A73"/>
    <w:rsid w:val="006C5171"/>
    <w:rsid w:val="006C524A"/>
    <w:rsid w:val="006C5498"/>
    <w:rsid w:val="006C5B39"/>
    <w:rsid w:val="006C5ECC"/>
    <w:rsid w:val="006C5F19"/>
    <w:rsid w:val="006C6406"/>
    <w:rsid w:val="006C660D"/>
    <w:rsid w:val="006C6753"/>
    <w:rsid w:val="006C68D7"/>
    <w:rsid w:val="006C6951"/>
    <w:rsid w:val="006C6955"/>
    <w:rsid w:val="006C69E2"/>
    <w:rsid w:val="006C70C0"/>
    <w:rsid w:val="006C7F70"/>
    <w:rsid w:val="006D0088"/>
    <w:rsid w:val="006D03E1"/>
    <w:rsid w:val="006D07F4"/>
    <w:rsid w:val="006D0B73"/>
    <w:rsid w:val="006D1162"/>
    <w:rsid w:val="006D1442"/>
    <w:rsid w:val="006D1458"/>
    <w:rsid w:val="006D1469"/>
    <w:rsid w:val="006D15BC"/>
    <w:rsid w:val="006D1CDE"/>
    <w:rsid w:val="006D1DC4"/>
    <w:rsid w:val="006D1F31"/>
    <w:rsid w:val="006D1FDE"/>
    <w:rsid w:val="006D20A6"/>
    <w:rsid w:val="006D2792"/>
    <w:rsid w:val="006D28B6"/>
    <w:rsid w:val="006D28F0"/>
    <w:rsid w:val="006D295E"/>
    <w:rsid w:val="006D2AFD"/>
    <w:rsid w:val="006D2CC0"/>
    <w:rsid w:val="006D2E50"/>
    <w:rsid w:val="006D2EB8"/>
    <w:rsid w:val="006D3347"/>
    <w:rsid w:val="006D340F"/>
    <w:rsid w:val="006D3440"/>
    <w:rsid w:val="006D367C"/>
    <w:rsid w:val="006D38FA"/>
    <w:rsid w:val="006D3A11"/>
    <w:rsid w:val="006D3B73"/>
    <w:rsid w:val="006D3BDC"/>
    <w:rsid w:val="006D3D68"/>
    <w:rsid w:val="006D3E93"/>
    <w:rsid w:val="006D3EEB"/>
    <w:rsid w:val="006D41AF"/>
    <w:rsid w:val="006D453F"/>
    <w:rsid w:val="006D4971"/>
    <w:rsid w:val="006D525D"/>
    <w:rsid w:val="006D54F0"/>
    <w:rsid w:val="006D5989"/>
    <w:rsid w:val="006D5B09"/>
    <w:rsid w:val="006D5CA3"/>
    <w:rsid w:val="006D5D3C"/>
    <w:rsid w:val="006D5FD6"/>
    <w:rsid w:val="006D6277"/>
    <w:rsid w:val="006D657F"/>
    <w:rsid w:val="006D66D4"/>
    <w:rsid w:val="006D6C7E"/>
    <w:rsid w:val="006D6F12"/>
    <w:rsid w:val="006D702B"/>
    <w:rsid w:val="006D7276"/>
    <w:rsid w:val="006D7348"/>
    <w:rsid w:val="006D7417"/>
    <w:rsid w:val="006D75D2"/>
    <w:rsid w:val="006D7978"/>
    <w:rsid w:val="006D7C95"/>
    <w:rsid w:val="006E0737"/>
    <w:rsid w:val="006E0802"/>
    <w:rsid w:val="006E088F"/>
    <w:rsid w:val="006E0A96"/>
    <w:rsid w:val="006E0DC0"/>
    <w:rsid w:val="006E14E2"/>
    <w:rsid w:val="006E165A"/>
    <w:rsid w:val="006E1853"/>
    <w:rsid w:val="006E1B37"/>
    <w:rsid w:val="006E1DA0"/>
    <w:rsid w:val="006E2122"/>
    <w:rsid w:val="006E2177"/>
    <w:rsid w:val="006E22A5"/>
    <w:rsid w:val="006E255C"/>
    <w:rsid w:val="006E2591"/>
    <w:rsid w:val="006E295F"/>
    <w:rsid w:val="006E2980"/>
    <w:rsid w:val="006E2A71"/>
    <w:rsid w:val="006E2AFB"/>
    <w:rsid w:val="006E2C00"/>
    <w:rsid w:val="006E2CA1"/>
    <w:rsid w:val="006E2E93"/>
    <w:rsid w:val="006E2FDA"/>
    <w:rsid w:val="006E3035"/>
    <w:rsid w:val="006E35FE"/>
    <w:rsid w:val="006E3673"/>
    <w:rsid w:val="006E39F8"/>
    <w:rsid w:val="006E3B1D"/>
    <w:rsid w:val="006E3E0A"/>
    <w:rsid w:val="006E3EFF"/>
    <w:rsid w:val="006E3FED"/>
    <w:rsid w:val="006E401A"/>
    <w:rsid w:val="006E405A"/>
    <w:rsid w:val="006E40AD"/>
    <w:rsid w:val="006E429E"/>
    <w:rsid w:val="006E46B2"/>
    <w:rsid w:val="006E4C92"/>
    <w:rsid w:val="006E596C"/>
    <w:rsid w:val="006E59AD"/>
    <w:rsid w:val="006E59B6"/>
    <w:rsid w:val="006E5BDE"/>
    <w:rsid w:val="006E695F"/>
    <w:rsid w:val="006E6CF0"/>
    <w:rsid w:val="006E6FFF"/>
    <w:rsid w:val="006E707E"/>
    <w:rsid w:val="006E71EA"/>
    <w:rsid w:val="006E7A02"/>
    <w:rsid w:val="006E7A5A"/>
    <w:rsid w:val="006E7D84"/>
    <w:rsid w:val="006E7E03"/>
    <w:rsid w:val="006F0328"/>
    <w:rsid w:val="006F0374"/>
    <w:rsid w:val="006F04F3"/>
    <w:rsid w:val="006F07D9"/>
    <w:rsid w:val="006F09E4"/>
    <w:rsid w:val="006F0BFB"/>
    <w:rsid w:val="006F0F6A"/>
    <w:rsid w:val="006F120D"/>
    <w:rsid w:val="006F1420"/>
    <w:rsid w:val="006F1AB5"/>
    <w:rsid w:val="006F1AB6"/>
    <w:rsid w:val="006F1E16"/>
    <w:rsid w:val="006F21E3"/>
    <w:rsid w:val="006F21E4"/>
    <w:rsid w:val="006F22FB"/>
    <w:rsid w:val="006F2532"/>
    <w:rsid w:val="006F292F"/>
    <w:rsid w:val="006F2A2C"/>
    <w:rsid w:val="006F36E7"/>
    <w:rsid w:val="006F3936"/>
    <w:rsid w:val="006F3ABD"/>
    <w:rsid w:val="006F3B71"/>
    <w:rsid w:val="006F4153"/>
    <w:rsid w:val="006F42CF"/>
    <w:rsid w:val="006F44F8"/>
    <w:rsid w:val="006F462B"/>
    <w:rsid w:val="006F466F"/>
    <w:rsid w:val="006F495B"/>
    <w:rsid w:val="006F4BB3"/>
    <w:rsid w:val="006F4E6A"/>
    <w:rsid w:val="006F531F"/>
    <w:rsid w:val="006F57A5"/>
    <w:rsid w:val="006F580E"/>
    <w:rsid w:val="006F58C7"/>
    <w:rsid w:val="006F5D36"/>
    <w:rsid w:val="006F5DEA"/>
    <w:rsid w:val="006F608C"/>
    <w:rsid w:val="006F60DF"/>
    <w:rsid w:val="006F6206"/>
    <w:rsid w:val="006F665D"/>
    <w:rsid w:val="006F697F"/>
    <w:rsid w:val="006F7096"/>
    <w:rsid w:val="006F76B3"/>
    <w:rsid w:val="006F7D66"/>
    <w:rsid w:val="007003FC"/>
    <w:rsid w:val="00700543"/>
    <w:rsid w:val="007005C9"/>
    <w:rsid w:val="007006AC"/>
    <w:rsid w:val="00700806"/>
    <w:rsid w:val="007008BA"/>
    <w:rsid w:val="007012A7"/>
    <w:rsid w:val="007014E7"/>
    <w:rsid w:val="007016FE"/>
    <w:rsid w:val="00701A15"/>
    <w:rsid w:val="00701C92"/>
    <w:rsid w:val="00701ED3"/>
    <w:rsid w:val="00701F4D"/>
    <w:rsid w:val="00702188"/>
    <w:rsid w:val="0070222A"/>
    <w:rsid w:val="0070227F"/>
    <w:rsid w:val="0070243B"/>
    <w:rsid w:val="007029F4"/>
    <w:rsid w:val="00702AFE"/>
    <w:rsid w:val="00702C20"/>
    <w:rsid w:val="00702D7D"/>
    <w:rsid w:val="00702E77"/>
    <w:rsid w:val="00702F54"/>
    <w:rsid w:val="007033AD"/>
    <w:rsid w:val="0070369A"/>
    <w:rsid w:val="007036CE"/>
    <w:rsid w:val="0070382F"/>
    <w:rsid w:val="00703DEC"/>
    <w:rsid w:val="00703EAC"/>
    <w:rsid w:val="00703FD6"/>
    <w:rsid w:val="007046E2"/>
    <w:rsid w:val="00704938"/>
    <w:rsid w:val="00704DAE"/>
    <w:rsid w:val="00704E2E"/>
    <w:rsid w:val="00704EA3"/>
    <w:rsid w:val="0070504F"/>
    <w:rsid w:val="00705535"/>
    <w:rsid w:val="0070599B"/>
    <w:rsid w:val="00705C6C"/>
    <w:rsid w:val="00705C70"/>
    <w:rsid w:val="00705CA4"/>
    <w:rsid w:val="00705F4D"/>
    <w:rsid w:val="00705F6B"/>
    <w:rsid w:val="00705F9D"/>
    <w:rsid w:val="0070624F"/>
    <w:rsid w:val="007063F4"/>
    <w:rsid w:val="0070648A"/>
    <w:rsid w:val="00706A60"/>
    <w:rsid w:val="0070738F"/>
    <w:rsid w:val="007075AE"/>
    <w:rsid w:val="00707630"/>
    <w:rsid w:val="00707664"/>
    <w:rsid w:val="00707850"/>
    <w:rsid w:val="007078F3"/>
    <w:rsid w:val="00707E2C"/>
    <w:rsid w:val="00707FDD"/>
    <w:rsid w:val="00710008"/>
    <w:rsid w:val="00710219"/>
    <w:rsid w:val="0071024C"/>
    <w:rsid w:val="0071060E"/>
    <w:rsid w:val="00711052"/>
    <w:rsid w:val="0071107B"/>
    <w:rsid w:val="007116A7"/>
    <w:rsid w:val="00711763"/>
    <w:rsid w:val="00711954"/>
    <w:rsid w:val="00711A53"/>
    <w:rsid w:val="00711D31"/>
    <w:rsid w:val="00711D36"/>
    <w:rsid w:val="007121DE"/>
    <w:rsid w:val="00712955"/>
    <w:rsid w:val="00712ADF"/>
    <w:rsid w:val="00712B08"/>
    <w:rsid w:val="00712E4F"/>
    <w:rsid w:val="007130F7"/>
    <w:rsid w:val="007133CC"/>
    <w:rsid w:val="00713D24"/>
    <w:rsid w:val="00713EAB"/>
    <w:rsid w:val="00714353"/>
    <w:rsid w:val="007143E0"/>
    <w:rsid w:val="0071444A"/>
    <w:rsid w:val="0071453E"/>
    <w:rsid w:val="007145E7"/>
    <w:rsid w:val="0071471B"/>
    <w:rsid w:val="00714AD3"/>
    <w:rsid w:val="00714F69"/>
    <w:rsid w:val="007157A8"/>
    <w:rsid w:val="00715AA5"/>
    <w:rsid w:val="00715BEF"/>
    <w:rsid w:val="00716032"/>
    <w:rsid w:val="00716258"/>
    <w:rsid w:val="0071656E"/>
    <w:rsid w:val="007166C6"/>
    <w:rsid w:val="007168D2"/>
    <w:rsid w:val="00716F8E"/>
    <w:rsid w:val="00717514"/>
    <w:rsid w:val="00717952"/>
    <w:rsid w:val="00717DC4"/>
    <w:rsid w:val="00720252"/>
    <w:rsid w:val="0072028B"/>
    <w:rsid w:val="00720A2D"/>
    <w:rsid w:val="00720B1B"/>
    <w:rsid w:val="00720DF0"/>
    <w:rsid w:val="007210F6"/>
    <w:rsid w:val="007212AD"/>
    <w:rsid w:val="00721307"/>
    <w:rsid w:val="007214A8"/>
    <w:rsid w:val="00721B76"/>
    <w:rsid w:val="00721B8B"/>
    <w:rsid w:val="00721E4B"/>
    <w:rsid w:val="007220C8"/>
    <w:rsid w:val="0072264A"/>
    <w:rsid w:val="00722674"/>
    <w:rsid w:val="0072278D"/>
    <w:rsid w:val="00722942"/>
    <w:rsid w:val="007229C4"/>
    <w:rsid w:val="00722A16"/>
    <w:rsid w:val="00722D46"/>
    <w:rsid w:val="00722DD5"/>
    <w:rsid w:val="00722E24"/>
    <w:rsid w:val="00723073"/>
    <w:rsid w:val="00723314"/>
    <w:rsid w:val="00723543"/>
    <w:rsid w:val="00723545"/>
    <w:rsid w:val="007237DD"/>
    <w:rsid w:val="007238FB"/>
    <w:rsid w:val="00723A07"/>
    <w:rsid w:val="00723B47"/>
    <w:rsid w:val="00723B61"/>
    <w:rsid w:val="00723B82"/>
    <w:rsid w:val="00723D3E"/>
    <w:rsid w:val="0072467B"/>
    <w:rsid w:val="0072467E"/>
    <w:rsid w:val="007246B6"/>
    <w:rsid w:val="00724755"/>
    <w:rsid w:val="00724762"/>
    <w:rsid w:val="00724923"/>
    <w:rsid w:val="00724C97"/>
    <w:rsid w:val="00724DDD"/>
    <w:rsid w:val="00724E29"/>
    <w:rsid w:val="007250BA"/>
    <w:rsid w:val="00725114"/>
    <w:rsid w:val="0072546E"/>
    <w:rsid w:val="007255F3"/>
    <w:rsid w:val="00725815"/>
    <w:rsid w:val="00725890"/>
    <w:rsid w:val="00725ACF"/>
    <w:rsid w:val="00725B64"/>
    <w:rsid w:val="00725DD5"/>
    <w:rsid w:val="00725FD6"/>
    <w:rsid w:val="00725FE2"/>
    <w:rsid w:val="007261B3"/>
    <w:rsid w:val="007262A7"/>
    <w:rsid w:val="00726528"/>
    <w:rsid w:val="00726B37"/>
    <w:rsid w:val="00726B81"/>
    <w:rsid w:val="00726C5F"/>
    <w:rsid w:val="00727294"/>
    <w:rsid w:val="00727493"/>
    <w:rsid w:val="0072779B"/>
    <w:rsid w:val="00727C7E"/>
    <w:rsid w:val="00727CB2"/>
    <w:rsid w:val="00727D44"/>
    <w:rsid w:val="00727DBE"/>
    <w:rsid w:val="00727F6C"/>
    <w:rsid w:val="0073026A"/>
    <w:rsid w:val="007303CB"/>
    <w:rsid w:val="0073048A"/>
    <w:rsid w:val="007309D2"/>
    <w:rsid w:val="00730D39"/>
    <w:rsid w:val="00730D72"/>
    <w:rsid w:val="00730DAA"/>
    <w:rsid w:val="00730EB4"/>
    <w:rsid w:val="00731322"/>
    <w:rsid w:val="0073179A"/>
    <w:rsid w:val="00731B84"/>
    <w:rsid w:val="00731C0B"/>
    <w:rsid w:val="00732022"/>
    <w:rsid w:val="00732251"/>
    <w:rsid w:val="0073249A"/>
    <w:rsid w:val="00732A18"/>
    <w:rsid w:val="00732A4C"/>
    <w:rsid w:val="00732B8B"/>
    <w:rsid w:val="00732E65"/>
    <w:rsid w:val="007331CE"/>
    <w:rsid w:val="00733293"/>
    <w:rsid w:val="0073354D"/>
    <w:rsid w:val="0073384F"/>
    <w:rsid w:val="007338B5"/>
    <w:rsid w:val="00733E4C"/>
    <w:rsid w:val="00733FF3"/>
    <w:rsid w:val="00734070"/>
    <w:rsid w:val="007343AD"/>
    <w:rsid w:val="00734585"/>
    <w:rsid w:val="00734709"/>
    <w:rsid w:val="00734797"/>
    <w:rsid w:val="00734A6F"/>
    <w:rsid w:val="00734D0B"/>
    <w:rsid w:val="00734EB9"/>
    <w:rsid w:val="00734F5E"/>
    <w:rsid w:val="00735382"/>
    <w:rsid w:val="0073551B"/>
    <w:rsid w:val="00735B4A"/>
    <w:rsid w:val="00735D24"/>
    <w:rsid w:val="00736126"/>
    <w:rsid w:val="00736329"/>
    <w:rsid w:val="00736699"/>
    <w:rsid w:val="007368E7"/>
    <w:rsid w:val="00736C80"/>
    <w:rsid w:val="00736FA9"/>
    <w:rsid w:val="007374FA"/>
    <w:rsid w:val="00737685"/>
    <w:rsid w:val="00737A8F"/>
    <w:rsid w:val="007407DC"/>
    <w:rsid w:val="007409AC"/>
    <w:rsid w:val="00740B37"/>
    <w:rsid w:val="00740CA0"/>
    <w:rsid w:val="00740D24"/>
    <w:rsid w:val="00741037"/>
    <w:rsid w:val="007411CB"/>
    <w:rsid w:val="007414BF"/>
    <w:rsid w:val="007418DF"/>
    <w:rsid w:val="00741952"/>
    <w:rsid w:val="00741B2C"/>
    <w:rsid w:val="00741D82"/>
    <w:rsid w:val="00741DC2"/>
    <w:rsid w:val="00741F56"/>
    <w:rsid w:val="0074221A"/>
    <w:rsid w:val="00742858"/>
    <w:rsid w:val="0074299C"/>
    <w:rsid w:val="00742A7A"/>
    <w:rsid w:val="0074340F"/>
    <w:rsid w:val="007438C1"/>
    <w:rsid w:val="007439E0"/>
    <w:rsid w:val="00743E1E"/>
    <w:rsid w:val="00744741"/>
    <w:rsid w:val="00744E46"/>
    <w:rsid w:val="00744EAD"/>
    <w:rsid w:val="0074503B"/>
    <w:rsid w:val="0074517F"/>
    <w:rsid w:val="007451F9"/>
    <w:rsid w:val="00745615"/>
    <w:rsid w:val="00745902"/>
    <w:rsid w:val="00745945"/>
    <w:rsid w:val="00745949"/>
    <w:rsid w:val="00745DDF"/>
    <w:rsid w:val="007464F5"/>
    <w:rsid w:val="00746FC2"/>
    <w:rsid w:val="007470F7"/>
    <w:rsid w:val="0074791D"/>
    <w:rsid w:val="00747C53"/>
    <w:rsid w:val="00747D4C"/>
    <w:rsid w:val="00747E3C"/>
    <w:rsid w:val="0075008A"/>
    <w:rsid w:val="007501C8"/>
    <w:rsid w:val="00750304"/>
    <w:rsid w:val="00750324"/>
    <w:rsid w:val="007504CE"/>
    <w:rsid w:val="00750C0F"/>
    <w:rsid w:val="00750F82"/>
    <w:rsid w:val="00751134"/>
    <w:rsid w:val="00751473"/>
    <w:rsid w:val="007515EA"/>
    <w:rsid w:val="007516FB"/>
    <w:rsid w:val="00751728"/>
    <w:rsid w:val="007517FC"/>
    <w:rsid w:val="00751936"/>
    <w:rsid w:val="00751B59"/>
    <w:rsid w:val="00752D94"/>
    <w:rsid w:val="00752DB1"/>
    <w:rsid w:val="00752FC9"/>
    <w:rsid w:val="007530E5"/>
    <w:rsid w:val="00753623"/>
    <w:rsid w:val="00753ACC"/>
    <w:rsid w:val="00753B2F"/>
    <w:rsid w:val="00753D66"/>
    <w:rsid w:val="00753EE4"/>
    <w:rsid w:val="00753FF0"/>
    <w:rsid w:val="00754088"/>
    <w:rsid w:val="007544C1"/>
    <w:rsid w:val="00754767"/>
    <w:rsid w:val="007547AD"/>
    <w:rsid w:val="007547ED"/>
    <w:rsid w:val="00754CDB"/>
    <w:rsid w:val="00754D20"/>
    <w:rsid w:val="00754D84"/>
    <w:rsid w:val="00755348"/>
    <w:rsid w:val="00755801"/>
    <w:rsid w:val="00755967"/>
    <w:rsid w:val="00755CF0"/>
    <w:rsid w:val="00755E87"/>
    <w:rsid w:val="007562FF"/>
    <w:rsid w:val="007564B9"/>
    <w:rsid w:val="00756650"/>
    <w:rsid w:val="00756769"/>
    <w:rsid w:val="00756911"/>
    <w:rsid w:val="00756A5A"/>
    <w:rsid w:val="00756CDE"/>
    <w:rsid w:val="00756F69"/>
    <w:rsid w:val="00757027"/>
    <w:rsid w:val="00757118"/>
    <w:rsid w:val="00757365"/>
    <w:rsid w:val="007575A0"/>
    <w:rsid w:val="007579CD"/>
    <w:rsid w:val="007601B9"/>
    <w:rsid w:val="007603A8"/>
    <w:rsid w:val="007606ED"/>
    <w:rsid w:val="00760718"/>
    <w:rsid w:val="00760842"/>
    <w:rsid w:val="00760DC0"/>
    <w:rsid w:val="00760DCE"/>
    <w:rsid w:val="00760E17"/>
    <w:rsid w:val="00760E28"/>
    <w:rsid w:val="00760F36"/>
    <w:rsid w:val="00760F67"/>
    <w:rsid w:val="00760FD7"/>
    <w:rsid w:val="007614E0"/>
    <w:rsid w:val="00761B60"/>
    <w:rsid w:val="007621C0"/>
    <w:rsid w:val="007622A9"/>
    <w:rsid w:val="007622C7"/>
    <w:rsid w:val="0076234B"/>
    <w:rsid w:val="007624FC"/>
    <w:rsid w:val="007627CA"/>
    <w:rsid w:val="0076281F"/>
    <w:rsid w:val="00762C38"/>
    <w:rsid w:val="00762E35"/>
    <w:rsid w:val="00763E95"/>
    <w:rsid w:val="0076403F"/>
    <w:rsid w:val="0076438A"/>
    <w:rsid w:val="007644BD"/>
    <w:rsid w:val="00764861"/>
    <w:rsid w:val="00764AD3"/>
    <w:rsid w:val="00764E58"/>
    <w:rsid w:val="0076535E"/>
    <w:rsid w:val="007653A0"/>
    <w:rsid w:val="0076566F"/>
    <w:rsid w:val="00765756"/>
    <w:rsid w:val="00765AB1"/>
    <w:rsid w:val="00765C71"/>
    <w:rsid w:val="00766128"/>
    <w:rsid w:val="007661AF"/>
    <w:rsid w:val="007661D6"/>
    <w:rsid w:val="00766226"/>
    <w:rsid w:val="0076634D"/>
    <w:rsid w:val="00767102"/>
    <w:rsid w:val="007674F5"/>
    <w:rsid w:val="00767C70"/>
    <w:rsid w:val="00767F9A"/>
    <w:rsid w:val="00770317"/>
    <w:rsid w:val="00770650"/>
    <w:rsid w:val="00770854"/>
    <w:rsid w:val="0077093A"/>
    <w:rsid w:val="007709DB"/>
    <w:rsid w:val="00770F7F"/>
    <w:rsid w:val="0077114B"/>
    <w:rsid w:val="0077187B"/>
    <w:rsid w:val="00771F1D"/>
    <w:rsid w:val="00772043"/>
    <w:rsid w:val="007727D3"/>
    <w:rsid w:val="00772A01"/>
    <w:rsid w:val="00772C59"/>
    <w:rsid w:val="00773197"/>
    <w:rsid w:val="00773329"/>
    <w:rsid w:val="00773EA4"/>
    <w:rsid w:val="00773EC6"/>
    <w:rsid w:val="0077414D"/>
    <w:rsid w:val="007741D1"/>
    <w:rsid w:val="007746D5"/>
    <w:rsid w:val="00774726"/>
    <w:rsid w:val="007749A1"/>
    <w:rsid w:val="00774A8A"/>
    <w:rsid w:val="00774B31"/>
    <w:rsid w:val="00774B36"/>
    <w:rsid w:val="00774B51"/>
    <w:rsid w:val="00774FE2"/>
    <w:rsid w:val="0077510F"/>
    <w:rsid w:val="00775E25"/>
    <w:rsid w:val="00775E2E"/>
    <w:rsid w:val="00775F37"/>
    <w:rsid w:val="00775FD8"/>
    <w:rsid w:val="007766B9"/>
    <w:rsid w:val="00776818"/>
    <w:rsid w:val="0077682F"/>
    <w:rsid w:val="007768C3"/>
    <w:rsid w:val="00776D08"/>
    <w:rsid w:val="00776DC5"/>
    <w:rsid w:val="007771B8"/>
    <w:rsid w:val="007771F4"/>
    <w:rsid w:val="007772A0"/>
    <w:rsid w:val="007773A2"/>
    <w:rsid w:val="0077756C"/>
    <w:rsid w:val="0078001D"/>
    <w:rsid w:val="007800C3"/>
    <w:rsid w:val="00780361"/>
    <w:rsid w:val="00780635"/>
    <w:rsid w:val="007806A2"/>
    <w:rsid w:val="007806C1"/>
    <w:rsid w:val="00780701"/>
    <w:rsid w:val="0078079E"/>
    <w:rsid w:val="00780874"/>
    <w:rsid w:val="007808D8"/>
    <w:rsid w:val="00780D1C"/>
    <w:rsid w:val="007810D2"/>
    <w:rsid w:val="007810D5"/>
    <w:rsid w:val="00781178"/>
    <w:rsid w:val="00781484"/>
    <w:rsid w:val="0078172A"/>
    <w:rsid w:val="0078191C"/>
    <w:rsid w:val="00781977"/>
    <w:rsid w:val="0078211B"/>
    <w:rsid w:val="00782217"/>
    <w:rsid w:val="00782494"/>
    <w:rsid w:val="007824B0"/>
    <w:rsid w:val="00782683"/>
    <w:rsid w:val="007827E9"/>
    <w:rsid w:val="00782E38"/>
    <w:rsid w:val="00782EB7"/>
    <w:rsid w:val="00783198"/>
    <w:rsid w:val="0078328D"/>
    <w:rsid w:val="007833C8"/>
    <w:rsid w:val="007837A3"/>
    <w:rsid w:val="007838F6"/>
    <w:rsid w:val="00783996"/>
    <w:rsid w:val="007840E1"/>
    <w:rsid w:val="007842AA"/>
    <w:rsid w:val="007848F2"/>
    <w:rsid w:val="007849AF"/>
    <w:rsid w:val="00784E88"/>
    <w:rsid w:val="00784F61"/>
    <w:rsid w:val="00785297"/>
    <w:rsid w:val="007856EB"/>
    <w:rsid w:val="007857AF"/>
    <w:rsid w:val="007859D0"/>
    <w:rsid w:val="00785A9D"/>
    <w:rsid w:val="00785B7D"/>
    <w:rsid w:val="00786109"/>
    <w:rsid w:val="00786463"/>
    <w:rsid w:val="007868EB"/>
    <w:rsid w:val="007868F4"/>
    <w:rsid w:val="00786D5A"/>
    <w:rsid w:val="00786F24"/>
    <w:rsid w:val="0078735C"/>
    <w:rsid w:val="00787413"/>
    <w:rsid w:val="007874DF"/>
    <w:rsid w:val="00787B9A"/>
    <w:rsid w:val="00787E55"/>
    <w:rsid w:val="00787EB2"/>
    <w:rsid w:val="00787FD7"/>
    <w:rsid w:val="007900BD"/>
    <w:rsid w:val="0079052F"/>
    <w:rsid w:val="0079078F"/>
    <w:rsid w:val="00790B9F"/>
    <w:rsid w:val="00790DEB"/>
    <w:rsid w:val="00790E1D"/>
    <w:rsid w:val="00790F21"/>
    <w:rsid w:val="0079108A"/>
    <w:rsid w:val="007910E8"/>
    <w:rsid w:val="00791192"/>
    <w:rsid w:val="0079153C"/>
    <w:rsid w:val="007916AE"/>
    <w:rsid w:val="007916DC"/>
    <w:rsid w:val="00791E1C"/>
    <w:rsid w:val="00792314"/>
    <w:rsid w:val="00792551"/>
    <w:rsid w:val="00792A62"/>
    <w:rsid w:val="00792BB7"/>
    <w:rsid w:val="00792D30"/>
    <w:rsid w:val="00792D7D"/>
    <w:rsid w:val="00792E41"/>
    <w:rsid w:val="0079303F"/>
    <w:rsid w:val="00793050"/>
    <w:rsid w:val="007930D9"/>
    <w:rsid w:val="0079336F"/>
    <w:rsid w:val="007936D7"/>
    <w:rsid w:val="00793968"/>
    <w:rsid w:val="007939B9"/>
    <w:rsid w:val="00793A79"/>
    <w:rsid w:val="00793DFA"/>
    <w:rsid w:val="0079401F"/>
    <w:rsid w:val="00794052"/>
    <w:rsid w:val="00794314"/>
    <w:rsid w:val="00794ACA"/>
    <w:rsid w:val="00794D6E"/>
    <w:rsid w:val="00794FAE"/>
    <w:rsid w:val="007950B2"/>
    <w:rsid w:val="0079537B"/>
    <w:rsid w:val="00795A13"/>
    <w:rsid w:val="00795B1C"/>
    <w:rsid w:val="00795C1F"/>
    <w:rsid w:val="00795E00"/>
    <w:rsid w:val="0079627C"/>
    <w:rsid w:val="0079651F"/>
    <w:rsid w:val="00796666"/>
    <w:rsid w:val="007967ED"/>
    <w:rsid w:val="007967F1"/>
    <w:rsid w:val="00796EFC"/>
    <w:rsid w:val="0079716F"/>
    <w:rsid w:val="00797519"/>
    <w:rsid w:val="00797596"/>
    <w:rsid w:val="00797970"/>
    <w:rsid w:val="007A02FC"/>
    <w:rsid w:val="007A0507"/>
    <w:rsid w:val="007A0577"/>
    <w:rsid w:val="007A0A0B"/>
    <w:rsid w:val="007A0BAD"/>
    <w:rsid w:val="007A1273"/>
    <w:rsid w:val="007A1819"/>
    <w:rsid w:val="007A1FB9"/>
    <w:rsid w:val="007A233A"/>
    <w:rsid w:val="007A26E2"/>
    <w:rsid w:val="007A27CF"/>
    <w:rsid w:val="007A2AA0"/>
    <w:rsid w:val="007A3397"/>
    <w:rsid w:val="007A3806"/>
    <w:rsid w:val="007A3A80"/>
    <w:rsid w:val="007A3BC7"/>
    <w:rsid w:val="007A4262"/>
    <w:rsid w:val="007A42DD"/>
    <w:rsid w:val="007A42F7"/>
    <w:rsid w:val="007A45F2"/>
    <w:rsid w:val="007A4787"/>
    <w:rsid w:val="007A47A2"/>
    <w:rsid w:val="007A49B3"/>
    <w:rsid w:val="007A4B3F"/>
    <w:rsid w:val="007A4B95"/>
    <w:rsid w:val="007A4C8F"/>
    <w:rsid w:val="007A4ECB"/>
    <w:rsid w:val="007A4F69"/>
    <w:rsid w:val="007A530C"/>
    <w:rsid w:val="007A5354"/>
    <w:rsid w:val="007A53E8"/>
    <w:rsid w:val="007A55EA"/>
    <w:rsid w:val="007A5C27"/>
    <w:rsid w:val="007A5CD0"/>
    <w:rsid w:val="007A5D1E"/>
    <w:rsid w:val="007A5D92"/>
    <w:rsid w:val="007A6CE0"/>
    <w:rsid w:val="007A6DD9"/>
    <w:rsid w:val="007A704D"/>
    <w:rsid w:val="007A7223"/>
    <w:rsid w:val="007A7714"/>
    <w:rsid w:val="007A7BD0"/>
    <w:rsid w:val="007A7E4A"/>
    <w:rsid w:val="007B0249"/>
    <w:rsid w:val="007B04F9"/>
    <w:rsid w:val="007B067D"/>
    <w:rsid w:val="007B076E"/>
    <w:rsid w:val="007B1035"/>
    <w:rsid w:val="007B1054"/>
    <w:rsid w:val="007B128D"/>
    <w:rsid w:val="007B1638"/>
    <w:rsid w:val="007B19FA"/>
    <w:rsid w:val="007B1B56"/>
    <w:rsid w:val="007B1C1E"/>
    <w:rsid w:val="007B1F55"/>
    <w:rsid w:val="007B1F80"/>
    <w:rsid w:val="007B2168"/>
    <w:rsid w:val="007B2206"/>
    <w:rsid w:val="007B22C7"/>
    <w:rsid w:val="007B24D3"/>
    <w:rsid w:val="007B26A4"/>
    <w:rsid w:val="007B2876"/>
    <w:rsid w:val="007B295F"/>
    <w:rsid w:val="007B2C10"/>
    <w:rsid w:val="007B2E9D"/>
    <w:rsid w:val="007B2EAF"/>
    <w:rsid w:val="007B2EFA"/>
    <w:rsid w:val="007B2FA5"/>
    <w:rsid w:val="007B306B"/>
    <w:rsid w:val="007B31A4"/>
    <w:rsid w:val="007B36C4"/>
    <w:rsid w:val="007B3791"/>
    <w:rsid w:val="007B3AE8"/>
    <w:rsid w:val="007B3B78"/>
    <w:rsid w:val="007B3C0F"/>
    <w:rsid w:val="007B3EE9"/>
    <w:rsid w:val="007B3F80"/>
    <w:rsid w:val="007B4060"/>
    <w:rsid w:val="007B4201"/>
    <w:rsid w:val="007B42EC"/>
    <w:rsid w:val="007B42F3"/>
    <w:rsid w:val="007B430B"/>
    <w:rsid w:val="007B4799"/>
    <w:rsid w:val="007B4ECF"/>
    <w:rsid w:val="007B4F4A"/>
    <w:rsid w:val="007B5788"/>
    <w:rsid w:val="007B58AD"/>
    <w:rsid w:val="007B58D6"/>
    <w:rsid w:val="007B5DDA"/>
    <w:rsid w:val="007B613B"/>
    <w:rsid w:val="007B6441"/>
    <w:rsid w:val="007B66C7"/>
    <w:rsid w:val="007B6FAA"/>
    <w:rsid w:val="007B708B"/>
    <w:rsid w:val="007B710F"/>
    <w:rsid w:val="007B737A"/>
    <w:rsid w:val="007B751F"/>
    <w:rsid w:val="007B7C81"/>
    <w:rsid w:val="007B7F45"/>
    <w:rsid w:val="007C0629"/>
    <w:rsid w:val="007C062B"/>
    <w:rsid w:val="007C0C70"/>
    <w:rsid w:val="007C120E"/>
    <w:rsid w:val="007C199F"/>
    <w:rsid w:val="007C1AF9"/>
    <w:rsid w:val="007C1C17"/>
    <w:rsid w:val="007C1D19"/>
    <w:rsid w:val="007C22E3"/>
    <w:rsid w:val="007C2498"/>
    <w:rsid w:val="007C2503"/>
    <w:rsid w:val="007C2A37"/>
    <w:rsid w:val="007C2AC8"/>
    <w:rsid w:val="007C2B6A"/>
    <w:rsid w:val="007C2E1E"/>
    <w:rsid w:val="007C308A"/>
    <w:rsid w:val="007C33A5"/>
    <w:rsid w:val="007C373C"/>
    <w:rsid w:val="007C3878"/>
    <w:rsid w:val="007C3D69"/>
    <w:rsid w:val="007C3DEA"/>
    <w:rsid w:val="007C3F94"/>
    <w:rsid w:val="007C3FBB"/>
    <w:rsid w:val="007C4598"/>
    <w:rsid w:val="007C4787"/>
    <w:rsid w:val="007C488F"/>
    <w:rsid w:val="007C4897"/>
    <w:rsid w:val="007C48C2"/>
    <w:rsid w:val="007C4C0F"/>
    <w:rsid w:val="007C5365"/>
    <w:rsid w:val="007C56C7"/>
    <w:rsid w:val="007C58CF"/>
    <w:rsid w:val="007C5ADA"/>
    <w:rsid w:val="007C5E46"/>
    <w:rsid w:val="007C5F98"/>
    <w:rsid w:val="007C6121"/>
    <w:rsid w:val="007C61AE"/>
    <w:rsid w:val="007C6435"/>
    <w:rsid w:val="007C64D0"/>
    <w:rsid w:val="007C6565"/>
    <w:rsid w:val="007C6DB5"/>
    <w:rsid w:val="007C6EBA"/>
    <w:rsid w:val="007C7022"/>
    <w:rsid w:val="007C7250"/>
    <w:rsid w:val="007C72BC"/>
    <w:rsid w:val="007C75EC"/>
    <w:rsid w:val="007C78FA"/>
    <w:rsid w:val="007C7C13"/>
    <w:rsid w:val="007D0319"/>
    <w:rsid w:val="007D046D"/>
    <w:rsid w:val="007D048E"/>
    <w:rsid w:val="007D05D2"/>
    <w:rsid w:val="007D076E"/>
    <w:rsid w:val="007D0779"/>
    <w:rsid w:val="007D09D0"/>
    <w:rsid w:val="007D0F49"/>
    <w:rsid w:val="007D11BF"/>
    <w:rsid w:val="007D17D5"/>
    <w:rsid w:val="007D1BCA"/>
    <w:rsid w:val="007D1C8C"/>
    <w:rsid w:val="007D1CEC"/>
    <w:rsid w:val="007D2021"/>
    <w:rsid w:val="007D213E"/>
    <w:rsid w:val="007D23A3"/>
    <w:rsid w:val="007D24E5"/>
    <w:rsid w:val="007D25A3"/>
    <w:rsid w:val="007D2635"/>
    <w:rsid w:val="007D273B"/>
    <w:rsid w:val="007D27DD"/>
    <w:rsid w:val="007D2C33"/>
    <w:rsid w:val="007D2C6A"/>
    <w:rsid w:val="007D2DE1"/>
    <w:rsid w:val="007D320B"/>
    <w:rsid w:val="007D3354"/>
    <w:rsid w:val="007D34E2"/>
    <w:rsid w:val="007D3681"/>
    <w:rsid w:val="007D36A2"/>
    <w:rsid w:val="007D3B10"/>
    <w:rsid w:val="007D411D"/>
    <w:rsid w:val="007D4528"/>
    <w:rsid w:val="007D4982"/>
    <w:rsid w:val="007D4A48"/>
    <w:rsid w:val="007D4B5A"/>
    <w:rsid w:val="007D4CD3"/>
    <w:rsid w:val="007D4F84"/>
    <w:rsid w:val="007D4FCE"/>
    <w:rsid w:val="007D4FD7"/>
    <w:rsid w:val="007D50BD"/>
    <w:rsid w:val="007D519E"/>
    <w:rsid w:val="007D550B"/>
    <w:rsid w:val="007D5689"/>
    <w:rsid w:val="007D5752"/>
    <w:rsid w:val="007D5B64"/>
    <w:rsid w:val="007D5C32"/>
    <w:rsid w:val="007D5DA1"/>
    <w:rsid w:val="007D5F00"/>
    <w:rsid w:val="007D60F5"/>
    <w:rsid w:val="007D611A"/>
    <w:rsid w:val="007D6491"/>
    <w:rsid w:val="007D6A47"/>
    <w:rsid w:val="007D6E3E"/>
    <w:rsid w:val="007D7064"/>
    <w:rsid w:val="007D71CD"/>
    <w:rsid w:val="007D73B9"/>
    <w:rsid w:val="007D73E4"/>
    <w:rsid w:val="007D7656"/>
    <w:rsid w:val="007D7A32"/>
    <w:rsid w:val="007D7FE7"/>
    <w:rsid w:val="007E022C"/>
    <w:rsid w:val="007E0603"/>
    <w:rsid w:val="007E068B"/>
    <w:rsid w:val="007E0D41"/>
    <w:rsid w:val="007E0EED"/>
    <w:rsid w:val="007E100C"/>
    <w:rsid w:val="007E10AE"/>
    <w:rsid w:val="007E12D9"/>
    <w:rsid w:val="007E1516"/>
    <w:rsid w:val="007E171C"/>
    <w:rsid w:val="007E1817"/>
    <w:rsid w:val="007E1966"/>
    <w:rsid w:val="007E1B36"/>
    <w:rsid w:val="007E1E51"/>
    <w:rsid w:val="007E1EDD"/>
    <w:rsid w:val="007E1F4F"/>
    <w:rsid w:val="007E2336"/>
    <w:rsid w:val="007E26E3"/>
    <w:rsid w:val="007E2A00"/>
    <w:rsid w:val="007E2E05"/>
    <w:rsid w:val="007E2E93"/>
    <w:rsid w:val="007E2EDD"/>
    <w:rsid w:val="007E3107"/>
    <w:rsid w:val="007E348C"/>
    <w:rsid w:val="007E366F"/>
    <w:rsid w:val="007E3D00"/>
    <w:rsid w:val="007E3EDE"/>
    <w:rsid w:val="007E48CD"/>
    <w:rsid w:val="007E4966"/>
    <w:rsid w:val="007E4BB4"/>
    <w:rsid w:val="007E4CA8"/>
    <w:rsid w:val="007E4CA9"/>
    <w:rsid w:val="007E4D22"/>
    <w:rsid w:val="007E528B"/>
    <w:rsid w:val="007E5343"/>
    <w:rsid w:val="007E5789"/>
    <w:rsid w:val="007E5B9A"/>
    <w:rsid w:val="007E5BC0"/>
    <w:rsid w:val="007E5D9C"/>
    <w:rsid w:val="007E607A"/>
    <w:rsid w:val="007E65A3"/>
    <w:rsid w:val="007E6745"/>
    <w:rsid w:val="007E6B5B"/>
    <w:rsid w:val="007E6BC7"/>
    <w:rsid w:val="007E6D1F"/>
    <w:rsid w:val="007E6E7C"/>
    <w:rsid w:val="007E6EE7"/>
    <w:rsid w:val="007E73EC"/>
    <w:rsid w:val="007E75A2"/>
    <w:rsid w:val="007E75FE"/>
    <w:rsid w:val="007E7C75"/>
    <w:rsid w:val="007E7D23"/>
    <w:rsid w:val="007E7F5E"/>
    <w:rsid w:val="007F0182"/>
    <w:rsid w:val="007F0265"/>
    <w:rsid w:val="007F06ED"/>
    <w:rsid w:val="007F0909"/>
    <w:rsid w:val="007F09E2"/>
    <w:rsid w:val="007F0C97"/>
    <w:rsid w:val="007F0EE6"/>
    <w:rsid w:val="007F141D"/>
    <w:rsid w:val="007F15C7"/>
    <w:rsid w:val="007F17FF"/>
    <w:rsid w:val="007F192C"/>
    <w:rsid w:val="007F1BB4"/>
    <w:rsid w:val="007F1F98"/>
    <w:rsid w:val="007F2237"/>
    <w:rsid w:val="007F2258"/>
    <w:rsid w:val="007F29D5"/>
    <w:rsid w:val="007F30C7"/>
    <w:rsid w:val="007F3182"/>
    <w:rsid w:val="007F36A5"/>
    <w:rsid w:val="007F38E8"/>
    <w:rsid w:val="007F3F86"/>
    <w:rsid w:val="007F41AD"/>
    <w:rsid w:val="007F4C3F"/>
    <w:rsid w:val="007F4CD4"/>
    <w:rsid w:val="007F4DDE"/>
    <w:rsid w:val="007F5410"/>
    <w:rsid w:val="007F55F6"/>
    <w:rsid w:val="007F5721"/>
    <w:rsid w:val="007F5962"/>
    <w:rsid w:val="007F6157"/>
    <w:rsid w:val="007F619F"/>
    <w:rsid w:val="007F67C0"/>
    <w:rsid w:val="007F6926"/>
    <w:rsid w:val="007F6B1F"/>
    <w:rsid w:val="007F6CC6"/>
    <w:rsid w:val="007F6DD6"/>
    <w:rsid w:val="007F6DFD"/>
    <w:rsid w:val="007F6F21"/>
    <w:rsid w:val="007F705A"/>
    <w:rsid w:val="007F762E"/>
    <w:rsid w:val="007F76FA"/>
    <w:rsid w:val="007F7A2F"/>
    <w:rsid w:val="007F7AA2"/>
    <w:rsid w:val="007F7AE3"/>
    <w:rsid w:val="007F7B65"/>
    <w:rsid w:val="007F7F50"/>
    <w:rsid w:val="0080007C"/>
    <w:rsid w:val="008000F5"/>
    <w:rsid w:val="00800165"/>
    <w:rsid w:val="008002B8"/>
    <w:rsid w:val="008003C5"/>
    <w:rsid w:val="008003F0"/>
    <w:rsid w:val="008005B3"/>
    <w:rsid w:val="00800DC3"/>
    <w:rsid w:val="00800E6E"/>
    <w:rsid w:val="008013C9"/>
    <w:rsid w:val="00801552"/>
    <w:rsid w:val="00801CEC"/>
    <w:rsid w:val="00802124"/>
    <w:rsid w:val="00802212"/>
    <w:rsid w:val="008023A8"/>
    <w:rsid w:val="008025ED"/>
    <w:rsid w:val="00802966"/>
    <w:rsid w:val="00802B9C"/>
    <w:rsid w:val="00802E5F"/>
    <w:rsid w:val="00803053"/>
    <w:rsid w:val="008034A0"/>
    <w:rsid w:val="008035D2"/>
    <w:rsid w:val="00803769"/>
    <w:rsid w:val="0080382B"/>
    <w:rsid w:val="00803928"/>
    <w:rsid w:val="00803AE2"/>
    <w:rsid w:val="00803CBE"/>
    <w:rsid w:val="00803D11"/>
    <w:rsid w:val="0080412F"/>
    <w:rsid w:val="00804167"/>
    <w:rsid w:val="008044B0"/>
    <w:rsid w:val="00804628"/>
    <w:rsid w:val="0080465E"/>
    <w:rsid w:val="008046BE"/>
    <w:rsid w:val="00805132"/>
    <w:rsid w:val="008056D0"/>
    <w:rsid w:val="00805AF5"/>
    <w:rsid w:val="00805C31"/>
    <w:rsid w:val="00805F8E"/>
    <w:rsid w:val="008062EF"/>
    <w:rsid w:val="00806533"/>
    <w:rsid w:val="00806671"/>
    <w:rsid w:val="00806762"/>
    <w:rsid w:val="0080682B"/>
    <w:rsid w:val="00806988"/>
    <w:rsid w:val="00806BD3"/>
    <w:rsid w:val="00806C93"/>
    <w:rsid w:val="00806D19"/>
    <w:rsid w:val="00806EBA"/>
    <w:rsid w:val="0080702D"/>
    <w:rsid w:val="008070F8"/>
    <w:rsid w:val="0080776D"/>
    <w:rsid w:val="00807863"/>
    <w:rsid w:val="008078E2"/>
    <w:rsid w:val="00807A93"/>
    <w:rsid w:val="00807C7E"/>
    <w:rsid w:val="00807E14"/>
    <w:rsid w:val="00807FE2"/>
    <w:rsid w:val="008103CB"/>
    <w:rsid w:val="008106C3"/>
    <w:rsid w:val="00810F78"/>
    <w:rsid w:val="008116CE"/>
    <w:rsid w:val="0081207F"/>
    <w:rsid w:val="008120DA"/>
    <w:rsid w:val="00812310"/>
    <w:rsid w:val="0081250E"/>
    <w:rsid w:val="00812806"/>
    <w:rsid w:val="00812ABD"/>
    <w:rsid w:val="00812D25"/>
    <w:rsid w:val="00812D39"/>
    <w:rsid w:val="00812EF2"/>
    <w:rsid w:val="00812FD0"/>
    <w:rsid w:val="00813352"/>
    <w:rsid w:val="00813455"/>
    <w:rsid w:val="00813525"/>
    <w:rsid w:val="00813A4B"/>
    <w:rsid w:val="008142C0"/>
    <w:rsid w:val="0081464E"/>
    <w:rsid w:val="008146EC"/>
    <w:rsid w:val="008149C9"/>
    <w:rsid w:val="00814BEB"/>
    <w:rsid w:val="00814CF4"/>
    <w:rsid w:val="0081503E"/>
    <w:rsid w:val="00815167"/>
    <w:rsid w:val="0081536E"/>
    <w:rsid w:val="0081540A"/>
    <w:rsid w:val="00815591"/>
    <w:rsid w:val="0081564D"/>
    <w:rsid w:val="00815717"/>
    <w:rsid w:val="00815783"/>
    <w:rsid w:val="00815E6A"/>
    <w:rsid w:val="00816138"/>
    <w:rsid w:val="008161CE"/>
    <w:rsid w:val="00816D11"/>
    <w:rsid w:val="00816E57"/>
    <w:rsid w:val="00817184"/>
    <w:rsid w:val="008171CA"/>
    <w:rsid w:val="00817292"/>
    <w:rsid w:val="008175D4"/>
    <w:rsid w:val="008175E2"/>
    <w:rsid w:val="008176FF"/>
    <w:rsid w:val="00817C86"/>
    <w:rsid w:val="00820105"/>
    <w:rsid w:val="00820505"/>
    <w:rsid w:val="00820A83"/>
    <w:rsid w:val="00820C46"/>
    <w:rsid w:val="00820F63"/>
    <w:rsid w:val="00821115"/>
    <w:rsid w:val="0082190D"/>
    <w:rsid w:val="00821ECB"/>
    <w:rsid w:val="00822138"/>
    <w:rsid w:val="008222E5"/>
    <w:rsid w:val="00822DC6"/>
    <w:rsid w:val="00822EB5"/>
    <w:rsid w:val="00823619"/>
    <w:rsid w:val="00823BF3"/>
    <w:rsid w:val="0082436A"/>
    <w:rsid w:val="0082438C"/>
    <w:rsid w:val="0082463B"/>
    <w:rsid w:val="008246A0"/>
    <w:rsid w:val="00824794"/>
    <w:rsid w:val="00824DF4"/>
    <w:rsid w:val="00824E75"/>
    <w:rsid w:val="0082508D"/>
    <w:rsid w:val="008250C9"/>
    <w:rsid w:val="008253E7"/>
    <w:rsid w:val="00825481"/>
    <w:rsid w:val="008254E0"/>
    <w:rsid w:val="0082616B"/>
    <w:rsid w:val="00826194"/>
    <w:rsid w:val="00826202"/>
    <w:rsid w:val="008262DB"/>
    <w:rsid w:val="008264CB"/>
    <w:rsid w:val="00826689"/>
    <w:rsid w:val="00826811"/>
    <w:rsid w:val="00826B39"/>
    <w:rsid w:val="00826BAF"/>
    <w:rsid w:val="00826D1B"/>
    <w:rsid w:val="00826D24"/>
    <w:rsid w:val="00826F0F"/>
    <w:rsid w:val="00826F82"/>
    <w:rsid w:val="008274BD"/>
    <w:rsid w:val="00827746"/>
    <w:rsid w:val="00827941"/>
    <w:rsid w:val="00827AF1"/>
    <w:rsid w:val="00827B09"/>
    <w:rsid w:val="00827D86"/>
    <w:rsid w:val="00827DED"/>
    <w:rsid w:val="008300D6"/>
    <w:rsid w:val="00830269"/>
    <w:rsid w:val="008302D8"/>
    <w:rsid w:val="00830373"/>
    <w:rsid w:val="008306CF"/>
    <w:rsid w:val="008307B6"/>
    <w:rsid w:val="008308E4"/>
    <w:rsid w:val="00830B4F"/>
    <w:rsid w:val="00830F03"/>
    <w:rsid w:val="00831694"/>
    <w:rsid w:val="00831C87"/>
    <w:rsid w:val="00831CAD"/>
    <w:rsid w:val="00832251"/>
    <w:rsid w:val="0083252B"/>
    <w:rsid w:val="00832921"/>
    <w:rsid w:val="00832FF3"/>
    <w:rsid w:val="00833160"/>
    <w:rsid w:val="00833385"/>
    <w:rsid w:val="0083388D"/>
    <w:rsid w:val="00833FC8"/>
    <w:rsid w:val="0083455A"/>
    <w:rsid w:val="00834835"/>
    <w:rsid w:val="00834920"/>
    <w:rsid w:val="00834E52"/>
    <w:rsid w:val="00834E53"/>
    <w:rsid w:val="00834E6F"/>
    <w:rsid w:val="00834F40"/>
    <w:rsid w:val="00835496"/>
    <w:rsid w:val="00835551"/>
    <w:rsid w:val="00835559"/>
    <w:rsid w:val="00835610"/>
    <w:rsid w:val="00835684"/>
    <w:rsid w:val="00835A64"/>
    <w:rsid w:val="00835CE6"/>
    <w:rsid w:val="00836136"/>
    <w:rsid w:val="0083658A"/>
    <w:rsid w:val="0083682B"/>
    <w:rsid w:val="00836D32"/>
    <w:rsid w:val="008370AA"/>
    <w:rsid w:val="00837408"/>
    <w:rsid w:val="00837587"/>
    <w:rsid w:val="00837690"/>
    <w:rsid w:val="00837844"/>
    <w:rsid w:val="00837847"/>
    <w:rsid w:val="00837EA5"/>
    <w:rsid w:val="00837EBA"/>
    <w:rsid w:val="00840110"/>
    <w:rsid w:val="00840228"/>
    <w:rsid w:val="00840537"/>
    <w:rsid w:val="00840798"/>
    <w:rsid w:val="008407D3"/>
    <w:rsid w:val="008409B1"/>
    <w:rsid w:val="00840C7F"/>
    <w:rsid w:val="00840C9C"/>
    <w:rsid w:val="00840DC6"/>
    <w:rsid w:val="008414D0"/>
    <w:rsid w:val="008416FE"/>
    <w:rsid w:val="0084179D"/>
    <w:rsid w:val="008417C9"/>
    <w:rsid w:val="008419C1"/>
    <w:rsid w:val="00841A7F"/>
    <w:rsid w:val="00841B13"/>
    <w:rsid w:val="00841B9B"/>
    <w:rsid w:val="00841E01"/>
    <w:rsid w:val="00841EFB"/>
    <w:rsid w:val="00842630"/>
    <w:rsid w:val="00842B55"/>
    <w:rsid w:val="00842F0E"/>
    <w:rsid w:val="008430F9"/>
    <w:rsid w:val="0084326C"/>
    <w:rsid w:val="008432B0"/>
    <w:rsid w:val="00843463"/>
    <w:rsid w:val="0084366E"/>
    <w:rsid w:val="008436BE"/>
    <w:rsid w:val="00843877"/>
    <w:rsid w:val="0084422C"/>
    <w:rsid w:val="008443F0"/>
    <w:rsid w:val="0084458E"/>
    <w:rsid w:val="00844C4E"/>
    <w:rsid w:val="00844E71"/>
    <w:rsid w:val="00844F55"/>
    <w:rsid w:val="00845165"/>
    <w:rsid w:val="0084529E"/>
    <w:rsid w:val="0084597A"/>
    <w:rsid w:val="00845E44"/>
    <w:rsid w:val="0084603E"/>
    <w:rsid w:val="008467BF"/>
    <w:rsid w:val="00846892"/>
    <w:rsid w:val="0084694F"/>
    <w:rsid w:val="00846F30"/>
    <w:rsid w:val="008471E2"/>
    <w:rsid w:val="00847268"/>
    <w:rsid w:val="008472B2"/>
    <w:rsid w:val="008473BF"/>
    <w:rsid w:val="00847639"/>
    <w:rsid w:val="0084773C"/>
    <w:rsid w:val="008478DA"/>
    <w:rsid w:val="00847B97"/>
    <w:rsid w:val="00847CBB"/>
    <w:rsid w:val="00847DFD"/>
    <w:rsid w:val="00847EDA"/>
    <w:rsid w:val="00847FA9"/>
    <w:rsid w:val="008504A4"/>
    <w:rsid w:val="0085058A"/>
    <w:rsid w:val="0085064E"/>
    <w:rsid w:val="008506E4"/>
    <w:rsid w:val="00850D13"/>
    <w:rsid w:val="00851251"/>
    <w:rsid w:val="008514DF"/>
    <w:rsid w:val="008514F9"/>
    <w:rsid w:val="00851684"/>
    <w:rsid w:val="00851880"/>
    <w:rsid w:val="00851F8F"/>
    <w:rsid w:val="008526D9"/>
    <w:rsid w:val="008527BC"/>
    <w:rsid w:val="00852899"/>
    <w:rsid w:val="008529B3"/>
    <w:rsid w:val="00852B98"/>
    <w:rsid w:val="00852C3B"/>
    <w:rsid w:val="00852D8F"/>
    <w:rsid w:val="00853012"/>
    <w:rsid w:val="00853ABA"/>
    <w:rsid w:val="00853E21"/>
    <w:rsid w:val="008543EE"/>
    <w:rsid w:val="008546E5"/>
    <w:rsid w:val="0085481B"/>
    <w:rsid w:val="008549F3"/>
    <w:rsid w:val="00854E4E"/>
    <w:rsid w:val="008552BE"/>
    <w:rsid w:val="00855471"/>
    <w:rsid w:val="0085583F"/>
    <w:rsid w:val="008559F0"/>
    <w:rsid w:val="00855D67"/>
    <w:rsid w:val="00855DC4"/>
    <w:rsid w:val="00855FA4"/>
    <w:rsid w:val="00856001"/>
    <w:rsid w:val="008561C3"/>
    <w:rsid w:val="00856208"/>
    <w:rsid w:val="00856284"/>
    <w:rsid w:val="00856411"/>
    <w:rsid w:val="00856468"/>
    <w:rsid w:val="008564B8"/>
    <w:rsid w:val="00856683"/>
    <w:rsid w:val="008566C2"/>
    <w:rsid w:val="00856CF8"/>
    <w:rsid w:val="00856D78"/>
    <w:rsid w:val="00856FD4"/>
    <w:rsid w:val="0085765E"/>
    <w:rsid w:val="00857A8D"/>
    <w:rsid w:val="008600FE"/>
    <w:rsid w:val="0086037F"/>
    <w:rsid w:val="008604E1"/>
    <w:rsid w:val="0086061C"/>
    <w:rsid w:val="00860761"/>
    <w:rsid w:val="008607B8"/>
    <w:rsid w:val="00860C31"/>
    <w:rsid w:val="00860DCF"/>
    <w:rsid w:val="00861061"/>
    <w:rsid w:val="0086151C"/>
    <w:rsid w:val="008618AA"/>
    <w:rsid w:val="008619E7"/>
    <w:rsid w:val="00861BA0"/>
    <w:rsid w:val="00861C29"/>
    <w:rsid w:val="00861DA4"/>
    <w:rsid w:val="00861DDA"/>
    <w:rsid w:val="00861E5B"/>
    <w:rsid w:val="00861F45"/>
    <w:rsid w:val="00862226"/>
    <w:rsid w:val="00862459"/>
    <w:rsid w:val="00862938"/>
    <w:rsid w:val="00862C18"/>
    <w:rsid w:val="00862C7B"/>
    <w:rsid w:val="00862D92"/>
    <w:rsid w:val="00862F53"/>
    <w:rsid w:val="0086301C"/>
    <w:rsid w:val="008631B3"/>
    <w:rsid w:val="008633FD"/>
    <w:rsid w:val="00863575"/>
    <w:rsid w:val="008635DD"/>
    <w:rsid w:val="008639D5"/>
    <w:rsid w:val="00863A72"/>
    <w:rsid w:val="00863C0D"/>
    <w:rsid w:val="00863CF8"/>
    <w:rsid w:val="00863F50"/>
    <w:rsid w:val="008640E0"/>
    <w:rsid w:val="0086425F"/>
    <w:rsid w:val="008647C3"/>
    <w:rsid w:val="00864942"/>
    <w:rsid w:val="00864C73"/>
    <w:rsid w:val="00864CDE"/>
    <w:rsid w:val="00865342"/>
    <w:rsid w:val="008653B2"/>
    <w:rsid w:val="00865804"/>
    <w:rsid w:val="0086582B"/>
    <w:rsid w:val="00865AAF"/>
    <w:rsid w:val="00865BD0"/>
    <w:rsid w:val="00865C62"/>
    <w:rsid w:val="008660C5"/>
    <w:rsid w:val="00866114"/>
    <w:rsid w:val="00866115"/>
    <w:rsid w:val="0086672A"/>
    <w:rsid w:val="0086674C"/>
    <w:rsid w:val="00866890"/>
    <w:rsid w:val="00866B62"/>
    <w:rsid w:val="00866EAF"/>
    <w:rsid w:val="00866EBF"/>
    <w:rsid w:val="00867576"/>
    <w:rsid w:val="00867674"/>
    <w:rsid w:val="00867768"/>
    <w:rsid w:val="00867976"/>
    <w:rsid w:val="00867C00"/>
    <w:rsid w:val="00867CD0"/>
    <w:rsid w:val="00867EB4"/>
    <w:rsid w:val="0087014B"/>
    <w:rsid w:val="00870180"/>
    <w:rsid w:val="00870546"/>
    <w:rsid w:val="008705A8"/>
    <w:rsid w:val="00870C21"/>
    <w:rsid w:val="00870C7C"/>
    <w:rsid w:val="00870DBB"/>
    <w:rsid w:val="0087173E"/>
    <w:rsid w:val="008717F5"/>
    <w:rsid w:val="00871947"/>
    <w:rsid w:val="00871A72"/>
    <w:rsid w:val="00871B81"/>
    <w:rsid w:val="00871DC8"/>
    <w:rsid w:val="0087206E"/>
    <w:rsid w:val="00872087"/>
    <w:rsid w:val="008721B6"/>
    <w:rsid w:val="00872204"/>
    <w:rsid w:val="008723D2"/>
    <w:rsid w:val="008723E5"/>
    <w:rsid w:val="008723F4"/>
    <w:rsid w:val="0087287B"/>
    <w:rsid w:val="00872ACA"/>
    <w:rsid w:val="00872CB3"/>
    <w:rsid w:val="00872ECE"/>
    <w:rsid w:val="00873303"/>
    <w:rsid w:val="00873363"/>
    <w:rsid w:val="0087344B"/>
    <w:rsid w:val="008739A7"/>
    <w:rsid w:val="00873DDE"/>
    <w:rsid w:val="00873FAF"/>
    <w:rsid w:val="00874758"/>
    <w:rsid w:val="00874959"/>
    <w:rsid w:val="00874B1A"/>
    <w:rsid w:val="00874C55"/>
    <w:rsid w:val="00874E56"/>
    <w:rsid w:val="00875094"/>
    <w:rsid w:val="008752B5"/>
    <w:rsid w:val="0087580D"/>
    <w:rsid w:val="00875AF0"/>
    <w:rsid w:val="00875B68"/>
    <w:rsid w:val="00875C48"/>
    <w:rsid w:val="0087634A"/>
    <w:rsid w:val="00876436"/>
    <w:rsid w:val="00876962"/>
    <w:rsid w:val="00877089"/>
    <w:rsid w:val="008777BC"/>
    <w:rsid w:val="00877B2E"/>
    <w:rsid w:val="00877B5A"/>
    <w:rsid w:val="00877F21"/>
    <w:rsid w:val="00880193"/>
    <w:rsid w:val="00880250"/>
    <w:rsid w:val="00880438"/>
    <w:rsid w:val="00880490"/>
    <w:rsid w:val="008809CD"/>
    <w:rsid w:val="00880D23"/>
    <w:rsid w:val="008816F1"/>
    <w:rsid w:val="00881740"/>
    <w:rsid w:val="00881872"/>
    <w:rsid w:val="00881B0C"/>
    <w:rsid w:val="00881CF8"/>
    <w:rsid w:val="00881DF7"/>
    <w:rsid w:val="00881F19"/>
    <w:rsid w:val="00882152"/>
    <w:rsid w:val="008821C1"/>
    <w:rsid w:val="00882AEB"/>
    <w:rsid w:val="00882B77"/>
    <w:rsid w:val="00882FB7"/>
    <w:rsid w:val="00882FFC"/>
    <w:rsid w:val="00883144"/>
    <w:rsid w:val="0088314C"/>
    <w:rsid w:val="00883202"/>
    <w:rsid w:val="00883377"/>
    <w:rsid w:val="0088371C"/>
    <w:rsid w:val="0088374E"/>
    <w:rsid w:val="008837B6"/>
    <w:rsid w:val="00883831"/>
    <w:rsid w:val="00883F27"/>
    <w:rsid w:val="00884089"/>
    <w:rsid w:val="00884419"/>
    <w:rsid w:val="00884485"/>
    <w:rsid w:val="008845BC"/>
    <w:rsid w:val="00884B1D"/>
    <w:rsid w:val="00884B21"/>
    <w:rsid w:val="008851E1"/>
    <w:rsid w:val="008852B0"/>
    <w:rsid w:val="00885348"/>
    <w:rsid w:val="008856CE"/>
    <w:rsid w:val="0088583F"/>
    <w:rsid w:val="00885D43"/>
    <w:rsid w:val="00885E11"/>
    <w:rsid w:val="00886043"/>
    <w:rsid w:val="0088615F"/>
    <w:rsid w:val="0088631F"/>
    <w:rsid w:val="008866A2"/>
    <w:rsid w:val="0088678F"/>
    <w:rsid w:val="00886897"/>
    <w:rsid w:val="00886B25"/>
    <w:rsid w:val="00886C6B"/>
    <w:rsid w:val="00886C94"/>
    <w:rsid w:val="00886EAC"/>
    <w:rsid w:val="00887134"/>
    <w:rsid w:val="008871E3"/>
    <w:rsid w:val="008873FF"/>
    <w:rsid w:val="00887521"/>
    <w:rsid w:val="00887601"/>
    <w:rsid w:val="0088767B"/>
    <w:rsid w:val="0088796D"/>
    <w:rsid w:val="0089048C"/>
    <w:rsid w:val="00890542"/>
    <w:rsid w:val="00890B43"/>
    <w:rsid w:val="00890C17"/>
    <w:rsid w:val="00890EAA"/>
    <w:rsid w:val="00890EEE"/>
    <w:rsid w:val="00890FBC"/>
    <w:rsid w:val="0089104E"/>
    <w:rsid w:val="00891398"/>
    <w:rsid w:val="00891449"/>
    <w:rsid w:val="008916C9"/>
    <w:rsid w:val="008916FE"/>
    <w:rsid w:val="00891A12"/>
    <w:rsid w:val="00891D7E"/>
    <w:rsid w:val="00891DDE"/>
    <w:rsid w:val="00891E4D"/>
    <w:rsid w:val="00891F0F"/>
    <w:rsid w:val="00892055"/>
    <w:rsid w:val="008926C4"/>
    <w:rsid w:val="008928FE"/>
    <w:rsid w:val="00892968"/>
    <w:rsid w:val="008929A0"/>
    <w:rsid w:val="00892A46"/>
    <w:rsid w:val="00892D28"/>
    <w:rsid w:val="00892FCA"/>
    <w:rsid w:val="0089340F"/>
    <w:rsid w:val="00893651"/>
    <w:rsid w:val="00893682"/>
    <w:rsid w:val="008936F4"/>
    <w:rsid w:val="00893942"/>
    <w:rsid w:val="00893A16"/>
    <w:rsid w:val="00893E94"/>
    <w:rsid w:val="00893F7A"/>
    <w:rsid w:val="00894142"/>
    <w:rsid w:val="00894886"/>
    <w:rsid w:val="00894A11"/>
    <w:rsid w:val="0089506C"/>
    <w:rsid w:val="008950A9"/>
    <w:rsid w:val="008951FC"/>
    <w:rsid w:val="0089521E"/>
    <w:rsid w:val="00895D8B"/>
    <w:rsid w:val="00896376"/>
    <w:rsid w:val="00896544"/>
    <w:rsid w:val="0089685F"/>
    <w:rsid w:val="00896CA2"/>
    <w:rsid w:val="00896CB1"/>
    <w:rsid w:val="00896E6C"/>
    <w:rsid w:val="00897742"/>
    <w:rsid w:val="00897CAC"/>
    <w:rsid w:val="008A0045"/>
    <w:rsid w:val="008A00E4"/>
    <w:rsid w:val="008A01F8"/>
    <w:rsid w:val="008A0AF8"/>
    <w:rsid w:val="008A0C98"/>
    <w:rsid w:val="008A100E"/>
    <w:rsid w:val="008A1183"/>
    <w:rsid w:val="008A125D"/>
    <w:rsid w:val="008A125F"/>
    <w:rsid w:val="008A142A"/>
    <w:rsid w:val="008A1B40"/>
    <w:rsid w:val="008A207E"/>
    <w:rsid w:val="008A264B"/>
    <w:rsid w:val="008A2826"/>
    <w:rsid w:val="008A29CB"/>
    <w:rsid w:val="008A2D4F"/>
    <w:rsid w:val="008A2D8B"/>
    <w:rsid w:val="008A30AB"/>
    <w:rsid w:val="008A369C"/>
    <w:rsid w:val="008A36B6"/>
    <w:rsid w:val="008A3BB0"/>
    <w:rsid w:val="008A404B"/>
    <w:rsid w:val="008A4331"/>
    <w:rsid w:val="008A43E6"/>
    <w:rsid w:val="008A469C"/>
    <w:rsid w:val="008A48F8"/>
    <w:rsid w:val="008A4A59"/>
    <w:rsid w:val="008A4AEF"/>
    <w:rsid w:val="008A4B13"/>
    <w:rsid w:val="008A532E"/>
    <w:rsid w:val="008A5376"/>
    <w:rsid w:val="008A53AA"/>
    <w:rsid w:val="008A549E"/>
    <w:rsid w:val="008A54C3"/>
    <w:rsid w:val="008A5600"/>
    <w:rsid w:val="008A56D5"/>
    <w:rsid w:val="008A57CA"/>
    <w:rsid w:val="008A5A68"/>
    <w:rsid w:val="008A5ABE"/>
    <w:rsid w:val="008A6101"/>
    <w:rsid w:val="008A66F2"/>
    <w:rsid w:val="008A68A3"/>
    <w:rsid w:val="008A6FFE"/>
    <w:rsid w:val="008A70B0"/>
    <w:rsid w:val="008A713E"/>
    <w:rsid w:val="008A7187"/>
    <w:rsid w:val="008A7429"/>
    <w:rsid w:val="008A7685"/>
    <w:rsid w:val="008A76CA"/>
    <w:rsid w:val="008A77B3"/>
    <w:rsid w:val="008A77B6"/>
    <w:rsid w:val="008A7E41"/>
    <w:rsid w:val="008A7F58"/>
    <w:rsid w:val="008A7FC8"/>
    <w:rsid w:val="008B009F"/>
    <w:rsid w:val="008B023A"/>
    <w:rsid w:val="008B0549"/>
    <w:rsid w:val="008B0623"/>
    <w:rsid w:val="008B0634"/>
    <w:rsid w:val="008B0986"/>
    <w:rsid w:val="008B0E1E"/>
    <w:rsid w:val="008B0E8E"/>
    <w:rsid w:val="008B1008"/>
    <w:rsid w:val="008B12CC"/>
    <w:rsid w:val="008B15FC"/>
    <w:rsid w:val="008B17B0"/>
    <w:rsid w:val="008B1B01"/>
    <w:rsid w:val="008B1D9D"/>
    <w:rsid w:val="008B1FE7"/>
    <w:rsid w:val="008B2308"/>
    <w:rsid w:val="008B2754"/>
    <w:rsid w:val="008B2B2F"/>
    <w:rsid w:val="008B2C51"/>
    <w:rsid w:val="008B2CD2"/>
    <w:rsid w:val="008B314D"/>
    <w:rsid w:val="008B3200"/>
    <w:rsid w:val="008B322B"/>
    <w:rsid w:val="008B3312"/>
    <w:rsid w:val="008B35C6"/>
    <w:rsid w:val="008B3717"/>
    <w:rsid w:val="008B37FB"/>
    <w:rsid w:val="008B3866"/>
    <w:rsid w:val="008B3900"/>
    <w:rsid w:val="008B3E87"/>
    <w:rsid w:val="008B48C8"/>
    <w:rsid w:val="008B4C5E"/>
    <w:rsid w:val="008B502A"/>
    <w:rsid w:val="008B51CD"/>
    <w:rsid w:val="008B575C"/>
    <w:rsid w:val="008B5C26"/>
    <w:rsid w:val="008B5C80"/>
    <w:rsid w:val="008B5E19"/>
    <w:rsid w:val="008B60FD"/>
    <w:rsid w:val="008B6162"/>
    <w:rsid w:val="008B6467"/>
    <w:rsid w:val="008B67F1"/>
    <w:rsid w:val="008B6832"/>
    <w:rsid w:val="008B69FF"/>
    <w:rsid w:val="008B6B9E"/>
    <w:rsid w:val="008B719A"/>
    <w:rsid w:val="008B788C"/>
    <w:rsid w:val="008B7B47"/>
    <w:rsid w:val="008C03FA"/>
    <w:rsid w:val="008C07A2"/>
    <w:rsid w:val="008C0954"/>
    <w:rsid w:val="008C0AA3"/>
    <w:rsid w:val="008C0C93"/>
    <w:rsid w:val="008C0F3C"/>
    <w:rsid w:val="008C10A1"/>
    <w:rsid w:val="008C187D"/>
    <w:rsid w:val="008C19E5"/>
    <w:rsid w:val="008C1E84"/>
    <w:rsid w:val="008C2437"/>
    <w:rsid w:val="008C2DF1"/>
    <w:rsid w:val="008C2F16"/>
    <w:rsid w:val="008C2F6E"/>
    <w:rsid w:val="008C3262"/>
    <w:rsid w:val="008C3310"/>
    <w:rsid w:val="008C371F"/>
    <w:rsid w:val="008C3810"/>
    <w:rsid w:val="008C3836"/>
    <w:rsid w:val="008C38D7"/>
    <w:rsid w:val="008C3FCC"/>
    <w:rsid w:val="008C4159"/>
    <w:rsid w:val="008C4296"/>
    <w:rsid w:val="008C4606"/>
    <w:rsid w:val="008C48F0"/>
    <w:rsid w:val="008C4B10"/>
    <w:rsid w:val="008C4B5F"/>
    <w:rsid w:val="008C4B96"/>
    <w:rsid w:val="008C4CFF"/>
    <w:rsid w:val="008C4DC6"/>
    <w:rsid w:val="008C51F4"/>
    <w:rsid w:val="008C5287"/>
    <w:rsid w:val="008C5600"/>
    <w:rsid w:val="008C5A5F"/>
    <w:rsid w:val="008C5DD9"/>
    <w:rsid w:val="008C5ECD"/>
    <w:rsid w:val="008C5F5B"/>
    <w:rsid w:val="008C636F"/>
    <w:rsid w:val="008C6493"/>
    <w:rsid w:val="008C64DD"/>
    <w:rsid w:val="008C67E5"/>
    <w:rsid w:val="008C682A"/>
    <w:rsid w:val="008C6882"/>
    <w:rsid w:val="008C6BD2"/>
    <w:rsid w:val="008C6C78"/>
    <w:rsid w:val="008C7169"/>
    <w:rsid w:val="008C743E"/>
    <w:rsid w:val="008C74CC"/>
    <w:rsid w:val="008C74FB"/>
    <w:rsid w:val="008C7909"/>
    <w:rsid w:val="008C79B2"/>
    <w:rsid w:val="008D01BE"/>
    <w:rsid w:val="008D02BD"/>
    <w:rsid w:val="008D03C5"/>
    <w:rsid w:val="008D077B"/>
    <w:rsid w:val="008D07D2"/>
    <w:rsid w:val="008D0854"/>
    <w:rsid w:val="008D0932"/>
    <w:rsid w:val="008D0F21"/>
    <w:rsid w:val="008D150A"/>
    <w:rsid w:val="008D1605"/>
    <w:rsid w:val="008D165F"/>
    <w:rsid w:val="008D182B"/>
    <w:rsid w:val="008D1AF7"/>
    <w:rsid w:val="008D1CFB"/>
    <w:rsid w:val="008D1E8A"/>
    <w:rsid w:val="008D218F"/>
    <w:rsid w:val="008D21F5"/>
    <w:rsid w:val="008D2204"/>
    <w:rsid w:val="008D221A"/>
    <w:rsid w:val="008D236A"/>
    <w:rsid w:val="008D2584"/>
    <w:rsid w:val="008D25C2"/>
    <w:rsid w:val="008D2977"/>
    <w:rsid w:val="008D2EE4"/>
    <w:rsid w:val="008D308B"/>
    <w:rsid w:val="008D3290"/>
    <w:rsid w:val="008D334F"/>
    <w:rsid w:val="008D362A"/>
    <w:rsid w:val="008D3A3B"/>
    <w:rsid w:val="008D3AF9"/>
    <w:rsid w:val="008D3D55"/>
    <w:rsid w:val="008D3EC1"/>
    <w:rsid w:val="008D425D"/>
    <w:rsid w:val="008D4A8F"/>
    <w:rsid w:val="008D4D3E"/>
    <w:rsid w:val="008D4DA2"/>
    <w:rsid w:val="008D4EEE"/>
    <w:rsid w:val="008D551B"/>
    <w:rsid w:val="008D553C"/>
    <w:rsid w:val="008D55EA"/>
    <w:rsid w:val="008D56E0"/>
    <w:rsid w:val="008D5FE2"/>
    <w:rsid w:val="008D63BA"/>
    <w:rsid w:val="008D641E"/>
    <w:rsid w:val="008D6867"/>
    <w:rsid w:val="008D6A73"/>
    <w:rsid w:val="008D6E1F"/>
    <w:rsid w:val="008D751C"/>
    <w:rsid w:val="008D75D7"/>
    <w:rsid w:val="008D7812"/>
    <w:rsid w:val="008D7880"/>
    <w:rsid w:val="008D7FEB"/>
    <w:rsid w:val="008E0342"/>
    <w:rsid w:val="008E057B"/>
    <w:rsid w:val="008E0803"/>
    <w:rsid w:val="008E0D61"/>
    <w:rsid w:val="008E0E27"/>
    <w:rsid w:val="008E0F4B"/>
    <w:rsid w:val="008E1003"/>
    <w:rsid w:val="008E11F0"/>
    <w:rsid w:val="008E1330"/>
    <w:rsid w:val="008E18AE"/>
    <w:rsid w:val="008E19EC"/>
    <w:rsid w:val="008E1BA9"/>
    <w:rsid w:val="008E1E70"/>
    <w:rsid w:val="008E1F41"/>
    <w:rsid w:val="008E2043"/>
    <w:rsid w:val="008E2133"/>
    <w:rsid w:val="008E2268"/>
    <w:rsid w:val="008E23AE"/>
    <w:rsid w:val="008E27FB"/>
    <w:rsid w:val="008E2DFF"/>
    <w:rsid w:val="008E3121"/>
    <w:rsid w:val="008E3125"/>
    <w:rsid w:val="008E33A0"/>
    <w:rsid w:val="008E395D"/>
    <w:rsid w:val="008E3C65"/>
    <w:rsid w:val="008E4052"/>
    <w:rsid w:val="008E40FD"/>
    <w:rsid w:val="008E443F"/>
    <w:rsid w:val="008E44A2"/>
    <w:rsid w:val="008E45C7"/>
    <w:rsid w:val="008E4687"/>
    <w:rsid w:val="008E46FD"/>
    <w:rsid w:val="008E4753"/>
    <w:rsid w:val="008E4A9E"/>
    <w:rsid w:val="008E4B9D"/>
    <w:rsid w:val="008E4BA8"/>
    <w:rsid w:val="008E57C2"/>
    <w:rsid w:val="008E5AA3"/>
    <w:rsid w:val="008E5B9F"/>
    <w:rsid w:val="008E5C06"/>
    <w:rsid w:val="008E5CCD"/>
    <w:rsid w:val="008E5D8D"/>
    <w:rsid w:val="008E5FF8"/>
    <w:rsid w:val="008E62CA"/>
    <w:rsid w:val="008E6455"/>
    <w:rsid w:val="008E6574"/>
    <w:rsid w:val="008E65AA"/>
    <w:rsid w:val="008E65BE"/>
    <w:rsid w:val="008E6E46"/>
    <w:rsid w:val="008E6FD3"/>
    <w:rsid w:val="008E7431"/>
    <w:rsid w:val="008E7C5D"/>
    <w:rsid w:val="008E7CE4"/>
    <w:rsid w:val="008E7EBA"/>
    <w:rsid w:val="008F0015"/>
    <w:rsid w:val="008F027B"/>
    <w:rsid w:val="008F062A"/>
    <w:rsid w:val="008F077E"/>
    <w:rsid w:val="008F07E9"/>
    <w:rsid w:val="008F0C2F"/>
    <w:rsid w:val="008F0C69"/>
    <w:rsid w:val="008F0D5D"/>
    <w:rsid w:val="008F0DD4"/>
    <w:rsid w:val="008F151D"/>
    <w:rsid w:val="008F18E9"/>
    <w:rsid w:val="008F1DD9"/>
    <w:rsid w:val="008F1FFC"/>
    <w:rsid w:val="008F2216"/>
    <w:rsid w:val="008F2633"/>
    <w:rsid w:val="008F27A4"/>
    <w:rsid w:val="008F2950"/>
    <w:rsid w:val="008F2ACA"/>
    <w:rsid w:val="008F2AD2"/>
    <w:rsid w:val="008F2E7E"/>
    <w:rsid w:val="008F306F"/>
    <w:rsid w:val="008F30FA"/>
    <w:rsid w:val="008F3130"/>
    <w:rsid w:val="008F3389"/>
    <w:rsid w:val="008F3461"/>
    <w:rsid w:val="008F36C2"/>
    <w:rsid w:val="008F37A3"/>
    <w:rsid w:val="008F387B"/>
    <w:rsid w:val="008F38EC"/>
    <w:rsid w:val="008F3AA0"/>
    <w:rsid w:val="008F3D35"/>
    <w:rsid w:val="008F416A"/>
    <w:rsid w:val="008F4170"/>
    <w:rsid w:val="008F422A"/>
    <w:rsid w:val="008F4813"/>
    <w:rsid w:val="008F498D"/>
    <w:rsid w:val="008F4AF9"/>
    <w:rsid w:val="008F4BE0"/>
    <w:rsid w:val="008F4DF4"/>
    <w:rsid w:val="008F5342"/>
    <w:rsid w:val="008F56AF"/>
    <w:rsid w:val="008F5773"/>
    <w:rsid w:val="008F58E8"/>
    <w:rsid w:val="008F63DF"/>
    <w:rsid w:val="008F6713"/>
    <w:rsid w:val="008F696B"/>
    <w:rsid w:val="008F6CAD"/>
    <w:rsid w:val="008F7248"/>
    <w:rsid w:val="008F72D7"/>
    <w:rsid w:val="008F7548"/>
    <w:rsid w:val="008F7786"/>
    <w:rsid w:val="008F793B"/>
    <w:rsid w:val="008F7B05"/>
    <w:rsid w:val="008F7B4A"/>
    <w:rsid w:val="008F7BB9"/>
    <w:rsid w:val="008F7BDA"/>
    <w:rsid w:val="008F7CE9"/>
    <w:rsid w:val="008F7D61"/>
    <w:rsid w:val="00900652"/>
    <w:rsid w:val="009007AC"/>
    <w:rsid w:val="00900AED"/>
    <w:rsid w:val="00900AFD"/>
    <w:rsid w:val="00900CB4"/>
    <w:rsid w:val="00900E53"/>
    <w:rsid w:val="00900FCE"/>
    <w:rsid w:val="00901409"/>
    <w:rsid w:val="0090143A"/>
    <w:rsid w:val="00901746"/>
    <w:rsid w:val="00901B22"/>
    <w:rsid w:val="00901B37"/>
    <w:rsid w:val="00901BCB"/>
    <w:rsid w:val="00901EF2"/>
    <w:rsid w:val="00901FB1"/>
    <w:rsid w:val="00902349"/>
    <w:rsid w:val="00902598"/>
    <w:rsid w:val="00902759"/>
    <w:rsid w:val="00902820"/>
    <w:rsid w:val="009028CF"/>
    <w:rsid w:val="00902B0C"/>
    <w:rsid w:val="00902D33"/>
    <w:rsid w:val="00902E62"/>
    <w:rsid w:val="0090321F"/>
    <w:rsid w:val="009033F1"/>
    <w:rsid w:val="0090380D"/>
    <w:rsid w:val="009038DA"/>
    <w:rsid w:val="00903ABE"/>
    <w:rsid w:val="009040D0"/>
    <w:rsid w:val="009041AB"/>
    <w:rsid w:val="009044A5"/>
    <w:rsid w:val="00904626"/>
    <w:rsid w:val="0090471E"/>
    <w:rsid w:val="009052F3"/>
    <w:rsid w:val="00905437"/>
    <w:rsid w:val="00905605"/>
    <w:rsid w:val="0090583A"/>
    <w:rsid w:val="0090586B"/>
    <w:rsid w:val="00905A6F"/>
    <w:rsid w:val="00905AAC"/>
    <w:rsid w:val="00905C0E"/>
    <w:rsid w:val="00905DAE"/>
    <w:rsid w:val="00905FEB"/>
    <w:rsid w:val="00905FF1"/>
    <w:rsid w:val="00906066"/>
    <w:rsid w:val="009060D2"/>
    <w:rsid w:val="0090633D"/>
    <w:rsid w:val="009064CC"/>
    <w:rsid w:val="009066FE"/>
    <w:rsid w:val="0090681F"/>
    <w:rsid w:val="00906A48"/>
    <w:rsid w:val="00906B14"/>
    <w:rsid w:val="00906B8E"/>
    <w:rsid w:val="00906F28"/>
    <w:rsid w:val="00906F8F"/>
    <w:rsid w:val="00907301"/>
    <w:rsid w:val="00907338"/>
    <w:rsid w:val="0090768E"/>
    <w:rsid w:val="009078D2"/>
    <w:rsid w:val="00907A08"/>
    <w:rsid w:val="00907B65"/>
    <w:rsid w:val="00907F61"/>
    <w:rsid w:val="00910468"/>
    <w:rsid w:val="009108EC"/>
    <w:rsid w:val="00910DAF"/>
    <w:rsid w:val="00910F1F"/>
    <w:rsid w:val="00910F9F"/>
    <w:rsid w:val="0091105D"/>
    <w:rsid w:val="009112B1"/>
    <w:rsid w:val="00911360"/>
    <w:rsid w:val="00911983"/>
    <w:rsid w:val="00911D5D"/>
    <w:rsid w:val="00911DD0"/>
    <w:rsid w:val="00911E4D"/>
    <w:rsid w:val="009121ED"/>
    <w:rsid w:val="0091233D"/>
    <w:rsid w:val="009123F1"/>
    <w:rsid w:val="009124B6"/>
    <w:rsid w:val="00912502"/>
    <w:rsid w:val="0091266C"/>
    <w:rsid w:val="00912AAC"/>
    <w:rsid w:val="00912CD0"/>
    <w:rsid w:val="00912F20"/>
    <w:rsid w:val="00912F48"/>
    <w:rsid w:val="00913121"/>
    <w:rsid w:val="00913543"/>
    <w:rsid w:val="00913BA5"/>
    <w:rsid w:val="00913BC2"/>
    <w:rsid w:val="00913CC2"/>
    <w:rsid w:val="00913FA3"/>
    <w:rsid w:val="0091434B"/>
    <w:rsid w:val="009143E6"/>
    <w:rsid w:val="00914615"/>
    <w:rsid w:val="0091477C"/>
    <w:rsid w:val="00914780"/>
    <w:rsid w:val="00914A8D"/>
    <w:rsid w:val="00914B0A"/>
    <w:rsid w:val="00914B77"/>
    <w:rsid w:val="00914C4A"/>
    <w:rsid w:val="00914E74"/>
    <w:rsid w:val="009154CF"/>
    <w:rsid w:val="0091554D"/>
    <w:rsid w:val="009155DA"/>
    <w:rsid w:val="009155E5"/>
    <w:rsid w:val="009156FA"/>
    <w:rsid w:val="00915750"/>
    <w:rsid w:val="00915804"/>
    <w:rsid w:val="009159C1"/>
    <w:rsid w:val="00915A72"/>
    <w:rsid w:val="00915E8B"/>
    <w:rsid w:val="009162E0"/>
    <w:rsid w:val="00916515"/>
    <w:rsid w:val="00916757"/>
    <w:rsid w:val="00916818"/>
    <w:rsid w:val="00916AD0"/>
    <w:rsid w:val="00916AD4"/>
    <w:rsid w:val="00916F85"/>
    <w:rsid w:val="00917003"/>
    <w:rsid w:val="009170EA"/>
    <w:rsid w:val="0091754C"/>
    <w:rsid w:val="0091776A"/>
    <w:rsid w:val="00917B69"/>
    <w:rsid w:val="009209BD"/>
    <w:rsid w:val="00920C5B"/>
    <w:rsid w:val="00920E0E"/>
    <w:rsid w:val="009216F3"/>
    <w:rsid w:val="00921955"/>
    <w:rsid w:val="00921B6B"/>
    <w:rsid w:val="00921BE1"/>
    <w:rsid w:val="00922442"/>
    <w:rsid w:val="00922517"/>
    <w:rsid w:val="00922692"/>
    <w:rsid w:val="00922709"/>
    <w:rsid w:val="009228A4"/>
    <w:rsid w:val="00922C72"/>
    <w:rsid w:val="00923023"/>
    <w:rsid w:val="0092304B"/>
    <w:rsid w:val="00923201"/>
    <w:rsid w:val="009237A7"/>
    <w:rsid w:val="00923A67"/>
    <w:rsid w:val="00923B42"/>
    <w:rsid w:val="00923DA1"/>
    <w:rsid w:val="0092450D"/>
    <w:rsid w:val="00924854"/>
    <w:rsid w:val="00924858"/>
    <w:rsid w:val="00924921"/>
    <w:rsid w:val="00924BAE"/>
    <w:rsid w:val="00924C3A"/>
    <w:rsid w:val="00924DBE"/>
    <w:rsid w:val="00924E56"/>
    <w:rsid w:val="00924F50"/>
    <w:rsid w:val="00925342"/>
    <w:rsid w:val="0092586B"/>
    <w:rsid w:val="009258C9"/>
    <w:rsid w:val="00925CC7"/>
    <w:rsid w:val="00925CFB"/>
    <w:rsid w:val="00925D76"/>
    <w:rsid w:val="0092600A"/>
    <w:rsid w:val="00926348"/>
    <w:rsid w:val="00926631"/>
    <w:rsid w:val="0092681F"/>
    <w:rsid w:val="00926F43"/>
    <w:rsid w:val="00926F8C"/>
    <w:rsid w:val="00927206"/>
    <w:rsid w:val="009272AD"/>
    <w:rsid w:val="0092737C"/>
    <w:rsid w:val="00927509"/>
    <w:rsid w:val="00927625"/>
    <w:rsid w:val="009278AC"/>
    <w:rsid w:val="009278F0"/>
    <w:rsid w:val="00927FB7"/>
    <w:rsid w:val="00927FF0"/>
    <w:rsid w:val="0093040E"/>
    <w:rsid w:val="00930429"/>
    <w:rsid w:val="0093043A"/>
    <w:rsid w:val="00930B1C"/>
    <w:rsid w:val="00930C32"/>
    <w:rsid w:val="009310AF"/>
    <w:rsid w:val="00931136"/>
    <w:rsid w:val="00931399"/>
    <w:rsid w:val="00931C73"/>
    <w:rsid w:val="00931C8E"/>
    <w:rsid w:val="00932358"/>
    <w:rsid w:val="00932620"/>
    <w:rsid w:val="00932AB5"/>
    <w:rsid w:val="00932B6B"/>
    <w:rsid w:val="00932C37"/>
    <w:rsid w:val="00932C9A"/>
    <w:rsid w:val="00932E78"/>
    <w:rsid w:val="009334C2"/>
    <w:rsid w:val="009337F6"/>
    <w:rsid w:val="00933AD8"/>
    <w:rsid w:val="00933EB3"/>
    <w:rsid w:val="009341DA"/>
    <w:rsid w:val="009341EE"/>
    <w:rsid w:val="009345F4"/>
    <w:rsid w:val="00934743"/>
    <w:rsid w:val="0093480C"/>
    <w:rsid w:val="00934D9F"/>
    <w:rsid w:val="0093500F"/>
    <w:rsid w:val="0093506A"/>
    <w:rsid w:val="00935079"/>
    <w:rsid w:val="009350A3"/>
    <w:rsid w:val="00935123"/>
    <w:rsid w:val="0093516E"/>
    <w:rsid w:val="0093557B"/>
    <w:rsid w:val="0093595F"/>
    <w:rsid w:val="00935F19"/>
    <w:rsid w:val="0093607A"/>
    <w:rsid w:val="009361EC"/>
    <w:rsid w:val="0093644F"/>
    <w:rsid w:val="009368BE"/>
    <w:rsid w:val="00936949"/>
    <w:rsid w:val="00936B7B"/>
    <w:rsid w:val="00936BB6"/>
    <w:rsid w:val="00936F5F"/>
    <w:rsid w:val="009371BD"/>
    <w:rsid w:val="0093762E"/>
    <w:rsid w:val="00937763"/>
    <w:rsid w:val="00937769"/>
    <w:rsid w:val="009379CC"/>
    <w:rsid w:val="00937DC5"/>
    <w:rsid w:val="009403A8"/>
    <w:rsid w:val="00940424"/>
    <w:rsid w:val="00940DAA"/>
    <w:rsid w:val="00940E32"/>
    <w:rsid w:val="00940F28"/>
    <w:rsid w:val="00940F58"/>
    <w:rsid w:val="00941082"/>
    <w:rsid w:val="009411D0"/>
    <w:rsid w:val="0094131B"/>
    <w:rsid w:val="009413A3"/>
    <w:rsid w:val="0094156F"/>
    <w:rsid w:val="009415B1"/>
    <w:rsid w:val="00941747"/>
    <w:rsid w:val="00941768"/>
    <w:rsid w:val="00941C36"/>
    <w:rsid w:val="00941FD4"/>
    <w:rsid w:val="0094218B"/>
    <w:rsid w:val="009421BC"/>
    <w:rsid w:val="00942262"/>
    <w:rsid w:val="009423F1"/>
    <w:rsid w:val="0094246D"/>
    <w:rsid w:val="00942473"/>
    <w:rsid w:val="009427BC"/>
    <w:rsid w:val="00942963"/>
    <w:rsid w:val="00942D42"/>
    <w:rsid w:val="00942EB3"/>
    <w:rsid w:val="00942F1D"/>
    <w:rsid w:val="0094304F"/>
    <w:rsid w:val="00943180"/>
    <w:rsid w:val="00943343"/>
    <w:rsid w:val="00943440"/>
    <w:rsid w:val="009434B5"/>
    <w:rsid w:val="00943621"/>
    <w:rsid w:val="009436D8"/>
    <w:rsid w:val="00943B3B"/>
    <w:rsid w:val="00943C9F"/>
    <w:rsid w:val="00943E0A"/>
    <w:rsid w:val="00943E70"/>
    <w:rsid w:val="00944012"/>
    <w:rsid w:val="0094431F"/>
    <w:rsid w:val="009444F0"/>
    <w:rsid w:val="00944765"/>
    <w:rsid w:val="00944885"/>
    <w:rsid w:val="00944CB7"/>
    <w:rsid w:val="00945264"/>
    <w:rsid w:val="0094528D"/>
    <w:rsid w:val="0094537B"/>
    <w:rsid w:val="0094551C"/>
    <w:rsid w:val="0094552F"/>
    <w:rsid w:val="00945557"/>
    <w:rsid w:val="009457FD"/>
    <w:rsid w:val="00945851"/>
    <w:rsid w:val="00945874"/>
    <w:rsid w:val="00945950"/>
    <w:rsid w:val="00945A41"/>
    <w:rsid w:val="00945B87"/>
    <w:rsid w:val="00945BC2"/>
    <w:rsid w:val="00945BDD"/>
    <w:rsid w:val="00946028"/>
    <w:rsid w:val="0094624F"/>
    <w:rsid w:val="00946343"/>
    <w:rsid w:val="0094634C"/>
    <w:rsid w:val="00946549"/>
    <w:rsid w:val="009466FE"/>
    <w:rsid w:val="00946795"/>
    <w:rsid w:val="009468E1"/>
    <w:rsid w:val="00946D10"/>
    <w:rsid w:val="00946DCA"/>
    <w:rsid w:val="00946ECA"/>
    <w:rsid w:val="009471EE"/>
    <w:rsid w:val="009477DE"/>
    <w:rsid w:val="00947868"/>
    <w:rsid w:val="00947ACD"/>
    <w:rsid w:val="00947B16"/>
    <w:rsid w:val="00947F69"/>
    <w:rsid w:val="0095018E"/>
    <w:rsid w:val="009502BC"/>
    <w:rsid w:val="0095032A"/>
    <w:rsid w:val="00950791"/>
    <w:rsid w:val="0095086E"/>
    <w:rsid w:val="00950909"/>
    <w:rsid w:val="00950A52"/>
    <w:rsid w:val="00950B59"/>
    <w:rsid w:val="00950D4C"/>
    <w:rsid w:val="00950F82"/>
    <w:rsid w:val="0095117F"/>
    <w:rsid w:val="009512ED"/>
    <w:rsid w:val="0095168C"/>
    <w:rsid w:val="009518AC"/>
    <w:rsid w:val="009518DA"/>
    <w:rsid w:val="00951C3F"/>
    <w:rsid w:val="00951D0C"/>
    <w:rsid w:val="0095204B"/>
    <w:rsid w:val="009521BA"/>
    <w:rsid w:val="0095229D"/>
    <w:rsid w:val="009525EC"/>
    <w:rsid w:val="0095299D"/>
    <w:rsid w:val="00952A58"/>
    <w:rsid w:val="00952AF4"/>
    <w:rsid w:val="00952C67"/>
    <w:rsid w:val="0095335D"/>
    <w:rsid w:val="009534B3"/>
    <w:rsid w:val="009534E2"/>
    <w:rsid w:val="00953881"/>
    <w:rsid w:val="00953A3B"/>
    <w:rsid w:val="00953DAB"/>
    <w:rsid w:val="009546C4"/>
    <w:rsid w:val="0095472A"/>
    <w:rsid w:val="009548AB"/>
    <w:rsid w:val="0095491B"/>
    <w:rsid w:val="009549E7"/>
    <w:rsid w:val="00954C92"/>
    <w:rsid w:val="00954D68"/>
    <w:rsid w:val="009551D7"/>
    <w:rsid w:val="0095525F"/>
    <w:rsid w:val="0095531A"/>
    <w:rsid w:val="009553B1"/>
    <w:rsid w:val="009553EA"/>
    <w:rsid w:val="00955566"/>
    <w:rsid w:val="009555B0"/>
    <w:rsid w:val="009556D5"/>
    <w:rsid w:val="0095609A"/>
    <w:rsid w:val="00956219"/>
    <w:rsid w:val="009562A2"/>
    <w:rsid w:val="00956319"/>
    <w:rsid w:val="009564CB"/>
    <w:rsid w:val="00956847"/>
    <w:rsid w:val="00956B7A"/>
    <w:rsid w:val="00956E5E"/>
    <w:rsid w:val="00956E98"/>
    <w:rsid w:val="00956EBD"/>
    <w:rsid w:val="0095715E"/>
    <w:rsid w:val="009575B6"/>
    <w:rsid w:val="0095771E"/>
    <w:rsid w:val="009578ED"/>
    <w:rsid w:val="00957F5D"/>
    <w:rsid w:val="009600CB"/>
    <w:rsid w:val="00960177"/>
    <w:rsid w:val="0096027E"/>
    <w:rsid w:val="00960315"/>
    <w:rsid w:val="009604B7"/>
    <w:rsid w:val="009604DD"/>
    <w:rsid w:val="00960C6E"/>
    <w:rsid w:val="00960CAB"/>
    <w:rsid w:val="00960FA1"/>
    <w:rsid w:val="00960FEA"/>
    <w:rsid w:val="009615B1"/>
    <w:rsid w:val="009615BA"/>
    <w:rsid w:val="009615E9"/>
    <w:rsid w:val="00961832"/>
    <w:rsid w:val="00961A0A"/>
    <w:rsid w:val="00961B8A"/>
    <w:rsid w:val="00961E41"/>
    <w:rsid w:val="009621BA"/>
    <w:rsid w:val="00962356"/>
    <w:rsid w:val="0096243E"/>
    <w:rsid w:val="00962449"/>
    <w:rsid w:val="00962808"/>
    <w:rsid w:val="00962B25"/>
    <w:rsid w:val="00962FAA"/>
    <w:rsid w:val="0096310A"/>
    <w:rsid w:val="0096318F"/>
    <w:rsid w:val="00963637"/>
    <w:rsid w:val="00963794"/>
    <w:rsid w:val="00963C60"/>
    <w:rsid w:val="009640A5"/>
    <w:rsid w:val="0096483F"/>
    <w:rsid w:val="009649D8"/>
    <w:rsid w:val="0096515B"/>
    <w:rsid w:val="009651BF"/>
    <w:rsid w:val="00965477"/>
    <w:rsid w:val="009654A1"/>
    <w:rsid w:val="009659EB"/>
    <w:rsid w:val="00965A43"/>
    <w:rsid w:val="00965BFF"/>
    <w:rsid w:val="00965E2C"/>
    <w:rsid w:val="0096635A"/>
    <w:rsid w:val="009665B8"/>
    <w:rsid w:val="0096668D"/>
    <w:rsid w:val="00966707"/>
    <w:rsid w:val="00966C6E"/>
    <w:rsid w:val="00966E54"/>
    <w:rsid w:val="00966E9B"/>
    <w:rsid w:val="0096705D"/>
    <w:rsid w:val="0096758E"/>
    <w:rsid w:val="00967A83"/>
    <w:rsid w:val="00967B18"/>
    <w:rsid w:val="00967B7D"/>
    <w:rsid w:val="00967C24"/>
    <w:rsid w:val="00967EF4"/>
    <w:rsid w:val="00970C5B"/>
    <w:rsid w:val="00970FBB"/>
    <w:rsid w:val="00971413"/>
    <w:rsid w:val="0097155F"/>
    <w:rsid w:val="009719B9"/>
    <w:rsid w:val="00971D4F"/>
    <w:rsid w:val="00971ED4"/>
    <w:rsid w:val="00972041"/>
    <w:rsid w:val="0097218C"/>
    <w:rsid w:val="00972222"/>
    <w:rsid w:val="0097245D"/>
    <w:rsid w:val="00972624"/>
    <w:rsid w:val="009727BA"/>
    <w:rsid w:val="009727D3"/>
    <w:rsid w:val="009727EC"/>
    <w:rsid w:val="00972835"/>
    <w:rsid w:val="009728B5"/>
    <w:rsid w:val="0097295C"/>
    <w:rsid w:val="00972BFC"/>
    <w:rsid w:val="00972D39"/>
    <w:rsid w:val="0097317D"/>
    <w:rsid w:val="009731EE"/>
    <w:rsid w:val="009733CB"/>
    <w:rsid w:val="009735C5"/>
    <w:rsid w:val="009736B6"/>
    <w:rsid w:val="00973B2E"/>
    <w:rsid w:val="00973CAD"/>
    <w:rsid w:val="00973D4D"/>
    <w:rsid w:val="00974268"/>
    <w:rsid w:val="00974D93"/>
    <w:rsid w:val="009753BC"/>
    <w:rsid w:val="009754BD"/>
    <w:rsid w:val="00975542"/>
    <w:rsid w:val="009756F1"/>
    <w:rsid w:val="00975742"/>
    <w:rsid w:val="009758C0"/>
    <w:rsid w:val="00975A23"/>
    <w:rsid w:val="00975C0A"/>
    <w:rsid w:val="00975FD2"/>
    <w:rsid w:val="0097621D"/>
    <w:rsid w:val="0097628B"/>
    <w:rsid w:val="009762D7"/>
    <w:rsid w:val="009769B0"/>
    <w:rsid w:val="00976A6E"/>
    <w:rsid w:val="00977022"/>
    <w:rsid w:val="00977148"/>
    <w:rsid w:val="00977155"/>
    <w:rsid w:val="0097740E"/>
    <w:rsid w:val="0097759D"/>
    <w:rsid w:val="00977D1F"/>
    <w:rsid w:val="00977DBF"/>
    <w:rsid w:val="009800E0"/>
    <w:rsid w:val="00980226"/>
    <w:rsid w:val="00980395"/>
    <w:rsid w:val="00980568"/>
    <w:rsid w:val="00980B6A"/>
    <w:rsid w:val="00980C5A"/>
    <w:rsid w:val="00980D8E"/>
    <w:rsid w:val="00981167"/>
    <w:rsid w:val="009815B1"/>
    <w:rsid w:val="00981744"/>
    <w:rsid w:val="009817BE"/>
    <w:rsid w:val="0098198B"/>
    <w:rsid w:val="009819D7"/>
    <w:rsid w:val="00981DFC"/>
    <w:rsid w:val="009821FD"/>
    <w:rsid w:val="0098245F"/>
    <w:rsid w:val="0098260D"/>
    <w:rsid w:val="0098288D"/>
    <w:rsid w:val="00982DBB"/>
    <w:rsid w:val="009836E1"/>
    <w:rsid w:val="00983E9E"/>
    <w:rsid w:val="009846F7"/>
    <w:rsid w:val="00984769"/>
    <w:rsid w:val="0098478A"/>
    <w:rsid w:val="00984C18"/>
    <w:rsid w:val="00984C62"/>
    <w:rsid w:val="00984C7B"/>
    <w:rsid w:val="00984F6A"/>
    <w:rsid w:val="00984F92"/>
    <w:rsid w:val="00985174"/>
    <w:rsid w:val="00985293"/>
    <w:rsid w:val="009852AF"/>
    <w:rsid w:val="0098537C"/>
    <w:rsid w:val="009854EE"/>
    <w:rsid w:val="0098561A"/>
    <w:rsid w:val="009856BD"/>
    <w:rsid w:val="0098597D"/>
    <w:rsid w:val="00985AA6"/>
    <w:rsid w:val="009860CF"/>
    <w:rsid w:val="0098643F"/>
    <w:rsid w:val="009864EF"/>
    <w:rsid w:val="0098678F"/>
    <w:rsid w:val="009868C5"/>
    <w:rsid w:val="00986D43"/>
    <w:rsid w:val="00986E55"/>
    <w:rsid w:val="00986F1C"/>
    <w:rsid w:val="00986FBF"/>
    <w:rsid w:val="0098708E"/>
    <w:rsid w:val="009870F6"/>
    <w:rsid w:val="0098754B"/>
    <w:rsid w:val="0098769B"/>
    <w:rsid w:val="009876FA"/>
    <w:rsid w:val="00987BB1"/>
    <w:rsid w:val="00987F55"/>
    <w:rsid w:val="00990075"/>
    <w:rsid w:val="00990079"/>
    <w:rsid w:val="009901F1"/>
    <w:rsid w:val="0099047D"/>
    <w:rsid w:val="009904DD"/>
    <w:rsid w:val="00990B80"/>
    <w:rsid w:val="00990C8A"/>
    <w:rsid w:val="00990E90"/>
    <w:rsid w:val="00990EBF"/>
    <w:rsid w:val="00991463"/>
    <w:rsid w:val="009914D7"/>
    <w:rsid w:val="0099160C"/>
    <w:rsid w:val="009919A9"/>
    <w:rsid w:val="00991B83"/>
    <w:rsid w:val="00991F8C"/>
    <w:rsid w:val="009920A0"/>
    <w:rsid w:val="00992187"/>
    <w:rsid w:val="00992266"/>
    <w:rsid w:val="00992329"/>
    <w:rsid w:val="0099257E"/>
    <w:rsid w:val="009928FF"/>
    <w:rsid w:val="00992AA1"/>
    <w:rsid w:val="0099333F"/>
    <w:rsid w:val="0099349F"/>
    <w:rsid w:val="009938A5"/>
    <w:rsid w:val="009938A9"/>
    <w:rsid w:val="00993916"/>
    <w:rsid w:val="00993D6E"/>
    <w:rsid w:val="00993F63"/>
    <w:rsid w:val="009941D1"/>
    <w:rsid w:val="009943D5"/>
    <w:rsid w:val="009944B3"/>
    <w:rsid w:val="009945C1"/>
    <w:rsid w:val="009946E7"/>
    <w:rsid w:val="0099483F"/>
    <w:rsid w:val="00994881"/>
    <w:rsid w:val="00994909"/>
    <w:rsid w:val="00994AD7"/>
    <w:rsid w:val="009954ED"/>
    <w:rsid w:val="0099551F"/>
    <w:rsid w:val="009956E1"/>
    <w:rsid w:val="00995829"/>
    <w:rsid w:val="00995BEA"/>
    <w:rsid w:val="00995ECD"/>
    <w:rsid w:val="009961BF"/>
    <w:rsid w:val="009964EA"/>
    <w:rsid w:val="00996B3B"/>
    <w:rsid w:val="00996E9F"/>
    <w:rsid w:val="00996EFE"/>
    <w:rsid w:val="00997149"/>
    <w:rsid w:val="0099730B"/>
    <w:rsid w:val="009977C7"/>
    <w:rsid w:val="00997AD8"/>
    <w:rsid w:val="00997EED"/>
    <w:rsid w:val="009A01AB"/>
    <w:rsid w:val="009A048B"/>
    <w:rsid w:val="009A0DBE"/>
    <w:rsid w:val="009A0FD7"/>
    <w:rsid w:val="009A128B"/>
    <w:rsid w:val="009A1379"/>
    <w:rsid w:val="009A167E"/>
    <w:rsid w:val="009A1775"/>
    <w:rsid w:val="009A1796"/>
    <w:rsid w:val="009A18EB"/>
    <w:rsid w:val="009A20ED"/>
    <w:rsid w:val="009A2130"/>
    <w:rsid w:val="009A2403"/>
    <w:rsid w:val="009A25A0"/>
    <w:rsid w:val="009A2892"/>
    <w:rsid w:val="009A2B9E"/>
    <w:rsid w:val="009A2DA3"/>
    <w:rsid w:val="009A2E9B"/>
    <w:rsid w:val="009A2F16"/>
    <w:rsid w:val="009A334D"/>
    <w:rsid w:val="009A3785"/>
    <w:rsid w:val="009A37DF"/>
    <w:rsid w:val="009A3B27"/>
    <w:rsid w:val="009A3E96"/>
    <w:rsid w:val="009A3FB3"/>
    <w:rsid w:val="009A4191"/>
    <w:rsid w:val="009A4909"/>
    <w:rsid w:val="009A4AF1"/>
    <w:rsid w:val="009A4E87"/>
    <w:rsid w:val="009A4F49"/>
    <w:rsid w:val="009A5044"/>
    <w:rsid w:val="009A5183"/>
    <w:rsid w:val="009A520F"/>
    <w:rsid w:val="009A52F3"/>
    <w:rsid w:val="009A5351"/>
    <w:rsid w:val="009A5467"/>
    <w:rsid w:val="009A551F"/>
    <w:rsid w:val="009A58B1"/>
    <w:rsid w:val="009A5A14"/>
    <w:rsid w:val="009A5BB2"/>
    <w:rsid w:val="009A5F20"/>
    <w:rsid w:val="009A625C"/>
    <w:rsid w:val="009A639E"/>
    <w:rsid w:val="009A644F"/>
    <w:rsid w:val="009A6925"/>
    <w:rsid w:val="009A6D2D"/>
    <w:rsid w:val="009A6D2F"/>
    <w:rsid w:val="009A6F03"/>
    <w:rsid w:val="009A700F"/>
    <w:rsid w:val="009A750B"/>
    <w:rsid w:val="009A7738"/>
    <w:rsid w:val="009A77F8"/>
    <w:rsid w:val="009A7A10"/>
    <w:rsid w:val="009A7B0B"/>
    <w:rsid w:val="009A7BC9"/>
    <w:rsid w:val="009A7D5E"/>
    <w:rsid w:val="009A7E31"/>
    <w:rsid w:val="009A7F0A"/>
    <w:rsid w:val="009B026F"/>
    <w:rsid w:val="009B04C3"/>
    <w:rsid w:val="009B05B4"/>
    <w:rsid w:val="009B0763"/>
    <w:rsid w:val="009B0D9F"/>
    <w:rsid w:val="009B0E4A"/>
    <w:rsid w:val="009B0FCF"/>
    <w:rsid w:val="009B104E"/>
    <w:rsid w:val="009B11F5"/>
    <w:rsid w:val="009B1361"/>
    <w:rsid w:val="009B1595"/>
    <w:rsid w:val="009B1765"/>
    <w:rsid w:val="009B19F9"/>
    <w:rsid w:val="009B1B83"/>
    <w:rsid w:val="009B1DA4"/>
    <w:rsid w:val="009B207A"/>
    <w:rsid w:val="009B217E"/>
    <w:rsid w:val="009B246F"/>
    <w:rsid w:val="009B28F2"/>
    <w:rsid w:val="009B28F3"/>
    <w:rsid w:val="009B2AFB"/>
    <w:rsid w:val="009B2CBD"/>
    <w:rsid w:val="009B2DFE"/>
    <w:rsid w:val="009B3582"/>
    <w:rsid w:val="009B3682"/>
    <w:rsid w:val="009B3798"/>
    <w:rsid w:val="009B3C4A"/>
    <w:rsid w:val="009B3F08"/>
    <w:rsid w:val="009B418C"/>
    <w:rsid w:val="009B4202"/>
    <w:rsid w:val="009B43D5"/>
    <w:rsid w:val="009B4484"/>
    <w:rsid w:val="009B4529"/>
    <w:rsid w:val="009B4692"/>
    <w:rsid w:val="009B51A8"/>
    <w:rsid w:val="009B57F2"/>
    <w:rsid w:val="009B5828"/>
    <w:rsid w:val="009B586D"/>
    <w:rsid w:val="009B602F"/>
    <w:rsid w:val="009B60E2"/>
    <w:rsid w:val="009B61AD"/>
    <w:rsid w:val="009B6228"/>
    <w:rsid w:val="009B64A5"/>
    <w:rsid w:val="009B64B9"/>
    <w:rsid w:val="009B66FB"/>
    <w:rsid w:val="009B6813"/>
    <w:rsid w:val="009B6AA6"/>
    <w:rsid w:val="009B6B29"/>
    <w:rsid w:val="009B6B64"/>
    <w:rsid w:val="009B6D0A"/>
    <w:rsid w:val="009B6D2B"/>
    <w:rsid w:val="009B6DDB"/>
    <w:rsid w:val="009B6F6C"/>
    <w:rsid w:val="009B7586"/>
    <w:rsid w:val="009B7642"/>
    <w:rsid w:val="009B76AF"/>
    <w:rsid w:val="009B7765"/>
    <w:rsid w:val="009B79C7"/>
    <w:rsid w:val="009B7ACE"/>
    <w:rsid w:val="009C0010"/>
    <w:rsid w:val="009C008E"/>
    <w:rsid w:val="009C00DD"/>
    <w:rsid w:val="009C0249"/>
    <w:rsid w:val="009C0279"/>
    <w:rsid w:val="009C028B"/>
    <w:rsid w:val="009C0765"/>
    <w:rsid w:val="009C07D6"/>
    <w:rsid w:val="009C0A3A"/>
    <w:rsid w:val="009C0FDE"/>
    <w:rsid w:val="009C0FFE"/>
    <w:rsid w:val="009C1008"/>
    <w:rsid w:val="009C1184"/>
    <w:rsid w:val="009C1321"/>
    <w:rsid w:val="009C142B"/>
    <w:rsid w:val="009C162A"/>
    <w:rsid w:val="009C167A"/>
    <w:rsid w:val="009C198B"/>
    <w:rsid w:val="009C1A56"/>
    <w:rsid w:val="009C1CD7"/>
    <w:rsid w:val="009C1DA7"/>
    <w:rsid w:val="009C1E1F"/>
    <w:rsid w:val="009C1FB0"/>
    <w:rsid w:val="009C203F"/>
    <w:rsid w:val="009C239B"/>
    <w:rsid w:val="009C24F4"/>
    <w:rsid w:val="009C275F"/>
    <w:rsid w:val="009C2808"/>
    <w:rsid w:val="009C2E74"/>
    <w:rsid w:val="009C2FDA"/>
    <w:rsid w:val="009C3034"/>
    <w:rsid w:val="009C3137"/>
    <w:rsid w:val="009C3295"/>
    <w:rsid w:val="009C331C"/>
    <w:rsid w:val="009C3A58"/>
    <w:rsid w:val="009C3B3A"/>
    <w:rsid w:val="009C3BF1"/>
    <w:rsid w:val="009C42A5"/>
    <w:rsid w:val="009C44A0"/>
    <w:rsid w:val="009C46F5"/>
    <w:rsid w:val="009C4926"/>
    <w:rsid w:val="009C4B9D"/>
    <w:rsid w:val="009C4D16"/>
    <w:rsid w:val="009C5044"/>
    <w:rsid w:val="009C50A6"/>
    <w:rsid w:val="009C516F"/>
    <w:rsid w:val="009C5350"/>
    <w:rsid w:val="009C5878"/>
    <w:rsid w:val="009C5B6F"/>
    <w:rsid w:val="009C5C5D"/>
    <w:rsid w:val="009C60E5"/>
    <w:rsid w:val="009C6323"/>
    <w:rsid w:val="009C653D"/>
    <w:rsid w:val="009C67D3"/>
    <w:rsid w:val="009C6E13"/>
    <w:rsid w:val="009C6F1B"/>
    <w:rsid w:val="009C720D"/>
    <w:rsid w:val="009C7696"/>
    <w:rsid w:val="009C795D"/>
    <w:rsid w:val="009C79AE"/>
    <w:rsid w:val="009C7A4E"/>
    <w:rsid w:val="009C7A54"/>
    <w:rsid w:val="009C7C5F"/>
    <w:rsid w:val="009C7E28"/>
    <w:rsid w:val="009C7FF1"/>
    <w:rsid w:val="009D0072"/>
    <w:rsid w:val="009D009E"/>
    <w:rsid w:val="009D027F"/>
    <w:rsid w:val="009D039C"/>
    <w:rsid w:val="009D0499"/>
    <w:rsid w:val="009D0533"/>
    <w:rsid w:val="009D0BE7"/>
    <w:rsid w:val="009D0C21"/>
    <w:rsid w:val="009D10F5"/>
    <w:rsid w:val="009D13FF"/>
    <w:rsid w:val="009D1500"/>
    <w:rsid w:val="009D1550"/>
    <w:rsid w:val="009D165D"/>
    <w:rsid w:val="009D183A"/>
    <w:rsid w:val="009D18A6"/>
    <w:rsid w:val="009D1D2A"/>
    <w:rsid w:val="009D1EC6"/>
    <w:rsid w:val="009D2078"/>
    <w:rsid w:val="009D232C"/>
    <w:rsid w:val="009D23F8"/>
    <w:rsid w:val="009D2631"/>
    <w:rsid w:val="009D263F"/>
    <w:rsid w:val="009D2734"/>
    <w:rsid w:val="009D2754"/>
    <w:rsid w:val="009D2A66"/>
    <w:rsid w:val="009D2AAD"/>
    <w:rsid w:val="009D2BEC"/>
    <w:rsid w:val="009D2C78"/>
    <w:rsid w:val="009D3195"/>
    <w:rsid w:val="009D328A"/>
    <w:rsid w:val="009D3A5F"/>
    <w:rsid w:val="009D3D1C"/>
    <w:rsid w:val="009D409D"/>
    <w:rsid w:val="009D4322"/>
    <w:rsid w:val="009D4603"/>
    <w:rsid w:val="009D4864"/>
    <w:rsid w:val="009D4A65"/>
    <w:rsid w:val="009D4EE5"/>
    <w:rsid w:val="009D5866"/>
    <w:rsid w:val="009D5C11"/>
    <w:rsid w:val="009D6180"/>
    <w:rsid w:val="009D62A0"/>
    <w:rsid w:val="009D6671"/>
    <w:rsid w:val="009D68A9"/>
    <w:rsid w:val="009D68E0"/>
    <w:rsid w:val="009D6A2D"/>
    <w:rsid w:val="009D6BE0"/>
    <w:rsid w:val="009D6C30"/>
    <w:rsid w:val="009D6F96"/>
    <w:rsid w:val="009D7087"/>
    <w:rsid w:val="009D72E1"/>
    <w:rsid w:val="009D7BBE"/>
    <w:rsid w:val="009D7D4C"/>
    <w:rsid w:val="009D7FE6"/>
    <w:rsid w:val="009E04AD"/>
    <w:rsid w:val="009E04D4"/>
    <w:rsid w:val="009E0B5D"/>
    <w:rsid w:val="009E0EFC"/>
    <w:rsid w:val="009E0FCF"/>
    <w:rsid w:val="009E122D"/>
    <w:rsid w:val="009E1294"/>
    <w:rsid w:val="009E135B"/>
    <w:rsid w:val="009E15CA"/>
    <w:rsid w:val="009E1756"/>
    <w:rsid w:val="009E18CA"/>
    <w:rsid w:val="009E1F8F"/>
    <w:rsid w:val="009E20DA"/>
    <w:rsid w:val="009E237E"/>
    <w:rsid w:val="009E23C3"/>
    <w:rsid w:val="009E2688"/>
    <w:rsid w:val="009E26C0"/>
    <w:rsid w:val="009E26CD"/>
    <w:rsid w:val="009E31EA"/>
    <w:rsid w:val="009E35F9"/>
    <w:rsid w:val="009E361B"/>
    <w:rsid w:val="009E36EE"/>
    <w:rsid w:val="009E37D7"/>
    <w:rsid w:val="009E3A25"/>
    <w:rsid w:val="009E3B2B"/>
    <w:rsid w:val="009E3BB1"/>
    <w:rsid w:val="009E3F38"/>
    <w:rsid w:val="009E42C1"/>
    <w:rsid w:val="009E4340"/>
    <w:rsid w:val="009E449F"/>
    <w:rsid w:val="009E4563"/>
    <w:rsid w:val="009E4565"/>
    <w:rsid w:val="009E4757"/>
    <w:rsid w:val="009E4D03"/>
    <w:rsid w:val="009E4E74"/>
    <w:rsid w:val="009E55A1"/>
    <w:rsid w:val="009E563C"/>
    <w:rsid w:val="009E5679"/>
    <w:rsid w:val="009E58CB"/>
    <w:rsid w:val="009E5902"/>
    <w:rsid w:val="009E5980"/>
    <w:rsid w:val="009E6012"/>
    <w:rsid w:val="009E601B"/>
    <w:rsid w:val="009E61D7"/>
    <w:rsid w:val="009E6219"/>
    <w:rsid w:val="009E622A"/>
    <w:rsid w:val="009E6255"/>
    <w:rsid w:val="009E63C8"/>
    <w:rsid w:val="009E64C4"/>
    <w:rsid w:val="009E66AE"/>
    <w:rsid w:val="009E6C9E"/>
    <w:rsid w:val="009E6D0C"/>
    <w:rsid w:val="009E6E84"/>
    <w:rsid w:val="009E76AA"/>
    <w:rsid w:val="009E7896"/>
    <w:rsid w:val="009E79D4"/>
    <w:rsid w:val="009E7A85"/>
    <w:rsid w:val="009E7C7C"/>
    <w:rsid w:val="009F0066"/>
    <w:rsid w:val="009F00AB"/>
    <w:rsid w:val="009F0490"/>
    <w:rsid w:val="009F0980"/>
    <w:rsid w:val="009F0987"/>
    <w:rsid w:val="009F11A7"/>
    <w:rsid w:val="009F1599"/>
    <w:rsid w:val="009F195A"/>
    <w:rsid w:val="009F195C"/>
    <w:rsid w:val="009F1CE4"/>
    <w:rsid w:val="009F1E59"/>
    <w:rsid w:val="009F24D4"/>
    <w:rsid w:val="009F28BD"/>
    <w:rsid w:val="009F2A4F"/>
    <w:rsid w:val="009F2E03"/>
    <w:rsid w:val="009F31A7"/>
    <w:rsid w:val="009F33E5"/>
    <w:rsid w:val="009F35A8"/>
    <w:rsid w:val="009F35E1"/>
    <w:rsid w:val="009F37F6"/>
    <w:rsid w:val="009F39CB"/>
    <w:rsid w:val="009F3A64"/>
    <w:rsid w:val="009F3DBC"/>
    <w:rsid w:val="009F41D1"/>
    <w:rsid w:val="009F4434"/>
    <w:rsid w:val="009F465C"/>
    <w:rsid w:val="009F4881"/>
    <w:rsid w:val="009F4D6F"/>
    <w:rsid w:val="009F5039"/>
    <w:rsid w:val="009F549A"/>
    <w:rsid w:val="009F55DC"/>
    <w:rsid w:val="009F56A7"/>
    <w:rsid w:val="009F5BB9"/>
    <w:rsid w:val="009F5C0E"/>
    <w:rsid w:val="009F5DAD"/>
    <w:rsid w:val="009F63A6"/>
    <w:rsid w:val="009F67B3"/>
    <w:rsid w:val="009F6918"/>
    <w:rsid w:val="009F6D6A"/>
    <w:rsid w:val="009F6DD3"/>
    <w:rsid w:val="009F71C0"/>
    <w:rsid w:val="009F739F"/>
    <w:rsid w:val="009F73A7"/>
    <w:rsid w:val="009F7420"/>
    <w:rsid w:val="009F74DB"/>
    <w:rsid w:val="009F7555"/>
    <w:rsid w:val="009F7CC4"/>
    <w:rsid w:val="009F7EF4"/>
    <w:rsid w:val="00A0008F"/>
    <w:rsid w:val="00A001FC"/>
    <w:rsid w:val="00A00344"/>
    <w:rsid w:val="00A00570"/>
    <w:rsid w:val="00A005F5"/>
    <w:rsid w:val="00A00713"/>
    <w:rsid w:val="00A00AC2"/>
    <w:rsid w:val="00A00CBC"/>
    <w:rsid w:val="00A00D31"/>
    <w:rsid w:val="00A00D7B"/>
    <w:rsid w:val="00A00E88"/>
    <w:rsid w:val="00A00EFB"/>
    <w:rsid w:val="00A0117A"/>
    <w:rsid w:val="00A01278"/>
    <w:rsid w:val="00A0151C"/>
    <w:rsid w:val="00A01838"/>
    <w:rsid w:val="00A01BF4"/>
    <w:rsid w:val="00A01C47"/>
    <w:rsid w:val="00A01CBB"/>
    <w:rsid w:val="00A01EC9"/>
    <w:rsid w:val="00A0234F"/>
    <w:rsid w:val="00A023E2"/>
    <w:rsid w:val="00A025A8"/>
    <w:rsid w:val="00A026B0"/>
    <w:rsid w:val="00A02806"/>
    <w:rsid w:val="00A029B7"/>
    <w:rsid w:val="00A02C04"/>
    <w:rsid w:val="00A03D20"/>
    <w:rsid w:val="00A03F34"/>
    <w:rsid w:val="00A03F39"/>
    <w:rsid w:val="00A040BE"/>
    <w:rsid w:val="00A043BA"/>
    <w:rsid w:val="00A04423"/>
    <w:rsid w:val="00A044C9"/>
    <w:rsid w:val="00A04B65"/>
    <w:rsid w:val="00A04B69"/>
    <w:rsid w:val="00A0503B"/>
    <w:rsid w:val="00A051F6"/>
    <w:rsid w:val="00A0524B"/>
    <w:rsid w:val="00A05262"/>
    <w:rsid w:val="00A053A7"/>
    <w:rsid w:val="00A05612"/>
    <w:rsid w:val="00A056F6"/>
    <w:rsid w:val="00A05ACA"/>
    <w:rsid w:val="00A065FF"/>
    <w:rsid w:val="00A066D3"/>
    <w:rsid w:val="00A06A88"/>
    <w:rsid w:val="00A06C12"/>
    <w:rsid w:val="00A06C32"/>
    <w:rsid w:val="00A06F59"/>
    <w:rsid w:val="00A073C4"/>
    <w:rsid w:val="00A075FB"/>
    <w:rsid w:val="00A07AD0"/>
    <w:rsid w:val="00A07D50"/>
    <w:rsid w:val="00A1030D"/>
    <w:rsid w:val="00A1031F"/>
    <w:rsid w:val="00A10323"/>
    <w:rsid w:val="00A10487"/>
    <w:rsid w:val="00A1089B"/>
    <w:rsid w:val="00A108FC"/>
    <w:rsid w:val="00A1092E"/>
    <w:rsid w:val="00A11064"/>
    <w:rsid w:val="00A11083"/>
    <w:rsid w:val="00A110C0"/>
    <w:rsid w:val="00A11453"/>
    <w:rsid w:val="00A11A4B"/>
    <w:rsid w:val="00A11AA7"/>
    <w:rsid w:val="00A11AD4"/>
    <w:rsid w:val="00A11CE6"/>
    <w:rsid w:val="00A1260D"/>
    <w:rsid w:val="00A12783"/>
    <w:rsid w:val="00A127B8"/>
    <w:rsid w:val="00A1283A"/>
    <w:rsid w:val="00A129D5"/>
    <w:rsid w:val="00A12CFD"/>
    <w:rsid w:val="00A13164"/>
    <w:rsid w:val="00A13505"/>
    <w:rsid w:val="00A13550"/>
    <w:rsid w:val="00A137F0"/>
    <w:rsid w:val="00A13E44"/>
    <w:rsid w:val="00A14107"/>
    <w:rsid w:val="00A14588"/>
    <w:rsid w:val="00A14671"/>
    <w:rsid w:val="00A148A8"/>
    <w:rsid w:val="00A14C62"/>
    <w:rsid w:val="00A14CF5"/>
    <w:rsid w:val="00A14E88"/>
    <w:rsid w:val="00A14F44"/>
    <w:rsid w:val="00A1575A"/>
    <w:rsid w:val="00A15805"/>
    <w:rsid w:val="00A1625D"/>
    <w:rsid w:val="00A1634B"/>
    <w:rsid w:val="00A166B3"/>
    <w:rsid w:val="00A1674A"/>
    <w:rsid w:val="00A167BD"/>
    <w:rsid w:val="00A16CDD"/>
    <w:rsid w:val="00A16CEC"/>
    <w:rsid w:val="00A16E8A"/>
    <w:rsid w:val="00A17298"/>
    <w:rsid w:val="00A177EF"/>
    <w:rsid w:val="00A1780A"/>
    <w:rsid w:val="00A1791E"/>
    <w:rsid w:val="00A17A45"/>
    <w:rsid w:val="00A17A55"/>
    <w:rsid w:val="00A17A99"/>
    <w:rsid w:val="00A17B23"/>
    <w:rsid w:val="00A17CCB"/>
    <w:rsid w:val="00A17EEE"/>
    <w:rsid w:val="00A2007A"/>
    <w:rsid w:val="00A20386"/>
    <w:rsid w:val="00A205CC"/>
    <w:rsid w:val="00A20773"/>
    <w:rsid w:val="00A208A1"/>
    <w:rsid w:val="00A212EA"/>
    <w:rsid w:val="00A214AD"/>
    <w:rsid w:val="00A215B0"/>
    <w:rsid w:val="00A215C1"/>
    <w:rsid w:val="00A21DFF"/>
    <w:rsid w:val="00A21E02"/>
    <w:rsid w:val="00A21E24"/>
    <w:rsid w:val="00A21F02"/>
    <w:rsid w:val="00A22719"/>
    <w:rsid w:val="00A22A92"/>
    <w:rsid w:val="00A22ED2"/>
    <w:rsid w:val="00A23010"/>
    <w:rsid w:val="00A23270"/>
    <w:rsid w:val="00A232EF"/>
    <w:rsid w:val="00A237ED"/>
    <w:rsid w:val="00A23A3A"/>
    <w:rsid w:val="00A23A80"/>
    <w:rsid w:val="00A23C6B"/>
    <w:rsid w:val="00A24194"/>
    <w:rsid w:val="00A245F0"/>
    <w:rsid w:val="00A24DC3"/>
    <w:rsid w:val="00A251E1"/>
    <w:rsid w:val="00A252F1"/>
    <w:rsid w:val="00A2563D"/>
    <w:rsid w:val="00A25B82"/>
    <w:rsid w:val="00A25C98"/>
    <w:rsid w:val="00A2632F"/>
    <w:rsid w:val="00A264C9"/>
    <w:rsid w:val="00A26506"/>
    <w:rsid w:val="00A26536"/>
    <w:rsid w:val="00A26585"/>
    <w:rsid w:val="00A2661C"/>
    <w:rsid w:val="00A266F5"/>
    <w:rsid w:val="00A26B77"/>
    <w:rsid w:val="00A26C23"/>
    <w:rsid w:val="00A27526"/>
    <w:rsid w:val="00A2791F"/>
    <w:rsid w:val="00A279D8"/>
    <w:rsid w:val="00A27B77"/>
    <w:rsid w:val="00A27F53"/>
    <w:rsid w:val="00A30136"/>
    <w:rsid w:val="00A30190"/>
    <w:rsid w:val="00A301CD"/>
    <w:rsid w:val="00A302D0"/>
    <w:rsid w:val="00A303B6"/>
    <w:rsid w:val="00A30AFD"/>
    <w:rsid w:val="00A31054"/>
    <w:rsid w:val="00A310A7"/>
    <w:rsid w:val="00A31138"/>
    <w:rsid w:val="00A3125F"/>
    <w:rsid w:val="00A31613"/>
    <w:rsid w:val="00A3193C"/>
    <w:rsid w:val="00A31AD7"/>
    <w:rsid w:val="00A31CD0"/>
    <w:rsid w:val="00A327FC"/>
    <w:rsid w:val="00A328F0"/>
    <w:rsid w:val="00A3295C"/>
    <w:rsid w:val="00A32E57"/>
    <w:rsid w:val="00A33015"/>
    <w:rsid w:val="00A33350"/>
    <w:rsid w:val="00A3397B"/>
    <w:rsid w:val="00A33C60"/>
    <w:rsid w:val="00A33C62"/>
    <w:rsid w:val="00A33C68"/>
    <w:rsid w:val="00A33D97"/>
    <w:rsid w:val="00A33E79"/>
    <w:rsid w:val="00A343EB"/>
    <w:rsid w:val="00A34469"/>
    <w:rsid w:val="00A34645"/>
    <w:rsid w:val="00A346F1"/>
    <w:rsid w:val="00A34709"/>
    <w:rsid w:val="00A34B48"/>
    <w:rsid w:val="00A34CCF"/>
    <w:rsid w:val="00A35109"/>
    <w:rsid w:val="00A354A6"/>
    <w:rsid w:val="00A3567E"/>
    <w:rsid w:val="00A35775"/>
    <w:rsid w:val="00A35916"/>
    <w:rsid w:val="00A359CC"/>
    <w:rsid w:val="00A361B3"/>
    <w:rsid w:val="00A36204"/>
    <w:rsid w:val="00A362B5"/>
    <w:rsid w:val="00A366A7"/>
    <w:rsid w:val="00A366AA"/>
    <w:rsid w:val="00A36704"/>
    <w:rsid w:val="00A3678B"/>
    <w:rsid w:val="00A36B33"/>
    <w:rsid w:val="00A36D79"/>
    <w:rsid w:val="00A36F48"/>
    <w:rsid w:val="00A371E1"/>
    <w:rsid w:val="00A3739D"/>
    <w:rsid w:val="00A373A6"/>
    <w:rsid w:val="00A37787"/>
    <w:rsid w:val="00A400B8"/>
    <w:rsid w:val="00A406FD"/>
    <w:rsid w:val="00A40804"/>
    <w:rsid w:val="00A4093B"/>
    <w:rsid w:val="00A40B55"/>
    <w:rsid w:val="00A40C9E"/>
    <w:rsid w:val="00A41007"/>
    <w:rsid w:val="00A4109D"/>
    <w:rsid w:val="00A411CD"/>
    <w:rsid w:val="00A413CD"/>
    <w:rsid w:val="00A41EB1"/>
    <w:rsid w:val="00A423DA"/>
    <w:rsid w:val="00A424EC"/>
    <w:rsid w:val="00A42540"/>
    <w:rsid w:val="00A4280C"/>
    <w:rsid w:val="00A42862"/>
    <w:rsid w:val="00A42A9E"/>
    <w:rsid w:val="00A42AC3"/>
    <w:rsid w:val="00A42E52"/>
    <w:rsid w:val="00A42E79"/>
    <w:rsid w:val="00A43906"/>
    <w:rsid w:val="00A439B5"/>
    <w:rsid w:val="00A43D11"/>
    <w:rsid w:val="00A44180"/>
    <w:rsid w:val="00A44198"/>
    <w:rsid w:val="00A44268"/>
    <w:rsid w:val="00A443C5"/>
    <w:rsid w:val="00A443CB"/>
    <w:rsid w:val="00A443D8"/>
    <w:rsid w:val="00A444DF"/>
    <w:rsid w:val="00A448CF"/>
    <w:rsid w:val="00A449B0"/>
    <w:rsid w:val="00A44A9E"/>
    <w:rsid w:val="00A44AB4"/>
    <w:rsid w:val="00A44DDB"/>
    <w:rsid w:val="00A45073"/>
    <w:rsid w:val="00A45103"/>
    <w:rsid w:val="00A45183"/>
    <w:rsid w:val="00A451AD"/>
    <w:rsid w:val="00A45A93"/>
    <w:rsid w:val="00A45AEA"/>
    <w:rsid w:val="00A45C68"/>
    <w:rsid w:val="00A45CDB"/>
    <w:rsid w:val="00A45EF2"/>
    <w:rsid w:val="00A45FEE"/>
    <w:rsid w:val="00A4622B"/>
    <w:rsid w:val="00A46406"/>
    <w:rsid w:val="00A464B8"/>
    <w:rsid w:val="00A46570"/>
    <w:rsid w:val="00A47351"/>
    <w:rsid w:val="00A47412"/>
    <w:rsid w:val="00A47845"/>
    <w:rsid w:val="00A47BA0"/>
    <w:rsid w:val="00A47C4F"/>
    <w:rsid w:val="00A47D5F"/>
    <w:rsid w:val="00A47F36"/>
    <w:rsid w:val="00A47F67"/>
    <w:rsid w:val="00A500B0"/>
    <w:rsid w:val="00A500FE"/>
    <w:rsid w:val="00A504B2"/>
    <w:rsid w:val="00A50720"/>
    <w:rsid w:val="00A50B98"/>
    <w:rsid w:val="00A512EB"/>
    <w:rsid w:val="00A51409"/>
    <w:rsid w:val="00A5157D"/>
    <w:rsid w:val="00A51CC5"/>
    <w:rsid w:val="00A5249F"/>
    <w:rsid w:val="00A524CC"/>
    <w:rsid w:val="00A524FA"/>
    <w:rsid w:val="00A52C2D"/>
    <w:rsid w:val="00A52E50"/>
    <w:rsid w:val="00A535A7"/>
    <w:rsid w:val="00A53601"/>
    <w:rsid w:val="00A5360A"/>
    <w:rsid w:val="00A53697"/>
    <w:rsid w:val="00A53B86"/>
    <w:rsid w:val="00A53D99"/>
    <w:rsid w:val="00A53F3F"/>
    <w:rsid w:val="00A54030"/>
    <w:rsid w:val="00A54243"/>
    <w:rsid w:val="00A54259"/>
    <w:rsid w:val="00A54276"/>
    <w:rsid w:val="00A5446B"/>
    <w:rsid w:val="00A5459B"/>
    <w:rsid w:val="00A54912"/>
    <w:rsid w:val="00A54BD5"/>
    <w:rsid w:val="00A54D95"/>
    <w:rsid w:val="00A54EB6"/>
    <w:rsid w:val="00A55093"/>
    <w:rsid w:val="00A550D8"/>
    <w:rsid w:val="00A550F4"/>
    <w:rsid w:val="00A5565B"/>
    <w:rsid w:val="00A558E2"/>
    <w:rsid w:val="00A559C9"/>
    <w:rsid w:val="00A55B88"/>
    <w:rsid w:val="00A55C02"/>
    <w:rsid w:val="00A56212"/>
    <w:rsid w:val="00A563D5"/>
    <w:rsid w:val="00A5661E"/>
    <w:rsid w:val="00A56620"/>
    <w:rsid w:val="00A566C0"/>
    <w:rsid w:val="00A56B6A"/>
    <w:rsid w:val="00A56C55"/>
    <w:rsid w:val="00A56F58"/>
    <w:rsid w:val="00A570AC"/>
    <w:rsid w:val="00A571D8"/>
    <w:rsid w:val="00A574B3"/>
    <w:rsid w:val="00A579BE"/>
    <w:rsid w:val="00A57EC5"/>
    <w:rsid w:val="00A57F7A"/>
    <w:rsid w:val="00A605A1"/>
    <w:rsid w:val="00A60701"/>
    <w:rsid w:val="00A6072C"/>
    <w:rsid w:val="00A6086D"/>
    <w:rsid w:val="00A60BA0"/>
    <w:rsid w:val="00A60DE8"/>
    <w:rsid w:val="00A617E1"/>
    <w:rsid w:val="00A61C43"/>
    <w:rsid w:val="00A61EB7"/>
    <w:rsid w:val="00A626B9"/>
    <w:rsid w:val="00A62B25"/>
    <w:rsid w:val="00A62B2C"/>
    <w:rsid w:val="00A62E70"/>
    <w:rsid w:val="00A63AFD"/>
    <w:rsid w:val="00A63B13"/>
    <w:rsid w:val="00A63F97"/>
    <w:rsid w:val="00A64317"/>
    <w:rsid w:val="00A6449A"/>
    <w:rsid w:val="00A6449C"/>
    <w:rsid w:val="00A644D2"/>
    <w:rsid w:val="00A648FB"/>
    <w:rsid w:val="00A64AD2"/>
    <w:rsid w:val="00A64AF0"/>
    <w:rsid w:val="00A64CBB"/>
    <w:rsid w:val="00A6510E"/>
    <w:rsid w:val="00A651AE"/>
    <w:rsid w:val="00A65376"/>
    <w:rsid w:val="00A65451"/>
    <w:rsid w:val="00A65826"/>
    <w:rsid w:val="00A65A8C"/>
    <w:rsid w:val="00A65D81"/>
    <w:rsid w:val="00A65F74"/>
    <w:rsid w:val="00A66030"/>
    <w:rsid w:val="00A66310"/>
    <w:rsid w:val="00A6650D"/>
    <w:rsid w:val="00A665F1"/>
    <w:rsid w:val="00A66628"/>
    <w:rsid w:val="00A66881"/>
    <w:rsid w:val="00A66896"/>
    <w:rsid w:val="00A66BB0"/>
    <w:rsid w:val="00A66EF5"/>
    <w:rsid w:val="00A672BE"/>
    <w:rsid w:val="00A6735B"/>
    <w:rsid w:val="00A673D1"/>
    <w:rsid w:val="00A67982"/>
    <w:rsid w:val="00A67C7F"/>
    <w:rsid w:val="00A67D3B"/>
    <w:rsid w:val="00A67ED9"/>
    <w:rsid w:val="00A7044A"/>
    <w:rsid w:val="00A704A0"/>
    <w:rsid w:val="00A704B1"/>
    <w:rsid w:val="00A706DF"/>
    <w:rsid w:val="00A707D5"/>
    <w:rsid w:val="00A7083E"/>
    <w:rsid w:val="00A7086A"/>
    <w:rsid w:val="00A709A4"/>
    <w:rsid w:val="00A70C16"/>
    <w:rsid w:val="00A7129F"/>
    <w:rsid w:val="00A712E9"/>
    <w:rsid w:val="00A713D2"/>
    <w:rsid w:val="00A718C1"/>
    <w:rsid w:val="00A71A24"/>
    <w:rsid w:val="00A71A37"/>
    <w:rsid w:val="00A71C28"/>
    <w:rsid w:val="00A71D9A"/>
    <w:rsid w:val="00A71EE6"/>
    <w:rsid w:val="00A72043"/>
    <w:rsid w:val="00A7245C"/>
    <w:rsid w:val="00A725B6"/>
    <w:rsid w:val="00A727D8"/>
    <w:rsid w:val="00A72907"/>
    <w:rsid w:val="00A72A26"/>
    <w:rsid w:val="00A72A67"/>
    <w:rsid w:val="00A72AC3"/>
    <w:rsid w:val="00A72C69"/>
    <w:rsid w:val="00A73100"/>
    <w:rsid w:val="00A73465"/>
    <w:rsid w:val="00A73983"/>
    <w:rsid w:val="00A73B34"/>
    <w:rsid w:val="00A73F11"/>
    <w:rsid w:val="00A74621"/>
    <w:rsid w:val="00A74793"/>
    <w:rsid w:val="00A74BBA"/>
    <w:rsid w:val="00A74D99"/>
    <w:rsid w:val="00A74EFC"/>
    <w:rsid w:val="00A75415"/>
    <w:rsid w:val="00A75C83"/>
    <w:rsid w:val="00A75FCF"/>
    <w:rsid w:val="00A760D4"/>
    <w:rsid w:val="00A76338"/>
    <w:rsid w:val="00A765D4"/>
    <w:rsid w:val="00A7666E"/>
    <w:rsid w:val="00A766DB"/>
    <w:rsid w:val="00A7691D"/>
    <w:rsid w:val="00A7693E"/>
    <w:rsid w:val="00A76AFB"/>
    <w:rsid w:val="00A76B65"/>
    <w:rsid w:val="00A76BA4"/>
    <w:rsid w:val="00A76C52"/>
    <w:rsid w:val="00A7713F"/>
    <w:rsid w:val="00A77878"/>
    <w:rsid w:val="00A77A67"/>
    <w:rsid w:val="00A77A9B"/>
    <w:rsid w:val="00A77ACB"/>
    <w:rsid w:val="00A77F93"/>
    <w:rsid w:val="00A80245"/>
    <w:rsid w:val="00A80289"/>
    <w:rsid w:val="00A8030D"/>
    <w:rsid w:val="00A80427"/>
    <w:rsid w:val="00A8067D"/>
    <w:rsid w:val="00A80802"/>
    <w:rsid w:val="00A808EF"/>
    <w:rsid w:val="00A80A6E"/>
    <w:rsid w:val="00A80C95"/>
    <w:rsid w:val="00A80DA3"/>
    <w:rsid w:val="00A813FF"/>
    <w:rsid w:val="00A815FE"/>
    <w:rsid w:val="00A8196E"/>
    <w:rsid w:val="00A81BBB"/>
    <w:rsid w:val="00A81DE1"/>
    <w:rsid w:val="00A821A0"/>
    <w:rsid w:val="00A822CD"/>
    <w:rsid w:val="00A82AF4"/>
    <w:rsid w:val="00A82B64"/>
    <w:rsid w:val="00A82B93"/>
    <w:rsid w:val="00A82E27"/>
    <w:rsid w:val="00A832A7"/>
    <w:rsid w:val="00A83327"/>
    <w:rsid w:val="00A833AC"/>
    <w:rsid w:val="00A83655"/>
    <w:rsid w:val="00A839DD"/>
    <w:rsid w:val="00A83A1B"/>
    <w:rsid w:val="00A83A79"/>
    <w:rsid w:val="00A845DC"/>
    <w:rsid w:val="00A84AD4"/>
    <w:rsid w:val="00A84BFA"/>
    <w:rsid w:val="00A84C5D"/>
    <w:rsid w:val="00A84D0E"/>
    <w:rsid w:val="00A84D39"/>
    <w:rsid w:val="00A84FDD"/>
    <w:rsid w:val="00A85367"/>
    <w:rsid w:val="00A85932"/>
    <w:rsid w:val="00A85B05"/>
    <w:rsid w:val="00A85DB0"/>
    <w:rsid w:val="00A86124"/>
    <w:rsid w:val="00A86237"/>
    <w:rsid w:val="00A862D9"/>
    <w:rsid w:val="00A8648E"/>
    <w:rsid w:val="00A86594"/>
    <w:rsid w:val="00A8691C"/>
    <w:rsid w:val="00A872FE"/>
    <w:rsid w:val="00A87663"/>
    <w:rsid w:val="00A876D0"/>
    <w:rsid w:val="00A8782E"/>
    <w:rsid w:val="00A87839"/>
    <w:rsid w:val="00A87D33"/>
    <w:rsid w:val="00A87DBC"/>
    <w:rsid w:val="00A87E7E"/>
    <w:rsid w:val="00A90208"/>
    <w:rsid w:val="00A90392"/>
    <w:rsid w:val="00A903E8"/>
    <w:rsid w:val="00A9053E"/>
    <w:rsid w:val="00A9098E"/>
    <w:rsid w:val="00A90CAE"/>
    <w:rsid w:val="00A90D95"/>
    <w:rsid w:val="00A90EA7"/>
    <w:rsid w:val="00A9103A"/>
    <w:rsid w:val="00A91046"/>
    <w:rsid w:val="00A91166"/>
    <w:rsid w:val="00A91262"/>
    <w:rsid w:val="00A9139A"/>
    <w:rsid w:val="00A91579"/>
    <w:rsid w:val="00A917C0"/>
    <w:rsid w:val="00A9189E"/>
    <w:rsid w:val="00A918DD"/>
    <w:rsid w:val="00A9190A"/>
    <w:rsid w:val="00A9214A"/>
    <w:rsid w:val="00A9215B"/>
    <w:rsid w:val="00A928C5"/>
    <w:rsid w:val="00A92B8B"/>
    <w:rsid w:val="00A92E41"/>
    <w:rsid w:val="00A92FEB"/>
    <w:rsid w:val="00A93585"/>
    <w:rsid w:val="00A93757"/>
    <w:rsid w:val="00A93846"/>
    <w:rsid w:val="00A939A3"/>
    <w:rsid w:val="00A93CA8"/>
    <w:rsid w:val="00A9474A"/>
    <w:rsid w:val="00A94A57"/>
    <w:rsid w:val="00A94AD5"/>
    <w:rsid w:val="00A94F92"/>
    <w:rsid w:val="00A950CC"/>
    <w:rsid w:val="00A951AE"/>
    <w:rsid w:val="00A95276"/>
    <w:rsid w:val="00A953B9"/>
    <w:rsid w:val="00A95596"/>
    <w:rsid w:val="00A956F1"/>
    <w:rsid w:val="00A95760"/>
    <w:rsid w:val="00A9580A"/>
    <w:rsid w:val="00A95A2E"/>
    <w:rsid w:val="00A95F57"/>
    <w:rsid w:val="00A9606E"/>
    <w:rsid w:val="00A9611A"/>
    <w:rsid w:val="00A961A5"/>
    <w:rsid w:val="00A96360"/>
    <w:rsid w:val="00A968FE"/>
    <w:rsid w:val="00A9699D"/>
    <w:rsid w:val="00A969FD"/>
    <w:rsid w:val="00A96AD8"/>
    <w:rsid w:val="00A96ED0"/>
    <w:rsid w:val="00A97024"/>
    <w:rsid w:val="00A970CF"/>
    <w:rsid w:val="00A973F6"/>
    <w:rsid w:val="00A97577"/>
    <w:rsid w:val="00A97691"/>
    <w:rsid w:val="00A97DCC"/>
    <w:rsid w:val="00A97FF1"/>
    <w:rsid w:val="00AA046A"/>
    <w:rsid w:val="00AA0723"/>
    <w:rsid w:val="00AA0CF1"/>
    <w:rsid w:val="00AA127C"/>
    <w:rsid w:val="00AA1360"/>
    <w:rsid w:val="00AA1364"/>
    <w:rsid w:val="00AA13F5"/>
    <w:rsid w:val="00AA17AA"/>
    <w:rsid w:val="00AA1D79"/>
    <w:rsid w:val="00AA2346"/>
    <w:rsid w:val="00AA23A9"/>
    <w:rsid w:val="00AA252F"/>
    <w:rsid w:val="00AA266E"/>
    <w:rsid w:val="00AA26A8"/>
    <w:rsid w:val="00AA2915"/>
    <w:rsid w:val="00AA2AB9"/>
    <w:rsid w:val="00AA2B6C"/>
    <w:rsid w:val="00AA2D8D"/>
    <w:rsid w:val="00AA315F"/>
    <w:rsid w:val="00AA3416"/>
    <w:rsid w:val="00AA34ED"/>
    <w:rsid w:val="00AA35E3"/>
    <w:rsid w:val="00AA36B6"/>
    <w:rsid w:val="00AA3B40"/>
    <w:rsid w:val="00AA3C18"/>
    <w:rsid w:val="00AA3D2D"/>
    <w:rsid w:val="00AA4024"/>
    <w:rsid w:val="00AA4521"/>
    <w:rsid w:val="00AA46BB"/>
    <w:rsid w:val="00AA4B14"/>
    <w:rsid w:val="00AA4DAF"/>
    <w:rsid w:val="00AA4E4B"/>
    <w:rsid w:val="00AA53CF"/>
    <w:rsid w:val="00AA5D88"/>
    <w:rsid w:val="00AA6163"/>
    <w:rsid w:val="00AA6189"/>
    <w:rsid w:val="00AA618C"/>
    <w:rsid w:val="00AA6523"/>
    <w:rsid w:val="00AA669B"/>
    <w:rsid w:val="00AA74AA"/>
    <w:rsid w:val="00AA751F"/>
    <w:rsid w:val="00AA7ABA"/>
    <w:rsid w:val="00AA7AD8"/>
    <w:rsid w:val="00AA7C10"/>
    <w:rsid w:val="00AB0023"/>
    <w:rsid w:val="00AB0029"/>
    <w:rsid w:val="00AB0044"/>
    <w:rsid w:val="00AB0095"/>
    <w:rsid w:val="00AB019F"/>
    <w:rsid w:val="00AB0917"/>
    <w:rsid w:val="00AB095D"/>
    <w:rsid w:val="00AB0997"/>
    <w:rsid w:val="00AB09DF"/>
    <w:rsid w:val="00AB0A0C"/>
    <w:rsid w:val="00AB0AC9"/>
    <w:rsid w:val="00AB0B7E"/>
    <w:rsid w:val="00AB0BC0"/>
    <w:rsid w:val="00AB12EB"/>
    <w:rsid w:val="00AB12EF"/>
    <w:rsid w:val="00AB1613"/>
    <w:rsid w:val="00AB1679"/>
    <w:rsid w:val="00AB1C3C"/>
    <w:rsid w:val="00AB1E10"/>
    <w:rsid w:val="00AB1FC8"/>
    <w:rsid w:val="00AB2068"/>
    <w:rsid w:val="00AB23D9"/>
    <w:rsid w:val="00AB27F6"/>
    <w:rsid w:val="00AB2A52"/>
    <w:rsid w:val="00AB2A78"/>
    <w:rsid w:val="00AB2ABC"/>
    <w:rsid w:val="00AB2BDD"/>
    <w:rsid w:val="00AB2C3B"/>
    <w:rsid w:val="00AB30EE"/>
    <w:rsid w:val="00AB32FC"/>
    <w:rsid w:val="00AB342A"/>
    <w:rsid w:val="00AB34BE"/>
    <w:rsid w:val="00AB3A2A"/>
    <w:rsid w:val="00AB3AF2"/>
    <w:rsid w:val="00AB3B66"/>
    <w:rsid w:val="00AB3CE2"/>
    <w:rsid w:val="00AB40AA"/>
    <w:rsid w:val="00AB42C5"/>
    <w:rsid w:val="00AB432F"/>
    <w:rsid w:val="00AB43C8"/>
    <w:rsid w:val="00AB4A21"/>
    <w:rsid w:val="00AB4D70"/>
    <w:rsid w:val="00AB4F13"/>
    <w:rsid w:val="00AB5102"/>
    <w:rsid w:val="00AB5297"/>
    <w:rsid w:val="00AB5DB3"/>
    <w:rsid w:val="00AB6126"/>
    <w:rsid w:val="00AB62DA"/>
    <w:rsid w:val="00AB6475"/>
    <w:rsid w:val="00AB668D"/>
    <w:rsid w:val="00AB66AC"/>
    <w:rsid w:val="00AB6A11"/>
    <w:rsid w:val="00AB6A8F"/>
    <w:rsid w:val="00AB6DAD"/>
    <w:rsid w:val="00AB6E3A"/>
    <w:rsid w:val="00AB7619"/>
    <w:rsid w:val="00AB76DC"/>
    <w:rsid w:val="00AB788A"/>
    <w:rsid w:val="00AB79A9"/>
    <w:rsid w:val="00AB7BCF"/>
    <w:rsid w:val="00AB7EE8"/>
    <w:rsid w:val="00AB7F4F"/>
    <w:rsid w:val="00AC0067"/>
    <w:rsid w:val="00AC00AF"/>
    <w:rsid w:val="00AC0223"/>
    <w:rsid w:val="00AC0452"/>
    <w:rsid w:val="00AC05F1"/>
    <w:rsid w:val="00AC0F5B"/>
    <w:rsid w:val="00AC1734"/>
    <w:rsid w:val="00AC1A1C"/>
    <w:rsid w:val="00AC1A6E"/>
    <w:rsid w:val="00AC1AD9"/>
    <w:rsid w:val="00AC1BAB"/>
    <w:rsid w:val="00AC2278"/>
    <w:rsid w:val="00AC22D1"/>
    <w:rsid w:val="00AC2377"/>
    <w:rsid w:val="00AC2850"/>
    <w:rsid w:val="00AC2CD6"/>
    <w:rsid w:val="00AC2DA8"/>
    <w:rsid w:val="00AC2DD5"/>
    <w:rsid w:val="00AC33ED"/>
    <w:rsid w:val="00AC374A"/>
    <w:rsid w:val="00AC3A91"/>
    <w:rsid w:val="00AC3B50"/>
    <w:rsid w:val="00AC3CE0"/>
    <w:rsid w:val="00AC4110"/>
    <w:rsid w:val="00AC433E"/>
    <w:rsid w:val="00AC43F2"/>
    <w:rsid w:val="00AC448F"/>
    <w:rsid w:val="00AC45A2"/>
    <w:rsid w:val="00AC464F"/>
    <w:rsid w:val="00AC4A22"/>
    <w:rsid w:val="00AC4CAB"/>
    <w:rsid w:val="00AC4CD0"/>
    <w:rsid w:val="00AC4FF1"/>
    <w:rsid w:val="00AC50C9"/>
    <w:rsid w:val="00AC5298"/>
    <w:rsid w:val="00AC53FF"/>
    <w:rsid w:val="00AC585E"/>
    <w:rsid w:val="00AC5ED2"/>
    <w:rsid w:val="00AC6673"/>
    <w:rsid w:val="00AC71A6"/>
    <w:rsid w:val="00AC754C"/>
    <w:rsid w:val="00AC76CC"/>
    <w:rsid w:val="00AC775B"/>
    <w:rsid w:val="00AC7C48"/>
    <w:rsid w:val="00AC7DCB"/>
    <w:rsid w:val="00AC7E74"/>
    <w:rsid w:val="00AC7F1C"/>
    <w:rsid w:val="00AC7F1E"/>
    <w:rsid w:val="00AD0080"/>
    <w:rsid w:val="00AD0877"/>
    <w:rsid w:val="00AD08E6"/>
    <w:rsid w:val="00AD0B64"/>
    <w:rsid w:val="00AD0C71"/>
    <w:rsid w:val="00AD0DAA"/>
    <w:rsid w:val="00AD0F43"/>
    <w:rsid w:val="00AD0FE5"/>
    <w:rsid w:val="00AD10E4"/>
    <w:rsid w:val="00AD11CC"/>
    <w:rsid w:val="00AD138C"/>
    <w:rsid w:val="00AD1A36"/>
    <w:rsid w:val="00AD1A4F"/>
    <w:rsid w:val="00AD1B64"/>
    <w:rsid w:val="00AD1CDB"/>
    <w:rsid w:val="00AD1F48"/>
    <w:rsid w:val="00AD203D"/>
    <w:rsid w:val="00AD2228"/>
    <w:rsid w:val="00AD234B"/>
    <w:rsid w:val="00AD238D"/>
    <w:rsid w:val="00AD23A5"/>
    <w:rsid w:val="00AD293B"/>
    <w:rsid w:val="00AD3200"/>
    <w:rsid w:val="00AD32D6"/>
    <w:rsid w:val="00AD38C2"/>
    <w:rsid w:val="00AD3D29"/>
    <w:rsid w:val="00AD3FCA"/>
    <w:rsid w:val="00AD418C"/>
    <w:rsid w:val="00AD4242"/>
    <w:rsid w:val="00AD4855"/>
    <w:rsid w:val="00AD498D"/>
    <w:rsid w:val="00AD4FEA"/>
    <w:rsid w:val="00AD5402"/>
    <w:rsid w:val="00AD5952"/>
    <w:rsid w:val="00AD62F6"/>
    <w:rsid w:val="00AD6538"/>
    <w:rsid w:val="00AD7013"/>
    <w:rsid w:val="00AD713E"/>
    <w:rsid w:val="00AD7257"/>
    <w:rsid w:val="00AD72F8"/>
    <w:rsid w:val="00AD743C"/>
    <w:rsid w:val="00AD7600"/>
    <w:rsid w:val="00AD765A"/>
    <w:rsid w:val="00AD7701"/>
    <w:rsid w:val="00AD7771"/>
    <w:rsid w:val="00AD78FD"/>
    <w:rsid w:val="00AD7ACF"/>
    <w:rsid w:val="00AD7CCA"/>
    <w:rsid w:val="00AD7D26"/>
    <w:rsid w:val="00AD7EE5"/>
    <w:rsid w:val="00AD7FB6"/>
    <w:rsid w:val="00AE0221"/>
    <w:rsid w:val="00AE022A"/>
    <w:rsid w:val="00AE028C"/>
    <w:rsid w:val="00AE031D"/>
    <w:rsid w:val="00AE068A"/>
    <w:rsid w:val="00AE0740"/>
    <w:rsid w:val="00AE0873"/>
    <w:rsid w:val="00AE09D9"/>
    <w:rsid w:val="00AE0BA4"/>
    <w:rsid w:val="00AE0D2A"/>
    <w:rsid w:val="00AE0F5E"/>
    <w:rsid w:val="00AE13C7"/>
    <w:rsid w:val="00AE1533"/>
    <w:rsid w:val="00AE15DA"/>
    <w:rsid w:val="00AE15F8"/>
    <w:rsid w:val="00AE1E7E"/>
    <w:rsid w:val="00AE2264"/>
    <w:rsid w:val="00AE27CD"/>
    <w:rsid w:val="00AE281C"/>
    <w:rsid w:val="00AE296F"/>
    <w:rsid w:val="00AE2D3F"/>
    <w:rsid w:val="00AE3040"/>
    <w:rsid w:val="00AE31DB"/>
    <w:rsid w:val="00AE3656"/>
    <w:rsid w:val="00AE3887"/>
    <w:rsid w:val="00AE388C"/>
    <w:rsid w:val="00AE3D26"/>
    <w:rsid w:val="00AE41B2"/>
    <w:rsid w:val="00AE4204"/>
    <w:rsid w:val="00AE4B48"/>
    <w:rsid w:val="00AE4D12"/>
    <w:rsid w:val="00AE4D86"/>
    <w:rsid w:val="00AE4E87"/>
    <w:rsid w:val="00AE5318"/>
    <w:rsid w:val="00AE5676"/>
    <w:rsid w:val="00AE5760"/>
    <w:rsid w:val="00AE5A0A"/>
    <w:rsid w:val="00AE5DCA"/>
    <w:rsid w:val="00AE61D5"/>
    <w:rsid w:val="00AE628C"/>
    <w:rsid w:val="00AE663F"/>
    <w:rsid w:val="00AE6C2F"/>
    <w:rsid w:val="00AE704C"/>
    <w:rsid w:val="00AE716D"/>
    <w:rsid w:val="00AE7198"/>
    <w:rsid w:val="00AE7631"/>
    <w:rsid w:val="00AE78F7"/>
    <w:rsid w:val="00AE79A2"/>
    <w:rsid w:val="00AE79F5"/>
    <w:rsid w:val="00AE7A3E"/>
    <w:rsid w:val="00AE7A65"/>
    <w:rsid w:val="00AE7B1B"/>
    <w:rsid w:val="00AE7B43"/>
    <w:rsid w:val="00AE7CCE"/>
    <w:rsid w:val="00AE7E66"/>
    <w:rsid w:val="00AF00E5"/>
    <w:rsid w:val="00AF0301"/>
    <w:rsid w:val="00AF0327"/>
    <w:rsid w:val="00AF065A"/>
    <w:rsid w:val="00AF0682"/>
    <w:rsid w:val="00AF098A"/>
    <w:rsid w:val="00AF09E0"/>
    <w:rsid w:val="00AF0ACD"/>
    <w:rsid w:val="00AF0C4A"/>
    <w:rsid w:val="00AF0E3B"/>
    <w:rsid w:val="00AF1376"/>
    <w:rsid w:val="00AF15C2"/>
    <w:rsid w:val="00AF17A3"/>
    <w:rsid w:val="00AF1894"/>
    <w:rsid w:val="00AF1C0F"/>
    <w:rsid w:val="00AF1ED9"/>
    <w:rsid w:val="00AF2200"/>
    <w:rsid w:val="00AF230F"/>
    <w:rsid w:val="00AF25D1"/>
    <w:rsid w:val="00AF296D"/>
    <w:rsid w:val="00AF2A10"/>
    <w:rsid w:val="00AF30C9"/>
    <w:rsid w:val="00AF317C"/>
    <w:rsid w:val="00AF3226"/>
    <w:rsid w:val="00AF32E0"/>
    <w:rsid w:val="00AF3374"/>
    <w:rsid w:val="00AF3395"/>
    <w:rsid w:val="00AF35C3"/>
    <w:rsid w:val="00AF372C"/>
    <w:rsid w:val="00AF3803"/>
    <w:rsid w:val="00AF3B32"/>
    <w:rsid w:val="00AF3E41"/>
    <w:rsid w:val="00AF3E73"/>
    <w:rsid w:val="00AF40AE"/>
    <w:rsid w:val="00AF413F"/>
    <w:rsid w:val="00AF426D"/>
    <w:rsid w:val="00AF4436"/>
    <w:rsid w:val="00AF4717"/>
    <w:rsid w:val="00AF48BA"/>
    <w:rsid w:val="00AF4B29"/>
    <w:rsid w:val="00AF4F11"/>
    <w:rsid w:val="00AF50CE"/>
    <w:rsid w:val="00AF50D2"/>
    <w:rsid w:val="00AF5256"/>
    <w:rsid w:val="00AF5367"/>
    <w:rsid w:val="00AF572E"/>
    <w:rsid w:val="00AF57B4"/>
    <w:rsid w:val="00AF5967"/>
    <w:rsid w:val="00AF59A2"/>
    <w:rsid w:val="00AF5D1D"/>
    <w:rsid w:val="00AF5F35"/>
    <w:rsid w:val="00AF5FC0"/>
    <w:rsid w:val="00AF67E6"/>
    <w:rsid w:val="00AF6B51"/>
    <w:rsid w:val="00AF6DB1"/>
    <w:rsid w:val="00AF6F16"/>
    <w:rsid w:val="00AF714A"/>
    <w:rsid w:val="00AF7163"/>
    <w:rsid w:val="00AF725E"/>
    <w:rsid w:val="00AF7845"/>
    <w:rsid w:val="00AF7BCB"/>
    <w:rsid w:val="00AF7CF6"/>
    <w:rsid w:val="00AF7DA0"/>
    <w:rsid w:val="00B000FD"/>
    <w:rsid w:val="00B00134"/>
    <w:rsid w:val="00B001D8"/>
    <w:rsid w:val="00B0076A"/>
    <w:rsid w:val="00B00802"/>
    <w:rsid w:val="00B00872"/>
    <w:rsid w:val="00B0094B"/>
    <w:rsid w:val="00B009CB"/>
    <w:rsid w:val="00B00DA7"/>
    <w:rsid w:val="00B01592"/>
    <w:rsid w:val="00B015DF"/>
    <w:rsid w:val="00B016F9"/>
    <w:rsid w:val="00B0178B"/>
    <w:rsid w:val="00B01910"/>
    <w:rsid w:val="00B0191F"/>
    <w:rsid w:val="00B01C4F"/>
    <w:rsid w:val="00B01ED5"/>
    <w:rsid w:val="00B021BD"/>
    <w:rsid w:val="00B022A8"/>
    <w:rsid w:val="00B0232C"/>
    <w:rsid w:val="00B02471"/>
    <w:rsid w:val="00B024D3"/>
    <w:rsid w:val="00B02523"/>
    <w:rsid w:val="00B02613"/>
    <w:rsid w:val="00B02795"/>
    <w:rsid w:val="00B027D8"/>
    <w:rsid w:val="00B02835"/>
    <w:rsid w:val="00B02880"/>
    <w:rsid w:val="00B02AD0"/>
    <w:rsid w:val="00B02CAC"/>
    <w:rsid w:val="00B02E3F"/>
    <w:rsid w:val="00B030A7"/>
    <w:rsid w:val="00B035F6"/>
    <w:rsid w:val="00B03870"/>
    <w:rsid w:val="00B03A9D"/>
    <w:rsid w:val="00B03F82"/>
    <w:rsid w:val="00B03FB3"/>
    <w:rsid w:val="00B04153"/>
    <w:rsid w:val="00B0425A"/>
    <w:rsid w:val="00B04428"/>
    <w:rsid w:val="00B04459"/>
    <w:rsid w:val="00B045D3"/>
    <w:rsid w:val="00B04868"/>
    <w:rsid w:val="00B04DE2"/>
    <w:rsid w:val="00B04E83"/>
    <w:rsid w:val="00B04F94"/>
    <w:rsid w:val="00B050FA"/>
    <w:rsid w:val="00B05258"/>
    <w:rsid w:val="00B052D3"/>
    <w:rsid w:val="00B055D9"/>
    <w:rsid w:val="00B05C1F"/>
    <w:rsid w:val="00B05C25"/>
    <w:rsid w:val="00B06030"/>
    <w:rsid w:val="00B0668B"/>
    <w:rsid w:val="00B06780"/>
    <w:rsid w:val="00B06885"/>
    <w:rsid w:val="00B0718F"/>
    <w:rsid w:val="00B072E4"/>
    <w:rsid w:val="00B07686"/>
    <w:rsid w:val="00B076CC"/>
    <w:rsid w:val="00B078A5"/>
    <w:rsid w:val="00B07943"/>
    <w:rsid w:val="00B07A06"/>
    <w:rsid w:val="00B07CCE"/>
    <w:rsid w:val="00B105DF"/>
    <w:rsid w:val="00B10957"/>
    <w:rsid w:val="00B10A82"/>
    <w:rsid w:val="00B10C46"/>
    <w:rsid w:val="00B10D06"/>
    <w:rsid w:val="00B10F13"/>
    <w:rsid w:val="00B11045"/>
    <w:rsid w:val="00B1111C"/>
    <w:rsid w:val="00B11212"/>
    <w:rsid w:val="00B115AA"/>
    <w:rsid w:val="00B115D5"/>
    <w:rsid w:val="00B1173E"/>
    <w:rsid w:val="00B118A0"/>
    <w:rsid w:val="00B11912"/>
    <w:rsid w:val="00B11A34"/>
    <w:rsid w:val="00B11B4B"/>
    <w:rsid w:val="00B11C36"/>
    <w:rsid w:val="00B11D77"/>
    <w:rsid w:val="00B12479"/>
    <w:rsid w:val="00B124AD"/>
    <w:rsid w:val="00B131EC"/>
    <w:rsid w:val="00B13304"/>
    <w:rsid w:val="00B13465"/>
    <w:rsid w:val="00B134AD"/>
    <w:rsid w:val="00B1390B"/>
    <w:rsid w:val="00B13981"/>
    <w:rsid w:val="00B13A95"/>
    <w:rsid w:val="00B13DD9"/>
    <w:rsid w:val="00B13E9D"/>
    <w:rsid w:val="00B140D3"/>
    <w:rsid w:val="00B141FA"/>
    <w:rsid w:val="00B1427A"/>
    <w:rsid w:val="00B149B6"/>
    <w:rsid w:val="00B14C05"/>
    <w:rsid w:val="00B151C7"/>
    <w:rsid w:val="00B1586F"/>
    <w:rsid w:val="00B15976"/>
    <w:rsid w:val="00B15B0D"/>
    <w:rsid w:val="00B15DF1"/>
    <w:rsid w:val="00B164BD"/>
    <w:rsid w:val="00B17123"/>
    <w:rsid w:val="00B174BB"/>
    <w:rsid w:val="00B175B3"/>
    <w:rsid w:val="00B1761F"/>
    <w:rsid w:val="00B17C78"/>
    <w:rsid w:val="00B17DE1"/>
    <w:rsid w:val="00B200C7"/>
    <w:rsid w:val="00B203DD"/>
    <w:rsid w:val="00B204A6"/>
    <w:rsid w:val="00B20779"/>
    <w:rsid w:val="00B2084C"/>
    <w:rsid w:val="00B20914"/>
    <w:rsid w:val="00B20943"/>
    <w:rsid w:val="00B20A9E"/>
    <w:rsid w:val="00B20D27"/>
    <w:rsid w:val="00B20E04"/>
    <w:rsid w:val="00B20EC6"/>
    <w:rsid w:val="00B20F79"/>
    <w:rsid w:val="00B2130B"/>
    <w:rsid w:val="00B21585"/>
    <w:rsid w:val="00B215A2"/>
    <w:rsid w:val="00B21903"/>
    <w:rsid w:val="00B21A83"/>
    <w:rsid w:val="00B21CB1"/>
    <w:rsid w:val="00B21D0A"/>
    <w:rsid w:val="00B21F53"/>
    <w:rsid w:val="00B22112"/>
    <w:rsid w:val="00B22172"/>
    <w:rsid w:val="00B223AC"/>
    <w:rsid w:val="00B22412"/>
    <w:rsid w:val="00B224BB"/>
    <w:rsid w:val="00B228A1"/>
    <w:rsid w:val="00B228BF"/>
    <w:rsid w:val="00B22DAA"/>
    <w:rsid w:val="00B22DBD"/>
    <w:rsid w:val="00B230E2"/>
    <w:rsid w:val="00B23108"/>
    <w:rsid w:val="00B2365B"/>
    <w:rsid w:val="00B23834"/>
    <w:rsid w:val="00B238C4"/>
    <w:rsid w:val="00B23B91"/>
    <w:rsid w:val="00B23FB9"/>
    <w:rsid w:val="00B24034"/>
    <w:rsid w:val="00B243C5"/>
    <w:rsid w:val="00B2445F"/>
    <w:rsid w:val="00B2454C"/>
    <w:rsid w:val="00B2480A"/>
    <w:rsid w:val="00B24AA9"/>
    <w:rsid w:val="00B24AF6"/>
    <w:rsid w:val="00B24EB5"/>
    <w:rsid w:val="00B24F65"/>
    <w:rsid w:val="00B251AC"/>
    <w:rsid w:val="00B252D8"/>
    <w:rsid w:val="00B25A52"/>
    <w:rsid w:val="00B25B93"/>
    <w:rsid w:val="00B25CEC"/>
    <w:rsid w:val="00B25CF2"/>
    <w:rsid w:val="00B26C9E"/>
    <w:rsid w:val="00B27117"/>
    <w:rsid w:val="00B2731F"/>
    <w:rsid w:val="00B27488"/>
    <w:rsid w:val="00B27FAB"/>
    <w:rsid w:val="00B30546"/>
    <w:rsid w:val="00B3071A"/>
    <w:rsid w:val="00B3085E"/>
    <w:rsid w:val="00B309D4"/>
    <w:rsid w:val="00B30BCE"/>
    <w:rsid w:val="00B316AC"/>
    <w:rsid w:val="00B316D1"/>
    <w:rsid w:val="00B31A20"/>
    <w:rsid w:val="00B31B80"/>
    <w:rsid w:val="00B31C0E"/>
    <w:rsid w:val="00B31DB2"/>
    <w:rsid w:val="00B31E59"/>
    <w:rsid w:val="00B31F05"/>
    <w:rsid w:val="00B31F2C"/>
    <w:rsid w:val="00B320CD"/>
    <w:rsid w:val="00B3245C"/>
    <w:rsid w:val="00B3298B"/>
    <w:rsid w:val="00B32B2D"/>
    <w:rsid w:val="00B333F0"/>
    <w:rsid w:val="00B33406"/>
    <w:rsid w:val="00B33596"/>
    <w:rsid w:val="00B33AE9"/>
    <w:rsid w:val="00B33C8A"/>
    <w:rsid w:val="00B33E0F"/>
    <w:rsid w:val="00B33F69"/>
    <w:rsid w:val="00B34185"/>
    <w:rsid w:val="00B34201"/>
    <w:rsid w:val="00B34293"/>
    <w:rsid w:val="00B3441F"/>
    <w:rsid w:val="00B346DD"/>
    <w:rsid w:val="00B349B4"/>
    <w:rsid w:val="00B34ADA"/>
    <w:rsid w:val="00B350BB"/>
    <w:rsid w:val="00B353A7"/>
    <w:rsid w:val="00B3565F"/>
    <w:rsid w:val="00B35BFE"/>
    <w:rsid w:val="00B35D22"/>
    <w:rsid w:val="00B3625D"/>
    <w:rsid w:val="00B3653F"/>
    <w:rsid w:val="00B36656"/>
    <w:rsid w:val="00B36875"/>
    <w:rsid w:val="00B36977"/>
    <w:rsid w:val="00B3699C"/>
    <w:rsid w:val="00B36D1E"/>
    <w:rsid w:val="00B36D50"/>
    <w:rsid w:val="00B370AF"/>
    <w:rsid w:val="00B37396"/>
    <w:rsid w:val="00B37542"/>
    <w:rsid w:val="00B37793"/>
    <w:rsid w:val="00B37C97"/>
    <w:rsid w:val="00B37E09"/>
    <w:rsid w:val="00B37F75"/>
    <w:rsid w:val="00B4013B"/>
    <w:rsid w:val="00B40334"/>
    <w:rsid w:val="00B406EB"/>
    <w:rsid w:val="00B40717"/>
    <w:rsid w:val="00B40796"/>
    <w:rsid w:val="00B408CF"/>
    <w:rsid w:val="00B40B48"/>
    <w:rsid w:val="00B40DBF"/>
    <w:rsid w:val="00B40E62"/>
    <w:rsid w:val="00B40EF9"/>
    <w:rsid w:val="00B40FF2"/>
    <w:rsid w:val="00B41076"/>
    <w:rsid w:val="00B410C9"/>
    <w:rsid w:val="00B410CE"/>
    <w:rsid w:val="00B41473"/>
    <w:rsid w:val="00B41873"/>
    <w:rsid w:val="00B41CB5"/>
    <w:rsid w:val="00B424CC"/>
    <w:rsid w:val="00B4267E"/>
    <w:rsid w:val="00B427D7"/>
    <w:rsid w:val="00B427FF"/>
    <w:rsid w:val="00B42861"/>
    <w:rsid w:val="00B42A29"/>
    <w:rsid w:val="00B4304D"/>
    <w:rsid w:val="00B43434"/>
    <w:rsid w:val="00B43707"/>
    <w:rsid w:val="00B43F14"/>
    <w:rsid w:val="00B440FF"/>
    <w:rsid w:val="00B441B4"/>
    <w:rsid w:val="00B4424C"/>
    <w:rsid w:val="00B445FD"/>
    <w:rsid w:val="00B44606"/>
    <w:rsid w:val="00B4494D"/>
    <w:rsid w:val="00B455B6"/>
    <w:rsid w:val="00B45925"/>
    <w:rsid w:val="00B45988"/>
    <w:rsid w:val="00B459DC"/>
    <w:rsid w:val="00B45A93"/>
    <w:rsid w:val="00B45D56"/>
    <w:rsid w:val="00B45F9C"/>
    <w:rsid w:val="00B4604D"/>
    <w:rsid w:val="00B460C1"/>
    <w:rsid w:val="00B4640B"/>
    <w:rsid w:val="00B4682F"/>
    <w:rsid w:val="00B46D3B"/>
    <w:rsid w:val="00B46F39"/>
    <w:rsid w:val="00B470CB"/>
    <w:rsid w:val="00B4715B"/>
    <w:rsid w:val="00B476FF"/>
    <w:rsid w:val="00B479B6"/>
    <w:rsid w:val="00B47A36"/>
    <w:rsid w:val="00B47D46"/>
    <w:rsid w:val="00B47DDA"/>
    <w:rsid w:val="00B47E23"/>
    <w:rsid w:val="00B502CC"/>
    <w:rsid w:val="00B503FA"/>
    <w:rsid w:val="00B51034"/>
    <w:rsid w:val="00B5135A"/>
    <w:rsid w:val="00B517B7"/>
    <w:rsid w:val="00B517BF"/>
    <w:rsid w:val="00B517C6"/>
    <w:rsid w:val="00B5180B"/>
    <w:rsid w:val="00B51A3A"/>
    <w:rsid w:val="00B51A88"/>
    <w:rsid w:val="00B51E77"/>
    <w:rsid w:val="00B52008"/>
    <w:rsid w:val="00B520E3"/>
    <w:rsid w:val="00B52248"/>
    <w:rsid w:val="00B522BD"/>
    <w:rsid w:val="00B5258F"/>
    <w:rsid w:val="00B528CC"/>
    <w:rsid w:val="00B52C4A"/>
    <w:rsid w:val="00B52FE4"/>
    <w:rsid w:val="00B531C7"/>
    <w:rsid w:val="00B53442"/>
    <w:rsid w:val="00B53445"/>
    <w:rsid w:val="00B5348B"/>
    <w:rsid w:val="00B5352E"/>
    <w:rsid w:val="00B536C8"/>
    <w:rsid w:val="00B538F0"/>
    <w:rsid w:val="00B53C2E"/>
    <w:rsid w:val="00B53CF1"/>
    <w:rsid w:val="00B53D3C"/>
    <w:rsid w:val="00B53DA4"/>
    <w:rsid w:val="00B53EE4"/>
    <w:rsid w:val="00B547DA"/>
    <w:rsid w:val="00B54AEC"/>
    <w:rsid w:val="00B54FC9"/>
    <w:rsid w:val="00B5502A"/>
    <w:rsid w:val="00B55645"/>
    <w:rsid w:val="00B5564C"/>
    <w:rsid w:val="00B557B0"/>
    <w:rsid w:val="00B55BEA"/>
    <w:rsid w:val="00B55DC1"/>
    <w:rsid w:val="00B55FBC"/>
    <w:rsid w:val="00B5664B"/>
    <w:rsid w:val="00B566FB"/>
    <w:rsid w:val="00B5689C"/>
    <w:rsid w:val="00B56A9A"/>
    <w:rsid w:val="00B56BF2"/>
    <w:rsid w:val="00B56C20"/>
    <w:rsid w:val="00B56FAF"/>
    <w:rsid w:val="00B5718C"/>
    <w:rsid w:val="00B57297"/>
    <w:rsid w:val="00B57756"/>
    <w:rsid w:val="00B579C3"/>
    <w:rsid w:val="00B579F3"/>
    <w:rsid w:val="00B57A03"/>
    <w:rsid w:val="00B57D5E"/>
    <w:rsid w:val="00B57D91"/>
    <w:rsid w:val="00B57EC7"/>
    <w:rsid w:val="00B57F4D"/>
    <w:rsid w:val="00B60151"/>
    <w:rsid w:val="00B60153"/>
    <w:rsid w:val="00B60371"/>
    <w:rsid w:val="00B60817"/>
    <w:rsid w:val="00B60ED2"/>
    <w:rsid w:val="00B611A4"/>
    <w:rsid w:val="00B615C1"/>
    <w:rsid w:val="00B618A5"/>
    <w:rsid w:val="00B618BE"/>
    <w:rsid w:val="00B61BAF"/>
    <w:rsid w:val="00B61BD1"/>
    <w:rsid w:val="00B624EE"/>
    <w:rsid w:val="00B625CB"/>
    <w:rsid w:val="00B625E3"/>
    <w:rsid w:val="00B62889"/>
    <w:rsid w:val="00B629C4"/>
    <w:rsid w:val="00B62F40"/>
    <w:rsid w:val="00B6316A"/>
    <w:rsid w:val="00B631F2"/>
    <w:rsid w:val="00B63533"/>
    <w:rsid w:val="00B637BD"/>
    <w:rsid w:val="00B638CD"/>
    <w:rsid w:val="00B6395C"/>
    <w:rsid w:val="00B63BFE"/>
    <w:rsid w:val="00B63DF4"/>
    <w:rsid w:val="00B64020"/>
    <w:rsid w:val="00B6424E"/>
    <w:rsid w:val="00B6437F"/>
    <w:rsid w:val="00B64545"/>
    <w:rsid w:val="00B64864"/>
    <w:rsid w:val="00B64B84"/>
    <w:rsid w:val="00B64BC0"/>
    <w:rsid w:val="00B650D4"/>
    <w:rsid w:val="00B65145"/>
    <w:rsid w:val="00B65315"/>
    <w:rsid w:val="00B653CC"/>
    <w:rsid w:val="00B658F0"/>
    <w:rsid w:val="00B65921"/>
    <w:rsid w:val="00B659D5"/>
    <w:rsid w:val="00B65EC0"/>
    <w:rsid w:val="00B65F3F"/>
    <w:rsid w:val="00B66A28"/>
    <w:rsid w:val="00B66A91"/>
    <w:rsid w:val="00B66B2F"/>
    <w:rsid w:val="00B66B45"/>
    <w:rsid w:val="00B66FE2"/>
    <w:rsid w:val="00B671B9"/>
    <w:rsid w:val="00B6781F"/>
    <w:rsid w:val="00B67BED"/>
    <w:rsid w:val="00B7000F"/>
    <w:rsid w:val="00B705D2"/>
    <w:rsid w:val="00B70640"/>
    <w:rsid w:val="00B70CC1"/>
    <w:rsid w:val="00B70EB0"/>
    <w:rsid w:val="00B711F6"/>
    <w:rsid w:val="00B713BE"/>
    <w:rsid w:val="00B7161C"/>
    <w:rsid w:val="00B717D8"/>
    <w:rsid w:val="00B71B21"/>
    <w:rsid w:val="00B71DCA"/>
    <w:rsid w:val="00B726A0"/>
    <w:rsid w:val="00B72811"/>
    <w:rsid w:val="00B728F5"/>
    <w:rsid w:val="00B7297B"/>
    <w:rsid w:val="00B72B1A"/>
    <w:rsid w:val="00B72B7D"/>
    <w:rsid w:val="00B73465"/>
    <w:rsid w:val="00B73604"/>
    <w:rsid w:val="00B7377A"/>
    <w:rsid w:val="00B73E0B"/>
    <w:rsid w:val="00B742B3"/>
    <w:rsid w:val="00B7467D"/>
    <w:rsid w:val="00B747CB"/>
    <w:rsid w:val="00B74BAB"/>
    <w:rsid w:val="00B74DDD"/>
    <w:rsid w:val="00B755D7"/>
    <w:rsid w:val="00B75A03"/>
    <w:rsid w:val="00B75C87"/>
    <w:rsid w:val="00B75C96"/>
    <w:rsid w:val="00B760BD"/>
    <w:rsid w:val="00B760CC"/>
    <w:rsid w:val="00B76151"/>
    <w:rsid w:val="00B76722"/>
    <w:rsid w:val="00B76B3C"/>
    <w:rsid w:val="00B77178"/>
    <w:rsid w:val="00B7776A"/>
    <w:rsid w:val="00B779BE"/>
    <w:rsid w:val="00B77F4F"/>
    <w:rsid w:val="00B77FCB"/>
    <w:rsid w:val="00B8062A"/>
    <w:rsid w:val="00B8082C"/>
    <w:rsid w:val="00B8098C"/>
    <w:rsid w:val="00B80B7F"/>
    <w:rsid w:val="00B80D3B"/>
    <w:rsid w:val="00B80DC7"/>
    <w:rsid w:val="00B810EA"/>
    <w:rsid w:val="00B8116E"/>
    <w:rsid w:val="00B8127F"/>
    <w:rsid w:val="00B81402"/>
    <w:rsid w:val="00B81871"/>
    <w:rsid w:val="00B81F63"/>
    <w:rsid w:val="00B821F6"/>
    <w:rsid w:val="00B8222F"/>
    <w:rsid w:val="00B823F3"/>
    <w:rsid w:val="00B82403"/>
    <w:rsid w:val="00B8253D"/>
    <w:rsid w:val="00B828E8"/>
    <w:rsid w:val="00B83253"/>
    <w:rsid w:val="00B83319"/>
    <w:rsid w:val="00B836DF"/>
    <w:rsid w:val="00B83997"/>
    <w:rsid w:val="00B83A43"/>
    <w:rsid w:val="00B83F57"/>
    <w:rsid w:val="00B840AA"/>
    <w:rsid w:val="00B84E0F"/>
    <w:rsid w:val="00B85072"/>
    <w:rsid w:val="00B85261"/>
    <w:rsid w:val="00B859AD"/>
    <w:rsid w:val="00B85A2E"/>
    <w:rsid w:val="00B85BD4"/>
    <w:rsid w:val="00B85C48"/>
    <w:rsid w:val="00B85C67"/>
    <w:rsid w:val="00B86094"/>
    <w:rsid w:val="00B8624D"/>
    <w:rsid w:val="00B86334"/>
    <w:rsid w:val="00B863DC"/>
    <w:rsid w:val="00B86435"/>
    <w:rsid w:val="00B8646C"/>
    <w:rsid w:val="00B866B1"/>
    <w:rsid w:val="00B86D96"/>
    <w:rsid w:val="00B86EFB"/>
    <w:rsid w:val="00B86F92"/>
    <w:rsid w:val="00B875B9"/>
    <w:rsid w:val="00B8773C"/>
    <w:rsid w:val="00B87847"/>
    <w:rsid w:val="00B87AFD"/>
    <w:rsid w:val="00B87B05"/>
    <w:rsid w:val="00B9035C"/>
    <w:rsid w:val="00B9036A"/>
    <w:rsid w:val="00B90723"/>
    <w:rsid w:val="00B90A2C"/>
    <w:rsid w:val="00B90A58"/>
    <w:rsid w:val="00B90E92"/>
    <w:rsid w:val="00B90FAE"/>
    <w:rsid w:val="00B913FC"/>
    <w:rsid w:val="00B91744"/>
    <w:rsid w:val="00B917E9"/>
    <w:rsid w:val="00B91850"/>
    <w:rsid w:val="00B918E1"/>
    <w:rsid w:val="00B91971"/>
    <w:rsid w:val="00B91B17"/>
    <w:rsid w:val="00B91EFC"/>
    <w:rsid w:val="00B92130"/>
    <w:rsid w:val="00B923D9"/>
    <w:rsid w:val="00B929EC"/>
    <w:rsid w:val="00B92CDA"/>
    <w:rsid w:val="00B93511"/>
    <w:rsid w:val="00B93AD1"/>
    <w:rsid w:val="00B93E7D"/>
    <w:rsid w:val="00B94053"/>
    <w:rsid w:val="00B941FE"/>
    <w:rsid w:val="00B94581"/>
    <w:rsid w:val="00B947EA"/>
    <w:rsid w:val="00B94BB3"/>
    <w:rsid w:val="00B94BF0"/>
    <w:rsid w:val="00B94F47"/>
    <w:rsid w:val="00B94FBA"/>
    <w:rsid w:val="00B95161"/>
    <w:rsid w:val="00B9527C"/>
    <w:rsid w:val="00B9556E"/>
    <w:rsid w:val="00B95A6E"/>
    <w:rsid w:val="00B95C4D"/>
    <w:rsid w:val="00B95D2D"/>
    <w:rsid w:val="00B95E87"/>
    <w:rsid w:val="00B96175"/>
    <w:rsid w:val="00B96705"/>
    <w:rsid w:val="00B96822"/>
    <w:rsid w:val="00B96B33"/>
    <w:rsid w:val="00B96BD6"/>
    <w:rsid w:val="00B96DB8"/>
    <w:rsid w:val="00B96E33"/>
    <w:rsid w:val="00B96FA0"/>
    <w:rsid w:val="00B97017"/>
    <w:rsid w:val="00B97036"/>
    <w:rsid w:val="00B9740C"/>
    <w:rsid w:val="00B975CB"/>
    <w:rsid w:val="00B976E0"/>
    <w:rsid w:val="00BA0AED"/>
    <w:rsid w:val="00BA0CA8"/>
    <w:rsid w:val="00BA0D78"/>
    <w:rsid w:val="00BA0E01"/>
    <w:rsid w:val="00BA0F7A"/>
    <w:rsid w:val="00BA10F4"/>
    <w:rsid w:val="00BA14FE"/>
    <w:rsid w:val="00BA1601"/>
    <w:rsid w:val="00BA16C2"/>
    <w:rsid w:val="00BA180D"/>
    <w:rsid w:val="00BA1847"/>
    <w:rsid w:val="00BA18A2"/>
    <w:rsid w:val="00BA2056"/>
    <w:rsid w:val="00BA20F6"/>
    <w:rsid w:val="00BA2133"/>
    <w:rsid w:val="00BA246D"/>
    <w:rsid w:val="00BA24B0"/>
    <w:rsid w:val="00BA25F2"/>
    <w:rsid w:val="00BA26D7"/>
    <w:rsid w:val="00BA279D"/>
    <w:rsid w:val="00BA2A66"/>
    <w:rsid w:val="00BA2C1A"/>
    <w:rsid w:val="00BA2C52"/>
    <w:rsid w:val="00BA2CA6"/>
    <w:rsid w:val="00BA2DD9"/>
    <w:rsid w:val="00BA2E23"/>
    <w:rsid w:val="00BA2E41"/>
    <w:rsid w:val="00BA32E6"/>
    <w:rsid w:val="00BA3BBB"/>
    <w:rsid w:val="00BA3D6C"/>
    <w:rsid w:val="00BA3F3E"/>
    <w:rsid w:val="00BA40A5"/>
    <w:rsid w:val="00BA418E"/>
    <w:rsid w:val="00BA4192"/>
    <w:rsid w:val="00BA4280"/>
    <w:rsid w:val="00BA46DE"/>
    <w:rsid w:val="00BA4A69"/>
    <w:rsid w:val="00BA4AA8"/>
    <w:rsid w:val="00BA4B22"/>
    <w:rsid w:val="00BA4B2F"/>
    <w:rsid w:val="00BA4C98"/>
    <w:rsid w:val="00BA5454"/>
    <w:rsid w:val="00BA591A"/>
    <w:rsid w:val="00BA5E0D"/>
    <w:rsid w:val="00BA5F4D"/>
    <w:rsid w:val="00BA637F"/>
    <w:rsid w:val="00BA63DB"/>
    <w:rsid w:val="00BA6576"/>
    <w:rsid w:val="00BA65F0"/>
    <w:rsid w:val="00BA6904"/>
    <w:rsid w:val="00BA6BB3"/>
    <w:rsid w:val="00BA6E21"/>
    <w:rsid w:val="00BA754A"/>
    <w:rsid w:val="00BA783B"/>
    <w:rsid w:val="00BA7869"/>
    <w:rsid w:val="00BA7B04"/>
    <w:rsid w:val="00BA7BAF"/>
    <w:rsid w:val="00BA7CE6"/>
    <w:rsid w:val="00BA7E8C"/>
    <w:rsid w:val="00BB0015"/>
    <w:rsid w:val="00BB03A6"/>
    <w:rsid w:val="00BB04C7"/>
    <w:rsid w:val="00BB065B"/>
    <w:rsid w:val="00BB0712"/>
    <w:rsid w:val="00BB0B7E"/>
    <w:rsid w:val="00BB0B81"/>
    <w:rsid w:val="00BB0E30"/>
    <w:rsid w:val="00BB0FAF"/>
    <w:rsid w:val="00BB1345"/>
    <w:rsid w:val="00BB17BA"/>
    <w:rsid w:val="00BB1833"/>
    <w:rsid w:val="00BB1CB4"/>
    <w:rsid w:val="00BB1D7E"/>
    <w:rsid w:val="00BB2087"/>
    <w:rsid w:val="00BB2199"/>
    <w:rsid w:val="00BB21B8"/>
    <w:rsid w:val="00BB21E9"/>
    <w:rsid w:val="00BB21F4"/>
    <w:rsid w:val="00BB2336"/>
    <w:rsid w:val="00BB2482"/>
    <w:rsid w:val="00BB256E"/>
    <w:rsid w:val="00BB258C"/>
    <w:rsid w:val="00BB2632"/>
    <w:rsid w:val="00BB2A15"/>
    <w:rsid w:val="00BB2A5C"/>
    <w:rsid w:val="00BB2EE7"/>
    <w:rsid w:val="00BB3031"/>
    <w:rsid w:val="00BB3274"/>
    <w:rsid w:val="00BB3610"/>
    <w:rsid w:val="00BB377E"/>
    <w:rsid w:val="00BB3854"/>
    <w:rsid w:val="00BB3EA0"/>
    <w:rsid w:val="00BB44BE"/>
    <w:rsid w:val="00BB4C17"/>
    <w:rsid w:val="00BB4CE7"/>
    <w:rsid w:val="00BB4F5D"/>
    <w:rsid w:val="00BB4FE7"/>
    <w:rsid w:val="00BB5186"/>
    <w:rsid w:val="00BB51F9"/>
    <w:rsid w:val="00BB52E1"/>
    <w:rsid w:val="00BB54B3"/>
    <w:rsid w:val="00BB57EC"/>
    <w:rsid w:val="00BB5AEE"/>
    <w:rsid w:val="00BB5DBF"/>
    <w:rsid w:val="00BB612F"/>
    <w:rsid w:val="00BB6336"/>
    <w:rsid w:val="00BB7007"/>
    <w:rsid w:val="00BB73F7"/>
    <w:rsid w:val="00BB75C4"/>
    <w:rsid w:val="00BB76B8"/>
    <w:rsid w:val="00BB7B40"/>
    <w:rsid w:val="00BB7BDD"/>
    <w:rsid w:val="00BB7D45"/>
    <w:rsid w:val="00BC0124"/>
    <w:rsid w:val="00BC01FC"/>
    <w:rsid w:val="00BC0217"/>
    <w:rsid w:val="00BC0445"/>
    <w:rsid w:val="00BC08B1"/>
    <w:rsid w:val="00BC0A25"/>
    <w:rsid w:val="00BC0AF8"/>
    <w:rsid w:val="00BC0E52"/>
    <w:rsid w:val="00BC0F58"/>
    <w:rsid w:val="00BC0FF0"/>
    <w:rsid w:val="00BC1032"/>
    <w:rsid w:val="00BC10A6"/>
    <w:rsid w:val="00BC1148"/>
    <w:rsid w:val="00BC169E"/>
    <w:rsid w:val="00BC1733"/>
    <w:rsid w:val="00BC17DE"/>
    <w:rsid w:val="00BC182B"/>
    <w:rsid w:val="00BC1BEB"/>
    <w:rsid w:val="00BC1D88"/>
    <w:rsid w:val="00BC22C6"/>
    <w:rsid w:val="00BC235B"/>
    <w:rsid w:val="00BC24C5"/>
    <w:rsid w:val="00BC2C3E"/>
    <w:rsid w:val="00BC2E8B"/>
    <w:rsid w:val="00BC3165"/>
    <w:rsid w:val="00BC38F6"/>
    <w:rsid w:val="00BC3AA7"/>
    <w:rsid w:val="00BC3B5B"/>
    <w:rsid w:val="00BC3C81"/>
    <w:rsid w:val="00BC3DDB"/>
    <w:rsid w:val="00BC4146"/>
    <w:rsid w:val="00BC41FB"/>
    <w:rsid w:val="00BC4363"/>
    <w:rsid w:val="00BC4371"/>
    <w:rsid w:val="00BC465C"/>
    <w:rsid w:val="00BC46EC"/>
    <w:rsid w:val="00BC4714"/>
    <w:rsid w:val="00BC49E2"/>
    <w:rsid w:val="00BC4CB3"/>
    <w:rsid w:val="00BC4F2B"/>
    <w:rsid w:val="00BC4F6B"/>
    <w:rsid w:val="00BC503C"/>
    <w:rsid w:val="00BC505A"/>
    <w:rsid w:val="00BC554D"/>
    <w:rsid w:val="00BC5603"/>
    <w:rsid w:val="00BC5756"/>
    <w:rsid w:val="00BC5B47"/>
    <w:rsid w:val="00BC5CD4"/>
    <w:rsid w:val="00BC5D35"/>
    <w:rsid w:val="00BC5EA8"/>
    <w:rsid w:val="00BC5ED8"/>
    <w:rsid w:val="00BC5F03"/>
    <w:rsid w:val="00BC5FF3"/>
    <w:rsid w:val="00BC606C"/>
    <w:rsid w:val="00BC680E"/>
    <w:rsid w:val="00BC6BFD"/>
    <w:rsid w:val="00BC6CDC"/>
    <w:rsid w:val="00BC7000"/>
    <w:rsid w:val="00BC710D"/>
    <w:rsid w:val="00BC740C"/>
    <w:rsid w:val="00BC7422"/>
    <w:rsid w:val="00BC78EF"/>
    <w:rsid w:val="00BC7A42"/>
    <w:rsid w:val="00BC7B28"/>
    <w:rsid w:val="00BC7E36"/>
    <w:rsid w:val="00BC7F46"/>
    <w:rsid w:val="00BC7FAC"/>
    <w:rsid w:val="00BD01D7"/>
    <w:rsid w:val="00BD02D9"/>
    <w:rsid w:val="00BD066B"/>
    <w:rsid w:val="00BD06C9"/>
    <w:rsid w:val="00BD0D21"/>
    <w:rsid w:val="00BD109B"/>
    <w:rsid w:val="00BD13F0"/>
    <w:rsid w:val="00BD169C"/>
    <w:rsid w:val="00BD1939"/>
    <w:rsid w:val="00BD1A45"/>
    <w:rsid w:val="00BD1C50"/>
    <w:rsid w:val="00BD25E5"/>
    <w:rsid w:val="00BD26A2"/>
    <w:rsid w:val="00BD280B"/>
    <w:rsid w:val="00BD2B1A"/>
    <w:rsid w:val="00BD2DFA"/>
    <w:rsid w:val="00BD2E1C"/>
    <w:rsid w:val="00BD304C"/>
    <w:rsid w:val="00BD30BE"/>
    <w:rsid w:val="00BD30F9"/>
    <w:rsid w:val="00BD318A"/>
    <w:rsid w:val="00BD339F"/>
    <w:rsid w:val="00BD3512"/>
    <w:rsid w:val="00BD35A9"/>
    <w:rsid w:val="00BD3C4D"/>
    <w:rsid w:val="00BD4092"/>
    <w:rsid w:val="00BD422F"/>
    <w:rsid w:val="00BD4412"/>
    <w:rsid w:val="00BD4719"/>
    <w:rsid w:val="00BD48D8"/>
    <w:rsid w:val="00BD48FC"/>
    <w:rsid w:val="00BD4957"/>
    <w:rsid w:val="00BD4BFD"/>
    <w:rsid w:val="00BD4D34"/>
    <w:rsid w:val="00BD4F55"/>
    <w:rsid w:val="00BD5389"/>
    <w:rsid w:val="00BD554D"/>
    <w:rsid w:val="00BD5D12"/>
    <w:rsid w:val="00BD6348"/>
    <w:rsid w:val="00BD635E"/>
    <w:rsid w:val="00BD6482"/>
    <w:rsid w:val="00BD64D1"/>
    <w:rsid w:val="00BD6687"/>
    <w:rsid w:val="00BD6B46"/>
    <w:rsid w:val="00BD6E00"/>
    <w:rsid w:val="00BD70F7"/>
    <w:rsid w:val="00BD7172"/>
    <w:rsid w:val="00BD7304"/>
    <w:rsid w:val="00BD7344"/>
    <w:rsid w:val="00BD745E"/>
    <w:rsid w:val="00BD75E8"/>
    <w:rsid w:val="00BD76C8"/>
    <w:rsid w:val="00BD7720"/>
    <w:rsid w:val="00BD782D"/>
    <w:rsid w:val="00BD7A7D"/>
    <w:rsid w:val="00BD7B6B"/>
    <w:rsid w:val="00BD7BE9"/>
    <w:rsid w:val="00BE0114"/>
    <w:rsid w:val="00BE03CA"/>
    <w:rsid w:val="00BE0B62"/>
    <w:rsid w:val="00BE0C3F"/>
    <w:rsid w:val="00BE0C96"/>
    <w:rsid w:val="00BE0F5E"/>
    <w:rsid w:val="00BE0F95"/>
    <w:rsid w:val="00BE1283"/>
    <w:rsid w:val="00BE139F"/>
    <w:rsid w:val="00BE149D"/>
    <w:rsid w:val="00BE1731"/>
    <w:rsid w:val="00BE1809"/>
    <w:rsid w:val="00BE1BF4"/>
    <w:rsid w:val="00BE1FA1"/>
    <w:rsid w:val="00BE21FD"/>
    <w:rsid w:val="00BE228E"/>
    <w:rsid w:val="00BE287D"/>
    <w:rsid w:val="00BE2901"/>
    <w:rsid w:val="00BE2F2D"/>
    <w:rsid w:val="00BE3259"/>
    <w:rsid w:val="00BE35B8"/>
    <w:rsid w:val="00BE3707"/>
    <w:rsid w:val="00BE3B0D"/>
    <w:rsid w:val="00BE49D8"/>
    <w:rsid w:val="00BE5112"/>
    <w:rsid w:val="00BE511F"/>
    <w:rsid w:val="00BE5DF5"/>
    <w:rsid w:val="00BE62F8"/>
    <w:rsid w:val="00BE67C7"/>
    <w:rsid w:val="00BE6BB3"/>
    <w:rsid w:val="00BE6E54"/>
    <w:rsid w:val="00BE759E"/>
    <w:rsid w:val="00BE765E"/>
    <w:rsid w:val="00BE768D"/>
    <w:rsid w:val="00BE77EE"/>
    <w:rsid w:val="00BE7B35"/>
    <w:rsid w:val="00BE7D34"/>
    <w:rsid w:val="00BF01D9"/>
    <w:rsid w:val="00BF04E5"/>
    <w:rsid w:val="00BF0555"/>
    <w:rsid w:val="00BF065C"/>
    <w:rsid w:val="00BF07A7"/>
    <w:rsid w:val="00BF0B08"/>
    <w:rsid w:val="00BF0CAC"/>
    <w:rsid w:val="00BF0F27"/>
    <w:rsid w:val="00BF13E6"/>
    <w:rsid w:val="00BF155C"/>
    <w:rsid w:val="00BF15B1"/>
    <w:rsid w:val="00BF15C8"/>
    <w:rsid w:val="00BF1957"/>
    <w:rsid w:val="00BF19B2"/>
    <w:rsid w:val="00BF1A66"/>
    <w:rsid w:val="00BF1DC7"/>
    <w:rsid w:val="00BF234F"/>
    <w:rsid w:val="00BF2666"/>
    <w:rsid w:val="00BF2947"/>
    <w:rsid w:val="00BF29CD"/>
    <w:rsid w:val="00BF2BC1"/>
    <w:rsid w:val="00BF2E2B"/>
    <w:rsid w:val="00BF322F"/>
    <w:rsid w:val="00BF33EC"/>
    <w:rsid w:val="00BF352E"/>
    <w:rsid w:val="00BF3D63"/>
    <w:rsid w:val="00BF3EA3"/>
    <w:rsid w:val="00BF41B7"/>
    <w:rsid w:val="00BF4292"/>
    <w:rsid w:val="00BF4565"/>
    <w:rsid w:val="00BF4584"/>
    <w:rsid w:val="00BF466C"/>
    <w:rsid w:val="00BF4875"/>
    <w:rsid w:val="00BF491C"/>
    <w:rsid w:val="00BF4B5E"/>
    <w:rsid w:val="00BF4EE0"/>
    <w:rsid w:val="00BF50EF"/>
    <w:rsid w:val="00BF52AE"/>
    <w:rsid w:val="00BF55D2"/>
    <w:rsid w:val="00BF569B"/>
    <w:rsid w:val="00BF5826"/>
    <w:rsid w:val="00BF5914"/>
    <w:rsid w:val="00BF5985"/>
    <w:rsid w:val="00BF59F0"/>
    <w:rsid w:val="00BF5AB5"/>
    <w:rsid w:val="00BF5B29"/>
    <w:rsid w:val="00BF5B85"/>
    <w:rsid w:val="00BF5F83"/>
    <w:rsid w:val="00BF63EA"/>
    <w:rsid w:val="00BF6454"/>
    <w:rsid w:val="00BF6605"/>
    <w:rsid w:val="00BF6640"/>
    <w:rsid w:val="00BF6654"/>
    <w:rsid w:val="00BF6933"/>
    <w:rsid w:val="00BF6BB0"/>
    <w:rsid w:val="00BF6F00"/>
    <w:rsid w:val="00BF70CA"/>
    <w:rsid w:val="00BF74E6"/>
    <w:rsid w:val="00BF780F"/>
    <w:rsid w:val="00BF7CAA"/>
    <w:rsid w:val="00BF7E2C"/>
    <w:rsid w:val="00C00001"/>
    <w:rsid w:val="00C002F3"/>
    <w:rsid w:val="00C003D5"/>
    <w:rsid w:val="00C008A5"/>
    <w:rsid w:val="00C008FB"/>
    <w:rsid w:val="00C00B2A"/>
    <w:rsid w:val="00C00BED"/>
    <w:rsid w:val="00C00C10"/>
    <w:rsid w:val="00C010B5"/>
    <w:rsid w:val="00C01A71"/>
    <w:rsid w:val="00C01D0E"/>
    <w:rsid w:val="00C01DB7"/>
    <w:rsid w:val="00C01F2F"/>
    <w:rsid w:val="00C02003"/>
    <w:rsid w:val="00C023C5"/>
    <w:rsid w:val="00C023F1"/>
    <w:rsid w:val="00C024B4"/>
    <w:rsid w:val="00C0277D"/>
    <w:rsid w:val="00C02D8A"/>
    <w:rsid w:val="00C02FF4"/>
    <w:rsid w:val="00C02FF6"/>
    <w:rsid w:val="00C03055"/>
    <w:rsid w:val="00C031C6"/>
    <w:rsid w:val="00C03297"/>
    <w:rsid w:val="00C0357A"/>
    <w:rsid w:val="00C03679"/>
    <w:rsid w:val="00C03AAD"/>
    <w:rsid w:val="00C03D4F"/>
    <w:rsid w:val="00C0403B"/>
    <w:rsid w:val="00C04261"/>
    <w:rsid w:val="00C045C8"/>
    <w:rsid w:val="00C046E4"/>
    <w:rsid w:val="00C046EA"/>
    <w:rsid w:val="00C048E7"/>
    <w:rsid w:val="00C053A3"/>
    <w:rsid w:val="00C05A4B"/>
    <w:rsid w:val="00C05AB6"/>
    <w:rsid w:val="00C05E2D"/>
    <w:rsid w:val="00C05FC5"/>
    <w:rsid w:val="00C06093"/>
    <w:rsid w:val="00C06165"/>
    <w:rsid w:val="00C06605"/>
    <w:rsid w:val="00C06637"/>
    <w:rsid w:val="00C066AC"/>
    <w:rsid w:val="00C06BA2"/>
    <w:rsid w:val="00C06EC5"/>
    <w:rsid w:val="00C06F36"/>
    <w:rsid w:val="00C07FA2"/>
    <w:rsid w:val="00C07FFB"/>
    <w:rsid w:val="00C10205"/>
    <w:rsid w:val="00C1064D"/>
    <w:rsid w:val="00C10699"/>
    <w:rsid w:val="00C10A3C"/>
    <w:rsid w:val="00C113C7"/>
    <w:rsid w:val="00C114B0"/>
    <w:rsid w:val="00C114E4"/>
    <w:rsid w:val="00C11638"/>
    <w:rsid w:val="00C11A30"/>
    <w:rsid w:val="00C11F3D"/>
    <w:rsid w:val="00C1238D"/>
    <w:rsid w:val="00C1238E"/>
    <w:rsid w:val="00C12607"/>
    <w:rsid w:val="00C12813"/>
    <w:rsid w:val="00C128C3"/>
    <w:rsid w:val="00C132AD"/>
    <w:rsid w:val="00C137F7"/>
    <w:rsid w:val="00C13C97"/>
    <w:rsid w:val="00C13DB2"/>
    <w:rsid w:val="00C1431B"/>
    <w:rsid w:val="00C143AA"/>
    <w:rsid w:val="00C14423"/>
    <w:rsid w:val="00C145FB"/>
    <w:rsid w:val="00C14636"/>
    <w:rsid w:val="00C14A37"/>
    <w:rsid w:val="00C14B10"/>
    <w:rsid w:val="00C14BC6"/>
    <w:rsid w:val="00C15293"/>
    <w:rsid w:val="00C15B01"/>
    <w:rsid w:val="00C15B5A"/>
    <w:rsid w:val="00C15C46"/>
    <w:rsid w:val="00C15D9F"/>
    <w:rsid w:val="00C16008"/>
    <w:rsid w:val="00C1623F"/>
    <w:rsid w:val="00C16C27"/>
    <w:rsid w:val="00C16CC8"/>
    <w:rsid w:val="00C16DC5"/>
    <w:rsid w:val="00C170DE"/>
    <w:rsid w:val="00C170E3"/>
    <w:rsid w:val="00C17469"/>
    <w:rsid w:val="00C1758D"/>
    <w:rsid w:val="00C17672"/>
    <w:rsid w:val="00C17A21"/>
    <w:rsid w:val="00C17C7B"/>
    <w:rsid w:val="00C17D03"/>
    <w:rsid w:val="00C17D25"/>
    <w:rsid w:val="00C17EFA"/>
    <w:rsid w:val="00C2054A"/>
    <w:rsid w:val="00C20584"/>
    <w:rsid w:val="00C20838"/>
    <w:rsid w:val="00C208F0"/>
    <w:rsid w:val="00C20AB5"/>
    <w:rsid w:val="00C2172A"/>
    <w:rsid w:val="00C21C07"/>
    <w:rsid w:val="00C21CA4"/>
    <w:rsid w:val="00C21D94"/>
    <w:rsid w:val="00C21F4C"/>
    <w:rsid w:val="00C21FB3"/>
    <w:rsid w:val="00C22024"/>
    <w:rsid w:val="00C22269"/>
    <w:rsid w:val="00C22718"/>
    <w:rsid w:val="00C229B0"/>
    <w:rsid w:val="00C230F2"/>
    <w:rsid w:val="00C2314E"/>
    <w:rsid w:val="00C238A4"/>
    <w:rsid w:val="00C238BC"/>
    <w:rsid w:val="00C23B79"/>
    <w:rsid w:val="00C23C75"/>
    <w:rsid w:val="00C23DC4"/>
    <w:rsid w:val="00C245EC"/>
    <w:rsid w:val="00C24699"/>
    <w:rsid w:val="00C246CF"/>
    <w:rsid w:val="00C24804"/>
    <w:rsid w:val="00C2510A"/>
    <w:rsid w:val="00C252F0"/>
    <w:rsid w:val="00C2535B"/>
    <w:rsid w:val="00C259C5"/>
    <w:rsid w:val="00C25A99"/>
    <w:rsid w:val="00C25D61"/>
    <w:rsid w:val="00C25D77"/>
    <w:rsid w:val="00C26083"/>
    <w:rsid w:val="00C26239"/>
    <w:rsid w:val="00C266B3"/>
    <w:rsid w:val="00C268A8"/>
    <w:rsid w:val="00C269B9"/>
    <w:rsid w:val="00C26A0D"/>
    <w:rsid w:val="00C26A20"/>
    <w:rsid w:val="00C26F4F"/>
    <w:rsid w:val="00C273B1"/>
    <w:rsid w:val="00C27701"/>
    <w:rsid w:val="00C2790E"/>
    <w:rsid w:val="00C27B6F"/>
    <w:rsid w:val="00C27B8E"/>
    <w:rsid w:val="00C27C8B"/>
    <w:rsid w:val="00C30346"/>
    <w:rsid w:val="00C3040B"/>
    <w:rsid w:val="00C30422"/>
    <w:rsid w:val="00C3066E"/>
    <w:rsid w:val="00C30862"/>
    <w:rsid w:val="00C30FFF"/>
    <w:rsid w:val="00C31349"/>
    <w:rsid w:val="00C313BB"/>
    <w:rsid w:val="00C314C5"/>
    <w:rsid w:val="00C31508"/>
    <w:rsid w:val="00C31557"/>
    <w:rsid w:val="00C3169D"/>
    <w:rsid w:val="00C31969"/>
    <w:rsid w:val="00C31F02"/>
    <w:rsid w:val="00C321B7"/>
    <w:rsid w:val="00C329F8"/>
    <w:rsid w:val="00C33062"/>
    <w:rsid w:val="00C33210"/>
    <w:rsid w:val="00C3351D"/>
    <w:rsid w:val="00C33825"/>
    <w:rsid w:val="00C33D7C"/>
    <w:rsid w:val="00C340EA"/>
    <w:rsid w:val="00C34497"/>
    <w:rsid w:val="00C3453B"/>
    <w:rsid w:val="00C346E2"/>
    <w:rsid w:val="00C34727"/>
    <w:rsid w:val="00C3491E"/>
    <w:rsid w:val="00C3499E"/>
    <w:rsid w:val="00C34C07"/>
    <w:rsid w:val="00C34C9F"/>
    <w:rsid w:val="00C350B4"/>
    <w:rsid w:val="00C350CC"/>
    <w:rsid w:val="00C3535B"/>
    <w:rsid w:val="00C354DA"/>
    <w:rsid w:val="00C35754"/>
    <w:rsid w:val="00C3584A"/>
    <w:rsid w:val="00C359A1"/>
    <w:rsid w:val="00C36046"/>
    <w:rsid w:val="00C3610F"/>
    <w:rsid w:val="00C3631A"/>
    <w:rsid w:val="00C36384"/>
    <w:rsid w:val="00C364E9"/>
    <w:rsid w:val="00C36674"/>
    <w:rsid w:val="00C36709"/>
    <w:rsid w:val="00C36D8B"/>
    <w:rsid w:val="00C36F1A"/>
    <w:rsid w:val="00C37107"/>
    <w:rsid w:val="00C37124"/>
    <w:rsid w:val="00C37469"/>
    <w:rsid w:val="00C37C70"/>
    <w:rsid w:val="00C40198"/>
    <w:rsid w:val="00C4036B"/>
    <w:rsid w:val="00C403D9"/>
    <w:rsid w:val="00C404AA"/>
    <w:rsid w:val="00C408F5"/>
    <w:rsid w:val="00C40BB0"/>
    <w:rsid w:val="00C40E8D"/>
    <w:rsid w:val="00C4106E"/>
    <w:rsid w:val="00C41AA5"/>
    <w:rsid w:val="00C4227A"/>
    <w:rsid w:val="00C4284B"/>
    <w:rsid w:val="00C42958"/>
    <w:rsid w:val="00C42A02"/>
    <w:rsid w:val="00C42CC3"/>
    <w:rsid w:val="00C42F9B"/>
    <w:rsid w:val="00C43369"/>
    <w:rsid w:val="00C438E0"/>
    <w:rsid w:val="00C439FA"/>
    <w:rsid w:val="00C43B95"/>
    <w:rsid w:val="00C43C79"/>
    <w:rsid w:val="00C43EE4"/>
    <w:rsid w:val="00C4492F"/>
    <w:rsid w:val="00C451B6"/>
    <w:rsid w:val="00C454AB"/>
    <w:rsid w:val="00C4552B"/>
    <w:rsid w:val="00C45710"/>
    <w:rsid w:val="00C45B8C"/>
    <w:rsid w:val="00C4645A"/>
    <w:rsid w:val="00C467C6"/>
    <w:rsid w:val="00C46B76"/>
    <w:rsid w:val="00C46E5C"/>
    <w:rsid w:val="00C46EFA"/>
    <w:rsid w:val="00C472E8"/>
    <w:rsid w:val="00C474A2"/>
    <w:rsid w:val="00C4772E"/>
    <w:rsid w:val="00C47795"/>
    <w:rsid w:val="00C4779F"/>
    <w:rsid w:val="00C47A6A"/>
    <w:rsid w:val="00C47AA5"/>
    <w:rsid w:val="00C47EA8"/>
    <w:rsid w:val="00C50292"/>
    <w:rsid w:val="00C5034F"/>
    <w:rsid w:val="00C5036E"/>
    <w:rsid w:val="00C5045D"/>
    <w:rsid w:val="00C50677"/>
    <w:rsid w:val="00C50B5D"/>
    <w:rsid w:val="00C50CE8"/>
    <w:rsid w:val="00C50DDB"/>
    <w:rsid w:val="00C511DF"/>
    <w:rsid w:val="00C51370"/>
    <w:rsid w:val="00C514D4"/>
    <w:rsid w:val="00C515A9"/>
    <w:rsid w:val="00C51767"/>
    <w:rsid w:val="00C51818"/>
    <w:rsid w:val="00C51A49"/>
    <w:rsid w:val="00C51C0C"/>
    <w:rsid w:val="00C51D44"/>
    <w:rsid w:val="00C51E77"/>
    <w:rsid w:val="00C52498"/>
    <w:rsid w:val="00C52532"/>
    <w:rsid w:val="00C5261C"/>
    <w:rsid w:val="00C52662"/>
    <w:rsid w:val="00C52737"/>
    <w:rsid w:val="00C5274F"/>
    <w:rsid w:val="00C5284B"/>
    <w:rsid w:val="00C52B5B"/>
    <w:rsid w:val="00C52D5D"/>
    <w:rsid w:val="00C53021"/>
    <w:rsid w:val="00C532CA"/>
    <w:rsid w:val="00C53381"/>
    <w:rsid w:val="00C53413"/>
    <w:rsid w:val="00C53E8A"/>
    <w:rsid w:val="00C5414E"/>
    <w:rsid w:val="00C543C6"/>
    <w:rsid w:val="00C5455A"/>
    <w:rsid w:val="00C547BB"/>
    <w:rsid w:val="00C54990"/>
    <w:rsid w:val="00C55070"/>
    <w:rsid w:val="00C55427"/>
    <w:rsid w:val="00C55D79"/>
    <w:rsid w:val="00C55E61"/>
    <w:rsid w:val="00C563A4"/>
    <w:rsid w:val="00C563F9"/>
    <w:rsid w:val="00C56529"/>
    <w:rsid w:val="00C5681E"/>
    <w:rsid w:val="00C5697C"/>
    <w:rsid w:val="00C56CA3"/>
    <w:rsid w:val="00C5701B"/>
    <w:rsid w:val="00C57463"/>
    <w:rsid w:val="00C6024B"/>
    <w:rsid w:val="00C604A6"/>
    <w:rsid w:val="00C60888"/>
    <w:rsid w:val="00C609CF"/>
    <w:rsid w:val="00C60B64"/>
    <w:rsid w:val="00C60EEB"/>
    <w:rsid w:val="00C610D1"/>
    <w:rsid w:val="00C61A06"/>
    <w:rsid w:val="00C61ABA"/>
    <w:rsid w:val="00C61B14"/>
    <w:rsid w:val="00C61BF5"/>
    <w:rsid w:val="00C61CCC"/>
    <w:rsid w:val="00C6215F"/>
    <w:rsid w:val="00C62182"/>
    <w:rsid w:val="00C622B9"/>
    <w:rsid w:val="00C623C6"/>
    <w:rsid w:val="00C62437"/>
    <w:rsid w:val="00C62860"/>
    <w:rsid w:val="00C62872"/>
    <w:rsid w:val="00C628BF"/>
    <w:rsid w:val="00C6294E"/>
    <w:rsid w:val="00C62A88"/>
    <w:rsid w:val="00C62CAD"/>
    <w:rsid w:val="00C63AD6"/>
    <w:rsid w:val="00C6400F"/>
    <w:rsid w:val="00C6416E"/>
    <w:rsid w:val="00C6433A"/>
    <w:rsid w:val="00C643F4"/>
    <w:rsid w:val="00C64453"/>
    <w:rsid w:val="00C6483E"/>
    <w:rsid w:val="00C64A54"/>
    <w:rsid w:val="00C64DDF"/>
    <w:rsid w:val="00C64F1A"/>
    <w:rsid w:val="00C64F50"/>
    <w:rsid w:val="00C64FA0"/>
    <w:rsid w:val="00C650AF"/>
    <w:rsid w:val="00C65769"/>
    <w:rsid w:val="00C658E0"/>
    <w:rsid w:val="00C658E2"/>
    <w:rsid w:val="00C659AE"/>
    <w:rsid w:val="00C659C6"/>
    <w:rsid w:val="00C65BBC"/>
    <w:rsid w:val="00C65D2E"/>
    <w:rsid w:val="00C65D3E"/>
    <w:rsid w:val="00C65DFD"/>
    <w:rsid w:val="00C66562"/>
    <w:rsid w:val="00C66721"/>
    <w:rsid w:val="00C66ED1"/>
    <w:rsid w:val="00C675B6"/>
    <w:rsid w:val="00C675D6"/>
    <w:rsid w:val="00C67880"/>
    <w:rsid w:val="00C678D4"/>
    <w:rsid w:val="00C679A0"/>
    <w:rsid w:val="00C67A41"/>
    <w:rsid w:val="00C67C30"/>
    <w:rsid w:val="00C67D5A"/>
    <w:rsid w:val="00C67E7F"/>
    <w:rsid w:val="00C708C5"/>
    <w:rsid w:val="00C70B8B"/>
    <w:rsid w:val="00C70D6D"/>
    <w:rsid w:val="00C70F2B"/>
    <w:rsid w:val="00C712AB"/>
    <w:rsid w:val="00C71416"/>
    <w:rsid w:val="00C71477"/>
    <w:rsid w:val="00C71602"/>
    <w:rsid w:val="00C71957"/>
    <w:rsid w:val="00C71AB6"/>
    <w:rsid w:val="00C72794"/>
    <w:rsid w:val="00C728DB"/>
    <w:rsid w:val="00C72902"/>
    <w:rsid w:val="00C72BDE"/>
    <w:rsid w:val="00C72E94"/>
    <w:rsid w:val="00C73189"/>
    <w:rsid w:val="00C731C2"/>
    <w:rsid w:val="00C73652"/>
    <w:rsid w:val="00C736B8"/>
    <w:rsid w:val="00C736C0"/>
    <w:rsid w:val="00C73E8D"/>
    <w:rsid w:val="00C741ED"/>
    <w:rsid w:val="00C7429A"/>
    <w:rsid w:val="00C74542"/>
    <w:rsid w:val="00C7459D"/>
    <w:rsid w:val="00C745FD"/>
    <w:rsid w:val="00C74656"/>
    <w:rsid w:val="00C74C77"/>
    <w:rsid w:val="00C74DD5"/>
    <w:rsid w:val="00C7502E"/>
    <w:rsid w:val="00C75608"/>
    <w:rsid w:val="00C75BF7"/>
    <w:rsid w:val="00C75D29"/>
    <w:rsid w:val="00C75F98"/>
    <w:rsid w:val="00C760D9"/>
    <w:rsid w:val="00C7618C"/>
    <w:rsid w:val="00C76263"/>
    <w:rsid w:val="00C763D5"/>
    <w:rsid w:val="00C76A36"/>
    <w:rsid w:val="00C77079"/>
    <w:rsid w:val="00C770C5"/>
    <w:rsid w:val="00C778F2"/>
    <w:rsid w:val="00C77E8E"/>
    <w:rsid w:val="00C80103"/>
    <w:rsid w:val="00C80111"/>
    <w:rsid w:val="00C8041A"/>
    <w:rsid w:val="00C805B0"/>
    <w:rsid w:val="00C805F6"/>
    <w:rsid w:val="00C8097E"/>
    <w:rsid w:val="00C80BB8"/>
    <w:rsid w:val="00C80BFB"/>
    <w:rsid w:val="00C80EE3"/>
    <w:rsid w:val="00C80F53"/>
    <w:rsid w:val="00C8134D"/>
    <w:rsid w:val="00C813F4"/>
    <w:rsid w:val="00C8160A"/>
    <w:rsid w:val="00C81777"/>
    <w:rsid w:val="00C818FD"/>
    <w:rsid w:val="00C81AF4"/>
    <w:rsid w:val="00C81D17"/>
    <w:rsid w:val="00C81FBA"/>
    <w:rsid w:val="00C82037"/>
    <w:rsid w:val="00C82446"/>
    <w:rsid w:val="00C826E9"/>
    <w:rsid w:val="00C82736"/>
    <w:rsid w:val="00C827B0"/>
    <w:rsid w:val="00C8290E"/>
    <w:rsid w:val="00C82E5F"/>
    <w:rsid w:val="00C8313C"/>
    <w:rsid w:val="00C8358C"/>
    <w:rsid w:val="00C836F1"/>
    <w:rsid w:val="00C8384B"/>
    <w:rsid w:val="00C83CFF"/>
    <w:rsid w:val="00C83DBC"/>
    <w:rsid w:val="00C84047"/>
    <w:rsid w:val="00C84355"/>
    <w:rsid w:val="00C84546"/>
    <w:rsid w:val="00C84814"/>
    <w:rsid w:val="00C8484E"/>
    <w:rsid w:val="00C84BD9"/>
    <w:rsid w:val="00C84BEF"/>
    <w:rsid w:val="00C84E6F"/>
    <w:rsid w:val="00C8515D"/>
    <w:rsid w:val="00C85283"/>
    <w:rsid w:val="00C854C0"/>
    <w:rsid w:val="00C85A2F"/>
    <w:rsid w:val="00C85BD2"/>
    <w:rsid w:val="00C85E85"/>
    <w:rsid w:val="00C8610E"/>
    <w:rsid w:val="00C863C9"/>
    <w:rsid w:val="00C8666E"/>
    <w:rsid w:val="00C86866"/>
    <w:rsid w:val="00C86962"/>
    <w:rsid w:val="00C86CCB"/>
    <w:rsid w:val="00C86E95"/>
    <w:rsid w:val="00C87218"/>
    <w:rsid w:val="00C87341"/>
    <w:rsid w:val="00C8764A"/>
    <w:rsid w:val="00C8786E"/>
    <w:rsid w:val="00C87AA6"/>
    <w:rsid w:val="00C87BB9"/>
    <w:rsid w:val="00C87C39"/>
    <w:rsid w:val="00C87C8F"/>
    <w:rsid w:val="00C87E51"/>
    <w:rsid w:val="00C87E6F"/>
    <w:rsid w:val="00C90038"/>
    <w:rsid w:val="00C9007C"/>
    <w:rsid w:val="00C90099"/>
    <w:rsid w:val="00C9053F"/>
    <w:rsid w:val="00C90571"/>
    <w:rsid w:val="00C906E7"/>
    <w:rsid w:val="00C90D9E"/>
    <w:rsid w:val="00C90FDF"/>
    <w:rsid w:val="00C90FE1"/>
    <w:rsid w:val="00C91028"/>
    <w:rsid w:val="00C9143F"/>
    <w:rsid w:val="00C914D4"/>
    <w:rsid w:val="00C91C1B"/>
    <w:rsid w:val="00C91D21"/>
    <w:rsid w:val="00C91E68"/>
    <w:rsid w:val="00C92259"/>
    <w:rsid w:val="00C923E9"/>
    <w:rsid w:val="00C923FA"/>
    <w:rsid w:val="00C9259F"/>
    <w:rsid w:val="00C9279F"/>
    <w:rsid w:val="00C92994"/>
    <w:rsid w:val="00C92BDA"/>
    <w:rsid w:val="00C92C10"/>
    <w:rsid w:val="00C92DB7"/>
    <w:rsid w:val="00C92E41"/>
    <w:rsid w:val="00C9308E"/>
    <w:rsid w:val="00C93601"/>
    <w:rsid w:val="00C93875"/>
    <w:rsid w:val="00C93880"/>
    <w:rsid w:val="00C93A13"/>
    <w:rsid w:val="00C93C69"/>
    <w:rsid w:val="00C93E77"/>
    <w:rsid w:val="00C93F03"/>
    <w:rsid w:val="00C940D2"/>
    <w:rsid w:val="00C94369"/>
    <w:rsid w:val="00C944FE"/>
    <w:rsid w:val="00C94F11"/>
    <w:rsid w:val="00C951D9"/>
    <w:rsid w:val="00C952AB"/>
    <w:rsid w:val="00C958E4"/>
    <w:rsid w:val="00C95972"/>
    <w:rsid w:val="00C95D4B"/>
    <w:rsid w:val="00C95D5C"/>
    <w:rsid w:val="00C95F82"/>
    <w:rsid w:val="00C96029"/>
    <w:rsid w:val="00C96122"/>
    <w:rsid w:val="00C96251"/>
    <w:rsid w:val="00C9635B"/>
    <w:rsid w:val="00C96472"/>
    <w:rsid w:val="00C96484"/>
    <w:rsid w:val="00C96992"/>
    <w:rsid w:val="00C96EF3"/>
    <w:rsid w:val="00C96F11"/>
    <w:rsid w:val="00C96F65"/>
    <w:rsid w:val="00C97272"/>
    <w:rsid w:val="00C973D5"/>
    <w:rsid w:val="00C97681"/>
    <w:rsid w:val="00C976A4"/>
    <w:rsid w:val="00C97A9C"/>
    <w:rsid w:val="00C97C69"/>
    <w:rsid w:val="00C97E2C"/>
    <w:rsid w:val="00C97FC2"/>
    <w:rsid w:val="00CA0190"/>
    <w:rsid w:val="00CA026A"/>
    <w:rsid w:val="00CA0353"/>
    <w:rsid w:val="00CA0422"/>
    <w:rsid w:val="00CA0455"/>
    <w:rsid w:val="00CA04A3"/>
    <w:rsid w:val="00CA0508"/>
    <w:rsid w:val="00CA0547"/>
    <w:rsid w:val="00CA092C"/>
    <w:rsid w:val="00CA094A"/>
    <w:rsid w:val="00CA0A02"/>
    <w:rsid w:val="00CA0B82"/>
    <w:rsid w:val="00CA0CBD"/>
    <w:rsid w:val="00CA0D4D"/>
    <w:rsid w:val="00CA0F04"/>
    <w:rsid w:val="00CA0F9D"/>
    <w:rsid w:val="00CA101A"/>
    <w:rsid w:val="00CA110B"/>
    <w:rsid w:val="00CA1368"/>
    <w:rsid w:val="00CA1836"/>
    <w:rsid w:val="00CA19A4"/>
    <w:rsid w:val="00CA1AFD"/>
    <w:rsid w:val="00CA1CFC"/>
    <w:rsid w:val="00CA1DBC"/>
    <w:rsid w:val="00CA1E73"/>
    <w:rsid w:val="00CA1F06"/>
    <w:rsid w:val="00CA24F2"/>
    <w:rsid w:val="00CA25ED"/>
    <w:rsid w:val="00CA2722"/>
    <w:rsid w:val="00CA27EB"/>
    <w:rsid w:val="00CA2A3D"/>
    <w:rsid w:val="00CA2C82"/>
    <w:rsid w:val="00CA2C98"/>
    <w:rsid w:val="00CA3419"/>
    <w:rsid w:val="00CA3655"/>
    <w:rsid w:val="00CA365E"/>
    <w:rsid w:val="00CA39E9"/>
    <w:rsid w:val="00CA3BB8"/>
    <w:rsid w:val="00CA3BED"/>
    <w:rsid w:val="00CA3D80"/>
    <w:rsid w:val="00CA40DB"/>
    <w:rsid w:val="00CA41EA"/>
    <w:rsid w:val="00CA431E"/>
    <w:rsid w:val="00CA459E"/>
    <w:rsid w:val="00CA486B"/>
    <w:rsid w:val="00CA48FC"/>
    <w:rsid w:val="00CA4C79"/>
    <w:rsid w:val="00CA4CEF"/>
    <w:rsid w:val="00CA4F73"/>
    <w:rsid w:val="00CA4F95"/>
    <w:rsid w:val="00CA5039"/>
    <w:rsid w:val="00CA52CE"/>
    <w:rsid w:val="00CA54CB"/>
    <w:rsid w:val="00CA5627"/>
    <w:rsid w:val="00CA5677"/>
    <w:rsid w:val="00CA570B"/>
    <w:rsid w:val="00CA57AA"/>
    <w:rsid w:val="00CA5982"/>
    <w:rsid w:val="00CA5CEC"/>
    <w:rsid w:val="00CA604E"/>
    <w:rsid w:val="00CA627A"/>
    <w:rsid w:val="00CA63BF"/>
    <w:rsid w:val="00CA6511"/>
    <w:rsid w:val="00CA677D"/>
    <w:rsid w:val="00CA682D"/>
    <w:rsid w:val="00CA6830"/>
    <w:rsid w:val="00CA6860"/>
    <w:rsid w:val="00CA6AC4"/>
    <w:rsid w:val="00CA7494"/>
    <w:rsid w:val="00CB08DA"/>
    <w:rsid w:val="00CB09FA"/>
    <w:rsid w:val="00CB0E8D"/>
    <w:rsid w:val="00CB0EB3"/>
    <w:rsid w:val="00CB128B"/>
    <w:rsid w:val="00CB16CE"/>
    <w:rsid w:val="00CB16D1"/>
    <w:rsid w:val="00CB1768"/>
    <w:rsid w:val="00CB1968"/>
    <w:rsid w:val="00CB19C7"/>
    <w:rsid w:val="00CB1B68"/>
    <w:rsid w:val="00CB1C94"/>
    <w:rsid w:val="00CB20E4"/>
    <w:rsid w:val="00CB2420"/>
    <w:rsid w:val="00CB2A0A"/>
    <w:rsid w:val="00CB2A83"/>
    <w:rsid w:val="00CB2D1B"/>
    <w:rsid w:val="00CB3097"/>
    <w:rsid w:val="00CB336D"/>
    <w:rsid w:val="00CB35D4"/>
    <w:rsid w:val="00CB3617"/>
    <w:rsid w:val="00CB378F"/>
    <w:rsid w:val="00CB38D3"/>
    <w:rsid w:val="00CB4053"/>
    <w:rsid w:val="00CB40A5"/>
    <w:rsid w:val="00CB4197"/>
    <w:rsid w:val="00CB41F7"/>
    <w:rsid w:val="00CB46D8"/>
    <w:rsid w:val="00CB46FB"/>
    <w:rsid w:val="00CB4ADE"/>
    <w:rsid w:val="00CB4B93"/>
    <w:rsid w:val="00CB4CCF"/>
    <w:rsid w:val="00CB504E"/>
    <w:rsid w:val="00CB516C"/>
    <w:rsid w:val="00CB51BC"/>
    <w:rsid w:val="00CB522E"/>
    <w:rsid w:val="00CB542E"/>
    <w:rsid w:val="00CB5463"/>
    <w:rsid w:val="00CB56B2"/>
    <w:rsid w:val="00CB5A74"/>
    <w:rsid w:val="00CB5B64"/>
    <w:rsid w:val="00CB60CB"/>
    <w:rsid w:val="00CB6361"/>
    <w:rsid w:val="00CB6491"/>
    <w:rsid w:val="00CB6698"/>
    <w:rsid w:val="00CB67BD"/>
    <w:rsid w:val="00CB685A"/>
    <w:rsid w:val="00CB69B5"/>
    <w:rsid w:val="00CB6F4E"/>
    <w:rsid w:val="00CB72B9"/>
    <w:rsid w:val="00CB73C4"/>
    <w:rsid w:val="00CB75AE"/>
    <w:rsid w:val="00CB77F9"/>
    <w:rsid w:val="00CB7ECE"/>
    <w:rsid w:val="00CC0612"/>
    <w:rsid w:val="00CC071D"/>
    <w:rsid w:val="00CC098E"/>
    <w:rsid w:val="00CC0C38"/>
    <w:rsid w:val="00CC0C46"/>
    <w:rsid w:val="00CC0D37"/>
    <w:rsid w:val="00CC0DA9"/>
    <w:rsid w:val="00CC1576"/>
    <w:rsid w:val="00CC18C2"/>
    <w:rsid w:val="00CC1ADD"/>
    <w:rsid w:val="00CC1B95"/>
    <w:rsid w:val="00CC1D43"/>
    <w:rsid w:val="00CC1EA7"/>
    <w:rsid w:val="00CC2271"/>
    <w:rsid w:val="00CC244D"/>
    <w:rsid w:val="00CC267C"/>
    <w:rsid w:val="00CC270C"/>
    <w:rsid w:val="00CC29EF"/>
    <w:rsid w:val="00CC2B58"/>
    <w:rsid w:val="00CC2C6B"/>
    <w:rsid w:val="00CC2CE0"/>
    <w:rsid w:val="00CC3098"/>
    <w:rsid w:val="00CC37B9"/>
    <w:rsid w:val="00CC383A"/>
    <w:rsid w:val="00CC3840"/>
    <w:rsid w:val="00CC3AFF"/>
    <w:rsid w:val="00CC3B25"/>
    <w:rsid w:val="00CC3C32"/>
    <w:rsid w:val="00CC3C7F"/>
    <w:rsid w:val="00CC3CC2"/>
    <w:rsid w:val="00CC3D50"/>
    <w:rsid w:val="00CC3F1B"/>
    <w:rsid w:val="00CC3F53"/>
    <w:rsid w:val="00CC4023"/>
    <w:rsid w:val="00CC432C"/>
    <w:rsid w:val="00CC438E"/>
    <w:rsid w:val="00CC46C0"/>
    <w:rsid w:val="00CC501F"/>
    <w:rsid w:val="00CC521D"/>
    <w:rsid w:val="00CC551B"/>
    <w:rsid w:val="00CC5561"/>
    <w:rsid w:val="00CC57B4"/>
    <w:rsid w:val="00CC5A82"/>
    <w:rsid w:val="00CC5CA9"/>
    <w:rsid w:val="00CC5F49"/>
    <w:rsid w:val="00CC67E3"/>
    <w:rsid w:val="00CC68D8"/>
    <w:rsid w:val="00CC6B0B"/>
    <w:rsid w:val="00CC6D37"/>
    <w:rsid w:val="00CC6E9A"/>
    <w:rsid w:val="00CC6F04"/>
    <w:rsid w:val="00CC7C6B"/>
    <w:rsid w:val="00CC7D0E"/>
    <w:rsid w:val="00CC7E79"/>
    <w:rsid w:val="00CD000C"/>
    <w:rsid w:val="00CD0071"/>
    <w:rsid w:val="00CD01AE"/>
    <w:rsid w:val="00CD04E7"/>
    <w:rsid w:val="00CD085A"/>
    <w:rsid w:val="00CD0B6F"/>
    <w:rsid w:val="00CD13E4"/>
    <w:rsid w:val="00CD14B5"/>
    <w:rsid w:val="00CD16EA"/>
    <w:rsid w:val="00CD1821"/>
    <w:rsid w:val="00CD1F00"/>
    <w:rsid w:val="00CD1F37"/>
    <w:rsid w:val="00CD2127"/>
    <w:rsid w:val="00CD23B9"/>
    <w:rsid w:val="00CD23C0"/>
    <w:rsid w:val="00CD25BF"/>
    <w:rsid w:val="00CD2903"/>
    <w:rsid w:val="00CD2A49"/>
    <w:rsid w:val="00CD2CBE"/>
    <w:rsid w:val="00CD2D48"/>
    <w:rsid w:val="00CD2E23"/>
    <w:rsid w:val="00CD2FF9"/>
    <w:rsid w:val="00CD300B"/>
    <w:rsid w:val="00CD303C"/>
    <w:rsid w:val="00CD3050"/>
    <w:rsid w:val="00CD3133"/>
    <w:rsid w:val="00CD3315"/>
    <w:rsid w:val="00CD3675"/>
    <w:rsid w:val="00CD3797"/>
    <w:rsid w:val="00CD3CA4"/>
    <w:rsid w:val="00CD3D6C"/>
    <w:rsid w:val="00CD431D"/>
    <w:rsid w:val="00CD4369"/>
    <w:rsid w:val="00CD45D2"/>
    <w:rsid w:val="00CD4802"/>
    <w:rsid w:val="00CD4950"/>
    <w:rsid w:val="00CD4E97"/>
    <w:rsid w:val="00CD58D7"/>
    <w:rsid w:val="00CD5E49"/>
    <w:rsid w:val="00CD6407"/>
    <w:rsid w:val="00CD6570"/>
    <w:rsid w:val="00CD66B8"/>
    <w:rsid w:val="00CD6778"/>
    <w:rsid w:val="00CD6865"/>
    <w:rsid w:val="00CD68DA"/>
    <w:rsid w:val="00CD694A"/>
    <w:rsid w:val="00CD6AD1"/>
    <w:rsid w:val="00CD6E10"/>
    <w:rsid w:val="00CD7116"/>
    <w:rsid w:val="00CD76D4"/>
    <w:rsid w:val="00CD7D48"/>
    <w:rsid w:val="00CD7EB9"/>
    <w:rsid w:val="00CE0D7F"/>
    <w:rsid w:val="00CE0EAE"/>
    <w:rsid w:val="00CE11F7"/>
    <w:rsid w:val="00CE1301"/>
    <w:rsid w:val="00CE13FF"/>
    <w:rsid w:val="00CE14C8"/>
    <w:rsid w:val="00CE179B"/>
    <w:rsid w:val="00CE17B6"/>
    <w:rsid w:val="00CE19DA"/>
    <w:rsid w:val="00CE1AD5"/>
    <w:rsid w:val="00CE1B7E"/>
    <w:rsid w:val="00CE1DE6"/>
    <w:rsid w:val="00CE20B5"/>
    <w:rsid w:val="00CE2567"/>
    <w:rsid w:val="00CE25FE"/>
    <w:rsid w:val="00CE2769"/>
    <w:rsid w:val="00CE2BFD"/>
    <w:rsid w:val="00CE2C4A"/>
    <w:rsid w:val="00CE2F58"/>
    <w:rsid w:val="00CE2FC2"/>
    <w:rsid w:val="00CE34EF"/>
    <w:rsid w:val="00CE380D"/>
    <w:rsid w:val="00CE393C"/>
    <w:rsid w:val="00CE3A5F"/>
    <w:rsid w:val="00CE3E28"/>
    <w:rsid w:val="00CE40D1"/>
    <w:rsid w:val="00CE4368"/>
    <w:rsid w:val="00CE45AB"/>
    <w:rsid w:val="00CE4CB0"/>
    <w:rsid w:val="00CE4FF5"/>
    <w:rsid w:val="00CE5441"/>
    <w:rsid w:val="00CE5634"/>
    <w:rsid w:val="00CE56AF"/>
    <w:rsid w:val="00CE5762"/>
    <w:rsid w:val="00CE57AB"/>
    <w:rsid w:val="00CE57C9"/>
    <w:rsid w:val="00CE5ABA"/>
    <w:rsid w:val="00CE5F6E"/>
    <w:rsid w:val="00CE606D"/>
    <w:rsid w:val="00CE6092"/>
    <w:rsid w:val="00CE61E0"/>
    <w:rsid w:val="00CE6472"/>
    <w:rsid w:val="00CE65C1"/>
    <w:rsid w:val="00CE678C"/>
    <w:rsid w:val="00CE67C9"/>
    <w:rsid w:val="00CE6858"/>
    <w:rsid w:val="00CE695D"/>
    <w:rsid w:val="00CE6D23"/>
    <w:rsid w:val="00CE7068"/>
    <w:rsid w:val="00CE707D"/>
    <w:rsid w:val="00CE7098"/>
    <w:rsid w:val="00CE71E6"/>
    <w:rsid w:val="00CE71F4"/>
    <w:rsid w:val="00CE72DD"/>
    <w:rsid w:val="00CE735A"/>
    <w:rsid w:val="00CE738C"/>
    <w:rsid w:val="00CE749A"/>
    <w:rsid w:val="00CE7632"/>
    <w:rsid w:val="00CE778C"/>
    <w:rsid w:val="00CE7B5E"/>
    <w:rsid w:val="00CE7CA2"/>
    <w:rsid w:val="00CE7E98"/>
    <w:rsid w:val="00CE7EDA"/>
    <w:rsid w:val="00CE7F21"/>
    <w:rsid w:val="00CE7F3F"/>
    <w:rsid w:val="00CF03F8"/>
    <w:rsid w:val="00CF0654"/>
    <w:rsid w:val="00CF0C4B"/>
    <w:rsid w:val="00CF0FF7"/>
    <w:rsid w:val="00CF115F"/>
    <w:rsid w:val="00CF11B7"/>
    <w:rsid w:val="00CF14EB"/>
    <w:rsid w:val="00CF16F5"/>
    <w:rsid w:val="00CF1824"/>
    <w:rsid w:val="00CF1CF3"/>
    <w:rsid w:val="00CF1D06"/>
    <w:rsid w:val="00CF1E38"/>
    <w:rsid w:val="00CF1FAE"/>
    <w:rsid w:val="00CF2015"/>
    <w:rsid w:val="00CF2399"/>
    <w:rsid w:val="00CF2400"/>
    <w:rsid w:val="00CF24BD"/>
    <w:rsid w:val="00CF3029"/>
    <w:rsid w:val="00CF349C"/>
    <w:rsid w:val="00CF369A"/>
    <w:rsid w:val="00CF3821"/>
    <w:rsid w:val="00CF3E26"/>
    <w:rsid w:val="00CF4255"/>
    <w:rsid w:val="00CF4300"/>
    <w:rsid w:val="00CF442A"/>
    <w:rsid w:val="00CF4577"/>
    <w:rsid w:val="00CF45E0"/>
    <w:rsid w:val="00CF4D01"/>
    <w:rsid w:val="00CF4DF3"/>
    <w:rsid w:val="00CF5268"/>
    <w:rsid w:val="00CF5A27"/>
    <w:rsid w:val="00CF5B47"/>
    <w:rsid w:val="00CF5B54"/>
    <w:rsid w:val="00CF5BA4"/>
    <w:rsid w:val="00CF606F"/>
    <w:rsid w:val="00CF60A9"/>
    <w:rsid w:val="00CF612B"/>
    <w:rsid w:val="00CF67AE"/>
    <w:rsid w:val="00CF6944"/>
    <w:rsid w:val="00CF7299"/>
    <w:rsid w:val="00CF7A03"/>
    <w:rsid w:val="00CF7B3D"/>
    <w:rsid w:val="00CF7E94"/>
    <w:rsid w:val="00D001DF"/>
    <w:rsid w:val="00D004A9"/>
    <w:rsid w:val="00D0061D"/>
    <w:rsid w:val="00D007E3"/>
    <w:rsid w:val="00D00A76"/>
    <w:rsid w:val="00D00B70"/>
    <w:rsid w:val="00D00B7B"/>
    <w:rsid w:val="00D00BD8"/>
    <w:rsid w:val="00D00FBE"/>
    <w:rsid w:val="00D012C8"/>
    <w:rsid w:val="00D015A4"/>
    <w:rsid w:val="00D016CE"/>
    <w:rsid w:val="00D01720"/>
    <w:rsid w:val="00D01896"/>
    <w:rsid w:val="00D01A9F"/>
    <w:rsid w:val="00D01ACA"/>
    <w:rsid w:val="00D01C3D"/>
    <w:rsid w:val="00D01ED2"/>
    <w:rsid w:val="00D01EE1"/>
    <w:rsid w:val="00D02173"/>
    <w:rsid w:val="00D02257"/>
    <w:rsid w:val="00D02558"/>
    <w:rsid w:val="00D02806"/>
    <w:rsid w:val="00D0286C"/>
    <w:rsid w:val="00D02B62"/>
    <w:rsid w:val="00D02B77"/>
    <w:rsid w:val="00D02BB0"/>
    <w:rsid w:val="00D02C31"/>
    <w:rsid w:val="00D03003"/>
    <w:rsid w:val="00D03097"/>
    <w:rsid w:val="00D032A9"/>
    <w:rsid w:val="00D034CE"/>
    <w:rsid w:val="00D0355E"/>
    <w:rsid w:val="00D035B9"/>
    <w:rsid w:val="00D03714"/>
    <w:rsid w:val="00D03884"/>
    <w:rsid w:val="00D03995"/>
    <w:rsid w:val="00D03A1B"/>
    <w:rsid w:val="00D03EAE"/>
    <w:rsid w:val="00D03F67"/>
    <w:rsid w:val="00D03F71"/>
    <w:rsid w:val="00D041D2"/>
    <w:rsid w:val="00D0427A"/>
    <w:rsid w:val="00D04765"/>
    <w:rsid w:val="00D04831"/>
    <w:rsid w:val="00D048A4"/>
    <w:rsid w:val="00D04E22"/>
    <w:rsid w:val="00D04F55"/>
    <w:rsid w:val="00D05106"/>
    <w:rsid w:val="00D05748"/>
    <w:rsid w:val="00D057C9"/>
    <w:rsid w:val="00D058D3"/>
    <w:rsid w:val="00D05A12"/>
    <w:rsid w:val="00D05CB5"/>
    <w:rsid w:val="00D05D73"/>
    <w:rsid w:val="00D05D98"/>
    <w:rsid w:val="00D05E36"/>
    <w:rsid w:val="00D0623D"/>
    <w:rsid w:val="00D06696"/>
    <w:rsid w:val="00D0673D"/>
    <w:rsid w:val="00D06926"/>
    <w:rsid w:val="00D06DAC"/>
    <w:rsid w:val="00D070CD"/>
    <w:rsid w:val="00D07152"/>
    <w:rsid w:val="00D073B9"/>
    <w:rsid w:val="00D074EC"/>
    <w:rsid w:val="00D07D77"/>
    <w:rsid w:val="00D100AC"/>
    <w:rsid w:val="00D101C1"/>
    <w:rsid w:val="00D10210"/>
    <w:rsid w:val="00D10371"/>
    <w:rsid w:val="00D10387"/>
    <w:rsid w:val="00D104CB"/>
    <w:rsid w:val="00D106BF"/>
    <w:rsid w:val="00D10AF5"/>
    <w:rsid w:val="00D10C0A"/>
    <w:rsid w:val="00D10C63"/>
    <w:rsid w:val="00D10CBA"/>
    <w:rsid w:val="00D11117"/>
    <w:rsid w:val="00D111BE"/>
    <w:rsid w:val="00D112BD"/>
    <w:rsid w:val="00D116A9"/>
    <w:rsid w:val="00D117E1"/>
    <w:rsid w:val="00D11A42"/>
    <w:rsid w:val="00D11AEC"/>
    <w:rsid w:val="00D11B75"/>
    <w:rsid w:val="00D11E52"/>
    <w:rsid w:val="00D11EE1"/>
    <w:rsid w:val="00D1202C"/>
    <w:rsid w:val="00D12033"/>
    <w:rsid w:val="00D120EF"/>
    <w:rsid w:val="00D12224"/>
    <w:rsid w:val="00D128CF"/>
    <w:rsid w:val="00D12941"/>
    <w:rsid w:val="00D12954"/>
    <w:rsid w:val="00D12985"/>
    <w:rsid w:val="00D12BEF"/>
    <w:rsid w:val="00D12CC5"/>
    <w:rsid w:val="00D12D03"/>
    <w:rsid w:val="00D13094"/>
    <w:rsid w:val="00D137DC"/>
    <w:rsid w:val="00D13E4D"/>
    <w:rsid w:val="00D1403B"/>
    <w:rsid w:val="00D14078"/>
    <w:rsid w:val="00D14321"/>
    <w:rsid w:val="00D14694"/>
    <w:rsid w:val="00D147CC"/>
    <w:rsid w:val="00D14933"/>
    <w:rsid w:val="00D14951"/>
    <w:rsid w:val="00D14B9A"/>
    <w:rsid w:val="00D14BB1"/>
    <w:rsid w:val="00D15342"/>
    <w:rsid w:val="00D15412"/>
    <w:rsid w:val="00D157EF"/>
    <w:rsid w:val="00D1581E"/>
    <w:rsid w:val="00D158E9"/>
    <w:rsid w:val="00D159FF"/>
    <w:rsid w:val="00D15B84"/>
    <w:rsid w:val="00D15C6F"/>
    <w:rsid w:val="00D15D97"/>
    <w:rsid w:val="00D15E62"/>
    <w:rsid w:val="00D160A4"/>
    <w:rsid w:val="00D16292"/>
    <w:rsid w:val="00D167BD"/>
    <w:rsid w:val="00D168B8"/>
    <w:rsid w:val="00D168BF"/>
    <w:rsid w:val="00D169FA"/>
    <w:rsid w:val="00D16A0E"/>
    <w:rsid w:val="00D16A1C"/>
    <w:rsid w:val="00D16B0C"/>
    <w:rsid w:val="00D16C36"/>
    <w:rsid w:val="00D1700D"/>
    <w:rsid w:val="00D17436"/>
    <w:rsid w:val="00D17471"/>
    <w:rsid w:val="00D174E1"/>
    <w:rsid w:val="00D17D22"/>
    <w:rsid w:val="00D17E6E"/>
    <w:rsid w:val="00D17FC7"/>
    <w:rsid w:val="00D202E3"/>
    <w:rsid w:val="00D20A38"/>
    <w:rsid w:val="00D213A6"/>
    <w:rsid w:val="00D213C5"/>
    <w:rsid w:val="00D2161C"/>
    <w:rsid w:val="00D21B42"/>
    <w:rsid w:val="00D222C8"/>
    <w:rsid w:val="00D222F8"/>
    <w:rsid w:val="00D223F8"/>
    <w:rsid w:val="00D2243F"/>
    <w:rsid w:val="00D22503"/>
    <w:rsid w:val="00D22C61"/>
    <w:rsid w:val="00D23113"/>
    <w:rsid w:val="00D2317D"/>
    <w:rsid w:val="00D2368D"/>
    <w:rsid w:val="00D24240"/>
    <w:rsid w:val="00D24241"/>
    <w:rsid w:val="00D24617"/>
    <w:rsid w:val="00D248F9"/>
    <w:rsid w:val="00D249FC"/>
    <w:rsid w:val="00D24B48"/>
    <w:rsid w:val="00D24D02"/>
    <w:rsid w:val="00D24D68"/>
    <w:rsid w:val="00D24F66"/>
    <w:rsid w:val="00D24FC5"/>
    <w:rsid w:val="00D2537E"/>
    <w:rsid w:val="00D255B0"/>
    <w:rsid w:val="00D25778"/>
    <w:rsid w:val="00D258D0"/>
    <w:rsid w:val="00D2592B"/>
    <w:rsid w:val="00D25C14"/>
    <w:rsid w:val="00D25D03"/>
    <w:rsid w:val="00D25E0D"/>
    <w:rsid w:val="00D25F95"/>
    <w:rsid w:val="00D2618A"/>
    <w:rsid w:val="00D2622E"/>
    <w:rsid w:val="00D26349"/>
    <w:rsid w:val="00D2666C"/>
    <w:rsid w:val="00D26DD3"/>
    <w:rsid w:val="00D26F9F"/>
    <w:rsid w:val="00D27598"/>
    <w:rsid w:val="00D2769A"/>
    <w:rsid w:val="00D27A3D"/>
    <w:rsid w:val="00D27C0E"/>
    <w:rsid w:val="00D27E72"/>
    <w:rsid w:val="00D27EE7"/>
    <w:rsid w:val="00D30176"/>
    <w:rsid w:val="00D30A4C"/>
    <w:rsid w:val="00D30B1F"/>
    <w:rsid w:val="00D30C64"/>
    <w:rsid w:val="00D30FB2"/>
    <w:rsid w:val="00D313F5"/>
    <w:rsid w:val="00D314A6"/>
    <w:rsid w:val="00D31F21"/>
    <w:rsid w:val="00D3231E"/>
    <w:rsid w:val="00D32398"/>
    <w:rsid w:val="00D325B3"/>
    <w:rsid w:val="00D326F3"/>
    <w:rsid w:val="00D328EF"/>
    <w:rsid w:val="00D32C79"/>
    <w:rsid w:val="00D32D1A"/>
    <w:rsid w:val="00D33065"/>
    <w:rsid w:val="00D33248"/>
    <w:rsid w:val="00D334D0"/>
    <w:rsid w:val="00D3391E"/>
    <w:rsid w:val="00D341D1"/>
    <w:rsid w:val="00D34371"/>
    <w:rsid w:val="00D34852"/>
    <w:rsid w:val="00D3490F"/>
    <w:rsid w:val="00D34CAF"/>
    <w:rsid w:val="00D35230"/>
    <w:rsid w:val="00D353F8"/>
    <w:rsid w:val="00D359E3"/>
    <w:rsid w:val="00D36312"/>
    <w:rsid w:val="00D36A42"/>
    <w:rsid w:val="00D36A55"/>
    <w:rsid w:val="00D37251"/>
    <w:rsid w:val="00D37300"/>
    <w:rsid w:val="00D37305"/>
    <w:rsid w:val="00D37321"/>
    <w:rsid w:val="00D375EB"/>
    <w:rsid w:val="00D37688"/>
    <w:rsid w:val="00D37808"/>
    <w:rsid w:val="00D37B1F"/>
    <w:rsid w:val="00D37F23"/>
    <w:rsid w:val="00D37FE2"/>
    <w:rsid w:val="00D40012"/>
    <w:rsid w:val="00D403C0"/>
    <w:rsid w:val="00D405C6"/>
    <w:rsid w:val="00D409E6"/>
    <w:rsid w:val="00D40C56"/>
    <w:rsid w:val="00D40DE9"/>
    <w:rsid w:val="00D40FD5"/>
    <w:rsid w:val="00D410FF"/>
    <w:rsid w:val="00D412E0"/>
    <w:rsid w:val="00D41404"/>
    <w:rsid w:val="00D4147A"/>
    <w:rsid w:val="00D4147C"/>
    <w:rsid w:val="00D415BE"/>
    <w:rsid w:val="00D4192F"/>
    <w:rsid w:val="00D41AA5"/>
    <w:rsid w:val="00D41DBB"/>
    <w:rsid w:val="00D41DDC"/>
    <w:rsid w:val="00D41DF8"/>
    <w:rsid w:val="00D41FF3"/>
    <w:rsid w:val="00D42027"/>
    <w:rsid w:val="00D422A2"/>
    <w:rsid w:val="00D4244F"/>
    <w:rsid w:val="00D42755"/>
    <w:rsid w:val="00D428A7"/>
    <w:rsid w:val="00D42C51"/>
    <w:rsid w:val="00D42FF7"/>
    <w:rsid w:val="00D430B3"/>
    <w:rsid w:val="00D43368"/>
    <w:rsid w:val="00D43598"/>
    <w:rsid w:val="00D43659"/>
    <w:rsid w:val="00D43678"/>
    <w:rsid w:val="00D436A2"/>
    <w:rsid w:val="00D436D2"/>
    <w:rsid w:val="00D437EF"/>
    <w:rsid w:val="00D43A97"/>
    <w:rsid w:val="00D43AF5"/>
    <w:rsid w:val="00D43DF3"/>
    <w:rsid w:val="00D44565"/>
    <w:rsid w:val="00D44705"/>
    <w:rsid w:val="00D44879"/>
    <w:rsid w:val="00D44CC9"/>
    <w:rsid w:val="00D4579B"/>
    <w:rsid w:val="00D457F3"/>
    <w:rsid w:val="00D45933"/>
    <w:rsid w:val="00D45A0F"/>
    <w:rsid w:val="00D45BDB"/>
    <w:rsid w:val="00D45C5A"/>
    <w:rsid w:val="00D45FA6"/>
    <w:rsid w:val="00D46009"/>
    <w:rsid w:val="00D4623D"/>
    <w:rsid w:val="00D46337"/>
    <w:rsid w:val="00D46CDE"/>
    <w:rsid w:val="00D46F5A"/>
    <w:rsid w:val="00D46FC7"/>
    <w:rsid w:val="00D470A0"/>
    <w:rsid w:val="00D47281"/>
    <w:rsid w:val="00D47362"/>
    <w:rsid w:val="00D500BD"/>
    <w:rsid w:val="00D5054A"/>
    <w:rsid w:val="00D50713"/>
    <w:rsid w:val="00D50757"/>
    <w:rsid w:val="00D507BE"/>
    <w:rsid w:val="00D50947"/>
    <w:rsid w:val="00D50DFA"/>
    <w:rsid w:val="00D50E1F"/>
    <w:rsid w:val="00D50F63"/>
    <w:rsid w:val="00D51266"/>
    <w:rsid w:val="00D513A0"/>
    <w:rsid w:val="00D51575"/>
    <w:rsid w:val="00D51659"/>
    <w:rsid w:val="00D516E5"/>
    <w:rsid w:val="00D5251A"/>
    <w:rsid w:val="00D52606"/>
    <w:rsid w:val="00D53826"/>
    <w:rsid w:val="00D538C3"/>
    <w:rsid w:val="00D53927"/>
    <w:rsid w:val="00D539C3"/>
    <w:rsid w:val="00D53C0A"/>
    <w:rsid w:val="00D53D3C"/>
    <w:rsid w:val="00D54350"/>
    <w:rsid w:val="00D5443F"/>
    <w:rsid w:val="00D546EA"/>
    <w:rsid w:val="00D547AA"/>
    <w:rsid w:val="00D5480E"/>
    <w:rsid w:val="00D54868"/>
    <w:rsid w:val="00D54A3F"/>
    <w:rsid w:val="00D54B80"/>
    <w:rsid w:val="00D54E9F"/>
    <w:rsid w:val="00D5536E"/>
    <w:rsid w:val="00D55527"/>
    <w:rsid w:val="00D55788"/>
    <w:rsid w:val="00D55FCF"/>
    <w:rsid w:val="00D560C2"/>
    <w:rsid w:val="00D563A1"/>
    <w:rsid w:val="00D56701"/>
    <w:rsid w:val="00D568D5"/>
    <w:rsid w:val="00D56BA4"/>
    <w:rsid w:val="00D56C8C"/>
    <w:rsid w:val="00D56DAD"/>
    <w:rsid w:val="00D570A3"/>
    <w:rsid w:val="00D57248"/>
    <w:rsid w:val="00D573DB"/>
    <w:rsid w:val="00D57656"/>
    <w:rsid w:val="00D578A6"/>
    <w:rsid w:val="00D5790F"/>
    <w:rsid w:val="00D57C9A"/>
    <w:rsid w:val="00D57D55"/>
    <w:rsid w:val="00D57FA2"/>
    <w:rsid w:val="00D601AC"/>
    <w:rsid w:val="00D60212"/>
    <w:rsid w:val="00D602A3"/>
    <w:rsid w:val="00D602D8"/>
    <w:rsid w:val="00D603FD"/>
    <w:rsid w:val="00D60425"/>
    <w:rsid w:val="00D60EFD"/>
    <w:rsid w:val="00D60F85"/>
    <w:rsid w:val="00D611D9"/>
    <w:rsid w:val="00D620D4"/>
    <w:rsid w:val="00D623A4"/>
    <w:rsid w:val="00D62551"/>
    <w:rsid w:val="00D626F1"/>
    <w:rsid w:val="00D62749"/>
    <w:rsid w:val="00D627B8"/>
    <w:rsid w:val="00D6281B"/>
    <w:rsid w:val="00D6296E"/>
    <w:rsid w:val="00D62D56"/>
    <w:rsid w:val="00D6322A"/>
    <w:rsid w:val="00D63251"/>
    <w:rsid w:val="00D6329C"/>
    <w:rsid w:val="00D632E4"/>
    <w:rsid w:val="00D63636"/>
    <w:rsid w:val="00D63A57"/>
    <w:rsid w:val="00D63AD8"/>
    <w:rsid w:val="00D63B29"/>
    <w:rsid w:val="00D63B58"/>
    <w:rsid w:val="00D63E9B"/>
    <w:rsid w:val="00D63EA9"/>
    <w:rsid w:val="00D64112"/>
    <w:rsid w:val="00D641B5"/>
    <w:rsid w:val="00D641DB"/>
    <w:rsid w:val="00D64278"/>
    <w:rsid w:val="00D64517"/>
    <w:rsid w:val="00D64FD7"/>
    <w:rsid w:val="00D65007"/>
    <w:rsid w:val="00D6539E"/>
    <w:rsid w:val="00D653E3"/>
    <w:rsid w:val="00D65CF0"/>
    <w:rsid w:val="00D65D0F"/>
    <w:rsid w:val="00D662F0"/>
    <w:rsid w:val="00D663D3"/>
    <w:rsid w:val="00D666E5"/>
    <w:rsid w:val="00D668EE"/>
    <w:rsid w:val="00D669C0"/>
    <w:rsid w:val="00D66C75"/>
    <w:rsid w:val="00D66FE0"/>
    <w:rsid w:val="00D67158"/>
    <w:rsid w:val="00D671C9"/>
    <w:rsid w:val="00D677D8"/>
    <w:rsid w:val="00D6791E"/>
    <w:rsid w:val="00D67C8C"/>
    <w:rsid w:val="00D70472"/>
    <w:rsid w:val="00D70F91"/>
    <w:rsid w:val="00D7104C"/>
    <w:rsid w:val="00D711D2"/>
    <w:rsid w:val="00D71483"/>
    <w:rsid w:val="00D7148F"/>
    <w:rsid w:val="00D71511"/>
    <w:rsid w:val="00D7170C"/>
    <w:rsid w:val="00D717F9"/>
    <w:rsid w:val="00D719FF"/>
    <w:rsid w:val="00D71B28"/>
    <w:rsid w:val="00D71C2B"/>
    <w:rsid w:val="00D71C7D"/>
    <w:rsid w:val="00D72205"/>
    <w:rsid w:val="00D722DE"/>
    <w:rsid w:val="00D723FB"/>
    <w:rsid w:val="00D72D47"/>
    <w:rsid w:val="00D72DA6"/>
    <w:rsid w:val="00D72FE7"/>
    <w:rsid w:val="00D7322B"/>
    <w:rsid w:val="00D7323F"/>
    <w:rsid w:val="00D73294"/>
    <w:rsid w:val="00D73445"/>
    <w:rsid w:val="00D73757"/>
    <w:rsid w:val="00D739CE"/>
    <w:rsid w:val="00D73AF4"/>
    <w:rsid w:val="00D73DE1"/>
    <w:rsid w:val="00D7410A"/>
    <w:rsid w:val="00D74527"/>
    <w:rsid w:val="00D74933"/>
    <w:rsid w:val="00D74B4B"/>
    <w:rsid w:val="00D74D2B"/>
    <w:rsid w:val="00D75284"/>
    <w:rsid w:val="00D75570"/>
    <w:rsid w:val="00D755AD"/>
    <w:rsid w:val="00D758AF"/>
    <w:rsid w:val="00D75BDC"/>
    <w:rsid w:val="00D75E53"/>
    <w:rsid w:val="00D75FB6"/>
    <w:rsid w:val="00D7659A"/>
    <w:rsid w:val="00D766A6"/>
    <w:rsid w:val="00D76703"/>
    <w:rsid w:val="00D767C2"/>
    <w:rsid w:val="00D7694D"/>
    <w:rsid w:val="00D76B59"/>
    <w:rsid w:val="00D76B61"/>
    <w:rsid w:val="00D76C0F"/>
    <w:rsid w:val="00D76E8D"/>
    <w:rsid w:val="00D77623"/>
    <w:rsid w:val="00D77A94"/>
    <w:rsid w:val="00D8009E"/>
    <w:rsid w:val="00D802A7"/>
    <w:rsid w:val="00D804D4"/>
    <w:rsid w:val="00D80AEE"/>
    <w:rsid w:val="00D80EFA"/>
    <w:rsid w:val="00D811BE"/>
    <w:rsid w:val="00D81515"/>
    <w:rsid w:val="00D8174F"/>
    <w:rsid w:val="00D81B0E"/>
    <w:rsid w:val="00D81B55"/>
    <w:rsid w:val="00D81BAE"/>
    <w:rsid w:val="00D81D07"/>
    <w:rsid w:val="00D824C1"/>
    <w:rsid w:val="00D826F2"/>
    <w:rsid w:val="00D82CC6"/>
    <w:rsid w:val="00D830F7"/>
    <w:rsid w:val="00D838B0"/>
    <w:rsid w:val="00D83904"/>
    <w:rsid w:val="00D839C5"/>
    <w:rsid w:val="00D83B64"/>
    <w:rsid w:val="00D84093"/>
    <w:rsid w:val="00D84095"/>
    <w:rsid w:val="00D840E0"/>
    <w:rsid w:val="00D84196"/>
    <w:rsid w:val="00D8420D"/>
    <w:rsid w:val="00D84308"/>
    <w:rsid w:val="00D84791"/>
    <w:rsid w:val="00D847E4"/>
    <w:rsid w:val="00D847F4"/>
    <w:rsid w:val="00D84DA0"/>
    <w:rsid w:val="00D855AB"/>
    <w:rsid w:val="00D85687"/>
    <w:rsid w:val="00D8579A"/>
    <w:rsid w:val="00D8595B"/>
    <w:rsid w:val="00D85ED7"/>
    <w:rsid w:val="00D861BD"/>
    <w:rsid w:val="00D8672B"/>
    <w:rsid w:val="00D8682C"/>
    <w:rsid w:val="00D86A4D"/>
    <w:rsid w:val="00D86A6B"/>
    <w:rsid w:val="00D86CA8"/>
    <w:rsid w:val="00D86E5C"/>
    <w:rsid w:val="00D87159"/>
    <w:rsid w:val="00D8717A"/>
    <w:rsid w:val="00D87618"/>
    <w:rsid w:val="00D8781C"/>
    <w:rsid w:val="00D87966"/>
    <w:rsid w:val="00D87BA6"/>
    <w:rsid w:val="00D87CA8"/>
    <w:rsid w:val="00D90233"/>
    <w:rsid w:val="00D9046D"/>
    <w:rsid w:val="00D904C1"/>
    <w:rsid w:val="00D90924"/>
    <w:rsid w:val="00D910EF"/>
    <w:rsid w:val="00D91201"/>
    <w:rsid w:val="00D91359"/>
    <w:rsid w:val="00D9148C"/>
    <w:rsid w:val="00D91751"/>
    <w:rsid w:val="00D91C51"/>
    <w:rsid w:val="00D91C77"/>
    <w:rsid w:val="00D91D98"/>
    <w:rsid w:val="00D91DFA"/>
    <w:rsid w:val="00D91E1C"/>
    <w:rsid w:val="00D91EE0"/>
    <w:rsid w:val="00D91F4E"/>
    <w:rsid w:val="00D92246"/>
    <w:rsid w:val="00D9244C"/>
    <w:rsid w:val="00D9279E"/>
    <w:rsid w:val="00D92863"/>
    <w:rsid w:val="00D928BF"/>
    <w:rsid w:val="00D9295F"/>
    <w:rsid w:val="00D92A46"/>
    <w:rsid w:val="00D92F3C"/>
    <w:rsid w:val="00D934CC"/>
    <w:rsid w:val="00D942FA"/>
    <w:rsid w:val="00D94515"/>
    <w:rsid w:val="00D9479F"/>
    <w:rsid w:val="00D94B97"/>
    <w:rsid w:val="00D94D79"/>
    <w:rsid w:val="00D94E3E"/>
    <w:rsid w:val="00D94EAA"/>
    <w:rsid w:val="00D94F11"/>
    <w:rsid w:val="00D94F74"/>
    <w:rsid w:val="00D95035"/>
    <w:rsid w:val="00D950AB"/>
    <w:rsid w:val="00D9525D"/>
    <w:rsid w:val="00D952A8"/>
    <w:rsid w:val="00D95315"/>
    <w:rsid w:val="00D95597"/>
    <w:rsid w:val="00D95DB4"/>
    <w:rsid w:val="00D9611E"/>
    <w:rsid w:val="00D96359"/>
    <w:rsid w:val="00D9692F"/>
    <w:rsid w:val="00D96965"/>
    <w:rsid w:val="00D96A01"/>
    <w:rsid w:val="00D97099"/>
    <w:rsid w:val="00D97257"/>
    <w:rsid w:val="00D972C1"/>
    <w:rsid w:val="00D97485"/>
    <w:rsid w:val="00D97492"/>
    <w:rsid w:val="00D97542"/>
    <w:rsid w:val="00D975B8"/>
    <w:rsid w:val="00D97647"/>
    <w:rsid w:val="00D979D2"/>
    <w:rsid w:val="00D97B38"/>
    <w:rsid w:val="00D97D06"/>
    <w:rsid w:val="00D97D49"/>
    <w:rsid w:val="00D97E1B"/>
    <w:rsid w:val="00D97E8D"/>
    <w:rsid w:val="00D97F44"/>
    <w:rsid w:val="00DA0811"/>
    <w:rsid w:val="00DA08AA"/>
    <w:rsid w:val="00DA0A3A"/>
    <w:rsid w:val="00DA0B55"/>
    <w:rsid w:val="00DA0D0D"/>
    <w:rsid w:val="00DA113C"/>
    <w:rsid w:val="00DA1606"/>
    <w:rsid w:val="00DA1608"/>
    <w:rsid w:val="00DA1676"/>
    <w:rsid w:val="00DA19A0"/>
    <w:rsid w:val="00DA1BB4"/>
    <w:rsid w:val="00DA2820"/>
    <w:rsid w:val="00DA2970"/>
    <w:rsid w:val="00DA29CA"/>
    <w:rsid w:val="00DA2FEA"/>
    <w:rsid w:val="00DA31A1"/>
    <w:rsid w:val="00DA33AF"/>
    <w:rsid w:val="00DA3402"/>
    <w:rsid w:val="00DA3589"/>
    <w:rsid w:val="00DA368E"/>
    <w:rsid w:val="00DA36F3"/>
    <w:rsid w:val="00DA37B6"/>
    <w:rsid w:val="00DA3A0F"/>
    <w:rsid w:val="00DA3A6F"/>
    <w:rsid w:val="00DA3AFB"/>
    <w:rsid w:val="00DA3B95"/>
    <w:rsid w:val="00DA3D91"/>
    <w:rsid w:val="00DA4277"/>
    <w:rsid w:val="00DA4416"/>
    <w:rsid w:val="00DA4740"/>
    <w:rsid w:val="00DA4908"/>
    <w:rsid w:val="00DA4BF2"/>
    <w:rsid w:val="00DA4F8D"/>
    <w:rsid w:val="00DA534F"/>
    <w:rsid w:val="00DA53B8"/>
    <w:rsid w:val="00DA5558"/>
    <w:rsid w:val="00DA5634"/>
    <w:rsid w:val="00DA5672"/>
    <w:rsid w:val="00DA5806"/>
    <w:rsid w:val="00DA60A4"/>
    <w:rsid w:val="00DA6184"/>
    <w:rsid w:val="00DA664A"/>
    <w:rsid w:val="00DA66D1"/>
    <w:rsid w:val="00DA6E32"/>
    <w:rsid w:val="00DA6F4E"/>
    <w:rsid w:val="00DA7235"/>
    <w:rsid w:val="00DA7380"/>
    <w:rsid w:val="00DA76FB"/>
    <w:rsid w:val="00DA7706"/>
    <w:rsid w:val="00DA78DF"/>
    <w:rsid w:val="00DA7AB4"/>
    <w:rsid w:val="00DA7CE4"/>
    <w:rsid w:val="00DA7D0A"/>
    <w:rsid w:val="00DA7E51"/>
    <w:rsid w:val="00DA7F95"/>
    <w:rsid w:val="00DB02C1"/>
    <w:rsid w:val="00DB032F"/>
    <w:rsid w:val="00DB0559"/>
    <w:rsid w:val="00DB056F"/>
    <w:rsid w:val="00DB05A5"/>
    <w:rsid w:val="00DB0AC1"/>
    <w:rsid w:val="00DB0AE4"/>
    <w:rsid w:val="00DB0E03"/>
    <w:rsid w:val="00DB172A"/>
    <w:rsid w:val="00DB179F"/>
    <w:rsid w:val="00DB17AD"/>
    <w:rsid w:val="00DB1816"/>
    <w:rsid w:val="00DB1C37"/>
    <w:rsid w:val="00DB1E9C"/>
    <w:rsid w:val="00DB2058"/>
    <w:rsid w:val="00DB2167"/>
    <w:rsid w:val="00DB247C"/>
    <w:rsid w:val="00DB2798"/>
    <w:rsid w:val="00DB27D3"/>
    <w:rsid w:val="00DB2E24"/>
    <w:rsid w:val="00DB3016"/>
    <w:rsid w:val="00DB3240"/>
    <w:rsid w:val="00DB36B6"/>
    <w:rsid w:val="00DB37C5"/>
    <w:rsid w:val="00DB38A2"/>
    <w:rsid w:val="00DB3C6F"/>
    <w:rsid w:val="00DB3E2A"/>
    <w:rsid w:val="00DB4399"/>
    <w:rsid w:val="00DB4491"/>
    <w:rsid w:val="00DB472C"/>
    <w:rsid w:val="00DB4D6E"/>
    <w:rsid w:val="00DB4D8D"/>
    <w:rsid w:val="00DB4E97"/>
    <w:rsid w:val="00DB4EA1"/>
    <w:rsid w:val="00DB4FA6"/>
    <w:rsid w:val="00DB5024"/>
    <w:rsid w:val="00DB5F3B"/>
    <w:rsid w:val="00DB5FDB"/>
    <w:rsid w:val="00DB605D"/>
    <w:rsid w:val="00DB64B6"/>
    <w:rsid w:val="00DB6908"/>
    <w:rsid w:val="00DB6EC6"/>
    <w:rsid w:val="00DB708D"/>
    <w:rsid w:val="00DB70A8"/>
    <w:rsid w:val="00DB7503"/>
    <w:rsid w:val="00DB76F8"/>
    <w:rsid w:val="00DB7850"/>
    <w:rsid w:val="00DB7CD0"/>
    <w:rsid w:val="00DB7D6B"/>
    <w:rsid w:val="00DB7E7A"/>
    <w:rsid w:val="00DC0016"/>
    <w:rsid w:val="00DC00C8"/>
    <w:rsid w:val="00DC0489"/>
    <w:rsid w:val="00DC058F"/>
    <w:rsid w:val="00DC0671"/>
    <w:rsid w:val="00DC0AAF"/>
    <w:rsid w:val="00DC0B2B"/>
    <w:rsid w:val="00DC0F9F"/>
    <w:rsid w:val="00DC13A8"/>
    <w:rsid w:val="00DC13E6"/>
    <w:rsid w:val="00DC174F"/>
    <w:rsid w:val="00DC17DE"/>
    <w:rsid w:val="00DC1BE0"/>
    <w:rsid w:val="00DC1EB8"/>
    <w:rsid w:val="00DC20F8"/>
    <w:rsid w:val="00DC28EE"/>
    <w:rsid w:val="00DC2E04"/>
    <w:rsid w:val="00DC2E48"/>
    <w:rsid w:val="00DC2FB5"/>
    <w:rsid w:val="00DC2FCE"/>
    <w:rsid w:val="00DC359F"/>
    <w:rsid w:val="00DC3626"/>
    <w:rsid w:val="00DC3636"/>
    <w:rsid w:val="00DC3681"/>
    <w:rsid w:val="00DC3A0C"/>
    <w:rsid w:val="00DC3EC0"/>
    <w:rsid w:val="00DC3F05"/>
    <w:rsid w:val="00DC43E3"/>
    <w:rsid w:val="00DC44EB"/>
    <w:rsid w:val="00DC4617"/>
    <w:rsid w:val="00DC46A2"/>
    <w:rsid w:val="00DC4860"/>
    <w:rsid w:val="00DC4C35"/>
    <w:rsid w:val="00DC4E55"/>
    <w:rsid w:val="00DC5784"/>
    <w:rsid w:val="00DC57B4"/>
    <w:rsid w:val="00DC5975"/>
    <w:rsid w:val="00DC5C22"/>
    <w:rsid w:val="00DC628E"/>
    <w:rsid w:val="00DC6747"/>
    <w:rsid w:val="00DC69E9"/>
    <w:rsid w:val="00DC6A3B"/>
    <w:rsid w:val="00DC6AF6"/>
    <w:rsid w:val="00DC6D16"/>
    <w:rsid w:val="00DC6DF6"/>
    <w:rsid w:val="00DC6F81"/>
    <w:rsid w:val="00DC6F89"/>
    <w:rsid w:val="00DC710A"/>
    <w:rsid w:val="00DC716F"/>
    <w:rsid w:val="00DC7309"/>
    <w:rsid w:val="00DC7532"/>
    <w:rsid w:val="00DC7800"/>
    <w:rsid w:val="00DC7E81"/>
    <w:rsid w:val="00DD0146"/>
    <w:rsid w:val="00DD0376"/>
    <w:rsid w:val="00DD04C9"/>
    <w:rsid w:val="00DD0844"/>
    <w:rsid w:val="00DD08A6"/>
    <w:rsid w:val="00DD12A3"/>
    <w:rsid w:val="00DD1692"/>
    <w:rsid w:val="00DD1B8B"/>
    <w:rsid w:val="00DD1C56"/>
    <w:rsid w:val="00DD1D62"/>
    <w:rsid w:val="00DD2183"/>
    <w:rsid w:val="00DD24C8"/>
    <w:rsid w:val="00DD259A"/>
    <w:rsid w:val="00DD2BAE"/>
    <w:rsid w:val="00DD2EED"/>
    <w:rsid w:val="00DD2EEF"/>
    <w:rsid w:val="00DD31A6"/>
    <w:rsid w:val="00DD3247"/>
    <w:rsid w:val="00DD34F8"/>
    <w:rsid w:val="00DD3C2D"/>
    <w:rsid w:val="00DD418B"/>
    <w:rsid w:val="00DD444E"/>
    <w:rsid w:val="00DD453B"/>
    <w:rsid w:val="00DD4613"/>
    <w:rsid w:val="00DD4BAF"/>
    <w:rsid w:val="00DD4C7E"/>
    <w:rsid w:val="00DD4CAE"/>
    <w:rsid w:val="00DD4D0F"/>
    <w:rsid w:val="00DD4F25"/>
    <w:rsid w:val="00DD4FC3"/>
    <w:rsid w:val="00DD5434"/>
    <w:rsid w:val="00DD5712"/>
    <w:rsid w:val="00DD57F1"/>
    <w:rsid w:val="00DD5CDE"/>
    <w:rsid w:val="00DD5DE5"/>
    <w:rsid w:val="00DD5FC9"/>
    <w:rsid w:val="00DD677C"/>
    <w:rsid w:val="00DD6857"/>
    <w:rsid w:val="00DD6DB7"/>
    <w:rsid w:val="00DD6FFF"/>
    <w:rsid w:val="00DD70A6"/>
    <w:rsid w:val="00DD72AE"/>
    <w:rsid w:val="00DD7448"/>
    <w:rsid w:val="00DD75BF"/>
    <w:rsid w:val="00DD7807"/>
    <w:rsid w:val="00DD7F62"/>
    <w:rsid w:val="00DE0160"/>
    <w:rsid w:val="00DE034E"/>
    <w:rsid w:val="00DE03F3"/>
    <w:rsid w:val="00DE04AF"/>
    <w:rsid w:val="00DE0700"/>
    <w:rsid w:val="00DE0E5B"/>
    <w:rsid w:val="00DE1223"/>
    <w:rsid w:val="00DE14CD"/>
    <w:rsid w:val="00DE167F"/>
    <w:rsid w:val="00DE1724"/>
    <w:rsid w:val="00DE17CD"/>
    <w:rsid w:val="00DE1C44"/>
    <w:rsid w:val="00DE2067"/>
    <w:rsid w:val="00DE21D2"/>
    <w:rsid w:val="00DE2689"/>
    <w:rsid w:val="00DE272D"/>
    <w:rsid w:val="00DE27E1"/>
    <w:rsid w:val="00DE2BE2"/>
    <w:rsid w:val="00DE2CD1"/>
    <w:rsid w:val="00DE2FDC"/>
    <w:rsid w:val="00DE3138"/>
    <w:rsid w:val="00DE3219"/>
    <w:rsid w:val="00DE33C2"/>
    <w:rsid w:val="00DE36B4"/>
    <w:rsid w:val="00DE36F0"/>
    <w:rsid w:val="00DE37DD"/>
    <w:rsid w:val="00DE3965"/>
    <w:rsid w:val="00DE39BE"/>
    <w:rsid w:val="00DE3B74"/>
    <w:rsid w:val="00DE3CC5"/>
    <w:rsid w:val="00DE3D52"/>
    <w:rsid w:val="00DE4248"/>
    <w:rsid w:val="00DE42C7"/>
    <w:rsid w:val="00DE464F"/>
    <w:rsid w:val="00DE4D60"/>
    <w:rsid w:val="00DE4F46"/>
    <w:rsid w:val="00DE4FAC"/>
    <w:rsid w:val="00DE5047"/>
    <w:rsid w:val="00DE5733"/>
    <w:rsid w:val="00DE574C"/>
    <w:rsid w:val="00DE5F70"/>
    <w:rsid w:val="00DE60E7"/>
    <w:rsid w:val="00DE6442"/>
    <w:rsid w:val="00DE6587"/>
    <w:rsid w:val="00DE6929"/>
    <w:rsid w:val="00DE75F4"/>
    <w:rsid w:val="00DE7836"/>
    <w:rsid w:val="00DE78EB"/>
    <w:rsid w:val="00DE7939"/>
    <w:rsid w:val="00DE7D48"/>
    <w:rsid w:val="00DF0136"/>
    <w:rsid w:val="00DF0412"/>
    <w:rsid w:val="00DF0531"/>
    <w:rsid w:val="00DF058F"/>
    <w:rsid w:val="00DF05A5"/>
    <w:rsid w:val="00DF0713"/>
    <w:rsid w:val="00DF1884"/>
    <w:rsid w:val="00DF1998"/>
    <w:rsid w:val="00DF1BB4"/>
    <w:rsid w:val="00DF1DBE"/>
    <w:rsid w:val="00DF1F05"/>
    <w:rsid w:val="00DF2350"/>
    <w:rsid w:val="00DF2AD0"/>
    <w:rsid w:val="00DF319D"/>
    <w:rsid w:val="00DF32AF"/>
    <w:rsid w:val="00DF340E"/>
    <w:rsid w:val="00DF34E6"/>
    <w:rsid w:val="00DF350A"/>
    <w:rsid w:val="00DF35B4"/>
    <w:rsid w:val="00DF3C4F"/>
    <w:rsid w:val="00DF3DF7"/>
    <w:rsid w:val="00DF41E5"/>
    <w:rsid w:val="00DF4446"/>
    <w:rsid w:val="00DF459B"/>
    <w:rsid w:val="00DF496C"/>
    <w:rsid w:val="00DF4A82"/>
    <w:rsid w:val="00DF4BC0"/>
    <w:rsid w:val="00DF4D6B"/>
    <w:rsid w:val="00DF4D78"/>
    <w:rsid w:val="00DF4F58"/>
    <w:rsid w:val="00DF5367"/>
    <w:rsid w:val="00DF54FC"/>
    <w:rsid w:val="00DF56D2"/>
    <w:rsid w:val="00DF5C7F"/>
    <w:rsid w:val="00DF5CED"/>
    <w:rsid w:val="00DF6125"/>
    <w:rsid w:val="00DF6215"/>
    <w:rsid w:val="00DF62E0"/>
    <w:rsid w:val="00DF638D"/>
    <w:rsid w:val="00DF6890"/>
    <w:rsid w:val="00DF6A5A"/>
    <w:rsid w:val="00DF6ADB"/>
    <w:rsid w:val="00DF785D"/>
    <w:rsid w:val="00DF793B"/>
    <w:rsid w:val="00DF7C7E"/>
    <w:rsid w:val="00DF7F1F"/>
    <w:rsid w:val="00E00072"/>
    <w:rsid w:val="00E001EB"/>
    <w:rsid w:val="00E003EE"/>
    <w:rsid w:val="00E00461"/>
    <w:rsid w:val="00E007B7"/>
    <w:rsid w:val="00E009DE"/>
    <w:rsid w:val="00E009F7"/>
    <w:rsid w:val="00E00B94"/>
    <w:rsid w:val="00E010B5"/>
    <w:rsid w:val="00E015BD"/>
    <w:rsid w:val="00E017D3"/>
    <w:rsid w:val="00E019D6"/>
    <w:rsid w:val="00E01C6C"/>
    <w:rsid w:val="00E01CBD"/>
    <w:rsid w:val="00E01F05"/>
    <w:rsid w:val="00E02455"/>
    <w:rsid w:val="00E02637"/>
    <w:rsid w:val="00E02691"/>
    <w:rsid w:val="00E02772"/>
    <w:rsid w:val="00E0280B"/>
    <w:rsid w:val="00E02953"/>
    <w:rsid w:val="00E02B1D"/>
    <w:rsid w:val="00E02C77"/>
    <w:rsid w:val="00E02E83"/>
    <w:rsid w:val="00E02ECF"/>
    <w:rsid w:val="00E0330F"/>
    <w:rsid w:val="00E03412"/>
    <w:rsid w:val="00E0383C"/>
    <w:rsid w:val="00E03CB0"/>
    <w:rsid w:val="00E04080"/>
    <w:rsid w:val="00E043B5"/>
    <w:rsid w:val="00E0456D"/>
    <w:rsid w:val="00E04650"/>
    <w:rsid w:val="00E0473C"/>
    <w:rsid w:val="00E04874"/>
    <w:rsid w:val="00E04DA5"/>
    <w:rsid w:val="00E04DEB"/>
    <w:rsid w:val="00E04EC2"/>
    <w:rsid w:val="00E050F1"/>
    <w:rsid w:val="00E054C5"/>
    <w:rsid w:val="00E0596B"/>
    <w:rsid w:val="00E059DD"/>
    <w:rsid w:val="00E05A0F"/>
    <w:rsid w:val="00E05BA3"/>
    <w:rsid w:val="00E05D9B"/>
    <w:rsid w:val="00E06112"/>
    <w:rsid w:val="00E0630D"/>
    <w:rsid w:val="00E063E7"/>
    <w:rsid w:val="00E066B6"/>
    <w:rsid w:val="00E06823"/>
    <w:rsid w:val="00E06D59"/>
    <w:rsid w:val="00E06D9E"/>
    <w:rsid w:val="00E07834"/>
    <w:rsid w:val="00E078C1"/>
    <w:rsid w:val="00E0790F"/>
    <w:rsid w:val="00E079EE"/>
    <w:rsid w:val="00E07F24"/>
    <w:rsid w:val="00E10118"/>
    <w:rsid w:val="00E101BE"/>
    <w:rsid w:val="00E10274"/>
    <w:rsid w:val="00E109A9"/>
    <w:rsid w:val="00E10F17"/>
    <w:rsid w:val="00E11992"/>
    <w:rsid w:val="00E11BDB"/>
    <w:rsid w:val="00E11EA8"/>
    <w:rsid w:val="00E12018"/>
    <w:rsid w:val="00E1205F"/>
    <w:rsid w:val="00E121AA"/>
    <w:rsid w:val="00E1255B"/>
    <w:rsid w:val="00E127E5"/>
    <w:rsid w:val="00E12DB5"/>
    <w:rsid w:val="00E12F40"/>
    <w:rsid w:val="00E13512"/>
    <w:rsid w:val="00E13886"/>
    <w:rsid w:val="00E138CE"/>
    <w:rsid w:val="00E13B7A"/>
    <w:rsid w:val="00E13FDE"/>
    <w:rsid w:val="00E144CF"/>
    <w:rsid w:val="00E14501"/>
    <w:rsid w:val="00E1489A"/>
    <w:rsid w:val="00E148B0"/>
    <w:rsid w:val="00E1492C"/>
    <w:rsid w:val="00E14EFA"/>
    <w:rsid w:val="00E15126"/>
    <w:rsid w:val="00E15714"/>
    <w:rsid w:val="00E159BB"/>
    <w:rsid w:val="00E15A82"/>
    <w:rsid w:val="00E15B4A"/>
    <w:rsid w:val="00E15B8D"/>
    <w:rsid w:val="00E15E99"/>
    <w:rsid w:val="00E16007"/>
    <w:rsid w:val="00E1600D"/>
    <w:rsid w:val="00E16161"/>
    <w:rsid w:val="00E16201"/>
    <w:rsid w:val="00E16266"/>
    <w:rsid w:val="00E1629E"/>
    <w:rsid w:val="00E162F9"/>
    <w:rsid w:val="00E163C1"/>
    <w:rsid w:val="00E167F6"/>
    <w:rsid w:val="00E16D16"/>
    <w:rsid w:val="00E16D1D"/>
    <w:rsid w:val="00E16D97"/>
    <w:rsid w:val="00E17179"/>
    <w:rsid w:val="00E17242"/>
    <w:rsid w:val="00E17285"/>
    <w:rsid w:val="00E17344"/>
    <w:rsid w:val="00E17437"/>
    <w:rsid w:val="00E17B0D"/>
    <w:rsid w:val="00E17D62"/>
    <w:rsid w:val="00E17E07"/>
    <w:rsid w:val="00E2088B"/>
    <w:rsid w:val="00E20989"/>
    <w:rsid w:val="00E20D55"/>
    <w:rsid w:val="00E21695"/>
    <w:rsid w:val="00E21966"/>
    <w:rsid w:val="00E219A6"/>
    <w:rsid w:val="00E21D1F"/>
    <w:rsid w:val="00E21F31"/>
    <w:rsid w:val="00E22220"/>
    <w:rsid w:val="00E2235C"/>
    <w:rsid w:val="00E22977"/>
    <w:rsid w:val="00E22E5A"/>
    <w:rsid w:val="00E230DD"/>
    <w:rsid w:val="00E23219"/>
    <w:rsid w:val="00E23233"/>
    <w:rsid w:val="00E232DF"/>
    <w:rsid w:val="00E233AA"/>
    <w:rsid w:val="00E23701"/>
    <w:rsid w:val="00E238C1"/>
    <w:rsid w:val="00E23978"/>
    <w:rsid w:val="00E23BE9"/>
    <w:rsid w:val="00E23DCA"/>
    <w:rsid w:val="00E240C9"/>
    <w:rsid w:val="00E24114"/>
    <w:rsid w:val="00E24960"/>
    <w:rsid w:val="00E24BBF"/>
    <w:rsid w:val="00E24D6F"/>
    <w:rsid w:val="00E24E1D"/>
    <w:rsid w:val="00E24F28"/>
    <w:rsid w:val="00E24F58"/>
    <w:rsid w:val="00E2507F"/>
    <w:rsid w:val="00E254CE"/>
    <w:rsid w:val="00E25530"/>
    <w:rsid w:val="00E255A5"/>
    <w:rsid w:val="00E257A2"/>
    <w:rsid w:val="00E259D9"/>
    <w:rsid w:val="00E25BBF"/>
    <w:rsid w:val="00E25C6F"/>
    <w:rsid w:val="00E25D07"/>
    <w:rsid w:val="00E25E2A"/>
    <w:rsid w:val="00E26128"/>
    <w:rsid w:val="00E2643F"/>
    <w:rsid w:val="00E265C1"/>
    <w:rsid w:val="00E26A8D"/>
    <w:rsid w:val="00E26AF7"/>
    <w:rsid w:val="00E26CEE"/>
    <w:rsid w:val="00E26D09"/>
    <w:rsid w:val="00E26ED1"/>
    <w:rsid w:val="00E26F01"/>
    <w:rsid w:val="00E2720C"/>
    <w:rsid w:val="00E274FE"/>
    <w:rsid w:val="00E27530"/>
    <w:rsid w:val="00E2766D"/>
    <w:rsid w:val="00E27784"/>
    <w:rsid w:val="00E278DB"/>
    <w:rsid w:val="00E27A8B"/>
    <w:rsid w:val="00E27B24"/>
    <w:rsid w:val="00E27B85"/>
    <w:rsid w:val="00E27D94"/>
    <w:rsid w:val="00E300BF"/>
    <w:rsid w:val="00E30C84"/>
    <w:rsid w:val="00E30E20"/>
    <w:rsid w:val="00E30F7D"/>
    <w:rsid w:val="00E30FA4"/>
    <w:rsid w:val="00E31103"/>
    <w:rsid w:val="00E31132"/>
    <w:rsid w:val="00E312C2"/>
    <w:rsid w:val="00E312DE"/>
    <w:rsid w:val="00E3151E"/>
    <w:rsid w:val="00E31890"/>
    <w:rsid w:val="00E31A89"/>
    <w:rsid w:val="00E31DD8"/>
    <w:rsid w:val="00E3241A"/>
    <w:rsid w:val="00E324E5"/>
    <w:rsid w:val="00E32722"/>
    <w:rsid w:val="00E329B5"/>
    <w:rsid w:val="00E32EC5"/>
    <w:rsid w:val="00E33579"/>
    <w:rsid w:val="00E33616"/>
    <w:rsid w:val="00E33867"/>
    <w:rsid w:val="00E33943"/>
    <w:rsid w:val="00E3394F"/>
    <w:rsid w:val="00E33A5C"/>
    <w:rsid w:val="00E33AAB"/>
    <w:rsid w:val="00E33B0E"/>
    <w:rsid w:val="00E33B57"/>
    <w:rsid w:val="00E33CA5"/>
    <w:rsid w:val="00E33EDF"/>
    <w:rsid w:val="00E33F46"/>
    <w:rsid w:val="00E34457"/>
    <w:rsid w:val="00E346A6"/>
    <w:rsid w:val="00E34997"/>
    <w:rsid w:val="00E34E91"/>
    <w:rsid w:val="00E350F3"/>
    <w:rsid w:val="00E3529C"/>
    <w:rsid w:val="00E35516"/>
    <w:rsid w:val="00E35542"/>
    <w:rsid w:val="00E355A0"/>
    <w:rsid w:val="00E357C9"/>
    <w:rsid w:val="00E358CD"/>
    <w:rsid w:val="00E35988"/>
    <w:rsid w:val="00E35B25"/>
    <w:rsid w:val="00E35CC7"/>
    <w:rsid w:val="00E35CE0"/>
    <w:rsid w:val="00E35E71"/>
    <w:rsid w:val="00E35EE0"/>
    <w:rsid w:val="00E360F8"/>
    <w:rsid w:val="00E36144"/>
    <w:rsid w:val="00E362B5"/>
    <w:rsid w:val="00E3632E"/>
    <w:rsid w:val="00E368D6"/>
    <w:rsid w:val="00E36FD2"/>
    <w:rsid w:val="00E36FE4"/>
    <w:rsid w:val="00E374F1"/>
    <w:rsid w:val="00E375DE"/>
    <w:rsid w:val="00E37970"/>
    <w:rsid w:val="00E37C8C"/>
    <w:rsid w:val="00E37DAF"/>
    <w:rsid w:val="00E40070"/>
    <w:rsid w:val="00E400B8"/>
    <w:rsid w:val="00E403F6"/>
    <w:rsid w:val="00E40537"/>
    <w:rsid w:val="00E406E2"/>
    <w:rsid w:val="00E408EB"/>
    <w:rsid w:val="00E408F6"/>
    <w:rsid w:val="00E409B6"/>
    <w:rsid w:val="00E40BFF"/>
    <w:rsid w:val="00E40D7B"/>
    <w:rsid w:val="00E40DE8"/>
    <w:rsid w:val="00E40F21"/>
    <w:rsid w:val="00E41233"/>
    <w:rsid w:val="00E41699"/>
    <w:rsid w:val="00E41742"/>
    <w:rsid w:val="00E41859"/>
    <w:rsid w:val="00E4187C"/>
    <w:rsid w:val="00E41B5E"/>
    <w:rsid w:val="00E41B80"/>
    <w:rsid w:val="00E41CCC"/>
    <w:rsid w:val="00E41D8F"/>
    <w:rsid w:val="00E41DE5"/>
    <w:rsid w:val="00E41DFF"/>
    <w:rsid w:val="00E41E4F"/>
    <w:rsid w:val="00E41F80"/>
    <w:rsid w:val="00E42433"/>
    <w:rsid w:val="00E42618"/>
    <w:rsid w:val="00E429C3"/>
    <w:rsid w:val="00E42B40"/>
    <w:rsid w:val="00E42C4C"/>
    <w:rsid w:val="00E42C7F"/>
    <w:rsid w:val="00E42D0E"/>
    <w:rsid w:val="00E430F9"/>
    <w:rsid w:val="00E4318B"/>
    <w:rsid w:val="00E43568"/>
    <w:rsid w:val="00E439CC"/>
    <w:rsid w:val="00E43AA6"/>
    <w:rsid w:val="00E43D46"/>
    <w:rsid w:val="00E44344"/>
    <w:rsid w:val="00E4440C"/>
    <w:rsid w:val="00E4449E"/>
    <w:rsid w:val="00E44911"/>
    <w:rsid w:val="00E44996"/>
    <w:rsid w:val="00E451B9"/>
    <w:rsid w:val="00E45270"/>
    <w:rsid w:val="00E45F33"/>
    <w:rsid w:val="00E45FC9"/>
    <w:rsid w:val="00E463F8"/>
    <w:rsid w:val="00E46764"/>
    <w:rsid w:val="00E46B50"/>
    <w:rsid w:val="00E47251"/>
    <w:rsid w:val="00E472E3"/>
    <w:rsid w:val="00E47638"/>
    <w:rsid w:val="00E478C6"/>
    <w:rsid w:val="00E47E9D"/>
    <w:rsid w:val="00E47EFB"/>
    <w:rsid w:val="00E50054"/>
    <w:rsid w:val="00E500B3"/>
    <w:rsid w:val="00E500E7"/>
    <w:rsid w:val="00E5029D"/>
    <w:rsid w:val="00E5032E"/>
    <w:rsid w:val="00E5039E"/>
    <w:rsid w:val="00E5055B"/>
    <w:rsid w:val="00E50BDD"/>
    <w:rsid w:val="00E50CC4"/>
    <w:rsid w:val="00E50D58"/>
    <w:rsid w:val="00E50FF1"/>
    <w:rsid w:val="00E513FF"/>
    <w:rsid w:val="00E51494"/>
    <w:rsid w:val="00E51A3F"/>
    <w:rsid w:val="00E51B0B"/>
    <w:rsid w:val="00E52398"/>
    <w:rsid w:val="00E523AA"/>
    <w:rsid w:val="00E52517"/>
    <w:rsid w:val="00E528BF"/>
    <w:rsid w:val="00E52BAC"/>
    <w:rsid w:val="00E52E3E"/>
    <w:rsid w:val="00E52F95"/>
    <w:rsid w:val="00E52FFA"/>
    <w:rsid w:val="00E53CB1"/>
    <w:rsid w:val="00E53DB4"/>
    <w:rsid w:val="00E54714"/>
    <w:rsid w:val="00E5471D"/>
    <w:rsid w:val="00E54759"/>
    <w:rsid w:val="00E549FC"/>
    <w:rsid w:val="00E54D12"/>
    <w:rsid w:val="00E54F95"/>
    <w:rsid w:val="00E54FA7"/>
    <w:rsid w:val="00E55005"/>
    <w:rsid w:val="00E55056"/>
    <w:rsid w:val="00E551D3"/>
    <w:rsid w:val="00E5538A"/>
    <w:rsid w:val="00E55406"/>
    <w:rsid w:val="00E556DB"/>
    <w:rsid w:val="00E558F5"/>
    <w:rsid w:val="00E5599F"/>
    <w:rsid w:val="00E56142"/>
    <w:rsid w:val="00E5631F"/>
    <w:rsid w:val="00E56555"/>
    <w:rsid w:val="00E565B4"/>
    <w:rsid w:val="00E569FB"/>
    <w:rsid w:val="00E56A2B"/>
    <w:rsid w:val="00E56DE5"/>
    <w:rsid w:val="00E57582"/>
    <w:rsid w:val="00E57C20"/>
    <w:rsid w:val="00E57E39"/>
    <w:rsid w:val="00E57E94"/>
    <w:rsid w:val="00E6041E"/>
    <w:rsid w:val="00E606DC"/>
    <w:rsid w:val="00E60844"/>
    <w:rsid w:val="00E60D22"/>
    <w:rsid w:val="00E60F16"/>
    <w:rsid w:val="00E60FA0"/>
    <w:rsid w:val="00E61004"/>
    <w:rsid w:val="00E61212"/>
    <w:rsid w:val="00E61642"/>
    <w:rsid w:val="00E61D2A"/>
    <w:rsid w:val="00E61E1E"/>
    <w:rsid w:val="00E61E24"/>
    <w:rsid w:val="00E61E7A"/>
    <w:rsid w:val="00E61F11"/>
    <w:rsid w:val="00E62034"/>
    <w:rsid w:val="00E62C58"/>
    <w:rsid w:val="00E62E82"/>
    <w:rsid w:val="00E63114"/>
    <w:rsid w:val="00E63135"/>
    <w:rsid w:val="00E632C4"/>
    <w:rsid w:val="00E63300"/>
    <w:rsid w:val="00E6353B"/>
    <w:rsid w:val="00E635EE"/>
    <w:rsid w:val="00E63728"/>
    <w:rsid w:val="00E63CC6"/>
    <w:rsid w:val="00E6426A"/>
    <w:rsid w:val="00E6432C"/>
    <w:rsid w:val="00E6449B"/>
    <w:rsid w:val="00E64643"/>
    <w:rsid w:val="00E64BE8"/>
    <w:rsid w:val="00E65009"/>
    <w:rsid w:val="00E65027"/>
    <w:rsid w:val="00E65287"/>
    <w:rsid w:val="00E652D0"/>
    <w:rsid w:val="00E652E1"/>
    <w:rsid w:val="00E65350"/>
    <w:rsid w:val="00E65CDF"/>
    <w:rsid w:val="00E65D76"/>
    <w:rsid w:val="00E65E51"/>
    <w:rsid w:val="00E65E6C"/>
    <w:rsid w:val="00E65F0F"/>
    <w:rsid w:val="00E661A3"/>
    <w:rsid w:val="00E66B5A"/>
    <w:rsid w:val="00E66BB1"/>
    <w:rsid w:val="00E66D34"/>
    <w:rsid w:val="00E66EF9"/>
    <w:rsid w:val="00E67091"/>
    <w:rsid w:val="00E67400"/>
    <w:rsid w:val="00E678E1"/>
    <w:rsid w:val="00E67C9E"/>
    <w:rsid w:val="00E70022"/>
    <w:rsid w:val="00E70105"/>
    <w:rsid w:val="00E706CB"/>
    <w:rsid w:val="00E70ED1"/>
    <w:rsid w:val="00E7126D"/>
    <w:rsid w:val="00E7141D"/>
    <w:rsid w:val="00E71449"/>
    <w:rsid w:val="00E71857"/>
    <w:rsid w:val="00E7197B"/>
    <w:rsid w:val="00E71A5E"/>
    <w:rsid w:val="00E71B41"/>
    <w:rsid w:val="00E71C66"/>
    <w:rsid w:val="00E71E5B"/>
    <w:rsid w:val="00E720A3"/>
    <w:rsid w:val="00E725B9"/>
    <w:rsid w:val="00E7264F"/>
    <w:rsid w:val="00E728DC"/>
    <w:rsid w:val="00E72B78"/>
    <w:rsid w:val="00E72FD5"/>
    <w:rsid w:val="00E731B6"/>
    <w:rsid w:val="00E734C6"/>
    <w:rsid w:val="00E739CA"/>
    <w:rsid w:val="00E73A4D"/>
    <w:rsid w:val="00E73E3E"/>
    <w:rsid w:val="00E74139"/>
    <w:rsid w:val="00E74590"/>
    <w:rsid w:val="00E748C9"/>
    <w:rsid w:val="00E74A9A"/>
    <w:rsid w:val="00E74EC2"/>
    <w:rsid w:val="00E74F42"/>
    <w:rsid w:val="00E75239"/>
    <w:rsid w:val="00E7544B"/>
    <w:rsid w:val="00E75980"/>
    <w:rsid w:val="00E75B2A"/>
    <w:rsid w:val="00E75DBF"/>
    <w:rsid w:val="00E75DD1"/>
    <w:rsid w:val="00E75FD4"/>
    <w:rsid w:val="00E76A76"/>
    <w:rsid w:val="00E76DD2"/>
    <w:rsid w:val="00E76F44"/>
    <w:rsid w:val="00E7733D"/>
    <w:rsid w:val="00E776FB"/>
    <w:rsid w:val="00E801D4"/>
    <w:rsid w:val="00E80449"/>
    <w:rsid w:val="00E8094E"/>
    <w:rsid w:val="00E80BEE"/>
    <w:rsid w:val="00E80ED7"/>
    <w:rsid w:val="00E80FCD"/>
    <w:rsid w:val="00E80FD7"/>
    <w:rsid w:val="00E819D8"/>
    <w:rsid w:val="00E819F6"/>
    <w:rsid w:val="00E81AC8"/>
    <w:rsid w:val="00E81B71"/>
    <w:rsid w:val="00E81BF7"/>
    <w:rsid w:val="00E81C37"/>
    <w:rsid w:val="00E81DD6"/>
    <w:rsid w:val="00E822A1"/>
    <w:rsid w:val="00E827EE"/>
    <w:rsid w:val="00E82A6D"/>
    <w:rsid w:val="00E82AD1"/>
    <w:rsid w:val="00E82BF5"/>
    <w:rsid w:val="00E82C20"/>
    <w:rsid w:val="00E82D03"/>
    <w:rsid w:val="00E83370"/>
    <w:rsid w:val="00E8374C"/>
    <w:rsid w:val="00E83837"/>
    <w:rsid w:val="00E83A71"/>
    <w:rsid w:val="00E83D0C"/>
    <w:rsid w:val="00E84168"/>
    <w:rsid w:val="00E845E0"/>
    <w:rsid w:val="00E84708"/>
    <w:rsid w:val="00E848B6"/>
    <w:rsid w:val="00E84AB6"/>
    <w:rsid w:val="00E84BD6"/>
    <w:rsid w:val="00E84DC4"/>
    <w:rsid w:val="00E84E81"/>
    <w:rsid w:val="00E850FF"/>
    <w:rsid w:val="00E851B3"/>
    <w:rsid w:val="00E851C8"/>
    <w:rsid w:val="00E8539F"/>
    <w:rsid w:val="00E85592"/>
    <w:rsid w:val="00E855CF"/>
    <w:rsid w:val="00E85865"/>
    <w:rsid w:val="00E85DB9"/>
    <w:rsid w:val="00E8671B"/>
    <w:rsid w:val="00E86735"/>
    <w:rsid w:val="00E87049"/>
    <w:rsid w:val="00E87128"/>
    <w:rsid w:val="00E872D8"/>
    <w:rsid w:val="00E8747A"/>
    <w:rsid w:val="00E874CF"/>
    <w:rsid w:val="00E87950"/>
    <w:rsid w:val="00E87A1E"/>
    <w:rsid w:val="00E87CE1"/>
    <w:rsid w:val="00E87CE7"/>
    <w:rsid w:val="00E90095"/>
    <w:rsid w:val="00E901EC"/>
    <w:rsid w:val="00E90332"/>
    <w:rsid w:val="00E903E0"/>
    <w:rsid w:val="00E90489"/>
    <w:rsid w:val="00E906A2"/>
    <w:rsid w:val="00E907A7"/>
    <w:rsid w:val="00E909F8"/>
    <w:rsid w:val="00E90B95"/>
    <w:rsid w:val="00E90E5F"/>
    <w:rsid w:val="00E90F79"/>
    <w:rsid w:val="00E91244"/>
    <w:rsid w:val="00E9156A"/>
    <w:rsid w:val="00E91678"/>
    <w:rsid w:val="00E916FA"/>
    <w:rsid w:val="00E91BA6"/>
    <w:rsid w:val="00E91D18"/>
    <w:rsid w:val="00E91DE0"/>
    <w:rsid w:val="00E91F39"/>
    <w:rsid w:val="00E91F59"/>
    <w:rsid w:val="00E92297"/>
    <w:rsid w:val="00E9239D"/>
    <w:rsid w:val="00E9245B"/>
    <w:rsid w:val="00E924E1"/>
    <w:rsid w:val="00E92ADB"/>
    <w:rsid w:val="00E92BA5"/>
    <w:rsid w:val="00E92BD2"/>
    <w:rsid w:val="00E92CA5"/>
    <w:rsid w:val="00E92E07"/>
    <w:rsid w:val="00E92E1D"/>
    <w:rsid w:val="00E9375A"/>
    <w:rsid w:val="00E938FC"/>
    <w:rsid w:val="00E93B97"/>
    <w:rsid w:val="00E93D25"/>
    <w:rsid w:val="00E93DE5"/>
    <w:rsid w:val="00E93F0B"/>
    <w:rsid w:val="00E93F91"/>
    <w:rsid w:val="00E94022"/>
    <w:rsid w:val="00E944DB"/>
    <w:rsid w:val="00E9452E"/>
    <w:rsid w:val="00E947E1"/>
    <w:rsid w:val="00E94FFD"/>
    <w:rsid w:val="00E95054"/>
    <w:rsid w:val="00E958BF"/>
    <w:rsid w:val="00E95984"/>
    <w:rsid w:val="00E95AAD"/>
    <w:rsid w:val="00E95CF3"/>
    <w:rsid w:val="00E95DD3"/>
    <w:rsid w:val="00E9643A"/>
    <w:rsid w:val="00E96562"/>
    <w:rsid w:val="00E96A9F"/>
    <w:rsid w:val="00E96ED7"/>
    <w:rsid w:val="00E97101"/>
    <w:rsid w:val="00E9740C"/>
    <w:rsid w:val="00E97673"/>
    <w:rsid w:val="00E977B6"/>
    <w:rsid w:val="00E97829"/>
    <w:rsid w:val="00E97A50"/>
    <w:rsid w:val="00E97A9B"/>
    <w:rsid w:val="00E97BC4"/>
    <w:rsid w:val="00EA0584"/>
    <w:rsid w:val="00EA0D54"/>
    <w:rsid w:val="00EA0D5D"/>
    <w:rsid w:val="00EA0E0D"/>
    <w:rsid w:val="00EA0E65"/>
    <w:rsid w:val="00EA1031"/>
    <w:rsid w:val="00EA10D3"/>
    <w:rsid w:val="00EA11B9"/>
    <w:rsid w:val="00EA1573"/>
    <w:rsid w:val="00EA184E"/>
    <w:rsid w:val="00EA1AFF"/>
    <w:rsid w:val="00EA1F59"/>
    <w:rsid w:val="00EA222D"/>
    <w:rsid w:val="00EA2654"/>
    <w:rsid w:val="00EA27B0"/>
    <w:rsid w:val="00EA2D69"/>
    <w:rsid w:val="00EA2E1B"/>
    <w:rsid w:val="00EA2E8E"/>
    <w:rsid w:val="00EA3156"/>
    <w:rsid w:val="00EA3266"/>
    <w:rsid w:val="00EA32FB"/>
    <w:rsid w:val="00EA3785"/>
    <w:rsid w:val="00EA3868"/>
    <w:rsid w:val="00EA39B2"/>
    <w:rsid w:val="00EA3E17"/>
    <w:rsid w:val="00EA3E30"/>
    <w:rsid w:val="00EA3E3D"/>
    <w:rsid w:val="00EA3F39"/>
    <w:rsid w:val="00EA45A0"/>
    <w:rsid w:val="00EA462D"/>
    <w:rsid w:val="00EA46E9"/>
    <w:rsid w:val="00EA4792"/>
    <w:rsid w:val="00EA4978"/>
    <w:rsid w:val="00EA4C48"/>
    <w:rsid w:val="00EA50F1"/>
    <w:rsid w:val="00EA51A3"/>
    <w:rsid w:val="00EA522F"/>
    <w:rsid w:val="00EA5252"/>
    <w:rsid w:val="00EA52FD"/>
    <w:rsid w:val="00EA56A6"/>
    <w:rsid w:val="00EA57BC"/>
    <w:rsid w:val="00EA5B7D"/>
    <w:rsid w:val="00EA5CE2"/>
    <w:rsid w:val="00EA5D70"/>
    <w:rsid w:val="00EA600B"/>
    <w:rsid w:val="00EA63C7"/>
    <w:rsid w:val="00EA645B"/>
    <w:rsid w:val="00EA6BF2"/>
    <w:rsid w:val="00EA6D61"/>
    <w:rsid w:val="00EA7063"/>
    <w:rsid w:val="00EA7379"/>
    <w:rsid w:val="00EA75F8"/>
    <w:rsid w:val="00EB00A1"/>
    <w:rsid w:val="00EB049E"/>
    <w:rsid w:val="00EB0542"/>
    <w:rsid w:val="00EB05FC"/>
    <w:rsid w:val="00EB067A"/>
    <w:rsid w:val="00EB09E4"/>
    <w:rsid w:val="00EB0A70"/>
    <w:rsid w:val="00EB0B36"/>
    <w:rsid w:val="00EB0D35"/>
    <w:rsid w:val="00EB0FB5"/>
    <w:rsid w:val="00EB13D5"/>
    <w:rsid w:val="00EB2284"/>
    <w:rsid w:val="00EB2834"/>
    <w:rsid w:val="00EB2F04"/>
    <w:rsid w:val="00EB2F1C"/>
    <w:rsid w:val="00EB3418"/>
    <w:rsid w:val="00EB3490"/>
    <w:rsid w:val="00EB388B"/>
    <w:rsid w:val="00EB3A30"/>
    <w:rsid w:val="00EB3AD4"/>
    <w:rsid w:val="00EB3DA2"/>
    <w:rsid w:val="00EB3E9E"/>
    <w:rsid w:val="00EB3FBC"/>
    <w:rsid w:val="00EB4148"/>
    <w:rsid w:val="00EB417B"/>
    <w:rsid w:val="00EB426E"/>
    <w:rsid w:val="00EB4287"/>
    <w:rsid w:val="00EB4736"/>
    <w:rsid w:val="00EB47FD"/>
    <w:rsid w:val="00EB4E39"/>
    <w:rsid w:val="00EB5604"/>
    <w:rsid w:val="00EB56A8"/>
    <w:rsid w:val="00EB57F9"/>
    <w:rsid w:val="00EB58F2"/>
    <w:rsid w:val="00EB5BCE"/>
    <w:rsid w:val="00EB5D65"/>
    <w:rsid w:val="00EB63F7"/>
    <w:rsid w:val="00EB6744"/>
    <w:rsid w:val="00EB6CBA"/>
    <w:rsid w:val="00EB6D0F"/>
    <w:rsid w:val="00EB6DCD"/>
    <w:rsid w:val="00EB70F1"/>
    <w:rsid w:val="00EB720E"/>
    <w:rsid w:val="00EB72FF"/>
    <w:rsid w:val="00EB7829"/>
    <w:rsid w:val="00EB7934"/>
    <w:rsid w:val="00EC0138"/>
    <w:rsid w:val="00EC0158"/>
    <w:rsid w:val="00EC0350"/>
    <w:rsid w:val="00EC0968"/>
    <w:rsid w:val="00EC0B11"/>
    <w:rsid w:val="00EC0BDC"/>
    <w:rsid w:val="00EC0E28"/>
    <w:rsid w:val="00EC0FC0"/>
    <w:rsid w:val="00EC13D8"/>
    <w:rsid w:val="00EC194A"/>
    <w:rsid w:val="00EC1AE2"/>
    <w:rsid w:val="00EC1B7D"/>
    <w:rsid w:val="00EC1D3D"/>
    <w:rsid w:val="00EC1F5F"/>
    <w:rsid w:val="00EC2046"/>
    <w:rsid w:val="00EC2175"/>
    <w:rsid w:val="00EC2C58"/>
    <w:rsid w:val="00EC3029"/>
    <w:rsid w:val="00EC3192"/>
    <w:rsid w:val="00EC3293"/>
    <w:rsid w:val="00EC32AF"/>
    <w:rsid w:val="00EC34A6"/>
    <w:rsid w:val="00EC42C4"/>
    <w:rsid w:val="00EC456C"/>
    <w:rsid w:val="00EC477F"/>
    <w:rsid w:val="00EC478B"/>
    <w:rsid w:val="00EC4A06"/>
    <w:rsid w:val="00EC5349"/>
    <w:rsid w:val="00EC54BB"/>
    <w:rsid w:val="00EC58E4"/>
    <w:rsid w:val="00EC59B6"/>
    <w:rsid w:val="00EC5C40"/>
    <w:rsid w:val="00EC60E1"/>
    <w:rsid w:val="00EC616F"/>
    <w:rsid w:val="00EC61C4"/>
    <w:rsid w:val="00EC67CE"/>
    <w:rsid w:val="00EC6946"/>
    <w:rsid w:val="00EC6A16"/>
    <w:rsid w:val="00EC6B1B"/>
    <w:rsid w:val="00EC6DDA"/>
    <w:rsid w:val="00EC6F26"/>
    <w:rsid w:val="00ED0345"/>
    <w:rsid w:val="00ED0530"/>
    <w:rsid w:val="00ED0545"/>
    <w:rsid w:val="00ED102D"/>
    <w:rsid w:val="00ED1389"/>
    <w:rsid w:val="00ED1BB1"/>
    <w:rsid w:val="00ED1EF3"/>
    <w:rsid w:val="00ED1FFC"/>
    <w:rsid w:val="00ED2158"/>
    <w:rsid w:val="00ED21EF"/>
    <w:rsid w:val="00ED233C"/>
    <w:rsid w:val="00ED263F"/>
    <w:rsid w:val="00ED26A7"/>
    <w:rsid w:val="00ED272B"/>
    <w:rsid w:val="00ED2757"/>
    <w:rsid w:val="00ED2922"/>
    <w:rsid w:val="00ED2EDF"/>
    <w:rsid w:val="00ED331B"/>
    <w:rsid w:val="00ED34FC"/>
    <w:rsid w:val="00ED370D"/>
    <w:rsid w:val="00ED39E6"/>
    <w:rsid w:val="00ED3A0B"/>
    <w:rsid w:val="00ED3C9F"/>
    <w:rsid w:val="00ED3F2C"/>
    <w:rsid w:val="00ED4029"/>
    <w:rsid w:val="00ED4154"/>
    <w:rsid w:val="00ED476C"/>
    <w:rsid w:val="00ED4978"/>
    <w:rsid w:val="00ED4B87"/>
    <w:rsid w:val="00ED4C02"/>
    <w:rsid w:val="00ED5E8E"/>
    <w:rsid w:val="00ED5FF8"/>
    <w:rsid w:val="00ED6238"/>
    <w:rsid w:val="00ED6457"/>
    <w:rsid w:val="00ED657A"/>
    <w:rsid w:val="00ED6639"/>
    <w:rsid w:val="00ED66B4"/>
    <w:rsid w:val="00ED686C"/>
    <w:rsid w:val="00ED6A48"/>
    <w:rsid w:val="00ED6BF6"/>
    <w:rsid w:val="00ED70F4"/>
    <w:rsid w:val="00ED730D"/>
    <w:rsid w:val="00ED7759"/>
    <w:rsid w:val="00ED7A49"/>
    <w:rsid w:val="00ED7BAC"/>
    <w:rsid w:val="00EE0496"/>
    <w:rsid w:val="00EE05D5"/>
    <w:rsid w:val="00EE07A0"/>
    <w:rsid w:val="00EE1402"/>
    <w:rsid w:val="00EE1572"/>
    <w:rsid w:val="00EE15FC"/>
    <w:rsid w:val="00EE1ABC"/>
    <w:rsid w:val="00EE230D"/>
    <w:rsid w:val="00EE2335"/>
    <w:rsid w:val="00EE2621"/>
    <w:rsid w:val="00EE268E"/>
    <w:rsid w:val="00EE30D5"/>
    <w:rsid w:val="00EE316B"/>
    <w:rsid w:val="00EE3522"/>
    <w:rsid w:val="00EE3758"/>
    <w:rsid w:val="00EE3897"/>
    <w:rsid w:val="00EE38EC"/>
    <w:rsid w:val="00EE39EF"/>
    <w:rsid w:val="00EE3AE6"/>
    <w:rsid w:val="00EE3B28"/>
    <w:rsid w:val="00EE3F09"/>
    <w:rsid w:val="00EE3F8A"/>
    <w:rsid w:val="00EE42B9"/>
    <w:rsid w:val="00EE4A5B"/>
    <w:rsid w:val="00EE4AAD"/>
    <w:rsid w:val="00EE4B74"/>
    <w:rsid w:val="00EE4BDD"/>
    <w:rsid w:val="00EE4C91"/>
    <w:rsid w:val="00EE4F9F"/>
    <w:rsid w:val="00EE50DB"/>
    <w:rsid w:val="00EE52D0"/>
    <w:rsid w:val="00EE52D8"/>
    <w:rsid w:val="00EE54E0"/>
    <w:rsid w:val="00EE56F6"/>
    <w:rsid w:val="00EE5BE8"/>
    <w:rsid w:val="00EE5EB2"/>
    <w:rsid w:val="00EE60D8"/>
    <w:rsid w:val="00EE61D2"/>
    <w:rsid w:val="00EE62A6"/>
    <w:rsid w:val="00EE6404"/>
    <w:rsid w:val="00EE6418"/>
    <w:rsid w:val="00EE6BA2"/>
    <w:rsid w:val="00EE6D4D"/>
    <w:rsid w:val="00EE7090"/>
    <w:rsid w:val="00EE7441"/>
    <w:rsid w:val="00EF04E3"/>
    <w:rsid w:val="00EF0600"/>
    <w:rsid w:val="00EF089D"/>
    <w:rsid w:val="00EF08C9"/>
    <w:rsid w:val="00EF0EA8"/>
    <w:rsid w:val="00EF0F8C"/>
    <w:rsid w:val="00EF1234"/>
    <w:rsid w:val="00EF1718"/>
    <w:rsid w:val="00EF18DF"/>
    <w:rsid w:val="00EF19B9"/>
    <w:rsid w:val="00EF2127"/>
    <w:rsid w:val="00EF236D"/>
    <w:rsid w:val="00EF23F1"/>
    <w:rsid w:val="00EF2422"/>
    <w:rsid w:val="00EF268D"/>
    <w:rsid w:val="00EF277A"/>
    <w:rsid w:val="00EF27D2"/>
    <w:rsid w:val="00EF2DBC"/>
    <w:rsid w:val="00EF33FF"/>
    <w:rsid w:val="00EF341E"/>
    <w:rsid w:val="00EF38C7"/>
    <w:rsid w:val="00EF3A4F"/>
    <w:rsid w:val="00EF3AA7"/>
    <w:rsid w:val="00EF3C03"/>
    <w:rsid w:val="00EF3E10"/>
    <w:rsid w:val="00EF420F"/>
    <w:rsid w:val="00EF44D4"/>
    <w:rsid w:val="00EF4720"/>
    <w:rsid w:val="00EF473A"/>
    <w:rsid w:val="00EF4A6D"/>
    <w:rsid w:val="00EF4AA1"/>
    <w:rsid w:val="00EF4C13"/>
    <w:rsid w:val="00EF4D35"/>
    <w:rsid w:val="00EF4F5A"/>
    <w:rsid w:val="00EF4FBE"/>
    <w:rsid w:val="00EF555D"/>
    <w:rsid w:val="00EF5561"/>
    <w:rsid w:val="00EF55CE"/>
    <w:rsid w:val="00EF5C7E"/>
    <w:rsid w:val="00EF5D11"/>
    <w:rsid w:val="00EF5D25"/>
    <w:rsid w:val="00EF5F9D"/>
    <w:rsid w:val="00EF6136"/>
    <w:rsid w:val="00EF620E"/>
    <w:rsid w:val="00EF625E"/>
    <w:rsid w:val="00EF6308"/>
    <w:rsid w:val="00EF671D"/>
    <w:rsid w:val="00EF6758"/>
    <w:rsid w:val="00EF689C"/>
    <w:rsid w:val="00EF6BF4"/>
    <w:rsid w:val="00EF6C8D"/>
    <w:rsid w:val="00EF6E84"/>
    <w:rsid w:val="00EF7024"/>
    <w:rsid w:val="00EF710D"/>
    <w:rsid w:val="00EF7459"/>
    <w:rsid w:val="00EF7558"/>
    <w:rsid w:val="00EF79AF"/>
    <w:rsid w:val="00EF79C9"/>
    <w:rsid w:val="00EF7A98"/>
    <w:rsid w:val="00F000A7"/>
    <w:rsid w:val="00F00338"/>
    <w:rsid w:val="00F005B0"/>
    <w:rsid w:val="00F00769"/>
    <w:rsid w:val="00F0085B"/>
    <w:rsid w:val="00F00AA9"/>
    <w:rsid w:val="00F00AD9"/>
    <w:rsid w:val="00F01157"/>
    <w:rsid w:val="00F011A7"/>
    <w:rsid w:val="00F013CF"/>
    <w:rsid w:val="00F0148C"/>
    <w:rsid w:val="00F018E5"/>
    <w:rsid w:val="00F0199F"/>
    <w:rsid w:val="00F01CD5"/>
    <w:rsid w:val="00F01ED5"/>
    <w:rsid w:val="00F01F14"/>
    <w:rsid w:val="00F028C6"/>
    <w:rsid w:val="00F0293B"/>
    <w:rsid w:val="00F02C0E"/>
    <w:rsid w:val="00F03567"/>
    <w:rsid w:val="00F035AA"/>
    <w:rsid w:val="00F038F5"/>
    <w:rsid w:val="00F03CF1"/>
    <w:rsid w:val="00F03F0F"/>
    <w:rsid w:val="00F04117"/>
    <w:rsid w:val="00F042F7"/>
    <w:rsid w:val="00F044CA"/>
    <w:rsid w:val="00F051AD"/>
    <w:rsid w:val="00F052C3"/>
    <w:rsid w:val="00F05496"/>
    <w:rsid w:val="00F056E2"/>
    <w:rsid w:val="00F056F1"/>
    <w:rsid w:val="00F057FF"/>
    <w:rsid w:val="00F059E3"/>
    <w:rsid w:val="00F05D30"/>
    <w:rsid w:val="00F05DDC"/>
    <w:rsid w:val="00F0619D"/>
    <w:rsid w:val="00F061D4"/>
    <w:rsid w:val="00F0644F"/>
    <w:rsid w:val="00F06625"/>
    <w:rsid w:val="00F06629"/>
    <w:rsid w:val="00F067D8"/>
    <w:rsid w:val="00F06929"/>
    <w:rsid w:val="00F06A3C"/>
    <w:rsid w:val="00F071B8"/>
    <w:rsid w:val="00F07397"/>
    <w:rsid w:val="00F075BD"/>
    <w:rsid w:val="00F07693"/>
    <w:rsid w:val="00F07A2B"/>
    <w:rsid w:val="00F07AA5"/>
    <w:rsid w:val="00F07B15"/>
    <w:rsid w:val="00F07B1E"/>
    <w:rsid w:val="00F07BBA"/>
    <w:rsid w:val="00F07C17"/>
    <w:rsid w:val="00F07CCB"/>
    <w:rsid w:val="00F07DE7"/>
    <w:rsid w:val="00F10199"/>
    <w:rsid w:val="00F10893"/>
    <w:rsid w:val="00F10E5A"/>
    <w:rsid w:val="00F11280"/>
    <w:rsid w:val="00F114CE"/>
    <w:rsid w:val="00F11800"/>
    <w:rsid w:val="00F11AC6"/>
    <w:rsid w:val="00F11D7A"/>
    <w:rsid w:val="00F1216D"/>
    <w:rsid w:val="00F1221D"/>
    <w:rsid w:val="00F124AA"/>
    <w:rsid w:val="00F1299B"/>
    <w:rsid w:val="00F12C3C"/>
    <w:rsid w:val="00F12D54"/>
    <w:rsid w:val="00F12FD9"/>
    <w:rsid w:val="00F136F2"/>
    <w:rsid w:val="00F13812"/>
    <w:rsid w:val="00F13953"/>
    <w:rsid w:val="00F13A40"/>
    <w:rsid w:val="00F13A91"/>
    <w:rsid w:val="00F13ACF"/>
    <w:rsid w:val="00F13B3E"/>
    <w:rsid w:val="00F13B93"/>
    <w:rsid w:val="00F13E62"/>
    <w:rsid w:val="00F13F68"/>
    <w:rsid w:val="00F14469"/>
    <w:rsid w:val="00F14684"/>
    <w:rsid w:val="00F146C0"/>
    <w:rsid w:val="00F14723"/>
    <w:rsid w:val="00F15206"/>
    <w:rsid w:val="00F152BB"/>
    <w:rsid w:val="00F1550D"/>
    <w:rsid w:val="00F15D18"/>
    <w:rsid w:val="00F15FCE"/>
    <w:rsid w:val="00F16613"/>
    <w:rsid w:val="00F169DC"/>
    <w:rsid w:val="00F16C34"/>
    <w:rsid w:val="00F16EC9"/>
    <w:rsid w:val="00F16ED2"/>
    <w:rsid w:val="00F171BE"/>
    <w:rsid w:val="00F17889"/>
    <w:rsid w:val="00F17947"/>
    <w:rsid w:val="00F1798E"/>
    <w:rsid w:val="00F17EF1"/>
    <w:rsid w:val="00F17F5D"/>
    <w:rsid w:val="00F203D1"/>
    <w:rsid w:val="00F20837"/>
    <w:rsid w:val="00F20B41"/>
    <w:rsid w:val="00F21267"/>
    <w:rsid w:val="00F21304"/>
    <w:rsid w:val="00F21682"/>
    <w:rsid w:val="00F21CCD"/>
    <w:rsid w:val="00F21DC2"/>
    <w:rsid w:val="00F21F6E"/>
    <w:rsid w:val="00F222AD"/>
    <w:rsid w:val="00F2244E"/>
    <w:rsid w:val="00F22462"/>
    <w:rsid w:val="00F2276F"/>
    <w:rsid w:val="00F2293F"/>
    <w:rsid w:val="00F22A85"/>
    <w:rsid w:val="00F22C5A"/>
    <w:rsid w:val="00F22E47"/>
    <w:rsid w:val="00F23722"/>
    <w:rsid w:val="00F23CE6"/>
    <w:rsid w:val="00F23E72"/>
    <w:rsid w:val="00F23EED"/>
    <w:rsid w:val="00F23F95"/>
    <w:rsid w:val="00F242FB"/>
    <w:rsid w:val="00F244B2"/>
    <w:rsid w:val="00F246F8"/>
    <w:rsid w:val="00F24A55"/>
    <w:rsid w:val="00F24F80"/>
    <w:rsid w:val="00F2516D"/>
    <w:rsid w:val="00F25327"/>
    <w:rsid w:val="00F25462"/>
    <w:rsid w:val="00F25BCE"/>
    <w:rsid w:val="00F26148"/>
    <w:rsid w:val="00F2682D"/>
    <w:rsid w:val="00F26ABC"/>
    <w:rsid w:val="00F277CC"/>
    <w:rsid w:val="00F27BA0"/>
    <w:rsid w:val="00F27C0A"/>
    <w:rsid w:val="00F27E28"/>
    <w:rsid w:val="00F27EBC"/>
    <w:rsid w:val="00F27F6D"/>
    <w:rsid w:val="00F30303"/>
    <w:rsid w:val="00F30672"/>
    <w:rsid w:val="00F3069C"/>
    <w:rsid w:val="00F308AD"/>
    <w:rsid w:val="00F30934"/>
    <w:rsid w:val="00F30B98"/>
    <w:rsid w:val="00F30C01"/>
    <w:rsid w:val="00F30F94"/>
    <w:rsid w:val="00F31010"/>
    <w:rsid w:val="00F310F0"/>
    <w:rsid w:val="00F311C9"/>
    <w:rsid w:val="00F312B6"/>
    <w:rsid w:val="00F318C7"/>
    <w:rsid w:val="00F319AE"/>
    <w:rsid w:val="00F31C0D"/>
    <w:rsid w:val="00F32179"/>
    <w:rsid w:val="00F3260E"/>
    <w:rsid w:val="00F33050"/>
    <w:rsid w:val="00F3306A"/>
    <w:rsid w:val="00F331B8"/>
    <w:rsid w:val="00F332F3"/>
    <w:rsid w:val="00F333D0"/>
    <w:rsid w:val="00F33B2A"/>
    <w:rsid w:val="00F33F36"/>
    <w:rsid w:val="00F34087"/>
    <w:rsid w:val="00F340C4"/>
    <w:rsid w:val="00F342C0"/>
    <w:rsid w:val="00F34358"/>
    <w:rsid w:val="00F34542"/>
    <w:rsid w:val="00F346CA"/>
    <w:rsid w:val="00F34A58"/>
    <w:rsid w:val="00F34BD2"/>
    <w:rsid w:val="00F34FB1"/>
    <w:rsid w:val="00F35387"/>
    <w:rsid w:val="00F353B7"/>
    <w:rsid w:val="00F35405"/>
    <w:rsid w:val="00F354E3"/>
    <w:rsid w:val="00F35736"/>
    <w:rsid w:val="00F35D8F"/>
    <w:rsid w:val="00F360F0"/>
    <w:rsid w:val="00F36330"/>
    <w:rsid w:val="00F3658F"/>
    <w:rsid w:val="00F36C26"/>
    <w:rsid w:val="00F36EA9"/>
    <w:rsid w:val="00F3744E"/>
    <w:rsid w:val="00F37465"/>
    <w:rsid w:val="00F37BD7"/>
    <w:rsid w:val="00F37D3A"/>
    <w:rsid w:val="00F37FCC"/>
    <w:rsid w:val="00F4014D"/>
    <w:rsid w:val="00F40652"/>
    <w:rsid w:val="00F4094B"/>
    <w:rsid w:val="00F40EA7"/>
    <w:rsid w:val="00F40F78"/>
    <w:rsid w:val="00F41255"/>
    <w:rsid w:val="00F4126F"/>
    <w:rsid w:val="00F4140B"/>
    <w:rsid w:val="00F416A0"/>
    <w:rsid w:val="00F41E2C"/>
    <w:rsid w:val="00F420F3"/>
    <w:rsid w:val="00F42728"/>
    <w:rsid w:val="00F427FC"/>
    <w:rsid w:val="00F42BB6"/>
    <w:rsid w:val="00F42C20"/>
    <w:rsid w:val="00F42D1D"/>
    <w:rsid w:val="00F42E2B"/>
    <w:rsid w:val="00F42F5D"/>
    <w:rsid w:val="00F431B8"/>
    <w:rsid w:val="00F43455"/>
    <w:rsid w:val="00F43842"/>
    <w:rsid w:val="00F43B9F"/>
    <w:rsid w:val="00F44133"/>
    <w:rsid w:val="00F44290"/>
    <w:rsid w:val="00F4438D"/>
    <w:rsid w:val="00F444C4"/>
    <w:rsid w:val="00F444D1"/>
    <w:rsid w:val="00F44622"/>
    <w:rsid w:val="00F44661"/>
    <w:rsid w:val="00F44782"/>
    <w:rsid w:val="00F4487E"/>
    <w:rsid w:val="00F44AB6"/>
    <w:rsid w:val="00F44AFA"/>
    <w:rsid w:val="00F44BCB"/>
    <w:rsid w:val="00F44CA8"/>
    <w:rsid w:val="00F44CCF"/>
    <w:rsid w:val="00F44E2D"/>
    <w:rsid w:val="00F44FD9"/>
    <w:rsid w:val="00F45413"/>
    <w:rsid w:val="00F45CEA"/>
    <w:rsid w:val="00F45EF9"/>
    <w:rsid w:val="00F45F84"/>
    <w:rsid w:val="00F45FB4"/>
    <w:rsid w:val="00F45FD2"/>
    <w:rsid w:val="00F45FDF"/>
    <w:rsid w:val="00F46641"/>
    <w:rsid w:val="00F46709"/>
    <w:rsid w:val="00F46B14"/>
    <w:rsid w:val="00F46DA3"/>
    <w:rsid w:val="00F4754F"/>
    <w:rsid w:val="00F478E7"/>
    <w:rsid w:val="00F47A25"/>
    <w:rsid w:val="00F47ABE"/>
    <w:rsid w:val="00F47C2B"/>
    <w:rsid w:val="00F47C4B"/>
    <w:rsid w:val="00F50348"/>
    <w:rsid w:val="00F504EA"/>
    <w:rsid w:val="00F50793"/>
    <w:rsid w:val="00F509D7"/>
    <w:rsid w:val="00F50D43"/>
    <w:rsid w:val="00F50EA5"/>
    <w:rsid w:val="00F511C1"/>
    <w:rsid w:val="00F51310"/>
    <w:rsid w:val="00F51354"/>
    <w:rsid w:val="00F51816"/>
    <w:rsid w:val="00F51909"/>
    <w:rsid w:val="00F519A2"/>
    <w:rsid w:val="00F51A44"/>
    <w:rsid w:val="00F51CA8"/>
    <w:rsid w:val="00F51E6A"/>
    <w:rsid w:val="00F51FD1"/>
    <w:rsid w:val="00F521D9"/>
    <w:rsid w:val="00F5259A"/>
    <w:rsid w:val="00F526FC"/>
    <w:rsid w:val="00F527D1"/>
    <w:rsid w:val="00F528F0"/>
    <w:rsid w:val="00F529A5"/>
    <w:rsid w:val="00F52E5E"/>
    <w:rsid w:val="00F532CC"/>
    <w:rsid w:val="00F53409"/>
    <w:rsid w:val="00F534C5"/>
    <w:rsid w:val="00F53563"/>
    <w:rsid w:val="00F53625"/>
    <w:rsid w:val="00F53980"/>
    <w:rsid w:val="00F53CEB"/>
    <w:rsid w:val="00F53E71"/>
    <w:rsid w:val="00F53EC7"/>
    <w:rsid w:val="00F54364"/>
    <w:rsid w:val="00F544D4"/>
    <w:rsid w:val="00F54644"/>
    <w:rsid w:val="00F54721"/>
    <w:rsid w:val="00F54D78"/>
    <w:rsid w:val="00F55007"/>
    <w:rsid w:val="00F550B9"/>
    <w:rsid w:val="00F551B4"/>
    <w:rsid w:val="00F552A2"/>
    <w:rsid w:val="00F55625"/>
    <w:rsid w:val="00F5644C"/>
    <w:rsid w:val="00F56929"/>
    <w:rsid w:val="00F569A3"/>
    <w:rsid w:val="00F56CA9"/>
    <w:rsid w:val="00F56F64"/>
    <w:rsid w:val="00F572EB"/>
    <w:rsid w:val="00F57369"/>
    <w:rsid w:val="00F57407"/>
    <w:rsid w:val="00F575A9"/>
    <w:rsid w:val="00F578A3"/>
    <w:rsid w:val="00F57B6B"/>
    <w:rsid w:val="00F57E1A"/>
    <w:rsid w:val="00F60217"/>
    <w:rsid w:val="00F602CF"/>
    <w:rsid w:val="00F603A4"/>
    <w:rsid w:val="00F6041B"/>
    <w:rsid w:val="00F60580"/>
    <w:rsid w:val="00F60626"/>
    <w:rsid w:val="00F60686"/>
    <w:rsid w:val="00F607AC"/>
    <w:rsid w:val="00F6093E"/>
    <w:rsid w:val="00F61067"/>
    <w:rsid w:val="00F61756"/>
    <w:rsid w:val="00F61B99"/>
    <w:rsid w:val="00F61F09"/>
    <w:rsid w:val="00F620C1"/>
    <w:rsid w:val="00F62517"/>
    <w:rsid w:val="00F625EE"/>
    <w:rsid w:val="00F62AAC"/>
    <w:rsid w:val="00F62ABB"/>
    <w:rsid w:val="00F62B8F"/>
    <w:rsid w:val="00F63009"/>
    <w:rsid w:val="00F631B6"/>
    <w:rsid w:val="00F63888"/>
    <w:rsid w:val="00F63964"/>
    <w:rsid w:val="00F6396E"/>
    <w:rsid w:val="00F6397D"/>
    <w:rsid w:val="00F63A0C"/>
    <w:rsid w:val="00F63B7A"/>
    <w:rsid w:val="00F63B88"/>
    <w:rsid w:val="00F63BE7"/>
    <w:rsid w:val="00F63D02"/>
    <w:rsid w:val="00F63EE9"/>
    <w:rsid w:val="00F63F98"/>
    <w:rsid w:val="00F63FEC"/>
    <w:rsid w:val="00F64103"/>
    <w:rsid w:val="00F641BA"/>
    <w:rsid w:val="00F64360"/>
    <w:rsid w:val="00F643BE"/>
    <w:rsid w:val="00F643FA"/>
    <w:rsid w:val="00F64419"/>
    <w:rsid w:val="00F645CE"/>
    <w:rsid w:val="00F64CCC"/>
    <w:rsid w:val="00F64CDF"/>
    <w:rsid w:val="00F64CE6"/>
    <w:rsid w:val="00F64D87"/>
    <w:rsid w:val="00F65012"/>
    <w:rsid w:val="00F650CB"/>
    <w:rsid w:val="00F6519B"/>
    <w:rsid w:val="00F65D5C"/>
    <w:rsid w:val="00F6603F"/>
    <w:rsid w:val="00F66292"/>
    <w:rsid w:val="00F663E7"/>
    <w:rsid w:val="00F66424"/>
    <w:rsid w:val="00F664FB"/>
    <w:rsid w:val="00F66999"/>
    <w:rsid w:val="00F66F6F"/>
    <w:rsid w:val="00F67070"/>
    <w:rsid w:val="00F671E7"/>
    <w:rsid w:val="00F67446"/>
    <w:rsid w:val="00F6782D"/>
    <w:rsid w:val="00F67E26"/>
    <w:rsid w:val="00F67E76"/>
    <w:rsid w:val="00F704BB"/>
    <w:rsid w:val="00F7067B"/>
    <w:rsid w:val="00F70AFC"/>
    <w:rsid w:val="00F7106E"/>
    <w:rsid w:val="00F7133A"/>
    <w:rsid w:val="00F715BC"/>
    <w:rsid w:val="00F715F5"/>
    <w:rsid w:val="00F7161A"/>
    <w:rsid w:val="00F71880"/>
    <w:rsid w:val="00F71D16"/>
    <w:rsid w:val="00F71D78"/>
    <w:rsid w:val="00F725B9"/>
    <w:rsid w:val="00F72616"/>
    <w:rsid w:val="00F72658"/>
    <w:rsid w:val="00F7295C"/>
    <w:rsid w:val="00F72B90"/>
    <w:rsid w:val="00F733B2"/>
    <w:rsid w:val="00F7368D"/>
    <w:rsid w:val="00F736C3"/>
    <w:rsid w:val="00F7376B"/>
    <w:rsid w:val="00F73972"/>
    <w:rsid w:val="00F73BD6"/>
    <w:rsid w:val="00F73D33"/>
    <w:rsid w:val="00F73E0E"/>
    <w:rsid w:val="00F73FF6"/>
    <w:rsid w:val="00F74083"/>
    <w:rsid w:val="00F741D8"/>
    <w:rsid w:val="00F742F9"/>
    <w:rsid w:val="00F74338"/>
    <w:rsid w:val="00F743A6"/>
    <w:rsid w:val="00F7457D"/>
    <w:rsid w:val="00F746DA"/>
    <w:rsid w:val="00F748B4"/>
    <w:rsid w:val="00F7495A"/>
    <w:rsid w:val="00F74ABC"/>
    <w:rsid w:val="00F74CB3"/>
    <w:rsid w:val="00F74F2E"/>
    <w:rsid w:val="00F74F4F"/>
    <w:rsid w:val="00F75068"/>
    <w:rsid w:val="00F752BC"/>
    <w:rsid w:val="00F75317"/>
    <w:rsid w:val="00F754EB"/>
    <w:rsid w:val="00F75AA8"/>
    <w:rsid w:val="00F76293"/>
    <w:rsid w:val="00F7650A"/>
    <w:rsid w:val="00F7655D"/>
    <w:rsid w:val="00F76D54"/>
    <w:rsid w:val="00F76EC8"/>
    <w:rsid w:val="00F76F7F"/>
    <w:rsid w:val="00F774F3"/>
    <w:rsid w:val="00F77831"/>
    <w:rsid w:val="00F77B09"/>
    <w:rsid w:val="00F77C89"/>
    <w:rsid w:val="00F77F05"/>
    <w:rsid w:val="00F77F80"/>
    <w:rsid w:val="00F8005B"/>
    <w:rsid w:val="00F802D2"/>
    <w:rsid w:val="00F802DA"/>
    <w:rsid w:val="00F8043D"/>
    <w:rsid w:val="00F8083F"/>
    <w:rsid w:val="00F80945"/>
    <w:rsid w:val="00F80C1C"/>
    <w:rsid w:val="00F80EF2"/>
    <w:rsid w:val="00F80F72"/>
    <w:rsid w:val="00F81716"/>
    <w:rsid w:val="00F81A0E"/>
    <w:rsid w:val="00F81F46"/>
    <w:rsid w:val="00F821EA"/>
    <w:rsid w:val="00F82217"/>
    <w:rsid w:val="00F82262"/>
    <w:rsid w:val="00F82371"/>
    <w:rsid w:val="00F8284A"/>
    <w:rsid w:val="00F82B07"/>
    <w:rsid w:val="00F82B11"/>
    <w:rsid w:val="00F82C4D"/>
    <w:rsid w:val="00F830B7"/>
    <w:rsid w:val="00F831B0"/>
    <w:rsid w:val="00F83368"/>
    <w:rsid w:val="00F833AE"/>
    <w:rsid w:val="00F83586"/>
    <w:rsid w:val="00F8368B"/>
    <w:rsid w:val="00F83728"/>
    <w:rsid w:val="00F838A3"/>
    <w:rsid w:val="00F83BD5"/>
    <w:rsid w:val="00F83C81"/>
    <w:rsid w:val="00F845DA"/>
    <w:rsid w:val="00F846F8"/>
    <w:rsid w:val="00F84882"/>
    <w:rsid w:val="00F84B10"/>
    <w:rsid w:val="00F84B3E"/>
    <w:rsid w:val="00F84B6E"/>
    <w:rsid w:val="00F84CC7"/>
    <w:rsid w:val="00F84F46"/>
    <w:rsid w:val="00F85318"/>
    <w:rsid w:val="00F85920"/>
    <w:rsid w:val="00F859E3"/>
    <w:rsid w:val="00F85A6E"/>
    <w:rsid w:val="00F85DCE"/>
    <w:rsid w:val="00F85E21"/>
    <w:rsid w:val="00F86026"/>
    <w:rsid w:val="00F863B2"/>
    <w:rsid w:val="00F86728"/>
    <w:rsid w:val="00F8694D"/>
    <w:rsid w:val="00F86C8C"/>
    <w:rsid w:val="00F86CC3"/>
    <w:rsid w:val="00F86E57"/>
    <w:rsid w:val="00F86FA1"/>
    <w:rsid w:val="00F87125"/>
    <w:rsid w:val="00F87318"/>
    <w:rsid w:val="00F8771C"/>
    <w:rsid w:val="00F877FA"/>
    <w:rsid w:val="00F87AD4"/>
    <w:rsid w:val="00F87B9F"/>
    <w:rsid w:val="00F87E84"/>
    <w:rsid w:val="00F87F07"/>
    <w:rsid w:val="00F9004B"/>
    <w:rsid w:val="00F90620"/>
    <w:rsid w:val="00F9070A"/>
    <w:rsid w:val="00F90FB1"/>
    <w:rsid w:val="00F90FE0"/>
    <w:rsid w:val="00F91A84"/>
    <w:rsid w:val="00F920C7"/>
    <w:rsid w:val="00F92184"/>
    <w:rsid w:val="00F921C0"/>
    <w:rsid w:val="00F924A7"/>
    <w:rsid w:val="00F9272C"/>
    <w:rsid w:val="00F92888"/>
    <w:rsid w:val="00F9288E"/>
    <w:rsid w:val="00F9297E"/>
    <w:rsid w:val="00F92CC4"/>
    <w:rsid w:val="00F94200"/>
    <w:rsid w:val="00F943C0"/>
    <w:rsid w:val="00F94459"/>
    <w:rsid w:val="00F94B26"/>
    <w:rsid w:val="00F94EB1"/>
    <w:rsid w:val="00F94F7F"/>
    <w:rsid w:val="00F956FA"/>
    <w:rsid w:val="00F95841"/>
    <w:rsid w:val="00F9585D"/>
    <w:rsid w:val="00F95988"/>
    <w:rsid w:val="00F95EDF"/>
    <w:rsid w:val="00F960D3"/>
    <w:rsid w:val="00F96233"/>
    <w:rsid w:val="00F962DE"/>
    <w:rsid w:val="00F96574"/>
    <w:rsid w:val="00F965B3"/>
    <w:rsid w:val="00F96769"/>
    <w:rsid w:val="00F96AAF"/>
    <w:rsid w:val="00F96E32"/>
    <w:rsid w:val="00F972B7"/>
    <w:rsid w:val="00F9750A"/>
    <w:rsid w:val="00F97590"/>
    <w:rsid w:val="00F975BE"/>
    <w:rsid w:val="00F977FE"/>
    <w:rsid w:val="00F97D03"/>
    <w:rsid w:val="00F97DD0"/>
    <w:rsid w:val="00F97E90"/>
    <w:rsid w:val="00FA03C6"/>
    <w:rsid w:val="00FA0539"/>
    <w:rsid w:val="00FA05B8"/>
    <w:rsid w:val="00FA0A0B"/>
    <w:rsid w:val="00FA0C4B"/>
    <w:rsid w:val="00FA11E4"/>
    <w:rsid w:val="00FA1485"/>
    <w:rsid w:val="00FA19D1"/>
    <w:rsid w:val="00FA19FC"/>
    <w:rsid w:val="00FA1B47"/>
    <w:rsid w:val="00FA1D00"/>
    <w:rsid w:val="00FA22AF"/>
    <w:rsid w:val="00FA2465"/>
    <w:rsid w:val="00FA278A"/>
    <w:rsid w:val="00FA27C6"/>
    <w:rsid w:val="00FA297A"/>
    <w:rsid w:val="00FA2EDD"/>
    <w:rsid w:val="00FA3003"/>
    <w:rsid w:val="00FA3294"/>
    <w:rsid w:val="00FA349E"/>
    <w:rsid w:val="00FA3640"/>
    <w:rsid w:val="00FA3794"/>
    <w:rsid w:val="00FA3B0F"/>
    <w:rsid w:val="00FA3F05"/>
    <w:rsid w:val="00FA3F19"/>
    <w:rsid w:val="00FA3F6E"/>
    <w:rsid w:val="00FA3F70"/>
    <w:rsid w:val="00FA43E4"/>
    <w:rsid w:val="00FA4872"/>
    <w:rsid w:val="00FA4BE4"/>
    <w:rsid w:val="00FA4BF6"/>
    <w:rsid w:val="00FA4DA5"/>
    <w:rsid w:val="00FA503E"/>
    <w:rsid w:val="00FA5074"/>
    <w:rsid w:val="00FA56CD"/>
    <w:rsid w:val="00FA5874"/>
    <w:rsid w:val="00FA5C1A"/>
    <w:rsid w:val="00FA5C45"/>
    <w:rsid w:val="00FA5F11"/>
    <w:rsid w:val="00FA611B"/>
    <w:rsid w:val="00FA6166"/>
    <w:rsid w:val="00FA65DD"/>
    <w:rsid w:val="00FA665A"/>
    <w:rsid w:val="00FA6A64"/>
    <w:rsid w:val="00FA6FAE"/>
    <w:rsid w:val="00FA7273"/>
    <w:rsid w:val="00FA73D6"/>
    <w:rsid w:val="00FA7523"/>
    <w:rsid w:val="00FA779B"/>
    <w:rsid w:val="00FA79B2"/>
    <w:rsid w:val="00FA7C03"/>
    <w:rsid w:val="00FA7CF4"/>
    <w:rsid w:val="00FB0146"/>
    <w:rsid w:val="00FB0471"/>
    <w:rsid w:val="00FB0649"/>
    <w:rsid w:val="00FB0C1B"/>
    <w:rsid w:val="00FB0D33"/>
    <w:rsid w:val="00FB0DA7"/>
    <w:rsid w:val="00FB1399"/>
    <w:rsid w:val="00FB1721"/>
    <w:rsid w:val="00FB185F"/>
    <w:rsid w:val="00FB194D"/>
    <w:rsid w:val="00FB1ED7"/>
    <w:rsid w:val="00FB20F8"/>
    <w:rsid w:val="00FB2306"/>
    <w:rsid w:val="00FB247E"/>
    <w:rsid w:val="00FB2740"/>
    <w:rsid w:val="00FB284A"/>
    <w:rsid w:val="00FB289C"/>
    <w:rsid w:val="00FB28A3"/>
    <w:rsid w:val="00FB3383"/>
    <w:rsid w:val="00FB3520"/>
    <w:rsid w:val="00FB3D26"/>
    <w:rsid w:val="00FB4356"/>
    <w:rsid w:val="00FB4550"/>
    <w:rsid w:val="00FB4566"/>
    <w:rsid w:val="00FB4862"/>
    <w:rsid w:val="00FB4A0B"/>
    <w:rsid w:val="00FB4AE3"/>
    <w:rsid w:val="00FB4EE3"/>
    <w:rsid w:val="00FB5163"/>
    <w:rsid w:val="00FB5322"/>
    <w:rsid w:val="00FB58F3"/>
    <w:rsid w:val="00FB5C07"/>
    <w:rsid w:val="00FB5D6A"/>
    <w:rsid w:val="00FB5F42"/>
    <w:rsid w:val="00FB63D9"/>
    <w:rsid w:val="00FB6617"/>
    <w:rsid w:val="00FB6CE5"/>
    <w:rsid w:val="00FB71DE"/>
    <w:rsid w:val="00FB778D"/>
    <w:rsid w:val="00FB7961"/>
    <w:rsid w:val="00FB7ABC"/>
    <w:rsid w:val="00FB7B5C"/>
    <w:rsid w:val="00FC0130"/>
    <w:rsid w:val="00FC0272"/>
    <w:rsid w:val="00FC03CA"/>
    <w:rsid w:val="00FC073E"/>
    <w:rsid w:val="00FC0786"/>
    <w:rsid w:val="00FC0A2D"/>
    <w:rsid w:val="00FC0BCA"/>
    <w:rsid w:val="00FC0C02"/>
    <w:rsid w:val="00FC1171"/>
    <w:rsid w:val="00FC1204"/>
    <w:rsid w:val="00FC1670"/>
    <w:rsid w:val="00FC1CE9"/>
    <w:rsid w:val="00FC1D02"/>
    <w:rsid w:val="00FC1DFB"/>
    <w:rsid w:val="00FC24E5"/>
    <w:rsid w:val="00FC287A"/>
    <w:rsid w:val="00FC28EA"/>
    <w:rsid w:val="00FC2C18"/>
    <w:rsid w:val="00FC3437"/>
    <w:rsid w:val="00FC3855"/>
    <w:rsid w:val="00FC3998"/>
    <w:rsid w:val="00FC3BD6"/>
    <w:rsid w:val="00FC3E13"/>
    <w:rsid w:val="00FC3E7D"/>
    <w:rsid w:val="00FC406D"/>
    <w:rsid w:val="00FC4150"/>
    <w:rsid w:val="00FC43BF"/>
    <w:rsid w:val="00FC451D"/>
    <w:rsid w:val="00FC45AE"/>
    <w:rsid w:val="00FC45D9"/>
    <w:rsid w:val="00FC46FA"/>
    <w:rsid w:val="00FC4B6A"/>
    <w:rsid w:val="00FC4CB8"/>
    <w:rsid w:val="00FC4CE7"/>
    <w:rsid w:val="00FC4D81"/>
    <w:rsid w:val="00FC52D6"/>
    <w:rsid w:val="00FC52E5"/>
    <w:rsid w:val="00FC5476"/>
    <w:rsid w:val="00FC5A2F"/>
    <w:rsid w:val="00FC5CF2"/>
    <w:rsid w:val="00FC5FBE"/>
    <w:rsid w:val="00FC60AB"/>
    <w:rsid w:val="00FC611E"/>
    <w:rsid w:val="00FC6495"/>
    <w:rsid w:val="00FC67CA"/>
    <w:rsid w:val="00FC69F9"/>
    <w:rsid w:val="00FC6A20"/>
    <w:rsid w:val="00FC6AFC"/>
    <w:rsid w:val="00FC6C3F"/>
    <w:rsid w:val="00FC6CE3"/>
    <w:rsid w:val="00FC7107"/>
    <w:rsid w:val="00FC713F"/>
    <w:rsid w:val="00FC756A"/>
    <w:rsid w:val="00FC759F"/>
    <w:rsid w:val="00FC7839"/>
    <w:rsid w:val="00FC7870"/>
    <w:rsid w:val="00FC7AF0"/>
    <w:rsid w:val="00FC7C8A"/>
    <w:rsid w:val="00FC7DB7"/>
    <w:rsid w:val="00FC7DFB"/>
    <w:rsid w:val="00FC7DFF"/>
    <w:rsid w:val="00FD0231"/>
    <w:rsid w:val="00FD0543"/>
    <w:rsid w:val="00FD0AC9"/>
    <w:rsid w:val="00FD156D"/>
    <w:rsid w:val="00FD1AA6"/>
    <w:rsid w:val="00FD1B97"/>
    <w:rsid w:val="00FD22C4"/>
    <w:rsid w:val="00FD25CA"/>
    <w:rsid w:val="00FD2704"/>
    <w:rsid w:val="00FD2806"/>
    <w:rsid w:val="00FD2951"/>
    <w:rsid w:val="00FD2F64"/>
    <w:rsid w:val="00FD310D"/>
    <w:rsid w:val="00FD335C"/>
    <w:rsid w:val="00FD340C"/>
    <w:rsid w:val="00FD3443"/>
    <w:rsid w:val="00FD3885"/>
    <w:rsid w:val="00FD3B8A"/>
    <w:rsid w:val="00FD3F70"/>
    <w:rsid w:val="00FD4118"/>
    <w:rsid w:val="00FD440F"/>
    <w:rsid w:val="00FD459E"/>
    <w:rsid w:val="00FD463B"/>
    <w:rsid w:val="00FD47FF"/>
    <w:rsid w:val="00FD480B"/>
    <w:rsid w:val="00FD48B8"/>
    <w:rsid w:val="00FD4B93"/>
    <w:rsid w:val="00FD4C4C"/>
    <w:rsid w:val="00FD4EC0"/>
    <w:rsid w:val="00FD5045"/>
    <w:rsid w:val="00FD5139"/>
    <w:rsid w:val="00FD536E"/>
    <w:rsid w:val="00FD569B"/>
    <w:rsid w:val="00FD593A"/>
    <w:rsid w:val="00FD5B3C"/>
    <w:rsid w:val="00FD5DA4"/>
    <w:rsid w:val="00FD600C"/>
    <w:rsid w:val="00FD6038"/>
    <w:rsid w:val="00FD63E1"/>
    <w:rsid w:val="00FD6C9B"/>
    <w:rsid w:val="00FD6CCA"/>
    <w:rsid w:val="00FD7124"/>
    <w:rsid w:val="00FD7212"/>
    <w:rsid w:val="00FD73EF"/>
    <w:rsid w:val="00FD7567"/>
    <w:rsid w:val="00FD77B4"/>
    <w:rsid w:val="00FD7B1A"/>
    <w:rsid w:val="00FD7CAB"/>
    <w:rsid w:val="00FD7FD4"/>
    <w:rsid w:val="00FE01BE"/>
    <w:rsid w:val="00FE048C"/>
    <w:rsid w:val="00FE0575"/>
    <w:rsid w:val="00FE0729"/>
    <w:rsid w:val="00FE080A"/>
    <w:rsid w:val="00FE083F"/>
    <w:rsid w:val="00FE0EE9"/>
    <w:rsid w:val="00FE0F18"/>
    <w:rsid w:val="00FE112A"/>
    <w:rsid w:val="00FE1660"/>
    <w:rsid w:val="00FE1734"/>
    <w:rsid w:val="00FE1970"/>
    <w:rsid w:val="00FE1ADF"/>
    <w:rsid w:val="00FE1BBE"/>
    <w:rsid w:val="00FE1CF0"/>
    <w:rsid w:val="00FE1D71"/>
    <w:rsid w:val="00FE1DB1"/>
    <w:rsid w:val="00FE1E76"/>
    <w:rsid w:val="00FE1FD2"/>
    <w:rsid w:val="00FE2092"/>
    <w:rsid w:val="00FE23B8"/>
    <w:rsid w:val="00FE25A6"/>
    <w:rsid w:val="00FE2703"/>
    <w:rsid w:val="00FE284F"/>
    <w:rsid w:val="00FE3007"/>
    <w:rsid w:val="00FE30BA"/>
    <w:rsid w:val="00FE3170"/>
    <w:rsid w:val="00FE32A6"/>
    <w:rsid w:val="00FE338D"/>
    <w:rsid w:val="00FE3430"/>
    <w:rsid w:val="00FE365B"/>
    <w:rsid w:val="00FE45E1"/>
    <w:rsid w:val="00FE4787"/>
    <w:rsid w:val="00FE479F"/>
    <w:rsid w:val="00FE47FA"/>
    <w:rsid w:val="00FE4AD4"/>
    <w:rsid w:val="00FE4FDE"/>
    <w:rsid w:val="00FE5034"/>
    <w:rsid w:val="00FE5332"/>
    <w:rsid w:val="00FE5451"/>
    <w:rsid w:val="00FE5530"/>
    <w:rsid w:val="00FE5603"/>
    <w:rsid w:val="00FE5647"/>
    <w:rsid w:val="00FE56DD"/>
    <w:rsid w:val="00FE56E5"/>
    <w:rsid w:val="00FE572A"/>
    <w:rsid w:val="00FE57B8"/>
    <w:rsid w:val="00FE5B19"/>
    <w:rsid w:val="00FE5B6D"/>
    <w:rsid w:val="00FE5D52"/>
    <w:rsid w:val="00FE60CE"/>
    <w:rsid w:val="00FE634F"/>
    <w:rsid w:val="00FE637F"/>
    <w:rsid w:val="00FE689E"/>
    <w:rsid w:val="00FE6916"/>
    <w:rsid w:val="00FE691C"/>
    <w:rsid w:val="00FE6983"/>
    <w:rsid w:val="00FE6C95"/>
    <w:rsid w:val="00FE6E20"/>
    <w:rsid w:val="00FE6F15"/>
    <w:rsid w:val="00FE7012"/>
    <w:rsid w:val="00FE7026"/>
    <w:rsid w:val="00FE777E"/>
    <w:rsid w:val="00FE77DA"/>
    <w:rsid w:val="00FE7B87"/>
    <w:rsid w:val="00FE7C84"/>
    <w:rsid w:val="00FE7D1D"/>
    <w:rsid w:val="00FE7E84"/>
    <w:rsid w:val="00FE7ED4"/>
    <w:rsid w:val="00FF0293"/>
    <w:rsid w:val="00FF036C"/>
    <w:rsid w:val="00FF07A4"/>
    <w:rsid w:val="00FF0A5B"/>
    <w:rsid w:val="00FF0DD8"/>
    <w:rsid w:val="00FF103A"/>
    <w:rsid w:val="00FF16C3"/>
    <w:rsid w:val="00FF1A31"/>
    <w:rsid w:val="00FF1EA6"/>
    <w:rsid w:val="00FF2088"/>
    <w:rsid w:val="00FF2177"/>
    <w:rsid w:val="00FF269C"/>
    <w:rsid w:val="00FF291E"/>
    <w:rsid w:val="00FF294C"/>
    <w:rsid w:val="00FF2BCE"/>
    <w:rsid w:val="00FF2CE9"/>
    <w:rsid w:val="00FF2F5D"/>
    <w:rsid w:val="00FF2FEC"/>
    <w:rsid w:val="00FF308D"/>
    <w:rsid w:val="00FF32FA"/>
    <w:rsid w:val="00FF3443"/>
    <w:rsid w:val="00FF36AB"/>
    <w:rsid w:val="00FF390D"/>
    <w:rsid w:val="00FF39BB"/>
    <w:rsid w:val="00FF3B8E"/>
    <w:rsid w:val="00FF3BD6"/>
    <w:rsid w:val="00FF3DD7"/>
    <w:rsid w:val="00FF3E0A"/>
    <w:rsid w:val="00FF4230"/>
    <w:rsid w:val="00FF4310"/>
    <w:rsid w:val="00FF45AC"/>
    <w:rsid w:val="00FF4A4D"/>
    <w:rsid w:val="00FF4C63"/>
    <w:rsid w:val="00FF4EAE"/>
    <w:rsid w:val="00FF4FF6"/>
    <w:rsid w:val="00FF51D9"/>
    <w:rsid w:val="00FF5392"/>
    <w:rsid w:val="00FF568C"/>
    <w:rsid w:val="00FF593C"/>
    <w:rsid w:val="00FF5DD0"/>
    <w:rsid w:val="00FF5E4C"/>
    <w:rsid w:val="00FF5E68"/>
    <w:rsid w:val="00FF5F7A"/>
    <w:rsid w:val="00FF6007"/>
    <w:rsid w:val="00FF6146"/>
    <w:rsid w:val="00FF6187"/>
    <w:rsid w:val="00FF6200"/>
    <w:rsid w:val="00FF6214"/>
    <w:rsid w:val="00FF6220"/>
    <w:rsid w:val="00FF6295"/>
    <w:rsid w:val="00FF6457"/>
    <w:rsid w:val="00FF6F99"/>
    <w:rsid w:val="00FF73F9"/>
    <w:rsid w:val="00FF7750"/>
    <w:rsid w:val="00FF7824"/>
    <w:rsid w:val="00FF794E"/>
    <w:rsid w:val="00FF7CC6"/>
    <w:rsid w:val="00FF7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strokecolor="white">
      <v:fill color="white"/>
      <v:stroke color="white" weight=".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caption" w:uiPriority="35"/>
    <w:lsdException w:name="footnote reference" w:qFormat="1"/>
    <w:lsdException w:name="annotation reference" w:uiPriority="99"/>
    <w:lsdException w:name="table of authorities"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46F39"/>
    <w:rPr>
      <w:rFonts w:ascii="Palatino" w:hAnsi="Palatino"/>
      <w:sz w:val="26"/>
    </w:rPr>
  </w:style>
  <w:style w:type="paragraph" w:styleId="Heading1">
    <w:name w:val="heading 1"/>
    <w:basedOn w:val="Normal"/>
    <w:link w:val="Heading1Char"/>
    <w:uiPriority w:val="9"/>
    <w:qFormat/>
    <w:rsid w:val="00A4093B"/>
    <w:pPr>
      <w:keepNext/>
      <w:numPr>
        <w:numId w:val="24"/>
      </w:numPr>
      <w:spacing w:before="120" w:after="120"/>
      <w:ind w:right="1440"/>
      <w:outlineLvl w:val="0"/>
    </w:pPr>
    <w:rPr>
      <w:rFonts w:ascii="Helvetica" w:hAnsi="Helvetica"/>
      <w:b/>
      <w:kern w:val="28"/>
    </w:rPr>
  </w:style>
  <w:style w:type="paragraph" w:styleId="Heading2">
    <w:name w:val="heading 2"/>
    <w:basedOn w:val="Heading1"/>
    <w:link w:val="Heading2Char"/>
    <w:uiPriority w:val="9"/>
    <w:qFormat/>
    <w:rsid w:val="00214651"/>
    <w:pPr>
      <w:numPr>
        <w:ilvl w:val="1"/>
      </w:numPr>
      <w:ind w:right="720"/>
      <w:outlineLvl w:val="1"/>
    </w:pPr>
  </w:style>
  <w:style w:type="paragraph" w:styleId="Heading3">
    <w:name w:val="heading 3"/>
    <w:basedOn w:val="Heading1"/>
    <w:link w:val="Heading3Char"/>
    <w:uiPriority w:val="9"/>
    <w:qFormat/>
    <w:rsid w:val="005719C6"/>
    <w:pPr>
      <w:numPr>
        <w:ilvl w:val="2"/>
      </w:numPr>
      <w:outlineLvl w:val="2"/>
    </w:pPr>
  </w:style>
  <w:style w:type="paragraph" w:styleId="Heading4">
    <w:name w:val="heading 4"/>
    <w:basedOn w:val="Heading3"/>
    <w:link w:val="Heading4Char"/>
    <w:uiPriority w:val="9"/>
    <w:qFormat/>
    <w:rsid w:val="00A845DC"/>
    <w:pPr>
      <w:numPr>
        <w:ilvl w:val="3"/>
      </w:numPr>
      <w:tabs>
        <w:tab w:val="clear" w:pos="2160"/>
        <w:tab w:val="num" w:pos="1980"/>
      </w:tabs>
      <w:ind w:left="1980" w:hanging="1260"/>
      <w:outlineLvl w:val="3"/>
    </w:pPr>
  </w:style>
  <w:style w:type="paragraph" w:styleId="Heading5">
    <w:name w:val="heading 5"/>
    <w:basedOn w:val="Heading4"/>
    <w:link w:val="Heading5Char"/>
    <w:uiPriority w:val="9"/>
    <w:qFormat/>
    <w:rsid w:val="002570D5"/>
    <w:pPr>
      <w:numPr>
        <w:ilvl w:val="4"/>
      </w:numPr>
      <w:tabs>
        <w:tab w:val="clear" w:pos="3600"/>
        <w:tab w:val="num" w:pos="1980"/>
      </w:tabs>
      <w:ind w:left="1980" w:hanging="1260"/>
      <w:outlineLvl w:val="4"/>
    </w:pPr>
  </w:style>
  <w:style w:type="paragraph" w:styleId="Heading6">
    <w:name w:val="heading 6"/>
    <w:basedOn w:val="Heading5"/>
    <w:link w:val="Heading6Char"/>
    <w:uiPriority w:val="9"/>
    <w:qFormat/>
    <w:rsid w:val="00F45FB4"/>
    <w:pPr>
      <w:numPr>
        <w:ilvl w:val="5"/>
        <w:numId w:val="25"/>
      </w:numPr>
      <w:outlineLvl w:val="5"/>
    </w:pPr>
  </w:style>
  <w:style w:type="paragraph" w:styleId="Heading7">
    <w:name w:val="heading 7"/>
    <w:basedOn w:val="Heading6"/>
    <w:link w:val="Heading7Char"/>
    <w:uiPriority w:val="9"/>
    <w:qFormat/>
    <w:rsid w:val="00F45FB4"/>
    <w:pPr>
      <w:numPr>
        <w:ilvl w:val="6"/>
      </w:numPr>
      <w:outlineLvl w:val="6"/>
    </w:pPr>
  </w:style>
  <w:style w:type="paragraph" w:styleId="Heading8">
    <w:name w:val="heading 8"/>
    <w:basedOn w:val="Heading7"/>
    <w:next w:val="Normal"/>
    <w:link w:val="Heading8Char"/>
    <w:uiPriority w:val="9"/>
    <w:qFormat/>
    <w:rsid w:val="00F45FB4"/>
    <w:pPr>
      <w:numPr>
        <w:ilvl w:val="7"/>
      </w:numPr>
      <w:outlineLvl w:val="7"/>
    </w:pPr>
  </w:style>
  <w:style w:type="paragraph" w:styleId="Heading9">
    <w:name w:val="heading 9"/>
    <w:basedOn w:val="Heading8"/>
    <w:next w:val="Normal"/>
    <w:link w:val="Heading9Char"/>
    <w:uiPriority w:val="9"/>
    <w:rsid w:val="00F45FB4"/>
    <w:pPr>
      <w:numPr>
        <w:ilvl w:val="8"/>
      </w:numPr>
      <w:ind w:right="0"/>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4093B"/>
    <w:rPr>
      <w:rFonts w:ascii="Helvetica" w:hAnsi="Helvetica"/>
      <w:b/>
      <w:kern w:val="28"/>
      <w:sz w:val="26"/>
    </w:rPr>
  </w:style>
  <w:style w:type="character" w:customStyle="1" w:styleId="Heading2Char">
    <w:name w:val="Heading 2 Char"/>
    <w:link w:val="Heading2"/>
    <w:uiPriority w:val="9"/>
    <w:locked/>
    <w:rsid w:val="00214651"/>
    <w:rPr>
      <w:rFonts w:ascii="Helvetica" w:hAnsi="Helvetica"/>
      <w:b/>
      <w:kern w:val="28"/>
      <w:sz w:val="26"/>
    </w:rPr>
  </w:style>
  <w:style w:type="character" w:customStyle="1" w:styleId="Heading3Char">
    <w:name w:val="Heading 3 Char"/>
    <w:link w:val="Heading3"/>
    <w:uiPriority w:val="9"/>
    <w:locked/>
    <w:rsid w:val="005719C6"/>
    <w:rPr>
      <w:rFonts w:ascii="Helvetica" w:hAnsi="Helvetica"/>
      <w:b/>
      <w:kern w:val="28"/>
      <w:sz w:val="26"/>
    </w:rPr>
  </w:style>
  <w:style w:type="character" w:customStyle="1" w:styleId="Heading4Char">
    <w:name w:val="Heading 4 Char"/>
    <w:link w:val="Heading4"/>
    <w:uiPriority w:val="9"/>
    <w:locked/>
    <w:rsid w:val="00A845DC"/>
    <w:rPr>
      <w:rFonts w:ascii="Helvetica" w:hAnsi="Helvetica"/>
      <w:b/>
      <w:kern w:val="28"/>
      <w:sz w:val="26"/>
    </w:rPr>
  </w:style>
  <w:style w:type="character" w:customStyle="1" w:styleId="Heading5Char">
    <w:name w:val="Heading 5 Char"/>
    <w:link w:val="Heading5"/>
    <w:uiPriority w:val="9"/>
    <w:locked/>
    <w:rsid w:val="002570D5"/>
    <w:rPr>
      <w:rFonts w:ascii="Helvetica" w:hAnsi="Helvetica"/>
      <w:b/>
      <w:kern w:val="28"/>
      <w:sz w:val="26"/>
    </w:rPr>
  </w:style>
  <w:style w:type="character" w:customStyle="1" w:styleId="Heading6Char">
    <w:name w:val="Heading 6 Char"/>
    <w:link w:val="Heading6"/>
    <w:uiPriority w:val="9"/>
    <w:locked/>
    <w:rsid w:val="005719C6"/>
    <w:rPr>
      <w:rFonts w:ascii="Helvetica" w:hAnsi="Helvetica"/>
      <w:b/>
      <w:kern w:val="28"/>
      <w:sz w:val="26"/>
    </w:rPr>
  </w:style>
  <w:style w:type="character" w:customStyle="1" w:styleId="Heading7Char">
    <w:name w:val="Heading 7 Char"/>
    <w:link w:val="Heading7"/>
    <w:uiPriority w:val="9"/>
    <w:locked/>
    <w:rsid w:val="005719C6"/>
    <w:rPr>
      <w:rFonts w:ascii="Helvetica" w:hAnsi="Helvetica"/>
      <w:b/>
      <w:kern w:val="28"/>
      <w:sz w:val="26"/>
    </w:rPr>
  </w:style>
  <w:style w:type="character" w:customStyle="1" w:styleId="Heading8Char">
    <w:name w:val="Heading 8 Char"/>
    <w:link w:val="Heading8"/>
    <w:uiPriority w:val="9"/>
    <w:locked/>
    <w:rsid w:val="005719C6"/>
    <w:rPr>
      <w:rFonts w:ascii="Helvetica" w:hAnsi="Helvetica"/>
      <w:b/>
      <w:kern w:val="28"/>
      <w:sz w:val="26"/>
    </w:rPr>
  </w:style>
  <w:style w:type="character" w:customStyle="1" w:styleId="Heading9Char">
    <w:name w:val="Heading 9 Char"/>
    <w:link w:val="Heading9"/>
    <w:uiPriority w:val="9"/>
    <w:locked/>
    <w:rsid w:val="00096A5A"/>
    <w:rPr>
      <w:rFonts w:ascii="Helvetica" w:hAnsi="Helvetica"/>
      <w:b/>
      <w:kern w:val="28"/>
      <w:sz w:val="26"/>
    </w:rPr>
  </w:style>
  <w:style w:type="paragraph" w:customStyle="1" w:styleId="standard">
    <w:name w:val="standard"/>
    <w:basedOn w:val="Normal"/>
    <w:link w:val="standardChar"/>
    <w:rsid w:val="00E60844"/>
    <w:pPr>
      <w:spacing w:line="360" w:lineRule="auto"/>
      <w:ind w:firstLine="720"/>
    </w:pPr>
  </w:style>
  <w:style w:type="paragraph" w:styleId="CommentText">
    <w:name w:val="annotation text"/>
    <w:basedOn w:val="Normal"/>
    <w:link w:val="CommentTextChar"/>
    <w:uiPriority w:val="99"/>
    <w:semiHidden/>
    <w:rsid w:val="00E60844"/>
    <w:rPr>
      <w:sz w:val="20"/>
    </w:rPr>
  </w:style>
  <w:style w:type="character" w:customStyle="1" w:styleId="CommentTextChar">
    <w:name w:val="Comment Text Char"/>
    <w:link w:val="CommentText"/>
    <w:uiPriority w:val="99"/>
    <w:semiHidden/>
    <w:locked/>
    <w:rsid w:val="001B7596"/>
    <w:rPr>
      <w:rFonts w:ascii="Palatino" w:hAnsi="Palatino" w:cs="Times New Roman"/>
      <w:sz w:val="20"/>
    </w:rPr>
  </w:style>
  <w:style w:type="paragraph" w:styleId="CommentSubject">
    <w:name w:val="annotation subject"/>
    <w:basedOn w:val="CommentText"/>
    <w:next w:val="CommentText"/>
    <w:link w:val="CommentSubjectChar"/>
    <w:uiPriority w:val="99"/>
    <w:semiHidden/>
    <w:rsid w:val="00E60844"/>
    <w:rPr>
      <w:b/>
    </w:rPr>
  </w:style>
  <w:style w:type="character" w:customStyle="1" w:styleId="CommentSubjectChar">
    <w:name w:val="Comment Subject Char"/>
    <w:link w:val="CommentSubject"/>
    <w:uiPriority w:val="99"/>
    <w:semiHidden/>
    <w:locked/>
    <w:rsid w:val="001B7596"/>
    <w:rPr>
      <w:rFonts w:ascii="Palatino" w:hAnsi="Palatino" w:cs="Times New Roman"/>
      <w:b/>
      <w:sz w:val="20"/>
    </w:rPr>
  </w:style>
  <w:style w:type="paragraph" w:customStyle="1" w:styleId="Quotation">
    <w:name w:val="Quotation"/>
    <w:basedOn w:val="Normal"/>
    <w:next w:val="Normal"/>
    <w:link w:val="QuotationChar"/>
    <w:rsid w:val="00E60844"/>
    <w:pPr>
      <w:overflowPunct w:val="0"/>
      <w:autoSpaceDE w:val="0"/>
      <w:autoSpaceDN w:val="0"/>
      <w:adjustRightInd w:val="0"/>
      <w:spacing w:after="120"/>
      <w:ind w:left="1440" w:right="1440"/>
      <w:textAlignment w:val="baseline"/>
    </w:pPr>
    <w:rPr>
      <w:rFonts w:ascii="Times New Roman" w:hAnsi="Times New Roman"/>
    </w:rPr>
  </w:style>
  <w:style w:type="paragraph" w:styleId="FootnoteText">
    <w:name w:val="footnote text"/>
    <w:aliases w:val="Standard Footnote Text,Footnote Text Char Char5 Char,Footnote Text Char2 Char1 Char1 Char,Footnote Text Char4 Char Char Char1 Char,fn,Footnote Text Char1 Char,Footnote Text Char1,Footnote Text Char Char,Footnote Text Char1 Char Char,f,ftx"/>
    <w:basedOn w:val="Normal"/>
    <w:link w:val="FootnoteTextChar"/>
    <w:qFormat/>
    <w:rsid w:val="00E85865"/>
    <w:pPr>
      <w:tabs>
        <w:tab w:val="left" w:pos="360"/>
      </w:tabs>
      <w:spacing w:after="60"/>
      <w:ind w:left="317" w:hanging="317"/>
    </w:pPr>
    <w:rPr>
      <w:sz w:val="22"/>
    </w:rPr>
  </w:style>
  <w:style w:type="paragraph" w:styleId="BodyText">
    <w:name w:val="Body Text"/>
    <w:basedOn w:val="Normal"/>
    <w:link w:val="BodyTextChar"/>
    <w:uiPriority w:val="99"/>
    <w:semiHidden/>
    <w:unhideWhenUsed/>
    <w:locked/>
    <w:rsid w:val="00902B0C"/>
    <w:pPr>
      <w:spacing w:after="240"/>
    </w:pPr>
    <w:rPr>
      <w:rFonts w:ascii="Times New Roman" w:hAnsi="Times New Roman"/>
      <w:sz w:val="24"/>
      <w:szCs w:val="22"/>
      <w:lang w:eastAsia="zh-CN"/>
    </w:rPr>
  </w:style>
  <w:style w:type="character" w:styleId="FootnoteReference">
    <w:name w:val="footnote reference"/>
    <w:aliases w:val="o,o + Times New Roman,fr,Style 3,o1,o2,o3,o4,o5,o6,o11,o21,o7,Style 12,(NECG) Footnote Reference,Appel note de bas de p,Style 124,Style 17,Style 20,Style 13,fr1,fr2,fr3,FR,callout,Footnote Reference/,Style 6,Style 22,Style 30,FC"/>
    <w:qFormat/>
    <w:rsid w:val="00E60844"/>
    <w:rPr>
      <w:rFonts w:ascii="Palatino" w:hAnsi="Palatino" w:cs="Times New Roman"/>
      <w:position w:val="2"/>
      <w:sz w:val="24"/>
      <w:vertAlign w:val="superscript"/>
    </w:rPr>
  </w:style>
  <w:style w:type="paragraph" w:customStyle="1" w:styleId="Quote1">
    <w:name w:val="Quote1"/>
    <w:basedOn w:val="standard"/>
    <w:next w:val="standard"/>
    <w:rsid w:val="00E44996"/>
    <w:pPr>
      <w:spacing w:before="120" w:after="240" w:line="240" w:lineRule="auto"/>
      <w:ind w:left="720" w:right="1440" w:firstLine="0"/>
    </w:pPr>
  </w:style>
  <w:style w:type="paragraph" w:customStyle="1" w:styleId="num1">
    <w:name w:val="num1"/>
    <w:basedOn w:val="Normal"/>
    <w:link w:val="num1CharChar"/>
    <w:rsid w:val="006A6296"/>
    <w:pPr>
      <w:keepLines/>
      <w:numPr>
        <w:numId w:val="8"/>
      </w:numPr>
      <w:suppressAutoHyphens/>
      <w:spacing w:line="360" w:lineRule="auto"/>
    </w:pPr>
  </w:style>
  <w:style w:type="paragraph" w:styleId="TOC4">
    <w:name w:val="toc 4"/>
    <w:basedOn w:val="Normal"/>
    <w:next w:val="Normal"/>
    <w:uiPriority w:val="39"/>
    <w:rsid w:val="00380EA0"/>
    <w:pPr>
      <w:tabs>
        <w:tab w:val="left" w:pos="3600"/>
        <w:tab w:val="right" w:leader="dot" w:pos="9346"/>
      </w:tabs>
      <w:ind w:left="3600" w:right="720" w:hanging="1080"/>
    </w:pPr>
    <w:rPr>
      <w:noProof/>
      <w:szCs w:val="26"/>
    </w:rPr>
  </w:style>
  <w:style w:type="paragraph" w:customStyle="1" w:styleId="main">
    <w:name w:val="main"/>
    <w:basedOn w:val="Normal"/>
    <w:link w:val="mainChar"/>
    <w:rsid w:val="00E60844"/>
    <w:pPr>
      <w:jc w:val="center"/>
    </w:pPr>
    <w:rPr>
      <w:rFonts w:ascii="Helvetica" w:hAnsi="Helvetica"/>
      <w:b/>
    </w:rPr>
  </w:style>
  <w:style w:type="paragraph" w:customStyle="1" w:styleId="mainex">
    <w:name w:val="mainex"/>
    <w:basedOn w:val="main"/>
    <w:rsid w:val="00E60844"/>
    <w:rPr>
      <w:spacing w:val="120"/>
    </w:rPr>
  </w:style>
  <w:style w:type="paragraph" w:styleId="Header">
    <w:name w:val="header"/>
    <w:basedOn w:val="Normal"/>
    <w:link w:val="HeaderChar"/>
    <w:uiPriority w:val="99"/>
    <w:locked/>
    <w:rsid w:val="00163666"/>
    <w:pPr>
      <w:tabs>
        <w:tab w:val="center" w:pos="4680"/>
        <w:tab w:val="right" w:pos="9360"/>
      </w:tabs>
    </w:pPr>
  </w:style>
  <w:style w:type="character" w:customStyle="1" w:styleId="HeaderChar">
    <w:name w:val="Header Char"/>
    <w:link w:val="Header"/>
    <w:uiPriority w:val="99"/>
    <w:rsid w:val="00163666"/>
    <w:rPr>
      <w:rFonts w:ascii="Palatino" w:hAnsi="Palatino"/>
      <w:sz w:val="26"/>
    </w:rPr>
  </w:style>
  <w:style w:type="paragraph" w:customStyle="1" w:styleId="num2">
    <w:name w:val="num2"/>
    <w:basedOn w:val="num1"/>
    <w:rsid w:val="00E60844"/>
    <w:pPr>
      <w:ind w:firstLine="270"/>
    </w:pPr>
  </w:style>
  <w:style w:type="paragraph" w:styleId="Footer">
    <w:name w:val="footer"/>
    <w:basedOn w:val="Normal"/>
    <w:link w:val="FooterChar"/>
    <w:rsid w:val="00E60844"/>
    <w:pPr>
      <w:tabs>
        <w:tab w:val="center" w:pos="4320"/>
        <w:tab w:val="right" w:pos="8640"/>
      </w:tabs>
      <w:jc w:val="center"/>
    </w:pPr>
  </w:style>
  <w:style w:type="character" w:customStyle="1" w:styleId="FooterChar">
    <w:name w:val="Footer Char"/>
    <w:link w:val="Footer"/>
    <w:locked/>
    <w:rsid w:val="00E60844"/>
    <w:rPr>
      <w:rFonts w:ascii="Palatino" w:hAnsi="Palatino" w:cs="Times New Roman"/>
      <w:sz w:val="26"/>
      <w:lang w:val="en-US" w:eastAsia="en-US"/>
    </w:rPr>
  </w:style>
  <w:style w:type="character" w:styleId="PageNumber">
    <w:name w:val="page number"/>
    <w:rsid w:val="00E60844"/>
    <w:rPr>
      <w:rFonts w:cs="Times New Roman"/>
    </w:rPr>
  </w:style>
  <w:style w:type="character" w:styleId="Hyperlink">
    <w:name w:val="Hyperlink"/>
    <w:uiPriority w:val="99"/>
    <w:rsid w:val="00E60844"/>
    <w:rPr>
      <w:rFonts w:cs="Times New Roman"/>
      <w:color w:val="0000FF"/>
      <w:u w:val="single"/>
    </w:rPr>
  </w:style>
  <w:style w:type="character" w:customStyle="1" w:styleId="QuotationChar">
    <w:name w:val="Quotation Char"/>
    <w:link w:val="Quotation"/>
    <w:locked/>
    <w:rsid w:val="00E60844"/>
    <w:rPr>
      <w:sz w:val="26"/>
      <w:lang w:val="en-US" w:eastAsia="en-US"/>
    </w:rPr>
  </w:style>
  <w:style w:type="character" w:styleId="FollowedHyperlink">
    <w:name w:val="FollowedHyperlink"/>
    <w:rsid w:val="00E60844"/>
    <w:rPr>
      <w:rFonts w:cs="Times New Roman"/>
      <w:color w:val="800080"/>
      <w:u w:val="single"/>
    </w:rPr>
  </w:style>
  <w:style w:type="paragraph" w:customStyle="1" w:styleId="dummy">
    <w:name w:val="dummy"/>
    <w:basedOn w:val="Heading1"/>
    <w:rsid w:val="00E60844"/>
    <w:pPr>
      <w:numPr>
        <w:numId w:val="0"/>
      </w:numPr>
      <w:ind w:right="0"/>
      <w:outlineLvl w:val="9"/>
    </w:pPr>
  </w:style>
  <w:style w:type="paragraph" w:styleId="BodyTextIndent">
    <w:name w:val="Body Text Indent"/>
    <w:basedOn w:val="Normal"/>
    <w:link w:val="BodyTextIndentChar"/>
    <w:rsid w:val="00E60844"/>
    <w:pPr>
      <w:ind w:firstLine="720"/>
    </w:pPr>
    <w:rPr>
      <w:sz w:val="20"/>
    </w:rPr>
  </w:style>
  <w:style w:type="character" w:customStyle="1" w:styleId="BodyTextIndentChar">
    <w:name w:val="Body Text Indent Char"/>
    <w:link w:val="BodyTextIndent"/>
    <w:semiHidden/>
    <w:locked/>
    <w:rsid w:val="001B7596"/>
    <w:rPr>
      <w:rFonts w:ascii="Palatino" w:hAnsi="Palatino" w:cs="Times New Roman"/>
      <w:sz w:val="20"/>
    </w:rPr>
  </w:style>
  <w:style w:type="paragraph" w:customStyle="1" w:styleId="AppendixPageHeaders">
    <w:name w:val="Appendix Page Headers"/>
    <w:basedOn w:val="Heading2"/>
    <w:rsid w:val="00E60844"/>
    <w:pPr>
      <w:numPr>
        <w:ilvl w:val="0"/>
        <w:numId w:val="0"/>
      </w:numPr>
      <w:ind w:right="0"/>
      <w:jc w:val="center"/>
    </w:pPr>
  </w:style>
  <w:style w:type="character" w:customStyle="1" w:styleId="StandardQuotationChar">
    <w:name w:val="Standard Quotation Char"/>
    <w:link w:val="StandardQuotation"/>
    <w:locked/>
    <w:rsid w:val="00834F40"/>
    <w:rPr>
      <w:rFonts w:ascii="Palatino" w:hAnsi="Palatino"/>
      <w:sz w:val="26"/>
      <w:lang w:val="en-US" w:eastAsia="en-US"/>
    </w:rPr>
  </w:style>
  <w:style w:type="character" w:customStyle="1" w:styleId="term1">
    <w:name w:val="term1"/>
    <w:rsid w:val="00E60844"/>
    <w:rPr>
      <w:b/>
    </w:rPr>
  </w:style>
  <w:style w:type="numbering" w:customStyle="1" w:styleId="AppendixHeader">
    <w:name w:val="Appendix Header"/>
    <w:uiPriority w:val="99"/>
    <w:rsid w:val="00AD7257"/>
    <w:pPr>
      <w:numPr>
        <w:numId w:val="22"/>
      </w:numPr>
    </w:pPr>
  </w:style>
  <w:style w:type="character" w:customStyle="1" w:styleId="BodyTextChar">
    <w:name w:val="Body Text Char"/>
    <w:link w:val="BodyText"/>
    <w:uiPriority w:val="99"/>
    <w:semiHidden/>
    <w:rsid w:val="00902B0C"/>
    <w:rPr>
      <w:sz w:val="24"/>
      <w:szCs w:val="22"/>
      <w:lang w:eastAsia="zh-CN"/>
    </w:rPr>
  </w:style>
  <w:style w:type="paragraph" w:styleId="Quote">
    <w:name w:val="Quote"/>
    <w:basedOn w:val="Normal"/>
    <w:next w:val="Normal"/>
    <w:link w:val="QuoteChar"/>
    <w:qFormat/>
    <w:rsid w:val="00902B0C"/>
    <w:pPr>
      <w:spacing w:after="240"/>
      <w:ind w:left="1440" w:right="1440"/>
    </w:pPr>
    <w:rPr>
      <w:rFonts w:ascii="Times New Roman" w:hAnsi="Times New Roman"/>
      <w:sz w:val="24"/>
    </w:rPr>
  </w:style>
  <w:style w:type="character" w:customStyle="1" w:styleId="QuoteChar">
    <w:name w:val="Quote Char"/>
    <w:link w:val="Quote"/>
    <w:rsid w:val="00902B0C"/>
    <w:rPr>
      <w:sz w:val="24"/>
    </w:rPr>
  </w:style>
  <w:style w:type="paragraph" w:customStyle="1" w:styleId="CPUC">
    <w:name w:val="CPUC"/>
    <w:basedOn w:val="Normal"/>
    <w:link w:val="CPUCChar"/>
    <w:rsid w:val="00E60844"/>
    <w:pPr>
      <w:spacing w:line="360" w:lineRule="auto"/>
      <w:ind w:left="720"/>
    </w:pPr>
    <w:rPr>
      <w:rFonts w:ascii="Times New Roman" w:hAnsi="Times New Roman"/>
      <w:sz w:val="24"/>
    </w:rPr>
  </w:style>
  <w:style w:type="character" w:customStyle="1" w:styleId="CPUCChar">
    <w:name w:val="CPUC Char"/>
    <w:link w:val="CPUC"/>
    <w:locked/>
    <w:rsid w:val="00E60844"/>
    <w:rPr>
      <w:sz w:val="24"/>
      <w:lang w:val="en-US" w:eastAsia="en-US"/>
    </w:rPr>
  </w:style>
  <w:style w:type="paragraph" w:styleId="ListParagraph">
    <w:name w:val="List Paragraph"/>
    <w:basedOn w:val="Normal"/>
    <w:uiPriority w:val="34"/>
    <w:qFormat/>
    <w:rsid w:val="00AD7257"/>
    <w:pPr>
      <w:ind w:left="720"/>
      <w:contextualSpacing/>
    </w:pPr>
  </w:style>
  <w:style w:type="paragraph" w:styleId="TOC1">
    <w:name w:val="toc 1"/>
    <w:basedOn w:val="Normal"/>
    <w:next w:val="Normal"/>
    <w:uiPriority w:val="39"/>
    <w:qFormat/>
    <w:rsid w:val="00096A5A"/>
    <w:pPr>
      <w:keepNext/>
      <w:tabs>
        <w:tab w:val="left" w:pos="520"/>
        <w:tab w:val="right" w:leader="dot" w:pos="9350"/>
      </w:tabs>
      <w:spacing w:before="20" w:after="20"/>
      <w:ind w:right="720"/>
    </w:pPr>
    <w:rPr>
      <w:noProof/>
      <w:szCs w:val="26"/>
    </w:rPr>
  </w:style>
  <w:style w:type="paragraph" w:styleId="TOC2">
    <w:name w:val="toc 2"/>
    <w:basedOn w:val="Normal"/>
    <w:next w:val="Normal"/>
    <w:autoRedefine/>
    <w:uiPriority w:val="39"/>
    <w:qFormat/>
    <w:rsid w:val="00096A5A"/>
    <w:pPr>
      <w:tabs>
        <w:tab w:val="left" w:pos="1260"/>
        <w:tab w:val="right" w:leader="dot" w:pos="9350"/>
      </w:tabs>
      <w:ind w:left="1267" w:right="720" w:hanging="720"/>
    </w:pPr>
    <w:rPr>
      <w:noProof/>
      <w:szCs w:val="26"/>
    </w:rPr>
  </w:style>
  <w:style w:type="paragraph" w:styleId="TOC3">
    <w:name w:val="toc 3"/>
    <w:basedOn w:val="Normal"/>
    <w:next w:val="Normal"/>
    <w:autoRedefine/>
    <w:uiPriority w:val="39"/>
    <w:qFormat/>
    <w:rsid w:val="00A7713F"/>
    <w:pPr>
      <w:tabs>
        <w:tab w:val="left" w:pos="2160"/>
        <w:tab w:val="right" w:leader="dot" w:pos="9350"/>
      </w:tabs>
      <w:ind w:left="2160" w:right="720" w:hanging="900"/>
    </w:pPr>
    <w:rPr>
      <w:noProof/>
      <w:szCs w:val="24"/>
    </w:rPr>
  </w:style>
  <w:style w:type="paragraph" w:styleId="TOC5">
    <w:name w:val="toc 5"/>
    <w:basedOn w:val="Normal"/>
    <w:next w:val="Normal"/>
    <w:autoRedefine/>
    <w:uiPriority w:val="39"/>
    <w:rsid w:val="005209CE"/>
    <w:pPr>
      <w:tabs>
        <w:tab w:val="left" w:pos="4500"/>
        <w:tab w:val="right" w:leader="dot" w:pos="9346"/>
      </w:tabs>
      <w:ind w:left="4500" w:right="720" w:hanging="1260"/>
    </w:pPr>
    <w:rPr>
      <w:noProof/>
      <w:szCs w:val="24"/>
    </w:rPr>
  </w:style>
  <w:style w:type="paragraph" w:styleId="TOC6">
    <w:name w:val="toc 6"/>
    <w:basedOn w:val="Normal"/>
    <w:next w:val="Normal"/>
    <w:autoRedefine/>
    <w:uiPriority w:val="39"/>
    <w:rsid w:val="00E60844"/>
    <w:pPr>
      <w:tabs>
        <w:tab w:val="left" w:pos="3690"/>
        <w:tab w:val="right" w:leader="dot" w:pos="9350"/>
      </w:tabs>
      <w:ind w:left="3690" w:hanging="1170"/>
    </w:pPr>
    <w:rPr>
      <w:noProof/>
      <w:szCs w:val="26"/>
    </w:rPr>
  </w:style>
  <w:style w:type="paragraph" w:styleId="TOC7">
    <w:name w:val="toc 7"/>
    <w:basedOn w:val="Normal"/>
    <w:next w:val="Normal"/>
    <w:autoRedefine/>
    <w:uiPriority w:val="39"/>
    <w:rsid w:val="00E60844"/>
    <w:pPr>
      <w:ind w:left="1560"/>
    </w:pPr>
  </w:style>
  <w:style w:type="paragraph" w:styleId="TOC8">
    <w:name w:val="toc 8"/>
    <w:basedOn w:val="Normal"/>
    <w:next w:val="Normal"/>
    <w:autoRedefine/>
    <w:uiPriority w:val="39"/>
    <w:rsid w:val="00E60844"/>
    <w:pPr>
      <w:keepNext/>
      <w:tabs>
        <w:tab w:val="left" w:pos="1728"/>
        <w:tab w:val="right" w:leader="dot" w:pos="9346"/>
      </w:tabs>
      <w:ind w:left="1728" w:hanging="1728"/>
    </w:pPr>
    <w:rPr>
      <w:b/>
    </w:rPr>
  </w:style>
  <w:style w:type="paragraph" w:styleId="TOC9">
    <w:name w:val="toc 9"/>
    <w:basedOn w:val="Normal"/>
    <w:next w:val="Normal"/>
    <w:uiPriority w:val="39"/>
    <w:rsid w:val="0000439C"/>
    <w:pPr>
      <w:tabs>
        <w:tab w:val="right" w:leader="dot" w:pos="9350"/>
      </w:tabs>
      <w:spacing w:before="20" w:after="20"/>
      <w:ind w:left="806" w:right="720" w:hanging="518"/>
    </w:pPr>
    <w:rPr>
      <w:noProof/>
      <w:szCs w:val="26"/>
    </w:rPr>
  </w:style>
  <w:style w:type="paragraph" w:styleId="NormalWeb">
    <w:name w:val="Normal (Web)"/>
    <w:basedOn w:val="Normal"/>
    <w:uiPriority w:val="99"/>
    <w:rsid w:val="00E60844"/>
    <w:rPr>
      <w:rFonts w:ascii="Times New Roman" w:hAnsi="Times New Roman"/>
      <w:sz w:val="24"/>
      <w:szCs w:val="24"/>
    </w:rPr>
  </w:style>
  <w:style w:type="paragraph" w:customStyle="1" w:styleId="BlockQuote">
    <w:name w:val="Block Quote"/>
    <w:basedOn w:val="Normal"/>
    <w:rsid w:val="00E60844"/>
    <w:pPr>
      <w:spacing w:after="240"/>
      <w:ind w:left="720"/>
    </w:pPr>
    <w:rPr>
      <w:rFonts w:ascii="Times New Roman" w:hAnsi="Times New Roman"/>
      <w:sz w:val="24"/>
      <w:szCs w:val="24"/>
    </w:rPr>
  </w:style>
  <w:style w:type="paragraph" w:customStyle="1" w:styleId="StandardFootnoteReference">
    <w:name w:val="Standard Footnote Reference"/>
    <w:basedOn w:val="standard"/>
    <w:link w:val="StandardFootnoteReferenceChar"/>
    <w:rsid w:val="00B83F57"/>
    <w:pPr>
      <w:spacing w:line="240" w:lineRule="auto"/>
      <w:ind w:firstLine="0"/>
    </w:pPr>
    <w:rPr>
      <w:sz w:val="24"/>
      <w:vertAlign w:val="superscript"/>
    </w:rPr>
  </w:style>
  <w:style w:type="paragraph" w:customStyle="1" w:styleId="TOCHeader">
    <w:name w:val="TOC Header"/>
    <w:basedOn w:val="Normal"/>
    <w:rsid w:val="00902B0C"/>
    <w:pPr>
      <w:ind w:left="115" w:right="115"/>
      <w:jc w:val="center"/>
    </w:pPr>
    <w:rPr>
      <w:rFonts w:ascii="Times New Roman" w:hAnsi="Times New Roman"/>
      <w:sz w:val="24"/>
    </w:rPr>
  </w:style>
  <w:style w:type="character" w:customStyle="1" w:styleId="standardChar">
    <w:name w:val="standard Char"/>
    <w:link w:val="standard"/>
    <w:locked/>
    <w:rsid w:val="00E60844"/>
    <w:rPr>
      <w:rFonts w:ascii="Palatino" w:hAnsi="Palatino"/>
      <w:sz w:val="26"/>
      <w:lang w:val="en-US" w:eastAsia="en-US"/>
    </w:rPr>
  </w:style>
  <w:style w:type="paragraph" w:customStyle="1" w:styleId="Level1">
    <w:name w:val="Level 1"/>
    <w:basedOn w:val="Normal"/>
    <w:rsid w:val="00E60844"/>
    <w:pPr>
      <w:keepNext/>
      <w:numPr>
        <w:numId w:val="6"/>
      </w:numPr>
      <w:suppressAutoHyphens/>
      <w:spacing w:after="240"/>
      <w:outlineLvl w:val="0"/>
    </w:pPr>
    <w:rPr>
      <w:rFonts w:ascii="Times New Roman" w:eastAsia="SimSun" w:hAnsi="Times New Roman"/>
      <w:b/>
      <w:sz w:val="24"/>
    </w:rPr>
  </w:style>
  <w:style w:type="paragraph" w:customStyle="1" w:styleId="Level2">
    <w:name w:val="Level 2"/>
    <w:basedOn w:val="Normal"/>
    <w:rsid w:val="00E60844"/>
    <w:pPr>
      <w:keepNext/>
      <w:numPr>
        <w:ilvl w:val="1"/>
        <w:numId w:val="6"/>
      </w:numPr>
      <w:suppressAutoHyphens/>
      <w:spacing w:after="240"/>
      <w:outlineLvl w:val="1"/>
    </w:pPr>
    <w:rPr>
      <w:rFonts w:ascii="Times New Roman" w:eastAsia="SimSun" w:hAnsi="Times New Roman"/>
      <w:b/>
      <w:sz w:val="24"/>
    </w:rPr>
  </w:style>
  <w:style w:type="character" w:customStyle="1" w:styleId="mainChar">
    <w:name w:val="main Char"/>
    <w:link w:val="main"/>
    <w:locked/>
    <w:rsid w:val="00E60844"/>
    <w:rPr>
      <w:rFonts w:ascii="Helvetica" w:hAnsi="Helvetica"/>
      <w:b/>
      <w:sz w:val="26"/>
      <w:lang w:val="en-US" w:eastAsia="en-US"/>
    </w:rPr>
  </w:style>
  <w:style w:type="character" w:customStyle="1" w:styleId="FootnoteTextChar">
    <w:name w:val="Footnote Text Char"/>
    <w:aliases w:val="Standard Footnote Text Char,Footnote Text Char Char5 Char Char,Footnote Text Char2 Char1 Char1 Char Char,Footnote Text Char4 Char Char Char1 Char Char,fn Char,Footnote Text Char1 Char Char1,Footnote Text Char1 Char1,f Char,ftx Char"/>
    <w:link w:val="FootnoteText"/>
    <w:locked/>
    <w:rsid w:val="00E85865"/>
    <w:rPr>
      <w:rFonts w:ascii="Palatino" w:hAnsi="Palatino"/>
      <w:sz w:val="22"/>
    </w:rPr>
  </w:style>
  <w:style w:type="character" w:customStyle="1" w:styleId="num1CharChar">
    <w:name w:val="num1 Char Char"/>
    <w:link w:val="num1"/>
    <w:locked/>
    <w:rsid w:val="006A6296"/>
    <w:rPr>
      <w:rFonts w:ascii="Palatino" w:hAnsi="Palatino"/>
      <w:sz w:val="26"/>
    </w:rPr>
  </w:style>
  <w:style w:type="paragraph" w:customStyle="1" w:styleId="Level3">
    <w:name w:val="Level 3"/>
    <w:basedOn w:val="Normal"/>
    <w:rsid w:val="00E60844"/>
    <w:pPr>
      <w:numPr>
        <w:ilvl w:val="2"/>
        <w:numId w:val="6"/>
      </w:numPr>
      <w:suppressAutoHyphens/>
      <w:spacing w:after="240"/>
      <w:outlineLvl w:val="2"/>
    </w:pPr>
    <w:rPr>
      <w:rFonts w:ascii="Times New Roman" w:eastAsia="SimSun" w:hAnsi="Times New Roman"/>
      <w:sz w:val="24"/>
    </w:rPr>
  </w:style>
  <w:style w:type="paragraph" w:customStyle="1" w:styleId="Level4">
    <w:name w:val="Level 4"/>
    <w:basedOn w:val="Normal"/>
    <w:rsid w:val="00E60844"/>
    <w:pPr>
      <w:numPr>
        <w:ilvl w:val="3"/>
        <w:numId w:val="6"/>
      </w:numPr>
      <w:suppressAutoHyphens/>
      <w:spacing w:after="240"/>
      <w:outlineLvl w:val="3"/>
    </w:pPr>
    <w:rPr>
      <w:rFonts w:ascii="Times New Roman" w:eastAsia="SimSun" w:hAnsi="Times New Roman"/>
      <w:sz w:val="24"/>
    </w:rPr>
  </w:style>
  <w:style w:type="table" w:styleId="TableGrid">
    <w:name w:val="Table Grid"/>
    <w:basedOn w:val="TableNormal"/>
    <w:uiPriority w:val="59"/>
    <w:rsid w:val="00E6084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5">
    <w:name w:val="Level 5"/>
    <w:basedOn w:val="Normal"/>
    <w:rsid w:val="00E60844"/>
    <w:pPr>
      <w:numPr>
        <w:ilvl w:val="4"/>
        <w:numId w:val="6"/>
      </w:numPr>
      <w:suppressAutoHyphens/>
      <w:spacing w:after="240"/>
      <w:outlineLvl w:val="4"/>
    </w:pPr>
    <w:rPr>
      <w:rFonts w:ascii="Times New Roman" w:eastAsia="SimSun" w:hAnsi="Times New Roman"/>
      <w:sz w:val="24"/>
    </w:rPr>
  </w:style>
  <w:style w:type="paragraph" w:customStyle="1" w:styleId="Level6">
    <w:name w:val="Level 6"/>
    <w:basedOn w:val="Normal"/>
    <w:rsid w:val="00E60844"/>
    <w:pPr>
      <w:numPr>
        <w:ilvl w:val="5"/>
        <w:numId w:val="6"/>
      </w:numPr>
      <w:suppressAutoHyphens/>
      <w:spacing w:after="240"/>
      <w:outlineLvl w:val="5"/>
    </w:pPr>
    <w:rPr>
      <w:rFonts w:ascii="Times New Roman" w:eastAsia="SimSun" w:hAnsi="Times New Roman"/>
      <w:sz w:val="24"/>
    </w:rPr>
  </w:style>
  <w:style w:type="paragraph" w:customStyle="1" w:styleId="Level7">
    <w:name w:val="Level 7"/>
    <w:basedOn w:val="Normal"/>
    <w:rsid w:val="00E60844"/>
    <w:pPr>
      <w:numPr>
        <w:ilvl w:val="6"/>
        <w:numId w:val="6"/>
      </w:numPr>
      <w:suppressAutoHyphens/>
      <w:spacing w:after="240"/>
      <w:outlineLvl w:val="6"/>
    </w:pPr>
    <w:rPr>
      <w:rFonts w:ascii="Times New Roman" w:eastAsia="SimSun" w:hAnsi="Times New Roman"/>
      <w:sz w:val="24"/>
    </w:rPr>
  </w:style>
  <w:style w:type="paragraph" w:customStyle="1" w:styleId="StandardBullet">
    <w:name w:val="Standard Bullet"/>
    <w:basedOn w:val="standard"/>
    <w:link w:val="StandardBulletChar"/>
    <w:rsid w:val="007B3791"/>
    <w:pPr>
      <w:numPr>
        <w:numId w:val="21"/>
      </w:numPr>
      <w:spacing w:after="80" w:line="240" w:lineRule="auto"/>
      <w:ind w:right="720"/>
    </w:pPr>
    <w:rPr>
      <w:rFonts w:eastAsia="Calibri"/>
    </w:rPr>
  </w:style>
  <w:style w:type="paragraph" w:customStyle="1" w:styleId="Level8">
    <w:name w:val="Level 8"/>
    <w:basedOn w:val="Normal"/>
    <w:rsid w:val="00E60844"/>
    <w:pPr>
      <w:numPr>
        <w:ilvl w:val="7"/>
        <w:numId w:val="6"/>
      </w:numPr>
      <w:suppressAutoHyphens/>
      <w:spacing w:after="240"/>
      <w:outlineLvl w:val="7"/>
    </w:pPr>
    <w:rPr>
      <w:rFonts w:ascii="Times New Roman" w:eastAsia="SimSun" w:hAnsi="Times New Roman"/>
      <w:sz w:val="24"/>
    </w:rPr>
  </w:style>
  <w:style w:type="paragraph" w:styleId="EndnoteText">
    <w:name w:val="endnote text"/>
    <w:basedOn w:val="Normal"/>
    <w:link w:val="EndnoteTextChar"/>
    <w:semiHidden/>
    <w:rsid w:val="00E60844"/>
    <w:rPr>
      <w:sz w:val="20"/>
    </w:rPr>
  </w:style>
  <w:style w:type="character" w:customStyle="1" w:styleId="EndnoteTextChar">
    <w:name w:val="Endnote Text Char"/>
    <w:link w:val="EndnoteText"/>
    <w:semiHidden/>
    <w:locked/>
    <w:rsid w:val="001B7596"/>
    <w:rPr>
      <w:rFonts w:ascii="Palatino" w:hAnsi="Palatino" w:cs="Times New Roman"/>
      <w:sz w:val="20"/>
    </w:rPr>
  </w:style>
  <w:style w:type="paragraph" w:styleId="BodyTextFirstIndent2">
    <w:name w:val="Body Text First Indent 2"/>
    <w:basedOn w:val="BodyTextIndent"/>
    <w:link w:val="BodyTextFirstIndent2Char"/>
    <w:rsid w:val="00E60844"/>
    <w:pPr>
      <w:spacing w:after="120"/>
      <w:ind w:left="360" w:firstLine="210"/>
    </w:pPr>
  </w:style>
  <w:style w:type="character" w:customStyle="1" w:styleId="BodyTextFirstIndent2Char">
    <w:name w:val="Body Text First Indent 2 Char"/>
    <w:link w:val="BodyTextFirstIndent2"/>
    <w:semiHidden/>
    <w:locked/>
    <w:rsid w:val="001B7596"/>
    <w:rPr>
      <w:rFonts w:ascii="Palatino" w:hAnsi="Palatino" w:cs="Times New Roman"/>
      <w:sz w:val="20"/>
    </w:rPr>
  </w:style>
  <w:style w:type="character" w:customStyle="1" w:styleId="StandardFootnoteReferenceChar">
    <w:name w:val="Standard Footnote Reference Char"/>
    <w:link w:val="StandardFootnoteReference"/>
    <w:locked/>
    <w:rsid w:val="00B83F57"/>
    <w:rPr>
      <w:rFonts w:ascii="Palatino" w:hAnsi="Palatino"/>
      <w:sz w:val="24"/>
      <w:vertAlign w:val="superscript"/>
    </w:rPr>
  </w:style>
  <w:style w:type="character" w:styleId="Emphasis">
    <w:name w:val="Emphasis"/>
    <w:qFormat/>
    <w:rsid w:val="00E60844"/>
    <w:rPr>
      <w:rFonts w:cs="Times New Roman"/>
      <w:i/>
    </w:rPr>
  </w:style>
  <w:style w:type="character" w:styleId="HTMLAcronym">
    <w:name w:val="HTML Acronym"/>
    <w:rsid w:val="00E60844"/>
    <w:rPr>
      <w:rFonts w:cs="Times New Roman"/>
    </w:rPr>
  </w:style>
  <w:style w:type="paragraph" w:styleId="HTMLAddress">
    <w:name w:val="HTML Address"/>
    <w:basedOn w:val="Normal"/>
    <w:link w:val="HTMLAddressChar"/>
    <w:rsid w:val="00E60844"/>
    <w:rPr>
      <w:i/>
      <w:sz w:val="20"/>
    </w:rPr>
  </w:style>
  <w:style w:type="character" w:customStyle="1" w:styleId="HTMLAddressChar">
    <w:name w:val="HTML Address Char"/>
    <w:link w:val="HTMLAddress"/>
    <w:semiHidden/>
    <w:locked/>
    <w:rsid w:val="001B7596"/>
    <w:rPr>
      <w:rFonts w:ascii="Palatino" w:hAnsi="Palatino" w:cs="Times New Roman"/>
      <w:i/>
      <w:sz w:val="20"/>
    </w:rPr>
  </w:style>
  <w:style w:type="character" w:styleId="HTMLCite">
    <w:name w:val="HTML Cite"/>
    <w:rsid w:val="00E60844"/>
    <w:rPr>
      <w:rFonts w:cs="Times New Roman"/>
      <w:i/>
    </w:rPr>
  </w:style>
  <w:style w:type="paragraph" w:customStyle="1" w:styleId="StyleListParagraphHelveticaBold">
    <w:name w:val="Style List Paragraph + Helvetica Bold"/>
    <w:basedOn w:val="ListParagraph"/>
    <w:rsid w:val="00AD7257"/>
    <w:pPr>
      <w:jc w:val="center"/>
    </w:pPr>
    <w:rPr>
      <w:rFonts w:ascii="Helvetica" w:hAnsi="Helvetica"/>
      <w:b/>
      <w:bCs/>
    </w:rPr>
  </w:style>
  <w:style w:type="character" w:styleId="HTMLDefinition">
    <w:name w:val="HTML Definition"/>
    <w:rsid w:val="00E60844"/>
    <w:rPr>
      <w:rFonts w:cs="Times New Roman"/>
      <w:i/>
    </w:rPr>
  </w:style>
  <w:style w:type="character" w:styleId="HTMLKeyboard">
    <w:name w:val="HTML Keyboard"/>
    <w:rsid w:val="00E60844"/>
    <w:rPr>
      <w:rFonts w:ascii="Courier New" w:hAnsi="Courier New" w:cs="Times New Roman"/>
      <w:sz w:val="20"/>
    </w:rPr>
  </w:style>
  <w:style w:type="character" w:styleId="HTMLSample">
    <w:name w:val="HTML Sample"/>
    <w:rsid w:val="00E60844"/>
    <w:rPr>
      <w:rFonts w:ascii="Courier New" w:hAnsi="Courier New" w:cs="Times New Roman"/>
    </w:rPr>
  </w:style>
  <w:style w:type="character" w:styleId="HTMLVariable">
    <w:name w:val="HTML Variable"/>
    <w:rsid w:val="00E60844"/>
    <w:rPr>
      <w:rFonts w:cs="Times New Roman"/>
      <w:i/>
    </w:rPr>
  </w:style>
  <w:style w:type="paragraph" w:styleId="Index1">
    <w:name w:val="index 1"/>
    <w:basedOn w:val="Normal"/>
    <w:next w:val="Normal"/>
    <w:autoRedefine/>
    <w:semiHidden/>
    <w:rsid w:val="00E60844"/>
    <w:pPr>
      <w:ind w:left="240" w:hanging="240"/>
    </w:pPr>
    <w:rPr>
      <w:rFonts w:ascii="Times New Roman" w:hAnsi="Times New Roman"/>
      <w:sz w:val="24"/>
      <w:szCs w:val="24"/>
    </w:rPr>
  </w:style>
  <w:style w:type="paragraph" w:styleId="Index2">
    <w:name w:val="index 2"/>
    <w:basedOn w:val="Normal"/>
    <w:next w:val="Normal"/>
    <w:autoRedefine/>
    <w:semiHidden/>
    <w:rsid w:val="00E60844"/>
    <w:pPr>
      <w:ind w:left="480" w:hanging="240"/>
    </w:pPr>
    <w:rPr>
      <w:rFonts w:ascii="Times New Roman" w:hAnsi="Times New Roman"/>
      <w:sz w:val="24"/>
      <w:szCs w:val="24"/>
    </w:rPr>
  </w:style>
  <w:style w:type="paragraph" w:styleId="Index3">
    <w:name w:val="index 3"/>
    <w:basedOn w:val="Normal"/>
    <w:next w:val="Normal"/>
    <w:autoRedefine/>
    <w:semiHidden/>
    <w:rsid w:val="00E60844"/>
    <w:pPr>
      <w:ind w:left="720" w:hanging="240"/>
    </w:pPr>
    <w:rPr>
      <w:rFonts w:ascii="Times New Roman" w:hAnsi="Times New Roman"/>
      <w:sz w:val="24"/>
      <w:szCs w:val="24"/>
    </w:rPr>
  </w:style>
  <w:style w:type="paragraph" w:styleId="Index4">
    <w:name w:val="index 4"/>
    <w:basedOn w:val="Normal"/>
    <w:next w:val="Normal"/>
    <w:autoRedefine/>
    <w:semiHidden/>
    <w:rsid w:val="00E60844"/>
    <w:pPr>
      <w:ind w:left="960" w:hanging="240"/>
    </w:pPr>
    <w:rPr>
      <w:rFonts w:ascii="Times New Roman" w:hAnsi="Times New Roman"/>
      <w:sz w:val="24"/>
      <w:szCs w:val="24"/>
    </w:rPr>
  </w:style>
  <w:style w:type="paragraph" w:styleId="Index5">
    <w:name w:val="index 5"/>
    <w:basedOn w:val="Normal"/>
    <w:next w:val="Normal"/>
    <w:autoRedefine/>
    <w:semiHidden/>
    <w:rsid w:val="00E60844"/>
    <w:pPr>
      <w:ind w:left="1200" w:hanging="240"/>
    </w:pPr>
    <w:rPr>
      <w:rFonts w:ascii="Times New Roman" w:hAnsi="Times New Roman"/>
      <w:sz w:val="24"/>
      <w:szCs w:val="24"/>
    </w:rPr>
  </w:style>
  <w:style w:type="paragraph" w:styleId="HTMLPreformatted">
    <w:name w:val="HTML Preformatted"/>
    <w:basedOn w:val="Normal"/>
    <w:link w:val="HTMLPreformattedChar"/>
    <w:rsid w:val="00E608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PreformattedChar">
    <w:name w:val="HTML Preformatted Char"/>
    <w:link w:val="HTMLPreformatted"/>
    <w:semiHidden/>
    <w:locked/>
    <w:rsid w:val="001B7596"/>
    <w:rPr>
      <w:rFonts w:ascii="Courier New" w:hAnsi="Courier New" w:cs="Times New Roman"/>
      <w:sz w:val="20"/>
    </w:rPr>
  </w:style>
  <w:style w:type="paragraph" w:styleId="Index6">
    <w:name w:val="index 6"/>
    <w:basedOn w:val="Normal"/>
    <w:next w:val="Normal"/>
    <w:autoRedefine/>
    <w:semiHidden/>
    <w:rsid w:val="00E60844"/>
    <w:pPr>
      <w:ind w:left="1440" w:hanging="240"/>
    </w:pPr>
    <w:rPr>
      <w:rFonts w:ascii="Times New Roman" w:hAnsi="Times New Roman"/>
      <w:sz w:val="24"/>
      <w:szCs w:val="24"/>
    </w:rPr>
  </w:style>
  <w:style w:type="paragraph" w:styleId="Index7">
    <w:name w:val="index 7"/>
    <w:basedOn w:val="Normal"/>
    <w:next w:val="Normal"/>
    <w:autoRedefine/>
    <w:semiHidden/>
    <w:rsid w:val="00E60844"/>
    <w:pPr>
      <w:ind w:left="1680" w:hanging="240"/>
    </w:pPr>
    <w:rPr>
      <w:rFonts w:ascii="Times New Roman" w:hAnsi="Times New Roman"/>
      <w:sz w:val="24"/>
      <w:szCs w:val="24"/>
    </w:rPr>
  </w:style>
  <w:style w:type="character" w:styleId="EndnoteReference">
    <w:name w:val="endnote reference"/>
    <w:rsid w:val="00E60844"/>
    <w:rPr>
      <w:rFonts w:cs="Times New Roman"/>
      <w:vertAlign w:val="superscript"/>
    </w:rPr>
  </w:style>
  <w:style w:type="paragraph" w:styleId="Index8">
    <w:name w:val="index 8"/>
    <w:basedOn w:val="Normal"/>
    <w:next w:val="Normal"/>
    <w:autoRedefine/>
    <w:semiHidden/>
    <w:rsid w:val="00E60844"/>
    <w:pPr>
      <w:ind w:left="1920" w:hanging="240"/>
    </w:pPr>
    <w:rPr>
      <w:rFonts w:ascii="Times New Roman" w:hAnsi="Times New Roman"/>
      <w:sz w:val="24"/>
      <w:szCs w:val="24"/>
    </w:rPr>
  </w:style>
  <w:style w:type="paragraph" w:styleId="Index9">
    <w:name w:val="index 9"/>
    <w:basedOn w:val="Normal"/>
    <w:next w:val="Normal"/>
    <w:autoRedefine/>
    <w:semiHidden/>
    <w:rsid w:val="00E60844"/>
    <w:pPr>
      <w:ind w:left="2160" w:hanging="240"/>
    </w:pPr>
    <w:rPr>
      <w:rFonts w:ascii="Times New Roman" w:hAnsi="Times New Roman"/>
      <w:sz w:val="24"/>
      <w:szCs w:val="24"/>
    </w:rPr>
  </w:style>
  <w:style w:type="character" w:customStyle="1" w:styleId="StandardBulletChar">
    <w:name w:val="Standard Bullet Char"/>
    <w:link w:val="StandardBullet"/>
    <w:locked/>
    <w:rsid w:val="007B3791"/>
    <w:rPr>
      <w:rFonts w:ascii="Palatino" w:eastAsia="Calibri" w:hAnsi="Palatino"/>
      <w:sz w:val="26"/>
    </w:rPr>
  </w:style>
  <w:style w:type="paragraph" w:styleId="IndexHeading">
    <w:name w:val="index heading"/>
    <w:basedOn w:val="Normal"/>
    <w:next w:val="Index1"/>
    <w:semiHidden/>
    <w:rsid w:val="00E60844"/>
    <w:rPr>
      <w:rFonts w:ascii="Arial" w:hAnsi="Arial" w:cs="Arial"/>
      <w:b/>
      <w:bCs/>
      <w:sz w:val="24"/>
      <w:szCs w:val="24"/>
    </w:rPr>
  </w:style>
  <w:style w:type="character" w:styleId="LineNumber">
    <w:name w:val="line number"/>
    <w:rsid w:val="00E60844"/>
    <w:rPr>
      <w:rFonts w:cs="Times New Roman"/>
    </w:rPr>
  </w:style>
  <w:style w:type="paragraph" w:styleId="ListNumber">
    <w:name w:val="List Number"/>
    <w:basedOn w:val="Normal"/>
    <w:rsid w:val="00E60844"/>
    <w:pPr>
      <w:numPr>
        <w:numId w:val="1"/>
      </w:numPr>
    </w:pPr>
  </w:style>
  <w:style w:type="paragraph" w:styleId="ListNumber2">
    <w:name w:val="List Number 2"/>
    <w:basedOn w:val="Normal"/>
    <w:rsid w:val="00E60844"/>
    <w:pPr>
      <w:numPr>
        <w:numId w:val="2"/>
      </w:numPr>
    </w:pPr>
  </w:style>
  <w:style w:type="character" w:customStyle="1" w:styleId="Hypertext">
    <w:name w:val="Hypertext"/>
    <w:rsid w:val="00E60844"/>
    <w:rPr>
      <w:color w:val="0000FF"/>
      <w:u w:val="single"/>
    </w:rPr>
  </w:style>
  <w:style w:type="paragraph" w:customStyle="1" w:styleId="StandardNumber">
    <w:name w:val="Standard Number"/>
    <w:basedOn w:val="standard"/>
    <w:rsid w:val="00E60844"/>
    <w:pPr>
      <w:numPr>
        <w:numId w:val="3"/>
      </w:numPr>
      <w:tabs>
        <w:tab w:val="clear" w:pos="1080"/>
        <w:tab w:val="num" w:pos="1440"/>
      </w:tabs>
      <w:spacing w:before="80" w:after="80" w:line="240" w:lineRule="auto"/>
      <w:ind w:left="1440" w:right="720" w:hanging="576"/>
    </w:pPr>
  </w:style>
  <w:style w:type="paragraph" w:customStyle="1" w:styleId="1Main">
    <w:name w:val="1Main"/>
    <w:basedOn w:val="main"/>
    <w:rsid w:val="00E60844"/>
  </w:style>
  <w:style w:type="paragraph" w:customStyle="1" w:styleId="StandardQuotation">
    <w:name w:val="Standard Quotation"/>
    <w:basedOn w:val="standard"/>
    <w:link w:val="StandardQuotationChar"/>
    <w:rsid w:val="00834F40"/>
    <w:pPr>
      <w:spacing w:before="60" w:after="200" w:line="240" w:lineRule="auto"/>
      <w:ind w:left="1080" w:right="1080" w:firstLine="0"/>
    </w:pPr>
  </w:style>
  <w:style w:type="paragraph" w:styleId="ListNumber3">
    <w:name w:val="List Number 3"/>
    <w:basedOn w:val="ListNumber2"/>
    <w:rsid w:val="00E60844"/>
    <w:pPr>
      <w:numPr>
        <w:numId w:val="4"/>
      </w:numPr>
      <w:tabs>
        <w:tab w:val="clear" w:pos="1440"/>
        <w:tab w:val="num" w:pos="720"/>
        <w:tab w:val="left" w:pos="936"/>
        <w:tab w:val="num" w:pos="1080"/>
      </w:tabs>
      <w:spacing w:after="240"/>
      <w:ind w:left="1080"/>
      <w:jc w:val="both"/>
    </w:pPr>
    <w:rPr>
      <w:rFonts w:ascii="Times New Roman" w:hAnsi="Times New Roman"/>
      <w:sz w:val="24"/>
      <w:szCs w:val="24"/>
    </w:rPr>
  </w:style>
  <w:style w:type="paragraph" w:styleId="MacroText">
    <w:name w:val="macro"/>
    <w:link w:val="MacroTextChar"/>
    <w:semiHidden/>
    <w:rsid w:val="00E6084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locked/>
    <w:rsid w:val="001B7596"/>
    <w:rPr>
      <w:rFonts w:ascii="Courier New" w:hAnsi="Courier New" w:cs="Courier New"/>
      <w:lang w:val="en-US" w:eastAsia="en-US" w:bidi="ar-SA"/>
    </w:rPr>
  </w:style>
  <w:style w:type="paragraph" w:styleId="MessageHeader">
    <w:name w:val="Message Header"/>
    <w:basedOn w:val="Normal"/>
    <w:link w:val="MessageHeaderChar"/>
    <w:rsid w:val="00E60844"/>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rPr>
  </w:style>
  <w:style w:type="character" w:customStyle="1" w:styleId="MessageHeaderChar">
    <w:name w:val="Message Header Char"/>
    <w:link w:val="MessageHeader"/>
    <w:semiHidden/>
    <w:locked/>
    <w:rsid w:val="001B7596"/>
    <w:rPr>
      <w:rFonts w:ascii="Cambria" w:hAnsi="Cambria" w:cs="Times New Roman"/>
      <w:sz w:val="24"/>
      <w:shd w:val="pct20" w:color="auto" w:fill="auto"/>
    </w:rPr>
  </w:style>
  <w:style w:type="paragraph" w:customStyle="1" w:styleId="Normal0">
    <w:name w:val="@Normal"/>
    <w:rsid w:val="00F00AD9"/>
    <w:pPr>
      <w:suppressAutoHyphens/>
    </w:pPr>
    <w:rPr>
      <w:sz w:val="24"/>
    </w:rPr>
  </w:style>
  <w:style w:type="paragraph" w:customStyle="1" w:styleId="StyleStandardQuotationAfter4pt">
    <w:name w:val="Style Standard Quotation + After:  4 pt"/>
    <w:basedOn w:val="StandardQuotation"/>
    <w:rsid w:val="00E60844"/>
    <w:pPr>
      <w:spacing w:after="80"/>
    </w:pPr>
  </w:style>
  <w:style w:type="character" w:styleId="Strong">
    <w:name w:val="Strong"/>
    <w:uiPriority w:val="22"/>
    <w:qFormat/>
    <w:rsid w:val="00E60844"/>
    <w:rPr>
      <w:rFonts w:cs="Times New Roman"/>
      <w:b/>
    </w:rPr>
  </w:style>
  <w:style w:type="paragraph" w:styleId="Subtitle">
    <w:name w:val="Subtitle"/>
    <w:basedOn w:val="Normal"/>
    <w:link w:val="SubtitleChar"/>
    <w:qFormat/>
    <w:rsid w:val="00E60844"/>
    <w:pPr>
      <w:spacing w:after="240"/>
      <w:jc w:val="center"/>
      <w:outlineLvl w:val="1"/>
    </w:pPr>
    <w:rPr>
      <w:rFonts w:ascii="Cambria" w:hAnsi="Cambria"/>
      <w:sz w:val="24"/>
    </w:rPr>
  </w:style>
  <w:style w:type="character" w:customStyle="1" w:styleId="SubtitleChar">
    <w:name w:val="Subtitle Char"/>
    <w:link w:val="Subtitle"/>
    <w:locked/>
    <w:rsid w:val="001B7596"/>
    <w:rPr>
      <w:rFonts w:ascii="Cambria" w:hAnsi="Cambria" w:cs="Times New Roman"/>
      <w:sz w:val="24"/>
    </w:rPr>
  </w:style>
  <w:style w:type="paragraph" w:styleId="TableofAuthorities">
    <w:name w:val="table of authorities"/>
    <w:basedOn w:val="Normal"/>
    <w:next w:val="Normal"/>
    <w:uiPriority w:val="99"/>
    <w:semiHidden/>
    <w:rsid w:val="00E60844"/>
    <w:pPr>
      <w:ind w:left="240" w:hanging="240"/>
    </w:pPr>
    <w:rPr>
      <w:rFonts w:ascii="Times New Roman" w:hAnsi="Times New Roman"/>
      <w:sz w:val="24"/>
      <w:szCs w:val="24"/>
    </w:rPr>
  </w:style>
  <w:style w:type="numbering" w:customStyle="1" w:styleId="AppendixA">
    <w:name w:val="Appendix A"/>
    <w:basedOn w:val="AppendixHeader"/>
    <w:uiPriority w:val="99"/>
    <w:rsid w:val="00B46F39"/>
    <w:pPr>
      <w:numPr>
        <w:numId w:val="23"/>
      </w:numPr>
    </w:pPr>
  </w:style>
  <w:style w:type="paragraph" w:styleId="TOAHeading">
    <w:name w:val="toa heading"/>
    <w:basedOn w:val="Normal"/>
    <w:next w:val="Normal"/>
    <w:semiHidden/>
    <w:rsid w:val="00E60844"/>
    <w:pPr>
      <w:spacing w:before="120"/>
    </w:pPr>
    <w:rPr>
      <w:rFonts w:ascii="Times New Roman" w:hAnsi="Times New Roman" w:cs="Arial"/>
      <w:b/>
      <w:bCs/>
      <w:sz w:val="24"/>
      <w:szCs w:val="24"/>
    </w:rPr>
  </w:style>
  <w:style w:type="paragraph" w:styleId="TOCHeading">
    <w:name w:val="TOC Heading"/>
    <w:basedOn w:val="Heading1"/>
    <w:next w:val="Normal"/>
    <w:uiPriority w:val="39"/>
    <w:semiHidden/>
    <w:unhideWhenUsed/>
    <w:qFormat/>
    <w:rsid w:val="00A232EF"/>
    <w:pPr>
      <w:keepLines/>
      <w:numPr>
        <w:numId w:val="0"/>
      </w:numPr>
      <w:spacing w:before="480" w:after="0" w:line="276" w:lineRule="auto"/>
      <w:ind w:right="0"/>
      <w:outlineLvl w:val="9"/>
    </w:pPr>
    <w:rPr>
      <w:rFonts w:asciiTheme="majorHAnsi" w:eastAsiaTheme="majorEastAsia" w:hAnsiTheme="majorHAnsi" w:cstheme="majorBidi"/>
      <w:bCs/>
      <w:color w:val="365F91" w:themeColor="accent1" w:themeShade="BF"/>
      <w:kern w:val="0"/>
      <w:sz w:val="28"/>
      <w:szCs w:val="28"/>
      <w:lang w:eastAsia="ja-JP"/>
    </w:rPr>
  </w:style>
  <w:style w:type="character" w:customStyle="1" w:styleId="Emphasis2">
    <w:name w:val="Emphasis 2"/>
    <w:semiHidden/>
    <w:rsid w:val="00E60844"/>
    <w:rPr>
      <w:b/>
    </w:rPr>
  </w:style>
  <w:style w:type="character" w:customStyle="1" w:styleId="Emphasis3">
    <w:name w:val="Emphasis 3"/>
    <w:semiHidden/>
    <w:rsid w:val="00E60844"/>
    <w:rPr>
      <w:u w:val="single"/>
    </w:rPr>
  </w:style>
  <w:style w:type="paragraph" w:customStyle="1" w:styleId="Table">
    <w:name w:val="Table"/>
    <w:basedOn w:val="Normal"/>
    <w:link w:val="TableChar"/>
    <w:rsid w:val="00E60844"/>
    <w:pPr>
      <w:keepNext/>
      <w:keepLines/>
      <w:spacing w:after="240"/>
    </w:pPr>
    <w:rPr>
      <w:rFonts w:ascii="Arial" w:hAnsi="Arial"/>
      <w:sz w:val="24"/>
    </w:rPr>
  </w:style>
  <w:style w:type="character" w:customStyle="1" w:styleId="TableChar">
    <w:name w:val="Table Char"/>
    <w:link w:val="Table"/>
    <w:locked/>
    <w:rsid w:val="00E60844"/>
    <w:rPr>
      <w:rFonts w:ascii="Arial" w:hAnsi="Arial"/>
      <w:sz w:val="24"/>
      <w:lang w:val="en-US" w:eastAsia="en-US"/>
    </w:rPr>
  </w:style>
  <w:style w:type="paragraph" w:customStyle="1" w:styleId="BLOCKQUOTE2">
    <w:name w:val="BLOCK QUOTE 2"/>
    <w:basedOn w:val="BlockQuote"/>
    <w:rsid w:val="00E60844"/>
    <w:pPr>
      <w:ind w:left="2160" w:right="1440" w:hanging="720"/>
    </w:pPr>
  </w:style>
  <w:style w:type="paragraph" w:customStyle="1" w:styleId="microcaption">
    <w:name w:val="micro:caption"/>
    <w:rsid w:val="00E60844"/>
    <w:pPr>
      <w:tabs>
        <w:tab w:val="left" w:pos="0"/>
        <w:tab w:val="left" w:pos="720"/>
        <w:tab w:val="left" w:pos="1440"/>
        <w:tab w:val="left" w:pos="2160"/>
      </w:tabs>
      <w:overflowPunct w:val="0"/>
      <w:autoSpaceDE w:val="0"/>
      <w:autoSpaceDN w:val="0"/>
      <w:adjustRightInd w:val="0"/>
      <w:spacing w:before="11" w:after="38" w:line="267" w:lineRule="atLeast"/>
      <w:jc w:val="both"/>
      <w:textAlignment w:val="baseline"/>
    </w:pPr>
    <w:rPr>
      <w:rFonts w:ascii="Times" w:hAnsi="Times"/>
      <w:sz w:val="24"/>
    </w:rPr>
  </w:style>
  <w:style w:type="paragraph" w:customStyle="1" w:styleId="AltHeading1">
    <w:name w:val="Alt Heading 1"/>
    <w:basedOn w:val="Heading1"/>
    <w:rsid w:val="00E60844"/>
    <w:pPr>
      <w:keepLines/>
      <w:numPr>
        <w:numId w:val="0"/>
      </w:numPr>
      <w:spacing w:before="0" w:after="240"/>
      <w:ind w:right="0"/>
    </w:pPr>
    <w:rPr>
      <w:rFonts w:ascii="Times New Roman" w:hAnsi="Times New Roman" w:cs="Arial"/>
      <w:bCs/>
      <w:kern w:val="0"/>
      <w:sz w:val="28"/>
      <w:szCs w:val="28"/>
    </w:rPr>
  </w:style>
  <w:style w:type="paragraph" w:customStyle="1" w:styleId="Default">
    <w:name w:val="Default"/>
    <w:rsid w:val="00E60844"/>
    <w:pPr>
      <w:widowControl w:val="0"/>
      <w:autoSpaceDE w:val="0"/>
      <w:autoSpaceDN w:val="0"/>
      <w:adjustRightInd w:val="0"/>
    </w:pPr>
    <w:rPr>
      <w:color w:val="000000"/>
      <w:sz w:val="24"/>
      <w:szCs w:val="24"/>
    </w:rPr>
  </w:style>
  <w:style w:type="paragraph" w:customStyle="1" w:styleId="CM5">
    <w:name w:val="CM5"/>
    <w:basedOn w:val="Default"/>
    <w:next w:val="Default"/>
    <w:rsid w:val="00E60844"/>
    <w:pPr>
      <w:spacing w:line="273" w:lineRule="atLeast"/>
    </w:pPr>
    <w:rPr>
      <w:color w:val="auto"/>
    </w:rPr>
  </w:style>
  <w:style w:type="paragraph" w:customStyle="1" w:styleId="CM66">
    <w:name w:val="CM66"/>
    <w:basedOn w:val="Default"/>
    <w:next w:val="Default"/>
    <w:rsid w:val="00E60844"/>
    <w:pPr>
      <w:spacing w:after="368"/>
    </w:pPr>
    <w:rPr>
      <w:color w:val="auto"/>
    </w:rPr>
  </w:style>
  <w:style w:type="paragraph" w:customStyle="1" w:styleId="CM68">
    <w:name w:val="CM68"/>
    <w:basedOn w:val="Default"/>
    <w:next w:val="Default"/>
    <w:rsid w:val="00E60844"/>
    <w:pPr>
      <w:spacing w:after="263"/>
    </w:pPr>
    <w:rPr>
      <w:color w:val="auto"/>
    </w:rPr>
  </w:style>
  <w:style w:type="paragraph" w:customStyle="1" w:styleId="CM19">
    <w:name w:val="CM19"/>
    <w:basedOn w:val="Default"/>
    <w:next w:val="Default"/>
    <w:rsid w:val="00E60844"/>
    <w:pPr>
      <w:spacing w:line="276" w:lineRule="atLeast"/>
    </w:pPr>
    <w:rPr>
      <w:color w:val="auto"/>
    </w:rPr>
  </w:style>
  <w:style w:type="paragraph" w:customStyle="1" w:styleId="StandardBlockSingleSpace">
    <w:name w:val="Standard Block Single Space"/>
    <w:basedOn w:val="standard"/>
    <w:rsid w:val="00E60844"/>
    <w:pPr>
      <w:widowControl w:val="0"/>
      <w:spacing w:after="120" w:line="240" w:lineRule="auto"/>
      <w:ind w:firstLine="0"/>
    </w:pPr>
  </w:style>
  <w:style w:type="paragraph" w:customStyle="1" w:styleId="StandardBulletSingleSpace">
    <w:name w:val="Standard Bullet Single Space"/>
    <w:basedOn w:val="StandardBullet"/>
    <w:rsid w:val="00E60844"/>
    <w:pPr>
      <w:widowControl w:val="0"/>
      <w:spacing w:after="0"/>
    </w:pPr>
  </w:style>
  <w:style w:type="paragraph" w:styleId="List">
    <w:name w:val="List"/>
    <w:basedOn w:val="Normal"/>
    <w:rsid w:val="00E44996"/>
    <w:pPr>
      <w:ind w:left="360" w:hanging="360"/>
      <w:contextualSpacing/>
    </w:pPr>
  </w:style>
  <w:style w:type="paragraph" w:styleId="List3">
    <w:name w:val="List 3"/>
    <w:basedOn w:val="Normal"/>
    <w:rsid w:val="002561C7"/>
    <w:pPr>
      <w:spacing w:before="120" w:after="120"/>
      <w:ind w:left="1080" w:right="1008" w:hanging="360"/>
    </w:pPr>
  </w:style>
  <w:style w:type="paragraph" w:styleId="Revision">
    <w:name w:val="Revision"/>
    <w:hidden/>
    <w:uiPriority w:val="99"/>
    <w:semiHidden/>
    <w:rsid w:val="00E84708"/>
    <w:rPr>
      <w:rFonts w:ascii="Palatino" w:hAnsi="Palatino"/>
      <w:sz w:val="26"/>
    </w:rPr>
  </w:style>
  <w:style w:type="numbering" w:styleId="1ai">
    <w:name w:val="Outline List 1"/>
    <w:basedOn w:val="NoList"/>
    <w:rsid w:val="00D22974"/>
    <w:pPr>
      <w:numPr>
        <w:numId w:val="5"/>
      </w:numPr>
    </w:pPr>
  </w:style>
  <w:style w:type="numbering" w:customStyle="1" w:styleId="Style1">
    <w:name w:val="Style1"/>
    <w:rsid w:val="00F45FB4"/>
    <w:pPr>
      <w:numPr>
        <w:numId w:val="7"/>
      </w:numPr>
    </w:pPr>
  </w:style>
  <w:style w:type="paragraph" w:customStyle="1" w:styleId="sub2">
    <w:name w:val="sub2"/>
    <w:basedOn w:val="Normal"/>
    <w:rsid w:val="005B7F80"/>
    <w:pPr>
      <w:spacing w:line="360" w:lineRule="auto"/>
      <w:ind w:firstLine="2160"/>
    </w:pPr>
  </w:style>
  <w:style w:type="table" w:styleId="MediumGrid3-Accent1">
    <w:name w:val="Medium Grid 3 Accent 1"/>
    <w:basedOn w:val="TableNormal"/>
    <w:uiPriority w:val="69"/>
    <w:rsid w:val="002937AE"/>
    <w:pPr>
      <w:ind w:firstLine="360"/>
    </w:pPr>
    <w:rPr>
      <w:rFonts w:ascii="Calibri" w:hAnsi="Calibri"/>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yleListParagraphHelveticaBoldCentered">
    <w:name w:val="Style List Paragraph + Helvetica Bold Centered"/>
    <w:basedOn w:val="ListParagraph"/>
    <w:rsid w:val="00A232EF"/>
    <w:pPr>
      <w:jc w:val="center"/>
    </w:pPr>
    <w:rPr>
      <w:b/>
      <w:bCs/>
    </w:rPr>
  </w:style>
  <w:style w:type="paragraph" w:customStyle="1" w:styleId="para3">
    <w:name w:val="para3"/>
    <w:basedOn w:val="Normal"/>
    <w:rsid w:val="00A83655"/>
    <w:pPr>
      <w:spacing w:before="100" w:beforeAutospacing="1" w:after="100" w:afterAutospacing="1"/>
    </w:pPr>
    <w:rPr>
      <w:rFonts w:ascii="Times New Roman" w:hAnsi="Times New Roman"/>
      <w:color w:val="000000"/>
      <w:sz w:val="24"/>
      <w:szCs w:val="24"/>
    </w:rPr>
  </w:style>
  <w:style w:type="paragraph" w:customStyle="1" w:styleId="Subject">
    <w:name w:val="Subject"/>
    <w:basedOn w:val="Normal"/>
    <w:qFormat/>
    <w:rsid w:val="00281A2C"/>
    <w:pPr>
      <w:spacing w:before="240" w:line="240" w:lineRule="atLeast"/>
      <w:ind w:left="1224" w:hanging="1224"/>
    </w:pPr>
    <w:rPr>
      <w:rFonts w:ascii="Arial" w:eastAsia="Calibri" w:hAnsi="Arial"/>
      <w:b/>
      <w:smallCaps/>
      <w:sz w:val="24"/>
      <w:szCs w:val="24"/>
    </w:rPr>
  </w:style>
  <w:style w:type="paragraph" w:customStyle="1" w:styleId="TitlePage">
    <w:name w:val="Title Page"/>
    <w:basedOn w:val="Normal"/>
    <w:rsid w:val="00A83655"/>
    <w:pPr>
      <w:jc w:val="center"/>
    </w:pPr>
    <w:rPr>
      <w:rFonts w:ascii="Times New Roman" w:hAnsi="Times New Roman"/>
      <w:b/>
      <w:bCs/>
      <w:sz w:val="24"/>
    </w:rPr>
  </w:style>
  <w:style w:type="paragraph" w:customStyle="1" w:styleId="Quote10">
    <w:name w:val="Quote 1"/>
    <w:basedOn w:val="Normal"/>
    <w:rsid w:val="00E95984"/>
    <w:pPr>
      <w:spacing w:before="240"/>
      <w:ind w:left="1440" w:right="1440"/>
    </w:pPr>
    <w:rPr>
      <w:rFonts w:ascii="Times New Roman" w:hAnsi="Times New Roman"/>
      <w:sz w:val="24"/>
    </w:rPr>
  </w:style>
  <w:style w:type="paragraph" w:customStyle="1" w:styleId="DeclStyle">
    <w:name w:val="Decl_Style"/>
    <w:basedOn w:val="Normal"/>
    <w:rsid w:val="009A3B27"/>
    <w:pPr>
      <w:numPr>
        <w:ilvl w:val="2"/>
        <w:numId w:val="12"/>
      </w:numPr>
      <w:tabs>
        <w:tab w:val="clear" w:pos="1620"/>
      </w:tabs>
      <w:suppressAutoHyphens/>
      <w:spacing w:line="480" w:lineRule="auto"/>
      <w:ind w:left="0" w:firstLine="720"/>
    </w:pPr>
    <w:rPr>
      <w:rFonts w:ascii="Times New Roman" w:hAnsi="Times New Roman"/>
      <w:color w:val="000000"/>
      <w:sz w:val="24"/>
    </w:rPr>
  </w:style>
  <w:style w:type="paragraph" w:customStyle="1" w:styleId="StyleHeading2TimesNewRoman">
    <w:name w:val="Style Heading 2 + Times New Roman"/>
    <w:basedOn w:val="Heading2"/>
    <w:rsid w:val="009A3B27"/>
    <w:pPr>
      <w:keepLines/>
      <w:numPr>
        <w:ilvl w:val="0"/>
        <w:numId w:val="13"/>
      </w:numPr>
      <w:spacing w:before="240" w:after="240"/>
      <w:ind w:right="0" w:hanging="720"/>
    </w:pPr>
    <w:rPr>
      <w:rFonts w:ascii="Times New Roman" w:hAnsi="Times New Roman"/>
      <w:bCs/>
      <w:sz w:val="24"/>
      <w:u w:val="single"/>
    </w:rPr>
  </w:style>
  <w:style w:type="paragraph" w:customStyle="1" w:styleId="StyleHeading3TimesNewRoman">
    <w:name w:val="Style Heading 3 + Times New Roman"/>
    <w:basedOn w:val="Heading3"/>
    <w:rsid w:val="009A3B27"/>
    <w:pPr>
      <w:numPr>
        <w:ilvl w:val="0"/>
        <w:numId w:val="14"/>
      </w:numPr>
      <w:spacing w:before="240" w:after="240"/>
      <w:ind w:right="0" w:hanging="720"/>
    </w:pPr>
    <w:rPr>
      <w:rFonts w:ascii="Times New Roman" w:hAnsi="Times New Roman"/>
      <w:bCs/>
      <w:sz w:val="24"/>
    </w:rPr>
  </w:style>
  <w:style w:type="paragraph" w:customStyle="1" w:styleId="StyleHeading4TimesNewRoman">
    <w:name w:val="Style Heading 4 + Times New Roman"/>
    <w:basedOn w:val="Heading4"/>
    <w:rsid w:val="009A3B27"/>
    <w:pPr>
      <w:numPr>
        <w:ilvl w:val="0"/>
        <w:numId w:val="15"/>
      </w:numPr>
      <w:spacing w:before="240" w:after="240"/>
      <w:ind w:right="0" w:hanging="720"/>
    </w:pPr>
    <w:rPr>
      <w:rFonts w:ascii="Times New Roman" w:hAnsi="Times New Roman"/>
      <w:iCs/>
      <w:sz w:val="24"/>
    </w:rPr>
  </w:style>
  <w:style w:type="paragraph" w:customStyle="1" w:styleId="OutHead1">
    <w:name w:val="OutHead1"/>
    <w:basedOn w:val="Normal"/>
    <w:next w:val="Normal"/>
    <w:qFormat/>
    <w:rsid w:val="00866EAF"/>
    <w:pPr>
      <w:keepNext/>
      <w:numPr>
        <w:numId w:val="16"/>
      </w:numPr>
      <w:pBdr>
        <w:top w:val="nil"/>
        <w:left w:val="nil"/>
        <w:bottom w:val="nil"/>
        <w:right w:val="nil"/>
        <w:between w:val="nil"/>
        <w:bar w:val="nil"/>
      </w:pBdr>
      <w:spacing w:after="240"/>
      <w:jc w:val="center"/>
      <w:outlineLvl w:val="0"/>
    </w:pPr>
    <w:rPr>
      <w:rFonts w:ascii="Times New Roman" w:eastAsia="Arial Unicode MS" w:hAnsi="Times New Roman"/>
      <w:b/>
      <w:caps/>
      <w:color w:val="000000"/>
      <w:sz w:val="24"/>
      <w:bdr w:val="nil"/>
    </w:rPr>
  </w:style>
  <w:style w:type="paragraph" w:customStyle="1" w:styleId="OutHead2">
    <w:name w:val="OutHead2"/>
    <w:basedOn w:val="Normal"/>
    <w:next w:val="Normal"/>
    <w:uiPriority w:val="1"/>
    <w:qFormat/>
    <w:rsid w:val="00866EAF"/>
    <w:pPr>
      <w:keepNext/>
      <w:numPr>
        <w:ilvl w:val="1"/>
        <w:numId w:val="16"/>
      </w:numPr>
      <w:pBdr>
        <w:top w:val="nil"/>
        <w:left w:val="nil"/>
        <w:bottom w:val="nil"/>
        <w:right w:val="nil"/>
        <w:between w:val="nil"/>
        <w:bar w:val="nil"/>
      </w:pBdr>
      <w:spacing w:after="240"/>
      <w:outlineLvl w:val="1"/>
    </w:pPr>
    <w:rPr>
      <w:rFonts w:ascii="Times New Roman" w:eastAsia="Arial Unicode MS" w:hAnsi="Times New Roman"/>
      <w:b/>
      <w:color w:val="000000"/>
      <w:sz w:val="24"/>
      <w:bdr w:val="nil"/>
    </w:rPr>
  </w:style>
  <w:style w:type="paragraph" w:customStyle="1" w:styleId="OutHead3">
    <w:name w:val="OutHead3"/>
    <w:basedOn w:val="Normal"/>
    <w:next w:val="Normal"/>
    <w:uiPriority w:val="1"/>
    <w:rsid w:val="00866EAF"/>
    <w:pPr>
      <w:keepNext/>
      <w:numPr>
        <w:ilvl w:val="2"/>
        <w:numId w:val="16"/>
      </w:numPr>
      <w:pBdr>
        <w:top w:val="nil"/>
        <w:left w:val="nil"/>
        <w:bottom w:val="nil"/>
        <w:right w:val="nil"/>
        <w:between w:val="nil"/>
        <w:bar w:val="nil"/>
      </w:pBdr>
      <w:spacing w:after="240"/>
      <w:outlineLvl w:val="2"/>
    </w:pPr>
    <w:rPr>
      <w:rFonts w:ascii="Times New Roman" w:eastAsia="Arial Unicode MS" w:hAnsi="Times New Roman"/>
      <w:b/>
      <w:color w:val="000000"/>
      <w:sz w:val="24"/>
      <w:bdr w:val="nil"/>
    </w:rPr>
  </w:style>
  <w:style w:type="paragraph" w:customStyle="1" w:styleId="OutHead4">
    <w:name w:val="OutHead4"/>
    <w:basedOn w:val="Normal"/>
    <w:next w:val="Normal"/>
    <w:uiPriority w:val="1"/>
    <w:rsid w:val="00866EAF"/>
    <w:pPr>
      <w:keepNext/>
      <w:numPr>
        <w:ilvl w:val="3"/>
        <w:numId w:val="16"/>
      </w:numPr>
      <w:pBdr>
        <w:top w:val="nil"/>
        <w:left w:val="nil"/>
        <w:bottom w:val="nil"/>
        <w:right w:val="nil"/>
        <w:between w:val="nil"/>
        <w:bar w:val="nil"/>
      </w:pBdr>
      <w:spacing w:after="240"/>
      <w:outlineLvl w:val="3"/>
    </w:pPr>
    <w:rPr>
      <w:rFonts w:ascii="Times New Roman" w:eastAsia="Arial Unicode MS" w:hAnsi="Times New Roman"/>
      <w:b/>
      <w:color w:val="000000"/>
      <w:sz w:val="24"/>
      <w:bdr w:val="nil"/>
    </w:rPr>
  </w:style>
  <w:style w:type="paragraph" w:customStyle="1" w:styleId="OutHead5">
    <w:name w:val="OutHead5"/>
    <w:basedOn w:val="Normal"/>
    <w:next w:val="Normal"/>
    <w:uiPriority w:val="1"/>
    <w:rsid w:val="00866EAF"/>
    <w:pPr>
      <w:keepNext/>
      <w:numPr>
        <w:ilvl w:val="4"/>
        <w:numId w:val="16"/>
      </w:numPr>
      <w:pBdr>
        <w:top w:val="nil"/>
        <w:left w:val="nil"/>
        <w:bottom w:val="nil"/>
        <w:right w:val="nil"/>
        <w:between w:val="nil"/>
        <w:bar w:val="nil"/>
      </w:pBdr>
      <w:spacing w:after="240"/>
      <w:outlineLvl w:val="4"/>
    </w:pPr>
    <w:rPr>
      <w:rFonts w:ascii="Times New Roman" w:eastAsia="Arial Unicode MS" w:hAnsi="Times New Roman"/>
      <w:b/>
      <w:color w:val="000000"/>
      <w:sz w:val="24"/>
      <w:bdr w:val="nil"/>
    </w:rPr>
  </w:style>
  <w:style w:type="paragraph" w:customStyle="1" w:styleId="OutHead6">
    <w:name w:val="OutHead6"/>
    <w:basedOn w:val="Normal"/>
    <w:next w:val="Normal"/>
    <w:uiPriority w:val="1"/>
    <w:rsid w:val="00866EAF"/>
    <w:pPr>
      <w:keepNext/>
      <w:numPr>
        <w:ilvl w:val="5"/>
        <w:numId w:val="16"/>
      </w:numPr>
      <w:pBdr>
        <w:top w:val="nil"/>
        <w:left w:val="nil"/>
        <w:bottom w:val="nil"/>
        <w:right w:val="nil"/>
        <w:between w:val="nil"/>
        <w:bar w:val="nil"/>
      </w:pBdr>
      <w:spacing w:after="240"/>
      <w:outlineLvl w:val="5"/>
    </w:pPr>
    <w:rPr>
      <w:rFonts w:ascii="Times New Roman" w:eastAsia="Arial Unicode MS" w:hAnsi="Times New Roman"/>
      <w:b/>
      <w:color w:val="000000"/>
      <w:sz w:val="24"/>
      <w:bdr w:val="nil"/>
    </w:rPr>
  </w:style>
  <w:style w:type="paragraph" w:customStyle="1" w:styleId="OutHead7">
    <w:name w:val="OutHead7"/>
    <w:basedOn w:val="Normal"/>
    <w:next w:val="Normal"/>
    <w:uiPriority w:val="1"/>
    <w:qFormat/>
    <w:rsid w:val="00866EAF"/>
    <w:pPr>
      <w:keepNext/>
      <w:numPr>
        <w:ilvl w:val="6"/>
        <w:numId w:val="16"/>
      </w:numPr>
      <w:pBdr>
        <w:top w:val="nil"/>
        <w:left w:val="nil"/>
        <w:bottom w:val="nil"/>
        <w:right w:val="nil"/>
        <w:between w:val="nil"/>
        <w:bar w:val="nil"/>
      </w:pBdr>
      <w:spacing w:after="240"/>
      <w:outlineLvl w:val="6"/>
    </w:pPr>
    <w:rPr>
      <w:rFonts w:ascii="Times New Roman" w:eastAsia="Arial Unicode MS" w:hAnsi="Times New Roman"/>
      <w:b/>
      <w:color w:val="000000"/>
      <w:sz w:val="24"/>
      <w:bdr w:val="nil"/>
    </w:rPr>
  </w:style>
  <w:style w:type="paragraph" w:customStyle="1" w:styleId="OutHead8">
    <w:name w:val="OutHead8"/>
    <w:basedOn w:val="Normal"/>
    <w:next w:val="Normal"/>
    <w:uiPriority w:val="1"/>
    <w:qFormat/>
    <w:rsid w:val="00866EAF"/>
    <w:pPr>
      <w:keepNext/>
      <w:numPr>
        <w:ilvl w:val="7"/>
        <w:numId w:val="16"/>
      </w:numPr>
      <w:pBdr>
        <w:top w:val="nil"/>
        <w:left w:val="nil"/>
        <w:bottom w:val="nil"/>
        <w:right w:val="nil"/>
        <w:between w:val="nil"/>
        <w:bar w:val="nil"/>
      </w:pBdr>
      <w:spacing w:after="240"/>
      <w:outlineLvl w:val="7"/>
    </w:pPr>
    <w:rPr>
      <w:rFonts w:ascii="Times New Roman" w:eastAsia="Arial Unicode MS" w:hAnsi="Times New Roman"/>
      <w:b/>
      <w:color w:val="000000"/>
      <w:sz w:val="24"/>
      <w:bdr w:val="nil"/>
    </w:rPr>
  </w:style>
  <w:style w:type="paragraph" w:customStyle="1" w:styleId="Quote2">
    <w:name w:val="Quote2"/>
    <w:basedOn w:val="standard"/>
    <w:rsid w:val="00324D31"/>
    <w:pPr>
      <w:spacing w:before="120" w:after="240" w:line="240" w:lineRule="auto"/>
      <w:ind w:left="720" w:right="720" w:firstLine="0"/>
    </w:pPr>
  </w:style>
  <w:style w:type="paragraph" w:customStyle="1" w:styleId="sub1">
    <w:name w:val="sub1"/>
    <w:basedOn w:val="Normal"/>
    <w:rsid w:val="00324D31"/>
    <w:pPr>
      <w:spacing w:line="360" w:lineRule="auto"/>
      <w:ind w:firstLine="1440"/>
    </w:pPr>
  </w:style>
  <w:style w:type="paragraph" w:styleId="BalloonText">
    <w:name w:val="Balloon Text"/>
    <w:basedOn w:val="Normal"/>
    <w:link w:val="BalloonTextChar"/>
    <w:uiPriority w:val="99"/>
    <w:semiHidden/>
    <w:unhideWhenUsed/>
    <w:locked/>
    <w:rsid w:val="00C543C6"/>
    <w:rPr>
      <w:rFonts w:ascii="Tahoma" w:hAnsi="Tahoma" w:cs="Tahoma"/>
      <w:sz w:val="16"/>
      <w:szCs w:val="16"/>
    </w:rPr>
  </w:style>
  <w:style w:type="character" w:customStyle="1" w:styleId="BalloonTextChar">
    <w:name w:val="Balloon Text Char"/>
    <w:link w:val="BalloonText"/>
    <w:uiPriority w:val="99"/>
    <w:semiHidden/>
    <w:rsid w:val="00C543C6"/>
    <w:rPr>
      <w:rFonts w:ascii="Tahoma" w:hAnsi="Tahoma" w:cs="Tahoma"/>
      <w:sz w:val="16"/>
      <w:szCs w:val="16"/>
    </w:rPr>
  </w:style>
  <w:style w:type="paragraph" w:customStyle="1" w:styleId="BodyText6">
    <w:name w:val="Body Text 6"/>
    <w:basedOn w:val="BodyText"/>
    <w:autoRedefine/>
    <w:rsid w:val="00AF57B4"/>
    <w:pPr>
      <w:spacing w:after="120" w:line="360" w:lineRule="auto"/>
      <w:ind w:firstLine="907"/>
    </w:pPr>
    <w:rPr>
      <w:sz w:val="26"/>
      <w:szCs w:val="20"/>
      <w:lang w:eastAsia="en-US"/>
    </w:rPr>
  </w:style>
  <w:style w:type="character" w:customStyle="1" w:styleId="enumbell">
    <w:name w:val="enumbell"/>
    <w:basedOn w:val="DefaultParagraphFont"/>
    <w:rsid w:val="00F66292"/>
  </w:style>
  <w:style w:type="character" w:customStyle="1" w:styleId="ptext-">
    <w:name w:val="ptext-"/>
    <w:basedOn w:val="DefaultParagraphFont"/>
    <w:rsid w:val="00F66292"/>
  </w:style>
  <w:style w:type="character" w:customStyle="1" w:styleId="FootnoteTextChar2">
    <w:name w:val="Footnote Text Char2"/>
    <w:aliases w:val="Standard Footnote Text Char1,Footnote Text Char Char5 Char Char1,Footnote Text Char2 Char1 Char1 Char Char1,Footnote Text Char4 Char Char Char1 Char Char1,fn Char1,Footnote Text Char1 Char Char2,Footnote Text Char1 Char2,f Char1"/>
    <w:locked/>
    <w:rsid w:val="00DF1DBE"/>
    <w:rPr>
      <w:rFonts w:ascii="Palatino" w:hAnsi="Palatino"/>
      <w:sz w:val="24"/>
    </w:rPr>
  </w:style>
  <w:style w:type="character" w:customStyle="1" w:styleId="StandardBulletCharChar">
    <w:name w:val="Standard Bullet Char Char"/>
    <w:locked/>
    <w:rsid w:val="00DF1DBE"/>
    <w:rPr>
      <w:rFonts w:ascii="Palatino" w:hAnsi="Palatino"/>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caption" w:uiPriority="35"/>
    <w:lsdException w:name="footnote reference" w:qFormat="1"/>
    <w:lsdException w:name="annotation reference" w:uiPriority="99"/>
    <w:lsdException w:name="table of authorities"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46F39"/>
    <w:rPr>
      <w:rFonts w:ascii="Palatino" w:hAnsi="Palatino"/>
      <w:sz w:val="26"/>
    </w:rPr>
  </w:style>
  <w:style w:type="paragraph" w:styleId="Heading1">
    <w:name w:val="heading 1"/>
    <w:basedOn w:val="Normal"/>
    <w:link w:val="Heading1Char"/>
    <w:uiPriority w:val="9"/>
    <w:qFormat/>
    <w:rsid w:val="00A4093B"/>
    <w:pPr>
      <w:keepNext/>
      <w:numPr>
        <w:numId w:val="24"/>
      </w:numPr>
      <w:spacing w:before="120" w:after="120"/>
      <w:ind w:right="1440"/>
      <w:outlineLvl w:val="0"/>
    </w:pPr>
    <w:rPr>
      <w:rFonts w:ascii="Helvetica" w:hAnsi="Helvetica"/>
      <w:b/>
      <w:kern w:val="28"/>
    </w:rPr>
  </w:style>
  <w:style w:type="paragraph" w:styleId="Heading2">
    <w:name w:val="heading 2"/>
    <w:basedOn w:val="Heading1"/>
    <w:link w:val="Heading2Char"/>
    <w:uiPriority w:val="9"/>
    <w:qFormat/>
    <w:rsid w:val="00214651"/>
    <w:pPr>
      <w:numPr>
        <w:ilvl w:val="1"/>
      </w:numPr>
      <w:ind w:right="720"/>
      <w:outlineLvl w:val="1"/>
    </w:pPr>
  </w:style>
  <w:style w:type="paragraph" w:styleId="Heading3">
    <w:name w:val="heading 3"/>
    <w:basedOn w:val="Heading1"/>
    <w:link w:val="Heading3Char"/>
    <w:uiPriority w:val="9"/>
    <w:qFormat/>
    <w:rsid w:val="005719C6"/>
    <w:pPr>
      <w:numPr>
        <w:ilvl w:val="2"/>
      </w:numPr>
      <w:outlineLvl w:val="2"/>
    </w:pPr>
  </w:style>
  <w:style w:type="paragraph" w:styleId="Heading4">
    <w:name w:val="heading 4"/>
    <w:basedOn w:val="Heading3"/>
    <w:link w:val="Heading4Char"/>
    <w:uiPriority w:val="9"/>
    <w:qFormat/>
    <w:rsid w:val="00A845DC"/>
    <w:pPr>
      <w:numPr>
        <w:ilvl w:val="3"/>
      </w:numPr>
      <w:tabs>
        <w:tab w:val="clear" w:pos="2160"/>
        <w:tab w:val="num" w:pos="1980"/>
      </w:tabs>
      <w:ind w:left="1980" w:hanging="1260"/>
      <w:outlineLvl w:val="3"/>
    </w:pPr>
  </w:style>
  <w:style w:type="paragraph" w:styleId="Heading5">
    <w:name w:val="heading 5"/>
    <w:basedOn w:val="Heading4"/>
    <w:link w:val="Heading5Char"/>
    <w:uiPriority w:val="9"/>
    <w:qFormat/>
    <w:rsid w:val="002570D5"/>
    <w:pPr>
      <w:numPr>
        <w:ilvl w:val="4"/>
      </w:numPr>
      <w:tabs>
        <w:tab w:val="clear" w:pos="3600"/>
        <w:tab w:val="num" w:pos="1980"/>
      </w:tabs>
      <w:ind w:left="1980" w:hanging="1260"/>
      <w:outlineLvl w:val="4"/>
    </w:pPr>
  </w:style>
  <w:style w:type="paragraph" w:styleId="Heading6">
    <w:name w:val="heading 6"/>
    <w:basedOn w:val="Heading5"/>
    <w:link w:val="Heading6Char"/>
    <w:uiPriority w:val="9"/>
    <w:qFormat/>
    <w:rsid w:val="00F45FB4"/>
    <w:pPr>
      <w:numPr>
        <w:ilvl w:val="5"/>
        <w:numId w:val="25"/>
      </w:numPr>
      <w:outlineLvl w:val="5"/>
    </w:pPr>
  </w:style>
  <w:style w:type="paragraph" w:styleId="Heading7">
    <w:name w:val="heading 7"/>
    <w:basedOn w:val="Heading6"/>
    <w:link w:val="Heading7Char"/>
    <w:uiPriority w:val="9"/>
    <w:qFormat/>
    <w:rsid w:val="00F45FB4"/>
    <w:pPr>
      <w:numPr>
        <w:ilvl w:val="6"/>
      </w:numPr>
      <w:outlineLvl w:val="6"/>
    </w:pPr>
  </w:style>
  <w:style w:type="paragraph" w:styleId="Heading8">
    <w:name w:val="heading 8"/>
    <w:basedOn w:val="Heading7"/>
    <w:next w:val="Normal"/>
    <w:link w:val="Heading8Char"/>
    <w:uiPriority w:val="9"/>
    <w:qFormat/>
    <w:rsid w:val="00F45FB4"/>
    <w:pPr>
      <w:numPr>
        <w:ilvl w:val="7"/>
      </w:numPr>
      <w:outlineLvl w:val="7"/>
    </w:pPr>
  </w:style>
  <w:style w:type="paragraph" w:styleId="Heading9">
    <w:name w:val="heading 9"/>
    <w:basedOn w:val="Heading8"/>
    <w:next w:val="Normal"/>
    <w:link w:val="Heading9Char"/>
    <w:uiPriority w:val="9"/>
    <w:rsid w:val="00F45FB4"/>
    <w:pPr>
      <w:numPr>
        <w:ilvl w:val="8"/>
      </w:numPr>
      <w:ind w:right="0"/>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4093B"/>
    <w:rPr>
      <w:rFonts w:ascii="Helvetica" w:hAnsi="Helvetica"/>
      <w:b/>
      <w:kern w:val="28"/>
      <w:sz w:val="26"/>
    </w:rPr>
  </w:style>
  <w:style w:type="character" w:customStyle="1" w:styleId="Heading2Char">
    <w:name w:val="Heading 2 Char"/>
    <w:link w:val="Heading2"/>
    <w:uiPriority w:val="9"/>
    <w:locked/>
    <w:rsid w:val="00214651"/>
    <w:rPr>
      <w:rFonts w:ascii="Helvetica" w:hAnsi="Helvetica"/>
      <w:b/>
      <w:kern w:val="28"/>
      <w:sz w:val="26"/>
    </w:rPr>
  </w:style>
  <w:style w:type="character" w:customStyle="1" w:styleId="Heading3Char">
    <w:name w:val="Heading 3 Char"/>
    <w:link w:val="Heading3"/>
    <w:uiPriority w:val="9"/>
    <w:locked/>
    <w:rsid w:val="005719C6"/>
    <w:rPr>
      <w:rFonts w:ascii="Helvetica" w:hAnsi="Helvetica"/>
      <w:b/>
      <w:kern w:val="28"/>
      <w:sz w:val="26"/>
    </w:rPr>
  </w:style>
  <w:style w:type="character" w:customStyle="1" w:styleId="Heading4Char">
    <w:name w:val="Heading 4 Char"/>
    <w:link w:val="Heading4"/>
    <w:uiPriority w:val="9"/>
    <w:locked/>
    <w:rsid w:val="00A845DC"/>
    <w:rPr>
      <w:rFonts w:ascii="Helvetica" w:hAnsi="Helvetica"/>
      <w:b/>
      <w:kern w:val="28"/>
      <w:sz w:val="26"/>
    </w:rPr>
  </w:style>
  <w:style w:type="character" w:customStyle="1" w:styleId="Heading5Char">
    <w:name w:val="Heading 5 Char"/>
    <w:link w:val="Heading5"/>
    <w:uiPriority w:val="9"/>
    <w:locked/>
    <w:rsid w:val="002570D5"/>
    <w:rPr>
      <w:rFonts w:ascii="Helvetica" w:hAnsi="Helvetica"/>
      <w:b/>
      <w:kern w:val="28"/>
      <w:sz w:val="26"/>
    </w:rPr>
  </w:style>
  <w:style w:type="character" w:customStyle="1" w:styleId="Heading6Char">
    <w:name w:val="Heading 6 Char"/>
    <w:link w:val="Heading6"/>
    <w:uiPriority w:val="9"/>
    <w:locked/>
    <w:rsid w:val="005719C6"/>
    <w:rPr>
      <w:rFonts w:ascii="Helvetica" w:hAnsi="Helvetica"/>
      <w:b/>
      <w:kern w:val="28"/>
      <w:sz w:val="26"/>
    </w:rPr>
  </w:style>
  <w:style w:type="character" w:customStyle="1" w:styleId="Heading7Char">
    <w:name w:val="Heading 7 Char"/>
    <w:link w:val="Heading7"/>
    <w:uiPriority w:val="9"/>
    <w:locked/>
    <w:rsid w:val="005719C6"/>
    <w:rPr>
      <w:rFonts w:ascii="Helvetica" w:hAnsi="Helvetica"/>
      <w:b/>
      <w:kern w:val="28"/>
      <w:sz w:val="26"/>
    </w:rPr>
  </w:style>
  <w:style w:type="character" w:customStyle="1" w:styleId="Heading8Char">
    <w:name w:val="Heading 8 Char"/>
    <w:link w:val="Heading8"/>
    <w:uiPriority w:val="9"/>
    <w:locked/>
    <w:rsid w:val="005719C6"/>
    <w:rPr>
      <w:rFonts w:ascii="Helvetica" w:hAnsi="Helvetica"/>
      <w:b/>
      <w:kern w:val="28"/>
      <w:sz w:val="26"/>
    </w:rPr>
  </w:style>
  <w:style w:type="character" w:customStyle="1" w:styleId="Heading9Char">
    <w:name w:val="Heading 9 Char"/>
    <w:link w:val="Heading9"/>
    <w:uiPriority w:val="9"/>
    <w:locked/>
    <w:rsid w:val="00096A5A"/>
    <w:rPr>
      <w:rFonts w:ascii="Helvetica" w:hAnsi="Helvetica"/>
      <w:b/>
      <w:kern w:val="28"/>
      <w:sz w:val="26"/>
    </w:rPr>
  </w:style>
  <w:style w:type="paragraph" w:customStyle="1" w:styleId="standard">
    <w:name w:val="standard"/>
    <w:basedOn w:val="Normal"/>
    <w:link w:val="standardChar"/>
    <w:rsid w:val="00E60844"/>
    <w:pPr>
      <w:spacing w:line="360" w:lineRule="auto"/>
      <w:ind w:firstLine="720"/>
    </w:pPr>
  </w:style>
  <w:style w:type="paragraph" w:styleId="CommentText">
    <w:name w:val="annotation text"/>
    <w:basedOn w:val="Normal"/>
    <w:link w:val="CommentTextChar"/>
    <w:uiPriority w:val="99"/>
    <w:semiHidden/>
    <w:rsid w:val="00E60844"/>
    <w:rPr>
      <w:sz w:val="20"/>
    </w:rPr>
  </w:style>
  <w:style w:type="character" w:customStyle="1" w:styleId="CommentTextChar">
    <w:name w:val="Comment Text Char"/>
    <w:link w:val="CommentText"/>
    <w:uiPriority w:val="99"/>
    <w:semiHidden/>
    <w:locked/>
    <w:rsid w:val="001B7596"/>
    <w:rPr>
      <w:rFonts w:ascii="Palatino" w:hAnsi="Palatino" w:cs="Times New Roman"/>
      <w:sz w:val="20"/>
    </w:rPr>
  </w:style>
  <w:style w:type="paragraph" w:styleId="CommentSubject">
    <w:name w:val="annotation subject"/>
    <w:basedOn w:val="CommentText"/>
    <w:next w:val="CommentText"/>
    <w:link w:val="CommentSubjectChar"/>
    <w:uiPriority w:val="99"/>
    <w:semiHidden/>
    <w:rsid w:val="00E60844"/>
    <w:rPr>
      <w:b/>
    </w:rPr>
  </w:style>
  <w:style w:type="character" w:customStyle="1" w:styleId="CommentSubjectChar">
    <w:name w:val="Comment Subject Char"/>
    <w:link w:val="CommentSubject"/>
    <w:uiPriority w:val="99"/>
    <w:semiHidden/>
    <w:locked/>
    <w:rsid w:val="001B7596"/>
    <w:rPr>
      <w:rFonts w:ascii="Palatino" w:hAnsi="Palatino" w:cs="Times New Roman"/>
      <w:b/>
      <w:sz w:val="20"/>
    </w:rPr>
  </w:style>
  <w:style w:type="paragraph" w:customStyle="1" w:styleId="Quotation">
    <w:name w:val="Quotation"/>
    <w:basedOn w:val="Normal"/>
    <w:next w:val="Normal"/>
    <w:link w:val="QuotationChar"/>
    <w:rsid w:val="00E60844"/>
    <w:pPr>
      <w:overflowPunct w:val="0"/>
      <w:autoSpaceDE w:val="0"/>
      <w:autoSpaceDN w:val="0"/>
      <w:adjustRightInd w:val="0"/>
      <w:spacing w:after="120"/>
      <w:ind w:left="1440" w:right="1440"/>
      <w:textAlignment w:val="baseline"/>
    </w:pPr>
    <w:rPr>
      <w:rFonts w:ascii="Times New Roman" w:hAnsi="Times New Roman"/>
    </w:rPr>
  </w:style>
  <w:style w:type="paragraph" w:styleId="FootnoteText">
    <w:name w:val="footnote text"/>
    <w:aliases w:val="Standard Footnote Text,Footnote Text Char Char5 Char,Footnote Text Char2 Char1 Char1 Char,Footnote Text Char4 Char Char Char1 Char,fn,Footnote Text Char1 Char,Footnote Text Char1,Footnote Text Char Char,Footnote Text Char1 Char Char,f,ftx"/>
    <w:basedOn w:val="Normal"/>
    <w:link w:val="FootnoteTextChar"/>
    <w:qFormat/>
    <w:rsid w:val="00E85865"/>
    <w:pPr>
      <w:tabs>
        <w:tab w:val="left" w:pos="360"/>
      </w:tabs>
      <w:spacing w:after="60"/>
      <w:ind w:left="317" w:hanging="317"/>
    </w:pPr>
    <w:rPr>
      <w:sz w:val="22"/>
    </w:rPr>
  </w:style>
  <w:style w:type="paragraph" w:styleId="BodyText">
    <w:name w:val="Body Text"/>
    <w:basedOn w:val="Normal"/>
    <w:link w:val="BodyTextChar"/>
    <w:uiPriority w:val="99"/>
    <w:semiHidden/>
    <w:unhideWhenUsed/>
    <w:locked/>
    <w:rsid w:val="00902B0C"/>
    <w:pPr>
      <w:spacing w:after="240"/>
    </w:pPr>
    <w:rPr>
      <w:rFonts w:ascii="Times New Roman" w:hAnsi="Times New Roman"/>
      <w:sz w:val="24"/>
      <w:szCs w:val="22"/>
      <w:lang w:eastAsia="zh-CN"/>
    </w:rPr>
  </w:style>
  <w:style w:type="character" w:styleId="FootnoteReference">
    <w:name w:val="footnote reference"/>
    <w:aliases w:val="o,o + Times New Roman,fr,Style 3,o1,o2,o3,o4,o5,o6,o11,o21,o7,Style 12,(NECG) Footnote Reference,Appel note de bas de p,Style 124,Style 17,Style 20,Style 13,fr1,fr2,fr3,FR,callout,Footnote Reference/,Style 6,Style 22,Style 30,FC"/>
    <w:qFormat/>
    <w:rsid w:val="00E60844"/>
    <w:rPr>
      <w:rFonts w:ascii="Palatino" w:hAnsi="Palatino" w:cs="Times New Roman"/>
      <w:position w:val="2"/>
      <w:sz w:val="24"/>
      <w:vertAlign w:val="superscript"/>
    </w:rPr>
  </w:style>
  <w:style w:type="paragraph" w:customStyle="1" w:styleId="Quote1">
    <w:name w:val="Quote1"/>
    <w:basedOn w:val="standard"/>
    <w:next w:val="standard"/>
    <w:rsid w:val="00E44996"/>
    <w:pPr>
      <w:spacing w:before="120" w:after="240" w:line="240" w:lineRule="auto"/>
      <w:ind w:left="720" w:right="1440" w:firstLine="0"/>
    </w:pPr>
  </w:style>
  <w:style w:type="paragraph" w:customStyle="1" w:styleId="num1">
    <w:name w:val="num1"/>
    <w:basedOn w:val="Normal"/>
    <w:link w:val="num1CharChar"/>
    <w:rsid w:val="006A6296"/>
    <w:pPr>
      <w:keepLines/>
      <w:numPr>
        <w:numId w:val="8"/>
      </w:numPr>
      <w:suppressAutoHyphens/>
      <w:spacing w:line="360" w:lineRule="auto"/>
    </w:pPr>
  </w:style>
  <w:style w:type="paragraph" w:styleId="TOC4">
    <w:name w:val="toc 4"/>
    <w:basedOn w:val="Normal"/>
    <w:next w:val="Normal"/>
    <w:uiPriority w:val="39"/>
    <w:rsid w:val="00380EA0"/>
    <w:pPr>
      <w:tabs>
        <w:tab w:val="left" w:pos="3600"/>
        <w:tab w:val="right" w:leader="dot" w:pos="9346"/>
      </w:tabs>
      <w:ind w:left="3600" w:right="720" w:hanging="1080"/>
    </w:pPr>
    <w:rPr>
      <w:noProof/>
      <w:szCs w:val="26"/>
    </w:rPr>
  </w:style>
  <w:style w:type="paragraph" w:customStyle="1" w:styleId="main">
    <w:name w:val="main"/>
    <w:basedOn w:val="Normal"/>
    <w:link w:val="mainChar"/>
    <w:rsid w:val="00E60844"/>
    <w:pPr>
      <w:jc w:val="center"/>
    </w:pPr>
    <w:rPr>
      <w:rFonts w:ascii="Helvetica" w:hAnsi="Helvetica"/>
      <w:b/>
    </w:rPr>
  </w:style>
  <w:style w:type="paragraph" w:customStyle="1" w:styleId="mainex">
    <w:name w:val="mainex"/>
    <w:basedOn w:val="main"/>
    <w:rsid w:val="00E60844"/>
    <w:rPr>
      <w:spacing w:val="120"/>
    </w:rPr>
  </w:style>
  <w:style w:type="paragraph" w:styleId="Header">
    <w:name w:val="header"/>
    <w:basedOn w:val="Normal"/>
    <w:link w:val="HeaderChar"/>
    <w:uiPriority w:val="99"/>
    <w:locked/>
    <w:rsid w:val="00163666"/>
    <w:pPr>
      <w:tabs>
        <w:tab w:val="center" w:pos="4680"/>
        <w:tab w:val="right" w:pos="9360"/>
      </w:tabs>
    </w:pPr>
  </w:style>
  <w:style w:type="character" w:customStyle="1" w:styleId="HeaderChar">
    <w:name w:val="Header Char"/>
    <w:link w:val="Header"/>
    <w:uiPriority w:val="99"/>
    <w:rsid w:val="00163666"/>
    <w:rPr>
      <w:rFonts w:ascii="Palatino" w:hAnsi="Palatino"/>
      <w:sz w:val="26"/>
    </w:rPr>
  </w:style>
  <w:style w:type="paragraph" w:customStyle="1" w:styleId="num2">
    <w:name w:val="num2"/>
    <w:basedOn w:val="num1"/>
    <w:rsid w:val="00E60844"/>
    <w:pPr>
      <w:ind w:firstLine="270"/>
    </w:pPr>
  </w:style>
  <w:style w:type="paragraph" w:styleId="Footer">
    <w:name w:val="footer"/>
    <w:basedOn w:val="Normal"/>
    <w:link w:val="FooterChar"/>
    <w:rsid w:val="00E60844"/>
    <w:pPr>
      <w:tabs>
        <w:tab w:val="center" w:pos="4320"/>
        <w:tab w:val="right" w:pos="8640"/>
      </w:tabs>
      <w:jc w:val="center"/>
    </w:pPr>
  </w:style>
  <w:style w:type="character" w:customStyle="1" w:styleId="FooterChar">
    <w:name w:val="Footer Char"/>
    <w:link w:val="Footer"/>
    <w:locked/>
    <w:rsid w:val="00E60844"/>
    <w:rPr>
      <w:rFonts w:ascii="Palatino" w:hAnsi="Palatino" w:cs="Times New Roman"/>
      <w:sz w:val="26"/>
      <w:lang w:val="en-US" w:eastAsia="en-US"/>
    </w:rPr>
  </w:style>
  <w:style w:type="character" w:styleId="PageNumber">
    <w:name w:val="page number"/>
    <w:rsid w:val="00E60844"/>
    <w:rPr>
      <w:rFonts w:cs="Times New Roman"/>
    </w:rPr>
  </w:style>
  <w:style w:type="character" w:styleId="Hyperlink">
    <w:name w:val="Hyperlink"/>
    <w:uiPriority w:val="99"/>
    <w:rsid w:val="00E60844"/>
    <w:rPr>
      <w:rFonts w:cs="Times New Roman"/>
      <w:color w:val="0000FF"/>
      <w:u w:val="single"/>
    </w:rPr>
  </w:style>
  <w:style w:type="character" w:customStyle="1" w:styleId="QuotationChar">
    <w:name w:val="Quotation Char"/>
    <w:link w:val="Quotation"/>
    <w:locked/>
    <w:rsid w:val="00E60844"/>
    <w:rPr>
      <w:sz w:val="26"/>
      <w:lang w:val="en-US" w:eastAsia="en-US"/>
    </w:rPr>
  </w:style>
  <w:style w:type="character" w:styleId="FollowedHyperlink">
    <w:name w:val="FollowedHyperlink"/>
    <w:rsid w:val="00E60844"/>
    <w:rPr>
      <w:rFonts w:cs="Times New Roman"/>
      <w:color w:val="800080"/>
      <w:u w:val="single"/>
    </w:rPr>
  </w:style>
  <w:style w:type="paragraph" w:customStyle="1" w:styleId="dummy">
    <w:name w:val="dummy"/>
    <w:basedOn w:val="Heading1"/>
    <w:rsid w:val="00E60844"/>
    <w:pPr>
      <w:numPr>
        <w:numId w:val="0"/>
      </w:numPr>
      <w:ind w:right="0"/>
      <w:outlineLvl w:val="9"/>
    </w:pPr>
  </w:style>
  <w:style w:type="paragraph" w:styleId="BodyTextIndent">
    <w:name w:val="Body Text Indent"/>
    <w:basedOn w:val="Normal"/>
    <w:link w:val="BodyTextIndentChar"/>
    <w:rsid w:val="00E60844"/>
    <w:pPr>
      <w:ind w:firstLine="720"/>
    </w:pPr>
    <w:rPr>
      <w:sz w:val="20"/>
    </w:rPr>
  </w:style>
  <w:style w:type="character" w:customStyle="1" w:styleId="BodyTextIndentChar">
    <w:name w:val="Body Text Indent Char"/>
    <w:link w:val="BodyTextIndent"/>
    <w:semiHidden/>
    <w:locked/>
    <w:rsid w:val="001B7596"/>
    <w:rPr>
      <w:rFonts w:ascii="Palatino" w:hAnsi="Palatino" w:cs="Times New Roman"/>
      <w:sz w:val="20"/>
    </w:rPr>
  </w:style>
  <w:style w:type="paragraph" w:customStyle="1" w:styleId="AppendixPageHeaders">
    <w:name w:val="Appendix Page Headers"/>
    <w:basedOn w:val="Heading2"/>
    <w:rsid w:val="00E60844"/>
    <w:pPr>
      <w:numPr>
        <w:ilvl w:val="0"/>
        <w:numId w:val="0"/>
      </w:numPr>
      <w:ind w:right="0"/>
      <w:jc w:val="center"/>
    </w:pPr>
  </w:style>
  <w:style w:type="character" w:customStyle="1" w:styleId="StandardQuotationChar">
    <w:name w:val="Standard Quotation Char"/>
    <w:link w:val="StandardQuotation"/>
    <w:locked/>
    <w:rsid w:val="00834F40"/>
    <w:rPr>
      <w:rFonts w:ascii="Palatino" w:hAnsi="Palatino"/>
      <w:sz w:val="26"/>
      <w:lang w:val="en-US" w:eastAsia="en-US"/>
    </w:rPr>
  </w:style>
  <w:style w:type="character" w:customStyle="1" w:styleId="term1">
    <w:name w:val="term1"/>
    <w:rsid w:val="00E60844"/>
    <w:rPr>
      <w:b/>
    </w:rPr>
  </w:style>
  <w:style w:type="numbering" w:customStyle="1" w:styleId="AppendixHeader">
    <w:name w:val="Appendix Header"/>
    <w:uiPriority w:val="99"/>
    <w:rsid w:val="00AD7257"/>
    <w:pPr>
      <w:numPr>
        <w:numId w:val="22"/>
      </w:numPr>
    </w:pPr>
  </w:style>
  <w:style w:type="character" w:customStyle="1" w:styleId="BodyTextChar">
    <w:name w:val="Body Text Char"/>
    <w:link w:val="BodyText"/>
    <w:uiPriority w:val="99"/>
    <w:semiHidden/>
    <w:rsid w:val="00902B0C"/>
    <w:rPr>
      <w:sz w:val="24"/>
      <w:szCs w:val="22"/>
      <w:lang w:eastAsia="zh-CN"/>
    </w:rPr>
  </w:style>
  <w:style w:type="paragraph" w:styleId="Quote">
    <w:name w:val="Quote"/>
    <w:basedOn w:val="Normal"/>
    <w:next w:val="Normal"/>
    <w:link w:val="QuoteChar"/>
    <w:qFormat/>
    <w:rsid w:val="00902B0C"/>
    <w:pPr>
      <w:spacing w:after="240"/>
      <w:ind w:left="1440" w:right="1440"/>
    </w:pPr>
    <w:rPr>
      <w:rFonts w:ascii="Times New Roman" w:hAnsi="Times New Roman"/>
      <w:sz w:val="24"/>
    </w:rPr>
  </w:style>
  <w:style w:type="character" w:customStyle="1" w:styleId="QuoteChar">
    <w:name w:val="Quote Char"/>
    <w:link w:val="Quote"/>
    <w:rsid w:val="00902B0C"/>
    <w:rPr>
      <w:sz w:val="24"/>
    </w:rPr>
  </w:style>
  <w:style w:type="paragraph" w:customStyle="1" w:styleId="CPUC">
    <w:name w:val="CPUC"/>
    <w:basedOn w:val="Normal"/>
    <w:link w:val="CPUCChar"/>
    <w:rsid w:val="00E60844"/>
    <w:pPr>
      <w:spacing w:line="360" w:lineRule="auto"/>
      <w:ind w:left="720"/>
    </w:pPr>
    <w:rPr>
      <w:rFonts w:ascii="Times New Roman" w:hAnsi="Times New Roman"/>
      <w:sz w:val="24"/>
    </w:rPr>
  </w:style>
  <w:style w:type="character" w:customStyle="1" w:styleId="CPUCChar">
    <w:name w:val="CPUC Char"/>
    <w:link w:val="CPUC"/>
    <w:locked/>
    <w:rsid w:val="00E60844"/>
    <w:rPr>
      <w:sz w:val="24"/>
      <w:lang w:val="en-US" w:eastAsia="en-US"/>
    </w:rPr>
  </w:style>
  <w:style w:type="paragraph" w:styleId="ListParagraph">
    <w:name w:val="List Paragraph"/>
    <w:basedOn w:val="Normal"/>
    <w:uiPriority w:val="34"/>
    <w:qFormat/>
    <w:rsid w:val="00AD7257"/>
    <w:pPr>
      <w:ind w:left="720"/>
      <w:contextualSpacing/>
    </w:pPr>
  </w:style>
  <w:style w:type="paragraph" w:styleId="TOC1">
    <w:name w:val="toc 1"/>
    <w:basedOn w:val="Normal"/>
    <w:next w:val="Normal"/>
    <w:uiPriority w:val="39"/>
    <w:qFormat/>
    <w:rsid w:val="00096A5A"/>
    <w:pPr>
      <w:keepNext/>
      <w:tabs>
        <w:tab w:val="left" w:pos="520"/>
        <w:tab w:val="right" w:leader="dot" w:pos="9350"/>
      </w:tabs>
      <w:spacing w:before="20" w:after="20"/>
      <w:ind w:right="720"/>
    </w:pPr>
    <w:rPr>
      <w:noProof/>
      <w:szCs w:val="26"/>
    </w:rPr>
  </w:style>
  <w:style w:type="paragraph" w:styleId="TOC2">
    <w:name w:val="toc 2"/>
    <w:basedOn w:val="Normal"/>
    <w:next w:val="Normal"/>
    <w:autoRedefine/>
    <w:uiPriority w:val="39"/>
    <w:qFormat/>
    <w:rsid w:val="00096A5A"/>
    <w:pPr>
      <w:tabs>
        <w:tab w:val="left" w:pos="1260"/>
        <w:tab w:val="right" w:leader="dot" w:pos="9350"/>
      </w:tabs>
      <w:ind w:left="1267" w:right="720" w:hanging="720"/>
    </w:pPr>
    <w:rPr>
      <w:noProof/>
      <w:szCs w:val="26"/>
    </w:rPr>
  </w:style>
  <w:style w:type="paragraph" w:styleId="TOC3">
    <w:name w:val="toc 3"/>
    <w:basedOn w:val="Normal"/>
    <w:next w:val="Normal"/>
    <w:autoRedefine/>
    <w:uiPriority w:val="39"/>
    <w:qFormat/>
    <w:rsid w:val="00A7713F"/>
    <w:pPr>
      <w:tabs>
        <w:tab w:val="left" w:pos="2160"/>
        <w:tab w:val="right" w:leader="dot" w:pos="9350"/>
      </w:tabs>
      <w:ind w:left="2160" w:right="720" w:hanging="900"/>
    </w:pPr>
    <w:rPr>
      <w:noProof/>
      <w:szCs w:val="24"/>
    </w:rPr>
  </w:style>
  <w:style w:type="paragraph" w:styleId="TOC5">
    <w:name w:val="toc 5"/>
    <w:basedOn w:val="Normal"/>
    <w:next w:val="Normal"/>
    <w:autoRedefine/>
    <w:uiPriority w:val="39"/>
    <w:rsid w:val="005209CE"/>
    <w:pPr>
      <w:tabs>
        <w:tab w:val="left" w:pos="4500"/>
        <w:tab w:val="right" w:leader="dot" w:pos="9346"/>
      </w:tabs>
      <w:ind w:left="4500" w:right="720" w:hanging="1260"/>
    </w:pPr>
    <w:rPr>
      <w:noProof/>
      <w:szCs w:val="24"/>
    </w:rPr>
  </w:style>
  <w:style w:type="paragraph" w:styleId="TOC6">
    <w:name w:val="toc 6"/>
    <w:basedOn w:val="Normal"/>
    <w:next w:val="Normal"/>
    <w:autoRedefine/>
    <w:uiPriority w:val="39"/>
    <w:rsid w:val="00E60844"/>
    <w:pPr>
      <w:tabs>
        <w:tab w:val="left" w:pos="3690"/>
        <w:tab w:val="right" w:leader="dot" w:pos="9350"/>
      </w:tabs>
      <w:ind w:left="3690" w:hanging="1170"/>
    </w:pPr>
    <w:rPr>
      <w:noProof/>
      <w:szCs w:val="26"/>
    </w:rPr>
  </w:style>
  <w:style w:type="paragraph" w:styleId="TOC7">
    <w:name w:val="toc 7"/>
    <w:basedOn w:val="Normal"/>
    <w:next w:val="Normal"/>
    <w:autoRedefine/>
    <w:uiPriority w:val="39"/>
    <w:rsid w:val="00E60844"/>
    <w:pPr>
      <w:ind w:left="1560"/>
    </w:pPr>
  </w:style>
  <w:style w:type="paragraph" w:styleId="TOC8">
    <w:name w:val="toc 8"/>
    <w:basedOn w:val="Normal"/>
    <w:next w:val="Normal"/>
    <w:autoRedefine/>
    <w:uiPriority w:val="39"/>
    <w:rsid w:val="00E60844"/>
    <w:pPr>
      <w:keepNext/>
      <w:tabs>
        <w:tab w:val="left" w:pos="1728"/>
        <w:tab w:val="right" w:leader="dot" w:pos="9346"/>
      </w:tabs>
      <w:ind w:left="1728" w:hanging="1728"/>
    </w:pPr>
    <w:rPr>
      <w:b/>
    </w:rPr>
  </w:style>
  <w:style w:type="paragraph" w:styleId="TOC9">
    <w:name w:val="toc 9"/>
    <w:basedOn w:val="Normal"/>
    <w:next w:val="Normal"/>
    <w:uiPriority w:val="39"/>
    <w:rsid w:val="0000439C"/>
    <w:pPr>
      <w:tabs>
        <w:tab w:val="right" w:leader="dot" w:pos="9350"/>
      </w:tabs>
      <w:spacing w:before="20" w:after="20"/>
      <w:ind w:left="806" w:right="720" w:hanging="518"/>
    </w:pPr>
    <w:rPr>
      <w:noProof/>
      <w:szCs w:val="26"/>
    </w:rPr>
  </w:style>
  <w:style w:type="paragraph" w:styleId="NormalWeb">
    <w:name w:val="Normal (Web)"/>
    <w:basedOn w:val="Normal"/>
    <w:uiPriority w:val="99"/>
    <w:rsid w:val="00E60844"/>
    <w:rPr>
      <w:rFonts w:ascii="Times New Roman" w:hAnsi="Times New Roman"/>
      <w:sz w:val="24"/>
      <w:szCs w:val="24"/>
    </w:rPr>
  </w:style>
  <w:style w:type="paragraph" w:customStyle="1" w:styleId="BlockQuote">
    <w:name w:val="Block Quote"/>
    <w:basedOn w:val="Normal"/>
    <w:rsid w:val="00E60844"/>
    <w:pPr>
      <w:spacing w:after="240"/>
      <w:ind w:left="720"/>
    </w:pPr>
    <w:rPr>
      <w:rFonts w:ascii="Times New Roman" w:hAnsi="Times New Roman"/>
      <w:sz w:val="24"/>
      <w:szCs w:val="24"/>
    </w:rPr>
  </w:style>
  <w:style w:type="paragraph" w:customStyle="1" w:styleId="StandardFootnoteReference">
    <w:name w:val="Standard Footnote Reference"/>
    <w:basedOn w:val="standard"/>
    <w:link w:val="StandardFootnoteReferenceChar"/>
    <w:rsid w:val="00B83F57"/>
    <w:pPr>
      <w:spacing w:line="240" w:lineRule="auto"/>
      <w:ind w:firstLine="0"/>
    </w:pPr>
    <w:rPr>
      <w:sz w:val="24"/>
      <w:vertAlign w:val="superscript"/>
    </w:rPr>
  </w:style>
  <w:style w:type="paragraph" w:customStyle="1" w:styleId="TOCHeader">
    <w:name w:val="TOC Header"/>
    <w:basedOn w:val="Normal"/>
    <w:rsid w:val="00902B0C"/>
    <w:pPr>
      <w:ind w:left="115" w:right="115"/>
      <w:jc w:val="center"/>
    </w:pPr>
    <w:rPr>
      <w:rFonts w:ascii="Times New Roman" w:hAnsi="Times New Roman"/>
      <w:sz w:val="24"/>
    </w:rPr>
  </w:style>
  <w:style w:type="character" w:customStyle="1" w:styleId="standardChar">
    <w:name w:val="standard Char"/>
    <w:link w:val="standard"/>
    <w:locked/>
    <w:rsid w:val="00E60844"/>
    <w:rPr>
      <w:rFonts w:ascii="Palatino" w:hAnsi="Palatino"/>
      <w:sz w:val="26"/>
      <w:lang w:val="en-US" w:eastAsia="en-US"/>
    </w:rPr>
  </w:style>
  <w:style w:type="paragraph" w:customStyle="1" w:styleId="Level1">
    <w:name w:val="Level 1"/>
    <w:basedOn w:val="Normal"/>
    <w:rsid w:val="00E60844"/>
    <w:pPr>
      <w:keepNext/>
      <w:numPr>
        <w:numId w:val="6"/>
      </w:numPr>
      <w:suppressAutoHyphens/>
      <w:spacing w:after="240"/>
      <w:outlineLvl w:val="0"/>
    </w:pPr>
    <w:rPr>
      <w:rFonts w:ascii="Times New Roman" w:eastAsia="SimSun" w:hAnsi="Times New Roman"/>
      <w:b/>
      <w:sz w:val="24"/>
    </w:rPr>
  </w:style>
  <w:style w:type="paragraph" w:customStyle="1" w:styleId="Level2">
    <w:name w:val="Level 2"/>
    <w:basedOn w:val="Normal"/>
    <w:rsid w:val="00E60844"/>
    <w:pPr>
      <w:keepNext/>
      <w:numPr>
        <w:ilvl w:val="1"/>
        <w:numId w:val="6"/>
      </w:numPr>
      <w:suppressAutoHyphens/>
      <w:spacing w:after="240"/>
      <w:outlineLvl w:val="1"/>
    </w:pPr>
    <w:rPr>
      <w:rFonts w:ascii="Times New Roman" w:eastAsia="SimSun" w:hAnsi="Times New Roman"/>
      <w:b/>
      <w:sz w:val="24"/>
    </w:rPr>
  </w:style>
  <w:style w:type="character" w:customStyle="1" w:styleId="mainChar">
    <w:name w:val="main Char"/>
    <w:link w:val="main"/>
    <w:locked/>
    <w:rsid w:val="00E60844"/>
    <w:rPr>
      <w:rFonts w:ascii="Helvetica" w:hAnsi="Helvetica"/>
      <w:b/>
      <w:sz w:val="26"/>
      <w:lang w:val="en-US" w:eastAsia="en-US"/>
    </w:rPr>
  </w:style>
  <w:style w:type="character" w:customStyle="1" w:styleId="FootnoteTextChar">
    <w:name w:val="Footnote Text Char"/>
    <w:aliases w:val="Standard Footnote Text Char,Footnote Text Char Char5 Char Char,Footnote Text Char2 Char1 Char1 Char Char,Footnote Text Char4 Char Char Char1 Char Char,fn Char,Footnote Text Char1 Char Char1,Footnote Text Char1 Char1,f Char,ftx Char"/>
    <w:link w:val="FootnoteText"/>
    <w:locked/>
    <w:rsid w:val="00E85865"/>
    <w:rPr>
      <w:rFonts w:ascii="Palatino" w:hAnsi="Palatino"/>
      <w:sz w:val="22"/>
    </w:rPr>
  </w:style>
  <w:style w:type="character" w:customStyle="1" w:styleId="num1CharChar">
    <w:name w:val="num1 Char Char"/>
    <w:link w:val="num1"/>
    <w:locked/>
    <w:rsid w:val="006A6296"/>
    <w:rPr>
      <w:rFonts w:ascii="Palatino" w:hAnsi="Palatino"/>
      <w:sz w:val="26"/>
    </w:rPr>
  </w:style>
  <w:style w:type="paragraph" w:customStyle="1" w:styleId="Level3">
    <w:name w:val="Level 3"/>
    <w:basedOn w:val="Normal"/>
    <w:rsid w:val="00E60844"/>
    <w:pPr>
      <w:numPr>
        <w:ilvl w:val="2"/>
        <w:numId w:val="6"/>
      </w:numPr>
      <w:suppressAutoHyphens/>
      <w:spacing w:after="240"/>
      <w:outlineLvl w:val="2"/>
    </w:pPr>
    <w:rPr>
      <w:rFonts w:ascii="Times New Roman" w:eastAsia="SimSun" w:hAnsi="Times New Roman"/>
      <w:sz w:val="24"/>
    </w:rPr>
  </w:style>
  <w:style w:type="paragraph" w:customStyle="1" w:styleId="Level4">
    <w:name w:val="Level 4"/>
    <w:basedOn w:val="Normal"/>
    <w:rsid w:val="00E60844"/>
    <w:pPr>
      <w:numPr>
        <w:ilvl w:val="3"/>
        <w:numId w:val="6"/>
      </w:numPr>
      <w:suppressAutoHyphens/>
      <w:spacing w:after="240"/>
      <w:outlineLvl w:val="3"/>
    </w:pPr>
    <w:rPr>
      <w:rFonts w:ascii="Times New Roman" w:eastAsia="SimSun" w:hAnsi="Times New Roman"/>
      <w:sz w:val="24"/>
    </w:rPr>
  </w:style>
  <w:style w:type="table" w:styleId="TableGrid">
    <w:name w:val="Table Grid"/>
    <w:basedOn w:val="TableNormal"/>
    <w:uiPriority w:val="59"/>
    <w:rsid w:val="00E6084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5">
    <w:name w:val="Level 5"/>
    <w:basedOn w:val="Normal"/>
    <w:rsid w:val="00E60844"/>
    <w:pPr>
      <w:numPr>
        <w:ilvl w:val="4"/>
        <w:numId w:val="6"/>
      </w:numPr>
      <w:suppressAutoHyphens/>
      <w:spacing w:after="240"/>
      <w:outlineLvl w:val="4"/>
    </w:pPr>
    <w:rPr>
      <w:rFonts w:ascii="Times New Roman" w:eastAsia="SimSun" w:hAnsi="Times New Roman"/>
      <w:sz w:val="24"/>
    </w:rPr>
  </w:style>
  <w:style w:type="paragraph" w:customStyle="1" w:styleId="Level6">
    <w:name w:val="Level 6"/>
    <w:basedOn w:val="Normal"/>
    <w:rsid w:val="00E60844"/>
    <w:pPr>
      <w:numPr>
        <w:ilvl w:val="5"/>
        <w:numId w:val="6"/>
      </w:numPr>
      <w:suppressAutoHyphens/>
      <w:spacing w:after="240"/>
      <w:outlineLvl w:val="5"/>
    </w:pPr>
    <w:rPr>
      <w:rFonts w:ascii="Times New Roman" w:eastAsia="SimSun" w:hAnsi="Times New Roman"/>
      <w:sz w:val="24"/>
    </w:rPr>
  </w:style>
  <w:style w:type="paragraph" w:customStyle="1" w:styleId="Level7">
    <w:name w:val="Level 7"/>
    <w:basedOn w:val="Normal"/>
    <w:rsid w:val="00E60844"/>
    <w:pPr>
      <w:numPr>
        <w:ilvl w:val="6"/>
        <w:numId w:val="6"/>
      </w:numPr>
      <w:suppressAutoHyphens/>
      <w:spacing w:after="240"/>
      <w:outlineLvl w:val="6"/>
    </w:pPr>
    <w:rPr>
      <w:rFonts w:ascii="Times New Roman" w:eastAsia="SimSun" w:hAnsi="Times New Roman"/>
      <w:sz w:val="24"/>
    </w:rPr>
  </w:style>
  <w:style w:type="paragraph" w:customStyle="1" w:styleId="StandardBullet">
    <w:name w:val="Standard Bullet"/>
    <w:basedOn w:val="standard"/>
    <w:link w:val="StandardBulletChar"/>
    <w:rsid w:val="007B3791"/>
    <w:pPr>
      <w:numPr>
        <w:numId w:val="21"/>
      </w:numPr>
      <w:spacing w:after="80" w:line="240" w:lineRule="auto"/>
      <w:ind w:right="720"/>
    </w:pPr>
    <w:rPr>
      <w:rFonts w:eastAsia="Calibri"/>
    </w:rPr>
  </w:style>
  <w:style w:type="paragraph" w:customStyle="1" w:styleId="Level8">
    <w:name w:val="Level 8"/>
    <w:basedOn w:val="Normal"/>
    <w:rsid w:val="00E60844"/>
    <w:pPr>
      <w:numPr>
        <w:ilvl w:val="7"/>
        <w:numId w:val="6"/>
      </w:numPr>
      <w:suppressAutoHyphens/>
      <w:spacing w:after="240"/>
      <w:outlineLvl w:val="7"/>
    </w:pPr>
    <w:rPr>
      <w:rFonts w:ascii="Times New Roman" w:eastAsia="SimSun" w:hAnsi="Times New Roman"/>
      <w:sz w:val="24"/>
    </w:rPr>
  </w:style>
  <w:style w:type="paragraph" w:styleId="EndnoteText">
    <w:name w:val="endnote text"/>
    <w:basedOn w:val="Normal"/>
    <w:link w:val="EndnoteTextChar"/>
    <w:semiHidden/>
    <w:rsid w:val="00E60844"/>
    <w:rPr>
      <w:sz w:val="20"/>
    </w:rPr>
  </w:style>
  <w:style w:type="character" w:customStyle="1" w:styleId="EndnoteTextChar">
    <w:name w:val="Endnote Text Char"/>
    <w:link w:val="EndnoteText"/>
    <w:semiHidden/>
    <w:locked/>
    <w:rsid w:val="001B7596"/>
    <w:rPr>
      <w:rFonts w:ascii="Palatino" w:hAnsi="Palatino" w:cs="Times New Roman"/>
      <w:sz w:val="20"/>
    </w:rPr>
  </w:style>
  <w:style w:type="paragraph" w:styleId="BodyTextFirstIndent2">
    <w:name w:val="Body Text First Indent 2"/>
    <w:basedOn w:val="BodyTextIndent"/>
    <w:link w:val="BodyTextFirstIndent2Char"/>
    <w:rsid w:val="00E60844"/>
    <w:pPr>
      <w:spacing w:after="120"/>
      <w:ind w:left="360" w:firstLine="210"/>
    </w:pPr>
  </w:style>
  <w:style w:type="character" w:customStyle="1" w:styleId="BodyTextFirstIndent2Char">
    <w:name w:val="Body Text First Indent 2 Char"/>
    <w:link w:val="BodyTextFirstIndent2"/>
    <w:semiHidden/>
    <w:locked/>
    <w:rsid w:val="001B7596"/>
    <w:rPr>
      <w:rFonts w:ascii="Palatino" w:hAnsi="Palatino" w:cs="Times New Roman"/>
      <w:sz w:val="20"/>
    </w:rPr>
  </w:style>
  <w:style w:type="character" w:customStyle="1" w:styleId="StandardFootnoteReferenceChar">
    <w:name w:val="Standard Footnote Reference Char"/>
    <w:link w:val="StandardFootnoteReference"/>
    <w:locked/>
    <w:rsid w:val="00B83F57"/>
    <w:rPr>
      <w:rFonts w:ascii="Palatino" w:hAnsi="Palatino"/>
      <w:sz w:val="24"/>
      <w:vertAlign w:val="superscript"/>
    </w:rPr>
  </w:style>
  <w:style w:type="character" w:styleId="Emphasis">
    <w:name w:val="Emphasis"/>
    <w:qFormat/>
    <w:rsid w:val="00E60844"/>
    <w:rPr>
      <w:rFonts w:cs="Times New Roman"/>
      <w:i/>
    </w:rPr>
  </w:style>
  <w:style w:type="character" w:styleId="HTMLAcronym">
    <w:name w:val="HTML Acronym"/>
    <w:rsid w:val="00E60844"/>
    <w:rPr>
      <w:rFonts w:cs="Times New Roman"/>
    </w:rPr>
  </w:style>
  <w:style w:type="paragraph" w:styleId="HTMLAddress">
    <w:name w:val="HTML Address"/>
    <w:basedOn w:val="Normal"/>
    <w:link w:val="HTMLAddressChar"/>
    <w:rsid w:val="00E60844"/>
    <w:rPr>
      <w:i/>
      <w:sz w:val="20"/>
    </w:rPr>
  </w:style>
  <w:style w:type="character" w:customStyle="1" w:styleId="HTMLAddressChar">
    <w:name w:val="HTML Address Char"/>
    <w:link w:val="HTMLAddress"/>
    <w:semiHidden/>
    <w:locked/>
    <w:rsid w:val="001B7596"/>
    <w:rPr>
      <w:rFonts w:ascii="Palatino" w:hAnsi="Palatino" w:cs="Times New Roman"/>
      <w:i/>
      <w:sz w:val="20"/>
    </w:rPr>
  </w:style>
  <w:style w:type="character" w:styleId="HTMLCite">
    <w:name w:val="HTML Cite"/>
    <w:rsid w:val="00E60844"/>
    <w:rPr>
      <w:rFonts w:cs="Times New Roman"/>
      <w:i/>
    </w:rPr>
  </w:style>
  <w:style w:type="paragraph" w:customStyle="1" w:styleId="StyleListParagraphHelveticaBold">
    <w:name w:val="Style List Paragraph + Helvetica Bold"/>
    <w:basedOn w:val="ListParagraph"/>
    <w:rsid w:val="00AD7257"/>
    <w:pPr>
      <w:jc w:val="center"/>
    </w:pPr>
    <w:rPr>
      <w:rFonts w:ascii="Helvetica" w:hAnsi="Helvetica"/>
      <w:b/>
      <w:bCs/>
    </w:rPr>
  </w:style>
  <w:style w:type="character" w:styleId="HTMLDefinition">
    <w:name w:val="HTML Definition"/>
    <w:rsid w:val="00E60844"/>
    <w:rPr>
      <w:rFonts w:cs="Times New Roman"/>
      <w:i/>
    </w:rPr>
  </w:style>
  <w:style w:type="character" w:styleId="HTMLKeyboard">
    <w:name w:val="HTML Keyboard"/>
    <w:rsid w:val="00E60844"/>
    <w:rPr>
      <w:rFonts w:ascii="Courier New" w:hAnsi="Courier New" w:cs="Times New Roman"/>
      <w:sz w:val="20"/>
    </w:rPr>
  </w:style>
  <w:style w:type="character" w:styleId="HTMLSample">
    <w:name w:val="HTML Sample"/>
    <w:rsid w:val="00E60844"/>
    <w:rPr>
      <w:rFonts w:ascii="Courier New" w:hAnsi="Courier New" w:cs="Times New Roman"/>
    </w:rPr>
  </w:style>
  <w:style w:type="character" w:styleId="HTMLVariable">
    <w:name w:val="HTML Variable"/>
    <w:rsid w:val="00E60844"/>
    <w:rPr>
      <w:rFonts w:cs="Times New Roman"/>
      <w:i/>
    </w:rPr>
  </w:style>
  <w:style w:type="paragraph" w:styleId="Index1">
    <w:name w:val="index 1"/>
    <w:basedOn w:val="Normal"/>
    <w:next w:val="Normal"/>
    <w:autoRedefine/>
    <w:semiHidden/>
    <w:rsid w:val="00E60844"/>
    <w:pPr>
      <w:ind w:left="240" w:hanging="240"/>
    </w:pPr>
    <w:rPr>
      <w:rFonts w:ascii="Times New Roman" w:hAnsi="Times New Roman"/>
      <w:sz w:val="24"/>
      <w:szCs w:val="24"/>
    </w:rPr>
  </w:style>
  <w:style w:type="paragraph" w:styleId="Index2">
    <w:name w:val="index 2"/>
    <w:basedOn w:val="Normal"/>
    <w:next w:val="Normal"/>
    <w:autoRedefine/>
    <w:semiHidden/>
    <w:rsid w:val="00E60844"/>
    <w:pPr>
      <w:ind w:left="480" w:hanging="240"/>
    </w:pPr>
    <w:rPr>
      <w:rFonts w:ascii="Times New Roman" w:hAnsi="Times New Roman"/>
      <w:sz w:val="24"/>
      <w:szCs w:val="24"/>
    </w:rPr>
  </w:style>
  <w:style w:type="paragraph" w:styleId="Index3">
    <w:name w:val="index 3"/>
    <w:basedOn w:val="Normal"/>
    <w:next w:val="Normal"/>
    <w:autoRedefine/>
    <w:semiHidden/>
    <w:rsid w:val="00E60844"/>
    <w:pPr>
      <w:ind w:left="720" w:hanging="240"/>
    </w:pPr>
    <w:rPr>
      <w:rFonts w:ascii="Times New Roman" w:hAnsi="Times New Roman"/>
      <w:sz w:val="24"/>
      <w:szCs w:val="24"/>
    </w:rPr>
  </w:style>
  <w:style w:type="paragraph" w:styleId="Index4">
    <w:name w:val="index 4"/>
    <w:basedOn w:val="Normal"/>
    <w:next w:val="Normal"/>
    <w:autoRedefine/>
    <w:semiHidden/>
    <w:rsid w:val="00E60844"/>
    <w:pPr>
      <w:ind w:left="960" w:hanging="240"/>
    </w:pPr>
    <w:rPr>
      <w:rFonts w:ascii="Times New Roman" w:hAnsi="Times New Roman"/>
      <w:sz w:val="24"/>
      <w:szCs w:val="24"/>
    </w:rPr>
  </w:style>
  <w:style w:type="paragraph" w:styleId="Index5">
    <w:name w:val="index 5"/>
    <w:basedOn w:val="Normal"/>
    <w:next w:val="Normal"/>
    <w:autoRedefine/>
    <w:semiHidden/>
    <w:rsid w:val="00E60844"/>
    <w:pPr>
      <w:ind w:left="1200" w:hanging="240"/>
    </w:pPr>
    <w:rPr>
      <w:rFonts w:ascii="Times New Roman" w:hAnsi="Times New Roman"/>
      <w:sz w:val="24"/>
      <w:szCs w:val="24"/>
    </w:rPr>
  </w:style>
  <w:style w:type="paragraph" w:styleId="HTMLPreformatted">
    <w:name w:val="HTML Preformatted"/>
    <w:basedOn w:val="Normal"/>
    <w:link w:val="HTMLPreformattedChar"/>
    <w:rsid w:val="00E608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PreformattedChar">
    <w:name w:val="HTML Preformatted Char"/>
    <w:link w:val="HTMLPreformatted"/>
    <w:semiHidden/>
    <w:locked/>
    <w:rsid w:val="001B7596"/>
    <w:rPr>
      <w:rFonts w:ascii="Courier New" w:hAnsi="Courier New" w:cs="Times New Roman"/>
      <w:sz w:val="20"/>
    </w:rPr>
  </w:style>
  <w:style w:type="paragraph" w:styleId="Index6">
    <w:name w:val="index 6"/>
    <w:basedOn w:val="Normal"/>
    <w:next w:val="Normal"/>
    <w:autoRedefine/>
    <w:semiHidden/>
    <w:rsid w:val="00E60844"/>
    <w:pPr>
      <w:ind w:left="1440" w:hanging="240"/>
    </w:pPr>
    <w:rPr>
      <w:rFonts w:ascii="Times New Roman" w:hAnsi="Times New Roman"/>
      <w:sz w:val="24"/>
      <w:szCs w:val="24"/>
    </w:rPr>
  </w:style>
  <w:style w:type="paragraph" w:styleId="Index7">
    <w:name w:val="index 7"/>
    <w:basedOn w:val="Normal"/>
    <w:next w:val="Normal"/>
    <w:autoRedefine/>
    <w:semiHidden/>
    <w:rsid w:val="00E60844"/>
    <w:pPr>
      <w:ind w:left="1680" w:hanging="240"/>
    </w:pPr>
    <w:rPr>
      <w:rFonts w:ascii="Times New Roman" w:hAnsi="Times New Roman"/>
      <w:sz w:val="24"/>
      <w:szCs w:val="24"/>
    </w:rPr>
  </w:style>
  <w:style w:type="character" w:styleId="EndnoteReference">
    <w:name w:val="endnote reference"/>
    <w:rsid w:val="00E60844"/>
    <w:rPr>
      <w:rFonts w:cs="Times New Roman"/>
      <w:vertAlign w:val="superscript"/>
    </w:rPr>
  </w:style>
  <w:style w:type="paragraph" w:styleId="Index8">
    <w:name w:val="index 8"/>
    <w:basedOn w:val="Normal"/>
    <w:next w:val="Normal"/>
    <w:autoRedefine/>
    <w:semiHidden/>
    <w:rsid w:val="00E60844"/>
    <w:pPr>
      <w:ind w:left="1920" w:hanging="240"/>
    </w:pPr>
    <w:rPr>
      <w:rFonts w:ascii="Times New Roman" w:hAnsi="Times New Roman"/>
      <w:sz w:val="24"/>
      <w:szCs w:val="24"/>
    </w:rPr>
  </w:style>
  <w:style w:type="paragraph" w:styleId="Index9">
    <w:name w:val="index 9"/>
    <w:basedOn w:val="Normal"/>
    <w:next w:val="Normal"/>
    <w:autoRedefine/>
    <w:semiHidden/>
    <w:rsid w:val="00E60844"/>
    <w:pPr>
      <w:ind w:left="2160" w:hanging="240"/>
    </w:pPr>
    <w:rPr>
      <w:rFonts w:ascii="Times New Roman" w:hAnsi="Times New Roman"/>
      <w:sz w:val="24"/>
      <w:szCs w:val="24"/>
    </w:rPr>
  </w:style>
  <w:style w:type="character" w:customStyle="1" w:styleId="StandardBulletChar">
    <w:name w:val="Standard Bullet Char"/>
    <w:link w:val="StandardBullet"/>
    <w:locked/>
    <w:rsid w:val="007B3791"/>
    <w:rPr>
      <w:rFonts w:ascii="Palatino" w:eastAsia="Calibri" w:hAnsi="Palatino"/>
      <w:sz w:val="26"/>
    </w:rPr>
  </w:style>
  <w:style w:type="paragraph" w:styleId="IndexHeading">
    <w:name w:val="index heading"/>
    <w:basedOn w:val="Normal"/>
    <w:next w:val="Index1"/>
    <w:semiHidden/>
    <w:rsid w:val="00E60844"/>
    <w:rPr>
      <w:rFonts w:ascii="Arial" w:hAnsi="Arial" w:cs="Arial"/>
      <w:b/>
      <w:bCs/>
      <w:sz w:val="24"/>
      <w:szCs w:val="24"/>
    </w:rPr>
  </w:style>
  <w:style w:type="character" w:styleId="LineNumber">
    <w:name w:val="line number"/>
    <w:rsid w:val="00E60844"/>
    <w:rPr>
      <w:rFonts w:cs="Times New Roman"/>
    </w:rPr>
  </w:style>
  <w:style w:type="paragraph" w:styleId="ListNumber">
    <w:name w:val="List Number"/>
    <w:basedOn w:val="Normal"/>
    <w:rsid w:val="00E60844"/>
    <w:pPr>
      <w:numPr>
        <w:numId w:val="1"/>
      </w:numPr>
    </w:pPr>
  </w:style>
  <w:style w:type="paragraph" w:styleId="ListNumber2">
    <w:name w:val="List Number 2"/>
    <w:basedOn w:val="Normal"/>
    <w:rsid w:val="00E60844"/>
    <w:pPr>
      <w:numPr>
        <w:numId w:val="2"/>
      </w:numPr>
    </w:pPr>
  </w:style>
  <w:style w:type="character" w:customStyle="1" w:styleId="Hypertext">
    <w:name w:val="Hypertext"/>
    <w:rsid w:val="00E60844"/>
    <w:rPr>
      <w:color w:val="0000FF"/>
      <w:u w:val="single"/>
    </w:rPr>
  </w:style>
  <w:style w:type="paragraph" w:customStyle="1" w:styleId="StandardNumber">
    <w:name w:val="Standard Number"/>
    <w:basedOn w:val="standard"/>
    <w:rsid w:val="00E60844"/>
    <w:pPr>
      <w:numPr>
        <w:numId w:val="3"/>
      </w:numPr>
      <w:tabs>
        <w:tab w:val="clear" w:pos="1080"/>
        <w:tab w:val="num" w:pos="1440"/>
      </w:tabs>
      <w:spacing w:before="80" w:after="80" w:line="240" w:lineRule="auto"/>
      <w:ind w:left="1440" w:right="720" w:hanging="576"/>
    </w:pPr>
  </w:style>
  <w:style w:type="paragraph" w:customStyle="1" w:styleId="1Main">
    <w:name w:val="1Main"/>
    <w:basedOn w:val="main"/>
    <w:rsid w:val="00E60844"/>
  </w:style>
  <w:style w:type="paragraph" w:customStyle="1" w:styleId="StandardQuotation">
    <w:name w:val="Standard Quotation"/>
    <w:basedOn w:val="standard"/>
    <w:link w:val="StandardQuotationChar"/>
    <w:rsid w:val="00834F40"/>
    <w:pPr>
      <w:spacing w:before="60" w:after="200" w:line="240" w:lineRule="auto"/>
      <w:ind w:left="1080" w:right="1080" w:firstLine="0"/>
    </w:pPr>
  </w:style>
  <w:style w:type="paragraph" w:styleId="ListNumber3">
    <w:name w:val="List Number 3"/>
    <w:basedOn w:val="ListNumber2"/>
    <w:rsid w:val="00E60844"/>
    <w:pPr>
      <w:numPr>
        <w:numId w:val="4"/>
      </w:numPr>
      <w:tabs>
        <w:tab w:val="clear" w:pos="1440"/>
        <w:tab w:val="num" w:pos="720"/>
        <w:tab w:val="left" w:pos="936"/>
        <w:tab w:val="num" w:pos="1080"/>
      </w:tabs>
      <w:spacing w:after="240"/>
      <w:ind w:left="1080"/>
      <w:jc w:val="both"/>
    </w:pPr>
    <w:rPr>
      <w:rFonts w:ascii="Times New Roman" w:hAnsi="Times New Roman"/>
      <w:sz w:val="24"/>
      <w:szCs w:val="24"/>
    </w:rPr>
  </w:style>
  <w:style w:type="paragraph" w:styleId="MacroText">
    <w:name w:val="macro"/>
    <w:link w:val="MacroTextChar"/>
    <w:semiHidden/>
    <w:rsid w:val="00E6084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locked/>
    <w:rsid w:val="001B7596"/>
    <w:rPr>
      <w:rFonts w:ascii="Courier New" w:hAnsi="Courier New" w:cs="Courier New"/>
      <w:lang w:val="en-US" w:eastAsia="en-US" w:bidi="ar-SA"/>
    </w:rPr>
  </w:style>
  <w:style w:type="paragraph" w:styleId="MessageHeader">
    <w:name w:val="Message Header"/>
    <w:basedOn w:val="Normal"/>
    <w:link w:val="MessageHeaderChar"/>
    <w:rsid w:val="00E60844"/>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rPr>
  </w:style>
  <w:style w:type="character" w:customStyle="1" w:styleId="MessageHeaderChar">
    <w:name w:val="Message Header Char"/>
    <w:link w:val="MessageHeader"/>
    <w:semiHidden/>
    <w:locked/>
    <w:rsid w:val="001B7596"/>
    <w:rPr>
      <w:rFonts w:ascii="Cambria" w:hAnsi="Cambria" w:cs="Times New Roman"/>
      <w:sz w:val="24"/>
      <w:shd w:val="pct20" w:color="auto" w:fill="auto"/>
    </w:rPr>
  </w:style>
  <w:style w:type="paragraph" w:customStyle="1" w:styleId="Normal0">
    <w:name w:val="@Normal"/>
    <w:rsid w:val="00F00AD9"/>
    <w:pPr>
      <w:suppressAutoHyphens/>
    </w:pPr>
    <w:rPr>
      <w:sz w:val="24"/>
    </w:rPr>
  </w:style>
  <w:style w:type="paragraph" w:customStyle="1" w:styleId="StyleStandardQuotationAfter4pt">
    <w:name w:val="Style Standard Quotation + After:  4 pt"/>
    <w:basedOn w:val="StandardQuotation"/>
    <w:rsid w:val="00E60844"/>
    <w:pPr>
      <w:spacing w:after="80"/>
    </w:pPr>
  </w:style>
  <w:style w:type="character" w:styleId="Strong">
    <w:name w:val="Strong"/>
    <w:uiPriority w:val="22"/>
    <w:qFormat/>
    <w:rsid w:val="00E60844"/>
    <w:rPr>
      <w:rFonts w:cs="Times New Roman"/>
      <w:b/>
    </w:rPr>
  </w:style>
  <w:style w:type="paragraph" w:styleId="Subtitle">
    <w:name w:val="Subtitle"/>
    <w:basedOn w:val="Normal"/>
    <w:link w:val="SubtitleChar"/>
    <w:qFormat/>
    <w:rsid w:val="00E60844"/>
    <w:pPr>
      <w:spacing w:after="240"/>
      <w:jc w:val="center"/>
      <w:outlineLvl w:val="1"/>
    </w:pPr>
    <w:rPr>
      <w:rFonts w:ascii="Cambria" w:hAnsi="Cambria"/>
      <w:sz w:val="24"/>
    </w:rPr>
  </w:style>
  <w:style w:type="character" w:customStyle="1" w:styleId="SubtitleChar">
    <w:name w:val="Subtitle Char"/>
    <w:link w:val="Subtitle"/>
    <w:locked/>
    <w:rsid w:val="001B7596"/>
    <w:rPr>
      <w:rFonts w:ascii="Cambria" w:hAnsi="Cambria" w:cs="Times New Roman"/>
      <w:sz w:val="24"/>
    </w:rPr>
  </w:style>
  <w:style w:type="paragraph" w:styleId="TableofAuthorities">
    <w:name w:val="table of authorities"/>
    <w:basedOn w:val="Normal"/>
    <w:next w:val="Normal"/>
    <w:uiPriority w:val="99"/>
    <w:semiHidden/>
    <w:rsid w:val="00E60844"/>
    <w:pPr>
      <w:ind w:left="240" w:hanging="240"/>
    </w:pPr>
    <w:rPr>
      <w:rFonts w:ascii="Times New Roman" w:hAnsi="Times New Roman"/>
      <w:sz w:val="24"/>
      <w:szCs w:val="24"/>
    </w:rPr>
  </w:style>
  <w:style w:type="numbering" w:customStyle="1" w:styleId="AppendixA">
    <w:name w:val="Appendix A"/>
    <w:basedOn w:val="AppendixHeader"/>
    <w:uiPriority w:val="99"/>
    <w:rsid w:val="00B46F39"/>
    <w:pPr>
      <w:numPr>
        <w:numId w:val="23"/>
      </w:numPr>
    </w:pPr>
  </w:style>
  <w:style w:type="paragraph" w:styleId="TOAHeading">
    <w:name w:val="toa heading"/>
    <w:basedOn w:val="Normal"/>
    <w:next w:val="Normal"/>
    <w:semiHidden/>
    <w:rsid w:val="00E60844"/>
    <w:pPr>
      <w:spacing w:before="120"/>
    </w:pPr>
    <w:rPr>
      <w:rFonts w:ascii="Times New Roman" w:hAnsi="Times New Roman" w:cs="Arial"/>
      <w:b/>
      <w:bCs/>
      <w:sz w:val="24"/>
      <w:szCs w:val="24"/>
    </w:rPr>
  </w:style>
  <w:style w:type="paragraph" w:styleId="TOCHeading">
    <w:name w:val="TOC Heading"/>
    <w:basedOn w:val="Heading1"/>
    <w:next w:val="Normal"/>
    <w:uiPriority w:val="39"/>
    <w:semiHidden/>
    <w:unhideWhenUsed/>
    <w:qFormat/>
    <w:rsid w:val="00A232EF"/>
    <w:pPr>
      <w:keepLines/>
      <w:numPr>
        <w:numId w:val="0"/>
      </w:numPr>
      <w:spacing w:before="480" w:after="0" w:line="276" w:lineRule="auto"/>
      <w:ind w:right="0"/>
      <w:outlineLvl w:val="9"/>
    </w:pPr>
    <w:rPr>
      <w:rFonts w:asciiTheme="majorHAnsi" w:eastAsiaTheme="majorEastAsia" w:hAnsiTheme="majorHAnsi" w:cstheme="majorBidi"/>
      <w:bCs/>
      <w:color w:val="365F91" w:themeColor="accent1" w:themeShade="BF"/>
      <w:kern w:val="0"/>
      <w:sz w:val="28"/>
      <w:szCs w:val="28"/>
      <w:lang w:eastAsia="ja-JP"/>
    </w:rPr>
  </w:style>
  <w:style w:type="character" w:customStyle="1" w:styleId="Emphasis2">
    <w:name w:val="Emphasis 2"/>
    <w:semiHidden/>
    <w:rsid w:val="00E60844"/>
    <w:rPr>
      <w:b/>
    </w:rPr>
  </w:style>
  <w:style w:type="character" w:customStyle="1" w:styleId="Emphasis3">
    <w:name w:val="Emphasis 3"/>
    <w:semiHidden/>
    <w:rsid w:val="00E60844"/>
    <w:rPr>
      <w:u w:val="single"/>
    </w:rPr>
  </w:style>
  <w:style w:type="paragraph" w:customStyle="1" w:styleId="Table">
    <w:name w:val="Table"/>
    <w:basedOn w:val="Normal"/>
    <w:link w:val="TableChar"/>
    <w:rsid w:val="00E60844"/>
    <w:pPr>
      <w:keepNext/>
      <w:keepLines/>
      <w:spacing w:after="240"/>
    </w:pPr>
    <w:rPr>
      <w:rFonts w:ascii="Arial" w:hAnsi="Arial"/>
      <w:sz w:val="24"/>
    </w:rPr>
  </w:style>
  <w:style w:type="character" w:customStyle="1" w:styleId="TableChar">
    <w:name w:val="Table Char"/>
    <w:link w:val="Table"/>
    <w:locked/>
    <w:rsid w:val="00E60844"/>
    <w:rPr>
      <w:rFonts w:ascii="Arial" w:hAnsi="Arial"/>
      <w:sz w:val="24"/>
      <w:lang w:val="en-US" w:eastAsia="en-US"/>
    </w:rPr>
  </w:style>
  <w:style w:type="paragraph" w:customStyle="1" w:styleId="BLOCKQUOTE2">
    <w:name w:val="BLOCK QUOTE 2"/>
    <w:basedOn w:val="BlockQuote"/>
    <w:rsid w:val="00E60844"/>
    <w:pPr>
      <w:ind w:left="2160" w:right="1440" w:hanging="720"/>
    </w:pPr>
  </w:style>
  <w:style w:type="paragraph" w:customStyle="1" w:styleId="microcaption">
    <w:name w:val="micro:caption"/>
    <w:rsid w:val="00E60844"/>
    <w:pPr>
      <w:tabs>
        <w:tab w:val="left" w:pos="0"/>
        <w:tab w:val="left" w:pos="720"/>
        <w:tab w:val="left" w:pos="1440"/>
        <w:tab w:val="left" w:pos="2160"/>
      </w:tabs>
      <w:overflowPunct w:val="0"/>
      <w:autoSpaceDE w:val="0"/>
      <w:autoSpaceDN w:val="0"/>
      <w:adjustRightInd w:val="0"/>
      <w:spacing w:before="11" w:after="38" w:line="267" w:lineRule="atLeast"/>
      <w:jc w:val="both"/>
      <w:textAlignment w:val="baseline"/>
    </w:pPr>
    <w:rPr>
      <w:rFonts w:ascii="Times" w:hAnsi="Times"/>
      <w:sz w:val="24"/>
    </w:rPr>
  </w:style>
  <w:style w:type="paragraph" w:customStyle="1" w:styleId="AltHeading1">
    <w:name w:val="Alt Heading 1"/>
    <w:basedOn w:val="Heading1"/>
    <w:rsid w:val="00E60844"/>
    <w:pPr>
      <w:keepLines/>
      <w:numPr>
        <w:numId w:val="0"/>
      </w:numPr>
      <w:spacing w:before="0" w:after="240"/>
      <w:ind w:right="0"/>
    </w:pPr>
    <w:rPr>
      <w:rFonts w:ascii="Times New Roman" w:hAnsi="Times New Roman" w:cs="Arial"/>
      <w:bCs/>
      <w:kern w:val="0"/>
      <w:sz w:val="28"/>
      <w:szCs w:val="28"/>
    </w:rPr>
  </w:style>
  <w:style w:type="paragraph" w:customStyle="1" w:styleId="Default">
    <w:name w:val="Default"/>
    <w:rsid w:val="00E60844"/>
    <w:pPr>
      <w:widowControl w:val="0"/>
      <w:autoSpaceDE w:val="0"/>
      <w:autoSpaceDN w:val="0"/>
      <w:adjustRightInd w:val="0"/>
    </w:pPr>
    <w:rPr>
      <w:color w:val="000000"/>
      <w:sz w:val="24"/>
      <w:szCs w:val="24"/>
    </w:rPr>
  </w:style>
  <w:style w:type="paragraph" w:customStyle="1" w:styleId="CM5">
    <w:name w:val="CM5"/>
    <w:basedOn w:val="Default"/>
    <w:next w:val="Default"/>
    <w:rsid w:val="00E60844"/>
    <w:pPr>
      <w:spacing w:line="273" w:lineRule="atLeast"/>
    </w:pPr>
    <w:rPr>
      <w:color w:val="auto"/>
    </w:rPr>
  </w:style>
  <w:style w:type="paragraph" w:customStyle="1" w:styleId="CM66">
    <w:name w:val="CM66"/>
    <w:basedOn w:val="Default"/>
    <w:next w:val="Default"/>
    <w:rsid w:val="00E60844"/>
    <w:pPr>
      <w:spacing w:after="368"/>
    </w:pPr>
    <w:rPr>
      <w:color w:val="auto"/>
    </w:rPr>
  </w:style>
  <w:style w:type="paragraph" w:customStyle="1" w:styleId="CM68">
    <w:name w:val="CM68"/>
    <w:basedOn w:val="Default"/>
    <w:next w:val="Default"/>
    <w:rsid w:val="00E60844"/>
    <w:pPr>
      <w:spacing w:after="263"/>
    </w:pPr>
    <w:rPr>
      <w:color w:val="auto"/>
    </w:rPr>
  </w:style>
  <w:style w:type="paragraph" w:customStyle="1" w:styleId="CM19">
    <w:name w:val="CM19"/>
    <w:basedOn w:val="Default"/>
    <w:next w:val="Default"/>
    <w:rsid w:val="00E60844"/>
    <w:pPr>
      <w:spacing w:line="276" w:lineRule="atLeast"/>
    </w:pPr>
    <w:rPr>
      <w:color w:val="auto"/>
    </w:rPr>
  </w:style>
  <w:style w:type="paragraph" w:customStyle="1" w:styleId="StandardBlockSingleSpace">
    <w:name w:val="Standard Block Single Space"/>
    <w:basedOn w:val="standard"/>
    <w:rsid w:val="00E60844"/>
    <w:pPr>
      <w:widowControl w:val="0"/>
      <w:spacing w:after="120" w:line="240" w:lineRule="auto"/>
      <w:ind w:firstLine="0"/>
    </w:pPr>
  </w:style>
  <w:style w:type="paragraph" w:customStyle="1" w:styleId="StandardBulletSingleSpace">
    <w:name w:val="Standard Bullet Single Space"/>
    <w:basedOn w:val="StandardBullet"/>
    <w:rsid w:val="00E60844"/>
    <w:pPr>
      <w:widowControl w:val="0"/>
      <w:spacing w:after="0"/>
    </w:pPr>
  </w:style>
  <w:style w:type="paragraph" w:styleId="List">
    <w:name w:val="List"/>
    <w:basedOn w:val="Normal"/>
    <w:rsid w:val="00E44996"/>
    <w:pPr>
      <w:ind w:left="360" w:hanging="360"/>
      <w:contextualSpacing/>
    </w:pPr>
  </w:style>
  <w:style w:type="paragraph" w:styleId="List3">
    <w:name w:val="List 3"/>
    <w:basedOn w:val="Normal"/>
    <w:rsid w:val="002561C7"/>
    <w:pPr>
      <w:spacing w:before="120" w:after="120"/>
      <w:ind w:left="1080" w:right="1008" w:hanging="360"/>
    </w:pPr>
  </w:style>
  <w:style w:type="paragraph" w:styleId="Revision">
    <w:name w:val="Revision"/>
    <w:hidden/>
    <w:uiPriority w:val="99"/>
    <w:semiHidden/>
    <w:rsid w:val="00E84708"/>
    <w:rPr>
      <w:rFonts w:ascii="Palatino" w:hAnsi="Palatino"/>
      <w:sz w:val="26"/>
    </w:rPr>
  </w:style>
  <w:style w:type="numbering" w:styleId="1ai">
    <w:name w:val="Outline List 1"/>
    <w:basedOn w:val="NoList"/>
    <w:rsid w:val="00D22974"/>
    <w:pPr>
      <w:numPr>
        <w:numId w:val="5"/>
      </w:numPr>
    </w:pPr>
  </w:style>
  <w:style w:type="numbering" w:customStyle="1" w:styleId="Style1">
    <w:name w:val="Style1"/>
    <w:rsid w:val="00F45FB4"/>
    <w:pPr>
      <w:numPr>
        <w:numId w:val="7"/>
      </w:numPr>
    </w:pPr>
  </w:style>
  <w:style w:type="paragraph" w:customStyle="1" w:styleId="sub2">
    <w:name w:val="sub2"/>
    <w:basedOn w:val="Normal"/>
    <w:rsid w:val="005B7F80"/>
    <w:pPr>
      <w:spacing w:line="360" w:lineRule="auto"/>
      <w:ind w:firstLine="2160"/>
    </w:pPr>
  </w:style>
  <w:style w:type="table" w:styleId="MediumGrid3-Accent1">
    <w:name w:val="Medium Grid 3 Accent 1"/>
    <w:basedOn w:val="TableNormal"/>
    <w:uiPriority w:val="69"/>
    <w:rsid w:val="002937AE"/>
    <w:pPr>
      <w:ind w:firstLine="360"/>
    </w:pPr>
    <w:rPr>
      <w:rFonts w:ascii="Calibri" w:hAnsi="Calibri"/>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yleListParagraphHelveticaBoldCentered">
    <w:name w:val="Style List Paragraph + Helvetica Bold Centered"/>
    <w:basedOn w:val="ListParagraph"/>
    <w:rsid w:val="00A232EF"/>
    <w:pPr>
      <w:jc w:val="center"/>
    </w:pPr>
    <w:rPr>
      <w:b/>
      <w:bCs/>
    </w:rPr>
  </w:style>
  <w:style w:type="paragraph" w:customStyle="1" w:styleId="para3">
    <w:name w:val="para3"/>
    <w:basedOn w:val="Normal"/>
    <w:rsid w:val="00A83655"/>
    <w:pPr>
      <w:spacing w:before="100" w:beforeAutospacing="1" w:after="100" w:afterAutospacing="1"/>
    </w:pPr>
    <w:rPr>
      <w:rFonts w:ascii="Times New Roman" w:hAnsi="Times New Roman"/>
      <w:color w:val="000000"/>
      <w:sz w:val="24"/>
      <w:szCs w:val="24"/>
    </w:rPr>
  </w:style>
  <w:style w:type="paragraph" w:customStyle="1" w:styleId="Subject">
    <w:name w:val="Subject"/>
    <w:basedOn w:val="Normal"/>
    <w:qFormat/>
    <w:rsid w:val="00281A2C"/>
    <w:pPr>
      <w:spacing w:before="240" w:line="240" w:lineRule="atLeast"/>
      <w:ind w:left="1224" w:hanging="1224"/>
    </w:pPr>
    <w:rPr>
      <w:rFonts w:ascii="Arial" w:eastAsia="Calibri" w:hAnsi="Arial"/>
      <w:b/>
      <w:smallCaps/>
      <w:sz w:val="24"/>
      <w:szCs w:val="24"/>
    </w:rPr>
  </w:style>
  <w:style w:type="paragraph" w:customStyle="1" w:styleId="TitlePage">
    <w:name w:val="Title Page"/>
    <w:basedOn w:val="Normal"/>
    <w:rsid w:val="00A83655"/>
    <w:pPr>
      <w:jc w:val="center"/>
    </w:pPr>
    <w:rPr>
      <w:rFonts w:ascii="Times New Roman" w:hAnsi="Times New Roman"/>
      <w:b/>
      <w:bCs/>
      <w:sz w:val="24"/>
    </w:rPr>
  </w:style>
  <w:style w:type="paragraph" w:customStyle="1" w:styleId="Quote10">
    <w:name w:val="Quote 1"/>
    <w:basedOn w:val="Normal"/>
    <w:rsid w:val="00E95984"/>
    <w:pPr>
      <w:spacing w:before="240"/>
      <w:ind w:left="1440" w:right="1440"/>
    </w:pPr>
    <w:rPr>
      <w:rFonts w:ascii="Times New Roman" w:hAnsi="Times New Roman"/>
      <w:sz w:val="24"/>
    </w:rPr>
  </w:style>
  <w:style w:type="paragraph" w:customStyle="1" w:styleId="DeclStyle">
    <w:name w:val="Decl_Style"/>
    <w:basedOn w:val="Normal"/>
    <w:rsid w:val="009A3B27"/>
    <w:pPr>
      <w:numPr>
        <w:ilvl w:val="2"/>
        <w:numId w:val="12"/>
      </w:numPr>
      <w:tabs>
        <w:tab w:val="clear" w:pos="1620"/>
      </w:tabs>
      <w:suppressAutoHyphens/>
      <w:spacing w:line="480" w:lineRule="auto"/>
      <w:ind w:left="0" w:firstLine="720"/>
    </w:pPr>
    <w:rPr>
      <w:rFonts w:ascii="Times New Roman" w:hAnsi="Times New Roman"/>
      <w:color w:val="000000"/>
      <w:sz w:val="24"/>
    </w:rPr>
  </w:style>
  <w:style w:type="paragraph" w:customStyle="1" w:styleId="StyleHeading2TimesNewRoman">
    <w:name w:val="Style Heading 2 + Times New Roman"/>
    <w:basedOn w:val="Heading2"/>
    <w:rsid w:val="009A3B27"/>
    <w:pPr>
      <w:keepLines/>
      <w:numPr>
        <w:ilvl w:val="0"/>
        <w:numId w:val="13"/>
      </w:numPr>
      <w:spacing w:before="240" w:after="240"/>
      <w:ind w:right="0" w:hanging="720"/>
    </w:pPr>
    <w:rPr>
      <w:rFonts w:ascii="Times New Roman" w:hAnsi="Times New Roman"/>
      <w:bCs/>
      <w:sz w:val="24"/>
      <w:u w:val="single"/>
    </w:rPr>
  </w:style>
  <w:style w:type="paragraph" w:customStyle="1" w:styleId="StyleHeading3TimesNewRoman">
    <w:name w:val="Style Heading 3 + Times New Roman"/>
    <w:basedOn w:val="Heading3"/>
    <w:rsid w:val="009A3B27"/>
    <w:pPr>
      <w:numPr>
        <w:ilvl w:val="0"/>
        <w:numId w:val="14"/>
      </w:numPr>
      <w:spacing w:before="240" w:after="240"/>
      <w:ind w:right="0" w:hanging="720"/>
    </w:pPr>
    <w:rPr>
      <w:rFonts w:ascii="Times New Roman" w:hAnsi="Times New Roman"/>
      <w:bCs/>
      <w:sz w:val="24"/>
    </w:rPr>
  </w:style>
  <w:style w:type="paragraph" w:customStyle="1" w:styleId="StyleHeading4TimesNewRoman">
    <w:name w:val="Style Heading 4 + Times New Roman"/>
    <w:basedOn w:val="Heading4"/>
    <w:rsid w:val="009A3B27"/>
    <w:pPr>
      <w:numPr>
        <w:ilvl w:val="0"/>
        <w:numId w:val="15"/>
      </w:numPr>
      <w:spacing w:before="240" w:after="240"/>
      <w:ind w:right="0" w:hanging="720"/>
    </w:pPr>
    <w:rPr>
      <w:rFonts w:ascii="Times New Roman" w:hAnsi="Times New Roman"/>
      <w:iCs/>
      <w:sz w:val="24"/>
    </w:rPr>
  </w:style>
  <w:style w:type="paragraph" w:customStyle="1" w:styleId="OutHead1">
    <w:name w:val="OutHead1"/>
    <w:basedOn w:val="Normal"/>
    <w:next w:val="Normal"/>
    <w:qFormat/>
    <w:rsid w:val="00866EAF"/>
    <w:pPr>
      <w:keepNext/>
      <w:numPr>
        <w:numId w:val="16"/>
      </w:numPr>
      <w:pBdr>
        <w:top w:val="nil"/>
        <w:left w:val="nil"/>
        <w:bottom w:val="nil"/>
        <w:right w:val="nil"/>
        <w:between w:val="nil"/>
        <w:bar w:val="nil"/>
      </w:pBdr>
      <w:spacing w:after="240"/>
      <w:jc w:val="center"/>
      <w:outlineLvl w:val="0"/>
    </w:pPr>
    <w:rPr>
      <w:rFonts w:ascii="Times New Roman" w:eastAsia="Arial Unicode MS" w:hAnsi="Times New Roman"/>
      <w:b/>
      <w:caps/>
      <w:color w:val="000000"/>
      <w:sz w:val="24"/>
      <w:bdr w:val="nil"/>
    </w:rPr>
  </w:style>
  <w:style w:type="paragraph" w:customStyle="1" w:styleId="OutHead2">
    <w:name w:val="OutHead2"/>
    <w:basedOn w:val="Normal"/>
    <w:next w:val="Normal"/>
    <w:uiPriority w:val="1"/>
    <w:qFormat/>
    <w:rsid w:val="00866EAF"/>
    <w:pPr>
      <w:keepNext/>
      <w:numPr>
        <w:ilvl w:val="1"/>
        <w:numId w:val="16"/>
      </w:numPr>
      <w:pBdr>
        <w:top w:val="nil"/>
        <w:left w:val="nil"/>
        <w:bottom w:val="nil"/>
        <w:right w:val="nil"/>
        <w:between w:val="nil"/>
        <w:bar w:val="nil"/>
      </w:pBdr>
      <w:spacing w:after="240"/>
      <w:outlineLvl w:val="1"/>
    </w:pPr>
    <w:rPr>
      <w:rFonts w:ascii="Times New Roman" w:eastAsia="Arial Unicode MS" w:hAnsi="Times New Roman"/>
      <w:b/>
      <w:color w:val="000000"/>
      <w:sz w:val="24"/>
      <w:bdr w:val="nil"/>
    </w:rPr>
  </w:style>
  <w:style w:type="paragraph" w:customStyle="1" w:styleId="OutHead3">
    <w:name w:val="OutHead3"/>
    <w:basedOn w:val="Normal"/>
    <w:next w:val="Normal"/>
    <w:uiPriority w:val="1"/>
    <w:rsid w:val="00866EAF"/>
    <w:pPr>
      <w:keepNext/>
      <w:numPr>
        <w:ilvl w:val="2"/>
        <w:numId w:val="16"/>
      </w:numPr>
      <w:pBdr>
        <w:top w:val="nil"/>
        <w:left w:val="nil"/>
        <w:bottom w:val="nil"/>
        <w:right w:val="nil"/>
        <w:between w:val="nil"/>
        <w:bar w:val="nil"/>
      </w:pBdr>
      <w:spacing w:after="240"/>
      <w:outlineLvl w:val="2"/>
    </w:pPr>
    <w:rPr>
      <w:rFonts w:ascii="Times New Roman" w:eastAsia="Arial Unicode MS" w:hAnsi="Times New Roman"/>
      <w:b/>
      <w:color w:val="000000"/>
      <w:sz w:val="24"/>
      <w:bdr w:val="nil"/>
    </w:rPr>
  </w:style>
  <w:style w:type="paragraph" w:customStyle="1" w:styleId="OutHead4">
    <w:name w:val="OutHead4"/>
    <w:basedOn w:val="Normal"/>
    <w:next w:val="Normal"/>
    <w:uiPriority w:val="1"/>
    <w:rsid w:val="00866EAF"/>
    <w:pPr>
      <w:keepNext/>
      <w:numPr>
        <w:ilvl w:val="3"/>
        <w:numId w:val="16"/>
      </w:numPr>
      <w:pBdr>
        <w:top w:val="nil"/>
        <w:left w:val="nil"/>
        <w:bottom w:val="nil"/>
        <w:right w:val="nil"/>
        <w:between w:val="nil"/>
        <w:bar w:val="nil"/>
      </w:pBdr>
      <w:spacing w:after="240"/>
      <w:outlineLvl w:val="3"/>
    </w:pPr>
    <w:rPr>
      <w:rFonts w:ascii="Times New Roman" w:eastAsia="Arial Unicode MS" w:hAnsi="Times New Roman"/>
      <w:b/>
      <w:color w:val="000000"/>
      <w:sz w:val="24"/>
      <w:bdr w:val="nil"/>
    </w:rPr>
  </w:style>
  <w:style w:type="paragraph" w:customStyle="1" w:styleId="OutHead5">
    <w:name w:val="OutHead5"/>
    <w:basedOn w:val="Normal"/>
    <w:next w:val="Normal"/>
    <w:uiPriority w:val="1"/>
    <w:rsid w:val="00866EAF"/>
    <w:pPr>
      <w:keepNext/>
      <w:numPr>
        <w:ilvl w:val="4"/>
        <w:numId w:val="16"/>
      </w:numPr>
      <w:pBdr>
        <w:top w:val="nil"/>
        <w:left w:val="nil"/>
        <w:bottom w:val="nil"/>
        <w:right w:val="nil"/>
        <w:between w:val="nil"/>
        <w:bar w:val="nil"/>
      </w:pBdr>
      <w:spacing w:after="240"/>
      <w:outlineLvl w:val="4"/>
    </w:pPr>
    <w:rPr>
      <w:rFonts w:ascii="Times New Roman" w:eastAsia="Arial Unicode MS" w:hAnsi="Times New Roman"/>
      <w:b/>
      <w:color w:val="000000"/>
      <w:sz w:val="24"/>
      <w:bdr w:val="nil"/>
    </w:rPr>
  </w:style>
  <w:style w:type="paragraph" w:customStyle="1" w:styleId="OutHead6">
    <w:name w:val="OutHead6"/>
    <w:basedOn w:val="Normal"/>
    <w:next w:val="Normal"/>
    <w:uiPriority w:val="1"/>
    <w:rsid w:val="00866EAF"/>
    <w:pPr>
      <w:keepNext/>
      <w:numPr>
        <w:ilvl w:val="5"/>
        <w:numId w:val="16"/>
      </w:numPr>
      <w:pBdr>
        <w:top w:val="nil"/>
        <w:left w:val="nil"/>
        <w:bottom w:val="nil"/>
        <w:right w:val="nil"/>
        <w:between w:val="nil"/>
        <w:bar w:val="nil"/>
      </w:pBdr>
      <w:spacing w:after="240"/>
      <w:outlineLvl w:val="5"/>
    </w:pPr>
    <w:rPr>
      <w:rFonts w:ascii="Times New Roman" w:eastAsia="Arial Unicode MS" w:hAnsi="Times New Roman"/>
      <w:b/>
      <w:color w:val="000000"/>
      <w:sz w:val="24"/>
      <w:bdr w:val="nil"/>
    </w:rPr>
  </w:style>
  <w:style w:type="paragraph" w:customStyle="1" w:styleId="OutHead7">
    <w:name w:val="OutHead7"/>
    <w:basedOn w:val="Normal"/>
    <w:next w:val="Normal"/>
    <w:uiPriority w:val="1"/>
    <w:qFormat/>
    <w:rsid w:val="00866EAF"/>
    <w:pPr>
      <w:keepNext/>
      <w:numPr>
        <w:ilvl w:val="6"/>
        <w:numId w:val="16"/>
      </w:numPr>
      <w:pBdr>
        <w:top w:val="nil"/>
        <w:left w:val="nil"/>
        <w:bottom w:val="nil"/>
        <w:right w:val="nil"/>
        <w:between w:val="nil"/>
        <w:bar w:val="nil"/>
      </w:pBdr>
      <w:spacing w:after="240"/>
      <w:outlineLvl w:val="6"/>
    </w:pPr>
    <w:rPr>
      <w:rFonts w:ascii="Times New Roman" w:eastAsia="Arial Unicode MS" w:hAnsi="Times New Roman"/>
      <w:b/>
      <w:color w:val="000000"/>
      <w:sz w:val="24"/>
      <w:bdr w:val="nil"/>
    </w:rPr>
  </w:style>
  <w:style w:type="paragraph" w:customStyle="1" w:styleId="OutHead8">
    <w:name w:val="OutHead8"/>
    <w:basedOn w:val="Normal"/>
    <w:next w:val="Normal"/>
    <w:uiPriority w:val="1"/>
    <w:qFormat/>
    <w:rsid w:val="00866EAF"/>
    <w:pPr>
      <w:keepNext/>
      <w:numPr>
        <w:ilvl w:val="7"/>
        <w:numId w:val="16"/>
      </w:numPr>
      <w:pBdr>
        <w:top w:val="nil"/>
        <w:left w:val="nil"/>
        <w:bottom w:val="nil"/>
        <w:right w:val="nil"/>
        <w:between w:val="nil"/>
        <w:bar w:val="nil"/>
      </w:pBdr>
      <w:spacing w:after="240"/>
      <w:outlineLvl w:val="7"/>
    </w:pPr>
    <w:rPr>
      <w:rFonts w:ascii="Times New Roman" w:eastAsia="Arial Unicode MS" w:hAnsi="Times New Roman"/>
      <w:b/>
      <w:color w:val="000000"/>
      <w:sz w:val="24"/>
      <w:bdr w:val="nil"/>
    </w:rPr>
  </w:style>
  <w:style w:type="paragraph" w:customStyle="1" w:styleId="Quote2">
    <w:name w:val="Quote2"/>
    <w:basedOn w:val="standard"/>
    <w:rsid w:val="00324D31"/>
    <w:pPr>
      <w:spacing w:before="120" w:after="240" w:line="240" w:lineRule="auto"/>
      <w:ind w:left="720" w:right="720" w:firstLine="0"/>
    </w:pPr>
  </w:style>
  <w:style w:type="paragraph" w:customStyle="1" w:styleId="sub1">
    <w:name w:val="sub1"/>
    <w:basedOn w:val="Normal"/>
    <w:rsid w:val="00324D31"/>
    <w:pPr>
      <w:spacing w:line="360" w:lineRule="auto"/>
      <w:ind w:firstLine="1440"/>
    </w:pPr>
  </w:style>
  <w:style w:type="paragraph" w:styleId="BalloonText">
    <w:name w:val="Balloon Text"/>
    <w:basedOn w:val="Normal"/>
    <w:link w:val="BalloonTextChar"/>
    <w:uiPriority w:val="99"/>
    <w:semiHidden/>
    <w:unhideWhenUsed/>
    <w:locked/>
    <w:rsid w:val="00C543C6"/>
    <w:rPr>
      <w:rFonts w:ascii="Tahoma" w:hAnsi="Tahoma" w:cs="Tahoma"/>
      <w:sz w:val="16"/>
      <w:szCs w:val="16"/>
    </w:rPr>
  </w:style>
  <w:style w:type="character" w:customStyle="1" w:styleId="BalloonTextChar">
    <w:name w:val="Balloon Text Char"/>
    <w:link w:val="BalloonText"/>
    <w:uiPriority w:val="99"/>
    <w:semiHidden/>
    <w:rsid w:val="00C543C6"/>
    <w:rPr>
      <w:rFonts w:ascii="Tahoma" w:hAnsi="Tahoma" w:cs="Tahoma"/>
      <w:sz w:val="16"/>
      <w:szCs w:val="16"/>
    </w:rPr>
  </w:style>
  <w:style w:type="paragraph" w:customStyle="1" w:styleId="BodyText6">
    <w:name w:val="Body Text 6"/>
    <w:basedOn w:val="BodyText"/>
    <w:autoRedefine/>
    <w:rsid w:val="00AF57B4"/>
    <w:pPr>
      <w:spacing w:after="120" w:line="360" w:lineRule="auto"/>
      <w:ind w:firstLine="907"/>
    </w:pPr>
    <w:rPr>
      <w:sz w:val="26"/>
      <w:szCs w:val="20"/>
      <w:lang w:eastAsia="en-US"/>
    </w:rPr>
  </w:style>
  <w:style w:type="character" w:customStyle="1" w:styleId="enumbell">
    <w:name w:val="enumbell"/>
    <w:basedOn w:val="DefaultParagraphFont"/>
    <w:rsid w:val="00F66292"/>
  </w:style>
  <w:style w:type="character" w:customStyle="1" w:styleId="ptext-">
    <w:name w:val="ptext-"/>
    <w:basedOn w:val="DefaultParagraphFont"/>
    <w:rsid w:val="00F66292"/>
  </w:style>
  <w:style w:type="character" w:customStyle="1" w:styleId="FootnoteTextChar2">
    <w:name w:val="Footnote Text Char2"/>
    <w:aliases w:val="Standard Footnote Text Char1,Footnote Text Char Char5 Char Char1,Footnote Text Char2 Char1 Char1 Char Char1,Footnote Text Char4 Char Char Char1 Char Char1,fn Char1,Footnote Text Char1 Char Char2,Footnote Text Char1 Char2,f Char1"/>
    <w:locked/>
    <w:rsid w:val="00DF1DBE"/>
    <w:rPr>
      <w:rFonts w:ascii="Palatino" w:hAnsi="Palatino"/>
      <w:sz w:val="24"/>
    </w:rPr>
  </w:style>
  <w:style w:type="character" w:customStyle="1" w:styleId="StandardBulletCharChar">
    <w:name w:val="Standard Bullet Char Char"/>
    <w:locked/>
    <w:rsid w:val="00DF1DBE"/>
    <w:rPr>
      <w:rFonts w:ascii="Palatino" w:hAnsi="Palatino"/>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11">
          <w:marLeft w:val="150"/>
          <w:marRight w:val="150"/>
          <w:marTop w:val="150"/>
          <w:marBottom w:val="15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3">
          <w:marLeft w:val="150"/>
          <w:marRight w:val="150"/>
          <w:marTop w:val="150"/>
          <w:marBottom w:val="15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7855002">
      <w:bodyDiv w:val="1"/>
      <w:marLeft w:val="0"/>
      <w:marRight w:val="0"/>
      <w:marTop w:val="0"/>
      <w:marBottom w:val="0"/>
      <w:divBdr>
        <w:top w:val="none" w:sz="0" w:space="0" w:color="auto"/>
        <w:left w:val="none" w:sz="0" w:space="0" w:color="auto"/>
        <w:bottom w:val="none" w:sz="0" w:space="0" w:color="auto"/>
        <w:right w:val="none" w:sz="0" w:space="0" w:color="auto"/>
      </w:divBdr>
    </w:div>
    <w:div w:id="308825347">
      <w:bodyDiv w:val="1"/>
      <w:marLeft w:val="0"/>
      <w:marRight w:val="0"/>
      <w:marTop w:val="0"/>
      <w:marBottom w:val="0"/>
      <w:divBdr>
        <w:top w:val="none" w:sz="0" w:space="0" w:color="auto"/>
        <w:left w:val="none" w:sz="0" w:space="0" w:color="auto"/>
        <w:bottom w:val="none" w:sz="0" w:space="0" w:color="auto"/>
        <w:right w:val="none" w:sz="0" w:space="0" w:color="auto"/>
      </w:divBdr>
      <w:divsChild>
        <w:div w:id="1951087802">
          <w:marLeft w:val="0"/>
          <w:marRight w:val="0"/>
          <w:marTop w:val="0"/>
          <w:marBottom w:val="0"/>
          <w:divBdr>
            <w:top w:val="none" w:sz="0" w:space="0" w:color="auto"/>
            <w:left w:val="none" w:sz="0" w:space="0" w:color="auto"/>
            <w:bottom w:val="none" w:sz="0" w:space="0" w:color="auto"/>
            <w:right w:val="none" w:sz="0" w:space="0" w:color="auto"/>
          </w:divBdr>
        </w:div>
        <w:div w:id="1131941082">
          <w:marLeft w:val="0"/>
          <w:marRight w:val="0"/>
          <w:marTop w:val="0"/>
          <w:marBottom w:val="0"/>
          <w:divBdr>
            <w:top w:val="none" w:sz="0" w:space="0" w:color="auto"/>
            <w:left w:val="none" w:sz="0" w:space="0" w:color="auto"/>
            <w:bottom w:val="none" w:sz="0" w:space="0" w:color="auto"/>
            <w:right w:val="none" w:sz="0" w:space="0" w:color="auto"/>
          </w:divBdr>
        </w:div>
      </w:divsChild>
    </w:div>
    <w:div w:id="344862759">
      <w:bodyDiv w:val="1"/>
      <w:marLeft w:val="0"/>
      <w:marRight w:val="0"/>
      <w:marTop w:val="0"/>
      <w:marBottom w:val="0"/>
      <w:divBdr>
        <w:top w:val="none" w:sz="0" w:space="0" w:color="auto"/>
        <w:left w:val="none" w:sz="0" w:space="0" w:color="auto"/>
        <w:bottom w:val="none" w:sz="0" w:space="0" w:color="auto"/>
        <w:right w:val="none" w:sz="0" w:space="0" w:color="auto"/>
      </w:divBdr>
      <w:divsChild>
        <w:div w:id="919677473">
          <w:marLeft w:val="0"/>
          <w:marRight w:val="0"/>
          <w:marTop w:val="0"/>
          <w:marBottom w:val="0"/>
          <w:divBdr>
            <w:top w:val="none" w:sz="0" w:space="0" w:color="auto"/>
            <w:left w:val="none" w:sz="0" w:space="0" w:color="auto"/>
            <w:bottom w:val="none" w:sz="0" w:space="0" w:color="auto"/>
            <w:right w:val="none" w:sz="0" w:space="0" w:color="auto"/>
          </w:divBdr>
          <w:divsChild>
            <w:div w:id="95279020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27983648">
      <w:bodyDiv w:val="1"/>
      <w:marLeft w:val="0"/>
      <w:marRight w:val="0"/>
      <w:marTop w:val="0"/>
      <w:marBottom w:val="0"/>
      <w:divBdr>
        <w:top w:val="none" w:sz="0" w:space="0" w:color="auto"/>
        <w:left w:val="none" w:sz="0" w:space="0" w:color="auto"/>
        <w:bottom w:val="none" w:sz="0" w:space="0" w:color="auto"/>
        <w:right w:val="none" w:sz="0" w:space="0" w:color="auto"/>
      </w:divBdr>
    </w:div>
    <w:div w:id="539707374">
      <w:bodyDiv w:val="1"/>
      <w:marLeft w:val="0"/>
      <w:marRight w:val="0"/>
      <w:marTop w:val="0"/>
      <w:marBottom w:val="0"/>
      <w:divBdr>
        <w:top w:val="none" w:sz="0" w:space="0" w:color="auto"/>
        <w:left w:val="none" w:sz="0" w:space="0" w:color="auto"/>
        <w:bottom w:val="none" w:sz="0" w:space="0" w:color="auto"/>
        <w:right w:val="none" w:sz="0" w:space="0" w:color="auto"/>
      </w:divBdr>
    </w:div>
    <w:div w:id="613248625">
      <w:bodyDiv w:val="1"/>
      <w:marLeft w:val="0"/>
      <w:marRight w:val="0"/>
      <w:marTop w:val="0"/>
      <w:marBottom w:val="0"/>
      <w:divBdr>
        <w:top w:val="none" w:sz="0" w:space="0" w:color="auto"/>
        <w:left w:val="none" w:sz="0" w:space="0" w:color="auto"/>
        <w:bottom w:val="none" w:sz="0" w:space="0" w:color="auto"/>
        <w:right w:val="none" w:sz="0" w:space="0" w:color="auto"/>
      </w:divBdr>
    </w:div>
    <w:div w:id="617419123">
      <w:bodyDiv w:val="1"/>
      <w:marLeft w:val="0"/>
      <w:marRight w:val="0"/>
      <w:marTop w:val="0"/>
      <w:marBottom w:val="0"/>
      <w:divBdr>
        <w:top w:val="none" w:sz="0" w:space="0" w:color="auto"/>
        <w:left w:val="none" w:sz="0" w:space="0" w:color="auto"/>
        <w:bottom w:val="none" w:sz="0" w:space="0" w:color="auto"/>
        <w:right w:val="none" w:sz="0" w:space="0" w:color="auto"/>
      </w:divBdr>
    </w:div>
    <w:div w:id="621347667">
      <w:bodyDiv w:val="1"/>
      <w:marLeft w:val="0"/>
      <w:marRight w:val="0"/>
      <w:marTop w:val="0"/>
      <w:marBottom w:val="0"/>
      <w:divBdr>
        <w:top w:val="none" w:sz="0" w:space="0" w:color="auto"/>
        <w:left w:val="none" w:sz="0" w:space="0" w:color="auto"/>
        <w:bottom w:val="none" w:sz="0" w:space="0" w:color="auto"/>
        <w:right w:val="none" w:sz="0" w:space="0" w:color="auto"/>
      </w:divBdr>
      <w:divsChild>
        <w:div w:id="22756571">
          <w:marLeft w:val="0"/>
          <w:marRight w:val="0"/>
          <w:marTop w:val="0"/>
          <w:marBottom w:val="0"/>
          <w:divBdr>
            <w:top w:val="none" w:sz="0" w:space="0" w:color="auto"/>
            <w:left w:val="none" w:sz="0" w:space="0" w:color="auto"/>
            <w:bottom w:val="none" w:sz="0" w:space="0" w:color="auto"/>
            <w:right w:val="none" w:sz="0" w:space="0" w:color="auto"/>
          </w:divBdr>
        </w:div>
        <w:div w:id="361368794">
          <w:marLeft w:val="0"/>
          <w:marRight w:val="0"/>
          <w:marTop w:val="0"/>
          <w:marBottom w:val="0"/>
          <w:divBdr>
            <w:top w:val="none" w:sz="0" w:space="0" w:color="auto"/>
            <w:left w:val="none" w:sz="0" w:space="0" w:color="auto"/>
            <w:bottom w:val="none" w:sz="0" w:space="0" w:color="auto"/>
            <w:right w:val="none" w:sz="0" w:space="0" w:color="auto"/>
          </w:divBdr>
        </w:div>
        <w:div w:id="409431925">
          <w:marLeft w:val="0"/>
          <w:marRight w:val="0"/>
          <w:marTop w:val="0"/>
          <w:marBottom w:val="0"/>
          <w:divBdr>
            <w:top w:val="none" w:sz="0" w:space="0" w:color="auto"/>
            <w:left w:val="none" w:sz="0" w:space="0" w:color="auto"/>
            <w:bottom w:val="none" w:sz="0" w:space="0" w:color="auto"/>
            <w:right w:val="none" w:sz="0" w:space="0" w:color="auto"/>
          </w:divBdr>
        </w:div>
        <w:div w:id="463154811">
          <w:marLeft w:val="0"/>
          <w:marRight w:val="0"/>
          <w:marTop w:val="0"/>
          <w:marBottom w:val="0"/>
          <w:divBdr>
            <w:top w:val="none" w:sz="0" w:space="0" w:color="auto"/>
            <w:left w:val="none" w:sz="0" w:space="0" w:color="auto"/>
            <w:bottom w:val="none" w:sz="0" w:space="0" w:color="auto"/>
            <w:right w:val="none" w:sz="0" w:space="0" w:color="auto"/>
          </w:divBdr>
        </w:div>
        <w:div w:id="492843526">
          <w:marLeft w:val="0"/>
          <w:marRight w:val="0"/>
          <w:marTop w:val="0"/>
          <w:marBottom w:val="0"/>
          <w:divBdr>
            <w:top w:val="none" w:sz="0" w:space="0" w:color="auto"/>
            <w:left w:val="none" w:sz="0" w:space="0" w:color="auto"/>
            <w:bottom w:val="none" w:sz="0" w:space="0" w:color="auto"/>
            <w:right w:val="none" w:sz="0" w:space="0" w:color="auto"/>
          </w:divBdr>
        </w:div>
        <w:div w:id="716510125">
          <w:marLeft w:val="0"/>
          <w:marRight w:val="0"/>
          <w:marTop w:val="0"/>
          <w:marBottom w:val="0"/>
          <w:divBdr>
            <w:top w:val="none" w:sz="0" w:space="0" w:color="auto"/>
            <w:left w:val="none" w:sz="0" w:space="0" w:color="auto"/>
            <w:bottom w:val="none" w:sz="0" w:space="0" w:color="auto"/>
            <w:right w:val="none" w:sz="0" w:space="0" w:color="auto"/>
          </w:divBdr>
        </w:div>
        <w:div w:id="730466284">
          <w:marLeft w:val="0"/>
          <w:marRight w:val="0"/>
          <w:marTop w:val="0"/>
          <w:marBottom w:val="0"/>
          <w:divBdr>
            <w:top w:val="none" w:sz="0" w:space="0" w:color="auto"/>
            <w:left w:val="none" w:sz="0" w:space="0" w:color="auto"/>
            <w:bottom w:val="none" w:sz="0" w:space="0" w:color="auto"/>
            <w:right w:val="none" w:sz="0" w:space="0" w:color="auto"/>
          </w:divBdr>
        </w:div>
        <w:div w:id="799301301">
          <w:marLeft w:val="0"/>
          <w:marRight w:val="0"/>
          <w:marTop w:val="0"/>
          <w:marBottom w:val="0"/>
          <w:divBdr>
            <w:top w:val="none" w:sz="0" w:space="0" w:color="auto"/>
            <w:left w:val="none" w:sz="0" w:space="0" w:color="auto"/>
            <w:bottom w:val="none" w:sz="0" w:space="0" w:color="auto"/>
            <w:right w:val="none" w:sz="0" w:space="0" w:color="auto"/>
          </w:divBdr>
        </w:div>
        <w:div w:id="847015534">
          <w:marLeft w:val="0"/>
          <w:marRight w:val="0"/>
          <w:marTop w:val="0"/>
          <w:marBottom w:val="0"/>
          <w:divBdr>
            <w:top w:val="none" w:sz="0" w:space="0" w:color="auto"/>
            <w:left w:val="none" w:sz="0" w:space="0" w:color="auto"/>
            <w:bottom w:val="none" w:sz="0" w:space="0" w:color="auto"/>
            <w:right w:val="none" w:sz="0" w:space="0" w:color="auto"/>
          </w:divBdr>
        </w:div>
        <w:div w:id="903179692">
          <w:marLeft w:val="0"/>
          <w:marRight w:val="0"/>
          <w:marTop w:val="0"/>
          <w:marBottom w:val="0"/>
          <w:divBdr>
            <w:top w:val="none" w:sz="0" w:space="0" w:color="auto"/>
            <w:left w:val="none" w:sz="0" w:space="0" w:color="auto"/>
            <w:bottom w:val="none" w:sz="0" w:space="0" w:color="auto"/>
            <w:right w:val="none" w:sz="0" w:space="0" w:color="auto"/>
          </w:divBdr>
        </w:div>
        <w:div w:id="923994339">
          <w:marLeft w:val="0"/>
          <w:marRight w:val="0"/>
          <w:marTop w:val="0"/>
          <w:marBottom w:val="0"/>
          <w:divBdr>
            <w:top w:val="none" w:sz="0" w:space="0" w:color="auto"/>
            <w:left w:val="none" w:sz="0" w:space="0" w:color="auto"/>
            <w:bottom w:val="none" w:sz="0" w:space="0" w:color="auto"/>
            <w:right w:val="none" w:sz="0" w:space="0" w:color="auto"/>
          </w:divBdr>
        </w:div>
        <w:div w:id="997810087">
          <w:marLeft w:val="0"/>
          <w:marRight w:val="0"/>
          <w:marTop w:val="0"/>
          <w:marBottom w:val="0"/>
          <w:divBdr>
            <w:top w:val="none" w:sz="0" w:space="0" w:color="auto"/>
            <w:left w:val="none" w:sz="0" w:space="0" w:color="auto"/>
            <w:bottom w:val="none" w:sz="0" w:space="0" w:color="auto"/>
            <w:right w:val="none" w:sz="0" w:space="0" w:color="auto"/>
          </w:divBdr>
        </w:div>
        <w:div w:id="1082487968">
          <w:marLeft w:val="0"/>
          <w:marRight w:val="0"/>
          <w:marTop w:val="0"/>
          <w:marBottom w:val="0"/>
          <w:divBdr>
            <w:top w:val="none" w:sz="0" w:space="0" w:color="auto"/>
            <w:left w:val="none" w:sz="0" w:space="0" w:color="auto"/>
            <w:bottom w:val="none" w:sz="0" w:space="0" w:color="auto"/>
            <w:right w:val="none" w:sz="0" w:space="0" w:color="auto"/>
          </w:divBdr>
        </w:div>
        <w:div w:id="1197355898">
          <w:marLeft w:val="0"/>
          <w:marRight w:val="0"/>
          <w:marTop w:val="0"/>
          <w:marBottom w:val="0"/>
          <w:divBdr>
            <w:top w:val="none" w:sz="0" w:space="0" w:color="auto"/>
            <w:left w:val="none" w:sz="0" w:space="0" w:color="auto"/>
            <w:bottom w:val="none" w:sz="0" w:space="0" w:color="auto"/>
            <w:right w:val="none" w:sz="0" w:space="0" w:color="auto"/>
          </w:divBdr>
        </w:div>
        <w:div w:id="1442456470">
          <w:marLeft w:val="0"/>
          <w:marRight w:val="0"/>
          <w:marTop w:val="0"/>
          <w:marBottom w:val="0"/>
          <w:divBdr>
            <w:top w:val="none" w:sz="0" w:space="0" w:color="auto"/>
            <w:left w:val="none" w:sz="0" w:space="0" w:color="auto"/>
            <w:bottom w:val="none" w:sz="0" w:space="0" w:color="auto"/>
            <w:right w:val="none" w:sz="0" w:space="0" w:color="auto"/>
          </w:divBdr>
        </w:div>
        <w:div w:id="1507860463">
          <w:marLeft w:val="0"/>
          <w:marRight w:val="0"/>
          <w:marTop w:val="0"/>
          <w:marBottom w:val="0"/>
          <w:divBdr>
            <w:top w:val="none" w:sz="0" w:space="0" w:color="auto"/>
            <w:left w:val="none" w:sz="0" w:space="0" w:color="auto"/>
            <w:bottom w:val="none" w:sz="0" w:space="0" w:color="auto"/>
            <w:right w:val="none" w:sz="0" w:space="0" w:color="auto"/>
          </w:divBdr>
        </w:div>
        <w:div w:id="1743286201">
          <w:marLeft w:val="0"/>
          <w:marRight w:val="0"/>
          <w:marTop w:val="0"/>
          <w:marBottom w:val="0"/>
          <w:divBdr>
            <w:top w:val="none" w:sz="0" w:space="0" w:color="auto"/>
            <w:left w:val="none" w:sz="0" w:space="0" w:color="auto"/>
            <w:bottom w:val="none" w:sz="0" w:space="0" w:color="auto"/>
            <w:right w:val="none" w:sz="0" w:space="0" w:color="auto"/>
          </w:divBdr>
        </w:div>
        <w:div w:id="1861354283">
          <w:marLeft w:val="0"/>
          <w:marRight w:val="0"/>
          <w:marTop w:val="0"/>
          <w:marBottom w:val="0"/>
          <w:divBdr>
            <w:top w:val="none" w:sz="0" w:space="0" w:color="auto"/>
            <w:left w:val="none" w:sz="0" w:space="0" w:color="auto"/>
            <w:bottom w:val="none" w:sz="0" w:space="0" w:color="auto"/>
            <w:right w:val="none" w:sz="0" w:space="0" w:color="auto"/>
          </w:divBdr>
        </w:div>
        <w:div w:id="1911697946">
          <w:marLeft w:val="0"/>
          <w:marRight w:val="0"/>
          <w:marTop w:val="0"/>
          <w:marBottom w:val="0"/>
          <w:divBdr>
            <w:top w:val="none" w:sz="0" w:space="0" w:color="auto"/>
            <w:left w:val="none" w:sz="0" w:space="0" w:color="auto"/>
            <w:bottom w:val="none" w:sz="0" w:space="0" w:color="auto"/>
            <w:right w:val="none" w:sz="0" w:space="0" w:color="auto"/>
          </w:divBdr>
        </w:div>
        <w:div w:id="1928030442">
          <w:marLeft w:val="0"/>
          <w:marRight w:val="0"/>
          <w:marTop w:val="0"/>
          <w:marBottom w:val="0"/>
          <w:divBdr>
            <w:top w:val="none" w:sz="0" w:space="0" w:color="auto"/>
            <w:left w:val="none" w:sz="0" w:space="0" w:color="auto"/>
            <w:bottom w:val="none" w:sz="0" w:space="0" w:color="auto"/>
            <w:right w:val="none" w:sz="0" w:space="0" w:color="auto"/>
          </w:divBdr>
        </w:div>
        <w:div w:id="1937248152">
          <w:marLeft w:val="0"/>
          <w:marRight w:val="0"/>
          <w:marTop w:val="0"/>
          <w:marBottom w:val="0"/>
          <w:divBdr>
            <w:top w:val="none" w:sz="0" w:space="0" w:color="auto"/>
            <w:left w:val="none" w:sz="0" w:space="0" w:color="auto"/>
            <w:bottom w:val="none" w:sz="0" w:space="0" w:color="auto"/>
            <w:right w:val="none" w:sz="0" w:space="0" w:color="auto"/>
          </w:divBdr>
        </w:div>
        <w:div w:id="1965694090">
          <w:marLeft w:val="0"/>
          <w:marRight w:val="0"/>
          <w:marTop w:val="0"/>
          <w:marBottom w:val="0"/>
          <w:divBdr>
            <w:top w:val="none" w:sz="0" w:space="0" w:color="auto"/>
            <w:left w:val="none" w:sz="0" w:space="0" w:color="auto"/>
            <w:bottom w:val="none" w:sz="0" w:space="0" w:color="auto"/>
            <w:right w:val="none" w:sz="0" w:space="0" w:color="auto"/>
          </w:divBdr>
        </w:div>
        <w:div w:id="2041200510">
          <w:marLeft w:val="0"/>
          <w:marRight w:val="0"/>
          <w:marTop w:val="0"/>
          <w:marBottom w:val="0"/>
          <w:divBdr>
            <w:top w:val="none" w:sz="0" w:space="0" w:color="auto"/>
            <w:left w:val="none" w:sz="0" w:space="0" w:color="auto"/>
            <w:bottom w:val="none" w:sz="0" w:space="0" w:color="auto"/>
            <w:right w:val="none" w:sz="0" w:space="0" w:color="auto"/>
          </w:divBdr>
        </w:div>
        <w:div w:id="2043826417">
          <w:marLeft w:val="0"/>
          <w:marRight w:val="0"/>
          <w:marTop w:val="0"/>
          <w:marBottom w:val="0"/>
          <w:divBdr>
            <w:top w:val="none" w:sz="0" w:space="0" w:color="auto"/>
            <w:left w:val="none" w:sz="0" w:space="0" w:color="auto"/>
            <w:bottom w:val="none" w:sz="0" w:space="0" w:color="auto"/>
            <w:right w:val="none" w:sz="0" w:space="0" w:color="auto"/>
          </w:divBdr>
        </w:div>
        <w:div w:id="2106924364">
          <w:marLeft w:val="0"/>
          <w:marRight w:val="0"/>
          <w:marTop w:val="0"/>
          <w:marBottom w:val="0"/>
          <w:divBdr>
            <w:top w:val="none" w:sz="0" w:space="0" w:color="auto"/>
            <w:left w:val="none" w:sz="0" w:space="0" w:color="auto"/>
            <w:bottom w:val="none" w:sz="0" w:space="0" w:color="auto"/>
            <w:right w:val="none" w:sz="0" w:space="0" w:color="auto"/>
          </w:divBdr>
        </w:div>
      </w:divsChild>
    </w:div>
    <w:div w:id="877741130">
      <w:bodyDiv w:val="1"/>
      <w:marLeft w:val="0"/>
      <w:marRight w:val="0"/>
      <w:marTop w:val="0"/>
      <w:marBottom w:val="0"/>
      <w:divBdr>
        <w:top w:val="none" w:sz="0" w:space="0" w:color="auto"/>
        <w:left w:val="none" w:sz="0" w:space="0" w:color="auto"/>
        <w:bottom w:val="none" w:sz="0" w:space="0" w:color="auto"/>
        <w:right w:val="none" w:sz="0" w:space="0" w:color="auto"/>
      </w:divBdr>
    </w:div>
    <w:div w:id="886600930">
      <w:bodyDiv w:val="1"/>
      <w:marLeft w:val="0"/>
      <w:marRight w:val="0"/>
      <w:marTop w:val="0"/>
      <w:marBottom w:val="0"/>
      <w:divBdr>
        <w:top w:val="none" w:sz="0" w:space="0" w:color="auto"/>
        <w:left w:val="none" w:sz="0" w:space="0" w:color="auto"/>
        <w:bottom w:val="none" w:sz="0" w:space="0" w:color="auto"/>
        <w:right w:val="none" w:sz="0" w:space="0" w:color="auto"/>
      </w:divBdr>
    </w:div>
    <w:div w:id="978218960">
      <w:bodyDiv w:val="1"/>
      <w:marLeft w:val="0"/>
      <w:marRight w:val="0"/>
      <w:marTop w:val="0"/>
      <w:marBottom w:val="0"/>
      <w:divBdr>
        <w:top w:val="none" w:sz="0" w:space="0" w:color="auto"/>
        <w:left w:val="none" w:sz="0" w:space="0" w:color="auto"/>
        <w:bottom w:val="none" w:sz="0" w:space="0" w:color="auto"/>
        <w:right w:val="none" w:sz="0" w:space="0" w:color="auto"/>
      </w:divBdr>
      <w:divsChild>
        <w:div w:id="320931238">
          <w:marLeft w:val="0"/>
          <w:marRight w:val="0"/>
          <w:marTop w:val="0"/>
          <w:marBottom w:val="0"/>
          <w:divBdr>
            <w:top w:val="none" w:sz="0" w:space="0" w:color="auto"/>
            <w:left w:val="none" w:sz="0" w:space="0" w:color="auto"/>
            <w:bottom w:val="none" w:sz="0" w:space="0" w:color="auto"/>
            <w:right w:val="none" w:sz="0" w:space="0" w:color="auto"/>
          </w:divBdr>
        </w:div>
        <w:div w:id="1040859417">
          <w:marLeft w:val="0"/>
          <w:marRight w:val="0"/>
          <w:marTop w:val="0"/>
          <w:marBottom w:val="0"/>
          <w:divBdr>
            <w:top w:val="none" w:sz="0" w:space="0" w:color="auto"/>
            <w:left w:val="none" w:sz="0" w:space="0" w:color="auto"/>
            <w:bottom w:val="none" w:sz="0" w:space="0" w:color="auto"/>
            <w:right w:val="none" w:sz="0" w:space="0" w:color="auto"/>
          </w:divBdr>
        </w:div>
        <w:div w:id="126244159">
          <w:marLeft w:val="0"/>
          <w:marRight w:val="0"/>
          <w:marTop w:val="0"/>
          <w:marBottom w:val="0"/>
          <w:divBdr>
            <w:top w:val="none" w:sz="0" w:space="0" w:color="auto"/>
            <w:left w:val="none" w:sz="0" w:space="0" w:color="auto"/>
            <w:bottom w:val="none" w:sz="0" w:space="0" w:color="auto"/>
            <w:right w:val="none" w:sz="0" w:space="0" w:color="auto"/>
          </w:divBdr>
        </w:div>
        <w:div w:id="2080863955">
          <w:marLeft w:val="0"/>
          <w:marRight w:val="0"/>
          <w:marTop w:val="0"/>
          <w:marBottom w:val="0"/>
          <w:divBdr>
            <w:top w:val="none" w:sz="0" w:space="0" w:color="auto"/>
            <w:left w:val="none" w:sz="0" w:space="0" w:color="auto"/>
            <w:bottom w:val="none" w:sz="0" w:space="0" w:color="auto"/>
            <w:right w:val="none" w:sz="0" w:space="0" w:color="auto"/>
          </w:divBdr>
        </w:div>
        <w:div w:id="441538413">
          <w:marLeft w:val="0"/>
          <w:marRight w:val="0"/>
          <w:marTop w:val="0"/>
          <w:marBottom w:val="0"/>
          <w:divBdr>
            <w:top w:val="none" w:sz="0" w:space="0" w:color="auto"/>
            <w:left w:val="none" w:sz="0" w:space="0" w:color="auto"/>
            <w:bottom w:val="none" w:sz="0" w:space="0" w:color="auto"/>
            <w:right w:val="none" w:sz="0" w:space="0" w:color="auto"/>
          </w:divBdr>
        </w:div>
        <w:div w:id="626545000">
          <w:marLeft w:val="0"/>
          <w:marRight w:val="0"/>
          <w:marTop w:val="0"/>
          <w:marBottom w:val="0"/>
          <w:divBdr>
            <w:top w:val="none" w:sz="0" w:space="0" w:color="auto"/>
            <w:left w:val="none" w:sz="0" w:space="0" w:color="auto"/>
            <w:bottom w:val="none" w:sz="0" w:space="0" w:color="auto"/>
            <w:right w:val="none" w:sz="0" w:space="0" w:color="auto"/>
          </w:divBdr>
        </w:div>
        <w:div w:id="293567009">
          <w:marLeft w:val="0"/>
          <w:marRight w:val="0"/>
          <w:marTop w:val="0"/>
          <w:marBottom w:val="0"/>
          <w:divBdr>
            <w:top w:val="none" w:sz="0" w:space="0" w:color="auto"/>
            <w:left w:val="none" w:sz="0" w:space="0" w:color="auto"/>
            <w:bottom w:val="none" w:sz="0" w:space="0" w:color="auto"/>
            <w:right w:val="none" w:sz="0" w:space="0" w:color="auto"/>
          </w:divBdr>
        </w:div>
        <w:div w:id="2105419833">
          <w:marLeft w:val="0"/>
          <w:marRight w:val="0"/>
          <w:marTop w:val="0"/>
          <w:marBottom w:val="0"/>
          <w:divBdr>
            <w:top w:val="none" w:sz="0" w:space="0" w:color="auto"/>
            <w:left w:val="none" w:sz="0" w:space="0" w:color="auto"/>
            <w:bottom w:val="none" w:sz="0" w:space="0" w:color="auto"/>
            <w:right w:val="none" w:sz="0" w:space="0" w:color="auto"/>
          </w:divBdr>
        </w:div>
        <w:div w:id="697966777">
          <w:marLeft w:val="0"/>
          <w:marRight w:val="0"/>
          <w:marTop w:val="0"/>
          <w:marBottom w:val="0"/>
          <w:divBdr>
            <w:top w:val="none" w:sz="0" w:space="0" w:color="auto"/>
            <w:left w:val="none" w:sz="0" w:space="0" w:color="auto"/>
            <w:bottom w:val="none" w:sz="0" w:space="0" w:color="auto"/>
            <w:right w:val="none" w:sz="0" w:space="0" w:color="auto"/>
          </w:divBdr>
        </w:div>
        <w:div w:id="1949968283">
          <w:marLeft w:val="0"/>
          <w:marRight w:val="0"/>
          <w:marTop w:val="0"/>
          <w:marBottom w:val="0"/>
          <w:divBdr>
            <w:top w:val="none" w:sz="0" w:space="0" w:color="auto"/>
            <w:left w:val="none" w:sz="0" w:space="0" w:color="auto"/>
            <w:bottom w:val="none" w:sz="0" w:space="0" w:color="auto"/>
            <w:right w:val="none" w:sz="0" w:space="0" w:color="auto"/>
          </w:divBdr>
        </w:div>
        <w:div w:id="118375644">
          <w:marLeft w:val="0"/>
          <w:marRight w:val="0"/>
          <w:marTop w:val="0"/>
          <w:marBottom w:val="0"/>
          <w:divBdr>
            <w:top w:val="none" w:sz="0" w:space="0" w:color="auto"/>
            <w:left w:val="none" w:sz="0" w:space="0" w:color="auto"/>
            <w:bottom w:val="none" w:sz="0" w:space="0" w:color="auto"/>
            <w:right w:val="none" w:sz="0" w:space="0" w:color="auto"/>
          </w:divBdr>
        </w:div>
        <w:div w:id="1190333564">
          <w:marLeft w:val="0"/>
          <w:marRight w:val="0"/>
          <w:marTop w:val="0"/>
          <w:marBottom w:val="0"/>
          <w:divBdr>
            <w:top w:val="none" w:sz="0" w:space="0" w:color="auto"/>
            <w:left w:val="none" w:sz="0" w:space="0" w:color="auto"/>
            <w:bottom w:val="none" w:sz="0" w:space="0" w:color="auto"/>
            <w:right w:val="none" w:sz="0" w:space="0" w:color="auto"/>
          </w:divBdr>
        </w:div>
        <w:div w:id="2084640302">
          <w:marLeft w:val="0"/>
          <w:marRight w:val="0"/>
          <w:marTop w:val="0"/>
          <w:marBottom w:val="0"/>
          <w:divBdr>
            <w:top w:val="none" w:sz="0" w:space="0" w:color="auto"/>
            <w:left w:val="none" w:sz="0" w:space="0" w:color="auto"/>
            <w:bottom w:val="none" w:sz="0" w:space="0" w:color="auto"/>
            <w:right w:val="none" w:sz="0" w:space="0" w:color="auto"/>
          </w:divBdr>
        </w:div>
        <w:div w:id="1802376829">
          <w:marLeft w:val="0"/>
          <w:marRight w:val="0"/>
          <w:marTop w:val="0"/>
          <w:marBottom w:val="0"/>
          <w:divBdr>
            <w:top w:val="none" w:sz="0" w:space="0" w:color="auto"/>
            <w:left w:val="none" w:sz="0" w:space="0" w:color="auto"/>
            <w:bottom w:val="none" w:sz="0" w:space="0" w:color="auto"/>
            <w:right w:val="none" w:sz="0" w:space="0" w:color="auto"/>
          </w:divBdr>
        </w:div>
        <w:div w:id="932931538">
          <w:marLeft w:val="0"/>
          <w:marRight w:val="0"/>
          <w:marTop w:val="0"/>
          <w:marBottom w:val="0"/>
          <w:divBdr>
            <w:top w:val="none" w:sz="0" w:space="0" w:color="auto"/>
            <w:left w:val="none" w:sz="0" w:space="0" w:color="auto"/>
            <w:bottom w:val="none" w:sz="0" w:space="0" w:color="auto"/>
            <w:right w:val="none" w:sz="0" w:space="0" w:color="auto"/>
          </w:divBdr>
        </w:div>
        <w:div w:id="2109735144">
          <w:marLeft w:val="0"/>
          <w:marRight w:val="0"/>
          <w:marTop w:val="0"/>
          <w:marBottom w:val="0"/>
          <w:divBdr>
            <w:top w:val="none" w:sz="0" w:space="0" w:color="auto"/>
            <w:left w:val="none" w:sz="0" w:space="0" w:color="auto"/>
            <w:bottom w:val="none" w:sz="0" w:space="0" w:color="auto"/>
            <w:right w:val="none" w:sz="0" w:space="0" w:color="auto"/>
          </w:divBdr>
        </w:div>
        <w:div w:id="961612240">
          <w:marLeft w:val="0"/>
          <w:marRight w:val="0"/>
          <w:marTop w:val="0"/>
          <w:marBottom w:val="0"/>
          <w:divBdr>
            <w:top w:val="none" w:sz="0" w:space="0" w:color="auto"/>
            <w:left w:val="none" w:sz="0" w:space="0" w:color="auto"/>
            <w:bottom w:val="none" w:sz="0" w:space="0" w:color="auto"/>
            <w:right w:val="none" w:sz="0" w:space="0" w:color="auto"/>
          </w:divBdr>
        </w:div>
        <w:div w:id="191194385">
          <w:marLeft w:val="0"/>
          <w:marRight w:val="0"/>
          <w:marTop w:val="0"/>
          <w:marBottom w:val="0"/>
          <w:divBdr>
            <w:top w:val="none" w:sz="0" w:space="0" w:color="auto"/>
            <w:left w:val="none" w:sz="0" w:space="0" w:color="auto"/>
            <w:bottom w:val="none" w:sz="0" w:space="0" w:color="auto"/>
            <w:right w:val="none" w:sz="0" w:space="0" w:color="auto"/>
          </w:divBdr>
        </w:div>
        <w:div w:id="1531256549">
          <w:marLeft w:val="0"/>
          <w:marRight w:val="0"/>
          <w:marTop w:val="0"/>
          <w:marBottom w:val="0"/>
          <w:divBdr>
            <w:top w:val="none" w:sz="0" w:space="0" w:color="auto"/>
            <w:left w:val="none" w:sz="0" w:space="0" w:color="auto"/>
            <w:bottom w:val="none" w:sz="0" w:space="0" w:color="auto"/>
            <w:right w:val="none" w:sz="0" w:space="0" w:color="auto"/>
          </w:divBdr>
        </w:div>
        <w:div w:id="1442719355">
          <w:marLeft w:val="0"/>
          <w:marRight w:val="0"/>
          <w:marTop w:val="0"/>
          <w:marBottom w:val="0"/>
          <w:divBdr>
            <w:top w:val="none" w:sz="0" w:space="0" w:color="auto"/>
            <w:left w:val="none" w:sz="0" w:space="0" w:color="auto"/>
            <w:bottom w:val="none" w:sz="0" w:space="0" w:color="auto"/>
            <w:right w:val="none" w:sz="0" w:space="0" w:color="auto"/>
          </w:divBdr>
        </w:div>
        <w:div w:id="1218054159">
          <w:marLeft w:val="0"/>
          <w:marRight w:val="0"/>
          <w:marTop w:val="0"/>
          <w:marBottom w:val="0"/>
          <w:divBdr>
            <w:top w:val="none" w:sz="0" w:space="0" w:color="auto"/>
            <w:left w:val="none" w:sz="0" w:space="0" w:color="auto"/>
            <w:bottom w:val="none" w:sz="0" w:space="0" w:color="auto"/>
            <w:right w:val="none" w:sz="0" w:space="0" w:color="auto"/>
          </w:divBdr>
        </w:div>
      </w:divsChild>
    </w:div>
    <w:div w:id="1066075620">
      <w:bodyDiv w:val="1"/>
      <w:marLeft w:val="0"/>
      <w:marRight w:val="0"/>
      <w:marTop w:val="0"/>
      <w:marBottom w:val="0"/>
      <w:divBdr>
        <w:top w:val="none" w:sz="0" w:space="0" w:color="auto"/>
        <w:left w:val="none" w:sz="0" w:space="0" w:color="auto"/>
        <w:bottom w:val="none" w:sz="0" w:space="0" w:color="auto"/>
        <w:right w:val="none" w:sz="0" w:space="0" w:color="auto"/>
      </w:divBdr>
      <w:divsChild>
        <w:div w:id="599528659">
          <w:marLeft w:val="0"/>
          <w:marRight w:val="0"/>
          <w:marTop w:val="0"/>
          <w:marBottom w:val="0"/>
          <w:divBdr>
            <w:top w:val="none" w:sz="0" w:space="0" w:color="auto"/>
            <w:left w:val="none" w:sz="0" w:space="0" w:color="auto"/>
            <w:bottom w:val="none" w:sz="0" w:space="0" w:color="auto"/>
            <w:right w:val="none" w:sz="0" w:space="0" w:color="auto"/>
          </w:divBdr>
        </w:div>
        <w:div w:id="1667200682">
          <w:marLeft w:val="0"/>
          <w:marRight w:val="0"/>
          <w:marTop w:val="0"/>
          <w:marBottom w:val="0"/>
          <w:divBdr>
            <w:top w:val="none" w:sz="0" w:space="0" w:color="auto"/>
            <w:left w:val="none" w:sz="0" w:space="0" w:color="auto"/>
            <w:bottom w:val="none" w:sz="0" w:space="0" w:color="auto"/>
            <w:right w:val="none" w:sz="0" w:space="0" w:color="auto"/>
          </w:divBdr>
        </w:div>
        <w:div w:id="96020456">
          <w:marLeft w:val="0"/>
          <w:marRight w:val="0"/>
          <w:marTop w:val="0"/>
          <w:marBottom w:val="0"/>
          <w:divBdr>
            <w:top w:val="none" w:sz="0" w:space="0" w:color="auto"/>
            <w:left w:val="none" w:sz="0" w:space="0" w:color="auto"/>
            <w:bottom w:val="none" w:sz="0" w:space="0" w:color="auto"/>
            <w:right w:val="none" w:sz="0" w:space="0" w:color="auto"/>
          </w:divBdr>
        </w:div>
        <w:div w:id="2143577275">
          <w:marLeft w:val="0"/>
          <w:marRight w:val="0"/>
          <w:marTop w:val="0"/>
          <w:marBottom w:val="0"/>
          <w:divBdr>
            <w:top w:val="none" w:sz="0" w:space="0" w:color="auto"/>
            <w:left w:val="none" w:sz="0" w:space="0" w:color="auto"/>
            <w:bottom w:val="none" w:sz="0" w:space="0" w:color="auto"/>
            <w:right w:val="none" w:sz="0" w:space="0" w:color="auto"/>
          </w:divBdr>
        </w:div>
        <w:div w:id="1859272244">
          <w:marLeft w:val="0"/>
          <w:marRight w:val="0"/>
          <w:marTop w:val="0"/>
          <w:marBottom w:val="0"/>
          <w:divBdr>
            <w:top w:val="none" w:sz="0" w:space="0" w:color="auto"/>
            <w:left w:val="none" w:sz="0" w:space="0" w:color="auto"/>
            <w:bottom w:val="none" w:sz="0" w:space="0" w:color="auto"/>
            <w:right w:val="none" w:sz="0" w:space="0" w:color="auto"/>
          </w:divBdr>
        </w:div>
        <w:div w:id="1878543951">
          <w:marLeft w:val="0"/>
          <w:marRight w:val="0"/>
          <w:marTop w:val="0"/>
          <w:marBottom w:val="0"/>
          <w:divBdr>
            <w:top w:val="none" w:sz="0" w:space="0" w:color="auto"/>
            <w:left w:val="none" w:sz="0" w:space="0" w:color="auto"/>
            <w:bottom w:val="none" w:sz="0" w:space="0" w:color="auto"/>
            <w:right w:val="none" w:sz="0" w:space="0" w:color="auto"/>
          </w:divBdr>
        </w:div>
        <w:div w:id="994456459">
          <w:marLeft w:val="0"/>
          <w:marRight w:val="0"/>
          <w:marTop w:val="0"/>
          <w:marBottom w:val="0"/>
          <w:divBdr>
            <w:top w:val="none" w:sz="0" w:space="0" w:color="auto"/>
            <w:left w:val="none" w:sz="0" w:space="0" w:color="auto"/>
            <w:bottom w:val="none" w:sz="0" w:space="0" w:color="auto"/>
            <w:right w:val="none" w:sz="0" w:space="0" w:color="auto"/>
          </w:divBdr>
        </w:div>
        <w:div w:id="1962763673">
          <w:marLeft w:val="0"/>
          <w:marRight w:val="0"/>
          <w:marTop w:val="0"/>
          <w:marBottom w:val="0"/>
          <w:divBdr>
            <w:top w:val="none" w:sz="0" w:space="0" w:color="auto"/>
            <w:left w:val="none" w:sz="0" w:space="0" w:color="auto"/>
            <w:bottom w:val="none" w:sz="0" w:space="0" w:color="auto"/>
            <w:right w:val="none" w:sz="0" w:space="0" w:color="auto"/>
          </w:divBdr>
        </w:div>
        <w:div w:id="842628513">
          <w:marLeft w:val="0"/>
          <w:marRight w:val="0"/>
          <w:marTop w:val="0"/>
          <w:marBottom w:val="0"/>
          <w:divBdr>
            <w:top w:val="none" w:sz="0" w:space="0" w:color="auto"/>
            <w:left w:val="none" w:sz="0" w:space="0" w:color="auto"/>
            <w:bottom w:val="none" w:sz="0" w:space="0" w:color="auto"/>
            <w:right w:val="none" w:sz="0" w:space="0" w:color="auto"/>
          </w:divBdr>
        </w:div>
        <w:div w:id="1103526258">
          <w:marLeft w:val="0"/>
          <w:marRight w:val="0"/>
          <w:marTop w:val="0"/>
          <w:marBottom w:val="0"/>
          <w:divBdr>
            <w:top w:val="none" w:sz="0" w:space="0" w:color="auto"/>
            <w:left w:val="none" w:sz="0" w:space="0" w:color="auto"/>
            <w:bottom w:val="none" w:sz="0" w:space="0" w:color="auto"/>
            <w:right w:val="none" w:sz="0" w:space="0" w:color="auto"/>
          </w:divBdr>
        </w:div>
        <w:div w:id="659769059">
          <w:marLeft w:val="0"/>
          <w:marRight w:val="0"/>
          <w:marTop w:val="0"/>
          <w:marBottom w:val="0"/>
          <w:divBdr>
            <w:top w:val="none" w:sz="0" w:space="0" w:color="auto"/>
            <w:left w:val="none" w:sz="0" w:space="0" w:color="auto"/>
            <w:bottom w:val="none" w:sz="0" w:space="0" w:color="auto"/>
            <w:right w:val="none" w:sz="0" w:space="0" w:color="auto"/>
          </w:divBdr>
        </w:div>
        <w:div w:id="331954245">
          <w:marLeft w:val="0"/>
          <w:marRight w:val="0"/>
          <w:marTop w:val="0"/>
          <w:marBottom w:val="0"/>
          <w:divBdr>
            <w:top w:val="none" w:sz="0" w:space="0" w:color="auto"/>
            <w:left w:val="none" w:sz="0" w:space="0" w:color="auto"/>
            <w:bottom w:val="none" w:sz="0" w:space="0" w:color="auto"/>
            <w:right w:val="none" w:sz="0" w:space="0" w:color="auto"/>
          </w:divBdr>
        </w:div>
        <w:div w:id="1225214062">
          <w:marLeft w:val="0"/>
          <w:marRight w:val="0"/>
          <w:marTop w:val="0"/>
          <w:marBottom w:val="0"/>
          <w:divBdr>
            <w:top w:val="none" w:sz="0" w:space="0" w:color="auto"/>
            <w:left w:val="none" w:sz="0" w:space="0" w:color="auto"/>
            <w:bottom w:val="none" w:sz="0" w:space="0" w:color="auto"/>
            <w:right w:val="none" w:sz="0" w:space="0" w:color="auto"/>
          </w:divBdr>
        </w:div>
        <w:div w:id="1242566620">
          <w:marLeft w:val="0"/>
          <w:marRight w:val="0"/>
          <w:marTop w:val="0"/>
          <w:marBottom w:val="0"/>
          <w:divBdr>
            <w:top w:val="none" w:sz="0" w:space="0" w:color="auto"/>
            <w:left w:val="none" w:sz="0" w:space="0" w:color="auto"/>
            <w:bottom w:val="none" w:sz="0" w:space="0" w:color="auto"/>
            <w:right w:val="none" w:sz="0" w:space="0" w:color="auto"/>
          </w:divBdr>
        </w:div>
        <w:div w:id="18315147">
          <w:marLeft w:val="0"/>
          <w:marRight w:val="0"/>
          <w:marTop w:val="0"/>
          <w:marBottom w:val="0"/>
          <w:divBdr>
            <w:top w:val="none" w:sz="0" w:space="0" w:color="auto"/>
            <w:left w:val="none" w:sz="0" w:space="0" w:color="auto"/>
            <w:bottom w:val="none" w:sz="0" w:space="0" w:color="auto"/>
            <w:right w:val="none" w:sz="0" w:space="0" w:color="auto"/>
          </w:divBdr>
        </w:div>
        <w:div w:id="965358721">
          <w:marLeft w:val="0"/>
          <w:marRight w:val="0"/>
          <w:marTop w:val="0"/>
          <w:marBottom w:val="0"/>
          <w:divBdr>
            <w:top w:val="none" w:sz="0" w:space="0" w:color="auto"/>
            <w:left w:val="none" w:sz="0" w:space="0" w:color="auto"/>
            <w:bottom w:val="none" w:sz="0" w:space="0" w:color="auto"/>
            <w:right w:val="none" w:sz="0" w:space="0" w:color="auto"/>
          </w:divBdr>
        </w:div>
      </w:divsChild>
    </w:div>
    <w:div w:id="1137990615">
      <w:bodyDiv w:val="1"/>
      <w:marLeft w:val="0"/>
      <w:marRight w:val="0"/>
      <w:marTop w:val="0"/>
      <w:marBottom w:val="0"/>
      <w:divBdr>
        <w:top w:val="none" w:sz="0" w:space="0" w:color="auto"/>
        <w:left w:val="none" w:sz="0" w:space="0" w:color="auto"/>
        <w:bottom w:val="none" w:sz="0" w:space="0" w:color="auto"/>
        <w:right w:val="none" w:sz="0" w:space="0" w:color="auto"/>
      </w:divBdr>
    </w:div>
    <w:div w:id="1144616515">
      <w:bodyDiv w:val="1"/>
      <w:marLeft w:val="0"/>
      <w:marRight w:val="0"/>
      <w:marTop w:val="0"/>
      <w:marBottom w:val="0"/>
      <w:divBdr>
        <w:top w:val="none" w:sz="0" w:space="0" w:color="auto"/>
        <w:left w:val="none" w:sz="0" w:space="0" w:color="auto"/>
        <w:bottom w:val="none" w:sz="0" w:space="0" w:color="auto"/>
        <w:right w:val="none" w:sz="0" w:space="0" w:color="auto"/>
      </w:divBdr>
      <w:divsChild>
        <w:div w:id="289895930">
          <w:marLeft w:val="0"/>
          <w:marRight w:val="0"/>
          <w:marTop w:val="0"/>
          <w:marBottom w:val="0"/>
          <w:divBdr>
            <w:top w:val="none" w:sz="0" w:space="0" w:color="auto"/>
            <w:left w:val="none" w:sz="0" w:space="0" w:color="auto"/>
            <w:bottom w:val="none" w:sz="0" w:space="0" w:color="auto"/>
            <w:right w:val="none" w:sz="0" w:space="0" w:color="auto"/>
          </w:divBdr>
        </w:div>
        <w:div w:id="383525452">
          <w:marLeft w:val="0"/>
          <w:marRight w:val="0"/>
          <w:marTop w:val="0"/>
          <w:marBottom w:val="0"/>
          <w:divBdr>
            <w:top w:val="none" w:sz="0" w:space="0" w:color="auto"/>
            <w:left w:val="none" w:sz="0" w:space="0" w:color="auto"/>
            <w:bottom w:val="none" w:sz="0" w:space="0" w:color="auto"/>
            <w:right w:val="none" w:sz="0" w:space="0" w:color="auto"/>
          </w:divBdr>
        </w:div>
        <w:div w:id="476998471">
          <w:marLeft w:val="0"/>
          <w:marRight w:val="0"/>
          <w:marTop w:val="0"/>
          <w:marBottom w:val="0"/>
          <w:divBdr>
            <w:top w:val="none" w:sz="0" w:space="0" w:color="auto"/>
            <w:left w:val="none" w:sz="0" w:space="0" w:color="auto"/>
            <w:bottom w:val="none" w:sz="0" w:space="0" w:color="auto"/>
            <w:right w:val="none" w:sz="0" w:space="0" w:color="auto"/>
          </w:divBdr>
        </w:div>
        <w:div w:id="682704647">
          <w:marLeft w:val="0"/>
          <w:marRight w:val="0"/>
          <w:marTop w:val="0"/>
          <w:marBottom w:val="0"/>
          <w:divBdr>
            <w:top w:val="none" w:sz="0" w:space="0" w:color="auto"/>
            <w:left w:val="none" w:sz="0" w:space="0" w:color="auto"/>
            <w:bottom w:val="none" w:sz="0" w:space="0" w:color="auto"/>
            <w:right w:val="none" w:sz="0" w:space="0" w:color="auto"/>
          </w:divBdr>
        </w:div>
        <w:div w:id="1532302345">
          <w:marLeft w:val="0"/>
          <w:marRight w:val="0"/>
          <w:marTop w:val="0"/>
          <w:marBottom w:val="0"/>
          <w:divBdr>
            <w:top w:val="none" w:sz="0" w:space="0" w:color="auto"/>
            <w:left w:val="none" w:sz="0" w:space="0" w:color="auto"/>
            <w:bottom w:val="none" w:sz="0" w:space="0" w:color="auto"/>
            <w:right w:val="none" w:sz="0" w:space="0" w:color="auto"/>
          </w:divBdr>
        </w:div>
      </w:divsChild>
    </w:div>
    <w:div w:id="1360158083">
      <w:bodyDiv w:val="1"/>
      <w:marLeft w:val="0"/>
      <w:marRight w:val="0"/>
      <w:marTop w:val="0"/>
      <w:marBottom w:val="0"/>
      <w:divBdr>
        <w:top w:val="none" w:sz="0" w:space="0" w:color="auto"/>
        <w:left w:val="none" w:sz="0" w:space="0" w:color="auto"/>
        <w:bottom w:val="none" w:sz="0" w:space="0" w:color="auto"/>
        <w:right w:val="none" w:sz="0" w:space="0" w:color="auto"/>
      </w:divBdr>
      <w:divsChild>
        <w:div w:id="2085645871">
          <w:marLeft w:val="0"/>
          <w:marRight w:val="0"/>
          <w:marTop w:val="0"/>
          <w:marBottom w:val="0"/>
          <w:divBdr>
            <w:top w:val="none" w:sz="0" w:space="0" w:color="auto"/>
            <w:left w:val="none" w:sz="0" w:space="0" w:color="auto"/>
            <w:bottom w:val="none" w:sz="0" w:space="0" w:color="auto"/>
            <w:right w:val="none" w:sz="0" w:space="0" w:color="auto"/>
          </w:divBdr>
          <w:divsChild>
            <w:div w:id="1874346309">
              <w:marLeft w:val="0"/>
              <w:marRight w:val="0"/>
              <w:marTop w:val="0"/>
              <w:marBottom w:val="0"/>
              <w:divBdr>
                <w:top w:val="none" w:sz="0" w:space="0" w:color="auto"/>
                <w:left w:val="none" w:sz="0" w:space="0" w:color="auto"/>
                <w:bottom w:val="none" w:sz="0" w:space="0" w:color="auto"/>
                <w:right w:val="none" w:sz="0" w:space="0" w:color="auto"/>
              </w:divBdr>
            </w:div>
          </w:divsChild>
        </w:div>
        <w:div w:id="1541891608">
          <w:marLeft w:val="0"/>
          <w:marRight w:val="0"/>
          <w:marTop w:val="0"/>
          <w:marBottom w:val="0"/>
          <w:divBdr>
            <w:top w:val="none" w:sz="0" w:space="0" w:color="auto"/>
            <w:left w:val="none" w:sz="0" w:space="0" w:color="auto"/>
            <w:bottom w:val="none" w:sz="0" w:space="0" w:color="auto"/>
            <w:right w:val="none" w:sz="0" w:space="0" w:color="auto"/>
          </w:divBdr>
          <w:divsChild>
            <w:div w:id="756751045">
              <w:marLeft w:val="0"/>
              <w:marRight w:val="0"/>
              <w:marTop w:val="0"/>
              <w:marBottom w:val="0"/>
              <w:divBdr>
                <w:top w:val="none" w:sz="0" w:space="0" w:color="auto"/>
                <w:left w:val="none" w:sz="0" w:space="0" w:color="auto"/>
                <w:bottom w:val="none" w:sz="0" w:space="0" w:color="auto"/>
                <w:right w:val="none" w:sz="0" w:space="0" w:color="auto"/>
              </w:divBdr>
              <w:divsChild>
                <w:div w:id="614599252">
                  <w:marLeft w:val="0"/>
                  <w:marRight w:val="0"/>
                  <w:marTop w:val="0"/>
                  <w:marBottom w:val="0"/>
                  <w:divBdr>
                    <w:top w:val="none" w:sz="0" w:space="0" w:color="auto"/>
                    <w:left w:val="none" w:sz="0" w:space="0" w:color="auto"/>
                    <w:bottom w:val="none" w:sz="0" w:space="0" w:color="auto"/>
                    <w:right w:val="none" w:sz="0" w:space="0" w:color="auto"/>
                  </w:divBdr>
                </w:div>
                <w:div w:id="1386760375">
                  <w:marLeft w:val="0"/>
                  <w:marRight w:val="0"/>
                  <w:marTop w:val="0"/>
                  <w:marBottom w:val="0"/>
                  <w:divBdr>
                    <w:top w:val="none" w:sz="0" w:space="0" w:color="auto"/>
                    <w:left w:val="none" w:sz="0" w:space="0" w:color="auto"/>
                    <w:bottom w:val="none" w:sz="0" w:space="0" w:color="auto"/>
                    <w:right w:val="none" w:sz="0" w:space="0" w:color="auto"/>
                  </w:divBdr>
                </w:div>
              </w:divsChild>
            </w:div>
            <w:div w:id="67965082">
              <w:marLeft w:val="0"/>
              <w:marRight w:val="0"/>
              <w:marTop w:val="0"/>
              <w:marBottom w:val="0"/>
              <w:divBdr>
                <w:top w:val="none" w:sz="0" w:space="0" w:color="auto"/>
                <w:left w:val="none" w:sz="0" w:space="0" w:color="auto"/>
                <w:bottom w:val="none" w:sz="0" w:space="0" w:color="auto"/>
                <w:right w:val="none" w:sz="0" w:space="0" w:color="auto"/>
              </w:divBdr>
            </w:div>
            <w:div w:id="1684818830">
              <w:marLeft w:val="0"/>
              <w:marRight w:val="0"/>
              <w:marTop w:val="0"/>
              <w:marBottom w:val="0"/>
              <w:divBdr>
                <w:top w:val="none" w:sz="0" w:space="0" w:color="auto"/>
                <w:left w:val="none" w:sz="0" w:space="0" w:color="auto"/>
                <w:bottom w:val="none" w:sz="0" w:space="0" w:color="auto"/>
                <w:right w:val="none" w:sz="0" w:space="0" w:color="auto"/>
              </w:divBdr>
            </w:div>
            <w:div w:id="819931783">
              <w:marLeft w:val="0"/>
              <w:marRight w:val="0"/>
              <w:marTop w:val="0"/>
              <w:marBottom w:val="0"/>
              <w:divBdr>
                <w:top w:val="none" w:sz="0" w:space="0" w:color="auto"/>
                <w:left w:val="none" w:sz="0" w:space="0" w:color="auto"/>
                <w:bottom w:val="none" w:sz="0" w:space="0" w:color="auto"/>
                <w:right w:val="none" w:sz="0" w:space="0" w:color="auto"/>
              </w:divBdr>
            </w:div>
            <w:div w:id="79717315">
              <w:marLeft w:val="0"/>
              <w:marRight w:val="0"/>
              <w:marTop w:val="0"/>
              <w:marBottom w:val="0"/>
              <w:divBdr>
                <w:top w:val="none" w:sz="0" w:space="0" w:color="auto"/>
                <w:left w:val="none" w:sz="0" w:space="0" w:color="auto"/>
                <w:bottom w:val="none" w:sz="0" w:space="0" w:color="auto"/>
                <w:right w:val="none" w:sz="0" w:space="0" w:color="auto"/>
              </w:divBdr>
            </w:div>
          </w:divsChild>
        </w:div>
        <w:div w:id="1019086867">
          <w:marLeft w:val="0"/>
          <w:marRight w:val="0"/>
          <w:marTop w:val="0"/>
          <w:marBottom w:val="0"/>
          <w:divBdr>
            <w:top w:val="none" w:sz="0" w:space="0" w:color="auto"/>
            <w:left w:val="none" w:sz="0" w:space="0" w:color="auto"/>
            <w:bottom w:val="none" w:sz="0" w:space="0" w:color="auto"/>
            <w:right w:val="none" w:sz="0" w:space="0" w:color="auto"/>
          </w:divBdr>
          <w:divsChild>
            <w:div w:id="1536456574">
              <w:marLeft w:val="0"/>
              <w:marRight w:val="0"/>
              <w:marTop w:val="0"/>
              <w:marBottom w:val="0"/>
              <w:divBdr>
                <w:top w:val="none" w:sz="0" w:space="0" w:color="auto"/>
                <w:left w:val="none" w:sz="0" w:space="0" w:color="auto"/>
                <w:bottom w:val="none" w:sz="0" w:space="0" w:color="auto"/>
                <w:right w:val="none" w:sz="0" w:space="0" w:color="auto"/>
              </w:divBdr>
            </w:div>
            <w:div w:id="1201474566">
              <w:marLeft w:val="0"/>
              <w:marRight w:val="0"/>
              <w:marTop w:val="0"/>
              <w:marBottom w:val="0"/>
              <w:divBdr>
                <w:top w:val="none" w:sz="0" w:space="0" w:color="auto"/>
                <w:left w:val="none" w:sz="0" w:space="0" w:color="auto"/>
                <w:bottom w:val="none" w:sz="0" w:space="0" w:color="auto"/>
                <w:right w:val="none" w:sz="0" w:space="0" w:color="auto"/>
              </w:divBdr>
            </w:div>
            <w:div w:id="116092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340556">
      <w:bodyDiv w:val="1"/>
      <w:marLeft w:val="0"/>
      <w:marRight w:val="0"/>
      <w:marTop w:val="0"/>
      <w:marBottom w:val="0"/>
      <w:divBdr>
        <w:top w:val="none" w:sz="0" w:space="0" w:color="auto"/>
        <w:left w:val="none" w:sz="0" w:space="0" w:color="auto"/>
        <w:bottom w:val="none" w:sz="0" w:space="0" w:color="auto"/>
        <w:right w:val="none" w:sz="0" w:space="0" w:color="auto"/>
      </w:divBdr>
    </w:div>
    <w:div w:id="1497039197">
      <w:bodyDiv w:val="1"/>
      <w:marLeft w:val="0"/>
      <w:marRight w:val="0"/>
      <w:marTop w:val="0"/>
      <w:marBottom w:val="0"/>
      <w:divBdr>
        <w:top w:val="none" w:sz="0" w:space="0" w:color="auto"/>
        <w:left w:val="none" w:sz="0" w:space="0" w:color="auto"/>
        <w:bottom w:val="none" w:sz="0" w:space="0" w:color="auto"/>
        <w:right w:val="none" w:sz="0" w:space="0" w:color="auto"/>
      </w:divBdr>
    </w:div>
    <w:div w:id="1561287005">
      <w:bodyDiv w:val="1"/>
      <w:marLeft w:val="0"/>
      <w:marRight w:val="0"/>
      <w:marTop w:val="0"/>
      <w:marBottom w:val="0"/>
      <w:divBdr>
        <w:top w:val="none" w:sz="0" w:space="0" w:color="auto"/>
        <w:left w:val="none" w:sz="0" w:space="0" w:color="auto"/>
        <w:bottom w:val="none" w:sz="0" w:space="0" w:color="auto"/>
        <w:right w:val="none" w:sz="0" w:space="0" w:color="auto"/>
      </w:divBdr>
      <w:divsChild>
        <w:div w:id="363558229">
          <w:marLeft w:val="0"/>
          <w:marRight w:val="0"/>
          <w:marTop w:val="0"/>
          <w:marBottom w:val="0"/>
          <w:divBdr>
            <w:top w:val="none" w:sz="0" w:space="0" w:color="auto"/>
            <w:left w:val="none" w:sz="0" w:space="0" w:color="auto"/>
            <w:bottom w:val="none" w:sz="0" w:space="0" w:color="auto"/>
            <w:right w:val="none" w:sz="0" w:space="0" w:color="auto"/>
          </w:divBdr>
        </w:div>
        <w:div w:id="2018194932">
          <w:marLeft w:val="0"/>
          <w:marRight w:val="0"/>
          <w:marTop w:val="0"/>
          <w:marBottom w:val="0"/>
          <w:divBdr>
            <w:top w:val="none" w:sz="0" w:space="0" w:color="auto"/>
            <w:left w:val="none" w:sz="0" w:space="0" w:color="auto"/>
            <w:bottom w:val="none" w:sz="0" w:space="0" w:color="auto"/>
            <w:right w:val="none" w:sz="0" w:space="0" w:color="auto"/>
          </w:divBdr>
        </w:div>
        <w:div w:id="1718970620">
          <w:marLeft w:val="0"/>
          <w:marRight w:val="0"/>
          <w:marTop w:val="0"/>
          <w:marBottom w:val="0"/>
          <w:divBdr>
            <w:top w:val="none" w:sz="0" w:space="0" w:color="auto"/>
            <w:left w:val="none" w:sz="0" w:space="0" w:color="auto"/>
            <w:bottom w:val="none" w:sz="0" w:space="0" w:color="auto"/>
            <w:right w:val="none" w:sz="0" w:space="0" w:color="auto"/>
          </w:divBdr>
        </w:div>
        <w:div w:id="1167209044">
          <w:marLeft w:val="0"/>
          <w:marRight w:val="0"/>
          <w:marTop w:val="0"/>
          <w:marBottom w:val="0"/>
          <w:divBdr>
            <w:top w:val="none" w:sz="0" w:space="0" w:color="auto"/>
            <w:left w:val="none" w:sz="0" w:space="0" w:color="auto"/>
            <w:bottom w:val="none" w:sz="0" w:space="0" w:color="auto"/>
            <w:right w:val="none" w:sz="0" w:space="0" w:color="auto"/>
          </w:divBdr>
        </w:div>
        <w:div w:id="1710303045">
          <w:marLeft w:val="0"/>
          <w:marRight w:val="0"/>
          <w:marTop w:val="0"/>
          <w:marBottom w:val="0"/>
          <w:divBdr>
            <w:top w:val="none" w:sz="0" w:space="0" w:color="auto"/>
            <w:left w:val="none" w:sz="0" w:space="0" w:color="auto"/>
            <w:bottom w:val="none" w:sz="0" w:space="0" w:color="auto"/>
            <w:right w:val="none" w:sz="0" w:space="0" w:color="auto"/>
          </w:divBdr>
        </w:div>
        <w:div w:id="549532197">
          <w:marLeft w:val="0"/>
          <w:marRight w:val="0"/>
          <w:marTop w:val="0"/>
          <w:marBottom w:val="0"/>
          <w:divBdr>
            <w:top w:val="none" w:sz="0" w:space="0" w:color="auto"/>
            <w:left w:val="none" w:sz="0" w:space="0" w:color="auto"/>
            <w:bottom w:val="none" w:sz="0" w:space="0" w:color="auto"/>
            <w:right w:val="none" w:sz="0" w:space="0" w:color="auto"/>
          </w:divBdr>
        </w:div>
        <w:div w:id="1007556730">
          <w:marLeft w:val="0"/>
          <w:marRight w:val="0"/>
          <w:marTop w:val="0"/>
          <w:marBottom w:val="0"/>
          <w:divBdr>
            <w:top w:val="none" w:sz="0" w:space="0" w:color="auto"/>
            <w:left w:val="none" w:sz="0" w:space="0" w:color="auto"/>
            <w:bottom w:val="none" w:sz="0" w:space="0" w:color="auto"/>
            <w:right w:val="none" w:sz="0" w:space="0" w:color="auto"/>
          </w:divBdr>
        </w:div>
        <w:div w:id="411124322">
          <w:marLeft w:val="0"/>
          <w:marRight w:val="0"/>
          <w:marTop w:val="0"/>
          <w:marBottom w:val="0"/>
          <w:divBdr>
            <w:top w:val="none" w:sz="0" w:space="0" w:color="auto"/>
            <w:left w:val="none" w:sz="0" w:space="0" w:color="auto"/>
            <w:bottom w:val="none" w:sz="0" w:space="0" w:color="auto"/>
            <w:right w:val="none" w:sz="0" w:space="0" w:color="auto"/>
          </w:divBdr>
        </w:div>
        <w:div w:id="1185627746">
          <w:marLeft w:val="0"/>
          <w:marRight w:val="0"/>
          <w:marTop w:val="0"/>
          <w:marBottom w:val="0"/>
          <w:divBdr>
            <w:top w:val="none" w:sz="0" w:space="0" w:color="auto"/>
            <w:left w:val="none" w:sz="0" w:space="0" w:color="auto"/>
            <w:bottom w:val="none" w:sz="0" w:space="0" w:color="auto"/>
            <w:right w:val="none" w:sz="0" w:space="0" w:color="auto"/>
          </w:divBdr>
        </w:div>
        <w:div w:id="1060253879">
          <w:marLeft w:val="0"/>
          <w:marRight w:val="0"/>
          <w:marTop w:val="0"/>
          <w:marBottom w:val="0"/>
          <w:divBdr>
            <w:top w:val="none" w:sz="0" w:space="0" w:color="auto"/>
            <w:left w:val="none" w:sz="0" w:space="0" w:color="auto"/>
            <w:bottom w:val="none" w:sz="0" w:space="0" w:color="auto"/>
            <w:right w:val="none" w:sz="0" w:space="0" w:color="auto"/>
          </w:divBdr>
        </w:div>
        <w:div w:id="1988583535">
          <w:marLeft w:val="0"/>
          <w:marRight w:val="0"/>
          <w:marTop w:val="0"/>
          <w:marBottom w:val="0"/>
          <w:divBdr>
            <w:top w:val="none" w:sz="0" w:space="0" w:color="auto"/>
            <w:left w:val="none" w:sz="0" w:space="0" w:color="auto"/>
            <w:bottom w:val="none" w:sz="0" w:space="0" w:color="auto"/>
            <w:right w:val="none" w:sz="0" w:space="0" w:color="auto"/>
          </w:divBdr>
        </w:div>
        <w:div w:id="620695745">
          <w:marLeft w:val="0"/>
          <w:marRight w:val="0"/>
          <w:marTop w:val="0"/>
          <w:marBottom w:val="0"/>
          <w:divBdr>
            <w:top w:val="none" w:sz="0" w:space="0" w:color="auto"/>
            <w:left w:val="none" w:sz="0" w:space="0" w:color="auto"/>
            <w:bottom w:val="none" w:sz="0" w:space="0" w:color="auto"/>
            <w:right w:val="none" w:sz="0" w:space="0" w:color="auto"/>
          </w:divBdr>
        </w:div>
        <w:div w:id="1306856901">
          <w:marLeft w:val="0"/>
          <w:marRight w:val="0"/>
          <w:marTop w:val="0"/>
          <w:marBottom w:val="0"/>
          <w:divBdr>
            <w:top w:val="none" w:sz="0" w:space="0" w:color="auto"/>
            <w:left w:val="none" w:sz="0" w:space="0" w:color="auto"/>
            <w:bottom w:val="none" w:sz="0" w:space="0" w:color="auto"/>
            <w:right w:val="none" w:sz="0" w:space="0" w:color="auto"/>
          </w:divBdr>
        </w:div>
        <w:div w:id="1391735434">
          <w:marLeft w:val="0"/>
          <w:marRight w:val="0"/>
          <w:marTop w:val="0"/>
          <w:marBottom w:val="0"/>
          <w:divBdr>
            <w:top w:val="none" w:sz="0" w:space="0" w:color="auto"/>
            <w:left w:val="none" w:sz="0" w:space="0" w:color="auto"/>
            <w:bottom w:val="none" w:sz="0" w:space="0" w:color="auto"/>
            <w:right w:val="none" w:sz="0" w:space="0" w:color="auto"/>
          </w:divBdr>
        </w:div>
      </w:divsChild>
    </w:div>
    <w:div w:id="1670516981">
      <w:bodyDiv w:val="1"/>
      <w:marLeft w:val="0"/>
      <w:marRight w:val="0"/>
      <w:marTop w:val="0"/>
      <w:marBottom w:val="0"/>
      <w:divBdr>
        <w:top w:val="none" w:sz="0" w:space="0" w:color="auto"/>
        <w:left w:val="none" w:sz="0" w:space="0" w:color="auto"/>
        <w:bottom w:val="none" w:sz="0" w:space="0" w:color="auto"/>
        <w:right w:val="none" w:sz="0" w:space="0" w:color="auto"/>
      </w:divBdr>
    </w:div>
    <w:div w:id="1728650226">
      <w:bodyDiv w:val="1"/>
      <w:marLeft w:val="0"/>
      <w:marRight w:val="0"/>
      <w:marTop w:val="0"/>
      <w:marBottom w:val="0"/>
      <w:divBdr>
        <w:top w:val="none" w:sz="0" w:space="0" w:color="auto"/>
        <w:left w:val="none" w:sz="0" w:space="0" w:color="auto"/>
        <w:bottom w:val="none" w:sz="0" w:space="0" w:color="auto"/>
        <w:right w:val="none" w:sz="0" w:space="0" w:color="auto"/>
      </w:divBdr>
    </w:div>
    <w:div w:id="1972398184">
      <w:bodyDiv w:val="1"/>
      <w:marLeft w:val="0"/>
      <w:marRight w:val="0"/>
      <w:marTop w:val="0"/>
      <w:marBottom w:val="0"/>
      <w:divBdr>
        <w:top w:val="none" w:sz="0" w:space="0" w:color="auto"/>
        <w:left w:val="none" w:sz="0" w:space="0" w:color="auto"/>
        <w:bottom w:val="none" w:sz="0" w:space="0" w:color="auto"/>
        <w:right w:val="none" w:sz="0" w:space="0" w:color="auto"/>
      </w:divBdr>
    </w:div>
    <w:div w:id="2142772185">
      <w:bodyDiv w:val="1"/>
      <w:marLeft w:val="0"/>
      <w:marRight w:val="0"/>
      <w:marTop w:val="0"/>
      <w:marBottom w:val="0"/>
      <w:divBdr>
        <w:top w:val="none" w:sz="0" w:space="0" w:color="auto"/>
        <w:left w:val="none" w:sz="0" w:space="0" w:color="auto"/>
        <w:bottom w:val="none" w:sz="0" w:space="0" w:color="auto"/>
        <w:right w:val="none" w:sz="0" w:space="0" w:color="auto"/>
      </w:divBdr>
      <w:divsChild>
        <w:div w:id="674842072">
          <w:marLeft w:val="0"/>
          <w:marRight w:val="0"/>
          <w:marTop w:val="0"/>
          <w:marBottom w:val="0"/>
          <w:divBdr>
            <w:top w:val="none" w:sz="0" w:space="0" w:color="auto"/>
            <w:left w:val="none" w:sz="0" w:space="0" w:color="auto"/>
            <w:bottom w:val="none" w:sz="0" w:space="0" w:color="auto"/>
            <w:right w:val="none" w:sz="0" w:space="0" w:color="auto"/>
          </w:divBdr>
        </w:div>
        <w:div w:id="401147891">
          <w:marLeft w:val="0"/>
          <w:marRight w:val="0"/>
          <w:marTop w:val="0"/>
          <w:marBottom w:val="0"/>
          <w:divBdr>
            <w:top w:val="none" w:sz="0" w:space="0" w:color="auto"/>
            <w:left w:val="none" w:sz="0" w:space="0" w:color="auto"/>
            <w:bottom w:val="none" w:sz="0" w:space="0" w:color="auto"/>
            <w:right w:val="none" w:sz="0" w:space="0" w:color="auto"/>
          </w:divBdr>
        </w:div>
        <w:div w:id="1945071811">
          <w:marLeft w:val="0"/>
          <w:marRight w:val="0"/>
          <w:marTop w:val="0"/>
          <w:marBottom w:val="0"/>
          <w:divBdr>
            <w:top w:val="none" w:sz="0" w:space="0" w:color="auto"/>
            <w:left w:val="none" w:sz="0" w:space="0" w:color="auto"/>
            <w:bottom w:val="none" w:sz="0" w:space="0" w:color="auto"/>
            <w:right w:val="none" w:sz="0" w:space="0" w:color="auto"/>
          </w:divBdr>
        </w:div>
        <w:div w:id="41757839">
          <w:marLeft w:val="0"/>
          <w:marRight w:val="0"/>
          <w:marTop w:val="0"/>
          <w:marBottom w:val="0"/>
          <w:divBdr>
            <w:top w:val="none" w:sz="0" w:space="0" w:color="auto"/>
            <w:left w:val="none" w:sz="0" w:space="0" w:color="auto"/>
            <w:bottom w:val="none" w:sz="0" w:space="0" w:color="auto"/>
            <w:right w:val="none" w:sz="0" w:space="0" w:color="auto"/>
          </w:divBdr>
        </w:div>
        <w:div w:id="1897546780">
          <w:marLeft w:val="0"/>
          <w:marRight w:val="0"/>
          <w:marTop w:val="0"/>
          <w:marBottom w:val="0"/>
          <w:divBdr>
            <w:top w:val="none" w:sz="0" w:space="0" w:color="auto"/>
            <w:left w:val="none" w:sz="0" w:space="0" w:color="auto"/>
            <w:bottom w:val="none" w:sz="0" w:space="0" w:color="auto"/>
            <w:right w:val="none" w:sz="0" w:space="0" w:color="auto"/>
          </w:divBdr>
        </w:div>
        <w:div w:id="78914288">
          <w:marLeft w:val="0"/>
          <w:marRight w:val="0"/>
          <w:marTop w:val="0"/>
          <w:marBottom w:val="0"/>
          <w:divBdr>
            <w:top w:val="none" w:sz="0" w:space="0" w:color="auto"/>
            <w:left w:val="none" w:sz="0" w:space="0" w:color="auto"/>
            <w:bottom w:val="none" w:sz="0" w:space="0" w:color="auto"/>
            <w:right w:val="none" w:sz="0" w:space="0" w:color="auto"/>
          </w:divBdr>
        </w:div>
        <w:div w:id="18538351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6.gif"/><Relationship Id="rId39" Type="http://schemas.openxmlformats.org/officeDocument/2006/relationships/footer" Target="footer13.xml"/><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footer" Target="footer9.xml"/><Relationship Id="rId42" Type="http://schemas.openxmlformats.org/officeDocument/2006/relationships/footer" Target="footer1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5.gif"/><Relationship Id="rId33" Type="http://schemas.openxmlformats.org/officeDocument/2006/relationships/footer" Target="footer8.xml"/><Relationship Id="rId38" Type="http://schemas.openxmlformats.org/officeDocument/2006/relationships/footer" Target="footer12.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1.png"/><Relationship Id="rId29" Type="http://schemas.openxmlformats.org/officeDocument/2006/relationships/hyperlink" Target="http://www.lexis.com/research/buttonTFLink?_m=ace225b1faa0dfea6840df9ae7f77290&amp;_xfercite=%3ccite%20cc%3d%22USA%22%3e%3c%21%5bCDATA%5b2010%20Cal.%20PUC%20LEXIS%20333%5d%5d%3e%3c%2fcite%3e&amp;_butType=4&amp;_butStat=0&amp;_butNum=4&amp;_butInline=1&amp;_butinfo=14%20CA%20ADMIN%2015000&amp;_fmtstr=FULL&amp;docnum=14&amp;_startdoc=11&amp;wchp=dGLzVzb-zSkAb&amp;_md5=bfb1a222b477eb8e3b868e5968ed5af3" TargetMode="External"/><Relationship Id="rId41"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32" Type="http://schemas.openxmlformats.org/officeDocument/2006/relationships/footer" Target="footer7.xml"/><Relationship Id="rId37" Type="http://schemas.openxmlformats.org/officeDocument/2006/relationships/footer" Target="footer11.xml"/><Relationship Id="rId40" Type="http://schemas.openxmlformats.org/officeDocument/2006/relationships/footer" Target="footer1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hyperlink" Target="http://www.lexis.com/research/buttonTFLink?_m=ace225b1faa0dfea6840df9ae7f77290&amp;_xfercite=%3ccite%20cc%3d%22USA%22%3e%3c%21%5bCDATA%5b2010%20Cal.%20PUC%20LEXIS%20333%5d%5d%3e%3c%2fcite%3e&amp;_butType=4&amp;_butStat=0&amp;_butNum=4&amp;_butInline=1&amp;_butinfo=14%20CA%20ADMIN%2015000&amp;_fmtstr=FULL&amp;docnum=14&amp;_startdoc=11&amp;wchp=dGLzVzb-zSkAb&amp;_md5=bfb1a222b477eb8e3b868e5968ed5af3" TargetMode="External"/><Relationship Id="rId36" Type="http://schemas.openxmlformats.org/officeDocument/2006/relationships/header" Target="header7.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yperlink" Target="http://www.lexis.com/research/buttonTFLink?_m=ace225b1faa0dfea6840df9ae7f77290&amp;_xfercite=%3ccite%20cc%3d%22USA%22%3e%3c%21%5bCDATA%5b2010%20Cal.%20PUC%20LEXIS%20333%5d%5d%3e%3c%2fcite%3e&amp;_butType=4&amp;_butStat=0&amp;_butNum=4&amp;_butInline=1&amp;_butinfo=14%20CA%20ADMIN%2015000&amp;_fmtstr=FULL&amp;docnum=14&amp;_startdoc=11&amp;wchp=dGLzVzb-zSkAb&amp;_md5=bfb1a222b477eb8e3b868e5968ed5af3" TargetMode="External"/><Relationship Id="rId44"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hyperlink" Target="http://www.lexis.com/research/buttonTFLink?_m=ace225b1faa0dfea6840df9ae7f77290&amp;_xfercite=%3ccite%20cc%3d%22USA%22%3e%3c%21%5bCDATA%5b2010%20Cal.%20PUC%20LEXIS%20333%5d%5d%3e%3c%2fcite%3e&amp;_butType=4&amp;_butStat=0&amp;_butNum=4&amp;_butInline=1&amp;_butinfo=14%20CA%20ADMIN%2015000&amp;_fmtstr=FULL&amp;docnum=14&amp;_startdoc=11&amp;wchp=dGLzVzb-zSkAb&amp;_md5=bfb1a222b477eb8e3b868e5968ed5af3" TargetMode="External"/><Relationship Id="rId30" Type="http://schemas.openxmlformats.org/officeDocument/2006/relationships/hyperlink" Target="http://www.lexis.com/research/buttonTFLink?_m=ace225b1faa0dfea6840df9ae7f77290&amp;_xfercite=%3ccite%20cc%3d%22USA%22%3e%3c%21%5bCDATA%5b2010%20Cal.%20PUC%20LEXIS%20333%5d%5d%3e%3c%2fcite%3e&amp;_butType=4&amp;_butStat=0&amp;_butNum=4&amp;_butInline=1&amp;_butinfo=14%20CA%20ADMIN%2015000&amp;_fmtstr=FULL&amp;docnum=14&amp;_startdoc=11&amp;wchp=dGLzVzb-zSkAb&amp;_md5=bfb1a222b477eb8e3b868e5968ed5af3" TargetMode="External"/><Relationship Id="rId35" Type="http://schemas.openxmlformats.org/officeDocument/2006/relationships/footer" Target="footer10.xml"/><Relationship Id="rId43" Type="http://schemas.openxmlformats.org/officeDocument/2006/relationships/image" Target="media/image5.emf"/></Relationships>
</file>

<file path=word/_rels/footnotes.xml.rels><?xml version="1.0" encoding="UTF-8" standalone="yes"?>
<Relationships xmlns="http://schemas.openxmlformats.org/package/2006/relationships"><Relationship Id="rId3" Type="http://schemas.openxmlformats.org/officeDocument/2006/relationships/hyperlink" Target="http://www.lexis.com/research/buttonTFLink?_m=ace225b1faa0dfea6840df9ae7f77290&amp;_xfercite=%3ccite%20cc%3d%22USA%22%3e%3c%21%5bCDATA%5b2010%20Cal.%20PUC%20LEXIS%20333%5d%5d%3e%3c%2fcite%3e&amp;_butType=4&amp;_butStat=0&amp;_butNum=4&amp;_butInline=1&amp;_butinfo=14%20CA%20ADMIN%2015000&amp;_fmtstr=FULL&amp;docnum=14&amp;_startdoc=11&amp;wchp=dGLzVzb-zSkAb&amp;_md5=bfb1a222b477eb8e3b868e5968ed5af3" TargetMode="External"/><Relationship Id="rId2" Type="http://schemas.openxmlformats.org/officeDocument/2006/relationships/hyperlink" Target="http://www.lexis.com/research/buttonTFLink?_m=843f41e5997dd8f4d83066b4f6a9fa19&amp;_xfercite=%3ccite%20cc%3d%22USA%22%3e%3c%21%5bCDATA%5b2010%20Cal.%20PUC%20LEXIS%20401%5d%5d%3e%3c%2fcite%3e&amp;_butType=4&amp;_butStat=0&amp;_butNum=3&amp;_butInline=1&amp;_butinfo=CA%20PUB%20RES%2021000&amp;_fmtstr=FULL&amp;docnum=4&amp;_startdoc=1&amp;wchp=dGLzVzb-zSkAb&amp;_md5=a71881c6cc1886c07a6322c5458a5df9" TargetMode="External"/><Relationship Id="rId1" Type="http://schemas.openxmlformats.org/officeDocument/2006/relationships/hyperlink" Target="https://transition.fcc.gov/Bureaus/Engineering_Technology/Documents/bulletins/oet65/oet6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48473</Words>
  <Characters>276302</Characters>
  <Application>Microsoft Office Word</Application>
  <DocSecurity>0</DocSecurity>
  <Lines>2302</Lines>
  <Paragraphs>648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324127</CharactersWithSpaces>
  <SharedDoc>false</SharedDoc>
  <HyperlinkBase> </HyperlinkBase>
  <HLinks>
    <vt:vector size="18" baseType="variant">
      <vt:variant>
        <vt:i4>5374011</vt:i4>
      </vt:variant>
      <vt:variant>
        <vt:i4>108</vt:i4>
      </vt:variant>
      <vt:variant>
        <vt:i4>0</vt:i4>
      </vt:variant>
      <vt:variant>
        <vt:i4>5</vt:i4>
      </vt:variant>
      <vt:variant>
        <vt:lpwstr>mailto:public.advisor.la@cpuc.ca.gov</vt:lpwstr>
      </vt:variant>
      <vt:variant>
        <vt:lpwstr/>
      </vt:variant>
      <vt:variant>
        <vt:i4>2359320</vt:i4>
      </vt:variant>
      <vt:variant>
        <vt:i4>105</vt:i4>
      </vt:variant>
      <vt:variant>
        <vt:i4>0</vt:i4>
      </vt:variant>
      <vt:variant>
        <vt:i4>5</vt:i4>
      </vt:variant>
      <vt:variant>
        <vt:lpwstr>mailto:public.advisor@cpuc.ca.gov</vt:lpwstr>
      </vt:variant>
      <vt:variant>
        <vt:lpwstr/>
      </vt:variant>
      <vt:variant>
        <vt:i4>8257606</vt:i4>
      </vt:variant>
      <vt:variant>
        <vt:i4>102</vt:i4>
      </vt:variant>
      <vt:variant>
        <vt:i4>0</vt:i4>
      </vt:variant>
      <vt:variant>
        <vt:i4>5</vt:i4>
      </vt:variant>
      <vt:variant>
        <vt:lpwstr>mailto:efile-help@cpuc.ca.gov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2012-01-09T20:48:00Z</cp:lastPrinted>
  <dcterms:created xsi:type="dcterms:W3CDTF">2015-12-01T21:49:00Z</dcterms:created>
  <dcterms:modified xsi:type="dcterms:W3CDTF">2015-12-01T21:49:00Z</dcterms:modified>
  <cp:category> </cp:category>
  <cp:contentStatus> </cp:contentStatus>
</cp:coreProperties>
</file>