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5F18B" w14:textId="77777777" w:rsidR="00705F19" w:rsidRDefault="00705F19" w:rsidP="00705F19">
      <w:pPr>
        <w:pStyle w:val="titlebar"/>
        <w:rPr>
          <w:sz w:val="24"/>
        </w:rPr>
      </w:pPr>
      <w:bookmarkStart w:id="0" w:name="_GoBack"/>
      <w:bookmarkEnd w:id="0"/>
      <w:r>
        <w:rPr>
          <w:sz w:val="24"/>
        </w:rPr>
        <w:t xml:space="preserve">PUBLIC UTILITIES COMMISSION OF THE STATE OF </w:t>
      </w:r>
      <w:smartTag w:uri="urn:schemas-microsoft-com:office:smarttags" w:element="State">
        <w:smartTag w:uri="urn:schemas-microsoft-com:office:smarttags" w:element="PostalCode">
          <w:r>
            <w:rPr>
              <w:sz w:val="24"/>
            </w:rPr>
            <w:t>CALIFORNIA</w:t>
          </w:r>
        </w:smartTag>
      </w:smartTag>
    </w:p>
    <w:p w14:paraId="365A416F" w14:textId="358FEEBD" w:rsidR="00732A92" w:rsidRPr="00732A92" w:rsidRDefault="0015677D" w:rsidP="00705F19">
      <w:pPr>
        <w:suppressAutoHyphens/>
        <w:rPr>
          <w:b/>
        </w:rPr>
      </w:pPr>
      <w:r>
        <w:tab/>
      </w:r>
      <w:r>
        <w:tab/>
      </w:r>
      <w:r>
        <w:tab/>
      </w:r>
      <w:r>
        <w:tab/>
      </w:r>
      <w:r>
        <w:tab/>
      </w:r>
      <w:r>
        <w:tab/>
      </w:r>
      <w:r>
        <w:tab/>
      </w:r>
      <w:r>
        <w:tab/>
      </w:r>
      <w:r>
        <w:tab/>
        <w:t xml:space="preserve">         </w:t>
      </w:r>
      <w:r w:rsidR="00732A92">
        <w:t xml:space="preserve">  </w:t>
      </w:r>
    </w:p>
    <w:p w14:paraId="57F5F18C" w14:textId="2644FC98" w:rsidR="00705F19" w:rsidRPr="00157BF0" w:rsidRDefault="00705F19" w:rsidP="002505E6">
      <w:pPr>
        <w:suppressAutoHyphens/>
        <w:ind w:left="6480" w:firstLine="720"/>
        <w:rPr>
          <w:b/>
          <w:sz w:val="24"/>
          <w:szCs w:val="24"/>
        </w:rPr>
      </w:pPr>
    </w:p>
    <w:p w14:paraId="57F5F18D" w14:textId="6636A108" w:rsidR="00705F19" w:rsidRDefault="00705F19" w:rsidP="00705F19">
      <w:pPr>
        <w:rPr>
          <w:b/>
          <w:sz w:val="24"/>
        </w:rPr>
      </w:pPr>
      <w:r>
        <w:rPr>
          <w:b/>
          <w:sz w:val="24"/>
        </w:rPr>
        <w:t>ENERGY DIVISION</w:t>
      </w:r>
      <w:r>
        <w:rPr>
          <w:b/>
          <w:sz w:val="24"/>
        </w:rPr>
        <w:tab/>
      </w:r>
      <w:r>
        <w:rPr>
          <w:b/>
          <w:sz w:val="24"/>
        </w:rPr>
        <w:tab/>
      </w:r>
      <w:r>
        <w:rPr>
          <w:b/>
          <w:sz w:val="24"/>
        </w:rPr>
        <w:tab/>
      </w:r>
      <w:r>
        <w:rPr>
          <w:b/>
          <w:sz w:val="24"/>
        </w:rPr>
        <w:tab/>
      </w:r>
      <w:r>
        <w:rPr>
          <w:b/>
          <w:sz w:val="24"/>
        </w:rPr>
        <w:tab/>
      </w:r>
      <w:r w:rsidR="002505E6">
        <w:rPr>
          <w:b/>
          <w:sz w:val="24"/>
        </w:rPr>
        <w:tab/>
        <w:t xml:space="preserve">  </w:t>
      </w:r>
      <w:r>
        <w:rPr>
          <w:b/>
          <w:sz w:val="24"/>
        </w:rPr>
        <w:t>RESOLUTION G-3510</w:t>
      </w:r>
    </w:p>
    <w:p w14:paraId="57F5F18E" w14:textId="3B542479" w:rsidR="00705F19" w:rsidRDefault="00705F19" w:rsidP="002505E6">
      <w:pPr>
        <w:tabs>
          <w:tab w:val="right" w:pos="9000"/>
        </w:tabs>
        <w:ind w:left="1440" w:firstLine="720"/>
        <w:rPr>
          <w:b/>
          <w:sz w:val="24"/>
        </w:rPr>
      </w:pPr>
      <w:r>
        <w:rPr>
          <w:b/>
          <w:sz w:val="24"/>
        </w:rPr>
        <w:tab/>
      </w:r>
      <w:r w:rsidR="00370A47">
        <w:rPr>
          <w:b/>
          <w:sz w:val="24"/>
        </w:rPr>
        <w:t>December 3, 2015</w:t>
      </w:r>
    </w:p>
    <w:p w14:paraId="57F5F18F" w14:textId="77777777" w:rsidR="00705F19" w:rsidRDefault="00705F19" w:rsidP="00705F19">
      <w:pPr>
        <w:tabs>
          <w:tab w:val="right" w:pos="8910"/>
        </w:tabs>
        <w:ind w:left="1440" w:firstLine="720"/>
        <w:rPr>
          <w:b/>
          <w:sz w:val="24"/>
        </w:rPr>
      </w:pPr>
    </w:p>
    <w:p w14:paraId="57F5F190" w14:textId="77777777" w:rsidR="00705F19" w:rsidRDefault="00705F19" w:rsidP="00705F19">
      <w:pPr>
        <w:pStyle w:val="mainex"/>
        <w:rPr>
          <w:u w:val="single"/>
        </w:rPr>
      </w:pPr>
      <w:bookmarkStart w:id="1" w:name="_Ref404993683"/>
      <w:r>
        <w:rPr>
          <w:u w:val="single"/>
        </w:rPr>
        <w:t>RESOLUTION</w:t>
      </w:r>
    </w:p>
    <w:p w14:paraId="57F5F191" w14:textId="77777777" w:rsidR="00705F19" w:rsidRDefault="00705F19" w:rsidP="00705F19"/>
    <w:p w14:paraId="57F5F192" w14:textId="77777777" w:rsidR="00705F19" w:rsidRDefault="00705F19" w:rsidP="00705F19">
      <w:pPr>
        <w:pStyle w:val="Res-Caption"/>
      </w:pPr>
      <w:r>
        <w:t xml:space="preserve">Resolution G-3510.  </w:t>
      </w:r>
      <w:r w:rsidR="00AC6165">
        <w:t>PG&amp;E</w:t>
      </w:r>
      <w:r>
        <w:t xml:space="preserve">, </w:t>
      </w:r>
      <w:r w:rsidR="00AC6165">
        <w:t>SCE</w:t>
      </w:r>
      <w:r>
        <w:t xml:space="preserve">, </w:t>
      </w:r>
      <w:r w:rsidR="00AC6165">
        <w:t>SoCalGas, and SDG&amp;E</w:t>
      </w:r>
      <w:r>
        <w:t xml:space="preserve"> </w:t>
      </w:r>
      <w:r w:rsidR="00765D91">
        <w:t xml:space="preserve">addressing </w:t>
      </w:r>
      <w:r>
        <w:t xml:space="preserve">approval of </w:t>
      </w:r>
      <w:r w:rsidR="00765D91">
        <w:t xml:space="preserve">Energy Efficiency </w:t>
      </w:r>
      <w:r w:rsidR="00AC6165">
        <w:t xml:space="preserve">(EE) </w:t>
      </w:r>
      <w:r w:rsidR="00765D91">
        <w:t xml:space="preserve">Incentive awards for program year </w:t>
      </w:r>
      <w:r w:rsidR="00AC6165">
        <w:t xml:space="preserve">(PY) </w:t>
      </w:r>
      <w:r w:rsidR="00765D91">
        <w:t>2013</w:t>
      </w:r>
      <w:r w:rsidR="00765D91" w:rsidRPr="00765D91">
        <w:t xml:space="preserve"> </w:t>
      </w:r>
      <w:r w:rsidR="00AC6165">
        <w:t xml:space="preserve">and </w:t>
      </w:r>
      <w:r>
        <w:t>2014</w:t>
      </w:r>
      <w:r w:rsidR="00907C1B">
        <w:t>.</w:t>
      </w:r>
    </w:p>
    <w:p w14:paraId="57F5F193" w14:textId="77777777" w:rsidR="00705F19" w:rsidRDefault="00705F19" w:rsidP="00705F19">
      <w:pPr>
        <w:pStyle w:val="Res-Caption"/>
      </w:pPr>
    </w:p>
    <w:p w14:paraId="57F5F194" w14:textId="77777777" w:rsidR="00705F19" w:rsidRDefault="00705F19" w:rsidP="00705F19">
      <w:pPr>
        <w:pStyle w:val="Res-Caption"/>
        <w:rPr>
          <w:rFonts w:ascii="Palatino Linotype" w:hAnsi="Palatino Linotype"/>
        </w:rPr>
      </w:pPr>
      <w:r w:rsidRPr="006B05EE">
        <w:t>PROPOSED OUTCOME</w:t>
      </w:r>
      <w:r>
        <w:rPr>
          <w:rFonts w:ascii="Palatino Linotype" w:hAnsi="Palatino Linotype"/>
        </w:rPr>
        <w:t xml:space="preserve">: </w:t>
      </w:r>
    </w:p>
    <w:p w14:paraId="57F5F195" w14:textId="77777777" w:rsidR="00705F19" w:rsidRPr="00BF0662" w:rsidRDefault="00705F19" w:rsidP="00705F19">
      <w:pPr>
        <w:pStyle w:val="Res-Caption"/>
        <w:numPr>
          <w:ilvl w:val="0"/>
          <w:numId w:val="7"/>
        </w:numPr>
        <w:spacing w:after="120"/>
      </w:pPr>
      <w:r w:rsidRPr="00BF0662">
        <w:t>Approve</w:t>
      </w:r>
      <w:r w:rsidR="00341EE4">
        <w:t>s</w:t>
      </w:r>
      <w:r w:rsidRPr="00BF0662">
        <w:t xml:space="preserve"> PG&amp;E</w:t>
      </w:r>
      <w:r w:rsidR="00341EE4">
        <w:t>, SCE, SoCalGas, and SDG&amp;E’s</w:t>
      </w:r>
      <w:r w:rsidRPr="00BF0662">
        <w:t xml:space="preserve"> </w:t>
      </w:r>
      <w:r w:rsidR="00AC6165">
        <w:t>EE</w:t>
      </w:r>
      <w:r w:rsidRPr="00BF0662">
        <w:t xml:space="preserve"> Incentive award for </w:t>
      </w:r>
      <w:r w:rsidR="00AC6165">
        <w:t>PY</w:t>
      </w:r>
      <w:r w:rsidRPr="00BF0662">
        <w:t xml:space="preserve"> 2014</w:t>
      </w:r>
      <w:r w:rsidR="0078095C">
        <w:t xml:space="preserve"> </w:t>
      </w:r>
      <w:r w:rsidR="00EA2D80">
        <w:t xml:space="preserve">and for </w:t>
      </w:r>
      <w:r w:rsidR="00AC6165">
        <w:t>PY 2013. PY</w:t>
      </w:r>
      <w:r w:rsidRPr="00BF0662">
        <w:t xml:space="preserve"> 2014 incentive award should be approved as calculated by Commission staff.</w:t>
      </w:r>
      <w:r w:rsidR="00EA2D80">
        <w:t xml:space="preserve">  </w:t>
      </w:r>
      <w:r w:rsidR="00AC6165">
        <w:t>PY</w:t>
      </w:r>
      <w:r w:rsidR="008B1CDD">
        <w:t xml:space="preserve"> 2013 </w:t>
      </w:r>
      <w:r w:rsidR="00EA2D80">
        <w:t xml:space="preserve">incentive award </w:t>
      </w:r>
      <w:r w:rsidR="008B1CDD">
        <w:t>should be approved as calculated in the advice letter filing.</w:t>
      </w:r>
    </w:p>
    <w:p w14:paraId="57F5F196" w14:textId="77777777" w:rsidR="00AF14D9" w:rsidRPr="00BF0662" w:rsidRDefault="00AF14D9" w:rsidP="00E67751">
      <w:pPr>
        <w:pStyle w:val="Res-Caption"/>
        <w:numPr>
          <w:ilvl w:val="0"/>
          <w:numId w:val="7"/>
        </w:numPr>
      </w:pPr>
      <w:r>
        <w:t>Address</w:t>
      </w:r>
      <w:r w:rsidR="00341EE4">
        <w:t>es</w:t>
      </w:r>
      <w:r>
        <w:t xml:space="preserve"> the </w:t>
      </w:r>
      <w:r w:rsidRPr="005D4460">
        <w:t>definition of “hard-to-reach” in a subsequent phase of the Energy Efficiency proceeding R.13-11-005.</w:t>
      </w:r>
    </w:p>
    <w:p w14:paraId="57F5F197" w14:textId="77777777" w:rsidR="00705F19" w:rsidRDefault="00705F19" w:rsidP="00705F19">
      <w:pPr>
        <w:pStyle w:val="Res-Caption"/>
        <w:rPr>
          <w:rFonts w:ascii="Palatino Linotype" w:hAnsi="Palatino Linotype"/>
        </w:rPr>
      </w:pPr>
    </w:p>
    <w:p w14:paraId="57F5F198" w14:textId="77777777" w:rsidR="00705F19" w:rsidRDefault="00705F19" w:rsidP="00705F19">
      <w:pPr>
        <w:pStyle w:val="Res-Caption"/>
      </w:pPr>
      <w:r w:rsidRPr="00F51F8B">
        <w:t>SAFETY CONSIDERATIONS:</w:t>
      </w:r>
    </w:p>
    <w:p w14:paraId="57F5F199" w14:textId="77777777" w:rsidR="00705F19" w:rsidRPr="00624000" w:rsidRDefault="00705F19" w:rsidP="00705F19">
      <w:pPr>
        <w:pStyle w:val="Res-Caption"/>
        <w:numPr>
          <w:ilvl w:val="0"/>
          <w:numId w:val="6"/>
        </w:numPr>
      </w:pPr>
      <w:r w:rsidRPr="00624000">
        <w:t xml:space="preserve">This Resolution approves incentive awards to PG&amp;E, </w:t>
      </w:r>
      <w:r>
        <w:t xml:space="preserve">SCE, SoCalGas, and SDG&amp;E, and </w:t>
      </w:r>
      <w:r w:rsidRPr="00624000">
        <w:t>thus is not expected to have an impact on public safety.</w:t>
      </w:r>
    </w:p>
    <w:p w14:paraId="57F5F19A" w14:textId="77777777" w:rsidR="00E67751" w:rsidRDefault="00E67751" w:rsidP="00705F19">
      <w:pPr>
        <w:pStyle w:val="Res-Caption"/>
        <w:ind w:left="1440"/>
        <w:rPr>
          <w:rFonts w:ascii="Palatino Linotype" w:hAnsi="Palatino Linotype"/>
        </w:rPr>
      </w:pPr>
    </w:p>
    <w:p w14:paraId="57F5F19B" w14:textId="77777777" w:rsidR="00705F19" w:rsidRPr="001504B2" w:rsidRDefault="00705F19" w:rsidP="00705F19">
      <w:pPr>
        <w:pStyle w:val="Res-Caption"/>
        <w:rPr>
          <w:rFonts w:ascii="Palatino Linotype" w:hAnsi="Palatino Linotype"/>
        </w:rPr>
      </w:pPr>
      <w:r w:rsidRPr="001504B2">
        <w:t>ESTIMATED COST</w:t>
      </w:r>
      <w:r w:rsidRPr="001504B2">
        <w:rPr>
          <w:rFonts w:ascii="Palatino Linotype" w:hAnsi="Palatino Linotype"/>
        </w:rPr>
        <w:t xml:space="preserve">:  </w:t>
      </w:r>
    </w:p>
    <w:p w14:paraId="57F5F19C" w14:textId="77777777" w:rsidR="00370A47" w:rsidRDefault="00370A47" w:rsidP="00D261DB">
      <w:pPr>
        <w:pStyle w:val="Res-Caption"/>
        <w:numPr>
          <w:ilvl w:val="0"/>
          <w:numId w:val="8"/>
        </w:numPr>
        <w:spacing w:after="120"/>
      </w:pPr>
      <w:r w:rsidRPr="00EA2D80">
        <w:t xml:space="preserve">This Resolution approves Energy Efficiency Incentive awards for the second part of </w:t>
      </w:r>
      <w:r>
        <w:t xml:space="preserve">Program Year </w:t>
      </w:r>
      <w:r w:rsidRPr="00EA2D80">
        <w:t>2013 in the following amounts:</w:t>
      </w:r>
    </w:p>
    <w:p w14:paraId="57F5F19D" w14:textId="77777777" w:rsidR="00370A47" w:rsidRPr="00BF0662" w:rsidRDefault="00370A47" w:rsidP="00D261DB">
      <w:pPr>
        <w:pStyle w:val="Res-Caption"/>
        <w:numPr>
          <w:ilvl w:val="1"/>
          <w:numId w:val="8"/>
        </w:numPr>
      </w:pPr>
      <w:r>
        <w:t>PG&amp;E: $ 14,358,084</w:t>
      </w:r>
    </w:p>
    <w:p w14:paraId="57F5F19E" w14:textId="77777777" w:rsidR="00370A47" w:rsidRPr="00BF0662" w:rsidRDefault="00370A47" w:rsidP="00D261DB">
      <w:pPr>
        <w:pStyle w:val="Res-Caption"/>
        <w:numPr>
          <w:ilvl w:val="1"/>
          <w:numId w:val="8"/>
        </w:numPr>
      </w:pPr>
      <w:r>
        <w:t>SCE: $ 10,455,223</w:t>
      </w:r>
    </w:p>
    <w:p w14:paraId="57F5F19F" w14:textId="77777777" w:rsidR="00370A47" w:rsidRPr="00BF0662" w:rsidRDefault="00370A47" w:rsidP="00D261DB">
      <w:pPr>
        <w:pStyle w:val="Res-Caption"/>
        <w:numPr>
          <w:ilvl w:val="1"/>
          <w:numId w:val="8"/>
        </w:numPr>
      </w:pPr>
      <w:r>
        <w:t>SoCalGas: $2,141,962</w:t>
      </w:r>
    </w:p>
    <w:p w14:paraId="57F5F1A0" w14:textId="2607F7F9" w:rsidR="00370A47" w:rsidRPr="00BF0662" w:rsidRDefault="00370A47" w:rsidP="00D261DB">
      <w:pPr>
        <w:pStyle w:val="Res-Caption"/>
        <w:numPr>
          <w:ilvl w:val="1"/>
          <w:numId w:val="8"/>
        </w:numPr>
        <w:spacing w:after="120"/>
      </w:pPr>
      <w:r>
        <w:t xml:space="preserve">SDG&amp;E: $ </w:t>
      </w:r>
      <w:r w:rsidR="00BD4ED3">
        <w:t xml:space="preserve"> 2,824,209</w:t>
      </w:r>
    </w:p>
    <w:p w14:paraId="57F5F1A1" w14:textId="77777777" w:rsidR="00705F19" w:rsidRDefault="00705F19" w:rsidP="00D261DB">
      <w:pPr>
        <w:pStyle w:val="Res-Caption"/>
        <w:numPr>
          <w:ilvl w:val="0"/>
          <w:numId w:val="8"/>
        </w:numPr>
        <w:spacing w:after="120"/>
      </w:pPr>
      <w:r w:rsidRPr="001504B2">
        <w:t xml:space="preserve">This Resolution approves </w:t>
      </w:r>
      <w:r w:rsidR="00370A47" w:rsidRPr="00EA2D80">
        <w:t xml:space="preserve">Energy Efficiency Incentive awards </w:t>
      </w:r>
      <w:r w:rsidR="00370A47">
        <w:t xml:space="preserve">for </w:t>
      </w:r>
      <w:r w:rsidR="00E51260" w:rsidRPr="001504B2">
        <w:t xml:space="preserve">Program Year 2014 </w:t>
      </w:r>
      <w:r w:rsidRPr="001504B2">
        <w:t>in the following amounts:</w:t>
      </w:r>
    </w:p>
    <w:p w14:paraId="57F5F1A2" w14:textId="1AC0BFE9" w:rsidR="00705F19" w:rsidRPr="00BF0662" w:rsidRDefault="00705F19" w:rsidP="00D261DB">
      <w:pPr>
        <w:pStyle w:val="Res-Caption"/>
        <w:numPr>
          <w:ilvl w:val="1"/>
          <w:numId w:val="8"/>
        </w:numPr>
      </w:pPr>
      <w:r w:rsidRPr="00BF0662">
        <w:t xml:space="preserve">PG&amp;E: $ </w:t>
      </w:r>
      <w:r w:rsidR="00BE4F61">
        <w:t>10,34</w:t>
      </w:r>
      <w:r w:rsidR="00D506FB">
        <w:t>2,142</w:t>
      </w:r>
    </w:p>
    <w:p w14:paraId="57F5F1A3" w14:textId="6F8F06D0" w:rsidR="00705F19" w:rsidRPr="00BF0662" w:rsidRDefault="00705F19" w:rsidP="00D261DB">
      <w:pPr>
        <w:pStyle w:val="Res-Caption"/>
        <w:numPr>
          <w:ilvl w:val="1"/>
          <w:numId w:val="8"/>
        </w:numPr>
      </w:pPr>
      <w:r w:rsidRPr="00BF0662">
        <w:t xml:space="preserve">SCE: $ </w:t>
      </w:r>
      <w:r w:rsidR="00D506FB">
        <w:t>12,090,772</w:t>
      </w:r>
    </w:p>
    <w:p w14:paraId="57F5F1A4" w14:textId="5D054A1A" w:rsidR="00705F19" w:rsidRPr="00BF0662" w:rsidRDefault="00705F19" w:rsidP="00D261DB">
      <w:pPr>
        <w:pStyle w:val="Res-Caption"/>
        <w:numPr>
          <w:ilvl w:val="1"/>
          <w:numId w:val="8"/>
        </w:numPr>
      </w:pPr>
      <w:r w:rsidRPr="00BF0662">
        <w:lastRenderedPageBreak/>
        <w:t xml:space="preserve">SoCalGas: $ </w:t>
      </w:r>
      <w:r w:rsidR="00D506FB">
        <w:t>2,011,907</w:t>
      </w:r>
    </w:p>
    <w:p w14:paraId="57F5F1A5" w14:textId="2EF8C0E8" w:rsidR="00705F19" w:rsidRPr="00BF0662" w:rsidRDefault="00D261DB" w:rsidP="00691FEB">
      <w:pPr>
        <w:pStyle w:val="Res-Caption"/>
        <w:numPr>
          <w:ilvl w:val="1"/>
          <w:numId w:val="8"/>
        </w:numPr>
        <w:spacing w:after="120"/>
      </w:pPr>
      <w:r>
        <w:t xml:space="preserve">SDG&amp;E: </w:t>
      </w:r>
      <w:r w:rsidR="00705F19" w:rsidRPr="00BF0662">
        <w:t xml:space="preserve">$ </w:t>
      </w:r>
      <w:r w:rsidR="00D506FB">
        <w:t>3,724,831</w:t>
      </w:r>
    </w:p>
    <w:p w14:paraId="57F5F1A6" w14:textId="77777777" w:rsidR="00E67751" w:rsidRDefault="00705F19" w:rsidP="0078095C">
      <w:pPr>
        <w:pStyle w:val="Res-Caption"/>
      </w:pPr>
      <w:r>
        <w:t>By PG&amp;E Advice Letter 3606-G/4659-E</w:t>
      </w:r>
      <w:r w:rsidR="00E67751">
        <w:t>,</w:t>
      </w:r>
      <w:r>
        <w:t xml:space="preserve"> SCE Advice Letter 3240-E</w:t>
      </w:r>
      <w:r w:rsidR="00E67751">
        <w:t>,</w:t>
      </w:r>
      <w:r>
        <w:t xml:space="preserve"> </w:t>
      </w:r>
      <w:r w:rsidR="00E67751">
        <w:t>SoCalGas Advice Letter 4826,</w:t>
      </w:r>
      <w:r>
        <w:t xml:space="preserve"> </w:t>
      </w:r>
      <w:r w:rsidR="00E67751">
        <w:t xml:space="preserve">and </w:t>
      </w:r>
      <w:r>
        <w:t>S</w:t>
      </w:r>
      <w:r w:rsidR="00C25244">
        <w:t xml:space="preserve">DG&amp;E Advice Letter </w:t>
      </w:r>
      <w:r w:rsidR="00E67751">
        <w:br/>
      </w:r>
      <w:r w:rsidR="00C25244">
        <w:t>2764-E/2396-G</w:t>
      </w:r>
      <w:r w:rsidR="00E67751">
        <w:t>,</w:t>
      </w:r>
      <w:r>
        <w:t xml:space="preserve"> Filed on June 30, 2015.</w:t>
      </w:r>
      <w:r w:rsidR="00E67751">
        <w:t xml:space="preserve">  </w:t>
      </w:r>
    </w:p>
    <w:p w14:paraId="57F5F1A7" w14:textId="77777777" w:rsidR="00E67751" w:rsidRDefault="00E67751" w:rsidP="0078095C">
      <w:pPr>
        <w:pStyle w:val="Res-Caption"/>
      </w:pPr>
    </w:p>
    <w:p w14:paraId="57F5F1A8" w14:textId="77777777" w:rsidR="0078095C" w:rsidRDefault="00533DF4" w:rsidP="0078095C">
      <w:pPr>
        <w:pStyle w:val="Res-Caption"/>
      </w:pPr>
      <w:r>
        <w:t>By PG&amp;E Advice Letter 3632-G/4705</w:t>
      </w:r>
      <w:r w:rsidR="0078095C">
        <w:t>-E</w:t>
      </w:r>
      <w:r w:rsidR="00E67751">
        <w:t>,</w:t>
      </w:r>
      <w:r w:rsidR="0078095C">
        <w:t xml:space="preserve"> </w:t>
      </w:r>
      <w:r>
        <w:t>SCE Advice Letter 3271</w:t>
      </w:r>
      <w:r w:rsidR="00E67751">
        <w:t>-E,</w:t>
      </w:r>
      <w:r>
        <w:t xml:space="preserve"> SoCalGas Advice Letter 4859</w:t>
      </w:r>
      <w:r w:rsidR="00E67751">
        <w:t xml:space="preserve">, and </w:t>
      </w:r>
      <w:r>
        <w:t xml:space="preserve">SDG&amp;E Advice Letter </w:t>
      </w:r>
      <w:r w:rsidR="00E67751">
        <w:br/>
      </w:r>
      <w:r>
        <w:t>2788-E/2417-G</w:t>
      </w:r>
      <w:r w:rsidR="00E67751">
        <w:t xml:space="preserve">, </w:t>
      </w:r>
      <w:r w:rsidR="0078095C">
        <w:t xml:space="preserve">Filed on </w:t>
      </w:r>
      <w:r>
        <w:t>September 15</w:t>
      </w:r>
      <w:r w:rsidR="0078095C">
        <w:t>, 2015.</w:t>
      </w:r>
    </w:p>
    <w:p w14:paraId="57F5F1A9" w14:textId="77777777" w:rsidR="00705F19" w:rsidRDefault="00705F19" w:rsidP="00705F19">
      <w:pPr>
        <w:pStyle w:val="Res-Caption"/>
      </w:pPr>
      <w:r>
        <w:t>______________________________________________________</w:t>
      </w:r>
    </w:p>
    <w:p w14:paraId="57F5F1AA" w14:textId="77777777" w:rsidR="00705F19" w:rsidRDefault="00705F19" w:rsidP="00705F19">
      <w:pPr>
        <w:rPr>
          <w:b/>
        </w:rPr>
      </w:pPr>
    </w:p>
    <w:p w14:paraId="57F5F1AB" w14:textId="77777777" w:rsidR="00705F19" w:rsidRDefault="00705F19" w:rsidP="00705F19">
      <w:pPr>
        <w:pStyle w:val="Heading1"/>
      </w:pPr>
      <w:r>
        <w:t>Summary</w:t>
      </w:r>
      <w:bookmarkEnd w:id="1"/>
    </w:p>
    <w:p w14:paraId="57F5F1AC" w14:textId="77777777" w:rsidR="00705F19" w:rsidRDefault="00705F19" w:rsidP="00705F19">
      <w:r>
        <w:t xml:space="preserve">This Resolution addresses Pacific Gas and Electric Company (PG&amp;E) Advice Letter 3606-G/4659-E, Southern California Electric Company (SCE) Advice Letter 3240-E, Southern California Gas Company (SoCalGas) Advice Letter 4826, and San Diego Gas </w:t>
      </w:r>
      <w:r w:rsidR="00D261DB">
        <w:t>&amp;</w:t>
      </w:r>
      <w:r>
        <w:t xml:space="preserve"> Electric (SDG&amp;E) Advice Letter 2764-E/2396-G seeking approval of </w:t>
      </w:r>
      <w:r w:rsidR="002A6ED9">
        <w:t>P</w:t>
      </w:r>
      <w:r>
        <w:t xml:space="preserve">rogram </w:t>
      </w:r>
      <w:r w:rsidR="002A6ED9">
        <w:t>Y</w:t>
      </w:r>
      <w:r>
        <w:t xml:space="preserve">ear 2014 Energy Efficiency Incentive awards </w:t>
      </w:r>
      <w:r w:rsidR="00EA2D80">
        <w:t xml:space="preserve">(excluding awards for savings from custom projects and “uncertainty list” measures) </w:t>
      </w:r>
      <w:r>
        <w:t xml:space="preserve">in </w:t>
      </w:r>
      <w:r w:rsidRPr="00BF0662">
        <w:t>compliance with Ordering Paragraphs (OPs) 3 and 4 of D.13-09-023.  This Resolution modifies PG&amp;E, SCE, SoCalGas, and SDG&amp;E Advice Letters and approves the incentive awards, as calculated herein.</w:t>
      </w:r>
      <w:r>
        <w:t xml:space="preserve"> </w:t>
      </w:r>
    </w:p>
    <w:p w14:paraId="57F5F1AD" w14:textId="77777777" w:rsidR="00705F19" w:rsidRDefault="00705F19" w:rsidP="00705F19"/>
    <w:p w14:paraId="57F5F1AE" w14:textId="77777777" w:rsidR="00533DF4" w:rsidRDefault="00533DF4" w:rsidP="00705F19">
      <w:r>
        <w:t xml:space="preserve">In addition, this Resolution addresses PG&amp;E Advice Letter 3632-G/4705-E, SCE Advice Letter 3271-E,  SoCalGas Advice Letter 4859, and SDG&amp;E Advice Letter 2788-E/2417-G seeking approval of the second part of </w:t>
      </w:r>
      <w:r w:rsidR="002A6ED9">
        <w:t>P</w:t>
      </w:r>
      <w:r>
        <w:t xml:space="preserve">rogram </w:t>
      </w:r>
      <w:r w:rsidR="002A6ED9">
        <w:t>Y</w:t>
      </w:r>
      <w:r>
        <w:t xml:space="preserve">ear 2013 </w:t>
      </w:r>
      <w:r w:rsidRPr="00533DF4">
        <w:t>Energy Efficiency Incentive awards</w:t>
      </w:r>
      <w:r w:rsidR="00EA2D80">
        <w:t xml:space="preserve"> (awards for savings from custom projects and “uncertainty list” measures and 2013 “true up”)</w:t>
      </w:r>
      <w:r w:rsidRPr="00533DF4">
        <w:t xml:space="preserve"> in compliance with Ordering Paragraphs</w:t>
      </w:r>
      <w:r w:rsidR="006E69E9">
        <w:t xml:space="preserve"> (OPs) 3 and 4 of D.13-09-023.  This Resolution approves PG&amp;E, SCE, SoCalGas and SDG&amp;E Advice Letters </w:t>
      </w:r>
      <w:r w:rsidR="00920521">
        <w:t xml:space="preserve">and </w:t>
      </w:r>
      <w:r w:rsidR="00920521" w:rsidRPr="00BF0662">
        <w:t xml:space="preserve">approves the incentive awards, as </w:t>
      </w:r>
      <w:r w:rsidR="00920521">
        <w:t>modified</w:t>
      </w:r>
      <w:r w:rsidR="00920521" w:rsidRPr="00BF0662">
        <w:t xml:space="preserve"> herein</w:t>
      </w:r>
      <w:r w:rsidR="006E69E9">
        <w:t>.</w:t>
      </w:r>
    </w:p>
    <w:p w14:paraId="57F5F1AF" w14:textId="77777777" w:rsidR="006E69E9" w:rsidRPr="000207B5" w:rsidRDefault="006E69E9" w:rsidP="00705F19"/>
    <w:p w14:paraId="57F5F1B0" w14:textId="77777777" w:rsidR="00705F19" w:rsidRDefault="00705F19" w:rsidP="00705F19">
      <w:pPr>
        <w:pStyle w:val="Heading1"/>
      </w:pPr>
      <w:r>
        <w:t>Background</w:t>
      </w:r>
    </w:p>
    <w:p w14:paraId="57F5F1B1" w14:textId="77777777" w:rsidR="00705F19" w:rsidRPr="003112F9" w:rsidRDefault="00705F19" w:rsidP="00705F19">
      <w:pPr>
        <w:spacing w:after="120"/>
        <w:rPr>
          <w:u w:val="single"/>
        </w:rPr>
      </w:pPr>
      <w:r w:rsidRPr="003112F9">
        <w:rPr>
          <w:u w:val="single"/>
        </w:rPr>
        <w:t>2013-14 Incentives – ESPI Mechanism</w:t>
      </w:r>
    </w:p>
    <w:p w14:paraId="57F5F1B2" w14:textId="77777777" w:rsidR="00705F19" w:rsidRPr="003112F9" w:rsidRDefault="00705F19" w:rsidP="00705F19">
      <w:r w:rsidRPr="003112F9">
        <w:lastRenderedPageBreak/>
        <w:t xml:space="preserve">The Efficiency Savings and Performance Incentive (ESPI) mechanism was adopted by the Commission on September 5, 2013, in D.13-09-023. The ESPI mechanism is a multi-component incentive structure intended to motivate </w:t>
      </w:r>
      <w:r>
        <w:t>Investor-Owned Utilities (</w:t>
      </w:r>
      <w:r w:rsidRPr="003112F9">
        <w:t>IOUs</w:t>
      </w:r>
      <w:r>
        <w:t>)</w:t>
      </w:r>
      <w:r w:rsidRPr="003112F9">
        <w:t xml:space="preserve"> to invest not only in energy efficiency savings (i.e., resource programs), but also in non-resource programs where energy efficiency is marketed and promoted but energy savings are not quantified at this time (e.g., workforce, education, and training and marketing, education, and outreach)</w:t>
      </w:r>
      <w:r>
        <w:t xml:space="preserve">. </w:t>
      </w:r>
      <w:r w:rsidRPr="003112F9">
        <w:t>The ESPI’s four components are:</w:t>
      </w:r>
    </w:p>
    <w:p w14:paraId="57F5F1B3" w14:textId="77777777" w:rsidR="00705F19" w:rsidRPr="003112F9" w:rsidRDefault="00705F19" w:rsidP="00705F19"/>
    <w:p w14:paraId="57F5F1B4" w14:textId="77777777" w:rsidR="00705F19" w:rsidRPr="003112F9" w:rsidRDefault="00705F19" w:rsidP="00705F19">
      <w:pPr>
        <w:pStyle w:val="ListParagraph"/>
        <w:numPr>
          <w:ilvl w:val="0"/>
          <w:numId w:val="12"/>
        </w:numPr>
        <w:spacing w:after="120"/>
        <w:contextualSpacing w:val="0"/>
      </w:pPr>
      <w:r w:rsidRPr="003112F9">
        <w:rPr>
          <w:u w:val="single"/>
        </w:rPr>
        <w:t>Component 1</w:t>
      </w:r>
      <w:r w:rsidRPr="003112F9">
        <w:t>: A performance award for energy savings of up to 9% of the resource program</w:t>
      </w:r>
      <w:r w:rsidRPr="003112F9">
        <w:rPr>
          <w:rStyle w:val="FootnoteReference"/>
        </w:rPr>
        <w:footnoteReference w:id="2"/>
      </w:r>
      <w:r w:rsidRPr="003112F9">
        <w:t xml:space="preserve"> budget (excluding codes and standards program budgets),</w:t>
      </w:r>
    </w:p>
    <w:p w14:paraId="57F5F1B5" w14:textId="77777777" w:rsidR="00705F19" w:rsidRPr="003112F9" w:rsidRDefault="00705F19" w:rsidP="00705F19">
      <w:pPr>
        <w:pStyle w:val="ListParagraph"/>
        <w:numPr>
          <w:ilvl w:val="0"/>
          <w:numId w:val="12"/>
        </w:numPr>
        <w:spacing w:after="120"/>
        <w:contextualSpacing w:val="0"/>
      </w:pPr>
      <w:r w:rsidRPr="003112F9">
        <w:rPr>
          <w:u w:val="single"/>
        </w:rPr>
        <w:t>Component 2</w:t>
      </w:r>
      <w:r w:rsidRPr="003112F9">
        <w:t>: A performance award for ex ante review activities of up to 3% of resource program budget (excluding codes and standards program budgets),</w:t>
      </w:r>
    </w:p>
    <w:p w14:paraId="57F5F1B6" w14:textId="77777777" w:rsidR="00705F19" w:rsidRPr="003112F9" w:rsidRDefault="00705F19" w:rsidP="00705F19">
      <w:pPr>
        <w:pStyle w:val="ListParagraph"/>
        <w:numPr>
          <w:ilvl w:val="0"/>
          <w:numId w:val="12"/>
        </w:numPr>
        <w:spacing w:after="120"/>
        <w:contextualSpacing w:val="0"/>
      </w:pPr>
      <w:r w:rsidRPr="003112F9">
        <w:rPr>
          <w:u w:val="single"/>
        </w:rPr>
        <w:t>Component 3</w:t>
      </w:r>
      <w:r w:rsidRPr="003112F9">
        <w:t xml:space="preserve">: A management fee for codes and standards </w:t>
      </w:r>
      <w:r>
        <w:t xml:space="preserve">(C&amp;S) </w:t>
      </w:r>
      <w:r w:rsidRPr="003112F9">
        <w:t>programs of up to 12% of codes and standards program budgets, and</w:t>
      </w:r>
    </w:p>
    <w:p w14:paraId="57F5F1B7" w14:textId="77777777" w:rsidR="00705F19" w:rsidRPr="003112F9" w:rsidRDefault="00705F19" w:rsidP="00705F19">
      <w:pPr>
        <w:pStyle w:val="ListParagraph"/>
        <w:numPr>
          <w:ilvl w:val="0"/>
          <w:numId w:val="12"/>
        </w:numPr>
        <w:spacing w:after="120"/>
        <w:contextualSpacing w:val="0"/>
      </w:pPr>
      <w:r w:rsidRPr="003112F9">
        <w:rPr>
          <w:u w:val="single"/>
        </w:rPr>
        <w:t>Component 4</w:t>
      </w:r>
      <w:r w:rsidRPr="003112F9">
        <w:t>: A management fee for non-resource</w:t>
      </w:r>
      <w:r w:rsidRPr="003112F9">
        <w:rPr>
          <w:rStyle w:val="FootnoteReference"/>
        </w:rPr>
        <w:footnoteReference w:id="3"/>
      </w:r>
      <w:r w:rsidRPr="003112F9">
        <w:t xml:space="preserve"> programs of up to </w:t>
      </w:r>
      <w:r w:rsidR="00D261DB">
        <w:br/>
      </w:r>
      <w:r w:rsidRPr="003112F9">
        <w:t>3% of non-resource program budgets.</w:t>
      </w:r>
    </w:p>
    <w:p w14:paraId="57F5F1B8" w14:textId="77777777" w:rsidR="00705F19" w:rsidRPr="003112F9" w:rsidRDefault="00705F19" w:rsidP="00705F19">
      <w:pPr>
        <w:spacing w:after="120"/>
        <w:rPr>
          <w:u w:val="single"/>
        </w:rPr>
      </w:pPr>
      <w:r w:rsidRPr="003112F9">
        <w:rPr>
          <w:u w:val="single"/>
        </w:rPr>
        <w:t>Component 1</w:t>
      </w:r>
    </w:p>
    <w:p w14:paraId="57F5F1B9" w14:textId="77777777" w:rsidR="00705F19" w:rsidRPr="003112F9" w:rsidRDefault="00705F19" w:rsidP="00705F19">
      <w:r w:rsidRPr="003112F9">
        <w:t xml:space="preserve">The energy savings performance award is split between ex ante (i.e., estimated savings pre-implementation) and ex post (i.e., evaluated savings post implementation) </w:t>
      </w:r>
      <w:r>
        <w:t xml:space="preserve">savings values. </w:t>
      </w:r>
      <w:r w:rsidRPr="003112F9">
        <w:t>For the 2013-14 cycle, ex post savings values will apply to custom measures and the deemed measures on the “ESPI Uncertain List” proposed in Attachment 3 of D.13-09-023 and finalized by Commission staff</w:t>
      </w:r>
      <w:r>
        <w:t xml:space="preserve">. </w:t>
      </w:r>
      <w:r w:rsidRPr="003112F9">
        <w:t xml:space="preserve">The final </w:t>
      </w:r>
      <w:r w:rsidR="003307CD">
        <w:t>2015</w:t>
      </w:r>
      <w:r w:rsidRPr="003112F9">
        <w:t xml:space="preserve"> ESPI Unce</w:t>
      </w:r>
      <w:r>
        <w:t>rtain List is posted to the Commission</w:t>
      </w:r>
      <w:r w:rsidRPr="003112F9">
        <w:t xml:space="preserve">’s </w:t>
      </w:r>
      <w:r w:rsidRPr="003112F9">
        <w:lastRenderedPageBreak/>
        <w:t>Shareholder Incentive Mechanism website.</w:t>
      </w:r>
      <w:r w:rsidRPr="003112F9">
        <w:rPr>
          <w:rStyle w:val="FootnoteReference"/>
        </w:rPr>
        <w:footnoteReference w:id="4"/>
      </w:r>
      <w:r>
        <w:t xml:space="preserve"> </w:t>
      </w:r>
      <w:r w:rsidRPr="003112F9">
        <w:t>In accordance with D.13-09-023, the IOUs are to file for incentive payments for ex ante savings in the year following</w:t>
      </w:r>
      <w:r>
        <w:t xml:space="preserve"> the program year (i.e., in 2015 for program year 2014</w:t>
      </w:r>
      <w:r w:rsidRPr="003112F9">
        <w:t xml:space="preserve">) and for ex post savings </w:t>
      </w:r>
      <w:r w:rsidR="00D261DB">
        <w:br/>
      </w:r>
      <w:r w:rsidRPr="003112F9">
        <w:t>two years following</w:t>
      </w:r>
      <w:r>
        <w:t xml:space="preserve"> the program year (i.e., in 2016 for program year 2014). </w:t>
      </w:r>
      <w:r w:rsidRPr="003112F9">
        <w:t xml:space="preserve">This is to allow time to complete </w:t>
      </w:r>
      <w:r>
        <w:t>Evaluation, Measurement, and Verification (</w:t>
      </w:r>
      <w:r w:rsidRPr="003112F9">
        <w:t>EM&amp;V</w:t>
      </w:r>
      <w:r>
        <w:t>)</w:t>
      </w:r>
      <w:r w:rsidRPr="003112F9">
        <w:t xml:space="preserve"> activities for measures on the ESPI Uncertain List.</w:t>
      </w:r>
    </w:p>
    <w:p w14:paraId="57F5F1BA" w14:textId="77777777" w:rsidR="00705F19" w:rsidRPr="003112F9" w:rsidRDefault="00705F19" w:rsidP="00705F19"/>
    <w:p w14:paraId="57F5F1BB" w14:textId="77777777" w:rsidR="00705F19" w:rsidRPr="003112F9" w:rsidRDefault="00705F19" w:rsidP="00705F19">
      <w:r w:rsidRPr="003112F9">
        <w:t>For all energy savings, the incentive award is calculated using the statewide earnings</w:t>
      </w:r>
      <w:r>
        <w:t xml:space="preserve"> rates adopted in D.13-09-023. </w:t>
      </w:r>
      <w:r w:rsidRPr="003112F9">
        <w:t>The use of statewide earnings rates allows each unit of energy sav</w:t>
      </w:r>
      <w:r>
        <w:t xml:space="preserve">ed to earn an incentive award. </w:t>
      </w:r>
      <w:r w:rsidRPr="003112F9">
        <w:t>The adopted statewide earnings rates are:</w:t>
      </w:r>
    </w:p>
    <w:p w14:paraId="57F5F1BC" w14:textId="77777777" w:rsidR="00705F19" w:rsidRPr="003112F9" w:rsidRDefault="00705F19" w:rsidP="00705F19"/>
    <w:p w14:paraId="57F5F1BD" w14:textId="77777777" w:rsidR="00705F19" w:rsidRPr="003112F9" w:rsidRDefault="00705F19" w:rsidP="00705F19">
      <w:pPr>
        <w:pStyle w:val="ListParagraph"/>
        <w:numPr>
          <w:ilvl w:val="0"/>
          <w:numId w:val="10"/>
        </w:numPr>
        <w:spacing w:after="120"/>
        <w:contextualSpacing w:val="0"/>
      </w:pPr>
      <w:r w:rsidRPr="003112F9">
        <w:t>Electricity: $</w:t>
      </w:r>
      <w:r>
        <w:t xml:space="preserve"> </w:t>
      </w:r>
      <w:r w:rsidRPr="003112F9">
        <w:t>2,525/GWh</w:t>
      </w:r>
    </w:p>
    <w:p w14:paraId="57F5F1BE" w14:textId="77777777" w:rsidR="00705F19" w:rsidRPr="003112F9" w:rsidRDefault="00705F19" w:rsidP="00705F19">
      <w:pPr>
        <w:pStyle w:val="ListParagraph"/>
        <w:numPr>
          <w:ilvl w:val="0"/>
          <w:numId w:val="10"/>
        </w:numPr>
        <w:spacing w:after="120"/>
        <w:contextualSpacing w:val="0"/>
      </w:pPr>
      <w:r w:rsidRPr="003112F9">
        <w:t>Peak Demand: $</w:t>
      </w:r>
      <w:r>
        <w:t xml:space="preserve"> </w:t>
      </w:r>
      <w:r w:rsidRPr="003112F9">
        <w:t>6,200/MW-Yr</w:t>
      </w:r>
    </w:p>
    <w:p w14:paraId="57F5F1BF" w14:textId="77777777" w:rsidR="00705F19" w:rsidRPr="003112F9" w:rsidRDefault="00705F19" w:rsidP="00705F19">
      <w:pPr>
        <w:pStyle w:val="ListParagraph"/>
        <w:numPr>
          <w:ilvl w:val="0"/>
          <w:numId w:val="10"/>
        </w:numPr>
        <w:spacing w:after="120"/>
        <w:contextualSpacing w:val="0"/>
      </w:pPr>
      <w:r w:rsidRPr="003112F9">
        <w:t>Natural Gas: $</w:t>
      </w:r>
      <w:r>
        <w:t xml:space="preserve"> </w:t>
      </w:r>
      <w:r w:rsidRPr="003112F9">
        <w:t>21,331/MMth</w:t>
      </w:r>
    </w:p>
    <w:p w14:paraId="57F5F1C0" w14:textId="77777777" w:rsidR="00D261DB" w:rsidRPr="003112F9" w:rsidRDefault="00D261DB" w:rsidP="00705F19">
      <w:pPr>
        <w:tabs>
          <w:tab w:val="left" w:pos="4032"/>
        </w:tabs>
      </w:pPr>
    </w:p>
    <w:p w14:paraId="57F5F1C1" w14:textId="77777777" w:rsidR="00705F19" w:rsidRPr="003112F9" w:rsidRDefault="00705F19" w:rsidP="00705F19">
      <w:pPr>
        <w:tabs>
          <w:tab w:val="left" w:pos="4032"/>
        </w:tabs>
        <w:spacing w:after="120"/>
        <w:rPr>
          <w:u w:val="single"/>
        </w:rPr>
      </w:pPr>
      <w:r w:rsidRPr="003112F9">
        <w:rPr>
          <w:u w:val="single"/>
        </w:rPr>
        <w:t>Component 2</w:t>
      </w:r>
    </w:p>
    <w:p w14:paraId="57F5F1C2" w14:textId="77777777" w:rsidR="00705F19" w:rsidRPr="003112F9" w:rsidRDefault="00705F19" w:rsidP="00705F19">
      <w:r w:rsidRPr="003112F9">
        <w:t xml:space="preserve">The ex ante performance award adopted in D.13-09-023, bases the awards to the IOUs on their respective ex ante review activities in accordance with a set of </w:t>
      </w:r>
      <w:r w:rsidR="00D261DB">
        <w:br/>
      </w:r>
      <w:r w:rsidRPr="003112F9">
        <w:t>10 metrics that generally cover four common themes:</w:t>
      </w:r>
    </w:p>
    <w:p w14:paraId="57F5F1C3" w14:textId="77777777" w:rsidR="00705F19" w:rsidRPr="003112F9" w:rsidRDefault="00705F19" w:rsidP="00705F19"/>
    <w:p w14:paraId="57F5F1C4" w14:textId="77777777" w:rsidR="00705F19" w:rsidRPr="003112F9" w:rsidRDefault="00705F19" w:rsidP="00705F19">
      <w:pPr>
        <w:pStyle w:val="ListParagraph"/>
        <w:numPr>
          <w:ilvl w:val="0"/>
          <w:numId w:val="13"/>
        </w:numPr>
        <w:spacing w:after="120"/>
        <w:contextualSpacing w:val="0"/>
      </w:pPr>
      <w:r w:rsidRPr="003112F9">
        <w:t>Timeliness in adopting policies (metrics 1a, 1b, and 2)</w:t>
      </w:r>
    </w:p>
    <w:p w14:paraId="57F5F1C5" w14:textId="77777777" w:rsidR="00705F19" w:rsidRPr="003112F9" w:rsidRDefault="00705F19" w:rsidP="00705F19">
      <w:pPr>
        <w:pStyle w:val="ListParagraph"/>
        <w:numPr>
          <w:ilvl w:val="0"/>
          <w:numId w:val="13"/>
        </w:numPr>
        <w:spacing w:after="120"/>
        <w:contextualSpacing w:val="0"/>
      </w:pPr>
      <w:r w:rsidRPr="003112F9">
        <w:t>Quality of submittals (metrics 3, 5, 6a, 6b, and 7)</w:t>
      </w:r>
    </w:p>
    <w:p w14:paraId="57F5F1C6" w14:textId="77777777" w:rsidR="00705F19" w:rsidRPr="003112F9" w:rsidRDefault="00705F19" w:rsidP="00705F19">
      <w:pPr>
        <w:pStyle w:val="ListParagraph"/>
        <w:numPr>
          <w:ilvl w:val="0"/>
          <w:numId w:val="13"/>
        </w:numPr>
        <w:spacing w:after="120"/>
        <w:contextualSpacing w:val="0"/>
      </w:pPr>
      <w:r w:rsidRPr="003112F9">
        <w:t>Consideration of existing DEER guidance and previous feedback in the development of workpapers and custom project deliverables (metrics 8, 9, and 10)</w:t>
      </w:r>
    </w:p>
    <w:p w14:paraId="57F5F1C7" w14:textId="77777777" w:rsidR="00705F19" w:rsidRPr="003112F9" w:rsidRDefault="00705F19" w:rsidP="00D261DB">
      <w:pPr>
        <w:pStyle w:val="ListParagraph"/>
        <w:numPr>
          <w:ilvl w:val="0"/>
          <w:numId w:val="13"/>
        </w:numPr>
        <w:contextualSpacing w:val="0"/>
      </w:pPr>
      <w:r w:rsidRPr="003112F9">
        <w:lastRenderedPageBreak/>
        <w:t>Collaboration with Commission staff/Proactiveness (metrics 1a and 4)</w:t>
      </w:r>
      <w:r w:rsidRPr="003112F9">
        <w:rPr>
          <w:rStyle w:val="FootnoteReference"/>
        </w:rPr>
        <w:footnoteReference w:id="5"/>
      </w:r>
    </w:p>
    <w:p w14:paraId="57F5F1C8" w14:textId="77777777" w:rsidR="00705F19" w:rsidRPr="003112F9" w:rsidRDefault="00705F19" w:rsidP="00705F19"/>
    <w:p w14:paraId="57F5F1C9" w14:textId="2A9ECD9D" w:rsidR="00705F19" w:rsidRPr="003112F9" w:rsidRDefault="00705F19" w:rsidP="00705F19">
      <w:r>
        <w:t>For 2014</w:t>
      </w:r>
      <w:r w:rsidRPr="003112F9">
        <w:t xml:space="preserve">, each IOU was assessed based on the metrics adopted in D.13-09-023.  In accordance with the decision, Commission staff first developed a preliminary qualitative assessment to provide the IOUs interim feedback on their respective ex ante activities.  The interim feedback was delivered to the IOUs in </w:t>
      </w:r>
      <w:r>
        <w:t>July</w:t>
      </w:r>
      <w:r w:rsidRPr="003112F9">
        <w:t xml:space="preserve"> 201</w:t>
      </w:r>
      <w:r>
        <w:t>4</w:t>
      </w:r>
      <w:r w:rsidRPr="003112F9">
        <w:t xml:space="preserve">.  Commission staff then developed final ex ante performance scores for each IOU that were delivered to the IOUs and posted to </w:t>
      </w:r>
      <w:hyperlink r:id="rId8" w:history="1">
        <w:r w:rsidRPr="00006E2F">
          <w:rPr>
            <w:rStyle w:val="Hyperlink"/>
          </w:rPr>
          <w:t>http://deeresources.com</w:t>
        </w:r>
      </w:hyperlink>
      <w:r>
        <w:t xml:space="preserve"> </w:t>
      </w:r>
      <w:r w:rsidRPr="003112F9">
        <w:t>on March 2</w:t>
      </w:r>
      <w:r>
        <w:t>7, 2015</w:t>
      </w:r>
      <w:r w:rsidRPr="003112F9">
        <w:t>.</w:t>
      </w:r>
      <w:r w:rsidRPr="003112F9">
        <w:rPr>
          <w:rStyle w:val="FootnoteReference"/>
        </w:rPr>
        <w:footnoteReference w:id="6"/>
      </w:r>
      <w:r w:rsidRPr="003112F9">
        <w:t xml:space="preserve">  The final scores for each IOU are as follows:</w:t>
      </w:r>
    </w:p>
    <w:p w14:paraId="57F5F1CA" w14:textId="77777777" w:rsidR="00705F19" w:rsidRPr="003112F9" w:rsidRDefault="00705F19" w:rsidP="00705F19"/>
    <w:p w14:paraId="57F5F1CB" w14:textId="77777777" w:rsidR="00705F19" w:rsidRPr="003112F9" w:rsidRDefault="00705F19" w:rsidP="00705F19">
      <w:pPr>
        <w:pStyle w:val="ListParagraph"/>
        <w:numPr>
          <w:ilvl w:val="0"/>
          <w:numId w:val="9"/>
        </w:numPr>
        <w:spacing w:after="120"/>
        <w:contextualSpacing w:val="0"/>
      </w:pPr>
      <w:r>
        <w:t>PG&amp;E: 53</w:t>
      </w:r>
      <w:r w:rsidRPr="003112F9">
        <w:t>/100</w:t>
      </w:r>
    </w:p>
    <w:p w14:paraId="57F5F1CC" w14:textId="77777777" w:rsidR="00705F19" w:rsidRDefault="00705F19" w:rsidP="00705F19">
      <w:pPr>
        <w:pStyle w:val="ListParagraph"/>
        <w:numPr>
          <w:ilvl w:val="0"/>
          <w:numId w:val="9"/>
        </w:numPr>
        <w:spacing w:after="120"/>
        <w:contextualSpacing w:val="0"/>
      </w:pPr>
      <w:r>
        <w:t>SCE: 58/100</w:t>
      </w:r>
    </w:p>
    <w:p w14:paraId="57F5F1CD" w14:textId="77777777" w:rsidR="00705F19" w:rsidRPr="003112F9" w:rsidRDefault="00705F19" w:rsidP="00705F19">
      <w:pPr>
        <w:pStyle w:val="ListParagraph"/>
        <w:numPr>
          <w:ilvl w:val="0"/>
          <w:numId w:val="9"/>
        </w:numPr>
        <w:spacing w:after="120"/>
        <w:contextualSpacing w:val="0"/>
      </w:pPr>
      <w:r>
        <w:t>SoCalGas: 69.5</w:t>
      </w:r>
      <w:r w:rsidRPr="003112F9">
        <w:t>/100</w:t>
      </w:r>
    </w:p>
    <w:p w14:paraId="57F5F1CE" w14:textId="77777777" w:rsidR="00705F19" w:rsidRPr="003112F9" w:rsidRDefault="00705F19" w:rsidP="00915945">
      <w:pPr>
        <w:pStyle w:val="ListParagraph"/>
        <w:numPr>
          <w:ilvl w:val="0"/>
          <w:numId w:val="9"/>
        </w:numPr>
        <w:contextualSpacing w:val="0"/>
      </w:pPr>
      <w:r>
        <w:t>SDG&amp;E: 68</w:t>
      </w:r>
      <w:r w:rsidRPr="003112F9">
        <w:t>/100</w:t>
      </w:r>
    </w:p>
    <w:p w14:paraId="57F5F1CF" w14:textId="77777777" w:rsidR="00705F19" w:rsidRPr="003112F9" w:rsidRDefault="00705F19" w:rsidP="00705F19"/>
    <w:p w14:paraId="57F5F1D0" w14:textId="77777777" w:rsidR="00705F19" w:rsidRPr="003112F9" w:rsidRDefault="00705F19" w:rsidP="00705F19">
      <w:r w:rsidRPr="003112F9">
        <w:t>D.13-09-023 prescribes that the IOUs’ incentive award for the ex ante review component of the ESPI is the product of the final score and the earnings cap for the component.</w:t>
      </w:r>
    </w:p>
    <w:p w14:paraId="57F5F1D1" w14:textId="77777777" w:rsidR="00705F19" w:rsidRPr="003112F9" w:rsidRDefault="00705F19" w:rsidP="00705F19"/>
    <w:p w14:paraId="57F5F1D2" w14:textId="77777777" w:rsidR="00705F19" w:rsidRPr="003112F9" w:rsidRDefault="00705F19" w:rsidP="00705F19">
      <w:pPr>
        <w:spacing w:after="120"/>
        <w:rPr>
          <w:u w:val="single"/>
        </w:rPr>
      </w:pPr>
      <w:r w:rsidRPr="003112F9">
        <w:rPr>
          <w:u w:val="single"/>
        </w:rPr>
        <w:t>Components 3 and 4</w:t>
      </w:r>
    </w:p>
    <w:p w14:paraId="57F5F1D3" w14:textId="77777777" w:rsidR="00705F19" w:rsidRPr="003112F9" w:rsidRDefault="00705F19" w:rsidP="00705F19">
      <w:r w:rsidRPr="003112F9">
        <w:t>The management fees for codes and standards programs and non-resource programs are calculated as a percentage of the IOUs’ program expenditures, less administrative expenditures, for each program type.</w:t>
      </w:r>
    </w:p>
    <w:p w14:paraId="57F5F1D4" w14:textId="77777777" w:rsidR="00705F19" w:rsidRPr="003112F9" w:rsidRDefault="00705F19" w:rsidP="00705F19"/>
    <w:p w14:paraId="57F5F1D5" w14:textId="77777777" w:rsidR="00705F19" w:rsidRPr="003112F9" w:rsidRDefault="00705F19" w:rsidP="00705F19">
      <w:pPr>
        <w:spacing w:after="120"/>
        <w:rPr>
          <w:u w:val="single"/>
        </w:rPr>
      </w:pPr>
      <w:r w:rsidRPr="003112F9">
        <w:rPr>
          <w:u w:val="single"/>
        </w:rPr>
        <w:t>Incentive Earnings Cap Calculations</w:t>
      </w:r>
    </w:p>
    <w:p w14:paraId="57F5F1D6" w14:textId="77777777" w:rsidR="00705F19" w:rsidRPr="003112F9" w:rsidRDefault="00705F19" w:rsidP="00705F19">
      <w:r w:rsidRPr="003112F9">
        <w:t xml:space="preserve">The incentive earnings caps </w:t>
      </w:r>
      <w:r w:rsidR="00EF059E">
        <w:t xml:space="preserve">across the 2013-14 cycle </w:t>
      </w:r>
      <w:r w:rsidRPr="003112F9">
        <w:t xml:space="preserve">for each component and each IOU were adopted in D.13-09-023 as follows:  </w:t>
      </w:r>
    </w:p>
    <w:p w14:paraId="57F5F1DA" w14:textId="77777777" w:rsidR="00705F19" w:rsidRDefault="00705F19" w:rsidP="00705F19">
      <w:pPr>
        <w:pStyle w:val="Caption"/>
        <w:keepNext/>
        <w:spacing w:after="0" w:line="240" w:lineRule="auto"/>
        <w:rPr>
          <w:rFonts w:ascii="Palatino" w:eastAsia="Times New Roman" w:hAnsi="Palatino"/>
          <w:b w:val="0"/>
          <w:bCs w:val="0"/>
          <w:sz w:val="26"/>
        </w:rPr>
      </w:pPr>
      <w:r w:rsidRPr="003112F9">
        <w:rPr>
          <w:rFonts w:ascii="Palatino" w:eastAsia="Times New Roman" w:hAnsi="Palatino"/>
          <w:b w:val="0"/>
          <w:bCs w:val="0"/>
          <w:sz w:val="26"/>
        </w:rPr>
        <w:lastRenderedPageBreak/>
        <w:t xml:space="preserve">Table </w:t>
      </w:r>
      <w:r w:rsidRPr="003112F9">
        <w:rPr>
          <w:rFonts w:ascii="Palatino" w:eastAsia="Times New Roman" w:hAnsi="Palatino"/>
          <w:b w:val="0"/>
          <w:bCs w:val="0"/>
          <w:sz w:val="26"/>
        </w:rPr>
        <w:fldChar w:fldCharType="begin"/>
      </w:r>
      <w:r w:rsidRPr="003112F9">
        <w:rPr>
          <w:rFonts w:ascii="Palatino" w:eastAsia="Times New Roman" w:hAnsi="Palatino"/>
          <w:b w:val="0"/>
          <w:bCs w:val="0"/>
          <w:sz w:val="26"/>
        </w:rPr>
        <w:instrText xml:space="preserve"> SEQ Table \* ARABIC </w:instrText>
      </w:r>
      <w:r w:rsidRPr="003112F9">
        <w:rPr>
          <w:rFonts w:ascii="Palatino" w:eastAsia="Times New Roman" w:hAnsi="Palatino"/>
          <w:b w:val="0"/>
          <w:bCs w:val="0"/>
          <w:sz w:val="26"/>
        </w:rPr>
        <w:fldChar w:fldCharType="separate"/>
      </w:r>
      <w:r w:rsidR="00C25372">
        <w:rPr>
          <w:rFonts w:ascii="Palatino" w:eastAsia="Times New Roman" w:hAnsi="Palatino"/>
          <w:b w:val="0"/>
          <w:bCs w:val="0"/>
          <w:noProof/>
          <w:sz w:val="26"/>
        </w:rPr>
        <w:t>1</w:t>
      </w:r>
      <w:r w:rsidRPr="003112F9">
        <w:rPr>
          <w:rFonts w:ascii="Palatino" w:eastAsia="Times New Roman" w:hAnsi="Palatino"/>
          <w:b w:val="0"/>
          <w:bCs w:val="0"/>
          <w:sz w:val="26"/>
        </w:rPr>
        <w:fldChar w:fldCharType="end"/>
      </w:r>
      <w:r w:rsidRPr="003112F9">
        <w:rPr>
          <w:rFonts w:ascii="Palatino" w:eastAsia="Times New Roman" w:hAnsi="Palatino"/>
          <w:b w:val="0"/>
          <w:bCs w:val="0"/>
          <w:sz w:val="26"/>
        </w:rPr>
        <w:t xml:space="preserve">: </w:t>
      </w:r>
      <w:r>
        <w:rPr>
          <w:rFonts w:ascii="Palatino" w:eastAsia="Times New Roman" w:hAnsi="Palatino"/>
          <w:b w:val="0"/>
          <w:bCs w:val="0"/>
          <w:sz w:val="26"/>
        </w:rPr>
        <w:t xml:space="preserve">2013-14 </w:t>
      </w:r>
      <w:r w:rsidR="00EF059E">
        <w:rPr>
          <w:rFonts w:ascii="Palatino" w:eastAsia="Times New Roman" w:hAnsi="Palatino"/>
          <w:b w:val="0"/>
          <w:bCs w:val="0"/>
          <w:sz w:val="26"/>
        </w:rPr>
        <w:t xml:space="preserve">Total </w:t>
      </w:r>
      <w:r w:rsidRPr="003112F9">
        <w:rPr>
          <w:rFonts w:ascii="Palatino" w:eastAsia="Times New Roman" w:hAnsi="Palatino"/>
          <w:b w:val="0"/>
          <w:bCs w:val="0"/>
          <w:sz w:val="26"/>
        </w:rPr>
        <w:t>Award Caps by Component and IOU (in millions)</w:t>
      </w:r>
      <w:r>
        <w:rPr>
          <w:rFonts w:ascii="Palatino" w:eastAsia="Times New Roman" w:hAnsi="Palatino"/>
          <w:b w:val="0"/>
          <w:bCs w:val="0"/>
          <w:sz w:val="26"/>
        </w:rPr>
        <w:t xml:space="preserve"> </w:t>
      </w:r>
    </w:p>
    <w:p w14:paraId="57F5F1DB" w14:textId="77777777" w:rsidR="00705F19" w:rsidRPr="0029797B" w:rsidRDefault="00705F19" w:rsidP="00705F19"/>
    <w:tbl>
      <w:tblPr>
        <w:tblW w:w="9478" w:type="dxa"/>
        <w:tblCellMar>
          <w:left w:w="0" w:type="dxa"/>
          <w:right w:w="0" w:type="dxa"/>
        </w:tblCellMar>
        <w:tblLook w:val="0620" w:firstRow="1" w:lastRow="0" w:firstColumn="0" w:lastColumn="0" w:noHBand="1" w:noVBand="1"/>
      </w:tblPr>
      <w:tblGrid>
        <w:gridCol w:w="2424"/>
        <w:gridCol w:w="2720"/>
        <w:gridCol w:w="1081"/>
        <w:gridCol w:w="934"/>
        <w:gridCol w:w="1190"/>
        <w:gridCol w:w="1129"/>
      </w:tblGrid>
      <w:tr w:rsidR="00705F19" w:rsidRPr="003112F9" w14:paraId="57F5F1E2" w14:textId="77777777" w:rsidTr="0078095C">
        <w:trPr>
          <w:trHeight w:val="498"/>
          <w:tblHeader/>
        </w:trPr>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DC" w14:textId="77777777" w:rsidR="00705F19" w:rsidRPr="003112F9" w:rsidRDefault="00705F19" w:rsidP="0078095C">
            <w:r w:rsidRPr="003112F9">
              <w:rPr>
                <w:b/>
                <w:bCs/>
              </w:rPr>
              <w:t>Component</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DD" w14:textId="77777777" w:rsidR="00705F19" w:rsidRPr="003112F9" w:rsidRDefault="00705F19" w:rsidP="0078095C">
            <w:pPr>
              <w:jc w:val="center"/>
            </w:pPr>
            <w:r w:rsidRPr="003112F9">
              <w:rPr>
                <w:b/>
                <w:bCs/>
              </w:rPr>
              <w:t>Cap</w:t>
            </w:r>
          </w:p>
        </w:tc>
        <w:tc>
          <w:tcPr>
            <w:tcW w:w="1081" w:type="dxa"/>
            <w:tcBorders>
              <w:top w:val="single" w:sz="8" w:space="0" w:color="000000"/>
              <w:left w:val="single" w:sz="8" w:space="0" w:color="000000"/>
              <w:bottom w:val="single" w:sz="8" w:space="0" w:color="000000"/>
              <w:right w:val="single" w:sz="8" w:space="0" w:color="000000"/>
            </w:tcBorders>
          </w:tcPr>
          <w:p w14:paraId="57F5F1DE" w14:textId="77777777" w:rsidR="00705F19" w:rsidRPr="003112F9" w:rsidRDefault="00705F19" w:rsidP="0078095C">
            <w:pPr>
              <w:jc w:val="center"/>
              <w:rPr>
                <w:b/>
                <w:bCs/>
              </w:rPr>
            </w:pPr>
            <w:r w:rsidRPr="003112F9">
              <w:rPr>
                <w:b/>
                <w:bCs/>
              </w:rPr>
              <w:t>PG&amp;E</w:t>
            </w:r>
          </w:p>
        </w:tc>
        <w:tc>
          <w:tcPr>
            <w:tcW w:w="934" w:type="dxa"/>
            <w:tcBorders>
              <w:top w:val="single" w:sz="8" w:space="0" w:color="000000"/>
              <w:left w:val="single" w:sz="8" w:space="0" w:color="000000"/>
              <w:bottom w:val="single" w:sz="8" w:space="0" w:color="000000"/>
              <w:right w:val="single" w:sz="8" w:space="0" w:color="000000"/>
            </w:tcBorders>
          </w:tcPr>
          <w:p w14:paraId="57F5F1DF" w14:textId="77777777" w:rsidR="00705F19" w:rsidRPr="003112F9" w:rsidRDefault="00705F19" w:rsidP="0078095C">
            <w:pPr>
              <w:jc w:val="center"/>
              <w:rPr>
                <w:b/>
                <w:bCs/>
              </w:rPr>
            </w:pPr>
            <w:r>
              <w:rPr>
                <w:b/>
                <w:bCs/>
              </w:rPr>
              <w:t>SCE</w:t>
            </w:r>
          </w:p>
        </w:tc>
        <w:tc>
          <w:tcPr>
            <w:tcW w:w="1190" w:type="dxa"/>
            <w:tcBorders>
              <w:top w:val="single" w:sz="8" w:space="0" w:color="000000"/>
              <w:left w:val="single" w:sz="8" w:space="0" w:color="000000"/>
              <w:bottom w:val="single" w:sz="8" w:space="0" w:color="000000"/>
              <w:right w:val="single" w:sz="8" w:space="0" w:color="000000"/>
            </w:tcBorders>
          </w:tcPr>
          <w:p w14:paraId="57F5F1E0" w14:textId="77777777" w:rsidR="00705F19" w:rsidRPr="003112F9" w:rsidRDefault="00705F19" w:rsidP="0078095C">
            <w:pPr>
              <w:jc w:val="center"/>
              <w:rPr>
                <w:b/>
                <w:bCs/>
              </w:rPr>
            </w:pPr>
            <w:r w:rsidRPr="003112F9">
              <w:rPr>
                <w:b/>
                <w:bCs/>
              </w:rPr>
              <w:t>SoCalGas</w:t>
            </w:r>
          </w:p>
        </w:tc>
        <w:tc>
          <w:tcPr>
            <w:tcW w:w="1129" w:type="dxa"/>
            <w:tcBorders>
              <w:top w:val="single" w:sz="8" w:space="0" w:color="000000"/>
              <w:left w:val="single" w:sz="8" w:space="0" w:color="000000"/>
              <w:bottom w:val="single" w:sz="8" w:space="0" w:color="000000"/>
              <w:right w:val="single" w:sz="8" w:space="0" w:color="000000"/>
            </w:tcBorders>
          </w:tcPr>
          <w:p w14:paraId="57F5F1E1" w14:textId="77777777" w:rsidR="00705F19" w:rsidRPr="003112F9" w:rsidRDefault="00705F19" w:rsidP="0078095C">
            <w:pPr>
              <w:jc w:val="center"/>
              <w:rPr>
                <w:b/>
                <w:bCs/>
              </w:rPr>
            </w:pPr>
            <w:r w:rsidRPr="003112F9">
              <w:rPr>
                <w:b/>
                <w:bCs/>
              </w:rPr>
              <w:t>SDG&amp;E</w:t>
            </w:r>
          </w:p>
        </w:tc>
      </w:tr>
      <w:tr w:rsidR="00705F19" w:rsidRPr="003112F9" w14:paraId="57F5F1E9" w14:textId="77777777" w:rsidTr="0078095C">
        <w:trPr>
          <w:trHeight w:val="574"/>
        </w:trPr>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E3" w14:textId="77777777" w:rsidR="00705F19" w:rsidRPr="003112F9" w:rsidRDefault="00705F19" w:rsidP="0078095C">
            <w:r w:rsidRPr="003112F9">
              <w:t>Energy savings performance award</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E4" w14:textId="77777777" w:rsidR="00705F19" w:rsidRPr="003112F9" w:rsidRDefault="00705F19" w:rsidP="0078095C">
            <w:r w:rsidRPr="003112F9">
              <w:t>9% of resource program budget (minus C&amp;S)</w:t>
            </w:r>
          </w:p>
        </w:tc>
        <w:tc>
          <w:tcPr>
            <w:tcW w:w="1081" w:type="dxa"/>
            <w:tcBorders>
              <w:top w:val="single" w:sz="8" w:space="0" w:color="000000"/>
              <w:left w:val="single" w:sz="8" w:space="0" w:color="000000"/>
              <w:bottom w:val="single" w:sz="8" w:space="0" w:color="000000"/>
              <w:right w:val="single" w:sz="8" w:space="0" w:color="000000"/>
            </w:tcBorders>
          </w:tcPr>
          <w:p w14:paraId="57F5F1E5" w14:textId="77777777" w:rsidR="00705F19" w:rsidRPr="003112F9" w:rsidRDefault="00705F19" w:rsidP="0078095C">
            <w:pPr>
              <w:jc w:val="center"/>
            </w:pPr>
            <w:r w:rsidRPr="003112F9">
              <w:t>$ 58.9</w:t>
            </w:r>
          </w:p>
        </w:tc>
        <w:tc>
          <w:tcPr>
            <w:tcW w:w="934" w:type="dxa"/>
            <w:tcBorders>
              <w:top w:val="single" w:sz="8" w:space="0" w:color="000000"/>
              <w:left w:val="single" w:sz="8" w:space="0" w:color="000000"/>
              <w:bottom w:val="single" w:sz="8" w:space="0" w:color="000000"/>
              <w:right w:val="single" w:sz="8" w:space="0" w:color="000000"/>
            </w:tcBorders>
          </w:tcPr>
          <w:p w14:paraId="57F5F1E6" w14:textId="77777777" w:rsidR="00705F19" w:rsidRPr="003112F9" w:rsidRDefault="00705F19" w:rsidP="0078095C">
            <w:pPr>
              <w:jc w:val="center"/>
            </w:pPr>
            <w:r>
              <w:t>$ 40.9</w:t>
            </w:r>
          </w:p>
        </w:tc>
        <w:tc>
          <w:tcPr>
            <w:tcW w:w="1190" w:type="dxa"/>
            <w:tcBorders>
              <w:top w:val="single" w:sz="8" w:space="0" w:color="000000"/>
              <w:left w:val="single" w:sz="8" w:space="0" w:color="000000"/>
              <w:bottom w:val="single" w:sz="8" w:space="0" w:color="000000"/>
              <w:right w:val="single" w:sz="8" w:space="0" w:color="000000"/>
            </w:tcBorders>
          </w:tcPr>
          <w:p w14:paraId="57F5F1E7" w14:textId="77777777" w:rsidR="00705F19" w:rsidRPr="003112F9" w:rsidRDefault="00705F19" w:rsidP="0078095C">
            <w:pPr>
              <w:jc w:val="center"/>
            </w:pPr>
            <w:r w:rsidRPr="003112F9">
              <w:t>$ 12.5</w:t>
            </w:r>
          </w:p>
        </w:tc>
        <w:tc>
          <w:tcPr>
            <w:tcW w:w="1129" w:type="dxa"/>
            <w:tcBorders>
              <w:top w:val="single" w:sz="8" w:space="0" w:color="000000"/>
              <w:left w:val="single" w:sz="8" w:space="0" w:color="000000"/>
              <w:bottom w:val="single" w:sz="8" w:space="0" w:color="000000"/>
              <w:right w:val="single" w:sz="8" w:space="0" w:color="000000"/>
            </w:tcBorders>
          </w:tcPr>
          <w:p w14:paraId="57F5F1E8" w14:textId="77777777" w:rsidR="00705F19" w:rsidRPr="003112F9" w:rsidRDefault="00705F19" w:rsidP="0078095C">
            <w:pPr>
              <w:jc w:val="center"/>
            </w:pPr>
            <w:r w:rsidRPr="003112F9">
              <w:t>$ 14.5</w:t>
            </w:r>
          </w:p>
        </w:tc>
      </w:tr>
      <w:tr w:rsidR="00705F19" w:rsidRPr="003112F9" w14:paraId="57F5F1F0" w14:textId="77777777" w:rsidTr="0078095C">
        <w:trPr>
          <w:trHeight w:val="574"/>
        </w:trPr>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EA" w14:textId="77777777" w:rsidR="00705F19" w:rsidRPr="003112F9" w:rsidRDefault="00705F19" w:rsidP="0078095C">
            <w:r w:rsidRPr="003112F9">
              <w:t>Ex ante review performance award</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EB" w14:textId="77777777" w:rsidR="00705F19" w:rsidRPr="003112F9" w:rsidRDefault="00705F19" w:rsidP="0078095C">
            <w:r w:rsidRPr="003112F9">
              <w:t>3% of resource program budget (minus C&amp;S)</w:t>
            </w:r>
          </w:p>
        </w:tc>
        <w:tc>
          <w:tcPr>
            <w:tcW w:w="1081" w:type="dxa"/>
            <w:tcBorders>
              <w:top w:val="single" w:sz="8" w:space="0" w:color="000000"/>
              <w:left w:val="single" w:sz="8" w:space="0" w:color="000000"/>
              <w:bottom w:val="single" w:sz="8" w:space="0" w:color="000000"/>
              <w:right w:val="single" w:sz="8" w:space="0" w:color="000000"/>
            </w:tcBorders>
          </w:tcPr>
          <w:p w14:paraId="57F5F1EC" w14:textId="77777777" w:rsidR="00705F19" w:rsidRPr="003112F9" w:rsidRDefault="00705F19" w:rsidP="0078095C">
            <w:pPr>
              <w:jc w:val="center"/>
            </w:pPr>
            <w:r w:rsidRPr="003112F9">
              <w:t>$ 19.6</w:t>
            </w:r>
          </w:p>
        </w:tc>
        <w:tc>
          <w:tcPr>
            <w:tcW w:w="934" w:type="dxa"/>
            <w:tcBorders>
              <w:top w:val="single" w:sz="8" w:space="0" w:color="000000"/>
              <w:left w:val="single" w:sz="8" w:space="0" w:color="000000"/>
              <w:bottom w:val="single" w:sz="8" w:space="0" w:color="000000"/>
              <w:right w:val="single" w:sz="8" w:space="0" w:color="000000"/>
            </w:tcBorders>
          </w:tcPr>
          <w:p w14:paraId="57F5F1ED" w14:textId="77777777" w:rsidR="00705F19" w:rsidRPr="003112F9" w:rsidRDefault="00705F19" w:rsidP="0078095C">
            <w:pPr>
              <w:jc w:val="center"/>
            </w:pPr>
            <w:r>
              <w:t>$ 13.6</w:t>
            </w:r>
          </w:p>
        </w:tc>
        <w:tc>
          <w:tcPr>
            <w:tcW w:w="1190" w:type="dxa"/>
            <w:tcBorders>
              <w:top w:val="single" w:sz="8" w:space="0" w:color="000000"/>
              <w:left w:val="single" w:sz="8" w:space="0" w:color="000000"/>
              <w:bottom w:val="single" w:sz="8" w:space="0" w:color="000000"/>
              <w:right w:val="single" w:sz="8" w:space="0" w:color="000000"/>
            </w:tcBorders>
          </w:tcPr>
          <w:p w14:paraId="57F5F1EE" w14:textId="77777777" w:rsidR="00705F19" w:rsidRPr="003112F9" w:rsidRDefault="00705F19" w:rsidP="0078095C">
            <w:pPr>
              <w:jc w:val="center"/>
            </w:pPr>
            <w:r w:rsidRPr="003112F9">
              <w:t>$</w:t>
            </w:r>
            <w:r>
              <w:t xml:space="preserve"> </w:t>
            </w:r>
            <w:r w:rsidRPr="003112F9">
              <w:t>4.2</w:t>
            </w:r>
          </w:p>
        </w:tc>
        <w:tc>
          <w:tcPr>
            <w:tcW w:w="1129" w:type="dxa"/>
            <w:tcBorders>
              <w:top w:val="single" w:sz="8" w:space="0" w:color="000000"/>
              <w:left w:val="single" w:sz="8" w:space="0" w:color="000000"/>
              <w:bottom w:val="single" w:sz="8" w:space="0" w:color="000000"/>
              <w:right w:val="single" w:sz="8" w:space="0" w:color="000000"/>
            </w:tcBorders>
          </w:tcPr>
          <w:p w14:paraId="57F5F1EF" w14:textId="77777777" w:rsidR="00705F19" w:rsidRPr="003112F9" w:rsidRDefault="00705F19" w:rsidP="0078095C">
            <w:pPr>
              <w:jc w:val="center"/>
            </w:pPr>
            <w:r w:rsidRPr="003112F9">
              <w:t>$ 4.8</w:t>
            </w:r>
          </w:p>
        </w:tc>
      </w:tr>
      <w:tr w:rsidR="00705F19" w:rsidRPr="003112F9" w14:paraId="57F5F1F7" w14:textId="77777777" w:rsidTr="0078095C">
        <w:trPr>
          <w:trHeight w:val="574"/>
        </w:trPr>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F1" w14:textId="77777777" w:rsidR="00705F19" w:rsidRPr="003112F9" w:rsidRDefault="00705F19" w:rsidP="0078095C">
            <w:r w:rsidRPr="003112F9">
              <w:t>Codes &amp; Standards (C&amp;S) program management fee</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F2" w14:textId="77777777" w:rsidR="00705F19" w:rsidRPr="003112F9" w:rsidRDefault="00705F19" w:rsidP="0078095C">
            <w:r w:rsidRPr="003112F9">
              <w:t>12% of C&amp;S program budget</w:t>
            </w:r>
          </w:p>
        </w:tc>
        <w:tc>
          <w:tcPr>
            <w:tcW w:w="1081" w:type="dxa"/>
            <w:tcBorders>
              <w:top w:val="single" w:sz="8" w:space="0" w:color="000000"/>
              <w:left w:val="single" w:sz="8" w:space="0" w:color="000000"/>
              <w:bottom w:val="single" w:sz="8" w:space="0" w:color="000000"/>
              <w:right w:val="single" w:sz="8" w:space="0" w:color="000000"/>
            </w:tcBorders>
          </w:tcPr>
          <w:p w14:paraId="57F5F1F3" w14:textId="77777777" w:rsidR="00705F19" w:rsidRPr="003112F9" w:rsidRDefault="00705F19" w:rsidP="0078095C">
            <w:pPr>
              <w:jc w:val="center"/>
            </w:pPr>
            <w:r w:rsidRPr="003112F9">
              <w:t>$ 1.4</w:t>
            </w:r>
          </w:p>
        </w:tc>
        <w:tc>
          <w:tcPr>
            <w:tcW w:w="934" w:type="dxa"/>
            <w:tcBorders>
              <w:top w:val="single" w:sz="8" w:space="0" w:color="000000"/>
              <w:left w:val="single" w:sz="8" w:space="0" w:color="000000"/>
              <w:bottom w:val="single" w:sz="8" w:space="0" w:color="000000"/>
              <w:right w:val="single" w:sz="8" w:space="0" w:color="000000"/>
            </w:tcBorders>
          </w:tcPr>
          <w:p w14:paraId="57F5F1F4" w14:textId="77777777" w:rsidR="00705F19" w:rsidRPr="003112F9" w:rsidRDefault="00705F19" w:rsidP="0078095C">
            <w:pPr>
              <w:jc w:val="center"/>
            </w:pPr>
            <w:r>
              <w:t>$ 1.16</w:t>
            </w:r>
          </w:p>
        </w:tc>
        <w:tc>
          <w:tcPr>
            <w:tcW w:w="1190" w:type="dxa"/>
            <w:tcBorders>
              <w:top w:val="single" w:sz="8" w:space="0" w:color="000000"/>
              <w:left w:val="single" w:sz="8" w:space="0" w:color="000000"/>
              <w:bottom w:val="single" w:sz="8" w:space="0" w:color="000000"/>
              <w:right w:val="single" w:sz="8" w:space="0" w:color="000000"/>
            </w:tcBorders>
          </w:tcPr>
          <w:p w14:paraId="57F5F1F5" w14:textId="77777777" w:rsidR="00705F19" w:rsidRPr="003112F9" w:rsidRDefault="00705F19" w:rsidP="0078095C">
            <w:pPr>
              <w:jc w:val="center"/>
            </w:pPr>
            <w:r w:rsidRPr="003112F9">
              <w:t>$ 0.18</w:t>
            </w:r>
          </w:p>
        </w:tc>
        <w:tc>
          <w:tcPr>
            <w:tcW w:w="1129" w:type="dxa"/>
            <w:tcBorders>
              <w:top w:val="single" w:sz="8" w:space="0" w:color="000000"/>
              <w:left w:val="single" w:sz="8" w:space="0" w:color="000000"/>
              <w:bottom w:val="single" w:sz="8" w:space="0" w:color="000000"/>
              <w:right w:val="single" w:sz="8" w:space="0" w:color="000000"/>
            </w:tcBorders>
          </w:tcPr>
          <w:p w14:paraId="57F5F1F6" w14:textId="77777777" w:rsidR="00705F19" w:rsidRPr="003112F9" w:rsidRDefault="00705F19" w:rsidP="0078095C">
            <w:pPr>
              <w:jc w:val="center"/>
            </w:pPr>
            <w:r w:rsidRPr="003112F9">
              <w:t>$ 0.23</w:t>
            </w:r>
          </w:p>
        </w:tc>
      </w:tr>
      <w:tr w:rsidR="00705F19" w:rsidRPr="003112F9" w14:paraId="57F5F1FE" w14:textId="77777777" w:rsidTr="0078095C">
        <w:trPr>
          <w:trHeight w:val="574"/>
        </w:trPr>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F8" w14:textId="77777777" w:rsidR="00705F19" w:rsidRPr="003112F9" w:rsidRDefault="00705F19" w:rsidP="0078095C">
            <w:r w:rsidRPr="003112F9">
              <w:t>Non-resource program management fee</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F9" w14:textId="77777777" w:rsidR="00705F19" w:rsidRPr="003112F9" w:rsidRDefault="00705F19" w:rsidP="0078095C">
            <w:r w:rsidRPr="003112F9">
              <w:t>3% of non-resource program budget</w:t>
            </w:r>
          </w:p>
        </w:tc>
        <w:tc>
          <w:tcPr>
            <w:tcW w:w="1081" w:type="dxa"/>
            <w:tcBorders>
              <w:top w:val="single" w:sz="8" w:space="0" w:color="000000"/>
              <w:left w:val="single" w:sz="8" w:space="0" w:color="000000"/>
              <w:bottom w:val="single" w:sz="8" w:space="0" w:color="000000"/>
              <w:right w:val="single" w:sz="8" w:space="0" w:color="000000"/>
            </w:tcBorders>
          </w:tcPr>
          <w:p w14:paraId="57F5F1FA" w14:textId="77777777" w:rsidR="00705F19" w:rsidRPr="003112F9" w:rsidRDefault="00705F19" w:rsidP="0078095C">
            <w:pPr>
              <w:jc w:val="center"/>
            </w:pPr>
            <w:r w:rsidRPr="003112F9">
              <w:t>$ 2.8</w:t>
            </w:r>
          </w:p>
        </w:tc>
        <w:tc>
          <w:tcPr>
            <w:tcW w:w="934" w:type="dxa"/>
            <w:tcBorders>
              <w:top w:val="single" w:sz="8" w:space="0" w:color="000000"/>
              <w:left w:val="single" w:sz="8" w:space="0" w:color="000000"/>
              <w:bottom w:val="single" w:sz="8" w:space="0" w:color="000000"/>
              <w:right w:val="single" w:sz="8" w:space="0" w:color="000000"/>
            </w:tcBorders>
          </w:tcPr>
          <w:p w14:paraId="57F5F1FB" w14:textId="77777777" w:rsidR="00705F19" w:rsidRPr="003112F9" w:rsidRDefault="00705F19" w:rsidP="0078095C">
            <w:pPr>
              <w:jc w:val="center"/>
            </w:pPr>
            <w:r>
              <w:t>$ 2.7</w:t>
            </w:r>
          </w:p>
        </w:tc>
        <w:tc>
          <w:tcPr>
            <w:tcW w:w="1190" w:type="dxa"/>
            <w:tcBorders>
              <w:top w:val="single" w:sz="8" w:space="0" w:color="000000"/>
              <w:left w:val="single" w:sz="8" w:space="0" w:color="000000"/>
              <w:bottom w:val="single" w:sz="8" w:space="0" w:color="000000"/>
              <w:right w:val="single" w:sz="8" w:space="0" w:color="000000"/>
            </w:tcBorders>
          </w:tcPr>
          <w:p w14:paraId="57F5F1FC" w14:textId="77777777" w:rsidR="00705F19" w:rsidRPr="003112F9" w:rsidRDefault="00705F19" w:rsidP="0078095C">
            <w:pPr>
              <w:jc w:val="center"/>
            </w:pPr>
            <w:r w:rsidRPr="003112F9">
              <w:t>$ 0.26</w:t>
            </w:r>
          </w:p>
        </w:tc>
        <w:tc>
          <w:tcPr>
            <w:tcW w:w="1129" w:type="dxa"/>
            <w:tcBorders>
              <w:top w:val="single" w:sz="8" w:space="0" w:color="000000"/>
              <w:left w:val="single" w:sz="8" w:space="0" w:color="000000"/>
              <w:bottom w:val="single" w:sz="8" w:space="0" w:color="000000"/>
              <w:right w:val="single" w:sz="8" w:space="0" w:color="000000"/>
            </w:tcBorders>
          </w:tcPr>
          <w:p w14:paraId="57F5F1FD" w14:textId="77777777" w:rsidR="00705F19" w:rsidRPr="003112F9" w:rsidRDefault="00705F19" w:rsidP="0078095C">
            <w:pPr>
              <w:jc w:val="center"/>
            </w:pPr>
            <w:r w:rsidRPr="003112F9">
              <w:t>$ 0.47</w:t>
            </w:r>
          </w:p>
        </w:tc>
      </w:tr>
      <w:tr w:rsidR="00705F19" w:rsidRPr="003112F9" w14:paraId="57F5F205" w14:textId="77777777" w:rsidTr="0078095C">
        <w:trPr>
          <w:trHeight w:val="460"/>
        </w:trPr>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1FF" w14:textId="77777777" w:rsidR="00705F19" w:rsidRPr="003112F9" w:rsidRDefault="00705F19" w:rsidP="0078095C">
            <w:r w:rsidRPr="003112F9">
              <w:t>Total Cap Value</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5F200" w14:textId="77777777" w:rsidR="00705F19" w:rsidRPr="003112F9" w:rsidRDefault="00705F19" w:rsidP="0078095C">
            <w:r w:rsidRPr="003112F9">
              <w:t>11% of EE portfolio budget</w:t>
            </w:r>
          </w:p>
        </w:tc>
        <w:tc>
          <w:tcPr>
            <w:tcW w:w="1081" w:type="dxa"/>
            <w:tcBorders>
              <w:top w:val="single" w:sz="8" w:space="0" w:color="000000"/>
              <w:left w:val="single" w:sz="8" w:space="0" w:color="000000"/>
              <w:bottom w:val="single" w:sz="8" w:space="0" w:color="000000"/>
              <w:right w:val="single" w:sz="8" w:space="0" w:color="000000"/>
            </w:tcBorders>
          </w:tcPr>
          <w:p w14:paraId="57F5F201" w14:textId="77777777" w:rsidR="00705F19" w:rsidRPr="003112F9" w:rsidRDefault="00705F19" w:rsidP="0078095C">
            <w:pPr>
              <w:jc w:val="center"/>
              <w:rPr>
                <w:b/>
              </w:rPr>
            </w:pPr>
            <w:r w:rsidRPr="003112F9">
              <w:rPr>
                <w:b/>
              </w:rPr>
              <w:t>$ 82.7</w:t>
            </w:r>
          </w:p>
        </w:tc>
        <w:tc>
          <w:tcPr>
            <w:tcW w:w="934" w:type="dxa"/>
            <w:tcBorders>
              <w:top w:val="single" w:sz="8" w:space="0" w:color="000000"/>
              <w:left w:val="single" w:sz="8" w:space="0" w:color="000000"/>
              <w:bottom w:val="single" w:sz="8" w:space="0" w:color="000000"/>
              <w:right w:val="single" w:sz="8" w:space="0" w:color="000000"/>
            </w:tcBorders>
          </w:tcPr>
          <w:p w14:paraId="57F5F202" w14:textId="77777777" w:rsidR="00705F19" w:rsidRPr="003112F9" w:rsidRDefault="00705F19" w:rsidP="0078095C">
            <w:pPr>
              <w:jc w:val="center"/>
              <w:rPr>
                <w:b/>
              </w:rPr>
            </w:pPr>
            <w:r>
              <w:rPr>
                <w:b/>
              </w:rPr>
              <w:t>$ 58.5</w:t>
            </w:r>
          </w:p>
        </w:tc>
        <w:tc>
          <w:tcPr>
            <w:tcW w:w="1190" w:type="dxa"/>
            <w:tcBorders>
              <w:top w:val="single" w:sz="8" w:space="0" w:color="000000"/>
              <w:left w:val="single" w:sz="8" w:space="0" w:color="000000"/>
              <w:bottom w:val="single" w:sz="8" w:space="0" w:color="000000"/>
              <w:right w:val="single" w:sz="8" w:space="0" w:color="000000"/>
            </w:tcBorders>
          </w:tcPr>
          <w:p w14:paraId="57F5F203" w14:textId="77777777" w:rsidR="00705F19" w:rsidRPr="003112F9" w:rsidRDefault="00705F19" w:rsidP="0078095C">
            <w:pPr>
              <w:jc w:val="center"/>
              <w:rPr>
                <w:b/>
              </w:rPr>
            </w:pPr>
            <w:r w:rsidRPr="003112F9">
              <w:rPr>
                <w:b/>
              </w:rPr>
              <w:t>$ 17.1</w:t>
            </w:r>
          </w:p>
        </w:tc>
        <w:tc>
          <w:tcPr>
            <w:tcW w:w="1129" w:type="dxa"/>
            <w:tcBorders>
              <w:top w:val="single" w:sz="8" w:space="0" w:color="000000"/>
              <w:left w:val="single" w:sz="8" w:space="0" w:color="000000"/>
              <w:bottom w:val="single" w:sz="8" w:space="0" w:color="000000"/>
              <w:right w:val="single" w:sz="8" w:space="0" w:color="000000"/>
            </w:tcBorders>
          </w:tcPr>
          <w:p w14:paraId="57F5F204" w14:textId="77777777" w:rsidR="00705F19" w:rsidRPr="003112F9" w:rsidRDefault="00705F19" w:rsidP="0078095C">
            <w:pPr>
              <w:jc w:val="center"/>
              <w:rPr>
                <w:b/>
              </w:rPr>
            </w:pPr>
            <w:r w:rsidRPr="003112F9">
              <w:rPr>
                <w:b/>
              </w:rPr>
              <w:t>$ 20.0</w:t>
            </w:r>
          </w:p>
        </w:tc>
      </w:tr>
    </w:tbl>
    <w:p w14:paraId="57F5F206" w14:textId="77777777" w:rsidR="00705F19" w:rsidRPr="003112F9" w:rsidRDefault="00705F19" w:rsidP="00705F19"/>
    <w:p w14:paraId="57F5F207" w14:textId="77777777" w:rsidR="00705F19" w:rsidRPr="00BF0662" w:rsidRDefault="00705F19" w:rsidP="00705F19">
      <w:r w:rsidRPr="00BF0662">
        <w:t xml:space="preserve">Per D.13-09-023, the IOUs are to rely on public versions of the Commission Utility Audit, Finance and Compliance Branch (UAFCB) reports to determine the actual expenditures to calculate their respective incentive awards. The UAFCB reports for 2013 were not completed at the time of the approval of 2013 awards. </w:t>
      </w:r>
      <w:r w:rsidRPr="00EA2D80">
        <w:t>The reports have now been completed</w:t>
      </w:r>
      <w:r w:rsidRPr="00EA2D80">
        <w:rPr>
          <w:rStyle w:val="FootnoteReference"/>
        </w:rPr>
        <w:footnoteReference w:id="7"/>
      </w:r>
      <w:r w:rsidRPr="00EA2D80">
        <w:t xml:space="preserve"> so commission staff will true up the </w:t>
      </w:r>
      <w:r w:rsidR="00D261DB">
        <w:br/>
      </w:r>
      <w:r w:rsidRPr="00EA2D80">
        <w:t>2013 awards based on audited expenditures from the reports.</w:t>
      </w:r>
      <w:r w:rsidRPr="00BF0662">
        <w:t xml:space="preserve">  </w:t>
      </w:r>
    </w:p>
    <w:p w14:paraId="57F5F208" w14:textId="77777777" w:rsidR="00705F19" w:rsidRPr="00332E3B" w:rsidRDefault="00705F19" w:rsidP="00705F19">
      <w:pPr>
        <w:rPr>
          <w:highlight w:val="yellow"/>
        </w:rPr>
      </w:pPr>
    </w:p>
    <w:p w14:paraId="57F5F209" w14:textId="77777777" w:rsidR="00705F19" w:rsidRPr="00332E3B" w:rsidRDefault="00705F19" w:rsidP="00705F19">
      <w:r w:rsidRPr="00BF0662">
        <w:t xml:space="preserve">The UAFCB reports for 2014, however, have not been completed. As such, Commission staff directed the IOUs to calculate the 2014 awards using their respective reported data and any differences between reported and verified expenditures will be trued up in the advice letter filing for the second installment </w:t>
      </w:r>
      <w:r w:rsidRPr="00BF0662">
        <w:lastRenderedPageBreak/>
        <w:t>of 2014 payments made in 2016.</w:t>
      </w:r>
      <w:r w:rsidRPr="00BF0662">
        <w:rPr>
          <w:rStyle w:val="FootnoteReference"/>
        </w:rPr>
        <w:footnoteReference w:id="8"/>
      </w:r>
      <w:r w:rsidRPr="00BF0662">
        <w:t xml:space="preserve">  This second installment is built into the ESPI mechanism to provide sufficient time to obtain EM&amp;V results required to calculate incentive awards for the ex post savings portion of the savings incentive for custom projects and deemed measures on the measure uncertainty list, and to true up any differences in ex ante deemed savings for installed measure “counts” based on EM&amp;V results.</w:t>
      </w:r>
    </w:p>
    <w:p w14:paraId="57F5F20A" w14:textId="77777777" w:rsidR="00705F19" w:rsidRPr="00697245" w:rsidRDefault="00705F19" w:rsidP="00705F19">
      <w:pPr>
        <w:rPr>
          <w:highlight w:val="yellow"/>
        </w:rPr>
      </w:pPr>
    </w:p>
    <w:p w14:paraId="57F5F20B" w14:textId="77777777" w:rsidR="00705F19" w:rsidRPr="003112F9" w:rsidRDefault="00705F19" w:rsidP="00705F19">
      <w:r w:rsidRPr="00BF0662">
        <w:t>The staff-issued memo describing this process is included in Attachment 1 to Resolution G-3497, Resolution E-4700, and this Resolution. In accordance with D.13-09-023 and the staff-issued memo, PG&amp;E, SCE, SoCalGas, and SDG&amp;E filed their advice letters for 2014 Energy Efficiency Incentive awards for the following:</w:t>
      </w:r>
    </w:p>
    <w:p w14:paraId="57F5F20C" w14:textId="77777777" w:rsidR="00705F19" w:rsidRPr="003112F9" w:rsidRDefault="00705F19" w:rsidP="00705F19"/>
    <w:p w14:paraId="57F5F20D" w14:textId="77777777" w:rsidR="00705F19" w:rsidRPr="003112F9" w:rsidRDefault="00705F19" w:rsidP="00705F19">
      <w:pPr>
        <w:pStyle w:val="ListParagraph"/>
        <w:numPr>
          <w:ilvl w:val="0"/>
          <w:numId w:val="11"/>
        </w:numPr>
        <w:spacing w:after="120"/>
        <w:contextualSpacing w:val="0"/>
        <w:rPr>
          <w:b/>
          <w:u w:val="single"/>
        </w:rPr>
      </w:pPr>
      <w:r w:rsidRPr="003112F9">
        <w:t xml:space="preserve">Energy savings with ex ante parameter estimates: Equal to the utility’s net lifecycle </w:t>
      </w:r>
      <w:r w:rsidRPr="003112F9">
        <w:rPr>
          <w:u w:val="single"/>
        </w:rPr>
        <w:t>reported savings and installation rates</w:t>
      </w:r>
      <w:r w:rsidRPr="003112F9">
        <w:t xml:space="preserve"> multiplied by the adopted earnings rates coefficients, determined in accordance with Attachment 1 of D.13-09-023.  Only savings from deemed measures not included on the ESPI Uncertain List are included in this calculation.</w:t>
      </w:r>
    </w:p>
    <w:p w14:paraId="57F5F20E" w14:textId="77777777" w:rsidR="00705F19" w:rsidRPr="003112F9" w:rsidRDefault="00705F19" w:rsidP="00705F19">
      <w:pPr>
        <w:pStyle w:val="ListParagraph"/>
        <w:numPr>
          <w:ilvl w:val="0"/>
          <w:numId w:val="11"/>
        </w:numPr>
        <w:spacing w:after="120"/>
        <w:contextualSpacing w:val="0"/>
        <w:rPr>
          <w:b/>
          <w:u w:val="single"/>
        </w:rPr>
      </w:pPr>
      <w:r w:rsidRPr="003112F9">
        <w:t xml:space="preserve">Ex ante review performance: Equal to 3% of the utility’s </w:t>
      </w:r>
      <w:r w:rsidRPr="003112F9">
        <w:rPr>
          <w:u w:val="single"/>
        </w:rPr>
        <w:t>reported expenditures</w:t>
      </w:r>
      <w:r w:rsidRPr="003112F9">
        <w:t xml:space="preserve"> on resource programs (excluding administrative costs) during the previous program year multiplied by the utility’s ex ante review score determined in accordance with Attachment 5 of D.13-09-023.</w:t>
      </w:r>
    </w:p>
    <w:p w14:paraId="57F5F20F" w14:textId="77777777" w:rsidR="00705F19" w:rsidRPr="003112F9" w:rsidRDefault="00705F19" w:rsidP="00705F19">
      <w:pPr>
        <w:pStyle w:val="ListParagraph"/>
        <w:numPr>
          <w:ilvl w:val="0"/>
          <w:numId w:val="11"/>
        </w:numPr>
        <w:spacing w:after="120"/>
        <w:contextualSpacing w:val="0"/>
        <w:rPr>
          <w:b/>
          <w:u w:val="single"/>
        </w:rPr>
      </w:pPr>
      <w:r w:rsidRPr="003112F9">
        <w:t xml:space="preserve">Codes and standards advocacy management fee: Equal to 12% of the utility’s </w:t>
      </w:r>
      <w:r w:rsidRPr="003112F9">
        <w:rPr>
          <w:u w:val="single"/>
        </w:rPr>
        <w:t>reported expenditures</w:t>
      </w:r>
      <w:r w:rsidRPr="003112F9">
        <w:t xml:space="preserve"> on codes and standards advocacy during the previous program year.</w:t>
      </w:r>
    </w:p>
    <w:p w14:paraId="57F5F210" w14:textId="77777777" w:rsidR="00705F19" w:rsidRPr="00D261DB" w:rsidRDefault="00705F19" w:rsidP="00D261DB">
      <w:pPr>
        <w:pStyle w:val="ListParagraph"/>
        <w:numPr>
          <w:ilvl w:val="0"/>
          <w:numId w:val="11"/>
        </w:numPr>
        <w:contextualSpacing w:val="0"/>
        <w:rPr>
          <w:b/>
          <w:u w:val="single"/>
        </w:rPr>
      </w:pPr>
      <w:r w:rsidRPr="003112F9">
        <w:t xml:space="preserve">Non-resource management fee: Equal to 3% of the utility’s </w:t>
      </w:r>
      <w:r w:rsidRPr="003112F9">
        <w:rPr>
          <w:u w:val="single"/>
        </w:rPr>
        <w:t>reported expenditures</w:t>
      </w:r>
      <w:r w:rsidRPr="003112F9">
        <w:t xml:space="preserve"> on non-resource programs during the previous program year.</w:t>
      </w:r>
    </w:p>
    <w:p w14:paraId="57F5F211" w14:textId="77777777" w:rsidR="00D261DB" w:rsidRPr="00BF0662" w:rsidRDefault="00D261DB" w:rsidP="00157BF0">
      <w:pPr>
        <w:pStyle w:val="ListParagraph"/>
        <w:spacing w:after="120"/>
        <w:contextualSpacing w:val="0"/>
        <w:rPr>
          <w:b/>
          <w:u w:val="single"/>
        </w:rPr>
      </w:pPr>
    </w:p>
    <w:p w14:paraId="57F5F212" w14:textId="77777777" w:rsidR="00705F19" w:rsidRDefault="00705F19" w:rsidP="00705F19">
      <w:pPr>
        <w:pStyle w:val="Heading1"/>
      </w:pPr>
      <w:r>
        <w:lastRenderedPageBreak/>
        <w:t xml:space="preserve">Notice </w:t>
      </w:r>
    </w:p>
    <w:p w14:paraId="57F5F213" w14:textId="77777777" w:rsidR="00E51260" w:rsidRDefault="00705F19" w:rsidP="00E51260">
      <w:r>
        <w:t xml:space="preserve">Notice of PG&amp;E AL 3606-G/4659-E, SCE AL 3240-E, SoCalGas AL 4826, </w:t>
      </w:r>
      <w:r w:rsidR="00E51260">
        <w:t xml:space="preserve">and </w:t>
      </w:r>
      <w:r>
        <w:t xml:space="preserve">SDG&amp;E AL 2764-E/2396-G </w:t>
      </w:r>
      <w:r w:rsidR="00E51260">
        <w:t>was sent to all parties on GO 96-B and R.12-01-005 service lists.</w:t>
      </w:r>
    </w:p>
    <w:p w14:paraId="57F5F214" w14:textId="77777777" w:rsidR="00E51260" w:rsidRDefault="00E51260" w:rsidP="00705F19"/>
    <w:p w14:paraId="57F5F215" w14:textId="77777777" w:rsidR="006C562F" w:rsidRDefault="006C562F" w:rsidP="00705F19">
      <w:r>
        <w:t>Notice of PG&amp;E AL 3632-G/4705-E, SCE AL 3271-E,  SoCalGas AL 4859, and SDG&amp;E AL 2788-E/2417-G was sent to all parties on GO 96-B and R.12-01-005 service lists.</w:t>
      </w:r>
    </w:p>
    <w:p w14:paraId="57F5F216" w14:textId="77777777" w:rsidR="00EF30CD" w:rsidRDefault="00EF30CD" w:rsidP="00D261DB">
      <w:pPr>
        <w:pStyle w:val="Heading1"/>
        <w:spacing w:after="0"/>
      </w:pPr>
    </w:p>
    <w:p w14:paraId="57F5F217" w14:textId="77777777" w:rsidR="00705F19" w:rsidRDefault="00705F19" w:rsidP="00705F19">
      <w:pPr>
        <w:pStyle w:val="Heading1"/>
      </w:pPr>
      <w:r>
        <w:t>Protests</w:t>
      </w:r>
    </w:p>
    <w:p w14:paraId="57F5F218" w14:textId="77777777" w:rsidR="00705F19" w:rsidRPr="00BF0662" w:rsidRDefault="00705F19" w:rsidP="00705F19">
      <w:r w:rsidRPr="00BF0662">
        <w:t xml:space="preserve">Advice Letters PG&amp;E AL 3663-G/4659-E, SCE AL 3240-E, SoCalGas AL 4826, SDG&amp;E AL 2764-E/2396-G were not protested.  </w:t>
      </w:r>
    </w:p>
    <w:p w14:paraId="57F5F219" w14:textId="77777777" w:rsidR="00705F19" w:rsidRDefault="00705F19" w:rsidP="00705F19"/>
    <w:p w14:paraId="57F5F21A" w14:textId="77777777" w:rsidR="006C562F" w:rsidRPr="006C562F" w:rsidRDefault="006C562F" w:rsidP="00705F19">
      <w:r>
        <w:t>PG&amp;E AL</w:t>
      </w:r>
      <w:r w:rsidR="00EA2D80">
        <w:t xml:space="preserve"> 3632-G/4705-E, SCE AL 3271-E,  </w:t>
      </w:r>
      <w:r>
        <w:t>SoCalGas AL 4859, and SDG&amp;E AL 2788-E/2417-G were</w:t>
      </w:r>
      <w:r w:rsidR="00655C5C">
        <w:t xml:space="preserve"> not protested; </w:t>
      </w:r>
      <w:r w:rsidR="00655C5C" w:rsidRPr="005D4460">
        <w:t xml:space="preserve">however, </w:t>
      </w:r>
      <w:r w:rsidR="00242C8B" w:rsidRPr="005D4460">
        <w:t>the Natural Resources Defense Council, on behalf of eleven joint parties, submitted a letter on October 5, 2015 in support of revising the “hard-to-reach” definition as described in PG&amp;E’s AL 3632-G/4705-E (p.5).</w:t>
      </w:r>
    </w:p>
    <w:p w14:paraId="57F5F21B" w14:textId="77777777" w:rsidR="005D4460" w:rsidRDefault="005D4460" w:rsidP="00D261DB">
      <w:pPr>
        <w:pStyle w:val="Heading1"/>
        <w:spacing w:after="120"/>
      </w:pPr>
    </w:p>
    <w:p w14:paraId="57F5F21C" w14:textId="77777777" w:rsidR="00705F19" w:rsidRDefault="00705F19" w:rsidP="00705F19">
      <w:pPr>
        <w:pStyle w:val="Heading1"/>
      </w:pPr>
      <w:r>
        <w:t>Discussion</w:t>
      </w:r>
    </w:p>
    <w:p w14:paraId="57F5F21D" w14:textId="77777777" w:rsidR="00AF14D9" w:rsidRDefault="00AF14D9" w:rsidP="00D261DB">
      <w:pPr>
        <w:spacing w:after="120"/>
      </w:pPr>
      <w:r w:rsidRPr="00EA2D80">
        <w:rPr>
          <w:b/>
        </w:rPr>
        <w:t>Second Part of 2013 Incentive Awards</w:t>
      </w:r>
    </w:p>
    <w:p w14:paraId="57F5F21E" w14:textId="230D6550" w:rsidR="00B77FE9" w:rsidRDefault="00B77FE9" w:rsidP="00705F19">
      <w:r>
        <w:t>In reviewing the second part of the 2013 incentive awards</w:t>
      </w:r>
      <w:r w:rsidR="00EA2D80">
        <w:t xml:space="preserve"> (awards for savings from custom projects and “uncertainty list” measures and 2013 “true up”)</w:t>
      </w:r>
      <w:r>
        <w:t xml:space="preserve">, Commission staff </w:t>
      </w:r>
      <w:r w:rsidR="00D72705">
        <w:t>accepts the amounts in the advice letters</w:t>
      </w:r>
      <w:r>
        <w:t>:</w:t>
      </w:r>
    </w:p>
    <w:p w14:paraId="57F5F21F" w14:textId="77777777" w:rsidR="00B77FE9" w:rsidRDefault="00B77FE9" w:rsidP="00705F19"/>
    <w:p w14:paraId="57F5F220" w14:textId="77777777" w:rsidR="00B77FE9" w:rsidRDefault="00B77FE9" w:rsidP="00D261DB">
      <w:pPr>
        <w:spacing w:after="120"/>
      </w:pPr>
      <w:r w:rsidRPr="00EA2D80">
        <w:rPr>
          <w:u w:val="single"/>
        </w:rPr>
        <w:t>PG&amp;E Advice Letter 3632-G/4705-E</w:t>
      </w:r>
    </w:p>
    <w:p w14:paraId="57F5F221" w14:textId="77777777" w:rsidR="002B188D" w:rsidRDefault="002B188D" w:rsidP="00705F19">
      <w:r>
        <w:t>PG&amp;E requests an incentive award in the amount of $</w:t>
      </w:r>
      <w:r w:rsidR="00AE775E">
        <w:t>14,358,084</w:t>
      </w:r>
      <w:r>
        <w:t xml:space="preserve">.  This amount differs from the amounts calculated in the 2013 Ex-Post Efficiency Savings and </w:t>
      </w:r>
      <w:r>
        <w:lastRenderedPageBreak/>
        <w:t>Performance Incentive Performance Statement Report</w:t>
      </w:r>
      <w:r>
        <w:rPr>
          <w:rStyle w:val="FootnoteReference"/>
        </w:rPr>
        <w:footnoteReference w:id="9"/>
      </w:r>
      <w:r>
        <w:t>, dated August 15, 2015.  In its advice letter filing, PG&amp;E includes a reduction of $7,523 in response to the Commission Utility, Audit, Finance, and Compliance Branch’s (UAFCB) examination of PG&amp;E’s 2013 energy efficiency expenditures.</w:t>
      </w:r>
      <w:r w:rsidR="00EA2D80">
        <w:t xml:space="preserve"> </w:t>
      </w:r>
      <w:r>
        <w:t>The UAFCB report finds “a reduction of $394,913 should be made</w:t>
      </w:r>
      <w:r w:rsidR="00DC0FAE">
        <w:t>…before calculating the awards for the 2013 true-up.”</w:t>
      </w:r>
      <w:r w:rsidR="00DC0FAE">
        <w:rPr>
          <w:rStyle w:val="FootnoteReference"/>
        </w:rPr>
        <w:footnoteReference w:id="10"/>
      </w:r>
      <w:r w:rsidR="00EA2D80">
        <w:t xml:space="preserve"> </w:t>
      </w:r>
      <w:r w:rsidR="00DC0FAE" w:rsidRPr="005D4460">
        <w:t xml:space="preserve">PG&amp;E correctly applies the 3% management fee and the </w:t>
      </w:r>
      <w:r w:rsidR="00D261DB">
        <w:br/>
      </w:r>
      <w:r w:rsidR="00DC0FAE" w:rsidRPr="005D4460">
        <w:t>2013 ex-ante performance score of 65% to arrive at $7,523.</w:t>
      </w:r>
      <w:r w:rsidR="00DC0FAE">
        <w:t xml:space="preserve">   Commission staff agrees with this reduction.  </w:t>
      </w:r>
    </w:p>
    <w:p w14:paraId="57F5F222" w14:textId="77777777" w:rsidR="002B188D" w:rsidRDefault="002B188D" w:rsidP="00705F19"/>
    <w:p w14:paraId="57F5F223" w14:textId="77777777" w:rsidR="00DC0FAE" w:rsidRDefault="00DC0FAE" w:rsidP="00705F19">
      <w:r w:rsidRPr="005D4460">
        <w:t>PG&amp;E also includes a reduction in the amount of $367,663 for adjustments made to PG&amp;E’s ex-ante database.</w:t>
      </w:r>
      <w:r w:rsidR="000D5565">
        <w:t xml:space="preserve">  This adjustment is based on using a more recent dataset than was used for the 2013 Ex-Post Efficiency Savings and Performance Incentive Performance Statement Report and including additional ex-ante corrections.  Commission staff accepts this reduction since the use of a more recent dataset represents a more accurate calculation of earnings, but notes that the earnings for the other utilities’ awards are not based on this more recent dataset.</w:t>
      </w:r>
    </w:p>
    <w:p w14:paraId="57F5F224" w14:textId="77777777" w:rsidR="002B188D" w:rsidRDefault="002B188D" w:rsidP="00705F19"/>
    <w:p w14:paraId="57F5F225" w14:textId="77777777" w:rsidR="002B188D" w:rsidRDefault="00B77FE9" w:rsidP="00D261DB">
      <w:pPr>
        <w:spacing w:after="120"/>
      </w:pPr>
      <w:r w:rsidRPr="00EA2D80">
        <w:rPr>
          <w:u w:val="single"/>
        </w:rPr>
        <w:t>SCE Advice Letter 3271-E</w:t>
      </w:r>
    </w:p>
    <w:p w14:paraId="57F5F226" w14:textId="53F47325" w:rsidR="002B188D" w:rsidRDefault="002B188D" w:rsidP="002B188D">
      <w:r>
        <w:t>SCE requests an incentive award in the amount of $10,455,223.  This amount is consistent with the amounts calculated in the 2013 Ex-Post Efficiency Savings and Performance Incentive Performance Statement Report</w:t>
      </w:r>
      <w:r>
        <w:rPr>
          <w:rStyle w:val="FootnoteReference"/>
        </w:rPr>
        <w:footnoteReference w:id="11"/>
      </w:r>
      <w:r>
        <w:t xml:space="preserve">, dated </w:t>
      </w:r>
      <w:r w:rsidR="00D261DB">
        <w:br/>
      </w:r>
      <w:r>
        <w:lastRenderedPageBreak/>
        <w:t>August 15, 2015.  The Commission Utility, Audit, Finance, and Compliance Branch’s (UAFCB) examination of SCE’s 2013 energy efficiency expenditures is being addressed in the 2014 incentive award, see T</w:t>
      </w:r>
      <w:r w:rsidR="003307CD">
        <w:t>able 16</w:t>
      </w:r>
      <w:r>
        <w:t xml:space="preserve"> of this </w:t>
      </w:r>
      <w:r w:rsidR="007514B4">
        <w:t>R</w:t>
      </w:r>
      <w:r>
        <w:t>esolution.</w:t>
      </w:r>
    </w:p>
    <w:p w14:paraId="57F5F227" w14:textId="77777777" w:rsidR="00064029" w:rsidRDefault="00064029" w:rsidP="00705F19">
      <w:r>
        <w:t xml:space="preserve"> </w:t>
      </w:r>
    </w:p>
    <w:p w14:paraId="57F5F228" w14:textId="77777777" w:rsidR="00B77FE9" w:rsidRDefault="00B77FE9" w:rsidP="00D261DB">
      <w:pPr>
        <w:spacing w:after="120"/>
      </w:pPr>
      <w:r w:rsidRPr="00EA2D80">
        <w:rPr>
          <w:u w:val="single"/>
        </w:rPr>
        <w:t>SoCalGas Advice Letter 4859</w:t>
      </w:r>
    </w:p>
    <w:p w14:paraId="57F5F229" w14:textId="63F23E69" w:rsidR="00B77FE9" w:rsidRDefault="00B77FE9" w:rsidP="00705F19">
      <w:r>
        <w:t>SoCalGas requests an incentive award in the amount of $2,141,962.  This amount is consistent with the amounts calculated in the 2013 Ex-Post Efficiency Savings and Performance Incentive Performance Statement Report</w:t>
      </w:r>
      <w:r w:rsidR="00A0023C">
        <w:rPr>
          <w:rStyle w:val="FootnoteReference"/>
        </w:rPr>
        <w:footnoteReference w:id="12"/>
      </w:r>
      <w:r>
        <w:t xml:space="preserve">, dated </w:t>
      </w:r>
      <w:r w:rsidR="00D261DB">
        <w:br/>
      </w:r>
      <w:r>
        <w:t>August 15, 2015.</w:t>
      </w:r>
      <w:r w:rsidR="00064029">
        <w:t xml:space="preserve">  The SoCalGas reduction of $5,262 in response to the Commission Utility, Audit, Finance, and Compliance Branch’s (UAFCB) examination of SoCalGas’ 2013 energy efficiency expenditures is being addressed in the 20</w:t>
      </w:r>
      <w:r w:rsidR="003307CD">
        <w:t>14 incentive award, see Table 23</w:t>
      </w:r>
      <w:r w:rsidR="00064029">
        <w:t xml:space="preserve"> of this </w:t>
      </w:r>
      <w:r w:rsidR="007514B4">
        <w:t>R</w:t>
      </w:r>
      <w:r w:rsidR="00064029">
        <w:t>esolution.</w:t>
      </w:r>
    </w:p>
    <w:p w14:paraId="57F5F22A" w14:textId="77777777" w:rsidR="00A0023C" w:rsidRDefault="00A0023C" w:rsidP="00705F19"/>
    <w:p w14:paraId="57F5F22B" w14:textId="77777777" w:rsidR="00AF14D9" w:rsidRDefault="00B77FE9" w:rsidP="00D261DB">
      <w:pPr>
        <w:spacing w:after="120"/>
      </w:pPr>
      <w:r w:rsidRPr="00EA2D80">
        <w:rPr>
          <w:u w:val="single"/>
        </w:rPr>
        <w:t>SDG&amp;E Advice Letter 2788-E/2417-G</w:t>
      </w:r>
    </w:p>
    <w:p w14:paraId="57F5F22C" w14:textId="49F292F2" w:rsidR="00A0023C" w:rsidRDefault="002B188D" w:rsidP="00A0023C">
      <w:r>
        <w:t>SDG&amp;E requests an</w:t>
      </w:r>
      <w:r w:rsidR="00A0023C">
        <w:t xml:space="preserve"> incentive award in the amount of $2,824,209.  This amount differs from the amounts calculated in the 2013 Ex-Post Efficiency Savings and Performance Incentive Performance Statement Report</w:t>
      </w:r>
      <w:r w:rsidR="00A0023C">
        <w:rPr>
          <w:rStyle w:val="FootnoteReference"/>
        </w:rPr>
        <w:footnoteReference w:id="13"/>
      </w:r>
      <w:r w:rsidR="00A0023C">
        <w:t xml:space="preserve">, dated August 15, 2015.  </w:t>
      </w:r>
      <w:r w:rsidR="00064029">
        <w:t xml:space="preserve">In its advice letter filing, SDG&amp;E includes a reduction of $3,003 in response to the Commission Utility, Audit, Finance, and Compliance Branch’s (UAFCB) examination of SDG&amp;E’s 2013 energy efficiency expenditures.  </w:t>
      </w:r>
      <w:r w:rsidR="00BD4ED3">
        <w:t>Commission staff accepts this reduction and removed the $3,003 reduction from the 2014 incentive award.</w:t>
      </w:r>
    </w:p>
    <w:p w14:paraId="57F5F22D" w14:textId="77777777" w:rsidR="00A0023C" w:rsidRDefault="00A0023C" w:rsidP="00705F19"/>
    <w:p w14:paraId="57F5F22E" w14:textId="77777777" w:rsidR="00F85B02" w:rsidRDefault="00E20FC8" w:rsidP="00705F19">
      <w:r w:rsidRPr="005D4460">
        <w:t xml:space="preserve">With respect to the letter in support of revising the “hard-to-reach” definition, that issue is outside the scope of the advice letter filing and thus should be </w:t>
      </w:r>
      <w:r w:rsidRPr="005D4460">
        <w:lastRenderedPageBreak/>
        <w:t xml:space="preserve">addressed in a subsequent phase of the Energy Efficiency proceeding, </w:t>
      </w:r>
      <w:r w:rsidR="00D261DB">
        <w:br/>
      </w:r>
      <w:r w:rsidRPr="005D4460">
        <w:t>R.13-11-005.</w:t>
      </w:r>
    </w:p>
    <w:p w14:paraId="57F5F22F" w14:textId="77777777" w:rsidR="005D4460" w:rsidRDefault="005D4460" w:rsidP="00705F19">
      <w:pPr>
        <w:rPr>
          <w:b/>
        </w:rPr>
      </w:pPr>
    </w:p>
    <w:p w14:paraId="57F5F230" w14:textId="77777777" w:rsidR="00AF14D9" w:rsidRPr="00F85B02" w:rsidRDefault="00AF14D9" w:rsidP="00705F19">
      <w:r w:rsidRPr="00EA2D80">
        <w:rPr>
          <w:b/>
        </w:rPr>
        <w:t>2014 Incentive Awards</w:t>
      </w:r>
    </w:p>
    <w:p w14:paraId="57F5F231" w14:textId="77777777" w:rsidR="00E9533A" w:rsidRDefault="00E9533A" w:rsidP="00705F19"/>
    <w:p w14:paraId="57F5F232" w14:textId="179F8C1D" w:rsidR="00705F19" w:rsidRPr="00BF0662" w:rsidRDefault="00705F19" w:rsidP="00705F19">
      <w:r w:rsidRPr="00BF0662">
        <w:t>In reviewing the 2014 incentive awards</w:t>
      </w:r>
      <w:r w:rsidR="00EA2D80">
        <w:t xml:space="preserve"> (excluding awards for savings from custom projects and “uncertainty list” measures)</w:t>
      </w:r>
      <w:r w:rsidRPr="00BF0662">
        <w:t>, Commission staff found inconsistencies between the expenditure and savings values filed in the IOUs’ advice letters and the data submitted in their quarterly and monthly reports.</w:t>
      </w:r>
      <w:r w:rsidRPr="00BF0662">
        <w:rPr>
          <w:rStyle w:val="FootnoteReference"/>
        </w:rPr>
        <w:footnoteReference w:id="14"/>
      </w:r>
      <w:r w:rsidRPr="00BF0662">
        <w:t xml:space="preserve"> Monthly reports are available publicly via the Commission’s California Energy Efficiency Statistics website</w:t>
      </w:r>
      <w:r w:rsidR="00EA2D80">
        <w:t xml:space="preserve"> </w:t>
      </w:r>
      <w:r w:rsidRPr="00BF0662">
        <w:t>(</w:t>
      </w:r>
      <w:hyperlink r:id="rId9" w:history="1">
        <w:r w:rsidRPr="00BF0662">
          <w:rPr>
            <w:rStyle w:val="Hyperlink"/>
          </w:rPr>
          <w:t>http://eestats.cpuc.ca.gov/Views/Documents.aspx</w:t>
        </w:r>
      </w:hyperlink>
      <w:r w:rsidRPr="00BF0662">
        <w:t xml:space="preserve">). </w:t>
      </w:r>
      <w:r w:rsidR="00D261DB">
        <w:t xml:space="preserve"> </w:t>
      </w:r>
      <w:r w:rsidRPr="00BF0662">
        <w:t xml:space="preserve">Quarterly reports contain some confidential customer data and, therefore, are not publicly available at this time.  The quarterly reports contain the same data as monthly reports but in a more detailed format and are presumably sourced from the same utility databases as the monthly reports. The data is stored on the Energy Division (ED) Central Server.  </w:t>
      </w:r>
    </w:p>
    <w:p w14:paraId="57F5F233" w14:textId="77777777" w:rsidR="00705F19" w:rsidRPr="001700F6" w:rsidRDefault="00705F19" w:rsidP="00705F19">
      <w:pPr>
        <w:rPr>
          <w:highlight w:val="yellow"/>
        </w:rPr>
      </w:pPr>
    </w:p>
    <w:p w14:paraId="57F5F234" w14:textId="77777777" w:rsidR="00705F19" w:rsidRDefault="00705F19" w:rsidP="00705F19">
      <w:r w:rsidRPr="00BF0662">
        <w:t xml:space="preserve">Given the discrepancies between the quarterly reports and the expenditure data filed in each of the IOUs’ advice letters, without the benefit of the final </w:t>
      </w:r>
      <w:r w:rsidR="00D261DB">
        <w:br/>
      </w:r>
      <w:r w:rsidRPr="00BF0662">
        <w:t xml:space="preserve">2014 UAFCB audit to assist staff in reconciling them, </w:t>
      </w:r>
      <w:r w:rsidRPr="003307CD">
        <w:rPr>
          <w:u w:val="single"/>
        </w:rPr>
        <w:t xml:space="preserve">the initial payments awarded this Resolution for the expenditure-based components of the ESPI mechanism rely on the </w:t>
      </w:r>
      <w:r w:rsidRPr="003307CD">
        <w:rPr>
          <w:b/>
          <w:u w:val="single"/>
        </w:rPr>
        <w:t>lower value</w:t>
      </w:r>
      <w:r w:rsidRPr="003307CD">
        <w:rPr>
          <w:u w:val="single"/>
        </w:rPr>
        <w:t xml:space="preserve"> between the two sources of expenditure-related data (the quarterly reports or the utility-filed expenditures)</w:t>
      </w:r>
      <w:r w:rsidRPr="00BF0662">
        <w:t>. As stated in the Background section, the utilities’ expenditures will be trued up with the UAFCB audit results when the audits are completed in 2016.</w:t>
      </w:r>
    </w:p>
    <w:p w14:paraId="57F5F235" w14:textId="77777777" w:rsidR="002A6ED9" w:rsidRDefault="002A6ED9" w:rsidP="00705F19"/>
    <w:p w14:paraId="57F5F236" w14:textId="77777777" w:rsidR="002A6ED9" w:rsidRDefault="002A6ED9" w:rsidP="002A6ED9">
      <w:r>
        <w:t xml:space="preserve">Beyond identifying differences between the savings filed in the IOUs’ advice letters and quarterly report data, staff conducted a high level review of the </w:t>
      </w:r>
      <w:r>
        <w:lastRenderedPageBreak/>
        <w:t>quarterly energy savings data to validate the energy savings.  A summary of t</w:t>
      </w:r>
      <w:r w:rsidRPr="00887A4A">
        <w:t>he reviewed energy savings values</w:t>
      </w:r>
      <w:r>
        <w:t xml:space="preserve">, the details of the review, and a link to the review spreadsheet </w:t>
      </w:r>
      <w:r w:rsidRPr="00887A4A">
        <w:t xml:space="preserve">are included as Attachment 3 of this Resolution.  </w:t>
      </w:r>
    </w:p>
    <w:p w14:paraId="57F5F237" w14:textId="77777777" w:rsidR="002A6ED9" w:rsidRDefault="002A6ED9" w:rsidP="002A6ED9"/>
    <w:p w14:paraId="57F5F238" w14:textId="77777777" w:rsidR="002A6ED9" w:rsidRPr="006A5C23" w:rsidRDefault="002A6ED9" w:rsidP="00DF6175">
      <w:pPr>
        <w:spacing w:after="120"/>
      </w:pPr>
      <w:r w:rsidRPr="006A5C23">
        <w:t>Th</w:t>
      </w:r>
      <w:r>
        <w:t>is</w:t>
      </w:r>
      <w:r w:rsidRPr="006A5C23">
        <w:t xml:space="preserve"> </w:t>
      </w:r>
      <w:r>
        <w:t>Resolution makes the following adjustments to energy savings values used to verify the ESPI awards</w:t>
      </w:r>
      <w:r w:rsidRPr="006A5C23">
        <w:t>:</w:t>
      </w:r>
    </w:p>
    <w:p w14:paraId="57F5F239" w14:textId="77777777" w:rsidR="002A6ED9" w:rsidRDefault="002A6ED9" w:rsidP="00DF6175">
      <w:pPr>
        <w:pStyle w:val="ListParagraph"/>
        <w:numPr>
          <w:ilvl w:val="0"/>
          <w:numId w:val="25"/>
        </w:numPr>
        <w:spacing w:after="120"/>
        <w:contextualSpacing w:val="0"/>
      </w:pPr>
      <w:r w:rsidRPr="005A4378">
        <w:t xml:space="preserve">Removal of </w:t>
      </w:r>
      <w:r>
        <w:t>any Uncertain Measures from the</w:t>
      </w:r>
      <w:r w:rsidRPr="005A4378">
        <w:t xml:space="preserve"> advice letter filing</w:t>
      </w:r>
      <w:r>
        <w:t>s</w:t>
      </w:r>
      <w:r w:rsidRPr="005A4378">
        <w:t>,</w:t>
      </w:r>
    </w:p>
    <w:p w14:paraId="57F5F23A" w14:textId="77777777" w:rsidR="002A6ED9" w:rsidRPr="005A4378" w:rsidRDefault="002A6ED9" w:rsidP="002A6ED9">
      <w:pPr>
        <w:pStyle w:val="ListParagraph"/>
        <w:numPr>
          <w:ilvl w:val="0"/>
          <w:numId w:val="25"/>
        </w:numPr>
        <w:spacing w:after="120"/>
        <w:contextualSpacing w:val="0"/>
      </w:pPr>
      <w:r>
        <w:t xml:space="preserve">Addition of any deemed certain measures omitted from the advice letter filings, </w:t>
      </w:r>
    </w:p>
    <w:p w14:paraId="57F5F23B" w14:textId="77777777" w:rsidR="00E55220" w:rsidRDefault="00E55220" w:rsidP="00E55220">
      <w:pPr>
        <w:pStyle w:val="ListParagraph"/>
        <w:numPr>
          <w:ilvl w:val="0"/>
          <w:numId w:val="25"/>
        </w:numPr>
        <w:spacing w:after="120"/>
        <w:contextualSpacing w:val="0"/>
      </w:pPr>
      <w:r>
        <w:t xml:space="preserve">Proper application of Early Retirement (ER) policy and related effective and remaining useful life (EUL and RUL) values for add-on measures and measures with savings calculated over existing baselines, </w:t>
      </w:r>
    </w:p>
    <w:p w14:paraId="57F5F23C" w14:textId="77777777" w:rsidR="008A3B7B" w:rsidRDefault="002A6ED9" w:rsidP="002A6ED9">
      <w:pPr>
        <w:pStyle w:val="ListParagraph"/>
        <w:numPr>
          <w:ilvl w:val="0"/>
          <w:numId w:val="25"/>
        </w:numPr>
        <w:spacing w:after="120"/>
        <w:contextualSpacing w:val="0"/>
      </w:pPr>
      <w:r w:rsidRPr="005A4378">
        <w:t xml:space="preserve">Proper application </w:t>
      </w:r>
      <w:r>
        <w:t>net-to-gross (NTG)</w:t>
      </w:r>
      <w:r w:rsidR="00500F55">
        <w:t xml:space="preserve"> values, and</w:t>
      </w:r>
    </w:p>
    <w:p w14:paraId="57F5F23D" w14:textId="77777777" w:rsidR="00500F55" w:rsidRDefault="00500F55" w:rsidP="00DF6175">
      <w:pPr>
        <w:pStyle w:val="ListParagraph"/>
        <w:numPr>
          <w:ilvl w:val="0"/>
          <w:numId w:val="25"/>
        </w:numPr>
        <w:spacing w:after="240"/>
        <w:contextualSpacing w:val="0"/>
      </w:pPr>
      <w:r>
        <w:t>Removal of any deemed certain measures installed pre-2013.</w:t>
      </w:r>
    </w:p>
    <w:p w14:paraId="57F5F23E" w14:textId="77777777" w:rsidR="008A3B7B" w:rsidRDefault="002A6ED9" w:rsidP="008A3B7B">
      <w:r>
        <w:t xml:space="preserve">Overall, this Resolution increases savings to account for omitted deemed certain measures and to reduce savings to account for Uncertain Measures, incorrect application of NTG values, </w:t>
      </w:r>
      <w:r w:rsidR="00373776">
        <w:t xml:space="preserve">and for </w:t>
      </w:r>
      <w:r>
        <w:t>incorrect application of RUL values for retrofit add-on and</w:t>
      </w:r>
      <w:r w:rsidR="00373776">
        <w:t xml:space="preserve"> early retirement applications.</w:t>
      </w:r>
    </w:p>
    <w:p w14:paraId="57F5F23F" w14:textId="77777777" w:rsidR="008A3B7B" w:rsidRDefault="008A3B7B" w:rsidP="008A3B7B"/>
    <w:p w14:paraId="57F5F240" w14:textId="77777777" w:rsidR="00E55220" w:rsidRDefault="00E55220" w:rsidP="00E55220">
      <w:r w:rsidRPr="00E55220">
        <w:t xml:space="preserve">For </w:t>
      </w:r>
      <w:r w:rsidR="003307CD">
        <w:t xml:space="preserve">ER </w:t>
      </w:r>
      <w:r w:rsidR="00E22D49">
        <w:t xml:space="preserve">application </w:t>
      </w:r>
      <w:r w:rsidR="003307CD">
        <w:t xml:space="preserve">and </w:t>
      </w:r>
      <w:r w:rsidRPr="00E55220">
        <w:t xml:space="preserve">RUL </w:t>
      </w:r>
      <w:r w:rsidR="00E22D49">
        <w:t xml:space="preserve">value </w:t>
      </w:r>
      <w:r w:rsidRPr="00E55220">
        <w:t xml:space="preserve">adjustments in retrofit add-on and early retirement applications, staff elected to apply the entire adjustment. Staff did not investigate the use of RUL values for </w:t>
      </w:r>
      <w:r w:rsidR="00500F55">
        <w:t xml:space="preserve">in last year’s </w:t>
      </w:r>
      <w:r w:rsidR="00E22D49">
        <w:t>program year 2013 ESPI awards</w:t>
      </w:r>
      <w:r w:rsidR="00500F55">
        <w:t>; however, for program year 2014 staff reviewed these values</w:t>
      </w:r>
      <w:r w:rsidRPr="00E55220">
        <w:t xml:space="preserve">. Staff revised retrofit add-on measures so that the EUL of the measure is equal to the lower of the RUL of the modified system or equipment or the EUL of the add-on component. Staff also identified </w:t>
      </w:r>
      <w:r w:rsidR="00E22D49">
        <w:t xml:space="preserve">and revised </w:t>
      </w:r>
      <w:r w:rsidRPr="00E55220">
        <w:t xml:space="preserve">misclassified measures as </w:t>
      </w:r>
      <w:r w:rsidR="00AC46B0">
        <w:t xml:space="preserve">retrofit </w:t>
      </w:r>
      <w:r w:rsidRPr="00E55220">
        <w:t>add-on measures and early retirement applicable measures.</w:t>
      </w:r>
      <w:r>
        <w:t xml:space="preserve">  Going forward, the IOUs need to apply the correct </w:t>
      </w:r>
      <w:r w:rsidR="00AC46B0">
        <w:t xml:space="preserve">RUL for retrofit add-on applications and need to correctly classify measures as retrofit add-on measures and for early retirement applications. </w:t>
      </w:r>
      <w:r>
        <w:t xml:space="preserve"> </w:t>
      </w:r>
    </w:p>
    <w:p w14:paraId="57F5F241" w14:textId="77777777" w:rsidR="00E55220" w:rsidRPr="00E9533A" w:rsidRDefault="00E55220" w:rsidP="00E55220"/>
    <w:p w14:paraId="57F5F242" w14:textId="77777777" w:rsidR="002A6ED9" w:rsidRPr="00E9533A" w:rsidRDefault="002A6ED9" w:rsidP="008A3B7B">
      <w:r w:rsidRPr="00E9533A">
        <w:t xml:space="preserve">For NTG adjustments, staff elected to apply three-quarters of the NTG adjustment, rather than the entire adjustment (i.e., all of the changes made to NTG values) to acknowledge the fact that there may be justifiable reasons why </w:t>
      </w:r>
      <w:r w:rsidRPr="00E9533A">
        <w:lastRenderedPageBreak/>
        <w:t xml:space="preserve">the utilities applied hard-to-reach or emerging technology NTG values for measures in programs that our high level review identified as inappropriate. </w:t>
      </w:r>
      <w:r w:rsidR="005226DA" w:rsidRPr="00E9533A">
        <w:t xml:space="preserve">Based on past experience with delving into instances in which staff has identified hard-to-reach or emerging technology designations that it believed were incorrect, staff </w:t>
      </w:r>
      <w:r w:rsidRPr="00E9533A">
        <w:t>considers it highly unlikely that the number of instances this would be the case could exceed one in four.</w:t>
      </w:r>
      <w:r w:rsidR="00373776" w:rsidRPr="00E9533A">
        <w:t xml:space="preserve"> Misapplication of NTG values was also identified in Attachment 3 of Resolution G-3497 and Attachment 3 of Resolution E-4700, where PG&amp;E, SCE, SoCalGas, and SDG&amp;E requested approval of program year 2012 and partial 2013 energy efficiency incentive awards.  </w:t>
      </w:r>
      <w:r w:rsidRPr="00E9533A">
        <w:t xml:space="preserve"> </w:t>
      </w:r>
    </w:p>
    <w:p w14:paraId="57F5F243" w14:textId="77777777" w:rsidR="002A6ED9" w:rsidRPr="00E9533A" w:rsidRDefault="002A6ED9" w:rsidP="002A6ED9"/>
    <w:p w14:paraId="57F5F244" w14:textId="77777777" w:rsidR="002A6ED9" w:rsidRPr="00E9533A" w:rsidRDefault="002A6ED9" w:rsidP="002A6ED9">
      <w:r w:rsidRPr="00E9533A">
        <w:t>If the utilities believe that staff over-corrected NTG values, they are directed to provide the requisite supporting documentation, consistent with existing Commission policy, for the measures for which the higher NTG is believed warranted in their 201</w:t>
      </w:r>
      <w:r w:rsidR="00DB1E41" w:rsidRPr="00E9533A">
        <w:t>6</w:t>
      </w:r>
      <w:r w:rsidRPr="00E9533A">
        <w:t xml:space="preserve"> advice letter for the 201</w:t>
      </w:r>
      <w:r w:rsidR="00DB1E41" w:rsidRPr="00E9533A">
        <w:t xml:space="preserve">4 </w:t>
      </w:r>
      <w:r w:rsidRPr="00E9533A">
        <w:t xml:space="preserve">program year </w:t>
      </w:r>
      <w:r w:rsidR="007E4573" w:rsidRPr="00E9533A">
        <w:t>custom project and uncertainty list savings awards and “true up.”</w:t>
      </w:r>
    </w:p>
    <w:p w14:paraId="57F5F245" w14:textId="77777777" w:rsidR="00E55220" w:rsidRDefault="00E55220" w:rsidP="002A6ED9"/>
    <w:p w14:paraId="57F5F246" w14:textId="77777777" w:rsidR="00E22D49" w:rsidRDefault="00500F55" w:rsidP="00E22D49">
      <w:r>
        <w:t xml:space="preserve">Staff </w:t>
      </w:r>
      <w:r w:rsidR="00E22D49" w:rsidRPr="00E9533A">
        <w:t xml:space="preserve">elected to </w:t>
      </w:r>
      <w:r>
        <w:t>exclude</w:t>
      </w:r>
      <w:r w:rsidR="00E22D49" w:rsidRPr="00E9533A">
        <w:t xml:space="preserve"> savings for measures</w:t>
      </w:r>
      <w:r>
        <w:t>,</w:t>
      </w:r>
      <w:r w:rsidR="00E22D49" w:rsidRPr="00E9533A">
        <w:t xml:space="preserve"> not on the uncertainty list</w:t>
      </w:r>
      <w:r>
        <w:t xml:space="preserve">, </w:t>
      </w:r>
      <w:r w:rsidR="00E22D49" w:rsidRPr="00E9533A">
        <w:t>that were in</w:t>
      </w:r>
      <w:r w:rsidR="00E22D49">
        <w:t>stalled before program year 2013</w:t>
      </w:r>
      <w:r w:rsidR="00E22D49" w:rsidRPr="00E9533A">
        <w:t xml:space="preserve"> and therefore should have been </w:t>
      </w:r>
      <w:r w:rsidR="00E22D49">
        <w:t xml:space="preserve">already </w:t>
      </w:r>
      <w:r w:rsidR="00E22D49" w:rsidRPr="00E9533A">
        <w:t xml:space="preserve">submitted in the IOUs’ 2013 award claims. </w:t>
      </w:r>
      <w:r w:rsidR="00E22D49">
        <w:t xml:space="preserve">In the program year 2014 claims, </w:t>
      </w:r>
      <w:r>
        <w:t>SCE</w:t>
      </w:r>
      <w:r w:rsidR="00E22D49">
        <w:t xml:space="preserve"> </w:t>
      </w:r>
      <w:r>
        <w:t>is</w:t>
      </w:r>
      <w:r w:rsidR="00E22D49">
        <w:t xml:space="preserve"> continuing to include claims for savings for measures installed before 2013. </w:t>
      </w:r>
      <w:r>
        <w:t xml:space="preserve">IOUs </w:t>
      </w:r>
      <w:r w:rsidR="00E22D49" w:rsidRPr="00E9533A">
        <w:t>need to include all savings for measures</w:t>
      </w:r>
      <w:r w:rsidR="00E22D49">
        <w:t>,</w:t>
      </w:r>
      <w:r w:rsidR="00E22D49" w:rsidRPr="00E9533A">
        <w:t xml:space="preserve"> not on the uncertainty list</w:t>
      </w:r>
      <w:r w:rsidR="00E22D49">
        <w:t>,</w:t>
      </w:r>
      <w:r w:rsidR="00E22D49" w:rsidRPr="00E9533A">
        <w:t xml:space="preserve"> in the appropriate </w:t>
      </w:r>
      <w:r w:rsidR="00E22D49">
        <w:t xml:space="preserve">year for </w:t>
      </w:r>
      <w:r w:rsidR="00E22D49" w:rsidRPr="00E9533A">
        <w:t>claim</w:t>
      </w:r>
      <w:r w:rsidR="00E22D49">
        <w:t>s, complying with the adopted savings accounting direction based on measure installation dates</w:t>
      </w:r>
      <w:r w:rsidR="00E22D49">
        <w:rPr>
          <w:rStyle w:val="FootnoteReference"/>
        </w:rPr>
        <w:footnoteReference w:id="15"/>
      </w:r>
      <w:r w:rsidR="00E22D49">
        <w:t>,</w:t>
      </w:r>
      <w:r w:rsidR="00E22D49" w:rsidRPr="00E9533A">
        <w:t xml:space="preserve"> or forfeit those awards.  </w:t>
      </w:r>
      <w:r w:rsidR="00E22D49">
        <w:t>Therefore</w:t>
      </w:r>
      <w:r w:rsidR="00E22D49" w:rsidRPr="00E9533A">
        <w:t>, next year’s claim</w:t>
      </w:r>
      <w:r w:rsidR="00E22D49">
        <w:t>s</w:t>
      </w:r>
      <w:r w:rsidR="00E22D49" w:rsidRPr="00E9533A">
        <w:t xml:space="preserve"> should </w:t>
      </w:r>
      <w:r w:rsidR="00E22D49">
        <w:t xml:space="preserve">not include savings for measures, </w:t>
      </w:r>
      <w:r w:rsidR="00E22D49" w:rsidRPr="00E9533A">
        <w:t>not on the uncertainty list</w:t>
      </w:r>
      <w:r w:rsidR="00E22D49">
        <w:t>,</w:t>
      </w:r>
      <w:r w:rsidR="00E22D49" w:rsidRPr="00E9533A">
        <w:t xml:space="preserve"> that were</w:t>
      </w:r>
      <w:r>
        <w:t xml:space="preserve"> installed before 2015</w:t>
      </w:r>
      <w:r w:rsidR="00E22D49" w:rsidRPr="00E9533A">
        <w:t>.</w:t>
      </w:r>
      <w:r>
        <w:t xml:space="preserve"> IOUs should indicate in their data submissions what year each measure is installed.</w:t>
      </w:r>
    </w:p>
    <w:p w14:paraId="57F5F247" w14:textId="77777777" w:rsidR="00373776" w:rsidRDefault="00373776" w:rsidP="002A6ED9"/>
    <w:p w14:paraId="57F5F248" w14:textId="77777777" w:rsidR="002A6ED9" w:rsidRDefault="002A6ED9" w:rsidP="002A6ED9">
      <w:r>
        <w:t xml:space="preserve">For incentive calculations based on energy savings, staff uses the data from the Energy Division Central Server (i.e., the reviewed quarterly report data) to verify the IOUs’ savings claims.  </w:t>
      </w:r>
      <w:r w:rsidRPr="00513BAC">
        <w:rPr>
          <w:u w:val="single"/>
        </w:rPr>
        <w:t>As such, this Resolut</w:t>
      </w:r>
      <w:r w:rsidRPr="00281C7F">
        <w:rPr>
          <w:u w:val="single"/>
        </w:rPr>
        <w:t>ion modifies the requested 201</w:t>
      </w:r>
      <w:r w:rsidR="00DB1E41">
        <w:rPr>
          <w:u w:val="single"/>
        </w:rPr>
        <w:t>4</w:t>
      </w:r>
      <w:r w:rsidR="007E4573">
        <w:rPr>
          <w:u w:val="single"/>
        </w:rPr>
        <w:t xml:space="preserve"> </w:t>
      </w:r>
      <w:r w:rsidR="007E4573">
        <w:rPr>
          <w:u w:val="single"/>
        </w:rPr>
        <w:lastRenderedPageBreak/>
        <w:t>(ex ante) savings</w:t>
      </w:r>
      <w:r w:rsidRPr="00281C7F">
        <w:rPr>
          <w:u w:val="single"/>
        </w:rPr>
        <w:t xml:space="preserve"> awards, where appropriate, to be consistent with the </w:t>
      </w:r>
      <w:r w:rsidRPr="006A5C23">
        <w:rPr>
          <w:u w:val="single"/>
        </w:rPr>
        <w:t xml:space="preserve">reviewed </w:t>
      </w:r>
      <w:r w:rsidRPr="00513BAC">
        <w:rPr>
          <w:u w:val="single"/>
        </w:rPr>
        <w:t>data on file with the CPUC</w:t>
      </w:r>
      <w:r w:rsidRPr="00196089">
        <w:rPr>
          <w:u w:val="single"/>
        </w:rPr>
        <w:t>.</w:t>
      </w:r>
      <w:r>
        <w:t xml:space="preserve">  </w:t>
      </w:r>
    </w:p>
    <w:p w14:paraId="57F5F249" w14:textId="77777777" w:rsidR="00705F19" w:rsidRDefault="00705F19" w:rsidP="00705F19"/>
    <w:p w14:paraId="57F5F24D" w14:textId="77777777" w:rsidR="00705F19" w:rsidRPr="00D35263" w:rsidRDefault="00705F19" w:rsidP="00705F19">
      <w:pPr>
        <w:spacing w:after="120"/>
      </w:pPr>
      <w:r w:rsidRPr="00D35263">
        <w:rPr>
          <w:u w:val="single"/>
        </w:rPr>
        <w:t xml:space="preserve">PG&amp;E Advice Letter </w:t>
      </w:r>
      <w:r>
        <w:rPr>
          <w:u w:val="single"/>
        </w:rPr>
        <w:t>3606-G/4659-E</w:t>
      </w:r>
    </w:p>
    <w:p w14:paraId="57F5F24E" w14:textId="77777777" w:rsidR="00705F19" w:rsidRDefault="00705F19" w:rsidP="00705F19">
      <w:r>
        <w:t xml:space="preserve">PG&amp;E requests $ 11,515,950 for the 2014 incentive award. In accordance with D.13-09-023 and the staff-issued memo, the award is comprised of </w:t>
      </w:r>
      <w:r w:rsidR="00915945">
        <w:br/>
      </w:r>
      <w:r>
        <w:t xml:space="preserve">four components: </w:t>
      </w:r>
    </w:p>
    <w:p w14:paraId="57F5F24F" w14:textId="77777777" w:rsidR="00705F19" w:rsidRDefault="00705F19" w:rsidP="00705F19"/>
    <w:p w14:paraId="57F5F250" w14:textId="77777777" w:rsidR="00705F19" w:rsidRPr="001700F6" w:rsidRDefault="00705F19" w:rsidP="00705F19">
      <w:pPr>
        <w:pStyle w:val="Caption"/>
        <w:rPr>
          <w:rFonts w:ascii="Palatino" w:eastAsia="Times New Roman" w:hAnsi="Palatino"/>
          <w:b w:val="0"/>
          <w:bCs w:val="0"/>
          <w:sz w:val="26"/>
        </w:rPr>
      </w:pPr>
      <w:r w:rsidRPr="001700F6">
        <w:rPr>
          <w:rFonts w:ascii="Palatino" w:eastAsia="Times New Roman" w:hAnsi="Palatino"/>
          <w:b w:val="0"/>
          <w:bCs w:val="0"/>
          <w:sz w:val="26"/>
        </w:rPr>
        <w:t xml:space="preserve">Table </w:t>
      </w:r>
      <w:r w:rsidRPr="001700F6">
        <w:rPr>
          <w:rFonts w:ascii="Palatino" w:eastAsia="Times New Roman" w:hAnsi="Palatino"/>
          <w:b w:val="0"/>
          <w:bCs w:val="0"/>
          <w:sz w:val="26"/>
        </w:rPr>
        <w:fldChar w:fldCharType="begin"/>
      </w:r>
      <w:r w:rsidRPr="001700F6">
        <w:rPr>
          <w:rFonts w:ascii="Palatino" w:eastAsia="Times New Roman" w:hAnsi="Palatino"/>
          <w:b w:val="0"/>
          <w:bCs w:val="0"/>
          <w:sz w:val="26"/>
        </w:rPr>
        <w:instrText xml:space="preserve"> SEQ Table \* ARABIC </w:instrText>
      </w:r>
      <w:r w:rsidRPr="001700F6">
        <w:rPr>
          <w:rFonts w:ascii="Palatino" w:eastAsia="Times New Roman" w:hAnsi="Palatino"/>
          <w:b w:val="0"/>
          <w:bCs w:val="0"/>
          <w:sz w:val="26"/>
        </w:rPr>
        <w:fldChar w:fldCharType="separate"/>
      </w:r>
      <w:r w:rsidR="00C25372">
        <w:rPr>
          <w:rFonts w:ascii="Palatino" w:eastAsia="Times New Roman" w:hAnsi="Palatino"/>
          <w:b w:val="0"/>
          <w:bCs w:val="0"/>
          <w:noProof/>
          <w:sz w:val="26"/>
        </w:rPr>
        <w:t>2</w:t>
      </w:r>
      <w:r w:rsidRPr="001700F6">
        <w:rPr>
          <w:rFonts w:ascii="Palatino" w:eastAsia="Times New Roman" w:hAnsi="Palatino"/>
          <w:b w:val="0"/>
          <w:bCs w:val="0"/>
          <w:sz w:val="26"/>
        </w:rPr>
        <w:fldChar w:fldCharType="end"/>
      </w:r>
      <w:r w:rsidRPr="001700F6">
        <w:rPr>
          <w:rFonts w:ascii="Palatino" w:eastAsia="Times New Roman" w:hAnsi="Palatino"/>
          <w:b w:val="0"/>
          <w:bCs w:val="0"/>
          <w:sz w:val="26"/>
        </w:rPr>
        <w:t>: PG&amp;E Filed 2014 Incentive Award Claim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14:paraId="57F5F253" w14:textId="77777777" w:rsidTr="0078095C">
        <w:tc>
          <w:tcPr>
            <w:tcW w:w="6768" w:type="dxa"/>
            <w:tcBorders>
              <w:top w:val="single" w:sz="4" w:space="0" w:color="auto"/>
              <w:bottom w:val="single" w:sz="4" w:space="0" w:color="auto"/>
              <w:right w:val="single" w:sz="4" w:space="0" w:color="auto"/>
            </w:tcBorders>
          </w:tcPr>
          <w:p w14:paraId="57F5F251" w14:textId="77777777" w:rsidR="00705F19" w:rsidRPr="00196089" w:rsidRDefault="00705F19" w:rsidP="0078095C">
            <w:pPr>
              <w:rPr>
                <w:b/>
              </w:rPr>
            </w:pPr>
            <w:r w:rsidRPr="00196089">
              <w:rPr>
                <w:b/>
              </w:rPr>
              <w:t>Award Component</w:t>
            </w:r>
          </w:p>
        </w:tc>
        <w:tc>
          <w:tcPr>
            <w:tcW w:w="2808" w:type="dxa"/>
            <w:tcBorders>
              <w:top w:val="single" w:sz="4" w:space="0" w:color="auto"/>
              <w:left w:val="single" w:sz="4" w:space="0" w:color="auto"/>
              <w:bottom w:val="single" w:sz="4" w:space="0" w:color="auto"/>
            </w:tcBorders>
          </w:tcPr>
          <w:p w14:paraId="57F5F252" w14:textId="77777777" w:rsidR="00705F19" w:rsidRPr="00196089" w:rsidRDefault="00705F19" w:rsidP="0078095C">
            <w:pPr>
              <w:rPr>
                <w:b/>
              </w:rPr>
            </w:pPr>
            <w:r>
              <w:rPr>
                <w:b/>
              </w:rPr>
              <w:t>Requested</w:t>
            </w:r>
            <w:r w:rsidRPr="00196089">
              <w:rPr>
                <w:b/>
              </w:rPr>
              <w:t xml:space="preserve"> Amount</w:t>
            </w:r>
          </w:p>
        </w:tc>
      </w:tr>
      <w:tr w:rsidR="00705F19" w14:paraId="57F5F256" w14:textId="77777777" w:rsidTr="0078095C">
        <w:tc>
          <w:tcPr>
            <w:tcW w:w="6768" w:type="dxa"/>
            <w:tcBorders>
              <w:top w:val="single" w:sz="4" w:space="0" w:color="auto"/>
              <w:bottom w:val="single" w:sz="4" w:space="0" w:color="auto"/>
              <w:right w:val="single" w:sz="4" w:space="0" w:color="auto"/>
            </w:tcBorders>
          </w:tcPr>
          <w:p w14:paraId="57F5F254" w14:textId="77777777" w:rsidR="00705F19" w:rsidRDefault="00705F19" w:rsidP="0078095C">
            <w:r>
              <w:t>Energy savings with ex ante parameter estimates</w:t>
            </w:r>
          </w:p>
        </w:tc>
        <w:tc>
          <w:tcPr>
            <w:tcW w:w="2808" w:type="dxa"/>
            <w:tcBorders>
              <w:top w:val="single" w:sz="4" w:space="0" w:color="auto"/>
              <w:left w:val="single" w:sz="4" w:space="0" w:color="auto"/>
              <w:bottom w:val="nil"/>
            </w:tcBorders>
          </w:tcPr>
          <w:p w14:paraId="57F5F255" w14:textId="77777777" w:rsidR="00705F19" w:rsidRDefault="00705F19" w:rsidP="0078095C">
            <w:r>
              <w:t>$   5,387,508</w:t>
            </w:r>
          </w:p>
        </w:tc>
      </w:tr>
      <w:tr w:rsidR="00705F19" w14:paraId="57F5F259" w14:textId="77777777" w:rsidTr="0078095C">
        <w:tc>
          <w:tcPr>
            <w:tcW w:w="6768" w:type="dxa"/>
            <w:tcBorders>
              <w:top w:val="single" w:sz="4" w:space="0" w:color="auto"/>
              <w:right w:val="single" w:sz="4" w:space="0" w:color="auto"/>
            </w:tcBorders>
          </w:tcPr>
          <w:p w14:paraId="57F5F257" w14:textId="77777777" w:rsidR="00705F19" w:rsidRDefault="00705F19" w:rsidP="0078095C">
            <w:r>
              <w:t>Ex ante review performance</w:t>
            </w:r>
          </w:p>
        </w:tc>
        <w:tc>
          <w:tcPr>
            <w:tcW w:w="2808" w:type="dxa"/>
            <w:tcBorders>
              <w:top w:val="nil"/>
              <w:left w:val="single" w:sz="4" w:space="0" w:color="auto"/>
              <w:bottom w:val="single" w:sz="4" w:space="0" w:color="auto"/>
            </w:tcBorders>
          </w:tcPr>
          <w:p w14:paraId="57F5F258" w14:textId="77777777" w:rsidR="00705F19" w:rsidRDefault="00705F19" w:rsidP="0078095C">
            <w:r>
              <w:t>$   4,368,296</w:t>
            </w:r>
          </w:p>
        </w:tc>
      </w:tr>
      <w:tr w:rsidR="00705F19" w14:paraId="57F5F25C" w14:textId="77777777" w:rsidTr="0078095C">
        <w:tc>
          <w:tcPr>
            <w:tcW w:w="6768" w:type="dxa"/>
            <w:tcBorders>
              <w:right w:val="single" w:sz="4" w:space="0" w:color="auto"/>
            </w:tcBorders>
          </w:tcPr>
          <w:p w14:paraId="57F5F25A" w14:textId="77777777" w:rsidR="00705F19" w:rsidRDefault="00705F19" w:rsidP="0078095C">
            <w:r>
              <w:t>Codes and standards management fee</w:t>
            </w:r>
          </w:p>
        </w:tc>
        <w:tc>
          <w:tcPr>
            <w:tcW w:w="2808" w:type="dxa"/>
            <w:tcBorders>
              <w:top w:val="single" w:sz="4" w:space="0" w:color="auto"/>
              <w:left w:val="single" w:sz="4" w:space="0" w:color="auto"/>
              <w:bottom w:val="nil"/>
            </w:tcBorders>
          </w:tcPr>
          <w:p w14:paraId="57F5F25B" w14:textId="77777777" w:rsidR="00705F19" w:rsidRDefault="00705F19" w:rsidP="0078095C">
            <w:r>
              <w:t>$   873,505</w:t>
            </w:r>
          </w:p>
        </w:tc>
      </w:tr>
      <w:tr w:rsidR="00705F19" w14:paraId="57F5F25F" w14:textId="77777777" w:rsidTr="0078095C">
        <w:tc>
          <w:tcPr>
            <w:tcW w:w="6768" w:type="dxa"/>
            <w:tcBorders>
              <w:bottom w:val="single" w:sz="4" w:space="0" w:color="auto"/>
              <w:right w:val="single" w:sz="4" w:space="0" w:color="auto"/>
            </w:tcBorders>
          </w:tcPr>
          <w:p w14:paraId="57F5F25D" w14:textId="77777777" w:rsidR="00705F19" w:rsidRDefault="00705F19" w:rsidP="0078095C">
            <w:r>
              <w:t>Non-resource program management fee</w:t>
            </w:r>
          </w:p>
        </w:tc>
        <w:tc>
          <w:tcPr>
            <w:tcW w:w="2808" w:type="dxa"/>
            <w:tcBorders>
              <w:top w:val="nil"/>
              <w:left w:val="single" w:sz="4" w:space="0" w:color="auto"/>
              <w:bottom w:val="single" w:sz="4" w:space="0" w:color="auto"/>
            </w:tcBorders>
          </w:tcPr>
          <w:p w14:paraId="57F5F25E" w14:textId="77777777" w:rsidR="00705F19" w:rsidRDefault="00705F19" w:rsidP="0078095C">
            <w:r>
              <w:t>$   886,641</w:t>
            </w:r>
          </w:p>
        </w:tc>
      </w:tr>
      <w:tr w:rsidR="00705F19" w14:paraId="57F5F262" w14:textId="77777777" w:rsidTr="0078095C">
        <w:tc>
          <w:tcPr>
            <w:tcW w:w="6768" w:type="dxa"/>
            <w:tcBorders>
              <w:top w:val="single" w:sz="4" w:space="0" w:color="auto"/>
              <w:bottom w:val="single" w:sz="4" w:space="0" w:color="auto"/>
              <w:right w:val="single" w:sz="4" w:space="0" w:color="auto"/>
            </w:tcBorders>
          </w:tcPr>
          <w:p w14:paraId="57F5F260" w14:textId="77777777" w:rsidR="00705F19" w:rsidRDefault="00705F19" w:rsidP="0078095C">
            <w:r>
              <w:t>Total</w:t>
            </w:r>
          </w:p>
        </w:tc>
        <w:tc>
          <w:tcPr>
            <w:tcW w:w="2808" w:type="dxa"/>
            <w:tcBorders>
              <w:top w:val="single" w:sz="4" w:space="0" w:color="auto"/>
              <w:left w:val="single" w:sz="4" w:space="0" w:color="auto"/>
              <w:bottom w:val="single" w:sz="4" w:space="0" w:color="auto"/>
            </w:tcBorders>
          </w:tcPr>
          <w:p w14:paraId="57F5F261" w14:textId="77777777" w:rsidR="00705F19" w:rsidRDefault="00705F19" w:rsidP="0078095C">
            <w:r>
              <w:t>$   11,515,950</w:t>
            </w:r>
          </w:p>
        </w:tc>
      </w:tr>
    </w:tbl>
    <w:p w14:paraId="57F5F263" w14:textId="77777777" w:rsidR="00705F19" w:rsidRDefault="00705F19" w:rsidP="00705F19"/>
    <w:p w14:paraId="57F5F264" w14:textId="77777777" w:rsidR="00705F19" w:rsidRPr="00731444" w:rsidRDefault="00705F19" w:rsidP="00705F19">
      <w:pPr>
        <w:spacing w:after="120"/>
      </w:pPr>
      <w:r w:rsidRPr="00DB0C0F">
        <w:rPr>
          <w:i/>
        </w:rPr>
        <w:t>Component 1: Energy Savings Performance Award</w:t>
      </w:r>
    </w:p>
    <w:p w14:paraId="57F5F265" w14:textId="77777777" w:rsidR="00705F19" w:rsidRPr="00BF0662" w:rsidRDefault="00705F19" w:rsidP="00705F19">
      <w:r w:rsidRPr="00BF0662">
        <w:t>In Energy Division’s review of PG&amp;E AL 3606-G/4659-E, staff finds PG&amp;E’s filing to be inconsistent with the utility-reported data on file with the Commission and stored on the ED Central Server. The differences between the PG&amp;E-filed savings values and the Commission data are noted below.</w:t>
      </w:r>
    </w:p>
    <w:p w14:paraId="57F5F266" w14:textId="77777777" w:rsidR="00705F19" w:rsidRPr="00BF0662" w:rsidRDefault="00705F19" w:rsidP="00705F19"/>
    <w:p w14:paraId="57F5F267" w14:textId="77777777" w:rsidR="00705F19" w:rsidRPr="00BF0662" w:rsidRDefault="00705F19" w:rsidP="00705F19">
      <w:pPr>
        <w:spacing w:after="120"/>
      </w:pPr>
      <w:r w:rsidRPr="00DB0C0F">
        <w:t>Table 3: Comparison of PG&amp;E Filed Energy Savings and ED Central Server Values</w:t>
      </w:r>
    </w:p>
    <w:tbl>
      <w:tblPr>
        <w:tblW w:w="0" w:type="auto"/>
        <w:tblCellMar>
          <w:left w:w="0" w:type="dxa"/>
          <w:right w:w="0" w:type="dxa"/>
        </w:tblCellMar>
        <w:tblLook w:val="04A0" w:firstRow="1" w:lastRow="0" w:firstColumn="1" w:lastColumn="0" w:noHBand="0" w:noVBand="1"/>
      </w:tblPr>
      <w:tblGrid>
        <w:gridCol w:w="2435"/>
        <w:gridCol w:w="2623"/>
        <w:gridCol w:w="2284"/>
        <w:gridCol w:w="2234"/>
      </w:tblGrid>
      <w:tr w:rsidR="00705F19" w:rsidRPr="00BF0662" w14:paraId="57F5F26D" w14:textId="77777777" w:rsidTr="0078095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7F5F268" w14:textId="77777777" w:rsidR="00705F19" w:rsidRPr="00BF0662" w:rsidRDefault="00705F19" w:rsidP="0078095C">
            <w:pPr>
              <w:rPr>
                <w:rFonts w:ascii="Calibri" w:eastAsiaTheme="minorHAnsi" w:hAnsi="Calibri"/>
                <w:sz w:val="22"/>
                <w:szCs w:val="22"/>
              </w:rPr>
            </w:pP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269" w14:textId="77777777" w:rsidR="00705F19" w:rsidRPr="00BF0662" w:rsidRDefault="00705F19" w:rsidP="0078095C">
            <w:pPr>
              <w:jc w:val="center"/>
              <w:rPr>
                <w:rFonts w:ascii="Calibri" w:eastAsiaTheme="minorHAnsi" w:hAnsi="Calibri"/>
                <w:b/>
                <w:sz w:val="22"/>
                <w:szCs w:val="22"/>
              </w:rPr>
            </w:pPr>
            <w:r w:rsidRPr="00BF0662">
              <w:rPr>
                <w:b/>
              </w:rPr>
              <w:t xml:space="preserve">IOU Claimed Value </w:t>
            </w:r>
          </w:p>
          <w:p w14:paraId="57F5F26A" w14:textId="77777777" w:rsidR="00705F19" w:rsidRPr="00BF0662" w:rsidRDefault="00705F19" w:rsidP="0078095C">
            <w:pPr>
              <w:jc w:val="center"/>
              <w:rPr>
                <w:rFonts w:ascii="Calibri" w:eastAsiaTheme="minorHAnsi" w:hAnsi="Calibri"/>
                <w:b/>
                <w:sz w:val="22"/>
                <w:szCs w:val="22"/>
              </w:rPr>
            </w:pPr>
            <w:r w:rsidRPr="00BF0662">
              <w:rPr>
                <w:b/>
              </w:rPr>
              <w:t>(supplemental AL)</w:t>
            </w:r>
          </w:p>
        </w:tc>
        <w:tc>
          <w:tcPr>
            <w:tcW w:w="22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26B" w14:textId="77777777" w:rsidR="00705F19" w:rsidRPr="00BF0662" w:rsidRDefault="00705F19" w:rsidP="0078095C">
            <w:pPr>
              <w:jc w:val="center"/>
              <w:rPr>
                <w:rFonts w:ascii="Calibri" w:eastAsiaTheme="minorHAnsi" w:hAnsi="Calibri"/>
                <w:b/>
                <w:sz w:val="22"/>
                <w:szCs w:val="22"/>
              </w:rPr>
            </w:pPr>
            <w:r w:rsidRPr="00BF0662">
              <w:rPr>
                <w:b/>
              </w:rPr>
              <w:t>ED Central Server Value</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5F26C" w14:textId="77777777" w:rsidR="00705F19" w:rsidRPr="00BF0662" w:rsidRDefault="00705F19" w:rsidP="0078095C">
            <w:pPr>
              <w:jc w:val="center"/>
              <w:rPr>
                <w:rFonts w:ascii="Calibri" w:eastAsiaTheme="minorHAnsi" w:hAnsi="Calibri"/>
                <w:b/>
                <w:sz w:val="22"/>
                <w:szCs w:val="22"/>
              </w:rPr>
            </w:pPr>
            <w:r w:rsidRPr="00BF0662">
              <w:rPr>
                <w:b/>
              </w:rPr>
              <w:t>Difference</w:t>
            </w:r>
          </w:p>
        </w:tc>
      </w:tr>
      <w:tr w:rsidR="00705F19" w:rsidRPr="00BF0662" w14:paraId="57F5F272" w14:textId="77777777" w:rsidTr="0078095C">
        <w:tc>
          <w:tcPr>
            <w:tcW w:w="2435" w:type="dxa"/>
            <w:tcBorders>
              <w:top w:val="single" w:sz="8" w:space="0" w:color="auto"/>
              <w:left w:val="single" w:sz="8" w:space="0" w:color="auto"/>
              <w:right w:val="single" w:sz="8" w:space="0" w:color="auto"/>
            </w:tcBorders>
            <w:tcMar>
              <w:top w:w="0" w:type="dxa"/>
              <w:left w:w="108" w:type="dxa"/>
              <w:bottom w:w="0" w:type="dxa"/>
              <w:right w:w="108" w:type="dxa"/>
            </w:tcMar>
            <w:vAlign w:val="bottom"/>
          </w:tcPr>
          <w:p w14:paraId="57F5F26E" w14:textId="77777777" w:rsidR="00705F19" w:rsidRPr="00BF0662" w:rsidRDefault="00705F19" w:rsidP="0078095C">
            <w:pPr>
              <w:rPr>
                <w:rFonts w:ascii="Calibri" w:eastAsiaTheme="minorHAnsi" w:hAnsi="Calibri"/>
                <w:sz w:val="22"/>
                <w:szCs w:val="22"/>
              </w:rPr>
            </w:pPr>
            <w:r w:rsidRPr="00BF0662">
              <w:t>GWh</w:t>
            </w:r>
          </w:p>
        </w:tc>
        <w:tc>
          <w:tcPr>
            <w:tcW w:w="2623" w:type="dxa"/>
            <w:tcBorders>
              <w:top w:val="single" w:sz="8" w:space="0" w:color="auto"/>
              <w:left w:val="nil"/>
              <w:right w:val="single" w:sz="8" w:space="0" w:color="auto"/>
            </w:tcBorders>
            <w:tcMar>
              <w:top w:w="0" w:type="dxa"/>
              <w:left w:w="108" w:type="dxa"/>
              <w:bottom w:w="0" w:type="dxa"/>
              <w:right w:w="108" w:type="dxa"/>
            </w:tcMar>
            <w:vAlign w:val="bottom"/>
          </w:tcPr>
          <w:p w14:paraId="57F5F26F" w14:textId="77777777" w:rsidR="00705F19" w:rsidRPr="00BF0662" w:rsidRDefault="00705F19" w:rsidP="0078095C">
            <w:pPr>
              <w:jc w:val="center"/>
              <w:rPr>
                <w:rFonts w:ascii="Calibri" w:eastAsiaTheme="minorHAnsi" w:hAnsi="Calibri"/>
                <w:sz w:val="22"/>
                <w:szCs w:val="22"/>
              </w:rPr>
            </w:pPr>
            <w:r>
              <w:t>1,265</w:t>
            </w:r>
          </w:p>
        </w:tc>
        <w:tc>
          <w:tcPr>
            <w:tcW w:w="2284" w:type="dxa"/>
            <w:tcBorders>
              <w:top w:val="single" w:sz="8" w:space="0" w:color="auto"/>
              <w:left w:val="nil"/>
              <w:right w:val="single" w:sz="8" w:space="0" w:color="auto"/>
            </w:tcBorders>
            <w:shd w:val="clear" w:color="auto" w:fill="auto"/>
            <w:tcMar>
              <w:top w:w="0" w:type="dxa"/>
              <w:left w:w="108" w:type="dxa"/>
              <w:bottom w:w="0" w:type="dxa"/>
              <w:right w:w="108" w:type="dxa"/>
            </w:tcMar>
            <w:vAlign w:val="bottom"/>
          </w:tcPr>
          <w:p w14:paraId="57F5F270" w14:textId="77777777" w:rsidR="00705F19" w:rsidRPr="00DB0C0F" w:rsidRDefault="00E9533A" w:rsidP="0078095C">
            <w:pPr>
              <w:jc w:val="center"/>
            </w:pPr>
            <w:r>
              <w:t>1,180</w:t>
            </w:r>
          </w:p>
        </w:tc>
        <w:tc>
          <w:tcPr>
            <w:tcW w:w="2234" w:type="dxa"/>
            <w:tcBorders>
              <w:top w:val="single" w:sz="8" w:space="0" w:color="auto"/>
              <w:left w:val="nil"/>
              <w:right w:val="single" w:sz="8" w:space="0" w:color="auto"/>
            </w:tcBorders>
            <w:shd w:val="clear" w:color="auto" w:fill="auto"/>
            <w:tcMar>
              <w:top w:w="0" w:type="dxa"/>
              <w:left w:w="108" w:type="dxa"/>
              <w:bottom w:w="0" w:type="dxa"/>
              <w:right w:w="108" w:type="dxa"/>
            </w:tcMar>
          </w:tcPr>
          <w:p w14:paraId="57F5F271" w14:textId="77777777" w:rsidR="00705F19" w:rsidRPr="00BF0662" w:rsidRDefault="00E9533A" w:rsidP="0078095C">
            <w:pPr>
              <w:jc w:val="center"/>
              <w:rPr>
                <w:rFonts w:ascii="Calibri" w:eastAsiaTheme="minorHAnsi" w:hAnsi="Calibri"/>
                <w:sz w:val="22"/>
                <w:szCs w:val="22"/>
              </w:rPr>
            </w:pPr>
            <w:r>
              <w:t>7</w:t>
            </w:r>
            <w:r w:rsidR="00705F19" w:rsidRPr="00BF0662">
              <w:t>%</w:t>
            </w:r>
          </w:p>
        </w:tc>
      </w:tr>
      <w:tr w:rsidR="00705F19" w:rsidRPr="00BF0662" w14:paraId="57F5F277" w14:textId="77777777" w:rsidTr="0078095C">
        <w:tc>
          <w:tcPr>
            <w:tcW w:w="2435" w:type="dxa"/>
            <w:tcBorders>
              <w:left w:val="single" w:sz="8" w:space="0" w:color="auto"/>
              <w:right w:val="single" w:sz="8" w:space="0" w:color="auto"/>
            </w:tcBorders>
            <w:tcMar>
              <w:top w:w="0" w:type="dxa"/>
              <w:left w:w="108" w:type="dxa"/>
              <w:bottom w:w="0" w:type="dxa"/>
              <w:right w:w="108" w:type="dxa"/>
            </w:tcMar>
            <w:vAlign w:val="bottom"/>
          </w:tcPr>
          <w:p w14:paraId="57F5F273" w14:textId="77777777" w:rsidR="00705F19" w:rsidRPr="00BF0662" w:rsidRDefault="00705F19" w:rsidP="0078095C">
            <w:pPr>
              <w:rPr>
                <w:rFonts w:ascii="Calibri" w:eastAsiaTheme="minorHAnsi" w:hAnsi="Calibri"/>
                <w:sz w:val="22"/>
                <w:szCs w:val="22"/>
              </w:rPr>
            </w:pPr>
            <w:r w:rsidRPr="00BF0662">
              <w:t>MW</w:t>
            </w:r>
          </w:p>
        </w:tc>
        <w:tc>
          <w:tcPr>
            <w:tcW w:w="2623" w:type="dxa"/>
            <w:tcBorders>
              <w:left w:val="nil"/>
              <w:right w:val="single" w:sz="8" w:space="0" w:color="auto"/>
            </w:tcBorders>
            <w:tcMar>
              <w:top w:w="0" w:type="dxa"/>
              <w:left w:w="108" w:type="dxa"/>
              <w:bottom w:w="0" w:type="dxa"/>
              <w:right w:w="108" w:type="dxa"/>
            </w:tcMar>
            <w:vAlign w:val="bottom"/>
          </w:tcPr>
          <w:p w14:paraId="57F5F274" w14:textId="77777777" w:rsidR="00705F19" w:rsidRPr="00BF0662" w:rsidRDefault="00705F19" w:rsidP="0078095C">
            <w:pPr>
              <w:jc w:val="center"/>
              <w:rPr>
                <w:rFonts w:ascii="Calibri" w:eastAsiaTheme="minorHAnsi" w:hAnsi="Calibri"/>
                <w:sz w:val="22"/>
                <w:szCs w:val="22"/>
              </w:rPr>
            </w:pPr>
            <w:r>
              <w:t>210</w:t>
            </w:r>
          </w:p>
        </w:tc>
        <w:tc>
          <w:tcPr>
            <w:tcW w:w="2284" w:type="dxa"/>
            <w:tcBorders>
              <w:left w:val="nil"/>
              <w:right w:val="single" w:sz="8" w:space="0" w:color="auto"/>
            </w:tcBorders>
            <w:shd w:val="clear" w:color="auto" w:fill="auto"/>
            <w:tcMar>
              <w:top w:w="0" w:type="dxa"/>
              <w:left w:w="108" w:type="dxa"/>
              <w:bottom w:w="0" w:type="dxa"/>
              <w:right w:w="108" w:type="dxa"/>
            </w:tcMar>
            <w:vAlign w:val="bottom"/>
          </w:tcPr>
          <w:p w14:paraId="57F5F275" w14:textId="77777777" w:rsidR="00705F19" w:rsidRPr="00DB0C0F" w:rsidRDefault="00DB0C0F" w:rsidP="00E9533A">
            <w:pPr>
              <w:jc w:val="center"/>
            </w:pPr>
            <w:r>
              <w:t>18</w:t>
            </w:r>
            <w:r w:rsidR="00E9533A">
              <w:t>3</w:t>
            </w:r>
          </w:p>
        </w:tc>
        <w:tc>
          <w:tcPr>
            <w:tcW w:w="2234" w:type="dxa"/>
            <w:tcBorders>
              <w:left w:val="nil"/>
              <w:right w:val="single" w:sz="8" w:space="0" w:color="auto"/>
            </w:tcBorders>
            <w:shd w:val="clear" w:color="auto" w:fill="auto"/>
            <w:tcMar>
              <w:top w:w="0" w:type="dxa"/>
              <w:left w:w="108" w:type="dxa"/>
              <w:bottom w:w="0" w:type="dxa"/>
              <w:right w:w="108" w:type="dxa"/>
            </w:tcMar>
          </w:tcPr>
          <w:p w14:paraId="57F5F276" w14:textId="77777777" w:rsidR="00705F19" w:rsidRPr="00BF0662" w:rsidRDefault="00E9533A" w:rsidP="0078095C">
            <w:pPr>
              <w:jc w:val="center"/>
              <w:rPr>
                <w:rFonts w:ascii="Calibri" w:eastAsiaTheme="minorHAnsi" w:hAnsi="Calibri"/>
                <w:sz w:val="22"/>
                <w:szCs w:val="22"/>
              </w:rPr>
            </w:pPr>
            <w:r>
              <w:t>13</w:t>
            </w:r>
            <w:r w:rsidR="00705F19" w:rsidRPr="00BF0662">
              <w:t>%</w:t>
            </w:r>
          </w:p>
        </w:tc>
      </w:tr>
      <w:tr w:rsidR="00705F19" w:rsidRPr="00BF0662" w14:paraId="57F5F27C" w14:textId="77777777" w:rsidTr="0078095C">
        <w:tc>
          <w:tcPr>
            <w:tcW w:w="243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7F5F278" w14:textId="77777777" w:rsidR="00705F19" w:rsidRPr="00BF0662" w:rsidRDefault="00705F19" w:rsidP="0078095C">
            <w:pPr>
              <w:rPr>
                <w:rFonts w:ascii="Calibri" w:eastAsiaTheme="minorHAnsi" w:hAnsi="Calibri"/>
                <w:sz w:val="22"/>
                <w:szCs w:val="22"/>
              </w:rPr>
            </w:pPr>
            <w:r w:rsidRPr="00BF0662">
              <w:t>MMth</w:t>
            </w:r>
          </w:p>
        </w:tc>
        <w:tc>
          <w:tcPr>
            <w:tcW w:w="2623" w:type="dxa"/>
            <w:tcBorders>
              <w:left w:val="nil"/>
              <w:bottom w:val="single" w:sz="8" w:space="0" w:color="auto"/>
              <w:right w:val="single" w:sz="8" w:space="0" w:color="auto"/>
            </w:tcBorders>
            <w:tcMar>
              <w:top w:w="0" w:type="dxa"/>
              <w:left w:w="108" w:type="dxa"/>
              <w:bottom w:w="0" w:type="dxa"/>
              <w:right w:w="108" w:type="dxa"/>
            </w:tcMar>
            <w:vAlign w:val="bottom"/>
          </w:tcPr>
          <w:p w14:paraId="57F5F279" w14:textId="77777777" w:rsidR="00705F19" w:rsidRPr="00BF0662" w:rsidRDefault="00705F19" w:rsidP="0078095C">
            <w:pPr>
              <w:jc w:val="center"/>
              <w:rPr>
                <w:rFonts w:ascii="Calibri" w:eastAsiaTheme="minorHAnsi" w:hAnsi="Calibri"/>
                <w:sz w:val="22"/>
                <w:szCs w:val="22"/>
              </w:rPr>
            </w:pPr>
            <w:r>
              <w:t>42</w:t>
            </w:r>
          </w:p>
        </w:tc>
        <w:tc>
          <w:tcPr>
            <w:tcW w:w="2284" w:type="dxa"/>
            <w:tcBorders>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7F5F27A" w14:textId="77777777" w:rsidR="00705F19" w:rsidRPr="00DB0C0F" w:rsidRDefault="00E9533A" w:rsidP="0078095C">
            <w:pPr>
              <w:jc w:val="center"/>
            </w:pPr>
            <w:r>
              <w:t>40</w:t>
            </w:r>
          </w:p>
        </w:tc>
        <w:tc>
          <w:tcPr>
            <w:tcW w:w="2234" w:type="dxa"/>
            <w:tcBorders>
              <w:left w:val="nil"/>
              <w:bottom w:val="single" w:sz="8" w:space="0" w:color="auto"/>
              <w:right w:val="single" w:sz="8" w:space="0" w:color="auto"/>
            </w:tcBorders>
            <w:shd w:val="clear" w:color="auto" w:fill="auto"/>
            <w:tcMar>
              <w:top w:w="0" w:type="dxa"/>
              <w:left w:w="108" w:type="dxa"/>
              <w:bottom w:w="0" w:type="dxa"/>
              <w:right w:w="108" w:type="dxa"/>
            </w:tcMar>
          </w:tcPr>
          <w:p w14:paraId="57F5F27B" w14:textId="77777777" w:rsidR="00705F19" w:rsidRPr="00BF0662" w:rsidRDefault="00E9533A" w:rsidP="0078095C">
            <w:pPr>
              <w:jc w:val="center"/>
              <w:rPr>
                <w:rFonts w:ascii="Calibri" w:eastAsiaTheme="minorHAnsi" w:hAnsi="Calibri"/>
                <w:sz w:val="22"/>
                <w:szCs w:val="22"/>
              </w:rPr>
            </w:pPr>
            <w:r>
              <w:t>4</w:t>
            </w:r>
            <w:r w:rsidR="00705F19" w:rsidRPr="00BF0662">
              <w:t>%</w:t>
            </w:r>
          </w:p>
        </w:tc>
      </w:tr>
    </w:tbl>
    <w:p w14:paraId="57F5F27D" w14:textId="77777777" w:rsidR="00705F19" w:rsidRPr="00BF0662" w:rsidRDefault="00705F19" w:rsidP="00705F19"/>
    <w:p w14:paraId="57F5F27E" w14:textId="77777777" w:rsidR="00705F19" w:rsidRDefault="00705F19" w:rsidP="00705F19">
      <w:r w:rsidRPr="00BF0662">
        <w:t xml:space="preserve">It is unclear why the utility-reported data on file at the Commission would differ from PG&amp;E’s advice letter filing. The savings values staff used for the purposes of this Resolution is included as Attachment 3. Given that the Commission data on file are comprised of utility-filed claims reviewed by Commission staff, staff relied on the Commission data to verify and confirm PG&amp;E’s filing. </w:t>
      </w:r>
      <w:r w:rsidRPr="00BF0662">
        <w:rPr>
          <w:u w:val="single"/>
        </w:rPr>
        <w:t xml:space="preserve">As such, the </w:t>
      </w:r>
      <w:r w:rsidRPr="00BF0662">
        <w:rPr>
          <w:u w:val="single"/>
        </w:rPr>
        <w:lastRenderedPageBreak/>
        <w:t xml:space="preserve">energy savings component of the shareholder incentive award for PG&amp;E is calculated per Table 4 below, for a total reduction of $ </w:t>
      </w:r>
      <w:r w:rsidR="00E9533A">
        <w:rPr>
          <w:u w:val="single"/>
        </w:rPr>
        <w:t>420,168</w:t>
      </w:r>
      <w:r w:rsidRPr="00BF0662">
        <w:rPr>
          <w:u w:val="single"/>
        </w:rPr>
        <w:t xml:space="preserve"> from the claimed amount in PG&amp;E AL 3606-G/4659-E.</w:t>
      </w:r>
    </w:p>
    <w:p w14:paraId="57F5F27F" w14:textId="77777777" w:rsidR="00705F19" w:rsidRDefault="00705F19" w:rsidP="00705F19"/>
    <w:p w14:paraId="57F5F280" w14:textId="77777777" w:rsidR="00705F19" w:rsidRDefault="00705F19" w:rsidP="00DF6175">
      <w:pPr>
        <w:spacing w:after="360"/>
      </w:pPr>
      <w:r w:rsidRPr="00BF7753">
        <w:t>Table 4: PG&amp;E Energy Savings Performance Award Calculation</w:t>
      </w:r>
    </w:p>
    <w:tbl>
      <w:tblPr>
        <w:tblStyle w:val="TableGrid"/>
        <w:tblW w:w="0" w:type="auto"/>
        <w:tblLook w:val="04A0" w:firstRow="1" w:lastRow="0" w:firstColumn="1" w:lastColumn="0" w:noHBand="0" w:noVBand="1"/>
      </w:tblPr>
      <w:tblGrid>
        <w:gridCol w:w="3192"/>
        <w:gridCol w:w="3192"/>
        <w:gridCol w:w="3192"/>
      </w:tblGrid>
      <w:tr w:rsidR="00705F19" w14:paraId="57F5F284" w14:textId="77777777" w:rsidTr="0078095C">
        <w:tc>
          <w:tcPr>
            <w:tcW w:w="3192" w:type="dxa"/>
            <w:tcBorders>
              <w:bottom w:val="single" w:sz="4" w:space="0" w:color="auto"/>
            </w:tcBorders>
          </w:tcPr>
          <w:p w14:paraId="57F5F281" w14:textId="77777777" w:rsidR="00705F19" w:rsidRPr="00196089" w:rsidRDefault="00705F19" w:rsidP="0078095C">
            <w:pPr>
              <w:jc w:val="center"/>
              <w:rPr>
                <w:b/>
              </w:rPr>
            </w:pPr>
            <w:r w:rsidRPr="00196089">
              <w:rPr>
                <w:b/>
              </w:rPr>
              <w:t>Energy Units Saved</w:t>
            </w:r>
          </w:p>
        </w:tc>
        <w:tc>
          <w:tcPr>
            <w:tcW w:w="3192" w:type="dxa"/>
            <w:tcBorders>
              <w:bottom w:val="single" w:sz="4" w:space="0" w:color="auto"/>
            </w:tcBorders>
          </w:tcPr>
          <w:p w14:paraId="57F5F282" w14:textId="77777777" w:rsidR="00705F19" w:rsidRPr="00196089" w:rsidRDefault="00705F19" w:rsidP="0078095C">
            <w:pPr>
              <w:jc w:val="center"/>
              <w:rPr>
                <w:b/>
              </w:rPr>
            </w:pPr>
            <w:r w:rsidRPr="00196089">
              <w:rPr>
                <w:b/>
              </w:rPr>
              <w:t>Earnings Rate</w:t>
            </w:r>
          </w:p>
        </w:tc>
        <w:tc>
          <w:tcPr>
            <w:tcW w:w="3192" w:type="dxa"/>
            <w:tcBorders>
              <w:bottom w:val="single" w:sz="4" w:space="0" w:color="auto"/>
            </w:tcBorders>
          </w:tcPr>
          <w:p w14:paraId="57F5F283" w14:textId="77777777" w:rsidR="00705F19" w:rsidRPr="00196089" w:rsidRDefault="00705F19" w:rsidP="0078095C">
            <w:pPr>
              <w:jc w:val="center"/>
              <w:rPr>
                <w:b/>
              </w:rPr>
            </w:pPr>
            <w:r w:rsidRPr="00196089">
              <w:rPr>
                <w:b/>
              </w:rPr>
              <w:t>Total Earnings</w:t>
            </w:r>
          </w:p>
        </w:tc>
      </w:tr>
      <w:tr w:rsidR="00705F19" w14:paraId="57F5F288" w14:textId="77777777" w:rsidTr="0078095C">
        <w:tc>
          <w:tcPr>
            <w:tcW w:w="3192" w:type="dxa"/>
            <w:tcBorders>
              <w:bottom w:val="nil"/>
            </w:tcBorders>
            <w:shd w:val="clear" w:color="auto" w:fill="auto"/>
          </w:tcPr>
          <w:p w14:paraId="57F5F285" w14:textId="77777777" w:rsidR="00705F19" w:rsidRPr="0061345E" w:rsidRDefault="00E9533A" w:rsidP="0078095C">
            <w:pPr>
              <w:jc w:val="center"/>
            </w:pPr>
            <w:r>
              <w:t>1,180</w:t>
            </w:r>
            <w:r w:rsidR="00BF7753">
              <w:t xml:space="preserve"> </w:t>
            </w:r>
            <w:r w:rsidR="00705F19" w:rsidRPr="0061345E">
              <w:t>GWh</w:t>
            </w:r>
          </w:p>
        </w:tc>
        <w:tc>
          <w:tcPr>
            <w:tcW w:w="3192" w:type="dxa"/>
            <w:tcBorders>
              <w:bottom w:val="nil"/>
            </w:tcBorders>
          </w:tcPr>
          <w:p w14:paraId="57F5F286" w14:textId="77777777" w:rsidR="00705F19" w:rsidRPr="00476F1B" w:rsidRDefault="00705F19" w:rsidP="0078095C">
            <w:pPr>
              <w:jc w:val="center"/>
            </w:pPr>
            <w:r w:rsidRPr="00476F1B">
              <w:t>$</w:t>
            </w:r>
            <w:r>
              <w:t xml:space="preserve"> </w:t>
            </w:r>
            <w:r w:rsidRPr="00476F1B">
              <w:t>2,525/GWh</w:t>
            </w:r>
          </w:p>
        </w:tc>
        <w:tc>
          <w:tcPr>
            <w:tcW w:w="3192" w:type="dxa"/>
            <w:tcBorders>
              <w:bottom w:val="nil"/>
            </w:tcBorders>
          </w:tcPr>
          <w:p w14:paraId="57F5F287" w14:textId="77777777" w:rsidR="00705F19" w:rsidRPr="0061345E" w:rsidRDefault="00705F19" w:rsidP="00E9533A">
            <w:pPr>
              <w:jc w:val="center"/>
            </w:pPr>
            <w:r w:rsidRPr="00476F1B">
              <w:t>$</w:t>
            </w:r>
            <w:r>
              <w:t xml:space="preserve"> </w:t>
            </w:r>
            <w:r w:rsidR="00BF7753">
              <w:t>2,</w:t>
            </w:r>
            <w:r w:rsidR="00E9533A">
              <w:t>979,500</w:t>
            </w:r>
          </w:p>
        </w:tc>
      </w:tr>
      <w:tr w:rsidR="00705F19" w:rsidRPr="004D689B" w14:paraId="57F5F28C" w14:textId="77777777" w:rsidTr="0078095C">
        <w:tc>
          <w:tcPr>
            <w:tcW w:w="3192" w:type="dxa"/>
            <w:tcBorders>
              <w:top w:val="nil"/>
              <w:bottom w:val="nil"/>
            </w:tcBorders>
            <w:shd w:val="clear" w:color="auto" w:fill="auto"/>
          </w:tcPr>
          <w:p w14:paraId="57F5F289" w14:textId="77777777" w:rsidR="00705F19" w:rsidRPr="0061345E" w:rsidRDefault="00E9533A" w:rsidP="0078095C">
            <w:pPr>
              <w:jc w:val="center"/>
            </w:pPr>
            <w:r>
              <w:t>183</w:t>
            </w:r>
            <w:r w:rsidR="00BF7753">
              <w:t xml:space="preserve"> </w:t>
            </w:r>
            <w:r w:rsidR="00705F19" w:rsidRPr="0061345E">
              <w:t>MW-Yr</w:t>
            </w:r>
          </w:p>
        </w:tc>
        <w:tc>
          <w:tcPr>
            <w:tcW w:w="3192" w:type="dxa"/>
            <w:tcBorders>
              <w:top w:val="nil"/>
              <w:bottom w:val="nil"/>
            </w:tcBorders>
          </w:tcPr>
          <w:p w14:paraId="57F5F28A" w14:textId="77777777" w:rsidR="00705F19" w:rsidRPr="00476F1B" w:rsidRDefault="00705F19" w:rsidP="0078095C">
            <w:pPr>
              <w:jc w:val="center"/>
            </w:pPr>
            <w:r w:rsidRPr="00476F1B">
              <w:t>$</w:t>
            </w:r>
            <w:r>
              <w:t xml:space="preserve"> </w:t>
            </w:r>
            <w:r w:rsidRPr="00476F1B">
              <w:t>6,200/MW-Yr</w:t>
            </w:r>
          </w:p>
        </w:tc>
        <w:tc>
          <w:tcPr>
            <w:tcW w:w="3192" w:type="dxa"/>
            <w:tcBorders>
              <w:top w:val="nil"/>
              <w:bottom w:val="nil"/>
            </w:tcBorders>
          </w:tcPr>
          <w:p w14:paraId="57F5F28B" w14:textId="77777777" w:rsidR="00705F19" w:rsidRPr="0061345E" w:rsidRDefault="00705F19" w:rsidP="0078095C">
            <w:pPr>
              <w:jc w:val="center"/>
            </w:pPr>
            <w:r w:rsidRPr="00476F1B">
              <w:t>$</w:t>
            </w:r>
            <w:r>
              <w:t xml:space="preserve"> </w:t>
            </w:r>
            <w:r w:rsidR="00BF7753">
              <w:t>1,1</w:t>
            </w:r>
            <w:r w:rsidR="00E9533A">
              <w:t>34,600</w:t>
            </w:r>
          </w:p>
        </w:tc>
      </w:tr>
      <w:tr w:rsidR="00705F19" w14:paraId="57F5F290" w14:textId="77777777" w:rsidTr="0078095C">
        <w:tc>
          <w:tcPr>
            <w:tcW w:w="3192" w:type="dxa"/>
            <w:tcBorders>
              <w:top w:val="nil"/>
            </w:tcBorders>
            <w:shd w:val="clear" w:color="auto" w:fill="auto"/>
          </w:tcPr>
          <w:p w14:paraId="57F5F28D" w14:textId="77777777" w:rsidR="00705F19" w:rsidRPr="0061345E" w:rsidRDefault="00E9533A" w:rsidP="0078095C">
            <w:pPr>
              <w:jc w:val="center"/>
            </w:pPr>
            <w:r>
              <w:t>40</w:t>
            </w:r>
            <w:r w:rsidR="00BF7753">
              <w:t xml:space="preserve"> </w:t>
            </w:r>
            <w:r w:rsidR="00705F19">
              <w:t>MMT</w:t>
            </w:r>
            <w:r w:rsidR="00705F19" w:rsidRPr="0061345E">
              <w:t>h</w:t>
            </w:r>
          </w:p>
        </w:tc>
        <w:tc>
          <w:tcPr>
            <w:tcW w:w="3192" w:type="dxa"/>
            <w:tcBorders>
              <w:top w:val="nil"/>
            </w:tcBorders>
          </w:tcPr>
          <w:p w14:paraId="57F5F28E" w14:textId="77777777" w:rsidR="00705F19" w:rsidRPr="00476F1B" w:rsidRDefault="00705F19" w:rsidP="0078095C">
            <w:pPr>
              <w:jc w:val="center"/>
            </w:pPr>
            <w:r w:rsidRPr="00476F1B">
              <w:t>$</w:t>
            </w:r>
            <w:r>
              <w:t xml:space="preserve"> </w:t>
            </w:r>
            <w:r w:rsidRPr="00476F1B">
              <w:t>21,331</w:t>
            </w:r>
            <w:r>
              <w:t>/MMTh</w:t>
            </w:r>
          </w:p>
        </w:tc>
        <w:tc>
          <w:tcPr>
            <w:tcW w:w="3192" w:type="dxa"/>
            <w:tcBorders>
              <w:top w:val="nil"/>
            </w:tcBorders>
          </w:tcPr>
          <w:p w14:paraId="57F5F28F" w14:textId="77777777" w:rsidR="00705F19" w:rsidRPr="00476F1B" w:rsidRDefault="00705F19" w:rsidP="0078095C">
            <w:pPr>
              <w:jc w:val="center"/>
            </w:pPr>
            <w:r w:rsidRPr="00476F1B">
              <w:t>$</w:t>
            </w:r>
            <w:r>
              <w:t xml:space="preserve"> </w:t>
            </w:r>
            <w:r w:rsidR="00E9533A">
              <w:t>853,240</w:t>
            </w:r>
          </w:p>
        </w:tc>
      </w:tr>
      <w:tr w:rsidR="00705F19" w14:paraId="57F5F293" w14:textId="77777777" w:rsidTr="0078095C">
        <w:tc>
          <w:tcPr>
            <w:tcW w:w="6384" w:type="dxa"/>
            <w:gridSpan w:val="2"/>
          </w:tcPr>
          <w:p w14:paraId="57F5F291" w14:textId="77777777" w:rsidR="00705F19" w:rsidRPr="00141838" w:rsidRDefault="00705F19" w:rsidP="0078095C">
            <w:pPr>
              <w:jc w:val="center"/>
            </w:pPr>
          </w:p>
        </w:tc>
        <w:tc>
          <w:tcPr>
            <w:tcW w:w="3192" w:type="dxa"/>
          </w:tcPr>
          <w:p w14:paraId="57F5F292" w14:textId="77777777" w:rsidR="00705F19" w:rsidRPr="0061345E" w:rsidRDefault="00705F19" w:rsidP="00E9533A">
            <w:pPr>
              <w:jc w:val="center"/>
            </w:pPr>
            <w:r w:rsidRPr="0061345E">
              <w:t>$</w:t>
            </w:r>
            <w:r>
              <w:t xml:space="preserve"> </w:t>
            </w:r>
            <w:r w:rsidR="00E9533A">
              <w:t>4,967,340</w:t>
            </w:r>
          </w:p>
        </w:tc>
      </w:tr>
    </w:tbl>
    <w:p w14:paraId="57F5F294" w14:textId="77777777" w:rsidR="00705F19" w:rsidRDefault="00705F19" w:rsidP="00705F19">
      <w:pPr>
        <w:spacing w:after="120"/>
        <w:rPr>
          <w:i/>
        </w:rPr>
      </w:pPr>
    </w:p>
    <w:p w14:paraId="57F5F295" w14:textId="77777777" w:rsidR="00705F19" w:rsidRPr="00605B4E" w:rsidRDefault="00705F19" w:rsidP="00705F19">
      <w:pPr>
        <w:spacing w:after="120"/>
        <w:rPr>
          <w:i/>
        </w:rPr>
      </w:pPr>
      <w:r>
        <w:rPr>
          <w:i/>
        </w:rPr>
        <w:t>Energy Efficiency Program Expenditures</w:t>
      </w:r>
    </w:p>
    <w:p w14:paraId="57F5F296" w14:textId="77777777" w:rsidR="00705F19" w:rsidRDefault="00705F19" w:rsidP="00705F19">
      <w:r>
        <w:t xml:space="preserve">In AL 3606-G/4659-E PG&amp;E notes the following expenditures that are applicable to the </w:t>
      </w:r>
      <w:r w:rsidR="002A087A">
        <w:t xml:space="preserve">three </w:t>
      </w:r>
      <w:r>
        <w:t>incentive award components:</w:t>
      </w:r>
    </w:p>
    <w:p w14:paraId="57F5F297" w14:textId="77777777" w:rsidR="00705F19" w:rsidRDefault="00705F19" w:rsidP="00705F19">
      <w:pPr>
        <w:spacing w:after="120"/>
      </w:pPr>
    </w:p>
    <w:p w14:paraId="57F5F298" w14:textId="77777777" w:rsidR="00F85B02" w:rsidRDefault="00705F19" w:rsidP="00DF6175">
      <w:pPr>
        <w:spacing w:after="360"/>
      </w:pPr>
      <w:r>
        <w:t>T</w:t>
      </w:r>
      <w:r w:rsidR="00DF6175">
        <w:t>able 5: PG&amp;E Filed Expenditures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98"/>
        <w:gridCol w:w="3240"/>
        <w:gridCol w:w="2538"/>
      </w:tblGrid>
      <w:tr w:rsidR="00705F19" w14:paraId="57F5F29C" w14:textId="77777777" w:rsidTr="0078095C">
        <w:trPr>
          <w:tblHeader/>
        </w:trPr>
        <w:tc>
          <w:tcPr>
            <w:tcW w:w="3798" w:type="dxa"/>
            <w:tcBorders>
              <w:top w:val="single" w:sz="4" w:space="0" w:color="auto"/>
              <w:bottom w:val="single" w:sz="4" w:space="0" w:color="auto"/>
              <w:right w:val="single" w:sz="4" w:space="0" w:color="auto"/>
            </w:tcBorders>
          </w:tcPr>
          <w:p w14:paraId="57F5F299" w14:textId="77777777" w:rsidR="00705F19" w:rsidRPr="00196089" w:rsidRDefault="00705F19" w:rsidP="0078095C">
            <w:pPr>
              <w:rPr>
                <w:b/>
              </w:rPr>
            </w:pPr>
            <w:r w:rsidRPr="00196089">
              <w:rPr>
                <w:b/>
              </w:rPr>
              <w:t>Award Component</w:t>
            </w:r>
          </w:p>
        </w:tc>
        <w:tc>
          <w:tcPr>
            <w:tcW w:w="3240" w:type="dxa"/>
            <w:tcBorders>
              <w:top w:val="single" w:sz="4" w:space="0" w:color="auto"/>
              <w:bottom w:val="single" w:sz="4" w:space="0" w:color="auto"/>
              <w:right w:val="single" w:sz="4" w:space="0" w:color="auto"/>
            </w:tcBorders>
          </w:tcPr>
          <w:p w14:paraId="57F5F29A" w14:textId="77777777" w:rsidR="00705F19" w:rsidRPr="00196089" w:rsidRDefault="00705F19" w:rsidP="0078095C">
            <w:pPr>
              <w:rPr>
                <w:b/>
              </w:rPr>
            </w:pPr>
            <w:r w:rsidRPr="00196089">
              <w:rPr>
                <w:b/>
              </w:rPr>
              <w:t>Applicable Budget(s)</w:t>
            </w:r>
          </w:p>
        </w:tc>
        <w:tc>
          <w:tcPr>
            <w:tcW w:w="2538" w:type="dxa"/>
            <w:tcBorders>
              <w:top w:val="single" w:sz="4" w:space="0" w:color="auto"/>
              <w:left w:val="single" w:sz="4" w:space="0" w:color="auto"/>
              <w:bottom w:val="single" w:sz="4" w:space="0" w:color="auto"/>
            </w:tcBorders>
          </w:tcPr>
          <w:p w14:paraId="57F5F29B" w14:textId="77777777" w:rsidR="00705F19" w:rsidRPr="00196089" w:rsidRDefault="00705F19" w:rsidP="0078095C">
            <w:pPr>
              <w:rPr>
                <w:b/>
              </w:rPr>
            </w:pPr>
            <w:r w:rsidRPr="00196089">
              <w:rPr>
                <w:b/>
              </w:rPr>
              <w:t>Expenditures (less administrative costs)</w:t>
            </w:r>
          </w:p>
        </w:tc>
      </w:tr>
      <w:tr w:rsidR="00705F19" w14:paraId="57F5F2A0" w14:textId="77777777" w:rsidTr="0078095C">
        <w:tc>
          <w:tcPr>
            <w:tcW w:w="3798" w:type="dxa"/>
            <w:tcBorders>
              <w:right w:val="single" w:sz="4" w:space="0" w:color="auto"/>
            </w:tcBorders>
          </w:tcPr>
          <w:p w14:paraId="57F5F29D" w14:textId="77777777" w:rsidR="00705F19" w:rsidRDefault="00705F19" w:rsidP="0078095C">
            <w:pPr>
              <w:pStyle w:val="ListParagraph"/>
              <w:numPr>
                <w:ilvl w:val="0"/>
                <w:numId w:val="14"/>
              </w:numPr>
              <w:spacing w:after="120"/>
              <w:ind w:left="270" w:hanging="270"/>
            </w:pPr>
            <w:r>
              <w:t>Ex ante review performance</w:t>
            </w:r>
          </w:p>
        </w:tc>
        <w:tc>
          <w:tcPr>
            <w:tcW w:w="3240" w:type="dxa"/>
            <w:tcBorders>
              <w:right w:val="single" w:sz="4" w:space="0" w:color="auto"/>
            </w:tcBorders>
          </w:tcPr>
          <w:p w14:paraId="57F5F29E" w14:textId="77777777" w:rsidR="00705F19" w:rsidRDefault="00705F19" w:rsidP="0078095C">
            <w:pPr>
              <w:spacing w:after="120"/>
            </w:pPr>
            <w:r>
              <w:t>All resource programs</w:t>
            </w:r>
          </w:p>
        </w:tc>
        <w:tc>
          <w:tcPr>
            <w:tcW w:w="2538" w:type="dxa"/>
            <w:tcBorders>
              <w:top w:val="nil"/>
              <w:left w:val="single" w:sz="4" w:space="0" w:color="auto"/>
              <w:bottom w:val="nil"/>
            </w:tcBorders>
          </w:tcPr>
          <w:p w14:paraId="57F5F29F" w14:textId="77777777" w:rsidR="00705F19" w:rsidRDefault="00705F19" w:rsidP="0078095C">
            <w:pPr>
              <w:spacing w:after="120"/>
            </w:pPr>
            <w:r>
              <w:t>$ 274,735,623</w:t>
            </w:r>
          </w:p>
        </w:tc>
      </w:tr>
      <w:tr w:rsidR="00705F19" w14:paraId="57F5F2A4" w14:textId="77777777" w:rsidTr="0078095C">
        <w:tc>
          <w:tcPr>
            <w:tcW w:w="3798" w:type="dxa"/>
            <w:tcBorders>
              <w:right w:val="single" w:sz="4" w:space="0" w:color="auto"/>
            </w:tcBorders>
          </w:tcPr>
          <w:p w14:paraId="57F5F2A1" w14:textId="77777777" w:rsidR="00705F19" w:rsidRDefault="00705F19" w:rsidP="0078095C">
            <w:pPr>
              <w:pStyle w:val="ListParagraph"/>
              <w:numPr>
                <w:ilvl w:val="0"/>
                <w:numId w:val="14"/>
              </w:numPr>
              <w:spacing w:after="120"/>
              <w:ind w:left="270" w:hanging="270"/>
            </w:pPr>
            <w:r>
              <w:t>Codes and standards management fee</w:t>
            </w:r>
          </w:p>
        </w:tc>
        <w:tc>
          <w:tcPr>
            <w:tcW w:w="3240" w:type="dxa"/>
            <w:tcBorders>
              <w:right w:val="single" w:sz="4" w:space="0" w:color="auto"/>
            </w:tcBorders>
          </w:tcPr>
          <w:p w14:paraId="57F5F2A2" w14:textId="77777777" w:rsidR="00705F19" w:rsidRDefault="00705F19" w:rsidP="0078095C">
            <w:pPr>
              <w:spacing w:after="120"/>
            </w:pPr>
            <w:r>
              <w:t>Codes and standards programs</w:t>
            </w:r>
          </w:p>
        </w:tc>
        <w:tc>
          <w:tcPr>
            <w:tcW w:w="2538" w:type="dxa"/>
            <w:tcBorders>
              <w:top w:val="nil"/>
              <w:left w:val="single" w:sz="4" w:space="0" w:color="auto"/>
              <w:bottom w:val="nil"/>
            </w:tcBorders>
          </w:tcPr>
          <w:p w14:paraId="57F5F2A3" w14:textId="77777777" w:rsidR="00705F19" w:rsidRDefault="00705F19" w:rsidP="0078095C">
            <w:pPr>
              <w:spacing w:after="120"/>
            </w:pPr>
            <w:r>
              <w:t>$ 7,279,208</w:t>
            </w:r>
          </w:p>
        </w:tc>
      </w:tr>
      <w:tr w:rsidR="00705F19" w14:paraId="57F5F2A8" w14:textId="77777777" w:rsidTr="0078095C">
        <w:tc>
          <w:tcPr>
            <w:tcW w:w="3798" w:type="dxa"/>
            <w:tcBorders>
              <w:bottom w:val="single" w:sz="4" w:space="0" w:color="auto"/>
              <w:right w:val="single" w:sz="4" w:space="0" w:color="auto"/>
            </w:tcBorders>
          </w:tcPr>
          <w:p w14:paraId="57F5F2A5" w14:textId="77777777" w:rsidR="00705F19" w:rsidRDefault="00705F19" w:rsidP="0078095C">
            <w:pPr>
              <w:pStyle w:val="ListParagraph"/>
              <w:numPr>
                <w:ilvl w:val="0"/>
                <w:numId w:val="14"/>
              </w:numPr>
              <w:spacing w:after="120"/>
              <w:ind w:left="270" w:hanging="270"/>
            </w:pPr>
            <w:r>
              <w:t>Non-resource program management fee</w:t>
            </w:r>
          </w:p>
        </w:tc>
        <w:tc>
          <w:tcPr>
            <w:tcW w:w="3240" w:type="dxa"/>
            <w:tcBorders>
              <w:bottom w:val="single" w:sz="4" w:space="0" w:color="auto"/>
              <w:right w:val="single" w:sz="4" w:space="0" w:color="auto"/>
            </w:tcBorders>
          </w:tcPr>
          <w:p w14:paraId="57F5F2A6" w14:textId="77777777" w:rsidR="00705F19" w:rsidRDefault="00705F19" w:rsidP="0078095C">
            <w:pPr>
              <w:spacing w:after="120"/>
            </w:pPr>
            <w:r>
              <w:t>Non-resource programs</w:t>
            </w:r>
          </w:p>
        </w:tc>
        <w:tc>
          <w:tcPr>
            <w:tcW w:w="2538" w:type="dxa"/>
            <w:tcBorders>
              <w:top w:val="nil"/>
              <w:left w:val="single" w:sz="4" w:space="0" w:color="auto"/>
              <w:bottom w:val="single" w:sz="4" w:space="0" w:color="auto"/>
            </w:tcBorders>
          </w:tcPr>
          <w:p w14:paraId="57F5F2A7" w14:textId="77777777" w:rsidR="00705F19" w:rsidRDefault="00705F19" w:rsidP="0078095C">
            <w:pPr>
              <w:spacing w:after="120"/>
            </w:pPr>
            <w:r>
              <w:t>$ 29,554,687</w:t>
            </w:r>
          </w:p>
        </w:tc>
      </w:tr>
    </w:tbl>
    <w:p w14:paraId="57F5F2A9" w14:textId="77777777" w:rsidR="00705F19" w:rsidRDefault="00705F19" w:rsidP="00705F19"/>
    <w:p w14:paraId="57F5F2AA" w14:textId="77777777" w:rsidR="00705F19" w:rsidRPr="00D46E49" w:rsidRDefault="00705F19" w:rsidP="00705F19">
      <w:r w:rsidRPr="00D46E49">
        <w:t>PG&amp;E’s filed expenditures for resource, non-resource, and C&amp;S programs are inconsistent with the utility-reported data on file at the Commission. The differences are noted below:</w:t>
      </w:r>
    </w:p>
    <w:p w14:paraId="57F5F2AB" w14:textId="77777777" w:rsidR="00DF6175" w:rsidRDefault="00DF6175" w:rsidP="00705F19"/>
    <w:p w14:paraId="57F5F2AC" w14:textId="77777777" w:rsidR="00705F19" w:rsidRPr="00D46E49" w:rsidRDefault="00705F19" w:rsidP="00DF6175">
      <w:pPr>
        <w:spacing w:after="240"/>
      </w:pPr>
      <w:r w:rsidRPr="00D46E49">
        <w:t>Table 6: Comparison of PG&amp;E and</w:t>
      </w:r>
      <w:r w:rsidR="00DF6175">
        <w:t xml:space="preserve"> ED Central Server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D46E49" w14:paraId="57F5F2B1" w14:textId="77777777" w:rsidTr="0078095C">
        <w:tc>
          <w:tcPr>
            <w:tcW w:w="3078" w:type="dxa"/>
            <w:tcBorders>
              <w:bottom w:val="single" w:sz="4" w:space="0" w:color="auto"/>
            </w:tcBorders>
            <w:shd w:val="clear" w:color="auto" w:fill="auto"/>
            <w:vAlign w:val="bottom"/>
          </w:tcPr>
          <w:p w14:paraId="57F5F2AD" w14:textId="77777777" w:rsidR="00705F19" w:rsidRPr="00D46E49" w:rsidRDefault="00705F19" w:rsidP="0078095C"/>
        </w:tc>
        <w:tc>
          <w:tcPr>
            <w:tcW w:w="2340" w:type="dxa"/>
            <w:tcBorders>
              <w:bottom w:val="single" w:sz="4" w:space="0" w:color="auto"/>
            </w:tcBorders>
            <w:shd w:val="clear" w:color="auto" w:fill="auto"/>
            <w:vAlign w:val="bottom"/>
          </w:tcPr>
          <w:p w14:paraId="57F5F2AE" w14:textId="77777777" w:rsidR="00705F19" w:rsidRPr="00D46E49" w:rsidRDefault="00705F19" w:rsidP="0078095C">
            <w:pPr>
              <w:jc w:val="center"/>
              <w:rPr>
                <w:b/>
              </w:rPr>
            </w:pPr>
            <w:r w:rsidRPr="00D46E49">
              <w:rPr>
                <w:b/>
              </w:rPr>
              <w:t>IOU Claimed Value</w:t>
            </w:r>
          </w:p>
        </w:tc>
        <w:tc>
          <w:tcPr>
            <w:tcW w:w="2340" w:type="dxa"/>
            <w:tcBorders>
              <w:bottom w:val="single" w:sz="4" w:space="0" w:color="auto"/>
            </w:tcBorders>
            <w:shd w:val="clear" w:color="auto" w:fill="auto"/>
            <w:vAlign w:val="bottom"/>
          </w:tcPr>
          <w:p w14:paraId="57F5F2AF" w14:textId="77777777" w:rsidR="00705F19" w:rsidRPr="00D46E49" w:rsidRDefault="00705F19" w:rsidP="0078095C">
            <w:pPr>
              <w:jc w:val="center"/>
              <w:rPr>
                <w:b/>
              </w:rPr>
            </w:pPr>
            <w:r w:rsidRPr="00D46E49">
              <w:rPr>
                <w:b/>
              </w:rPr>
              <w:t>ED Central Server Value</w:t>
            </w:r>
          </w:p>
        </w:tc>
        <w:tc>
          <w:tcPr>
            <w:tcW w:w="1818" w:type="dxa"/>
            <w:tcBorders>
              <w:bottom w:val="single" w:sz="4" w:space="0" w:color="auto"/>
            </w:tcBorders>
            <w:shd w:val="clear" w:color="auto" w:fill="auto"/>
          </w:tcPr>
          <w:p w14:paraId="57F5F2B0" w14:textId="77777777" w:rsidR="00705F19" w:rsidRPr="00D46E49" w:rsidRDefault="00705F19" w:rsidP="0078095C">
            <w:pPr>
              <w:jc w:val="center"/>
              <w:rPr>
                <w:b/>
              </w:rPr>
            </w:pPr>
            <w:r w:rsidRPr="00D46E49">
              <w:rPr>
                <w:b/>
              </w:rPr>
              <w:t>Difference</w:t>
            </w:r>
          </w:p>
        </w:tc>
      </w:tr>
      <w:tr w:rsidR="00705F19" w:rsidRPr="00D46E49" w14:paraId="57F5F2B6" w14:textId="77777777" w:rsidTr="0078095C">
        <w:tc>
          <w:tcPr>
            <w:tcW w:w="3078" w:type="dxa"/>
            <w:tcBorders>
              <w:bottom w:val="nil"/>
            </w:tcBorders>
            <w:shd w:val="clear" w:color="auto" w:fill="auto"/>
            <w:vAlign w:val="bottom"/>
          </w:tcPr>
          <w:p w14:paraId="57F5F2B2" w14:textId="77777777" w:rsidR="00705F19" w:rsidRPr="00D46E49" w:rsidRDefault="00705F19" w:rsidP="0078095C">
            <w:r w:rsidRPr="00D46E49">
              <w:lastRenderedPageBreak/>
              <w:t>Resource programs</w:t>
            </w:r>
          </w:p>
        </w:tc>
        <w:tc>
          <w:tcPr>
            <w:tcW w:w="2340" w:type="dxa"/>
            <w:tcBorders>
              <w:bottom w:val="nil"/>
            </w:tcBorders>
            <w:shd w:val="clear" w:color="auto" w:fill="auto"/>
            <w:vAlign w:val="bottom"/>
          </w:tcPr>
          <w:p w14:paraId="57F5F2B3" w14:textId="77777777" w:rsidR="00705F19" w:rsidRPr="00D46E49" w:rsidRDefault="00705F19" w:rsidP="0078095C">
            <w:pPr>
              <w:jc w:val="center"/>
            </w:pPr>
            <w:r w:rsidRPr="00D46E49">
              <w:t>$ 274,735,623</w:t>
            </w:r>
          </w:p>
        </w:tc>
        <w:tc>
          <w:tcPr>
            <w:tcW w:w="2340" w:type="dxa"/>
            <w:tcBorders>
              <w:bottom w:val="nil"/>
            </w:tcBorders>
            <w:shd w:val="clear" w:color="auto" w:fill="auto"/>
            <w:vAlign w:val="bottom"/>
          </w:tcPr>
          <w:p w14:paraId="57F5F2B4" w14:textId="79FC2A13" w:rsidR="00705F19" w:rsidRPr="00D46E49" w:rsidRDefault="00705F19" w:rsidP="00D506FB">
            <w:pPr>
              <w:jc w:val="center"/>
            </w:pPr>
            <w:r w:rsidRPr="00D46E49">
              <w:t xml:space="preserve">$ </w:t>
            </w:r>
            <w:r w:rsidR="00D506FB">
              <w:t>240,601,821</w:t>
            </w:r>
          </w:p>
        </w:tc>
        <w:tc>
          <w:tcPr>
            <w:tcW w:w="1818" w:type="dxa"/>
            <w:tcBorders>
              <w:bottom w:val="nil"/>
            </w:tcBorders>
            <w:shd w:val="clear" w:color="auto" w:fill="auto"/>
          </w:tcPr>
          <w:p w14:paraId="57F5F2B5" w14:textId="59E704C6" w:rsidR="00705F19" w:rsidRPr="00D46E49" w:rsidRDefault="00D506FB" w:rsidP="0078095C">
            <w:pPr>
              <w:jc w:val="center"/>
            </w:pPr>
            <w:r>
              <w:t>12</w:t>
            </w:r>
            <w:r w:rsidR="00705F19" w:rsidRPr="00D46E49">
              <w:t>%</w:t>
            </w:r>
          </w:p>
        </w:tc>
      </w:tr>
      <w:tr w:rsidR="00705F19" w:rsidRPr="00D46E49" w14:paraId="57F5F2BC" w14:textId="77777777" w:rsidTr="0078095C">
        <w:tc>
          <w:tcPr>
            <w:tcW w:w="3078" w:type="dxa"/>
            <w:tcBorders>
              <w:top w:val="nil"/>
              <w:left w:val="single" w:sz="4" w:space="0" w:color="auto"/>
              <w:bottom w:val="nil"/>
              <w:right w:val="single" w:sz="4" w:space="0" w:color="auto"/>
            </w:tcBorders>
            <w:shd w:val="clear" w:color="auto" w:fill="auto"/>
            <w:vAlign w:val="bottom"/>
          </w:tcPr>
          <w:p w14:paraId="57F5F2B7" w14:textId="77777777" w:rsidR="00705F19" w:rsidRPr="00D46E49" w:rsidRDefault="00705F19" w:rsidP="0078095C">
            <w:r w:rsidRPr="00D46E49">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2B8" w14:textId="77777777" w:rsidR="00705F19" w:rsidRPr="00D46E49" w:rsidRDefault="00705F19" w:rsidP="0078095C">
            <w:pPr>
              <w:jc w:val="center"/>
            </w:pPr>
            <w:r w:rsidRPr="00D46E49">
              <w:t>$ 7,279,208</w:t>
            </w:r>
          </w:p>
        </w:tc>
        <w:tc>
          <w:tcPr>
            <w:tcW w:w="2340" w:type="dxa"/>
            <w:tcBorders>
              <w:top w:val="nil"/>
              <w:left w:val="single" w:sz="4" w:space="0" w:color="auto"/>
              <w:bottom w:val="nil"/>
              <w:right w:val="single" w:sz="4" w:space="0" w:color="auto"/>
            </w:tcBorders>
            <w:shd w:val="clear" w:color="auto" w:fill="auto"/>
            <w:vAlign w:val="bottom"/>
          </w:tcPr>
          <w:p w14:paraId="57F5F2B9" w14:textId="0EAF1319" w:rsidR="00705F19" w:rsidRPr="00D46E49" w:rsidRDefault="00705F19" w:rsidP="00D506FB">
            <w:pPr>
              <w:jc w:val="center"/>
            </w:pPr>
            <w:r w:rsidRPr="00D46E49">
              <w:t xml:space="preserve">$ </w:t>
            </w:r>
            <w:r w:rsidR="00D506FB">
              <w:t>7,279,208</w:t>
            </w:r>
          </w:p>
        </w:tc>
        <w:tc>
          <w:tcPr>
            <w:tcW w:w="1818" w:type="dxa"/>
            <w:tcBorders>
              <w:top w:val="nil"/>
              <w:left w:val="single" w:sz="4" w:space="0" w:color="auto"/>
              <w:bottom w:val="nil"/>
              <w:right w:val="single" w:sz="4" w:space="0" w:color="auto"/>
            </w:tcBorders>
            <w:shd w:val="clear" w:color="auto" w:fill="auto"/>
          </w:tcPr>
          <w:p w14:paraId="57F5F2BA" w14:textId="77777777" w:rsidR="00705F19" w:rsidRPr="00D46E49" w:rsidRDefault="00705F19" w:rsidP="0078095C">
            <w:pPr>
              <w:jc w:val="center"/>
            </w:pPr>
          </w:p>
          <w:p w14:paraId="57F5F2BB" w14:textId="6D7C6086" w:rsidR="00705F19" w:rsidRPr="00D46E49" w:rsidRDefault="00D506FB" w:rsidP="0078095C">
            <w:pPr>
              <w:jc w:val="center"/>
            </w:pPr>
            <w:r>
              <w:t>0</w:t>
            </w:r>
            <w:r w:rsidR="00705F19" w:rsidRPr="00D46E49">
              <w:t>%</w:t>
            </w:r>
          </w:p>
        </w:tc>
      </w:tr>
      <w:tr w:rsidR="00705F19" w:rsidRPr="00D46E49" w14:paraId="57F5F2C1"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2BD" w14:textId="77777777" w:rsidR="00705F19" w:rsidRPr="00D46E49" w:rsidRDefault="00705F19" w:rsidP="0078095C">
            <w:r w:rsidRPr="00D46E49">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2BE" w14:textId="77777777" w:rsidR="00705F19" w:rsidRPr="00D46E49" w:rsidRDefault="00705F19" w:rsidP="0078095C">
            <w:pPr>
              <w:jc w:val="center"/>
            </w:pPr>
            <w:r w:rsidRPr="00D46E49">
              <w:t>$ 29,554,687</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2BF" w14:textId="578FE898" w:rsidR="00705F19" w:rsidRPr="00D46E49" w:rsidRDefault="00705F19" w:rsidP="00D506FB">
            <w:pPr>
              <w:jc w:val="center"/>
            </w:pPr>
            <w:r w:rsidRPr="00D46E49">
              <w:t xml:space="preserve"> $ </w:t>
            </w:r>
            <w:r w:rsidR="00D506FB">
              <w:t>29,107,070</w:t>
            </w:r>
          </w:p>
        </w:tc>
        <w:tc>
          <w:tcPr>
            <w:tcW w:w="1818" w:type="dxa"/>
            <w:tcBorders>
              <w:top w:val="nil"/>
              <w:left w:val="single" w:sz="4" w:space="0" w:color="auto"/>
              <w:bottom w:val="single" w:sz="4" w:space="0" w:color="auto"/>
              <w:right w:val="single" w:sz="4" w:space="0" w:color="auto"/>
            </w:tcBorders>
            <w:shd w:val="clear" w:color="auto" w:fill="auto"/>
          </w:tcPr>
          <w:p w14:paraId="57F5F2C0" w14:textId="46DAE90F" w:rsidR="00705F19" w:rsidRPr="00D46E49" w:rsidRDefault="00A02AE9" w:rsidP="0078095C">
            <w:pPr>
              <w:jc w:val="center"/>
            </w:pPr>
            <w:r>
              <w:t>2</w:t>
            </w:r>
            <w:r w:rsidR="00705F19" w:rsidRPr="00D46E49">
              <w:t>%</w:t>
            </w:r>
          </w:p>
        </w:tc>
      </w:tr>
    </w:tbl>
    <w:p w14:paraId="57F5F2C2" w14:textId="77777777" w:rsidR="00A02AE9" w:rsidRDefault="00A02AE9" w:rsidP="00705F19"/>
    <w:p w14:paraId="57F5F2C3" w14:textId="77777777" w:rsidR="00705F19" w:rsidRPr="00D46E49" w:rsidRDefault="00705F19" w:rsidP="00705F19">
      <w:r w:rsidRPr="00D46E49">
        <w:t xml:space="preserve">The list of resource, non-resource and C&amp;S programs, with the reported expenditures, is included as Attachment 2 to this Resolution. </w:t>
      </w:r>
    </w:p>
    <w:p w14:paraId="57F5F2C4" w14:textId="77777777" w:rsidR="00705F19" w:rsidRDefault="00705F19" w:rsidP="00705F19">
      <w:pPr>
        <w:rPr>
          <w:highlight w:val="yellow"/>
        </w:rPr>
      </w:pPr>
    </w:p>
    <w:p w14:paraId="57F5F2C5" w14:textId="77777777" w:rsidR="00705F19" w:rsidRPr="00D46E49" w:rsidRDefault="00705F19" w:rsidP="00705F19">
      <w:r w:rsidRPr="00D46E49">
        <w:t xml:space="preserve">In staff’s initial analysis of PG&amp;E’s expenditures, staff noted inconsistencies between PG&amp;E’s filed expenditures and Commission data. The quarterly data submitted by PG&amp;E to the ED Central Server does not include On-bill Financing expenditures but the AL claimed expenditures do. The expenditures claimed by PG&amp;E in AL 3606-G/4659-E categorizes expenditures as resource, non-resource, or C&amp;S for the 2013 and 2014 expenditure claims differently compared to the quarterly data submitted to the Commission. Programs such as Ozone Laundry, CA Community Colleges, Local Government Energy Action Resources, and Governmental Partnership Programs all split their expenditures between resource and </w:t>
      </w:r>
      <w:r w:rsidR="002A087A">
        <w:t>n</w:t>
      </w:r>
      <w:r w:rsidRPr="00D46E49">
        <w:t xml:space="preserve">on-Resource categories in PG&amp;E’s AL claims. This split is performed on the quarterly </w:t>
      </w:r>
      <w:r w:rsidR="00E22D49" w:rsidRPr="00D46E49">
        <w:t xml:space="preserve">data </w:t>
      </w:r>
      <w:r w:rsidR="00E22D49">
        <w:t xml:space="preserve">for the above programs </w:t>
      </w:r>
      <w:r w:rsidRPr="00D46E49">
        <w:t>using the 89% Resource</w:t>
      </w:r>
      <w:r w:rsidR="002A087A">
        <w:t xml:space="preserve"> </w:t>
      </w:r>
      <w:r w:rsidRPr="00D46E49">
        <w:t xml:space="preserve">11% Non-Resource split </w:t>
      </w:r>
      <w:r w:rsidR="00E22D49">
        <w:t>that Commission staff calculated</w:t>
      </w:r>
      <w:r w:rsidRPr="00D46E49">
        <w:t xml:space="preserve"> from</w:t>
      </w:r>
      <w:r w:rsidR="00E22D49">
        <w:t xml:space="preserve"> PG&amp;E’s submitted data</w:t>
      </w:r>
      <w:r w:rsidRPr="00D46E49">
        <w:t xml:space="preserve">. The IOUs have submitted how they will categorize their </w:t>
      </w:r>
      <w:r w:rsidR="00DF6175">
        <w:br/>
      </w:r>
      <w:r w:rsidRPr="00D46E49">
        <w:t>2015 programs on February 23, 2015</w:t>
      </w:r>
      <w:r w:rsidRPr="00D46E49">
        <w:rPr>
          <w:rStyle w:val="FootnoteReference"/>
        </w:rPr>
        <w:footnoteReference w:id="16"/>
      </w:r>
      <w:r w:rsidR="00E22D49">
        <w:t xml:space="preserve"> which should enable a clearer accounting of allocating expenditures to different program categories</w:t>
      </w:r>
      <w:r w:rsidRPr="00D46E49">
        <w:t xml:space="preserve">. </w:t>
      </w:r>
    </w:p>
    <w:p w14:paraId="57F5F2C6" w14:textId="77777777" w:rsidR="00705F19" w:rsidRPr="00A957FC" w:rsidRDefault="00705F19" w:rsidP="00705F19">
      <w:pPr>
        <w:rPr>
          <w:highlight w:val="lightGray"/>
        </w:rPr>
      </w:pPr>
    </w:p>
    <w:p w14:paraId="57F5F2C7" w14:textId="77777777" w:rsidR="00705F19" w:rsidRDefault="00705F19" w:rsidP="00705F19">
      <w:r w:rsidRPr="00D46E49">
        <w:t xml:space="preserve">Per the staff-issued memo distributed on June 9, 2014 and included as Attachment 1 to this Resolution, the IOUs’ 2014 expenditures will be trued up once the UAFCB final 2014 audit is complete. For the purposes of this Resolution, staff relied on PG&amp;E’s </w:t>
      </w:r>
      <w:r w:rsidR="00876211">
        <w:t>data submissions</w:t>
      </w:r>
      <w:r w:rsidRPr="00D46E49">
        <w:t xml:space="preserve"> to reconcile expenditure data differences between PG&amp;E AL 3492-G/4451-E and data from the ED Central Server (included as Attachment 2 to this Resolution). </w:t>
      </w:r>
      <w:r w:rsidRPr="00D46E49">
        <w:rPr>
          <w:u w:val="single"/>
        </w:rPr>
        <w:t xml:space="preserve">Staff uses </w:t>
      </w:r>
      <w:r w:rsidRPr="00D46E49">
        <w:rPr>
          <w:b/>
          <w:u w:val="single"/>
        </w:rPr>
        <w:t>lower value</w:t>
      </w:r>
      <w:r w:rsidRPr="00D46E49">
        <w:rPr>
          <w:u w:val="single"/>
        </w:rPr>
        <w:t xml:space="preserve"> between the IOU claimed expenditures in the AL and the quarterly expenditures from the </w:t>
      </w:r>
      <w:r w:rsidR="00DF6175">
        <w:rPr>
          <w:u w:val="single"/>
        </w:rPr>
        <w:br/>
      </w:r>
      <w:r w:rsidRPr="00D46E49">
        <w:rPr>
          <w:u w:val="single"/>
        </w:rPr>
        <w:t>ED Central Server if reconciliation cannot be made.</w:t>
      </w:r>
      <w:r>
        <w:rPr>
          <w:u w:val="single"/>
        </w:rPr>
        <w:t xml:space="preserve">  </w:t>
      </w:r>
    </w:p>
    <w:p w14:paraId="57F5F2C8" w14:textId="77777777" w:rsidR="00705F19" w:rsidRDefault="00705F19" w:rsidP="00705F19"/>
    <w:p w14:paraId="57F5F2C9" w14:textId="77777777" w:rsidR="00D506FB" w:rsidRDefault="00D506FB" w:rsidP="00D506FB">
      <w:r w:rsidRPr="00011D73">
        <w:t>Per the staff-issued memo distributed on June 9, 2014 and i</w:t>
      </w:r>
      <w:r>
        <w:t xml:space="preserve">ncluded as Attachment 1 to </w:t>
      </w:r>
      <w:r w:rsidRPr="00011D73">
        <w:t>Resolution</w:t>
      </w:r>
      <w:r>
        <w:t xml:space="preserve"> G-3497, the IOUs’ 2013 ESPI Resolution expenditures are to</w:t>
      </w:r>
      <w:r w:rsidRPr="00011D73">
        <w:t xml:space="preserve"> be trued up </w:t>
      </w:r>
      <w:r>
        <w:t>as</w:t>
      </w:r>
      <w:r w:rsidRPr="00011D73">
        <w:t xml:space="preserve"> the UAFCB</w:t>
      </w:r>
      <w:r>
        <w:t xml:space="preserve"> final 2013 audit was</w:t>
      </w:r>
      <w:r w:rsidRPr="00011D73">
        <w:t xml:space="preserve"> complete</w:t>
      </w:r>
      <w:r>
        <w:t>d on June 30, 2015</w:t>
      </w:r>
      <w:r w:rsidRPr="00011D73">
        <w:t>.</w:t>
      </w:r>
      <w:r>
        <w:t xml:space="preserve"> The difference in expenditures between the PG&amp;E 2013 ESPI Resolution expenditures and 2013 UAFCB audited expenditures is used to calculate the true up for the 2014 award. </w:t>
      </w:r>
    </w:p>
    <w:p w14:paraId="57F5F2CA" w14:textId="258A190B" w:rsidR="00D506FB" w:rsidRDefault="00D506FB" w:rsidP="00705F19"/>
    <w:p w14:paraId="57F5F2CB" w14:textId="77777777" w:rsidR="00705F19" w:rsidRPr="00D46E49" w:rsidRDefault="00705F19" w:rsidP="00705F19">
      <w:pPr>
        <w:spacing w:after="120"/>
      </w:pPr>
      <w:r w:rsidRPr="00D46E49">
        <w:t xml:space="preserve">Table 7: Comparison of 2013 PG&amp;E Claimed and UAFCB Audited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011D73" w14:paraId="57F5F2D0" w14:textId="77777777" w:rsidTr="00E22D49">
        <w:trPr>
          <w:tblHeader/>
        </w:trPr>
        <w:tc>
          <w:tcPr>
            <w:tcW w:w="3078" w:type="dxa"/>
            <w:tcBorders>
              <w:bottom w:val="single" w:sz="4" w:space="0" w:color="auto"/>
            </w:tcBorders>
            <w:shd w:val="clear" w:color="auto" w:fill="auto"/>
            <w:vAlign w:val="bottom"/>
          </w:tcPr>
          <w:p w14:paraId="57F5F2CC" w14:textId="77777777" w:rsidR="00705F19" w:rsidRPr="00011D73" w:rsidRDefault="00705F19" w:rsidP="0078095C"/>
        </w:tc>
        <w:tc>
          <w:tcPr>
            <w:tcW w:w="2340" w:type="dxa"/>
            <w:tcBorders>
              <w:bottom w:val="single" w:sz="4" w:space="0" w:color="auto"/>
            </w:tcBorders>
            <w:shd w:val="clear" w:color="auto" w:fill="auto"/>
            <w:vAlign w:val="bottom"/>
          </w:tcPr>
          <w:p w14:paraId="57F5F2CD" w14:textId="3DEF7E95" w:rsidR="00705F19" w:rsidRPr="00011D73" w:rsidRDefault="00705F19" w:rsidP="00D506FB">
            <w:pPr>
              <w:jc w:val="center"/>
              <w:rPr>
                <w:b/>
              </w:rPr>
            </w:pPr>
            <w:r>
              <w:rPr>
                <w:b/>
              </w:rPr>
              <w:t xml:space="preserve">2013 IOU </w:t>
            </w:r>
            <w:r w:rsidR="00D506FB">
              <w:rPr>
                <w:b/>
              </w:rPr>
              <w:t xml:space="preserve">Resolution </w:t>
            </w:r>
            <w:r>
              <w:rPr>
                <w:b/>
              </w:rPr>
              <w:t>Expenditure</w:t>
            </w:r>
          </w:p>
        </w:tc>
        <w:tc>
          <w:tcPr>
            <w:tcW w:w="2340" w:type="dxa"/>
            <w:tcBorders>
              <w:bottom w:val="single" w:sz="4" w:space="0" w:color="auto"/>
            </w:tcBorders>
            <w:shd w:val="clear" w:color="auto" w:fill="auto"/>
            <w:vAlign w:val="bottom"/>
          </w:tcPr>
          <w:p w14:paraId="57F5F2CE" w14:textId="77777777" w:rsidR="00705F19" w:rsidRPr="00011D73" w:rsidRDefault="00705F19" w:rsidP="0078095C">
            <w:pPr>
              <w:jc w:val="center"/>
              <w:rPr>
                <w:b/>
              </w:rPr>
            </w:pPr>
            <w:r>
              <w:rPr>
                <w:b/>
              </w:rPr>
              <w:t>2013 UAFCB Audit Expenditure</w:t>
            </w:r>
          </w:p>
        </w:tc>
        <w:tc>
          <w:tcPr>
            <w:tcW w:w="1818" w:type="dxa"/>
            <w:tcBorders>
              <w:bottom w:val="single" w:sz="4" w:space="0" w:color="auto"/>
            </w:tcBorders>
            <w:shd w:val="clear" w:color="auto" w:fill="auto"/>
          </w:tcPr>
          <w:p w14:paraId="57F5F2CF" w14:textId="77777777" w:rsidR="00705F19" w:rsidRPr="00011D73" w:rsidRDefault="00D506FB" w:rsidP="0078095C">
            <w:pPr>
              <w:jc w:val="center"/>
              <w:rPr>
                <w:b/>
              </w:rPr>
            </w:pPr>
            <w:r>
              <w:rPr>
                <w:b/>
              </w:rPr>
              <w:t xml:space="preserve">Award </w:t>
            </w:r>
            <w:r w:rsidR="00705F19">
              <w:rPr>
                <w:b/>
              </w:rPr>
              <w:t>Difference</w:t>
            </w:r>
          </w:p>
        </w:tc>
      </w:tr>
      <w:tr w:rsidR="00705F19" w:rsidRPr="00011D73" w14:paraId="57F5F2D5" w14:textId="77777777" w:rsidTr="0078095C">
        <w:tc>
          <w:tcPr>
            <w:tcW w:w="3078" w:type="dxa"/>
            <w:tcBorders>
              <w:bottom w:val="nil"/>
            </w:tcBorders>
            <w:shd w:val="clear" w:color="auto" w:fill="auto"/>
            <w:vAlign w:val="bottom"/>
          </w:tcPr>
          <w:p w14:paraId="57F5F2D1" w14:textId="77777777" w:rsidR="00705F19" w:rsidRPr="00011D73" w:rsidRDefault="00705F19" w:rsidP="0078095C">
            <w:r w:rsidRPr="00011D73">
              <w:t>Resource programs</w:t>
            </w:r>
          </w:p>
        </w:tc>
        <w:tc>
          <w:tcPr>
            <w:tcW w:w="2340" w:type="dxa"/>
            <w:tcBorders>
              <w:bottom w:val="nil"/>
            </w:tcBorders>
            <w:shd w:val="clear" w:color="auto" w:fill="auto"/>
            <w:vAlign w:val="bottom"/>
          </w:tcPr>
          <w:p w14:paraId="57F5F2D2" w14:textId="77777777" w:rsidR="00705F19" w:rsidRPr="00011D73" w:rsidRDefault="00705F19" w:rsidP="0078095C">
            <w:pPr>
              <w:jc w:val="center"/>
            </w:pPr>
            <w:r>
              <w:t>$ 275,359,291</w:t>
            </w:r>
          </w:p>
        </w:tc>
        <w:tc>
          <w:tcPr>
            <w:tcW w:w="2340" w:type="dxa"/>
            <w:tcBorders>
              <w:bottom w:val="nil"/>
            </w:tcBorders>
            <w:shd w:val="clear" w:color="auto" w:fill="auto"/>
            <w:vAlign w:val="bottom"/>
          </w:tcPr>
          <w:p w14:paraId="57F5F2D3" w14:textId="27D7EDD3" w:rsidR="00705F19" w:rsidRPr="00011D73" w:rsidRDefault="00705F19" w:rsidP="00D506FB">
            <w:pPr>
              <w:jc w:val="center"/>
            </w:pPr>
            <w:r w:rsidRPr="00011D73">
              <w:t xml:space="preserve">$ </w:t>
            </w:r>
            <w:r w:rsidR="00D506FB">
              <w:t>276,487,600</w:t>
            </w:r>
            <w:r>
              <w:rPr>
                <w:rStyle w:val="FootnoteReference"/>
              </w:rPr>
              <w:footnoteReference w:id="17"/>
            </w:r>
            <w:r w:rsidR="00D506FB">
              <w:t xml:space="preserve"> </w:t>
            </w:r>
            <w:r w:rsidR="00D506FB">
              <w:rPr>
                <w:rStyle w:val="FootnoteReference"/>
              </w:rPr>
              <w:footnoteReference w:id="18"/>
            </w:r>
          </w:p>
        </w:tc>
        <w:tc>
          <w:tcPr>
            <w:tcW w:w="1818" w:type="dxa"/>
            <w:tcBorders>
              <w:bottom w:val="nil"/>
            </w:tcBorders>
            <w:shd w:val="clear" w:color="auto" w:fill="auto"/>
          </w:tcPr>
          <w:p w14:paraId="57F5F2D4" w14:textId="21CB8D5F" w:rsidR="00705F19" w:rsidRPr="00011D73" w:rsidRDefault="00705F19" w:rsidP="00D506FB">
            <w:pPr>
              <w:jc w:val="center"/>
            </w:pPr>
            <w:r>
              <w:t xml:space="preserve">($ </w:t>
            </w:r>
            <w:r w:rsidR="00D506FB">
              <w:t>21,495</w:t>
            </w:r>
            <w:r>
              <w:t>)</w:t>
            </w:r>
            <w:r w:rsidR="00D506FB">
              <w:rPr>
                <w:rStyle w:val="FootnoteReference"/>
              </w:rPr>
              <w:footnoteReference w:id="19"/>
            </w:r>
          </w:p>
        </w:tc>
      </w:tr>
      <w:tr w:rsidR="00705F19" w:rsidRPr="00011D73" w14:paraId="57F5F2DB" w14:textId="77777777" w:rsidTr="0078095C">
        <w:tc>
          <w:tcPr>
            <w:tcW w:w="3078" w:type="dxa"/>
            <w:tcBorders>
              <w:top w:val="nil"/>
              <w:left w:val="single" w:sz="4" w:space="0" w:color="auto"/>
              <w:bottom w:val="nil"/>
              <w:right w:val="single" w:sz="4" w:space="0" w:color="auto"/>
            </w:tcBorders>
            <w:shd w:val="clear" w:color="auto" w:fill="auto"/>
            <w:vAlign w:val="bottom"/>
          </w:tcPr>
          <w:p w14:paraId="57F5F2D6" w14:textId="77777777" w:rsidR="00705F19" w:rsidRPr="00011D73" w:rsidRDefault="00705F19" w:rsidP="0078095C">
            <w:r w:rsidRPr="00011D73">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2D7" w14:textId="77777777" w:rsidR="00705F19" w:rsidRPr="00011D73" w:rsidRDefault="00705F19" w:rsidP="0078095C">
            <w:pPr>
              <w:jc w:val="center"/>
            </w:pPr>
            <w:r w:rsidRPr="00011D73">
              <w:t xml:space="preserve">$ </w:t>
            </w:r>
            <w:r>
              <w:t>6,295,617</w:t>
            </w:r>
          </w:p>
        </w:tc>
        <w:tc>
          <w:tcPr>
            <w:tcW w:w="2340" w:type="dxa"/>
            <w:tcBorders>
              <w:top w:val="nil"/>
              <w:left w:val="single" w:sz="4" w:space="0" w:color="auto"/>
              <w:bottom w:val="nil"/>
              <w:right w:val="single" w:sz="4" w:space="0" w:color="auto"/>
            </w:tcBorders>
            <w:shd w:val="clear" w:color="auto" w:fill="auto"/>
            <w:vAlign w:val="bottom"/>
          </w:tcPr>
          <w:p w14:paraId="57F5F2D8" w14:textId="18FB4790" w:rsidR="00705F19" w:rsidRPr="00011D73" w:rsidRDefault="00705F19" w:rsidP="00D506FB">
            <w:pPr>
              <w:jc w:val="center"/>
            </w:pPr>
            <w:r w:rsidRPr="00011D73">
              <w:t xml:space="preserve">$ </w:t>
            </w:r>
            <w:r w:rsidR="00D506FB">
              <w:t>6,295,617</w:t>
            </w:r>
          </w:p>
        </w:tc>
        <w:tc>
          <w:tcPr>
            <w:tcW w:w="1818" w:type="dxa"/>
            <w:tcBorders>
              <w:top w:val="nil"/>
              <w:left w:val="single" w:sz="4" w:space="0" w:color="auto"/>
              <w:bottom w:val="nil"/>
              <w:right w:val="single" w:sz="4" w:space="0" w:color="auto"/>
            </w:tcBorders>
            <w:shd w:val="clear" w:color="auto" w:fill="auto"/>
          </w:tcPr>
          <w:p w14:paraId="57F5F2D9" w14:textId="7AF50ED0" w:rsidR="00253603" w:rsidRDefault="00253603" w:rsidP="0078095C">
            <w:pPr>
              <w:jc w:val="center"/>
            </w:pPr>
          </w:p>
          <w:p w14:paraId="57F5F2DA" w14:textId="77777777" w:rsidR="00705F19" w:rsidRPr="00011D73" w:rsidRDefault="00D506FB" w:rsidP="0078095C">
            <w:pPr>
              <w:jc w:val="center"/>
            </w:pPr>
            <w:r>
              <w:t>$ 0</w:t>
            </w:r>
          </w:p>
        </w:tc>
      </w:tr>
      <w:tr w:rsidR="00705F19" w14:paraId="57F5F2E0"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2DC" w14:textId="77777777" w:rsidR="00705F19" w:rsidRPr="00011D73" w:rsidRDefault="00705F19" w:rsidP="0078095C">
            <w:r w:rsidRPr="00011D73">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2DD" w14:textId="77777777" w:rsidR="00705F19" w:rsidRPr="00011D73" w:rsidRDefault="00705F19" w:rsidP="0078095C">
            <w:pPr>
              <w:jc w:val="center"/>
            </w:pPr>
            <w:r w:rsidRPr="00011D73">
              <w:t xml:space="preserve">$ </w:t>
            </w:r>
            <w:r>
              <w:t>28,675,400</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2DE" w14:textId="264647E9" w:rsidR="00705F19" w:rsidRPr="00011D73" w:rsidRDefault="00705F19" w:rsidP="00D506FB">
            <w:pPr>
              <w:jc w:val="center"/>
            </w:pPr>
            <w:r w:rsidRPr="00011D73">
              <w:t xml:space="preserve"> $ </w:t>
            </w:r>
            <w:r w:rsidR="00D506FB">
              <w:t>28,675,400</w:t>
            </w:r>
          </w:p>
        </w:tc>
        <w:tc>
          <w:tcPr>
            <w:tcW w:w="1818" w:type="dxa"/>
            <w:tcBorders>
              <w:top w:val="nil"/>
              <w:left w:val="single" w:sz="4" w:space="0" w:color="auto"/>
              <w:bottom w:val="single" w:sz="4" w:space="0" w:color="auto"/>
              <w:right w:val="single" w:sz="4" w:space="0" w:color="auto"/>
            </w:tcBorders>
            <w:shd w:val="clear" w:color="auto" w:fill="auto"/>
          </w:tcPr>
          <w:p w14:paraId="57F5F2DF" w14:textId="71418358" w:rsidR="00705F19" w:rsidRDefault="00D506FB" w:rsidP="0078095C">
            <w:pPr>
              <w:jc w:val="center"/>
            </w:pPr>
            <w:r>
              <w:t>$ 0</w:t>
            </w:r>
          </w:p>
        </w:tc>
      </w:tr>
    </w:tbl>
    <w:p w14:paraId="57F5F2E1" w14:textId="77777777" w:rsidR="00705F19" w:rsidRDefault="00705F19" w:rsidP="00705F19">
      <w:r>
        <w:t xml:space="preserve"> </w:t>
      </w:r>
    </w:p>
    <w:p w14:paraId="57F5F2E2" w14:textId="77777777" w:rsidR="00705F19" w:rsidRPr="00605B4E" w:rsidRDefault="00705F19" w:rsidP="00705F19">
      <w:pPr>
        <w:spacing w:after="120"/>
      </w:pPr>
      <w:r>
        <w:rPr>
          <w:i/>
        </w:rPr>
        <w:t>Component 2: Ex Ante Review Performance Award</w:t>
      </w:r>
    </w:p>
    <w:p w14:paraId="57F5F2E3" w14:textId="77777777" w:rsidR="00705F19" w:rsidRDefault="00705F19" w:rsidP="00705F19">
      <w:r>
        <w:lastRenderedPageBreak/>
        <w:t>In accordance with D.13-09-023, PG&amp;E is eligible to earn up to 3% of resource program expenditures, less administrative spend, for the ex ante review performance award. As noted above, PG&amp;E’s final 2014 ex ante performance score was 53/100. The ex ante performance award component for PG&amp;E is calculated as:</w:t>
      </w:r>
    </w:p>
    <w:p w14:paraId="57F5F2E5" w14:textId="41772840" w:rsidR="00705F19" w:rsidRDefault="00705F19" w:rsidP="00D506FB">
      <w:pPr>
        <w:spacing w:before="120"/>
        <w:jc w:val="center"/>
      </w:pPr>
      <w:r>
        <w:t xml:space="preserve">$ </w:t>
      </w:r>
      <w:r w:rsidR="00D506FB">
        <w:t>240,601,821</w:t>
      </w:r>
      <w:r>
        <w:t xml:space="preserve">* 3% * 53% = $ </w:t>
      </w:r>
      <w:r w:rsidR="00D506FB">
        <w:t>3,825,569</w:t>
      </w:r>
    </w:p>
    <w:p w14:paraId="57F5F2E6" w14:textId="77777777" w:rsidR="00D506FB" w:rsidRDefault="00D506FB" w:rsidP="00D506FB">
      <w:r>
        <w:t>The 2014 award of $ 3,825,569 is increased by $ 21,495 to be trued up to account for the difference between the 2013 ESPI Resolution expenditure and the 2013 UAFCB audited expenditure.</w:t>
      </w:r>
    </w:p>
    <w:p w14:paraId="57F5F2E8" w14:textId="77777777" w:rsidR="00BB37FC" w:rsidRDefault="00BB37FC" w:rsidP="00705F19"/>
    <w:p w14:paraId="57F5F2E9" w14:textId="28762C0C" w:rsidR="00705F19" w:rsidRDefault="00705F19" w:rsidP="00705F19">
      <w:pPr>
        <w:jc w:val="center"/>
      </w:pPr>
      <w:r>
        <w:t xml:space="preserve">$ </w:t>
      </w:r>
      <w:r w:rsidR="00D506FB">
        <w:t>3,825,569</w:t>
      </w:r>
      <w:r w:rsidR="00B550E9">
        <w:t>–</w:t>
      </w:r>
      <w:r>
        <w:t xml:space="preserve"> </w:t>
      </w:r>
      <w:r w:rsidR="00B550E9">
        <w:t>(</w:t>
      </w:r>
      <w:r w:rsidR="00BB37FC">
        <w:t xml:space="preserve">$275,359,291- </w:t>
      </w:r>
      <w:r>
        <w:t xml:space="preserve">$ </w:t>
      </w:r>
      <w:r w:rsidR="00D506FB">
        <w:t>276,487,600</w:t>
      </w:r>
      <w:r w:rsidR="00BB37FC">
        <w:t xml:space="preserve">) </w:t>
      </w:r>
      <w:r w:rsidR="00B550E9">
        <w:t>* 3% *</w:t>
      </w:r>
      <w:r w:rsidR="00BB37FC">
        <w:t xml:space="preserve"> 63.5%</w:t>
      </w:r>
      <w:r>
        <w:t xml:space="preserve"> = $ </w:t>
      </w:r>
      <w:r w:rsidR="00D506FB">
        <w:t>3,847,064</w:t>
      </w:r>
    </w:p>
    <w:p w14:paraId="57F5F2EA" w14:textId="77777777" w:rsidR="00705F19" w:rsidRPr="004130C0" w:rsidRDefault="00705F19" w:rsidP="00705F19"/>
    <w:p w14:paraId="57F5F2EB" w14:textId="77777777" w:rsidR="00D506FB" w:rsidRDefault="00D506FB" w:rsidP="00D506FB">
      <w:pPr>
        <w:rPr>
          <w:u w:val="single"/>
        </w:rPr>
      </w:pPr>
      <w:r w:rsidRPr="00D46E49">
        <w:rPr>
          <w:u w:val="single"/>
        </w:rPr>
        <w:t>This award</w:t>
      </w:r>
      <w:r>
        <w:rPr>
          <w:u w:val="single"/>
        </w:rPr>
        <w:t xml:space="preserve"> is $ 3,847,064 and is $ 521,232</w:t>
      </w:r>
      <w:r w:rsidRPr="00D46E49">
        <w:rPr>
          <w:u w:val="single"/>
        </w:rPr>
        <w:t xml:space="preserve"> less the than the amount claimed in PG&amp;E AL 3606-G/4659-E to account for the 2013 expenditure true up from the 2013 UAFCB audit.</w:t>
      </w:r>
    </w:p>
    <w:p w14:paraId="57F5F2ED" w14:textId="77777777" w:rsidR="00705F19" w:rsidRDefault="00705F19" w:rsidP="00705F19">
      <w:pPr>
        <w:rPr>
          <w:i/>
        </w:rPr>
      </w:pPr>
    </w:p>
    <w:p w14:paraId="57F5F2EE" w14:textId="77777777" w:rsidR="00705F19" w:rsidRDefault="00705F19" w:rsidP="00705F19">
      <w:pPr>
        <w:spacing w:after="120"/>
      </w:pPr>
      <w:r>
        <w:rPr>
          <w:i/>
        </w:rPr>
        <w:t>Component 3: Codes and Standards Program Management Fee</w:t>
      </w:r>
    </w:p>
    <w:p w14:paraId="57F5F2EF" w14:textId="77777777" w:rsidR="00705F19" w:rsidRDefault="00705F19" w:rsidP="00705F19">
      <w:r>
        <w:t>Per D.13-09-023, the codes and standards program management fee is equal to 12% of the codes and standards program expenditures, less administrative spend. The codes and standards management fee is calculated as:</w:t>
      </w:r>
    </w:p>
    <w:p w14:paraId="57F5F2F0" w14:textId="77777777" w:rsidR="00705F19" w:rsidRDefault="00705F19" w:rsidP="00705F19">
      <w:pPr>
        <w:tabs>
          <w:tab w:val="left" w:pos="5522"/>
        </w:tabs>
      </w:pPr>
    </w:p>
    <w:p w14:paraId="57F5F2F1" w14:textId="77777777" w:rsidR="00705F19" w:rsidRDefault="00705F19" w:rsidP="00705F19">
      <w:pPr>
        <w:jc w:val="center"/>
      </w:pPr>
      <w:r>
        <w:t>$ 7,279,208* 12% = $ 873,505</w:t>
      </w:r>
    </w:p>
    <w:p w14:paraId="57F5F2F2" w14:textId="77777777" w:rsidR="00705F19" w:rsidRDefault="00705F19" w:rsidP="00705F19"/>
    <w:p w14:paraId="57F5F2F3" w14:textId="09B16E59" w:rsidR="00AF3084" w:rsidRDefault="00AF3084" w:rsidP="00AF3084">
      <w:r>
        <w:t xml:space="preserve">The total 2013-2014 award cap for the codes and standards program management fee </w:t>
      </w:r>
      <w:r w:rsidR="00DA50B6">
        <w:t>is $ 1,41</w:t>
      </w:r>
      <w:r>
        <w:t>0,000. An amount of $ 755,474 was approved for the 2013 award and if $ 873,505 is approved for the 2014 award, the total award, $ 1,628</w:t>
      </w:r>
      <w:r w:rsidR="00BE4F61">
        <w:t>,979 will exceed the cap by $ 21</w:t>
      </w:r>
      <w:r>
        <w:t>8,979. Therefore, the total award is reduced to not exceed the total award cap.</w:t>
      </w:r>
    </w:p>
    <w:p w14:paraId="57F5F2F4" w14:textId="77777777" w:rsidR="00AF3084" w:rsidRDefault="00AF3084" w:rsidP="00AF3084"/>
    <w:p w14:paraId="57F5F2F5" w14:textId="49224184" w:rsidR="00AF3084" w:rsidRDefault="00BE4F61" w:rsidP="00AF3084">
      <w:pPr>
        <w:jc w:val="center"/>
      </w:pPr>
      <w:r>
        <w:t>$ 873,505 - $ 218,979 = $ 65</w:t>
      </w:r>
      <w:r w:rsidR="00AF3084">
        <w:t>4,526</w:t>
      </w:r>
    </w:p>
    <w:p w14:paraId="57F5F2F6" w14:textId="77777777" w:rsidR="00AF3084" w:rsidRDefault="00AF3084" w:rsidP="00AF3084">
      <w:pPr>
        <w:rPr>
          <w:highlight w:val="yellow"/>
          <w:u w:val="single"/>
        </w:rPr>
      </w:pPr>
    </w:p>
    <w:p w14:paraId="57F5F2F7" w14:textId="3B2BCEE4" w:rsidR="00AF3084" w:rsidRPr="00B66F15" w:rsidRDefault="00BE4F61" w:rsidP="00AF3084">
      <w:pPr>
        <w:rPr>
          <w:u w:val="single"/>
        </w:rPr>
      </w:pPr>
      <w:r>
        <w:rPr>
          <w:u w:val="single"/>
        </w:rPr>
        <w:t>This award is $ 65</w:t>
      </w:r>
      <w:r w:rsidR="00AF3084" w:rsidRPr="00D46E49">
        <w:rPr>
          <w:u w:val="single"/>
        </w:rPr>
        <w:t xml:space="preserve">4, 526 and is </w:t>
      </w:r>
      <w:r>
        <w:rPr>
          <w:u w:val="single"/>
        </w:rPr>
        <w:t>$ 21</w:t>
      </w:r>
      <w:r w:rsidR="00AF3084">
        <w:rPr>
          <w:u w:val="single"/>
        </w:rPr>
        <w:t>8,979</w:t>
      </w:r>
      <w:r w:rsidR="00AF3084" w:rsidRPr="00D46E49">
        <w:rPr>
          <w:u w:val="single"/>
        </w:rPr>
        <w:t xml:space="preserve"> less the than the amount claimed in PG&amp;E AL 3</w:t>
      </w:r>
      <w:r w:rsidR="00AF3084">
        <w:rPr>
          <w:u w:val="single"/>
        </w:rPr>
        <w:t xml:space="preserve">606-G/4659-E to account </w:t>
      </w:r>
      <w:r w:rsidR="00AF3084" w:rsidRPr="00D46E49">
        <w:rPr>
          <w:u w:val="single"/>
        </w:rPr>
        <w:t>for the 2013-2014 award cap.</w:t>
      </w:r>
    </w:p>
    <w:p w14:paraId="57F5F301" w14:textId="77777777" w:rsidR="00705F19" w:rsidRDefault="00705F19" w:rsidP="00705F19"/>
    <w:p w14:paraId="57F5F302" w14:textId="77777777" w:rsidR="00705F19" w:rsidRDefault="00705F19" w:rsidP="00705F19">
      <w:pPr>
        <w:spacing w:after="120"/>
      </w:pPr>
      <w:r>
        <w:rPr>
          <w:i/>
        </w:rPr>
        <w:t>Component 4: Non-resource Program Management Fee</w:t>
      </w:r>
    </w:p>
    <w:p w14:paraId="57F5F303" w14:textId="77777777" w:rsidR="00705F19" w:rsidRDefault="00705F19" w:rsidP="00705F19">
      <w:r>
        <w:lastRenderedPageBreak/>
        <w:t>Per D.13-09-023, the non-resource program management fee is equal to 3% of non-resource program expenditures, less administrative spend. The non-resource program management fee is calculated as:</w:t>
      </w:r>
    </w:p>
    <w:p w14:paraId="57F5F304" w14:textId="77777777" w:rsidR="00705F19" w:rsidRDefault="00705F19" w:rsidP="00705F19"/>
    <w:p w14:paraId="57F5F305" w14:textId="182D0462" w:rsidR="00705F19" w:rsidRDefault="00705F19" w:rsidP="00705F19">
      <w:pPr>
        <w:jc w:val="center"/>
      </w:pPr>
      <w:r>
        <w:t xml:space="preserve">$ </w:t>
      </w:r>
      <w:r w:rsidR="00AF3084">
        <w:t xml:space="preserve">29,107,070 </w:t>
      </w:r>
      <w:r>
        <w:t xml:space="preserve"> * 3%= $ </w:t>
      </w:r>
      <w:r w:rsidR="00AF3084">
        <w:t>873,212</w:t>
      </w:r>
    </w:p>
    <w:p w14:paraId="57F5F306" w14:textId="77777777" w:rsidR="00705F19" w:rsidRDefault="00705F19" w:rsidP="00705F19">
      <w:pPr>
        <w:jc w:val="center"/>
      </w:pPr>
    </w:p>
    <w:p w14:paraId="57F5F30A" w14:textId="425925DD" w:rsidR="00705F19" w:rsidRPr="00B66F15" w:rsidRDefault="00AF3084" w:rsidP="00705F19">
      <w:pPr>
        <w:rPr>
          <w:u w:val="single"/>
        </w:rPr>
      </w:pPr>
      <w:r w:rsidRPr="00D46E49">
        <w:rPr>
          <w:u w:val="single"/>
        </w:rPr>
        <w:t xml:space="preserve">This award is $ </w:t>
      </w:r>
      <w:r>
        <w:rPr>
          <w:u w:val="single"/>
        </w:rPr>
        <w:t xml:space="preserve">873,212 </w:t>
      </w:r>
      <w:r w:rsidRPr="00D46E49">
        <w:rPr>
          <w:u w:val="single"/>
        </w:rPr>
        <w:t xml:space="preserve">and is </w:t>
      </w:r>
      <w:r>
        <w:rPr>
          <w:u w:val="single"/>
        </w:rPr>
        <w:t xml:space="preserve">$ 13,429 less than </w:t>
      </w:r>
      <w:r w:rsidRPr="00D46E49">
        <w:rPr>
          <w:u w:val="single"/>
        </w:rPr>
        <w:t>the amount claimed in PG&amp;E AL 360</w:t>
      </w:r>
      <w:r>
        <w:rPr>
          <w:u w:val="single"/>
        </w:rPr>
        <w:t>6-G/4659-E to account for differences between the expenditures filed in the AL and on the ED Central Server.</w:t>
      </w:r>
    </w:p>
    <w:p w14:paraId="57F5F30B" w14:textId="77777777" w:rsidR="00705F19" w:rsidRPr="00B508CE" w:rsidRDefault="00705F19" w:rsidP="00705F19"/>
    <w:p w14:paraId="57F5F30C" w14:textId="77777777" w:rsidR="00705F19" w:rsidRPr="00BF7753" w:rsidRDefault="00705F19" w:rsidP="00705F19">
      <w:pPr>
        <w:spacing w:after="120"/>
        <w:rPr>
          <w:i/>
        </w:rPr>
      </w:pPr>
      <w:r w:rsidRPr="00BF7753">
        <w:rPr>
          <w:i/>
        </w:rPr>
        <w:t>Incentive Recovery though Retail Rates</w:t>
      </w:r>
    </w:p>
    <w:p w14:paraId="57F5F30D" w14:textId="75AA7260" w:rsidR="00705F19" w:rsidRPr="00D46E49" w:rsidRDefault="00705F19" w:rsidP="00705F19">
      <w:r w:rsidRPr="00D46E49">
        <w:t xml:space="preserve">The 2014 incentive award for PG&amp;E totals $ </w:t>
      </w:r>
      <w:r w:rsidR="00BE4F61">
        <w:t>10,34</w:t>
      </w:r>
      <w:r w:rsidR="00A02AE9">
        <w:t>2,142</w:t>
      </w:r>
      <w:r w:rsidR="00BF7753">
        <w:t xml:space="preserve"> </w:t>
      </w:r>
      <w:r w:rsidRPr="00D46E49">
        <w:t xml:space="preserve">as shown below. </w:t>
      </w:r>
      <w:r w:rsidRPr="00D46E49">
        <w:rPr>
          <w:u w:val="single"/>
        </w:rPr>
        <w:t xml:space="preserve">This award is $ </w:t>
      </w:r>
      <w:r w:rsidR="00BE4F61">
        <w:rPr>
          <w:u w:val="single"/>
        </w:rPr>
        <w:t>1,17</w:t>
      </w:r>
      <w:r w:rsidR="00A02AE9">
        <w:rPr>
          <w:u w:val="single"/>
        </w:rPr>
        <w:t>3,808</w:t>
      </w:r>
      <w:r w:rsidR="00BF7753" w:rsidRPr="00D46E49">
        <w:rPr>
          <w:u w:val="single"/>
        </w:rPr>
        <w:t xml:space="preserve"> </w:t>
      </w:r>
      <w:r w:rsidR="00BF7753">
        <w:rPr>
          <w:u w:val="single"/>
        </w:rPr>
        <w:t>less</w:t>
      </w:r>
      <w:r w:rsidRPr="00D46E49">
        <w:rPr>
          <w:u w:val="single"/>
        </w:rPr>
        <w:t xml:space="preserve"> than the amount claimed in PG&amp;E AL 3606-G/4659-E.</w:t>
      </w:r>
      <w:r w:rsidRPr="00D46E49">
        <w:t xml:space="preserve">   PG&amp;E is awarded a lesser amount than what was claimed in PG&amp;E</w:t>
      </w:r>
      <w:r w:rsidR="00A02AE9">
        <w:t xml:space="preserve"> </w:t>
      </w:r>
      <w:r w:rsidRPr="00D46E49">
        <w:t>AL 3606-G/4659-E due to differences in the expenditures and energy savings data in PG&amp;E’s advice letter and the ED Central Server</w:t>
      </w:r>
      <w:r w:rsidR="009510A9">
        <w:t>, 2013 audit true up, and 2013 -2014 awards cap adjustment</w:t>
      </w:r>
      <w:r w:rsidRPr="00D46E49">
        <w:t>.</w:t>
      </w:r>
    </w:p>
    <w:p w14:paraId="57F5F30E" w14:textId="77777777" w:rsidR="00705F19" w:rsidRPr="009768CE" w:rsidRDefault="00705F19" w:rsidP="00705F19">
      <w:pPr>
        <w:rPr>
          <w:highlight w:val="yellow"/>
        </w:rPr>
      </w:pPr>
    </w:p>
    <w:p w14:paraId="57F5F30F" w14:textId="77777777" w:rsidR="00705F19" w:rsidRPr="00BF7753" w:rsidRDefault="00705F19" w:rsidP="00705F19">
      <w:pPr>
        <w:spacing w:after="120"/>
      </w:pPr>
      <w:r w:rsidRPr="00BF7753">
        <w:t xml:space="preserve">Table 8: PG&amp;E 2014 Incentive Award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rsidRPr="009768CE" w14:paraId="57F5F312" w14:textId="77777777" w:rsidTr="0078095C">
        <w:tc>
          <w:tcPr>
            <w:tcW w:w="6768" w:type="dxa"/>
            <w:tcBorders>
              <w:top w:val="single" w:sz="4" w:space="0" w:color="auto"/>
              <w:bottom w:val="single" w:sz="4" w:space="0" w:color="auto"/>
              <w:right w:val="single" w:sz="4" w:space="0" w:color="auto"/>
            </w:tcBorders>
          </w:tcPr>
          <w:p w14:paraId="57F5F310" w14:textId="77777777" w:rsidR="00705F19" w:rsidRPr="00D46E49" w:rsidRDefault="00705F19" w:rsidP="0078095C">
            <w:pPr>
              <w:rPr>
                <w:b/>
              </w:rPr>
            </w:pPr>
            <w:r w:rsidRPr="00D46E49">
              <w:rPr>
                <w:b/>
              </w:rPr>
              <w:t>Award Component</w:t>
            </w:r>
          </w:p>
        </w:tc>
        <w:tc>
          <w:tcPr>
            <w:tcW w:w="2808" w:type="dxa"/>
            <w:tcBorders>
              <w:top w:val="single" w:sz="4" w:space="0" w:color="auto"/>
              <w:left w:val="single" w:sz="4" w:space="0" w:color="auto"/>
              <w:bottom w:val="single" w:sz="4" w:space="0" w:color="auto"/>
            </w:tcBorders>
          </w:tcPr>
          <w:p w14:paraId="57F5F311" w14:textId="77777777" w:rsidR="00705F19" w:rsidRPr="00D46E49" w:rsidRDefault="00705F19" w:rsidP="0078095C">
            <w:pPr>
              <w:rPr>
                <w:b/>
              </w:rPr>
            </w:pPr>
            <w:r w:rsidRPr="00D46E49">
              <w:rPr>
                <w:b/>
              </w:rPr>
              <w:t>Award Amount</w:t>
            </w:r>
          </w:p>
        </w:tc>
      </w:tr>
      <w:tr w:rsidR="00705F19" w:rsidRPr="009768CE" w14:paraId="57F5F315" w14:textId="77777777" w:rsidTr="0078095C">
        <w:tc>
          <w:tcPr>
            <w:tcW w:w="6768" w:type="dxa"/>
            <w:tcBorders>
              <w:top w:val="nil"/>
              <w:right w:val="single" w:sz="4" w:space="0" w:color="auto"/>
            </w:tcBorders>
          </w:tcPr>
          <w:p w14:paraId="57F5F313" w14:textId="77777777" w:rsidR="00705F19" w:rsidRPr="00D46E49" w:rsidRDefault="00705F19" w:rsidP="0078095C">
            <w:r w:rsidRPr="00D46E49">
              <w:t>2014 Energy Savings (with ex ante parameter estimates)</w:t>
            </w:r>
          </w:p>
        </w:tc>
        <w:tc>
          <w:tcPr>
            <w:tcW w:w="2808" w:type="dxa"/>
            <w:tcBorders>
              <w:top w:val="nil"/>
              <w:left w:val="single" w:sz="4" w:space="0" w:color="auto"/>
              <w:bottom w:val="nil"/>
            </w:tcBorders>
          </w:tcPr>
          <w:p w14:paraId="57F5F314" w14:textId="77777777" w:rsidR="00705F19" w:rsidRPr="00D46E49" w:rsidRDefault="00705F19" w:rsidP="00530B0C">
            <w:r w:rsidRPr="00D46E49">
              <w:t xml:space="preserve">$ </w:t>
            </w:r>
            <w:r w:rsidR="00530B0C">
              <w:t>4,967,340</w:t>
            </w:r>
          </w:p>
        </w:tc>
      </w:tr>
      <w:tr w:rsidR="00705F19" w:rsidRPr="009768CE" w14:paraId="57F5F318" w14:textId="77777777" w:rsidTr="0078095C">
        <w:tc>
          <w:tcPr>
            <w:tcW w:w="6768" w:type="dxa"/>
            <w:tcBorders>
              <w:right w:val="single" w:sz="4" w:space="0" w:color="auto"/>
            </w:tcBorders>
          </w:tcPr>
          <w:p w14:paraId="57F5F316" w14:textId="77777777" w:rsidR="00705F19" w:rsidRPr="00D46E49" w:rsidRDefault="00705F19" w:rsidP="0078095C">
            <w:r w:rsidRPr="00D46E49">
              <w:t>2014 Ex Ante Review Performance</w:t>
            </w:r>
          </w:p>
        </w:tc>
        <w:tc>
          <w:tcPr>
            <w:tcW w:w="2808" w:type="dxa"/>
            <w:tcBorders>
              <w:top w:val="nil"/>
              <w:left w:val="single" w:sz="4" w:space="0" w:color="auto"/>
              <w:bottom w:val="nil"/>
            </w:tcBorders>
          </w:tcPr>
          <w:p w14:paraId="57F5F317" w14:textId="26F2BBC5" w:rsidR="00705F19" w:rsidRPr="00D46E49" w:rsidRDefault="00705F19" w:rsidP="00A02AE9">
            <w:r w:rsidRPr="00D46E49">
              <w:t xml:space="preserve">$ </w:t>
            </w:r>
            <w:r w:rsidR="00A02AE9">
              <w:t>3,847,064</w:t>
            </w:r>
          </w:p>
        </w:tc>
      </w:tr>
      <w:tr w:rsidR="00705F19" w:rsidRPr="009768CE" w14:paraId="57F5F31B" w14:textId="77777777" w:rsidTr="0078095C">
        <w:tc>
          <w:tcPr>
            <w:tcW w:w="6768" w:type="dxa"/>
            <w:tcBorders>
              <w:right w:val="single" w:sz="4" w:space="0" w:color="auto"/>
            </w:tcBorders>
          </w:tcPr>
          <w:p w14:paraId="57F5F319" w14:textId="77777777" w:rsidR="00705F19" w:rsidRPr="00D46E49" w:rsidRDefault="00705F19" w:rsidP="0078095C">
            <w:r w:rsidRPr="00D46E49">
              <w:t>Codes and Standards Management Fee</w:t>
            </w:r>
          </w:p>
        </w:tc>
        <w:tc>
          <w:tcPr>
            <w:tcW w:w="2808" w:type="dxa"/>
            <w:tcBorders>
              <w:top w:val="nil"/>
              <w:left w:val="single" w:sz="4" w:space="0" w:color="auto"/>
              <w:bottom w:val="nil"/>
            </w:tcBorders>
          </w:tcPr>
          <w:p w14:paraId="57F5F31A" w14:textId="491A47D0" w:rsidR="00705F19" w:rsidRPr="00D46E49" w:rsidRDefault="00705F19" w:rsidP="0078095C">
            <w:r w:rsidRPr="00D46E49">
              <w:t>$ 6</w:t>
            </w:r>
            <w:r w:rsidR="00BE4F61">
              <w:t>5</w:t>
            </w:r>
            <w:r w:rsidRPr="00D46E49">
              <w:t>4,526</w:t>
            </w:r>
          </w:p>
        </w:tc>
      </w:tr>
      <w:tr w:rsidR="00705F19" w:rsidRPr="009768CE" w14:paraId="57F5F31E" w14:textId="77777777" w:rsidTr="0078095C">
        <w:tc>
          <w:tcPr>
            <w:tcW w:w="6768" w:type="dxa"/>
            <w:tcBorders>
              <w:bottom w:val="single" w:sz="4" w:space="0" w:color="auto"/>
              <w:right w:val="single" w:sz="4" w:space="0" w:color="auto"/>
            </w:tcBorders>
          </w:tcPr>
          <w:p w14:paraId="57F5F31C" w14:textId="77777777" w:rsidR="00705F19" w:rsidRPr="00D46E49" w:rsidRDefault="00705F19" w:rsidP="0078095C">
            <w:r w:rsidRPr="00D46E49">
              <w:t>Non-resource Program Management Fee</w:t>
            </w:r>
          </w:p>
        </w:tc>
        <w:tc>
          <w:tcPr>
            <w:tcW w:w="2808" w:type="dxa"/>
            <w:tcBorders>
              <w:top w:val="nil"/>
              <w:left w:val="single" w:sz="4" w:space="0" w:color="auto"/>
              <w:bottom w:val="single" w:sz="4" w:space="0" w:color="auto"/>
            </w:tcBorders>
          </w:tcPr>
          <w:p w14:paraId="57F5F31D" w14:textId="1041C8D6" w:rsidR="00705F19" w:rsidRPr="00D46E49" w:rsidRDefault="00705F19" w:rsidP="00A02AE9">
            <w:r w:rsidRPr="00D46E49">
              <w:t xml:space="preserve">$ </w:t>
            </w:r>
            <w:r w:rsidR="00A02AE9">
              <w:t>873,212</w:t>
            </w:r>
          </w:p>
        </w:tc>
      </w:tr>
      <w:tr w:rsidR="00705F19" w:rsidRPr="009768CE" w14:paraId="57F5F321" w14:textId="77777777" w:rsidTr="0078095C">
        <w:tc>
          <w:tcPr>
            <w:tcW w:w="6768" w:type="dxa"/>
            <w:tcBorders>
              <w:top w:val="single" w:sz="4" w:space="0" w:color="auto"/>
              <w:bottom w:val="single" w:sz="4" w:space="0" w:color="auto"/>
              <w:right w:val="single" w:sz="4" w:space="0" w:color="auto"/>
            </w:tcBorders>
          </w:tcPr>
          <w:p w14:paraId="57F5F31F" w14:textId="77777777" w:rsidR="00705F19" w:rsidRPr="00D46E49" w:rsidRDefault="00705F19" w:rsidP="0078095C">
            <w:r w:rsidRPr="00D46E49">
              <w:t>Total</w:t>
            </w:r>
          </w:p>
        </w:tc>
        <w:tc>
          <w:tcPr>
            <w:tcW w:w="2808" w:type="dxa"/>
            <w:tcBorders>
              <w:top w:val="single" w:sz="4" w:space="0" w:color="auto"/>
              <w:left w:val="single" w:sz="4" w:space="0" w:color="auto"/>
              <w:bottom w:val="single" w:sz="4" w:space="0" w:color="auto"/>
            </w:tcBorders>
          </w:tcPr>
          <w:p w14:paraId="57F5F320" w14:textId="46C27E27" w:rsidR="00705F19" w:rsidRPr="00D46E49" w:rsidRDefault="00705F19" w:rsidP="00A02AE9">
            <w:r w:rsidRPr="00D46E49">
              <w:t xml:space="preserve">$ </w:t>
            </w:r>
            <w:r w:rsidR="00BE4F61">
              <w:t>10,34</w:t>
            </w:r>
            <w:r w:rsidR="00A02AE9">
              <w:t>2,142</w:t>
            </w:r>
          </w:p>
        </w:tc>
      </w:tr>
    </w:tbl>
    <w:p w14:paraId="57F5F322" w14:textId="77777777" w:rsidR="00705F19" w:rsidRPr="00D46E49" w:rsidRDefault="00705F19" w:rsidP="00705F19"/>
    <w:p w14:paraId="57F5F323" w14:textId="77777777" w:rsidR="00705F19" w:rsidRDefault="00705F19" w:rsidP="00705F19">
      <w:r w:rsidRPr="00D46E49">
        <w:t>Per PG&amp;E AL 3606-G/4659-E, PG&amp;E will recover the 2014 incentive award from ratepayers by allocating the total award between its electric and gas balancing accounts in accordance with the electric and gas net benefit factors approved for the 2013-14 portfolios, as follows:</w:t>
      </w:r>
    </w:p>
    <w:p w14:paraId="57F5F325" w14:textId="77777777" w:rsidR="00705F19" w:rsidRPr="00BF7753" w:rsidRDefault="00705F19" w:rsidP="00705F19">
      <w:pPr>
        <w:spacing w:after="120"/>
      </w:pPr>
      <w:r w:rsidRPr="00BF7753">
        <w:t>Table 9: PG&amp;E Incentive Award Allocation</w:t>
      </w:r>
    </w:p>
    <w:tbl>
      <w:tblPr>
        <w:tblStyle w:val="TableGrid"/>
        <w:tblW w:w="0" w:type="auto"/>
        <w:tblLook w:val="04A0" w:firstRow="1" w:lastRow="0" w:firstColumn="1" w:lastColumn="0" w:noHBand="0" w:noVBand="1"/>
      </w:tblPr>
      <w:tblGrid>
        <w:gridCol w:w="4248"/>
        <w:gridCol w:w="5328"/>
      </w:tblGrid>
      <w:tr w:rsidR="00705F19" w:rsidRPr="009768CE" w14:paraId="57F5F328" w14:textId="77777777" w:rsidTr="0078095C">
        <w:tc>
          <w:tcPr>
            <w:tcW w:w="4248" w:type="dxa"/>
            <w:tcBorders>
              <w:bottom w:val="single" w:sz="4" w:space="0" w:color="auto"/>
            </w:tcBorders>
          </w:tcPr>
          <w:p w14:paraId="57F5F326" w14:textId="77777777" w:rsidR="00705F19" w:rsidRPr="00D46E49" w:rsidRDefault="00705F19" w:rsidP="0078095C">
            <w:pPr>
              <w:rPr>
                <w:b/>
              </w:rPr>
            </w:pPr>
            <w:r w:rsidRPr="00D46E49">
              <w:rPr>
                <w:b/>
              </w:rPr>
              <w:lastRenderedPageBreak/>
              <w:t>Allocation</w:t>
            </w:r>
            <w:r w:rsidRPr="00D46E49">
              <w:rPr>
                <w:rStyle w:val="FootnoteReference"/>
                <w:b/>
              </w:rPr>
              <w:footnoteReference w:id="20"/>
            </w:r>
          </w:p>
        </w:tc>
        <w:tc>
          <w:tcPr>
            <w:tcW w:w="5328" w:type="dxa"/>
            <w:tcBorders>
              <w:bottom w:val="single" w:sz="4" w:space="0" w:color="auto"/>
            </w:tcBorders>
          </w:tcPr>
          <w:p w14:paraId="57F5F327" w14:textId="77777777" w:rsidR="00705F19" w:rsidRPr="00D46E49" w:rsidRDefault="00705F19" w:rsidP="0078095C">
            <w:pPr>
              <w:rPr>
                <w:b/>
              </w:rPr>
            </w:pPr>
            <w:r w:rsidRPr="00D46E49">
              <w:rPr>
                <w:b/>
              </w:rPr>
              <w:t>2014 Energy Efficiency Incentive awards</w:t>
            </w:r>
          </w:p>
        </w:tc>
      </w:tr>
      <w:tr w:rsidR="00705F19" w:rsidRPr="009768CE" w14:paraId="57F5F32B" w14:textId="77777777" w:rsidTr="0078095C">
        <w:tc>
          <w:tcPr>
            <w:tcW w:w="4248" w:type="dxa"/>
            <w:tcBorders>
              <w:bottom w:val="nil"/>
            </w:tcBorders>
          </w:tcPr>
          <w:p w14:paraId="57F5F329" w14:textId="77777777" w:rsidR="00705F19" w:rsidRPr="00D46E49" w:rsidRDefault="00705F19" w:rsidP="0078095C">
            <w:r w:rsidRPr="00D46E49">
              <w:t>Electric Balancing Account (82%)</w:t>
            </w:r>
          </w:p>
        </w:tc>
        <w:tc>
          <w:tcPr>
            <w:tcW w:w="5328" w:type="dxa"/>
            <w:tcBorders>
              <w:bottom w:val="nil"/>
            </w:tcBorders>
          </w:tcPr>
          <w:p w14:paraId="57F5F32A" w14:textId="2E6E71CA" w:rsidR="00705F19" w:rsidRPr="00D46E49" w:rsidRDefault="00705F19" w:rsidP="00BE4F61">
            <w:r w:rsidRPr="00D46E49">
              <w:t xml:space="preserve">$ </w:t>
            </w:r>
            <w:r w:rsidR="00BE4F61">
              <w:t>8,480,556</w:t>
            </w:r>
          </w:p>
        </w:tc>
      </w:tr>
      <w:tr w:rsidR="00705F19" w:rsidRPr="009768CE" w14:paraId="57F5F32E" w14:textId="77777777" w:rsidTr="0078095C">
        <w:tc>
          <w:tcPr>
            <w:tcW w:w="4248" w:type="dxa"/>
            <w:tcBorders>
              <w:top w:val="nil"/>
            </w:tcBorders>
          </w:tcPr>
          <w:p w14:paraId="57F5F32C" w14:textId="77777777" w:rsidR="00705F19" w:rsidRPr="00D46E49" w:rsidRDefault="00705F19" w:rsidP="0078095C">
            <w:r w:rsidRPr="00D46E49">
              <w:t>Gas Balancing Account (18%)</w:t>
            </w:r>
          </w:p>
        </w:tc>
        <w:tc>
          <w:tcPr>
            <w:tcW w:w="5328" w:type="dxa"/>
            <w:tcBorders>
              <w:top w:val="nil"/>
            </w:tcBorders>
          </w:tcPr>
          <w:p w14:paraId="57F5F32D" w14:textId="5E102122" w:rsidR="00705F19" w:rsidRPr="00D46E49" w:rsidRDefault="00705F19" w:rsidP="00BE4F61">
            <w:r w:rsidRPr="00D46E49">
              <w:t xml:space="preserve">$ </w:t>
            </w:r>
            <w:r w:rsidR="00BE4F61">
              <w:t>1,861,586</w:t>
            </w:r>
          </w:p>
        </w:tc>
      </w:tr>
      <w:tr w:rsidR="00705F19" w14:paraId="57F5F331" w14:textId="77777777" w:rsidTr="0078095C">
        <w:tc>
          <w:tcPr>
            <w:tcW w:w="4248" w:type="dxa"/>
          </w:tcPr>
          <w:p w14:paraId="57F5F32F" w14:textId="77777777" w:rsidR="00705F19" w:rsidRPr="00D46E49" w:rsidRDefault="00705F19" w:rsidP="0078095C">
            <w:r w:rsidRPr="00D46E49">
              <w:t>Total</w:t>
            </w:r>
          </w:p>
        </w:tc>
        <w:tc>
          <w:tcPr>
            <w:tcW w:w="5328" w:type="dxa"/>
          </w:tcPr>
          <w:p w14:paraId="57F5F330" w14:textId="2BD3EB85" w:rsidR="00705F19" w:rsidRPr="00D46E49" w:rsidRDefault="00705F19" w:rsidP="00A02AE9">
            <w:r w:rsidRPr="00D46E49">
              <w:t xml:space="preserve">$ </w:t>
            </w:r>
            <w:r w:rsidR="00BE4F61">
              <w:t>10,34</w:t>
            </w:r>
            <w:r w:rsidR="00A02AE9">
              <w:t>2,142</w:t>
            </w:r>
          </w:p>
        </w:tc>
      </w:tr>
    </w:tbl>
    <w:p w14:paraId="57F5F332" w14:textId="77777777" w:rsidR="00705F19" w:rsidRDefault="00705F19" w:rsidP="00705F19"/>
    <w:p w14:paraId="57F5F333" w14:textId="77777777" w:rsidR="00915945" w:rsidRDefault="00915945" w:rsidP="00705F19"/>
    <w:p w14:paraId="57F5F334" w14:textId="77777777" w:rsidR="00705F19" w:rsidRPr="00D35263" w:rsidRDefault="00705F19" w:rsidP="00705F19">
      <w:pPr>
        <w:spacing w:after="120"/>
      </w:pPr>
      <w:r>
        <w:rPr>
          <w:u w:val="single"/>
        </w:rPr>
        <w:t>SCE</w:t>
      </w:r>
      <w:r w:rsidRPr="00D35263">
        <w:rPr>
          <w:u w:val="single"/>
        </w:rPr>
        <w:t xml:space="preserve"> Advice Letter </w:t>
      </w:r>
      <w:r>
        <w:rPr>
          <w:u w:val="single"/>
        </w:rPr>
        <w:t>3240-E</w:t>
      </w:r>
    </w:p>
    <w:p w14:paraId="57F5F335" w14:textId="77777777" w:rsidR="00705F19" w:rsidRDefault="00705F19" w:rsidP="00705F19">
      <w:r>
        <w:t xml:space="preserve">SCE requests $ 12,193,233 for the 2014 incentive award. In accordance with </w:t>
      </w:r>
      <w:r w:rsidR="00DF6175">
        <w:br/>
      </w:r>
      <w:r>
        <w:t xml:space="preserve">D.13-09-023 and the staff-issued memo, the award is comprised of </w:t>
      </w:r>
      <w:r w:rsidR="00DF6175">
        <w:br/>
      </w:r>
      <w:r>
        <w:t xml:space="preserve">four components: </w:t>
      </w:r>
    </w:p>
    <w:p w14:paraId="57F5F336" w14:textId="77777777" w:rsidR="00705F19" w:rsidRDefault="00705F19" w:rsidP="00705F19"/>
    <w:p w14:paraId="57F5F337" w14:textId="77777777" w:rsidR="00705F19" w:rsidRPr="001700F6" w:rsidRDefault="00705F19" w:rsidP="00705F19">
      <w:pPr>
        <w:pStyle w:val="Caption"/>
        <w:rPr>
          <w:rFonts w:ascii="Palatino" w:eastAsia="Times New Roman" w:hAnsi="Palatino"/>
          <w:b w:val="0"/>
          <w:bCs w:val="0"/>
          <w:sz w:val="26"/>
        </w:rPr>
      </w:pPr>
      <w:r>
        <w:rPr>
          <w:rFonts w:ascii="Palatino" w:eastAsia="Times New Roman" w:hAnsi="Palatino"/>
          <w:b w:val="0"/>
          <w:bCs w:val="0"/>
          <w:sz w:val="26"/>
        </w:rPr>
        <w:t>Table 10</w:t>
      </w:r>
      <w:r w:rsidRPr="001700F6">
        <w:rPr>
          <w:rFonts w:ascii="Palatino" w:eastAsia="Times New Roman" w:hAnsi="Palatino"/>
          <w:b w:val="0"/>
          <w:bCs w:val="0"/>
          <w:sz w:val="26"/>
        </w:rPr>
        <w:t xml:space="preserve">: </w:t>
      </w:r>
      <w:r>
        <w:rPr>
          <w:rFonts w:ascii="Palatino" w:eastAsia="Times New Roman" w:hAnsi="Palatino"/>
          <w:b w:val="0"/>
          <w:bCs w:val="0"/>
          <w:sz w:val="26"/>
        </w:rPr>
        <w:t>SCE</w:t>
      </w:r>
      <w:r w:rsidRPr="001700F6">
        <w:rPr>
          <w:rFonts w:ascii="Palatino" w:eastAsia="Times New Roman" w:hAnsi="Palatino"/>
          <w:b w:val="0"/>
          <w:bCs w:val="0"/>
          <w:sz w:val="26"/>
        </w:rPr>
        <w:t xml:space="preserve"> Filed 2014 Incentive Award Claim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14:paraId="57F5F33A" w14:textId="77777777" w:rsidTr="0078095C">
        <w:tc>
          <w:tcPr>
            <w:tcW w:w="6768" w:type="dxa"/>
            <w:tcBorders>
              <w:top w:val="single" w:sz="4" w:space="0" w:color="auto"/>
              <w:bottom w:val="single" w:sz="4" w:space="0" w:color="auto"/>
              <w:right w:val="single" w:sz="4" w:space="0" w:color="auto"/>
            </w:tcBorders>
          </w:tcPr>
          <w:p w14:paraId="57F5F338" w14:textId="77777777" w:rsidR="00705F19" w:rsidRPr="00196089" w:rsidRDefault="00705F19" w:rsidP="0078095C">
            <w:pPr>
              <w:rPr>
                <w:b/>
              </w:rPr>
            </w:pPr>
            <w:r w:rsidRPr="00196089">
              <w:rPr>
                <w:b/>
              </w:rPr>
              <w:t>Award Component</w:t>
            </w:r>
          </w:p>
        </w:tc>
        <w:tc>
          <w:tcPr>
            <w:tcW w:w="2808" w:type="dxa"/>
            <w:tcBorders>
              <w:top w:val="single" w:sz="4" w:space="0" w:color="auto"/>
              <w:left w:val="single" w:sz="4" w:space="0" w:color="auto"/>
              <w:bottom w:val="single" w:sz="4" w:space="0" w:color="auto"/>
            </w:tcBorders>
          </w:tcPr>
          <w:p w14:paraId="57F5F339" w14:textId="77777777" w:rsidR="00705F19" w:rsidRPr="00196089" w:rsidRDefault="00705F19" w:rsidP="0078095C">
            <w:pPr>
              <w:rPr>
                <w:b/>
              </w:rPr>
            </w:pPr>
            <w:r>
              <w:rPr>
                <w:b/>
              </w:rPr>
              <w:t>Requested</w:t>
            </w:r>
            <w:r w:rsidRPr="00196089">
              <w:rPr>
                <w:b/>
              </w:rPr>
              <w:t xml:space="preserve"> Amount</w:t>
            </w:r>
          </w:p>
        </w:tc>
      </w:tr>
      <w:tr w:rsidR="00705F19" w14:paraId="57F5F33D" w14:textId="77777777" w:rsidTr="0078095C">
        <w:tc>
          <w:tcPr>
            <w:tcW w:w="6768" w:type="dxa"/>
            <w:tcBorders>
              <w:top w:val="single" w:sz="4" w:space="0" w:color="auto"/>
              <w:right w:val="single" w:sz="4" w:space="0" w:color="auto"/>
            </w:tcBorders>
          </w:tcPr>
          <w:p w14:paraId="57F5F33B" w14:textId="77777777" w:rsidR="00705F19" w:rsidRDefault="00705F19" w:rsidP="0078095C">
            <w:r>
              <w:t>Energy savings with ex ante parameter estimates</w:t>
            </w:r>
          </w:p>
        </w:tc>
        <w:tc>
          <w:tcPr>
            <w:tcW w:w="2808" w:type="dxa"/>
            <w:tcBorders>
              <w:top w:val="single" w:sz="4" w:space="0" w:color="auto"/>
              <w:left w:val="single" w:sz="4" w:space="0" w:color="auto"/>
              <w:bottom w:val="nil"/>
            </w:tcBorders>
          </w:tcPr>
          <w:p w14:paraId="57F5F33C" w14:textId="77777777" w:rsidR="00705F19" w:rsidRDefault="00705F19" w:rsidP="0078095C">
            <w:r>
              <w:t>$ 6,791,987</w:t>
            </w:r>
          </w:p>
        </w:tc>
      </w:tr>
      <w:tr w:rsidR="00705F19" w14:paraId="57F5F340" w14:textId="77777777" w:rsidTr="0078095C">
        <w:tc>
          <w:tcPr>
            <w:tcW w:w="6768" w:type="dxa"/>
            <w:tcBorders>
              <w:right w:val="single" w:sz="4" w:space="0" w:color="auto"/>
            </w:tcBorders>
          </w:tcPr>
          <w:p w14:paraId="57F5F33E" w14:textId="77777777" w:rsidR="00705F19" w:rsidRDefault="00705F19" w:rsidP="0078095C">
            <w:r>
              <w:t>Ex ante review performance</w:t>
            </w:r>
          </w:p>
        </w:tc>
        <w:tc>
          <w:tcPr>
            <w:tcW w:w="2808" w:type="dxa"/>
            <w:tcBorders>
              <w:top w:val="nil"/>
              <w:left w:val="single" w:sz="4" w:space="0" w:color="auto"/>
              <w:bottom w:val="single" w:sz="4" w:space="0" w:color="auto"/>
            </w:tcBorders>
          </w:tcPr>
          <w:p w14:paraId="57F5F33F" w14:textId="77777777" w:rsidR="00705F19" w:rsidRDefault="00705F19" w:rsidP="0078095C">
            <w:r>
              <w:t>$ 4,001,864</w:t>
            </w:r>
          </w:p>
        </w:tc>
      </w:tr>
      <w:tr w:rsidR="00705F19" w14:paraId="57F5F343" w14:textId="77777777" w:rsidTr="0078095C">
        <w:tc>
          <w:tcPr>
            <w:tcW w:w="6768" w:type="dxa"/>
            <w:tcBorders>
              <w:right w:val="single" w:sz="4" w:space="0" w:color="auto"/>
            </w:tcBorders>
          </w:tcPr>
          <w:p w14:paraId="57F5F341" w14:textId="77777777" w:rsidR="00705F19" w:rsidRDefault="00705F19" w:rsidP="0078095C">
            <w:r>
              <w:t>Codes and standards management fee</w:t>
            </w:r>
          </w:p>
        </w:tc>
        <w:tc>
          <w:tcPr>
            <w:tcW w:w="2808" w:type="dxa"/>
            <w:tcBorders>
              <w:top w:val="single" w:sz="4" w:space="0" w:color="auto"/>
              <w:left w:val="single" w:sz="4" w:space="0" w:color="auto"/>
              <w:bottom w:val="nil"/>
            </w:tcBorders>
          </w:tcPr>
          <w:p w14:paraId="57F5F342" w14:textId="77777777" w:rsidR="00705F19" w:rsidRDefault="009714C0" w:rsidP="0078095C">
            <w:r>
              <w:t>$ 376,602</w:t>
            </w:r>
          </w:p>
        </w:tc>
      </w:tr>
      <w:tr w:rsidR="00705F19" w14:paraId="57F5F346" w14:textId="77777777" w:rsidTr="0078095C">
        <w:tc>
          <w:tcPr>
            <w:tcW w:w="6768" w:type="dxa"/>
            <w:tcBorders>
              <w:bottom w:val="single" w:sz="4" w:space="0" w:color="auto"/>
              <w:right w:val="single" w:sz="4" w:space="0" w:color="auto"/>
            </w:tcBorders>
          </w:tcPr>
          <w:p w14:paraId="57F5F344" w14:textId="77777777" w:rsidR="00705F19" w:rsidRDefault="00705F19" w:rsidP="0078095C">
            <w:r>
              <w:t>Non-resource program management fee</w:t>
            </w:r>
          </w:p>
        </w:tc>
        <w:tc>
          <w:tcPr>
            <w:tcW w:w="2808" w:type="dxa"/>
            <w:tcBorders>
              <w:top w:val="nil"/>
              <w:left w:val="single" w:sz="4" w:space="0" w:color="auto"/>
              <w:bottom w:val="single" w:sz="4" w:space="0" w:color="auto"/>
            </w:tcBorders>
          </w:tcPr>
          <w:p w14:paraId="57F5F345" w14:textId="77777777" w:rsidR="00705F19" w:rsidRDefault="00705F19" w:rsidP="0078095C">
            <w:r>
              <w:t>$ 1,025,205</w:t>
            </w:r>
          </w:p>
        </w:tc>
      </w:tr>
      <w:tr w:rsidR="003307CD" w14:paraId="57F5F349" w14:textId="77777777" w:rsidTr="003307CD">
        <w:tblPrEx>
          <w:tblBorders>
            <w:insideH w:val="single" w:sz="4" w:space="0" w:color="auto"/>
            <w:insideV w:val="single" w:sz="4" w:space="0" w:color="auto"/>
          </w:tblBorders>
        </w:tblPrEx>
        <w:tc>
          <w:tcPr>
            <w:tcW w:w="6768" w:type="dxa"/>
          </w:tcPr>
          <w:p w14:paraId="57F5F347" w14:textId="77777777" w:rsidR="003307CD" w:rsidRDefault="003307CD" w:rsidP="003307CD">
            <w:r>
              <w:t>2013 UAFCB Audit True Up</w:t>
            </w:r>
          </w:p>
        </w:tc>
        <w:tc>
          <w:tcPr>
            <w:tcW w:w="2808" w:type="dxa"/>
          </w:tcPr>
          <w:p w14:paraId="57F5F348" w14:textId="77777777" w:rsidR="003307CD" w:rsidRDefault="003307CD" w:rsidP="003307CD">
            <w:r>
              <w:t>($ 2,424)</w:t>
            </w:r>
          </w:p>
        </w:tc>
      </w:tr>
      <w:tr w:rsidR="00705F19" w14:paraId="57F5F34C" w14:textId="77777777" w:rsidTr="0078095C">
        <w:tc>
          <w:tcPr>
            <w:tcW w:w="6768" w:type="dxa"/>
            <w:tcBorders>
              <w:top w:val="single" w:sz="4" w:space="0" w:color="auto"/>
              <w:bottom w:val="single" w:sz="4" w:space="0" w:color="auto"/>
              <w:right w:val="single" w:sz="4" w:space="0" w:color="auto"/>
            </w:tcBorders>
          </w:tcPr>
          <w:p w14:paraId="57F5F34A" w14:textId="77777777" w:rsidR="00705F19" w:rsidRDefault="00705F19" w:rsidP="0078095C">
            <w:r>
              <w:t>Total</w:t>
            </w:r>
          </w:p>
        </w:tc>
        <w:tc>
          <w:tcPr>
            <w:tcW w:w="2808" w:type="dxa"/>
            <w:tcBorders>
              <w:top w:val="single" w:sz="4" w:space="0" w:color="auto"/>
              <w:left w:val="single" w:sz="4" w:space="0" w:color="auto"/>
              <w:bottom w:val="single" w:sz="4" w:space="0" w:color="auto"/>
            </w:tcBorders>
          </w:tcPr>
          <w:p w14:paraId="57F5F34B" w14:textId="7BFF22CE" w:rsidR="00705F19" w:rsidRDefault="00705F19" w:rsidP="00A02AE9">
            <w:r>
              <w:t xml:space="preserve">$ </w:t>
            </w:r>
            <w:r w:rsidR="00A02AE9">
              <w:t>12,193,234</w:t>
            </w:r>
          </w:p>
        </w:tc>
      </w:tr>
    </w:tbl>
    <w:p w14:paraId="57F5F34D" w14:textId="77777777" w:rsidR="00705F19" w:rsidRDefault="00705F19" w:rsidP="00705F19"/>
    <w:p w14:paraId="57F5F34E" w14:textId="77777777" w:rsidR="00705F19" w:rsidRDefault="00705F19" w:rsidP="00705F19">
      <w:r>
        <w:t>SCE reduced its earnings claim by $ 2,424 in accordance with the Recommendation for Observation 4 per the 2013 UAFCB Draft Audit</w:t>
      </w:r>
      <w:r>
        <w:rPr>
          <w:rStyle w:val="FootnoteReference"/>
        </w:rPr>
        <w:footnoteReference w:id="21"/>
      </w:r>
      <w:r>
        <w:t>.</w:t>
      </w:r>
    </w:p>
    <w:p w14:paraId="57F5F34F" w14:textId="77777777" w:rsidR="00705F19" w:rsidRDefault="00705F19" w:rsidP="00705F19"/>
    <w:p w14:paraId="57F5F350" w14:textId="77777777" w:rsidR="00705F19" w:rsidRPr="00731444" w:rsidRDefault="00705F19" w:rsidP="00705F19">
      <w:pPr>
        <w:spacing w:after="120"/>
      </w:pPr>
      <w:r>
        <w:rPr>
          <w:i/>
        </w:rPr>
        <w:t>Component 1: Energy Savings Performance Award</w:t>
      </w:r>
    </w:p>
    <w:p w14:paraId="57F5F351" w14:textId="77777777" w:rsidR="00705F19" w:rsidRDefault="00705F19" w:rsidP="00705F19">
      <w:r w:rsidRPr="00D46E49">
        <w:t xml:space="preserve">In Energy Division’s review of SCE AL 3240-E, staff finds SCE’s filing to be inconsistent with the utility-reported data on file with the Commission and </w:t>
      </w:r>
      <w:r w:rsidRPr="00D46E49">
        <w:lastRenderedPageBreak/>
        <w:t>stored on the ED Central Server. The differences between the SCE-filed savings values and the Commission data are noted below.</w:t>
      </w:r>
    </w:p>
    <w:p w14:paraId="57F5F352" w14:textId="77777777" w:rsidR="00915945" w:rsidRPr="00D46E49" w:rsidRDefault="00915945" w:rsidP="00705F19"/>
    <w:p w14:paraId="57F5F353" w14:textId="77777777" w:rsidR="00705F19" w:rsidRPr="00BF7753" w:rsidRDefault="00705F19" w:rsidP="00705F19">
      <w:pPr>
        <w:spacing w:after="120"/>
      </w:pPr>
      <w:r w:rsidRPr="00BF7753">
        <w:t>Table 11: Comparison of SCE Filed Energy Savings and ED Central Server Values</w:t>
      </w:r>
    </w:p>
    <w:tbl>
      <w:tblPr>
        <w:tblW w:w="0" w:type="auto"/>
        <w:tblCellMar>
          <w:left w:w="0" w:type="dxa"/>
          <w:right w:w="0" w:type="dxa"/>
        </w:tblCellMar>
        <w:tblLook w:val="04A0" w:firstRow="1" w:lastRow="0" w:firstColumn="1" w:lastColumn="0" w:noHBand="0" w:noVBand="1"/>
      </w:tblPr>
      <w:tblGrid>
        <w:gridCol w:w="2435"/>
        <w:gridCol w:w="2623"/>
        <w:gridCol w:w="2284"/>
        <w:gridCol w:w="2234"/>
      </w:tblGrid>
      <w:tr w:rsidR="00705F19" w:rsidRPr="00893BF0" w14:paraId="57F5F359" w14:textId="77777777" w:rsidTr="0078095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7F5F354" w14:textId="77777777" w:rsidR="00705F19" w:rsidRPr="00D46E49" w:rsidRDefault="00705F19" w:rsidP="0078095C">
            <w:pPr>
              <w:rPr>
                <w:rFonts w:ascii="Calibri" w:eastAsiaTheme="minorHAnsi" w:hAnsi="Calibri"/>
                <w:sz w:val="22"/>
                <w:szCs w:val="22"/>
              </w:rPr>
            </w:pP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355" w14:textId="77777777" w:rsidR="00705F19" w:rsidRPr="00D46E49" w:rsidRDefault="00705F19" w:rsidP="0078095C">
            <w:pPr>
              <w:jc w:val="center"/>
              <w:rPr>
                <w:rFonts w:ascii="Calibri" w:eastAsiaTheme="minorHAnsi" w:hAnsi="Calibri"/>
                <w:b/>
                <w:sz w:val="22"/>
                <w:szCs w:val="22"/>
              </w:rPr>
            </w:pPr>
            <w:r w:rsidRPr="00D46E49">
              <w:rPr>
                <w:b/>
              </w:rPr>
              <w:t xml:space="preserve">IOU Claimed Value </w:t>
            </w:r>
          </w:p>
          <w:p w14:paraId="57F5F356" w14:textId="77777777" w:rsidR="00705F19" w:rsidRPr="00D46E49" w:rsidRDefault="00705F19" w:rsidP="0078095C">
            <w:pPr>
              <w:jc w:val="center"/>
              <w:rPr>
                <w:rFonts w:ascii="Calibri" w:eastAsiaTheme="minorHAnsi" w:hAnsi="Calibri"/>
                <w:b/>
                <w:sz w:val="22"/>
                <w:szCs w:val="22"/>
              </w:rPr>
            </w:pPr>
            <w:r w:rsidRPr="00D46E49">
              <w:rPr>
                <w:b/>
              </w:rPr>
              <w:t>(supplemental AL)</w:t>
            </w:r>
          </w:p>
        </w:tc>
        <w:tc>
          <w:tcPr>
            <w:tcW w:w="22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357" w14:textId="77777777" w:rsidR="00705F19" w:rsidRPr="00D46E49" w:rsidRDefault="00705F19" w:rsidP="0078095C">
            <w:pPr>
              <w:jc w:val="center"/>
              <w:rPr>
                <w:rFonts w:ascii="Calibri" w:eastAsiaTheme="minorHAnsi" w:hAnsi="Calibri"/>
                <w:b/>
                <w:sz w:val="22"/>
                <w:szCs w:val="22"/>
              </w:rPr>
            </w:pPr>
            <w:r w:rsidRPr="00D46E49">
              <w:rPr>
                <w:b/>
              </w:rPr>
              <w:t>ED Central Server Value</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5F358" w14:textId="77777777" w:rsidR="00705F19" w:rsidRPr="00D46E49" w:rsidRDefault="00705F19" w:rsidP="0078095C">
            <w:pPr>
              <w:jc w:val="center"/>
              <w:rPr>
                <w:rFonts w:ascii="Calibri" w:eastAsiaTheme="minorHAnsi" w:hAnsi="Calibri"/>
                <w:b/>
                <w:sz w:val="22"/>
                <w:szCs w:val="22"/>
              </w:rPr>
            </w:pPr>
            <w:r w:rsidRPr="00D46E49">
              <w:rPr>
                <w:b/>
              </w:rPr>
              <w:t>Difference</w:t>
            </w:r>
          </w:p>
        </w:tc>
      </w:tr>
      <w:tr w:rsidR="00705F19" w:rsidRPr="00893BF0" w14:paraId="57F5F35E" w14:textId="77777777" w:rsidTr="0078095C">
        <w:tc>
          <w:tcPr>
            <w:tcW w:w="2435" w:type="dxa"/>
            <w:tcBorders>
              <w:top w:val="single" w:sz="8" w:space="0" w:color="auto"/>
              <w:left w:val="single" w:sz="8" w:space="0" w:color="auto"/>
              <w:right w:val="single" w:sz="8" w:space="0" w:color="auto"/>
            </w:tcBorders>
            <w:tcMar>
              <w:top w:w="0" w:type="dxa"/>
              <w:left w:w="108" w:type="dxa"/>
              <w:bottom w:w="0" w:type="dxa"/>
              <w:right w:w="108" w:type="dxa"/>
            </w:tcMar>
            <w:vAlign w:val="bottom"/>
          </w:tcPr>
          <w:p w14:paraId="57F5F35A" w14:textId="77777777" w:rsidR="00705F19" w:rsidRPr="00D46E49" w:rsidRDefault="00705F19" w:rsidP="0078095C">
            <w:pPr>
              <w:rPr>
                <w:rFonts w:ascii="Calibri" w:eastAsiaTheme="minorHAnsi" w:hAnsi="Calibri"/>
                <w:sz w:val="22"/>
                <w:szCs w:val="22"/>
              </w:rPr>
            </w:pPr>
            <w:r w:rsidRPr="00D46E49">
              <w:t>GWh</w:t>
            </w:r>
          </w:p>
        </w:tc>
        <w:tc>
          <w:tcPr>
            <w:tcW w:w="2623" w:type="dxa"/>
            <w:tcBorders>
              <w:top w:val="single" w:sz="8" w:space="0" w:color="auto"/>
              <w:left w:val="nil"/>
              <w:right w:val="single" w:sz="8" w:space="0" w:color="auto"/>
            </w:tcBorders>
            <w:tcMar>
              <w:top w:w="0" w:type="dxa"/>
              <w:left w:w="108" w:type="dxa"/>
              <w:bottom w:w="0" w:type="dxa"/>
              <w:right w:w="108" w:type="dxa"/>
            </w:tcMar>
            <w:vAlign w:val="bottom"/>
          </w:tcPr>
          <w:p w14:paraId="57F5F35B" w14:textId="77777777" w:rsidR="00705F19" w:rsidRPr="00D46E49" w:rsidRDefault="00705F19" w:rsidP="0078095C">
            <w:pPr>
              <w:jc w:val="center"/>
              <w:rPr>
                <w:rFonts w:ascii="Calibri" w:eastAsiaTheme="minorHAnsi" w:hAnsi="Calibri"/>
                <w:sz w:val="22"/>
                <w:szCs w:val="22"/>
              </w:rPr>
            </w:pPr>
            <w:r w:rsidRPr="00D46E49">
              <w:t>1,767</w:t>
            </w:r>
          </w:p>
        </w:tc>
        <w:tc>
          <w:tcPr>
            <w:tcW w:w="2284" w:type="dxa"/>
            <w:tcBorders>
              <w:top w:val="single" w:sz="8" w:space="0" w:color="auto"/>
              <w:left w:val="nil"/>
              <w:right w:val="single" w:sz="8" w:space="0" w:color="auto"/>
            </w:tcBorders>
            <w:shd w:val="clear" w:color="auto" w:fill="auto"/>
            <w:tcMar>
              <w:top w:w="0" w:type="dxa"/>
              <w:left w:w="108" w:type="dxa"/>
              <w:bottom w:w="0" w:type="dxa"/>
              <w:right w:w="108" w:type="dxa"/>
            </w:tcMar>
            <w:vAlign w:val="bottom"/>
          </w:tcPr>
          <w:p w14:paraId="57F5F35C" w14:textId="77777777" w:rsidR="00705F19" w:rsidRPr="00BF7753" w:rsidRDefault="00530B0C" w:rsidP="0078095C">
            <w:pPr>
              <w:jc w:val="center"/>
            </w:pPr>
            <w:r>
              <w:t>1,785</w:t>
            </w:r>
          </w:p>
        </w:tc>
        <w:tc>
          <w:tcPr>
            <w:tcW w:w="2234" w:type="dxa"/>
            <w:tcBorders>
              <w:top w:val="single" w:sz="8" w:space="0" w:color="auto"/>
              <w:left w:val="nil"/>
              <w:right w:val="single" w:sz="8" w:space="0" w:color="auto"/>
            </w:tcBorders>
            <w:shd w:val="clear" w:color="auto" w:fill="auto"/>
            <w:tcMar>
              <w:top w:w="0" w:type="dxa"/>
              <w:left w:w="108" w:type="dxa"/>
              <w:bottom w:w="0" w:type="dxa"/>
              <w:right w:w="108" w:type="dxa"/>
            </w:tcMar>
          </w:tcPr>
          <w:p w14:paraId="57F5F35D" w14:textId="77777777" w:rsidR="00705F19" w:rsidRPr="00D46E49" w:rsidRDefault="00530B0C" w:rsidP="0078095C">
            <w:pPr>
              <w:jc w:val="center"/>
              <w:rPr>
                <w:rFonts w:ascii="Calibri" w:eastAsiaTheme="minorHAnsi" w:hAnsi="Calibri"/>
                <w:sz w:val="22"/>
                <w:szCs w:val="22"/>
              </w:rPr>
            </w:pPr>
            <w:r>
              <w:t>-1</w:t>
            </w:r>
            <w:r w:rsidR="00705F19" w:rsidRPr="00D46E49">
              <w:t>%</w:t>
            </w:r>
          </w:p>
        </w:tc>
      </w:tr>
      <w:tr w:rsidR="00705F19" w:rsidRPr="00893BF0" w14:paraId="57F5F363" w14:textId="77777777" w:rsidTr="0078095C">
        <w:tc>
          <w:tcPr>
            <w:tcW w:w="243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7F5F35F" w14:textId="77777777" w:rsidR="00705F19" w:rsidRPr="00D46E49" w:rsidRDefault="00705F19" w:rsidP="0078095C">
            <w:pPr>
              <w:rPr>
                <w:rFonts w:ascii="Calibri" w:eastAsiaTheme="minorHAnsi" w:hAnsi="Calibri"/>
                <w:sz w:val="22"/>
                <w:szCs w:val="22"/>
              </w:rPr>
            </w:pPr>
            <w:r w:rsidRPr="00D46E49">
              <w:t>MW</w:t>
            </w:r>
          </w:p>
        </w:tc>
        <w:tc>
          <w:tcPr>
            <w:tcW w:w="2623" w:type="dxa"/>
            <w:tcBorders>
              <w:left w:val="nil"/>
              <w:bottom w:val="single" w:sz="8" w:space="0" w:color="auto"/>
              <w:right w:val="single" w:sz="8" w:space="0" w:color="auto"/>
            </w:tcBorders>
            <w:tcMar>
              <w:top w:w="0" w:type="dxa"/>
              <w:left w:w="108" w:type="dxa"/>
              <w:bottom w:w="0" w:type="dxa"/>
              <w:right w:w="108" w:type="dxa"/>
            </w:tcMar>
            <w:vAlign w:val="bottom"/>
          </w:tcPr>
          <w:p w14:paraId="57F5F360" w14:textId="77777777" w:rsidR="00705F19" w:rsidRPr="00D46E49" w:rsidRDefault="00705F19" w:rsidP="0078095C">
            <w:pPr>
              <w:jc w:val="center"/>
              <w:rPr>
                <w:rFonts w:ascii="Calibri" w:eastAsiaTheme="minorHAnsi" w:hAnsi="Calibri"/>
                <w:sz w:val="22"/>
                <w:szCs w:val="22"/>
              </w:rPr>
            </w:pPr>
            <w:r>
              <w:t>376</w:t>
            </w:r>
          </w:p>
        </w:tc>
        <w:tc>
          <w:tcPr>
            <w:tcW w:w="2284" w:type="dxa"/>
            <w:tcBorders>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7F5F361" w14:textId="77777777" w:rsidR="00705F19" w:rsidRPr="00BF7753" w:rsidRDefault="00530B0C" w:rsidP="0078095C">
            <w:pPr>
              <w:jc w:val="center"/>
            </w:pPr>
            <w:r>
              <w:t>35</w:t>
            </w:r>
            <w:r w:rsidR="00500F55">
              <w:t>2</w:t>
            </w:r>
          </w:p>
        </w:tc>
        <w:tc>
          <w:tcPr>
            <w:tcW w:w="2234" w:type="dxa"/>
            <w:tcBorders>
              <w:left w:val="nil"/>
              <w:bottom w:val="single" w:sz="8" w:space="0" w:color="auto"/>
              <w:right w:val="single" w:sz="8" w:space="0" w:color="auto"/>
            </w:tcBorders>
            <w:shd w:val="clear" w:color="auto" w:fill="auto"/>
            <w:tcMar>
              <w:top w:w="0" w:type="dxa"/>
              <w:left w:w="108" w:type="dxa"/>
              <w:bottom w:w="0" w:type="dxa"/>
              <w:right w:w="108" w:type="dxa"/>
            </w:tcMar>
          </w:tcPr>
          <w:p w14:paraId="57F5F362" w14:textId="77777777" w:rsidR="00705F19" w:rsidRPr="00D46E49" w:rsidRDefault="00530B0C" w:rsidP="0078095C">
            <w:pPr>
              <w:jc w:val="center"/>
              <w:rPr>
                <w:rFonts w:ascii="Calibri" w:eastAsiaTheme="minorHAnsi" w:hAnsi="Calibri"/>
                <w:sz w:val="22"/>
                <w:szCs w:val="22"/>
              </w:rPr>
            </w:pPr>
            <w:r>
              <w:t>6</w:t>
            </w:r>
            <w:r w:rsidR="00705F19" w:rsidRPr="00D46E49">
              <w:t>%</w:t>
            </w:r>
          </w:p>
        </w:tc>
      </w:tr>
    </w:tbl>
    <w:p w14:paraId="57F5F364" w14:textId="77777777" w:rsidR="00705F19" w:rsidRPr="00893BF0" w:rsidRDefault="00705F19" w:rsidP="00705F19">
      <w:pPr>
        <w:rPr>
          <w:highlight w:val="yellow"/>
        </w:rPr>
      </w:pPr>
    </w:p>
    <w:p w14:paraId="57F5F365" w14:textId="05E742B5" w:rsidR="00705F19" w:rsidRDefault="00705F19" w:rsidP="00705F19">
      <w:r w:rsidRPr="00D46E49">
        <w:t xml:space="preserve">It is unclear why the utility-reported data on file at the Commission would differ from SCE’s advice letter filing. The savings values staff used for the purposes of this Resolution is included as Attachment 3. Given that the Commission data on file are comprised of utility-filed claims reviewed by Commission staff, staff relied on the Commission data to verify and confirm SCE’s filing. </w:t>
      </w:r>
      <w:r w:rsidRPr="00D46E49">
        <w:rPr>
          <w:u w:val="single"/>
        </w:rPr>
        <w:t>As such, the energy savings component of the shareholder incentive award f</w:t>
      </w:r>
      <w:r w:rsidR="008C06CB">
        <w:rPr>
          <w:u w:val="single"/>
        </w:rPr>
        <w:t>or SCE is calculated per Table 12</w:t>
      </w:r>
      <w:r w:rsidRPr="00D46E49">
        <w:rPr>
          <w:u w:val="single"/>
        </w:rPr>
        <w:t xml:space="preserve"> below, for a total reduction of $ </w:t>
      </w:r>
      <w:r w:rsidR="00A02AE9">
        <w:rPr>
          <w:u w:val="single"/>
        </w:rPr>
        <w:t>102,462</w:t>
      </w:r>
      <w:r w:rsidRPr="00D46E49">
        <w:rPr>
          <w:u w:val="single"/>
        </w:rPr>
        <w:t xml:space="preserve"> from the claimed amount in SCE AL 3240-E.</w:t>
      </w:r>
    </w:p>
    <w:p w14:paraId="57F5F366" w14:textId="77777777" w:rsidR="00705F19" w:rsidRDefault="00705F19" w:rsidP="00705F19"/>
    <w:p w14:paraId="57F5F367" w14:textId="77777777" w:rsidR="00705F19" w:rsidRDefault="00705F19" w:rsidP="00705F19">
      <w:pPr>
        <w:spacing w:after="120"/>
      </w:pPr>
      <w:r w:rsidRPr="00BF7753">
        <w:t>Table 12: SCE Energy Savings Performance Award Calculation</w:t>
      </w:r>
    </w:p>
    <w:tbl>
      <w:tblPr>
        <w:tblStyle w:val="TableGrid"/>
        <w:tblW w:w="0" w:type="auto"/>
        <w:tblLook w:val="04A0" w:firstRow="1" w:lastRow="0" w:firstColumn="1" w:lastColumn="0" w:noHBand="0" w:noVBand="1"/>
      </w:tblPr>
      <w:tblGrid>
        <w:gridCol w:w="3192"/>
        <w:gridCol w:w="3192"/>
        <w:gridCol w:w="3192"/>
      </w:tblGrid>
      <w:tr w:rsidR="00705F19" w14:paraId="57F5F36B" w14:textId="77777777" w:rsidTr="0078095C">
        <w:tc>
          <w:tcPr>
            <w:tcW w:w="3192" w:type="dxa"/>
            <w:tcBorders>
              <w:bottom w:val="single" w:sz="4" w:space="0" w:color="auto"/>
            </w:tcBorders>
          </w:tcPr>
          <w:p w14:paraId="57F5F368" w14:textId="77777777" w:rsidR="00705F19" w:rsidRPr="00196089" w:rsidRDefault="00705F19" w:rsidP="0078095C">
            <w:pPr>
              <w:jc w:val="center"/>
              <w:rPr>
                <w:b/>
              </w:rPr>
            </w:pPr>
            <w:r w:rsidRPr="00196089">
              <w:rPr>
                <w:b/>
              </w:rPr>
              <w:t>Energy Units Saved</w:t>
            </w:r>
          </w:p>
        </w:tc>
        <w:tc>
          <w:tcPr>
            <w:tcW w:w="3192" w:type="dxa"/>
            <w:tcBorders>
              <w:bottom w:val="single" w:sz="4" w:space="0" w:color="auto"/>
            </w:tcBorders>
          </w:tcPr>
          <w:p w14:paraId="57F5F369" w14:textId="77777777" w:rsidR="00705F19" w:rsidRPr="00196089" w:rsidRDefault="00705F19" w:rsidP="0078095C">
            <w:pPr>
              <w:jc w:val="center"/>
              <w:rPr>
                <w:b/>
              </w:rPr>
            </w:pPr>
            <w:r w:rsidRPr="00196089">
              <w:rPr>
                <w:b/>
              </w:rPr>
              <w:t>Earnings Rate</w:t>
            </w:r>
          </w:p>
        </w:tc>
        <w:tc>
          <w:tcPr>
            <w:tcW w:w="3192" w:type="dxa"/>
            <w:tcBorders>
              <w:bottom w:val="single" w:sz="4" w:space="0" w:color="auto"/>
            </w:tcBorders>
          </w:tcPr>
          <w:p w14:paraId="57F5F36A" w14:textId="77777777" w:rsidR="00705F19" w:rsidRPr="00196089" w:rsidRDefault="00705F19" w:rsidP="0078095C">
            <w:pPr>
              <w:jc w:val="center"/>
              <w:rPr>
                <w:b/>
              </w:rPr>
            </w:pPr>
            <w:r w:rsidRPr="00196089">
              <w:rPr>
                <w:b/>
              </w:rPr>
              <w:t>Total Earnings</w:t>
            </w:r>
          </w:p>
        </w:tc>
      </w:tr>
      <w:tr w:rsidR="00705F19" w14:paraId="57F5F36F" w14:textId="77777777" w:rsidTr="0078095C">
        <w:tc>
          <w:tcPr>
            <w:tcW w:w="3192" w:type="dxa"/>
            <w:tcBorders>
              <w:bottom w:val="nil"/>
            </w:tcBorders>
            <w:shd w:val="clear" w:color="auto" w:fill="auto"/>
          </w:tcPr>
          <w:p w14:paraId="57F5F36C" w14:textId="77777777" w:rsidR="00705F19" w:rsidRPr="0061345E" w:rsidRDefault="00530B0C" w:rsidP="0078095C">
            <w:pPr>
              <w:jc w:val="center"/>
            </w:pPr>
            <w:r>
              <w:t>1,785</w:t>
            </w:r>
            <w:r w:rsidR="00BF7753">
              <w:t xml:space="preserve"> </w:t>
            </w:r>
            <w:r w:rsidR="00705F19" w:rsidRPr="0061345E">
              <w:t>GWh</w:t>
            </w:r>
          </w:p>
        </w:tc>
        <w:tc>
          <w:tcPr>
            <w:tcW w:w="3192" w:type="dxa"/>
            <w:tcBorders>
              <w:bottom w:val="nil"/>
            </w:tcBorders>
          </w:tcPr>
          <w:p w14:paraId="57F5F36D" w14:textId="77777777" w:rsidR="00705F19" w:rsidRPr="00476F1B" w:rsidRDefault="00705F19" w:rsidP="0078095C">
            <w:pPr>
              <w:jc w:val="center"/>
            </w:pPr>
            <w:r w:rsidRPr="00476F1B">
              <w:t>$</w:t>
            </w:r>
            <w:r>
              <w:t xml:space="preserve"> </w:t>
            </w:r>
            <w:r w:rsidRPr="00476F1B">
              <w:t>2,525/GWh</w:t>
            </w:r>
          </w:p>
        </w:tc>
        <w:tc>
          <w:tcPr>
            <w:tcW w:w="3192" w:type="dxa"/>
            <w:tcBorders>
              <w:bottom w:val="nil"/>
            </w:tcBorders>
          </w:tcPr>
          <w:p w14:paraId="57F5F36E" w14:textId="77777777" w:rsidR="00705F19" w:rsidRPr="0061345E" w:rsidRDefault="00705F19" w:rsidP="00530B0C">
            <w:pPr>
              <w:jc w:val="center"/>
            </w:pPr>
            <w:r w:rsidRPr="00476F1B">
              <w:t>$</w:t>
            </w:r>
            <w:r w:rsidR="00BF7753">
              <w:t xml:space="preserve"> </w:t>
            </w:r>
            <w:r w:rsidR="00530B0C">
              <w:t>4,507,125</w:t>
            </w:r>
          </w:p>
        </w:tc>
      </w:tr>
      <w:tr w:rsidR="00705F19" w:rsidRPr="004D689B" w14:paraId="57F5F373" w14:textId="77777777" w:rsidTr="0078095C">
        <w:tc>
          <w:tcPr>
            <w:tcW w:w="3192" w:type="dxa"/>
            <w:tcBorders>
              <w:top w:val="nil"/>
              <w:bottom w:val="nil"/>
            </w:tcBorders>
            <w:shd w:val="clear" w:color="auto" w:fill="auto"/>
          </w:tcPr>
          <w:p w14:paraId="57F5F370" w14:textId="77777777" w:rsidR="00705F19" w:rsidRPr="0061345E" w:rsidRDefault="00500F55" w:rsidP="0078095C">
            <w:pPr>
              <w:jc w:val="center"/>
            </w:pPr>
            <w:r>
              <w:t>352</w:t>
            </w:r>
            <w:r w:rsidR="00BF7753">
              <w:t xml:space="preserve"> </w:t>
            </w:r>
            <w:r w:rsidR="00705F19" w:rsidRPr="0061345E">
              <w:t>MW-Yr</w:t>
            </w:r>
          </w:p>
        </w:tc>
        <w:tc>
          <w:tcPr>
            <w:tcW w:w="3192" w:type="dxa"/>
            <w:tcBorders>
              <w:top w:val="nil"/>
              <w:bottom w:val="nil"/>
            </w:tcBorders>
          </w:tcPr>
          <w:p w14:paraId="57F5F371" w14:textId="77777777" w:rsidR="00705F19" w:rsidRPr="00476F1B" w:rsidRDefault="00705F19" w:rsidP="0078095C">
            <w:pPr>
              <w:jc w:val="center"/>
            </w:pPr>
            <w:r w:rsidRPr="00476F1B">
              <w:t>$</w:t>
            </w:r>
            <w:r>
              <w:t xml:space="preserve"> </w:t>
            </w:r>
            <w:r w:rsidRPr="00476F1B">
              <w:t>6,200/MW-Yr</w:t>
            </w:r>
          </w:p>
        </w:tc>
        <w:tc>
          <w:tcPr>
            <w:tcW w:w="3192" w:type="dxa"/>
            <w:tcBorders>
              <w:top w:val="nil"/>
              <w:bottom w:val="nil"/>
            </w:tcBorders>
          </w:tcPr>
          <w:p w14:paraId="57F5F372" w14:textId="77777777" w:rsidR="00705F19" w:rsidRPr="0061345E" w:rsidRDefault="00705F19" w:rsidP="00500F55">
            <w:pPr>
              <w:jc w:val="center"/>
            </w:pPr>
            <w:r w:rsidRPr="00476F1B">
              <w:t>$</w:t>
            </w:r>
            <w:r w:rsidR="00530B0C">
              <w:t xml:space="preserve"> 2,</w:t>
            </w:r>
            <w:r w:rsidR="00500F55">
              <w:t>182,400</w:t>
            </w:r>
            <w:r w:rsidRPr="00141838">
              <w:t xml:space="preserve">  </w:t>
            </w:r>
          </w:p>
        </w:tc>
      </w:tr>
      <w:tr w:rsidR="00705F19" w14:paraId="57F5F376" w14:textId="77777777" w:rsidTr="0078095C">
        <w:tc>
          <w:tcPr>
            <w:tcW w:w="6384" w:type="dxa"/>
            <w:gridSpan w:val="2"/>
          </w:tcPr>
          <w:p w14:paraId="57F5F374" w14:textId="77777777" w:rsidR="00705F19" w:rsidRPr="00141838" w:rsidRDefault="00705F19" w:rsidP="0078095C">
            <w:pPr>
              <w:jc w:val="center"/>
            </w:pPr>
          </w:p>
        </w:tc>
        <w:tc>
          <w:tcPr>
            <w:tcW w:w="3192" w:type="dxa"/>
          </w:tcPr>
          <w:p w14:paraId="57F5F375" w14:textId="77777777" w:rsidR="00705F19" w:rsidRPr="0061345E" w:rsidRDefault="00705F19" w:rsidP="00500F55">
            <w:pPr>
              <w:jc w:val="center"/>
            </w:pPr>
            <w:r w:rsidRPr="0061345E">
              <w:t>$</w:t>
            </w:r>
            <w:r w:rsidR="00530B0C">
              <w:t xml:space="preserve"> </w:t>
            </w:r>
            <w:r w:rsidR="00500F55">
              <w:t>6,689,525</w:t>
            </w:r>
            <w:r w:rsidRPr="00476F1B">
              <w:t xml:space="preserve">  </w:t>
            </w:r>
          </w:p>
        </w:tc>
      </w:tr>
    </w:tbl>
    <w:p w14:paraId="57F5F377" w14:textId="77777777" w:rsidR="00705F19" w:rsidRDefault="00705F19" w:rsidP="00705F19"/>
    <w:p w14:paraId="57F5F378" w14:textId="77777777" w:rsidR="00705F19" w:rsidRPr="00605B4E" w:rsidRDefault="00705F19" w:rsidP="00705F19">
      <w:pPr>
        <w:spacing w:after="120"/>
        <w:rPr>
          <w:i/>
        </w:rPr>
      </w:pPr>
      <w:r>
        <w:rPr>
          <w:i/>
        </w:rPr>
        <w:t>Energy Efficiency Program Expenditures</w:t>
      </w:r>
    </w:p>
    <w:p w14:paraId="57F5F379" w14:textId="77777777" w:rsidR="00705F19" w:rsidRDefault="00705F19" w:rsidP="00705F19">
      <w:r>
        <w:t xml:space="preserve">In AL 3240-E SCE notes the following expenditures that are applicable to the </w:t>
      </w:r>
      <w:r w:rsidR="004C31BF">
        <w:t xml:space="preserve">three </w:t>
      </w:r>
      <w:r>
        <w:t>incentive award components:</w:t>
      </w:r>
    </w:p>
    <w:p w14:paraId="57F5F37A" w14:textId="77777777" w:rsidR="00705F19" w:rsidRDefault="00705F19" w:rsidP="00705F19">
      <w:pPr>
        <w:spacing w:after="120"/>
      </w:pPr>
    </w:p>
    <w:p w14:paraId="57F5F37B" w14:textId="77777777" w:rsidR="00705F19" w:rsidRDefault="00705F19" w:rsidP="00705F19">
      <w:pPr>
        <w:spacing w:after="120"/>
      </w:pPr>
      <w:r>
        <w:t xml:space="preserve">Table 13: SCE Filed Expenditures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888"/>
        <w:gridCol w:w="3060"/>
        <w:gridCol w:w="2628"/>
      </w:tblGrid>
      <w:tr w:rsidR="00705F19" w14:paraId="57F5F37F" w14:textId="77777777" w:rsidTr="0078095C">
        <w:trPr>
          <w:tblHeader/>
        </w:trPr>
        <w:tc>
          <w:tcPr>
            <w:tcW w:w="3888" w:type="dxa"/>
            <w:tcBorders>
              <w:top w:val="single" w:sz="4" w:space="0" w:color="auto"/>
              <w:bottom w:val="single" w:sz="4" w:space="0" w:color="auto"/>
              <w:right w:val="single" w:sz="4" w:space="0" w:color="auto"/>
            </w:tcBorders>
          </w:tcPr>
          <w:p w14:paraId="57F5F37C" w14:textId="77777777" w:rsidR="00705F19" w:rsidRPr="00196089" w:rsidRDefault="00705F19" w:rsidP="0078095C">
            <w:pPr>
              <w:rPr>
                <w:b/>
              </w:rPr>
            </w:pPr>
            <w:r w:rsidRPr="00196089">
              <w:rPr>
                <w:b/>
              </w:rPr>
              <w:t>Award Component</w:t>
            </w:r>
          </w:p>
        </w:tc>
        <w:tc>
          <w:tcPr>
            <w:tcW w:w="3060" w:type="dxa"/>
            <w:tcBorders>
              <w:top w:val="single" w:sz="4" w:space="0" w:color="auto"/>
              <w:bottom w:val="single" w:sz="4" w:space="0" w:color="auto"/>
              <w:right w:val="single" w:sz="4" w:space="0" w:color="auto"/>
            </w:tcBorders>
          </w:tcPr>
          <w:p w14:paraId="57F5F37D" w14:textId="77777777" w:rsidR="00705F19" w:rsidRPr="00196089" w:rsidRDefault="00705F19" w:rsidP="0078095C">
            <w:pPr>
              <w:rPr>
                <w:b/>
              </w:rPr>
            </w:pPr>
            <w:r w:rsidRPr="00196089">
              <w:rPr>
                <w:b/>
              </w:rPr>
              <w:t>Applicable Budget(s)</w:t>
            </w:r>
          </w:p>
        </w:tc>
        <w:tc>
          <w:tcPr>
            <w:tcW w:w="2628" w:type="dxa"/>
            <w:tcBorders>
              <w:top w:val="single" w:sz="4" w:space="0" w:color="auto"/>
              <w:left w:val="single" w:sz="4" w:space="0" w:color="auto"/>
              <w:bottom w:val="single" w:sz="4" w:space="0" w:color="auto"/>
            </w:tcBorders>
          </w:tcPr>
          <w:p w14:paraId="57F5F37E" w14:textId="77777777" w:rsidR="00705F19" w:rsidRPr="00196089" w:rsidRDefault="00705F19" w:rsidP="0078095C">
            <w:pPr>
              <w:rPr>
                <w:b/>
              </w:rPr>
            </w:pPr>
            <w:r w:rsidRPr="00196089">
              <w:rPr>
                <w:b/>
              </w:rPr>
              <w:t>Expenditures (less administrative costs)</w:t>
            </w:r>
          </w:p>
        </w:tc>
      </w:tr>
      <w:tr w:rsidR="00705F19" w14:paraId="57F5F383" w14:textId="77777777" w:rsidTr="0078095C">
        <w:tc>
          <w:tcPr>
            <w:tcW w:w="3888" w:type="dxa"/>
            <w:tcBorders>
              <w:right w:val="single" w:sz="4" w:space="0" w:color="auto"/>
            </w:tcBorders>
          </w:tcPr>
          <w:p w14:paraId="57F5F380" w14:textId="77777777" w:rsidR="00705F19" w:rsidRDefault="00705F19" w:rsidP="0078095C">
            <w:pPr>
              <w:pStyle w:val="ListParagraph"/>
              <w:numPr>
                <w:ilvl w:val="0"/>
                <w:numId w:val="17"/>
              </w:numPr>
              <w:spacing w:after="120"/>
            </w:pPr>
            <w:r>
              <w:t>Ex ante review performance</w:t>
            </w:r>
          </w:p>
        </w:tc>
        <w:tc>
          <w:tcPr>
            <w:tcW w:w="3060" w:type="dxa"/>
            <w:tcBorders>
              <w:right w:val="single" w:sz="4" w:space="0" w:color="auto"/>
            </w:tcBorders>
          </w:tcPr>
          <w:p w14:paraId="57F5F381" w14:textId="77777777" w:rsidR="00705F19" w:rsidRDefault="00705F19" w:rsidP="0078095C">
            <w:pPr>
              <w:spacing w:after="120"/>
            </w:pPr>
            <w:r>
              <w:t>All resource programs</w:t>
            </w:r>
          </w:p>
        </w:tc>
        <w:tc>
          <w:tcPr>
            <w:tcW w:w="2628" w:type="dxa"/>
            <w:tcBorders>
              <w:top w:val="nil"/>
              <w:left w:val="single" w:sz="4" w:space="0" w:color="auto"/>
              <w:bottom w:val="nil"/>
            </w:tcBorders>
          </w:tcPr>
          <w:p w14:paraId="57F5F382" w14:textId="77777777" w:rsidR="00705F19" w:rsidRDefault="00705F19" w:rsidP="0078095C">
            <w:pPr>
              <w:spacing w:after="120"/>
            </w:pPr>
            <w:r>
              <w:t>$ 229,992,165</w:t>
            </w:r>
          </w:p>
        </w:tc>
      </w:tr>
      <w:tr w:rsidR="00705F19" w14:paraId="57F5F387" w14:textId="77777777" w:rsidTr="0078095C">
        <w:tc>
          <w:tcPr>
            <w:tcW w:w="3888" w:type="dxa"/>
            <w:tcBorders>
              <w:right w:val="single" w:sz="4" w:space="0" w:color="auto"/>
            </w:tcBorders>
          </w:tcPr>
          <w:p w14:paraId="57F5F384" w14:textId="77777777" w:rsidR="00705F19" w:rsidRDefault="00705F19" w:rsidP="0078095C">
            <w:pPr>
              <w:pStyle w:val="ListParagraph"/>
              <w:numPr>
                <w:ilvl w:val="0"/>
                <w:numId w:val="15"/>
              </w:numPr>
              <w:spacing w:after="120"/>
            </w:pPr>
            <w:r>
              <w:t xml:space="preserve">Codes and standards </w:t>
            </w:r>
            <w:r>
              <w:lastRenderedPageBreak/>
              <w:t>management fee</w:t>
            </w:r>
          </w:p>
        </w:tc>
        <w:tc>
          <w:tcPr>
            <w:tcW w:w="3060" w:type="dxa"/>
            <w:tcBorders>
              <w:right w:val="single" w:sz="4" w:space="0" w:color="auto"/>
            </w:tcBorders>
          </w:tcPr>
          <w:p w14:paraId="57F5F385" w14:textId="77777777" w:rsidR="00705F19" w:rsidRDefault="00705F19" w:rsidP="0078095C">
            <w:pPr>
              <w:spacing w:after="120"/>
            </w:pPr>
            <w:r>
              <w:lastRenderedPageBreak/>
              <w:t xml:space="preserve">Codes and standards </w:t>
            </w:r>
            <w:r>
              <w:lastRenderedPageBreak/>
              <w:t>programs</w:t>
            </w:r>
          </w:p>
        </w:tc>
        <w:tc>
          <w:tcPr>
            <w:tcW w:w="2628" w:type="dxa"/>
            <w:tcBorders>
              <w:top w:val="nil"/>
              <w:left w:val="single" w:sz="4" w:space="0" w:color="auto"/>
              <w:bottom w:val="nil"/>
            </w:tcBorders>
          </w:tcPr>
          <w:p w14:paraId="57F5F386" w14:textId="77777777" w:rsidR="00705F19" w:rsidRDefault="00705F19" w:rsidP="0078095C">
            <w:pPr>
              <w:spacing w:after="120"/>
            </w:pPr>
            <w:r>
              <w:lastRenderedPageBreak/>
              <w:t>$ 3,138,352</w:t>
            </w:r>
          </w:p>
        </w:tc>
      </w:tr>
      <w:tr w:rsidR="00705F19" w14:paraId="57F5F38B" w14:textId="77777777" w:rsidTr="0078095C">
        <w:tc>
          <w:tcPr>
            <w:tcW w:w="3888" w:type="dxa"/>
            <w:tcBorders>
              <w:bottom w:val="single" w:sz="4" w:space="0" w:color="auto"/>
              <w:right w:val="single" w:sz="4" w:space="0" w:color="auto"/>
            </w:tcBorders>
          </w:tcPr>
          <w:p w14:paraId="57F5F388" w14:textId="77777777" w:rsidR="00705F19" w:rsidRDefault="00705F19" w:rsidP="0078095C">
            <w:pPr>
              <w:pStyle w:val="ListParagraph"/>
              <w:numPr>
                <w:ilvl w:val="0"/>
                <w:numId w:val="15"/>
              </w:numPr>
              <w:spacing w:after="120"/>
            </w:pPr>
            <w:r>
              <w:lastRenderedPageBreak/>
              <w:t>Non-resource program management fee</w:t>
            </w:r>
          </w:p>
        </w:tc>
        <w:tc>
          <w:tcPr>
            <w:tcW w:w="3060" w:type="dxa"/>
            <w:tcBorders>
              <w:bottom w:val="single" w:sz="4" w:space="0" w:color="auto"/>
              <w:right w:val="single" w:sz="4" w:space="0" w:color="auto"/>
            </w:tcBorders>
          </w:tcPr>
          <w:p w14:paraId="57F5F389" w14:textId="77777777" w:rsidR="00705F19" w:rsidRDefault="00705F19" w:rsidP="0078095C">
            <w:pPr>
              <w:spacing w:after="120"/>
            </w:pPr>
            <w:r>
              <w:t>Non-resource programs</w:t>
            </w:r>
          </w:p>
        </w:tc>
        <w:tc>
          <w:tcPr>
            <w:tcW w:w="2628" w:type="dxa"/>
            <w:tcBorders>
              <w:top w:val="nil"/>
              <w:left w:val="single" w:sz="4" w:space="0" w:color="auto"/>
              <w:bottom w:val="single" w:sz="4" w:space="0" w:color="auto"/>
            </w:tcBorders>
          </w:tcPr>
          <w:p w14:paraId="57F5F38A" w14:textId="77777777" w:rsidR="00705F19" w:rsidRDefault="00705F19" w:rsidP="0078095C">
            <w:pPr>
              <w:spacing w:after="120"/>
            </w:pPr>
            <w:r>
              <w:t>$ 34,173,491</w:t>
            </w:r>
          </w:p>
        </w:tc>
      </w:tr>
    </w:tbl>
    <w:p w14:paraId="57F5F38C" w14:textId="77777777" w:rsidR="00705F19" w:rsidRDefault="00705F19" w:rsidP="00705F19"/>
    <w:p w14:paraId="57F5F38D" w14:textId="77777777" w:rsidR="00705F19" w:rsidRPr="00D46E49" w:rsidRDefault="00705F19" w:rsidP="00705F19">
      <w:r w:rsidRPr="00D46E49">
        <w:t>SCE’s filed expenditures for resource, non-resource, and C&amp;S programs are inconsistent with the utility-reported data on file at the Commission. The differences are noted below:</w:t>
      </w:r>
    </w:p>
    <w:p w14:paraId="57F5F38E" w14:textId="77777777" w:rsidR="00705F19" w:rsidRDefault="00705F19" w:rsidP="00705F19">
      <w:pPr>
        <w:rPr>
          <w:highlight w:val="yellow"/>
        </w:rPr>
      </w:pPr>
    </w:p>
    <w:p w14:paraId="57F5F38F" w14:textId="77777777" w:rsidR="00915945" w:rsidRDefault="00915945" w:rsidP="00705F19">
      <w:pPr>
        <w:rPr>
          <w:highlight w:val="yellow"/>
        </w:rPr>
      </w:pPr>
    </w:p>
    <w:p w14:paraId="57F5F390" w14:textId="77777777" w:rsidR="00915945" w:rsidRPr="00893BF0" w:rsidRDefault="00915945" w:rsidP="00705F19">
      <w:pPr>
        <w:rPr>
          <w:highlight w:val="yellow"/>
        </w:rPr>
      </w:pPr>
    </w:p>
    <w:p w14:paraId="57F5F391" w14:textId="77777777" w:rsidR="00705F19" w:rsidRPr="00D46E49" w:rsidRDefault="00705F19" w:rsidP="00705F19">
      <w:pPr>
        <w:spacing w:after="120"/>
      </w:pPr>
      <w:r w:rsidRPr="00D46E49">
        <w:t xml:space="preserve">Table 14: Comparison of SCE and ED Central Server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D46E49" w14:paraId="57F5F396" w14:textId="77777777" w:rsidTr="0078095C">
        <w:tc>
          <w:tcPr>
            <w:tcW w:w="3078" w:type="dxa"/>
            <w:tcBorders>
              <w:bottom w:val="single" w:sz="4" w:space="0" w:color="auto"/>
            </w:tcBorders>
            <w:shd w:val="clear" w:color="auto" w:fill="auto"/>
            <w:vAlign w:val="bottom"/>
          </w:tcPr>
          <w:p w14:paraId="57F5F392" w14:textId="77777777" w:rsidR="00705F19" w:rsidRPr="00D46E49" w:rsidRDefault="00705F19" w:rsidP="0078095C"/>
        </w:tc>
        <w:tc>
          <w:tcPr>
            <w:tcW w:w="2340" w:type="dxa"/>
            <w:tcBorders>
              <w:bottom w:val="single" w:sz="4" w:space="0" w:color="auto"/>
            </w:tcBorders>
            <w:shd w:val="clear" w:color="auto" w:fill="auto"/>
            <w:vAlign w:val="bottom"/>
          </w:tcPr>
          <w:p w14:paraId="57F5F393" w14:textId="77777777" w:rsidR="00705F19" w:rsidRPr="00D46E49" w:rsidRDefault="00705F19" w:rsidP="0078095C">
            <w:pPr>
              <w:jc w:val="center"/>
              <w:rPr>
                <w:b/>
              </w:rPr>
            </w:pPr>
            <w:r w:rsidRPr="00D46E49">
              <w:rPr>
                <w:b/>
              </w:rPr>
              <w:t>IOU Claimed Value</w:t>
            </w:r>
          </w:p>
        </w:tc>
        <w:tc>
          <w:tcPr>
            <w:tcW w:w="2340" w:type="dxa"/>
            <w:tcBorders>
              <w:bottom w:val="single" w:sz="4" w:space="0" w:color="auto"/>
            </w:tcBorders>
            <w:shd w:val="clear" w:color="auto" w:fill="auto"/>
            <w:vAlign w:val="bottom"/>
          </w:tcPr>
          <w:p w14:paraId="57F5F394" w14:textId="77777777" w:rsidR="00705F19" w:rsidRPr="00D46E49" w:rsidRDefault="00705F19" w:rsidP="0078095C">
            <w:pPr>
              <w:jc w:val="center"/>
              <w:rPr>
                <w:b/>
              </w:rPr>
            </w:pPr>
            <w:r w:rsidRPr="00D46E49">
              <w:rPr>
                <w:b/>
              </w:rPr>
              <w:t>ED Central Server Value</w:t>
            </w:r>
          </w:p>
        </w:tc>
        <w:tc>
          <w:tcPr>
            <w:tcW w:w="1818" w:type="dxa"/>
            <w:tcBorders>
              <w:bottom w:val="single" w:sz="4" w:space="0" w:color="auto"/>
            </w:tcBorders>
            <w:shd w:val="clear" w:color="auto" w:fill="auto"/>
          </w:tcPr>
          <w:p w14:paraId="57F5F395" w14:textId="77777777" w:rsidR="00705F19" w:rsidRPr="00D46E49" w:rsidRDefault="00705F19" w:rsidP="0078095C">
            <w:pPr>
              <w:jc w:val="center"/>
              <w:rPr>
                <w:b/>
              </w:rPr>
            </w:pPr>
            <w:r w:rsidRPr="00D46E49">
              <w:rPr>
                <w:b/>
              </w:rPr>
              <w:t>Difference</w:t>
            </w:r>
          </w:p>
        </w:tc>
      </w:tr>
      <w:tr w:rsidR="00705F19" w:rsidRPr="00D46E49" w14:paraId="57F5F39B" w14:textId="77777777" w:rsidTr="0078095C">
        <w:tc>
          <w:tcPr>
            <w:tcW w:w="3078" w:type="dxa"/>
            <w:tcBorders>
              <w:bottom w:val="nil"/>
            </w:tcBorders>
            <w:shd w:val="clear" w:color="auto" w:fill="auto"/>
            <w:vAlign w:val="bottom"/>
          </w:tcPr>
          <w:p w14:paraId="57F5F397" w14:textId="77777777" w:rsidR="00705F19" w:rsidRPr="00D46E49" w:rsidRDefault="00705F19" w:rsidP="0078095C">
            <w:r w:rsidRPr="00D46E49">
              <w:t>Resource programs</w:t>
            </w:r>
          </w:p>
        </w:tc>
        <w:tc>
          <w:tcPr>
            <w:tcW w:w="2340" w:type="dxa"/>
            <w:tcBorders>
              <w:bottom w:val="nil"/>
            </w:tcBorders>
            <w:shd w:val="clear" w:color="auto" w:fill="auto"/>
            <w:vAlign w:val="bottom"/>
          </w:tcPr>
          <w:p w14:paraId="57F5F398" w14:textId="77777777" w:rsidR="00705F19" w:rsidRPr="00D46E49" w:rsidRDefault="00705F19" w:rsidP="0078095C">
            <w:pPr>
              <w:jc w:val="center"/>
            </w:pPr>
            <w:r w:rsidRPr="00D46E49">
              <w:t>$ 229,992,165</w:t>
            </w:r>
          </w:p>
        </w:tc>
        <w:tc>
          <w:tcPr>
            <w:tcW w:w="2340" w:type="dxa"/>
            <w:tcBorders>
              <w:bottom w:val="nil"/>
            </w:tcBorders>
            <w:shd w:val="clear" w:color="auto" w:fill="auto"/>
            <w:vAlign w:val="bottom"/>
          </w:tcPr>
          <w:p w14:paraId="57F5F399" w14:textId="77777777" w:rsidR="00705F19" w:rsidRPr="00D46E49" w:rsidRDefault="00705F19" w:rsidP="0078095C">
            <w:pPr>
              <w:jc w:val="center"/>
            </w:pPr>
            <w:r w:rsidRPr="00D46E49">
              <w:t>$  326,235,872</w:t>
            </w:r>
          </w:p>
        </w:tc>
        <w:tc>
          <w:tcPr>
            <w:tcW w:w="1818" w:type="dxa"/>
            <w:tcBorders>
              <w:bottom w:val="nil"/>
            </w:tcBorders>
            <w:shd w:val="clear" w:color="auto" w:fill="auto"/>
          </w:tcPr>
          <w:p w14:paraId="57F5F39A" w14:textId="77777777" w:rsidR="00705F19" w:rsidRPr="00D46E49" w:rsidRDefault="00705F19" w:rsidP="0078095C">
            <w:pPr>
              <w:jc w:val="center"/>
            </w:pPr>
            <w:r w:rsidRPr="00D46E49">
              <w:t>-42%</w:t>
            </w:r>
          </w:p>
        </w:tc>
      </w:tr>
      <w:tr w:rsidR="00705F19" w:rsidRPr="00D46E49" w14:paraId="57F5F3A1" w14:textId="77777777" w:rsidTr="0078095C">
        <w:tc>
          <w:tcPr>
            <w:tcW w:w="3078" w:type="dxa"/>
            <w:tcBorders>
              <w:top w:val="nil"/>
              <w:left w:val="single" w:sz="4" w:space="0" w:color="auto"/>
              <w:bottom w:val="nil"/>
              <w:right w:val="single" w:sz="4" w:space="0" w:color="auto"/>
            </w:tcBorders>
            <w:shd w:val="clear" w:color="auto" w:fill="auto"/>
            <w:vAlign w:val="bottom"/>
          </w:tcPr>
          <w:p w14:paraId="57F5F39C" w14:textId="77777777" w:rsidR="00705F19" w:rsidRPr="00D46E49" w:rsidRDefault="00705F19" w:rsidP="0078095C">
            <w:r w:rsidRPr="00D46E49">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39D" w14:textId="77777777" w:rsidR="00705F19" w:rsidRPr="00D46E49" w:rsidRDefault="00705F19" w:rsidP="0078095C">
            <w:pPr>
              <w:jc w:val="center"/>
            </w:pPr>
            <w:r w:rsidRPr="00D46E49">
              <w:t>$ 3,138,352</w:t>
            </w:r>
          </w:p>
        </w:tc>
        <w:tc>
          <w:tcPr>
            <w:tcW w:w="2340" w:type="dxa"/>
            <w:tcBorders>
              <w:top w:val="nil"/>
              <w:left w:val="single" w:sz="4" w:space="0" w:color="auto"/>
              <w:bottom w:val="nil"/>
              <w:right w:val="single" w:sz="4" w:space="0" w:color="auto"/>
            </w:tcBorders>
            <w:shd w:val="clear" w:color="auto" w:fill="auto"/>
            <w:vAlign w:val="bottom"/>
          </w:tcPr>
          <w:p w14:paraId="57F5F39E" w14:textId="77777777" w:rsidR="00705F19" w:rsidRPr="00D46E49" w:rsidRDefault="00705F19" w:rsidP="0078095C">
            <w:pPr>
              <w:jc w:val="center"/>
            </w:pPr>
            <w:r w:rsidRPr="00D46E49">
              <w:t>$   3,728,867</w:t>
            </w:r>
          </w:p>
        </w:tc>
        <w:tc>
          <w:tcPr>
            <w:tcW w:w="1818" w:type="dxa"/>
            <w:tcBorders>
              <w:top w:val="nil"/>
              <w:left w:val="single" w:sz="4" w:space="0" w:color="auto"/>
              <w:bottom w:val="nil"/>
              <w:right w:val="single" w:sz="4" w:space="0" w:color="auto"/>
            </w:tcBorders>
            <w:shd w:val="clear" w:color="auto" w:fill="auto"/>
          </w:tcPr>
          <w:p w14:paraId="57F5F39F" w14:textId="77777777" w:rsidR="00705F19" w:rsidRPr="00D46E49" w:rsidRDefault="00705F19" w:rsidP="0078095C">
            <w:pPr>
              <w:jc w:val="center"/>
            </w:pPr>
          </w:p>
          <w:p w14:paraId="57F5F3A0" w14:textId="77777777" w:rsidR="00705F19" w:rsidRPr="00D46E49" w:rsidRDefault="00705F19" w:rsidP="0078095C">
            <w:pPr>
              <w:jc w:val="center"/>
            </w:pPr>
            <w:r w:rsidRPr="00D46E49">
              <w:t>-19%</w:t>
            </w:r>
          </w:p>
        </w:tc>
      </w:tr>
      <w:tr w:rsidR="00705F19" w:rsidRPr="00D46E49" w14:paraId="57F5F3A6"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3A2" w14:textId="77777777" w:rsidR="00705F19" w:rsidRPr="00D46E49" w:rsidRDefault="00705F19" w:rsidP="0078095C">
            <w:r w:rsidRPr="00D46E49">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3A3" w14:textId="77777777" w:rsidR="00705F19" w:rsidRPr="00D46E49" w:rsidRDefault="00705F19" w:rsidP="0078095C">
            <w:pPr>
              <w:jc w:val="center"/>
            </w:pPr>
            <w:r w:rsidRPr="00D46E49">
              <w:t>$ 34,173,491</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3A4" w14:textId="13F6D5A0" w:rsidR="00705F19" w:rsidRPr="00D46E49" w:rsidRDefault="00705F19" w:rsidP="0078095C">
            <w:pPr>
              <w:jc w:val="center"/>
            </w:pPr>
            <w:r w:rsidRPr="00D46E49">
              <w:t xml:space="preserve"> $  43,970,38</w:t>
            </w:r>
            <w:r w:rsidR="00A02AE9">
              <w:t>6</w:t>
            </w:r>
          </w:p>
        </w:tc>
        <w:tc>
          <w:tcPr>
            <w:tcW w:w="1818" w:type="dxa"/>
            <w:tcBorders>
              <w:top w:val="nil"/>
              <w:left w:val="single" w:sz="4" w:space="0" w:color="auto"/>
              <w:bottom w:val="single" w:sz="4" w:space="0" w:color="auto"/>
              <w:right w:val="single" w:sz="4" w:space="0" w:color="auto"/>
            </w:tcBorders>
            <w:shd w:val="clear" w:color="auto" w:fill="auto"/>
          </w:tcPr>
          <w:p w14:paraId="57F5F3A5" w14:textId="77777777" w:rsidR="00705F19" w:rsidRPr="00D46E49" w:rsidRDefault="00705F19" w:rsidP="0078095C">
            <w:pPr>
              <w:jc w:val="center"/>
            </w:pPr>
            <w:r w:rsidRPr="00D46E49">
              <w:t>-29%</w:t>
            </w:r>
          </w:p>
        </w:tc>
      </w:tr>
    </w:tbl>
    <w:p w14:paraId="57F5F3A7" w14:textId="77777777" w:rsidR="00705F19" w:rsidRPr="00D46E49" w:rsidRDefault="00705F19" w:rsidP="00705F19"/>
    <w:p w14:paraId="57F5F3A8" w14:textId="77777777" w:rsidR="00705F19" w:rsidRPr="00D46E49" w:rsidRDefault="00705F19" w:rsidP="00705F19">
      <w:r w:rsidRPr="00D46E49">
        <w:t>The list of resource, non-resource, and C&amp;S programs, with the reported expenditures, is included as Attachment 2 to this Resolution. In staff’s initial analysis of SCE’s expenditures, staff noted relatively large inconsistencies between SCE’s filed expenditures and Commission data. The expenditures claimed by SCE in AL 3240-E does not include the pre-2013 Program Year roll over funds but the quarterly data on the ED Central Server does include the roll over funds. SCE also includes pensions and benefits in their quarterly data submissions to the Central Server. In contrast, the quarterly data does not include On-bill Financing expenditures but the AL claimed expenditures do.</w:t>
      </w:r>
      <w:r w:rsidR="00BB37FC">
        <w:t xml:space="preserve"> Commission staff reached out to SCE staff to reconcile the differences.</w:t>
      </w:r>
      <w:r w:rsidRPr="00D46E49">
        <w:t xml:space="preserve"> Additionally, there may still be inconsistency in the categorization of expenditures as resource, non-resource, or C&amp;S for the 2013 and 2014 </w:t>
      </w:r>
      <w:r w:rsidRPr="00D46E49">
        <w:lastRenderedPageBreak/>
        <w:t>expenditure claims. The IOUs have submitted how they will categorize their 2015 programs on February 23, 2015</w:t>
      </w:r>
      <w:r w:rsidRPr="00D46E49">
        <w:rPr>
          <w:rStyle w:val="FootnoteReference"/>
        </w:rPr>
        <w:footnoteReference w:id="22"/>
      </w:r>
      <w:r w:rsidRPr="00D46E49">
        <w:t xml:space="preserve">. </w:t>
      </w:r>
    </w:p>
    <w:p w14:paraId="57F5F3A9" w14:textId="77777777" w:rsidR="00705F19" w:rsidRPr="00893BF0" w:rsidRDefault="00705F19" w:rsidP="00705F19">
      <w:pPr>
        <w:rPr>
          <w:highlight w:val="yellow"/>
        </w:rPr>
      </w:pPr>
    </w:p>
    <w:p w14:paraId="57F5F3AA" w14:textId="77777777" w:rsidR="00705F19" w:rsidRDefault="00705F19" w:rsidP="00705F19">
      <w:r w:rsidRPr="00D46E49">
        <w:t xml:space="preserve">Per the staff-issued memo distributed on June 9, 2014 and included as Attachment 1 to this Resolution, the IOUs’ 2014 expenditures will be trued up once the UAFCB final 2014 audit is complete. For the purposes of this Resolution, staff relied on SCE’s </w:t>
      </w:r>
      <w:r w:rsidR="00876211">
        <w:t>data submissions</w:t>
      </w:r>
      <w:r w:rsidRPr="00D46E49">
        <w:t xml:space="preserve"> to reconcile expenditure data differences between SCE AL 3240-E and data from the ED Central Server (included as Attachment 2 to this Resolution). </w:t>
      </w:r>
      <w:r w:rsidRPr="00D46E49">
        <w:rPr>
          <w:u w:val="single"/>
        </w:rPr>
        <w:t xml:space="preserve">Staff uses </w:t>
      </w:r>
      <w:r w:rsidR="004C31BF">
        <w:rPr>
          <w:u w:val="single"/>
        </w:rPr>
        <w:t xml:space="preserve">the </w:t>
      </w:r>
      <w:r w:rsidRPr="00D46E49">
        <w:rPr>
          <w:b/>
          <w:u w:val="single"/>
        </w:rPr>
        <w:t>lower value</w:t>
      </w:r>
      <w:r w:rsidRPr="00D46E49">
        <w:rPr>
          <w:u w:val="single"/>
        </w:rPr>
        <w:t xml:space="preserve"> between the IOU claimed expenditures in the AL and the quarterly expenditures from the </w:t>
      </w:r>
      <w:r w:rsidR="00DF6175">
        <w:rPr>
          <w:u w:val="single"/>
        </w:rPr>
        <w:br/>
      </w:r>
      <w:r w:rsidRPr="00D46E49">
        <w:rPr>
          <w:u w:val="single"/>
        </w:rPr>
        <w:t>ED Central Server if reconciliation cannot be made.</w:t>
      </w:r>
      <w:r>
        <w:rPr>
          <w:u w:val="single"/>
        </w:rPr>
        <w:t xml:space="preserve">  </w:t>
      </w:r>
    </w:p>
    <w:p w14:paraId="57F5F3AB" w14:textId="77777777" w:rsidR="00705F19" w:rsidRDefault="00705F19" w:rsidP="00705F19"/>
    <w:p w14:paraId="57F5F3AC" w14:textId="4FB9A4A2" w:rsidR="00705F19" w:rsidRDefault="00577A20" w:rsidP="00705F19">
      <w:r w:rsidRPr="00011D73">
        <w:t>Per the staff-issued memo distributed on June 9, 2014 and i</w:t>
      </w:r>
      <w:r>
        <w:t xml:space="preserve">ncluded as Attachment 1 to </w:t>
      </w:r>
      <w:r w:rsidRPr="00011D73">
        <w:t>Resolution</w:t>
      </w:r>
      <w:r>
        <w:t xml:space="preserve"> E-4700, the IOUs’ 2013 ESPI Resolution are to</w:t>
      </w:r>
      <w:r w:rsidRPr="00011D73">
        <w:t xml:space="preserve"> be trued up </w:t>
      </w:r>
      <w:r>
        <w:t>as</w:t>
      </w:r>
      <w:r w:rsidRPr="00011D73">
        <w:t xml:space="preserve"> the UAFCB</w:t>
      </w:r>
      <w:r>
        <w:t xml:space="preserve"> final 2013 audit was</w:t>
      </w:r>
      <w:r w:rsidRPr="00011D73">
        <w:t xml:space="preserve"> complete</w:t>
      </w:r>
      <w:r>
        <w:t>d on June 30, 2015</w:t>
      </w:r>
      <w:r w:rsidRPr="00011D73">
        <w:t>.</w:t>
      </w:r>
      <w:r>
        <w:t xml:space="preserve"> The difference in expenditures between the SCE 2013 ESPI Resolution and 2013 UAFCB audited expenditures is used to calculate the true up for the 2014 award.</w:t>
      </w:r>
      <w:r w:rsidR="00705F19">
        <w:t xml:space="preserve"> </w:t>
      </w:r>
    </w:p>
    <w:p w14:paraId="57F5F3AD" w14:textId="77777777" w:rsidR="00705F19" w:rsidRDefault="00705F19" w:rsidP="00705F19"/>
    <w:p w14:paraId="57F5F3AE" w14:textId="77777777" w:rsidR="00705F19" w:rsidRPr="00D46E49" w:rsidRDefault="00705F19" w:rsidP="00705F19">
      <w:pPr>
        <w:spacing w:after="120"/>
      </w:pPr>
      <w:r w:rsidRPr="00D46E49">
        <w:t xml:space="preserve">Table 15: Comparison of 2013 SCE Claimed and UAFCB Audited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011D73" w14:paraId="57F5F3B3" w14:textId="77777777" w:rsidTr="00BB37FC">
        <w:trPr>
          <w:tblHeader/>
        </w:trPr>
        <w:tc>
          <w:tcPr>
            <w:tcW w:w="3078" w:type="dxa"/>
            <w:tcBorders>
              <w:bottom w:val="single" w:sz="4" w:space="0" w:color="auto"/>
            </w:tcBorders>
            <w:shd w:val="clear" w:color="auto" w:fill="auto"/>
            <w:vAlign w:val="bottom"/>
          </w:tcPr>
          <w:p w14:paraId="57F5F3AF" w14:textId="77777777" w:rsidR="00705F19" w:rsidRPr="00011D73" w:rsidRDefault="00705F19" w:rsidP="0078095C"/>
        </w:tc>
        <w:tc>
          <w:tcPr>
            <w:tcW w:w="2340" w:type="dxa"/>
            <w:tcBorders>
              <w:bottom w:val="single" w:sz="4" w:space="0" w:color="auto"/>
            </w:tcBorders>
            <w:shd w:val="clear" w:color="auto" w:fill="auto"/>
            <w:vAlign w:val="bottom"/>
          </w:tcPr>
          <w:p w14:paraId="57F5F3B0" w14:textId="1FEDB42B" w:rsidR="00705F19" w:rsidRPr="00011D73" w:rsidRDefault="00705F19" w:rsidP="00577A20">
            <w:pPr>
              <w:jc w:val="center"/>
              <w:rPr>
                <w:b/>
              </w:rPr>
            </w:pPr>
            <w:r>
              <w:rPr>
                <w:b/>
              </w:rPr>
              <w:t xml:space="preserve">2013 </w:t>
            </w:r>
            <w:r w:rsidR="00577A20">
              <w:rPr>
                <w:b/>
              </w:rPr>
              <w:t xml:space="preserve">ESPI Resolution </w:t>
            </w:r>
            <w:r>
              <w:rPr>
                <w:b/>
              </w:rPr>
              <w:t>Expenditure</w:t>
            </w:r>
          </w:p>
        </w:tc>
        <w:tc>
          <w:tcPr>
            <w:tcW w:w="2340" w:type="dxa"/>
            <w:tcBorders>
              <w:bottom w:val="single" w:sz="4" w:space="0" w:color="auto"/>
            </w:tcBorders>
            <w:shd w:val="clear" w:color="auto" w:fill="auto"/>
            <w:vAlign w:val="bottom"/>
          </w:tcPr>
          <w:p w14:paraId="57F5F3B1" w14:textId="77777777" w:rsidR="00705F19" w:rsidRPr="00011D73" w:rsidRDefault="00705F19" w:rsidP="0078095C">
            <w:pPr>
              <w:jc w:val="center"/>
              <w:rPr>
                <w:b/>
              </w:rPr>
            </w:pPr>
            <w:r>
              <w:rPr>
                <w:b/>
              </w:rPr>
              <w:t>2013 UAFCB Audit Expenditure</w:t>
            </w:r>
          </w:p>
        </w:tc>
        <w:tc>
          <w:tcPr>
            <w:tcW w:w="1818" w:type="dxa"/>
            <w:tcBorders>
              <w:bottom w:val="single" w:sz="4" w:space="0" w:color="auto"/>
            </w:tcBorders>
            <w:shd w:val="clear" w:color="auto" w:fill="auto"/>
          </w:tcPr>
          <w:p w14:paraId="57F5F3B2" w14:textId="77777777" w:rsidR="00705F19" w:rsidRPr="00011D73" w:rsidRDefault="00577A20" w:rsidP="0078095C">
            <w:pPr>
              <w:jc w:val="center"/>
              <w:rPr>
                <w:b/>
              </w:rPr>
            </w:pPr>
            <w:r>
              <w:rPr>
                <w:b/>
              </w:rPr>
              <w:t xml:space="preserve">Award </w:t>
            </w:r>
            <w:r w:rsidR="00705F19">
              <w:rPr>
                <w:b/>
              </w:rPr>
              <w:t>Difference</w:t>
            </w:r>
          </w:p>
        </w:tc>
      </w:tr>
      <w:tr w:rsidR="00705F19" w:rsidRPr="00011D73" w14:paraId="57F5F3B8" w14:textId="77777777" w:rsidTr="0078095C">
        <w:tc>
          <w:tcPr>
            <w:tcW w:w="3078" w:type="dxa"/>
            <w:tcBorders>
              <w:bottom w:val="nil"/>
            </w:tcBorders>
            <w:shd w:val="clear" w:color="auto" w:fill="auto"/>
            <w:vAlign w:val="bottom"/>
          </w:tcPr>
          <w:p w14:paraId="57F5F3B4" w14:textId="77777777" w:rsidR="00705F19" w:rsidRPr="00011D73" w:rsidRDefault="00705F19" w:rsidP="0078095C">
            <w:r w:rsidRPr="00011D73">
              <w:t>Resource programs</w:t>
            </w:r>
          </w:p>
        </w:tc>
        <w:tc>
          <w:tcPr>
            <w:tcW w:w="2340" w:type="dxa"/>
            <w:tcBorders>
              <w:bottom w:val="nil"/>
            </w:tcBorders>
            <w:shd w:val="clear" w:color="auto" w:fill="auto"/>
            <w:vAlign w:val="bottom"/>
          </w:tcPr>
          <w:p w14:paraId="57F5F3B5" w14:textId="77777777" w:rsidR="00705F19" w:rsidRPr="00011D73" w:rsidRDefault="00705F19" w:rsidP="0078095C">
            <w:pPr>
              <w:jc w:val="center"/>
            </w:pPr>
            <w:r>
              <w:t>$ 152,890,562</w:t>
            </w:r>
          </w:p>
        </w:tc>
        <w:tc>
          <w:tcPr>
            <w:tcW w:w="2340" w:type="dxa"/>
            <w:tcBorders>
              <w:bottom w:val="nil"/>
            </w:tcBorders>
            <w:shd w:val="clear" w:color="auto" w:fill="auto"/>
            <w:vAlign w:val="bottom"/>
          </w:tcPr>
          <w:p w14:paraId="57F5F3B6" w14:textId="7D259CE0" w:rsidR="00705F19" w:rsidRPr="00011D73" w:rsidRDefault="00705F19" w:rsidP="00577A20">
            <w:pPr>
              <w:jc w:val="center"/>
            </w:pPr>
            <w:r w:rsidRPr="00011D73">
              <w:t xml:space="preserve">$ </w:t>
            </w:r>
            <w:r w:rsidR="00577A20">
              <w:t>152,890,562</w:t>
            </w:r>
            <w:r>
              <w:rPr>
                <w:rStyle w:val="FootnoteReference"/>
              </w:rPr>
              <w:footnoteReference w:id="23"/>
            </w:r>
          </w:p>
        </w:tc>
        <w:tc>
          <w:tcPr>
            <w:tcW w:w="1818" w:type="dxa"/>
            <w:tcBorders>
              <w:bottom w:val="nil"/>
            </w:tcBorders>
            <w:shd w:val="clear" w:color="auto" w:fill="auto"/>
          </w:tcPr>
          <w:p w14:paraId="57F5F3B7" w14:textId="2700339D" w:rsidR="00705F19" w:rsidRPr="00011D73" w:rsidRDefault="00705F19" w:rsidP="00577A20">
            <w:pPr>
              <w:jc w:val="center"/>
            </w:pPr>
            <w:r>
              <w:t xml:space="preserve">$ </w:t>
            </w:r>
            <w:r w:rsidR="00577A20">
              <w:t>0</w:t>
            </w:r>
            <w:r w:rsidR="00577A20">
              <w:rPr>
                <w:rStyle w:val="FootnoteReference"/>
              </w:rPr>
              <w:footnoteReference w:id="24"/>
            </w:r>
          </w:p>
        </w:tc>
      </w:tr>
      <w:tr w:rsidR="00705F19" w:rsidRPr="00011D73" w14:paraId="57F5F3BE" w14:textId="77777777" w:rsidTr="0078095C">
        <w:tc>
          <w:tcPr>
            <w:tcW w:w="3078" w:type="dxa"/>
            <w:tcBorders>
              <w:top w:val="nil"/>
              <w:left w:val="single" w:sz="4" w:space="0" w:color="auto"/>
              <w:bottom w:val="nil"/>
              <w:right w:val="single" w:sz="4" w:space="0" w:color="auto"/>
            </w:tcBorders>
            <w:shd w:val="clear" w:color="auto" w:fill="auto"/>
            <w:vAlign w:val="bottom"/>
          </w:tcPr>
          <w:p w14:paraId="57F5F3B9" w14:textId="77777777" w:rsidR="00705F19" w:rsidRPr="00011D73" w:rsidRDefault="00705F19" w:rsidP="0078095C">
            <w:r w:rsidRPr="00011D73">
              <w:lastRenderedPageBreak/>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3BA" w14:textId="77777777" w:rsidR="00705F19" w:rsidRPr="00011D73" w:rsidRDefault="00705F19" w:rsidP="0078095C">
            <w:pPr>
              <w:jc w:val="center"/>
            </w:pPr>
            <w:r w:rsidRPr="00011D73">
              <w:t xml:space="preserve">$ </w:t>
            </w:r>
            <w:r>
              <w:t>2,780,375</w:t>
            </w:r>
          </w:p>
        </w:tc>
        <w:tc>
          <w:tcPr>
            <w:tcW w:w="2340" w:type="dxa"/>
            <w:tcBorders>
              <w:top w:val="nil"/>
              <w:left w:val="single" w:sz="4" w:space="0" w:color="auto"/>
              <w:bottom w:val="nil"/>
              <w:right w:val="single" w:sz="4" w:space="0" w:color="auto"/>
            </w:tcBorders>
            <w:shd w:val="clear" w:color="auto" w:fill="auto"/>
            <w:vAlign w:val="bottom"/>
          </w:tcPr>
          <w:p w14:paraId="57F5F3BB" w14:textId="4DC8D9A3" w:rsidR="00705F19" w:rsidRPr="00011D73" w:rsidRDefault="00705F19" w:rsidP="0078095C">
            <w:pPr>
              <w:jc w:val="center"/>
            </w:pPr>
            <w:r w:rsidRPr="00011D73">
              <w:t xml:space="preserve">$ </w:t>
            </w:r>
            <w:r>
              <w:t>2,780,37</w:t>
            </w:r>
            <w:r w:rsidR="00577A20">
              <w:t>6</w:t>
            </w:r>
          </w:p>
        </w:tc>
        <w:tc>
          <w:tcPr>
            <w:tcW w:w="1818" w:type="dxa"/>
            <w:tcBorders>
              <w:top w:val="nil"/>
              <w:left w:val="single" w:sz="4" w:space="0" w:color="auto"/>
              <w:bottom w:val="nil"/>
              <w:right w:val="single" w:sz="4" w:space="0" w:color="auto"/>
            </w:tcBorders>
            <w:shd w:val="clear" w:color="auto" w:fill="auto"/>
          </w:tcPr>
          <w:p w14:paraId="57F5F3BC" w14:textId="77777777" w:rsidR="00705F19" w:rsidRDefault="00705F19" w:rsidP="0078095C">
            <w:pPr>
              <w:jc w:val="center"/>
            </w:pPr>
          </w:p>
          <w:p w14:paraId="57F5F3BD" w14:textId="77777777" w:rsidR="00705F19" w:rsidRPr="00011D73" w:rsidRDefault="00705F19" w:rsidP="0078095C">
            <w:pPr>
              <w:jc w:val="center"/>
            </w:pPr>
            <w:r>
              <w:t>$ 0</w:t>
            </w:r>
          </w:p>
        </w:tc>
      </w:tr>
      <w:tr w:rsidR="00705F19" w14:paraId="57F5F3C3"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3BF" w14:textId="77777777" w:rsidR="00705F19" w:rsidRPr="00011D73" w:rsidRDefault="00705F19" w:rsidP="0078095C">
            <w:r w:rsidRPr="00011D73">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3C0" w14:textId="77777777" w:rsidR="00705F19" w:rsidRPr="00011D73" w:rsidRDefault="00705F19" w:rsidP="0078095C">
            <w:pPr>
              <w:jc w:val="center"/>
            </w:pPr>
            <w:r w:rsidRPr="00011D73">
              <w:t xml:space="preserve">$ </w:t>
            </w:r>
            <w:r>
              <w:t>12,047,533</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3C1" w14:textId="2D52269F" w:rsidR="00705F19" w:rsidRPr="00011D73" w:rsidRDefault="00705F19" w:rsidP="00577A20">
            <w:pPr>
              <w:jc w:val="center"/>
            </w:pPr>
            <w:r w:rsidRPr="00011D73">
              <w:t xml:space="preserve"> $ </w:t>
            </w:r>
            <w:r>
              <w:t>12,047,</w:t>
            </w:r>
            <w:r w:rsidR="00577A20">
              <w:t>528</w:t>
            </w:r>
          </w:p>
        </w:tc>
        <w:tc>
          <w:tcPr>
            <w:tcW w:w="1818" w:type="dxa"/>
            <w:tcBorders>
              <w:top w:val="nil"/>
              <w:left w:val="single" w:sz="4" w:space="0" w:color="auto"/>
              <w:bottom w:val="single" w:sz="4" w:space="0" w:color="auto"/>
              <w:right w:val="single" w:sz="4" w:space="0" w:color="auto"/>
            </w:tcBorders>
            <w:shd w:val="clear" w:color="auto" w:fill="auto"/>
          </w:tcPr>
          <w:p w14:paraId="57F5F3C2" w14:textId="77777777" w:rsidR="00705F19" w:rsidRDefault="00705F19" w:rsidP="0078095C">
            <w:pPr>
              <w:jc w:val="center"/>
            </w:pPr>
            <w:r>
              <w:t>$ 0</w:t>
            </w:r>
          </w:p>
        </w:tc>
      </w:tr>
    </w:tbl>
    <w:p w14:paraId="57F5F3C4" w14:textId="77777777" w:rsidR="00705F19" w:rsidRDefault="00705F19" w:rsidP="00705F19"/>
    <w:p w14:paraId="57F5F3C5" w14:textId="77777777" w:rsidR="00705F19" w:rsidRPr="00605B4E" w:rsidRDefault="00705F19" w:rsidP="00705F19">
      <w:pPr>
        <w:spacing w:after="120"/>
      </w:pPr>
      <w:r>
        <w:rPr>
          <w:i/>
        </w:rPr>
        <w:t>Component 2: Ex Ante Review Performance Award</w:t>
      </w:r>
    </w:p>
    <w:p w14:paraId="57F5F3C6" w14:textId="77777777" w:rsidR="00705F19" w:rsidRDefault="00705F19" w:rsidP="00705F19">
      <w:r>
        <w:t>In accordance with D.13-09-023, SCE is eligible to earn up to 3% of resource program expenditures, less administrative spend, for the ex ante review performance award. As noted above, SCE’s final 2014 ex ante performance score was 58/100. The ex ante performance award component for SCE is calculated as:</w:t>
      </w:r>
    </w:p>
    <w:p w14:paraId="57F5F3C7" w14:textId="77777777" w:rsidR="00705F19" w:rsidRDefault="00705F19" w:rsidP="00705F19"/>
    <w:p w14:paraId="57F5F3C8" w14:textId="77777777" w:rsidR="00705F19" w:rsidRDefault="00705F19" w:rsidP="00705F19">
      <w:pPr>
        <w:jc w:val="center"/>
      </w:pPr>
      <w:r>
        <w:t>$ 229,992,165* 3% * 58% = $ 4,001,864</w:t>
      </w:r>
    </w:p>
    <w:p w14:paraId="57F5F3C9" w14:textId="77777777" w:rsidR="00705F19" w:rsidRDefault="00705F19" w:rsidP="00705F19">
      <w:pPr>
        <w:jc w:val="center"/>
      </w:pPr>
    </w:p>
    <w:p w14:paraId="57F5F3CA" w14:textId="77777777" w:rsidR="00577A20" w:rsidRDefault="00577A20" w:rsidP="00577A20">
      <w:pPr>
        <w:rPr>
          <w:u w:val="single"/>
        </w:rPr>
      </w:pPr>
      <w:r w:rsidRPr="00D46E49">
        <w:rPr>
          <w:u w:val="single"/>
        </w:rPr>
        <w:t>This award is $ 4,090,9</w:t>
      </w:r>
      <w:r>
        <w:rPr>
          <w:u w:val="single"/>
        </w:rPr>
        <w:t>26</w:t>
      </w:r>
      <w:r w:rsidRPr="00D46E49">
        <w:rPr>
          <w:u w:val="single"/>
        </w:rPr>
        <w:t xml:space="preserve"> and is </w:t>
      </w:r>
      <w:r>
        <w:rPr>
          <w:u w:val="single"/>
        </w:rPr>
        <w:t>the same</w:t>
      </w:r>
      <w:r w:rsidRPr="00D46E49">
        <w:rPr>
          <w:u w:val="single"/>
        </w:rPr>
        <w:t xml:space="preserve"> amount claimed in SCE AL 3240-E.</w:t>
      </w:r>
    </w:p>
    <w:p w14:paraId="57F5F3CF" w14:textId="099FA3D5" w:rsidR="00705F19" w:rsidRDefault="00705F19" w:rsidP="00705F19">
      <w:pPr>
        <w:rPr>
          <w:u w:val="single"/>
        </w:rPr>
      </w:pPr>
    </w:p>
    <w:p w14:paraId="57F5F3D0" w14:textId="77777777" w:rsidR="00705F19" w:rsidRDefault="00705F19" w:rsidP="00705F19">
      <w:pPr>
        <w:rPr>
          <w:i/>
        </w:rPr>
      </w:pPr>
    </w:p>
    <w:p w14:paraId="57F5F3D1" w14:textId="77777777" w:rsidR="00705F19" w:rsidRDefault="00705F19" w:rsidP="00705F19">
      <w:pPr>
        <w:spacing w:after="120"/>
      </w:pPr>
      <w:r>
        <w:rPr>
          <w:i/>
        </w:rPr>
        <w:t>Component 3: Codes and Standards Program Management Fee</w:t>
      </w:r>
    </w:p>
    <w:p w14:paraId="57F5F3D2" w14:textId="77777777" w:rsidR="00705F19" w:rsidRDefault="00705F19" w:rsidP="00705F19">
      <w:r>
        <w:t>Per D.13-09-023, the codes and standards program management fee is equal to 12% of the codes and standards program expenditures, less administrative spend. The codes and standards management fee is calculated as:</w:t>
      </w:r>
    </w:p>
    <w:p w14:paraId="57F5F3D3" w14:textId="77777777" w:rsidR="00705F19" w:rsidRDefault="00705F19" w:rsidP="00705F19">
      <w:pPr>
        <w:tabs>
          <w:tab w:val="left" w:pos="5522"/>
        </w:tabs>
      </w:pPr>
      <w:r>
        <w:tab/>
      </w:r>
    </w:p>
    <w:p w14:paraId="57F5F3D4" w14:textId="77777777" w:rsidR="009714C0" w:rsidRDefault="00705F19" w:rsidP="00705F19">
      <w:pPr>
        <w:jc w:val="center"/>
      </w:pPr>
      <w:r>
        <w:t>$ 3,138,352* 12% = $ 376,602</w:t>
      </w:r>
    </w:p>
    <w:p w14:paraId="57F5F3D5" w14:textId="77777777" w:rsidR="009714C0" w:rsidRDefault="009714C0" w:rsidP="00705F19">
      <w:pPr>
        <w:jc w:val="center"/>
      </w:pPr>
    </w:p>
    <w:p w14:paraId="57F5F3D6" w14:textId="77777777" w:rsidR="00705F19" w:rsidRDefault="009714C0" w:rsidP="00705F19">
      <w:pPr>
        <w:jc w:val="center"/>
      </w:pPr>
      <w:r>
        <w:t xml:space="preserve">$ 367,602 </w:t>
      </w:r>
      <w:r w:rsidR="00705F19">
        <w:t>- $ 2,424</w:t>
      </w:r>
      <w:r w:rsidR="00705F19">
        <w:rPr>
          <w:rStyle w:val="FootnoteReference"/>
        </w:rPr>
        <w:footnoteReference w:id="25"/>
      </w:r>
      <w:r w:rsidR="00705F19">
        <w:t xml:space="preserve"> = $ 374,178</w:t>
      </w:r>
    </w:p>
    <w:p w14:paraId="57F5F3D8" w14:textId="77777777" w:rsidR="00705F19" w:rsidRPr="00B66F15" w:rsidRDefault="00705F19" w:rsidP="00705F19">
      <w:pPr>
        <w:rPr>
          <w:u w:val="single"/>
        </w:rPr>
      </w:pPr>
      <w:r w:rsidRPr="00D46E49">
        <w:rPr>
          <w:u w:val="single"/>
        </w:rPr>
        <w:lastRenderedPageBreak/>
        <w:t xml:space="preserve">The 2013 UAFCB Audit True Up of $ 2,424 in 2013 awards is already noted by SCE AL 3240-E. This award is $ 374,178 and is same amount claimed in SCE </w:t>
      </w:r>
      <w:r w:rsidR="00DF6175">
        <w:rPr>
          <w:u w:val="single"/>
        </w:rPr>
        <w:br/>
      </w:r>
      <w:r w:rsidRPr="00D46E49">
        <w:rPr>
          <w:u w:val="single"/>
        </w:rPr>
        <w:t xml:space="preserve">AL 3240-E.   </w:t>
      </w:r>
    </w:p>
    <w:p w14:paraId="57F5F3D9" w14:textId="77777777" w:rsidR="00705F19" w:rsidRDefault="00705F19" w:rsidP="00705F19"/>
    <w:p w14:paraId="57F5F3DA" w14:textId="77777777" w:rsidR="00705F19" w:rsidRDefault="00705F19" w:rsidP="00705F19">
      <w:pPr>
        <w:spacing w:after="120"/>
      </w:pPr>
      <w:r>
        <w:rPr>
          <w:i/>
        </w:rPr>
        <w:t>Component 4: Non-resource Program Management Fee</w:t>
      </w:r>
    </w:p>
    <w:p w14:paraId="57F5F3DB" w14:textId="77777777" w:rsidR="00705F19" w:rsidRDefault="00705F19" w:rsidP="00705F19">
      <w:r>
        <w:t>Per D.13-09-023, the non-resource program management fee is equal to 3% of non-resource program expenditures, less administrative spend. The non-resource program management fee is calculated as:</w:t>
      </w:r>
    </w:p>
    <w:p w14:paraId="57F5F3DC" w14:textId="77777777" w:rsidR="00705F19" w:rsidRDefault="00705F19" w:rsidP="00705F19"/>
    <w:p w14:paraId="57F5F3DD" w14:textId="77777777" w:rsidR="00705F19" w:rsidRDefault="00705F19" w:rsidP="00705F19">
      <w:pPr>
        <w:jc w:val="center"/>
      </w:pPr>
      <w:r>
        <w:t>$ 34,173,491 * 3%= $ 1,025,205</w:t>
      </w:r>
    </w:p>
    <w:p w14:paraId="57F5F3DE" w14:textId="77777777" w:rsidR="00705F19" w:rsidRDefault="00705F19" w:rsidP="00705F19">
      <w:pPr>
        <w:jc w:val="center"/>
      </w:pPr>
    </w:p>
    <w:p w14:paraId="57F5F3DF" w14:textId="77777777" w:rsidR="00705F19" w:rsidRPr="00B66F15" w:rsidRDefault="00705F19" w:rsidP="00705F19">
      <w:pPr>
        <w:rPr>
          <w:u w:val="single"/>
        </w:rPr>
      </w:pPr>
      <w:r w:rsidRPr="00D46E49">
        <w:rPr>
          <w:u w:val="single"/>
        </w:rPr>
        <w:t>This award is $ 1,025,205 and is the same amount claimed in SCE AL 3240-E.</w:t>
      </w:r>
    </w:p>
    <w:p w14:paraId="57F5F3E0" w14:textId="77777777" w:rsidR="00705F19" w:rsidRDefault="00705F19" w:rsidP="00705F19"/>
    <w:p w14:paraId="57F5F3E4" w14:textId="77777777" w:rsidR="00705F19" w:rsidRPr="00BF7753" w:rsidRDefault="00705F19" w:rsidP="00705F19">
      <w:pPr>
        <w:spacing w:after="120"/>
        <w:rPr>
          <w:i/>
        </w:rPr>
      </w:pPr>
      <w:r w:rsidRPr="00BF7753">
        <w:rPr>
          <w:i/>
        </w:rPr>
        <w:t>Incentive Recovery though Retail Rates</w:t>
      </w:r>
    </w:p>
    <w:p w14:paraId="57F5F3E5" w14:textId="234264AD" w:rsidR="00705F19" w:rsidRPr="00D46E49" w:rsidRDefault="00705F19" w:rsidP="00705F19">
      <w:r w:rsidRPr="00D46E49">
        <w:t xml:space="preserve">The 2014 incentive award for SCE totals $ </w:t>
      </w:r>
      <w:r w:rsidR="00530B0C">
        <w:t>12,</w:t>
      </w:r>
      <w:r w:rsidR="00500F55">
        <w:t>179,</w:t>
      </w:r>
      <w:r w:rsidR="00577A20">
        <w:t>834</w:t>
      </w:r>
      <w:r w:rsidRPr="00D46E49">
        <w:t xml:space="preserve"> as shown below. </w:t>
      </w:r>
      <w:r w:rsidRPr="00D46E49">
        <w:rPr>
          <w:u w:val="single"/>
        </w:rPr>
        <w:t xml:space="preserve">This award is $ </w:t>
      </w:r>
      <w:r w:rsidR="00577A20">
        <w:rPr>
          <w:u w:val="single"/>
        </w:rPr>
        <w:t>102,462</w:t>
      </w:r>
      <w:r>
        <w:rPr>
          <w:u w:val="single"/>
        </w:rPr>
        <w:t xml:space="preserve"> </w:t>
      </w:r>
      <w:r w:rsidR="00530B0C">
        <w:rPr>
          <w:u w:val="single"/>
        </w:rPr>
        <w:t>less</w:t>
      </w:r>
      <w:r w:rsidRPr="00D46E49">
        <w:rPr>
          <w:u w:val="single"/>
        </w:rPr>
        <w:t xml:space="preserve"> than the amount claimed in SCE AL 3240-E.</w:t>
      </w:r>
      <w:r w:rsidRPr="00D46E49">
        <w:t xml:space="preserve">  SCE is awarded a </w:t>
      </w:r>
      <w:r w:rsidR="00530B0C">
        <w:t xml:space="preserve">lesser </w:t>
      </w:r>
      <w:r w:rsidRPr="00D46E49">
        <w:t>amount than what was claimed in SCE AL 3240-E due to differences in the program expenditures and energy savings data in SCE’s advice letter and the ED Central Server</w:t>
      </w:r>
      <w:r w:rsidR="009510A9">
        <w:t xml:space="preserve"> and 2013 audit true up</w:t>
      </w:r>
      <w:r w:rsidRPr="00D46E49">
        <w:t>.</w:t>
      </w:r>
    </w:p>
    <w:p w14:paraId="57F5F3E6" w14:textId="77777777" w:rsidR="00705F19" w:rsidRPr="009768CE" w:rsidRDefault="00705F19" w:rsidP="00705F19">
      <w:pPr>
        <w:rPr>
          <w:highlight w:val="yellow"/>
        </w:rPr>
      </w:pPr>
    </w:p>
    <w:p w14:paraId="57F5F3E7" w14:textId="77777777" w:rsidR="00705F19" w:rsidRPr="00BF7753" w:rsidRDefault="00705F19" w:rsidP="00705F19">
      <w:pPr>
        <w:spacing w:after="120"/>
      </w:pPr>
      <w:r w:rsidRPr="00BF7753">
        <w:t xml:space="preserve">Table 16: SCE 2014 Incentive Award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rsidRPr="009768CE" w14:paraId="57F5F3EA" w14:textId="77777777" w:rsidTr="0078095C">
        <w:tc>
          <w:tcPr>
            <w:tcW w:w="6768" w:type="dxa"/>
            <w:tcBorders>
              <w:top w:val="single" w:sz="4" w:space="0" w:color="auto"/>
              <w:bottom w:val="single" w:sz="4" w:space="0" w:color="auto"/>
              <w:right w:val="single" w:sz="4" w:space="0" w:color="auto"/>
            </w:tcBorders>
          </w:tcPr>
          <w:p w14:paraId="57F5F3E8" w14:textId="77777777" w:rsidR="00705F19" w:rsidRPr="00D46E49" w:rsidRDefault="00705F19" w:rsidP="0078095C">
            <w:pPr>
              <w:rPr>
                <w:b/>
              </w:rPr>
            </w:pPr>
            <w:r w:rsidRPr="00D46E49">
              <w:rPr>
                <w:b/>
              </w:rPr>
              <w:t>Award Component</w:t>
            </w:r>
          </w:p>
        </w:tc>
        <w:tc>
          <w:tcPr>
            <w:tcW w:w="2808" w:type="dxa"/>
            <w:tcBorders>
              <w:top w:val="single" w:sz="4" w:space="0" w:color="auto"/>
              <w:left w:val="single" w:sz="4" w:space="0" w:color="auto"/>
              <w:bottom w:val="single" w:sz="4" w:space="0" w:color="auto"/>
            </w:tcBorders>
          </w:tcPr>
          <w:p w14:paraId="57F5F3E9" w14:textId="77777777" w:rsidR="00705F19" w:rsidRPr="00D46E49" w:rsidRDefault="00705F19" w:rsidP="0078095C">
            <w:pPr>
              <w:rPr>
                <w:b/>
              </w:rPr>
            </w:pPr>
            <w:r w:rsidRPr="00D46E49">
              <w:rPr>
                <w:b/>
              </w:rPr>
              <w:t>Award Amount</w:t>
            </w:r>
          </w:p>
        </w:tc>
      </w:tr>
      <w:tr w:rsidR="00705F19" w:rsidRPr="009768CE" w14:paraId="57F5F3ED" w14:textId="77777777" w:rsidTr="0078095C">
        <w:tc>
          <w:tcPr>
            <w:tcW w:w="6768" w:type="dxa"/>
            <w:tcBorders>
              <w:top w:val="nil"/>
              <w:right w:val="single" w:sz="4" w:space="0" w:color="auto"/>
            </w:tcBorders>
          </w:tcPr>
          <w:p w14:paraId="57F5F3EB" w14:textId="77777777" w:rsidR="00705F19" w:rsidRPr="00D46E49" w:rsidRDefault="00705F19" w:rsidP="0078095C">
            <w:r w:rsidRPr="00D46E49">
              <w:t>2014 Energy Savings (with ex ante parameter estimates)</w:t>
            </w:r>
          </w:p>
        </w:tc>
        <w:tc>
          <w:tcPr>
            <w:tcW w:w="2808" w:type="dxa"/>
            <w:tcBorders>
              <w:top w:val="nil"/>
              <w:left w:val="single" w:sz="4" w:space="0" w:color="auto"/>
              <w:bottom w:val="nil"/>
            </w:tcBorders>
          </w:tcPr>
          <w:p w14:paraId="57F5F3EC" w14:textId="77777777" w:rsidR="00705F19" w:rsidRPr="00D46E49" w:rsidRDefault="00705F19" w:rsidP="00500F55">
            <w:r w:rsidRPr="00D46E49">
              <w:t xml:space="preserve">$ </w:t>
            </w:r>
            <w:r w:rsidR="00500F55">
              <w:t>6,689,525</w:t>
            </w:r>
          </w:p>
        </w:tc>
      </w:tr>
      <w:tr w:rsidR="00705F19" w:rsidRPr="009768CE" w14:paraId="57F5F3F0" w14:textId="77777777" w:rsidTr="0078095C">
        <w:tc>
          <w:tcPr>
            <w:tcW w:w="6768" w:type="dxa"/>
            <w:tcBorders>
              <w:right w:val="single" w:sz="4" w:space="0" w:color="auto"/>
            </w:tcBorders>
          </w:tcPr>
          <w:p w14:paraId="57F5F3EE" w14:textId="77777777" w:rsidR="00705F19" w:rsidRPr="00D46E49" w:rsidRDefault="00705F19" w:rsidP="0078095C">
            <w:r w:rsidRPr="00D46E49">
              <w:t>2014 Ex Ante Review Performance</w:t>
            </w:r>
          </w:p>
        </w:tc>
        <w:tc>
          <w:tcPr>
            <w:tcW w:w="2808" w:type="dxa"/>
            <w:tcBorders>
              <w:top w:val="nil"/>
              <w:left w:val="single" w:sz="4" w:space="0" w:color="auto"/>
              <w:bottom w:val="nil"/>
            </w:tcBorders>
          </w:tcPr>
          <w:p w14:paraId="57F5F3EF" w14:textId="451D1225" w:rsidR="00705F19" w:rsidRPr="00D46E49" w:rsidRDefault="00705F19" w:rsidP="00577A20">
            <w:r w:rsidRPr="00D46E49">
              <w:t xml:space="preserve">$ </w:t>
            </w:r>
            <w:r w:rsidR="00577A20">
              <w:t>4,001,864</w:t>
            </w:r>
          </w:p>
        </w:tc>
      </w:tr>
      <w:tr w:rsidR="00705F19" w:rsidRPr="009768CE" w14:paraId="57F5F3F3" w14:textId="77777777" w:rsidTr="0078095C">
        <w:tc>
          <w:tcPr>
            <w:tcW w:w="6768" w:type="dxa"/>
            <w:tcBorders>
              <w:right w:val="single" w:sz="4" w:space="0" w:color="auto"/>
            </w:tcBorders>
          </w:tcPr>
          <w:p w14:paraId="57F5F3F1" w14:textId="77777777" w:rsidR="00705F19" w:rsidRPr="00D46E49" w:rsidRDefault="00705F19" w:rsidP="0078095C">
            <w:r w:rsidRPr="00D46E49">
              <w:t>Codes and Standards Management Fee</w:t>
            </w:r>
          </w:p>
        </w:tc>
        <w:tc>
          <w:tcPr>
            <w:tcW w:w="2808" w:type="dxa"/>
            <w:tcBorders>
              <w:top w:val="nil"/>
              <w:left w:val="single" w:sz="4" w:space="0" w:color="auto"/>
              <w:bottom w:val="nil"/>
            </w:tcBorders>
          </w:tcPr>
          <w:p w14:paraId="57F5F3F2" w14:textId="77777777" w:rsidR="00705F19" w:rsidRPr="00D46E49" w:rsidRDefault="003307CD" w:rsidP="0078095C">
            <w:r>
              <w:t>$ 376</w:t>
            </w:r>
            <w:r w:rsidR="00705F19" w:rsidRPr="00D46E49">
              <w:t>,</w:t>
            </w:r>
            <w:r>
              <w:t>602</w:t>
            </w:r>
          </w:p>
        </w:tc>
      </w:tr>
      <w:tr w:rsidR="00705F19" w:rsidRPr="009768CE" w14:paraId="57F5F3F6" w14:textId="77777777" w:rsidTr="0078095C">
        <w:tc>
          <w:tcPr>
            <w:tcW w:w="6768" w:type="dxa"/>
            <w:tcBorders>
              <w:bottom w:val="single" w:sz="4" w:space="0" w:color="auto"/>
              <w:right w:val="single" w:sz="4" w:space="0" w:color="auto"/>
            </w:tcBorders>
          </w:tcPr>
          <w:p w14:paraId="57F5F3F4" w14:textId="77777777" w:rsidR="00705F19" w:rsidRPr="00D46E49" w:rsidRDefault="00705F19" w:rsidP="0078095C">
            <w:r w:rsidRPr="00D46E49">
              <w:t>Non-resource Program Management Fee</w:t>
            </w:r>
          </w:p>
        </w:tc>
        <w:tc>
          <w:tcPr>
            <w:tcW w:w="2808" w:type="dxa"/>
            <w:tcBorders>
              <w:top w:val="nil"/>
              <w:left w:val="single" w:sz="4" w:space="0" w:color="auto"/>
              <w:bottom w:val="single" w:sz="4" w:space="0" w:color="auto"/>
            </w:tcBorders>
          </w:tcPr>
          <w:p w14:paraId="57F5F3F5" w14:textId="77777777" w:rsidR="00705F19" w:rsidRPr="00D46E49" w:rsidRDefault="00705F19" w:rsidP="0078095C">
            <w:r w:rsidRPr="00D46E49">
              <w:t>$ 1,025,205</w:t>
            </w:r>
          </w:p>
        </w:tc>
      </w:tr>
      <w:tr w:rsidR="003307CD" w14:paraId="57F5F3F9" w14:textId="77777777" w:rsidTr="003307CD">
        <w:tblPrEx>
          <w:tblBorders>
            <w:insideH w:val="single" w:sz="4" w:space="0" w:color="auto"/>
            <w:insideV w:val="single" w:sz="4" w:space="0" w:color="auto"/>
          </w:tblBorders>
        </w:tblPrEx>
        <w:tc>
          <w:tcPr>
            <w:tcW w:w="6768" w:type="dxa"/>
          </w:tcPr>
          <w:p w14:paraId="57F5F3F7" w14:textId="77777777" w:rsidR="003307CD" w:rsidRDefault="003307CD" w:rsidP="003307CD">
            <w:r>
              <w:t>2013 UAFCB Audit True Up</w:t>
            </w:r>
          </w:p>
        </w:tc>
        <w:tc>
          <w:tcPr>
            <w:tcW w:w="2808" w:type="dxa"/>
          </w:tcPr>
          <w:p w14:paraId="57F5F3F8" w14:textId="77777777" w:rsidR="003307CD" w:rsidRDefault="003307CD" w:rsidP="003307CD">
            <w:r>
              <w:t>($ 2,424)</w:t>
            </w:r>
          </w:p>
        </w:tc>
      </w:tr>
      <w:tr w:rsidR="00705F19" w:rsidRPr="009768CE" w14:paraId="57F5F3FC" w14:textId="77777777" w:rsidTr="0078095C">
        <w:tc>
          <w:tcPr>
            <w:tcW w:w="6768" w:type="dxa"/>
            <w:tcBorders>
              <w:top w:val="single" w:sz="4" w:space="0" w:color="auto"/>
              <w:bottom w:val="single" w:sz="4" w:space="0" w:color="auto"/>
              <w:right w:val="single" w:sz="4" w:space="0" w:color="auto"/>
            </w:tcBorders>
          </w:tcPr>
          <w:p w14:paraId="57F5F3FA" w14:textId="77777777" w:rsidR="00705F19" w:rsidRPr="00D46E49" w:rsidRDefault="00705F19" w:rsidP="0078095C">
            <w:r w:rsidRPr="00D46E49">
              <w:t>Total</w:t>
            </w:r>
          </w:p>
        </w:tc>
        <w:tc>
          <w:tcPr>
            <w:tcW w:w="2808" w:type="dxa"/>
            <w:tcBorders>
              <w:top w:val="single" w:sz="4" w:space="0" w:color="auto"/>
              <w:left w:val="single" w:sz="4" w:space="0" w:color="auto"/>
              <w:bottom w:val="single" w:sz="4" w:space="0" w:color="auto"/>
            </w:tcBorders>
          </w:tcPr>
          <w:p w14:paraId="57F5F3FB" w14:textId="54574986" w:rsidR="00705F19" w:rsidRPr="00D46E49" w:rsidRDefault="00705F19" w:rsidP="00577A20">
            <w:r w:rsidRPr="00D46E49">
              <w:t xml:space="preserve">$ </w:t>
            </w:r>
            <w:r w:rsidR="00577A20">
              <w:t>12,090,772</w:t>
            </w:r>
          </w:p>
        </w:tc>
      </w:tr>
    </w:tbl>
    <w:p w14:paraId="57F5F3FD" w14:textId="77777777" w:rsidR="00705F19" w:rsidRDefault="00705F19" w:rsidP="00705F19">
      <w:pPr>
        <w:rPr>
          <w:highlight w:val="yellow"/>
        </w:rPr>
      </w:pPr>
    </w:p>
    <w:p w14:paraId="57F5F3FE" w14:textId="77777777" w:rsidR="00705F19" w:rsidRPr="00D35263" w:rsidRDefault="00705F19" w:rsidP="00705F19">
      <w:pPr>
        <w:spacing w:after="120"/>
      </w:pPr>
      <w:r>
        <w:rPr>
          <w:u w:val="single"/>
        </w:rPr>
        <w:t>SoCalGas</w:t>
      </w:r>
      <w:r w:rsidRPr="00D35263">
        <w:rPr>
          <w:u w:val="single"/>
        </w:rPr>
        <w:t xml:space="preserve"> Advice Letter </w:t>
      </w:r>
      <w:r>
        <w:rPr>
          <w:u w:val="single"/>
        </w:rPr>
        <w:t>4826</w:t>
      </w:r>
    </w:p>
    <w:p w14:paraId="57F5F3FF" w14:textId="77777777" w:rsidR="00705F19" w:rsidRDefault="00705F19" w:rsidP="00705F19">
      <w:r>
        <w:lastRenderedPageBreak/>
        <w:t xml:space="preserve">SoCalGas requests $ 2,039,319 for the 2014 incentive award. In accordance with D.13-09-023 and the staff-issued memo, the award is comprised of </w:t>
      </w:r>
      <w:r w:rsidR="00D208D1">
        <w:br/>
      </w:r>
      <w:r>
        <w:t xml:space="preserve">four components: </w:t>
      </w:r>
    </w:p>
    <w:p w14:paraId="57F5F400" w14:textId="77777777" w:rsidR="00705F19" w:rsidRDefault="00705F19" w:rsidP="00705F19"/>
    <w:p w14:paraId="57F5F401" w14:textId="77777777" w:rsidR="00705F19" w:rsidRPr="001700F6" w:rsidRDefault="00705F19" w:rsidP="00705F19">
      <w:pPr>
        <w:pStyle w:val="Caption"/>
        <w:rPr>
          <w:rFonts w:ascii="Palatino" w:eastAsia="Times New Roman" w:hAnsi="Palatino"/>
          <w:b w:val="0"/>
          <w:bCs w:val="0"/>
          <w:sz w:val="26"/>
        </w:rPr>
      </w:pPr>
      <w:r>
        <w:rPr>
          <w:rFonts w:ascii="Palatino" w:eastAsia="Times New Roman" w:hAnsi="Palatino"/>
          <w:b w:val="0"/>
          <w:bCs w:val="0"/>
          <w:sz w:val="26"/>
        </w:rPr>
        <w:t>Table 17</w:t>
      </w:r>
      <w:r w:rsidRPr="001700F6">
        <w:rPr>
          <w:rFonts w:ascii="Palatino" w:eastAsia="Times New Roman" w:hAnsi="Palatino"/>
          <w:b w:val="0"/>
          <w:bCs w:val="0"/>
          <w:sz w:val="26"/>
        </w:rPr>
        <w:t xml:space="preserve">: </w:t>
      </w:r>
      <w:r>
        <w:rPr>
          <w:rFonts w:ascii="Palatino" w:eastAsia="Times New Roman" w:hAnsi="Palatino"/>
          <w:b w:val="0"/>
          <w:bCs w:val="0"/>
          <w:sz w:val="26"/>
        </w:rPr>
        <w:t>SoCalGas</w:t>
      </w:r>
      <w:r w:rsidRPr="001700F6">
        <w:rPr>
          <w:rFonts w:ascii="Palatino" w:eastAsia="Times New Roman" w:hAnsi="Palatino"/>
          <w:b w:val="0"/>
          <w:bCs w:val="0"/>
          <w:sz w:val="26"/>
        </w:rPr>
        <w:t xml:space="preserve"> Filed 2014 Incentive Award Claim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14:paraId="57F5F404" w14:textId="77777777" w:rsidTr="0078095C">
        <w:tc>
          <w:tcPr>
            <w:tcW w:w="6768" w:type="dxa"/>
            <w:tcBorders>
              <w:top w:val="single" w:sz="4" w:space="0" w:color="auto"/>
              <w:bottom w:val="single" w:sz="4" w:space="0" w:color="auto"/>
              <w:right w:val="single" w:sz="4" w:space="0" w:color="auto"/>
            </w:tcBorders>
          </w:tcPr>
          <w:p w14:paraId="57F5F402" w14:textId="77777777" w:rsidR="00705F19" w:rsidRPr="00196089" w:rsidRDefault="00705F19" w:rsidP="0078095C">
            <w:pPr>
              <w:rPr>
                <w:b/>
              </w:rPr>
            </w:pPr>
            <w:r w:rsidRPr="00196089">
              <w:rPr>
                <w:b/>
              </w:rPr>
              <w:t>Award Component</w:t>
            </w:r>
          </w:p>
        </w:tc>
        <w:tc>
          <w:tcPr>
            <w:tcW w:w="2808" w:type="dxa"/>
            <w:tcBorders>
              <w:top w:val="single" w:sz="4" w:space="0" w:color="auto"/>
              <w:left w:val="single" w:sz="4" w:space="0" w:color="auto"/>
              <w:bottom w:val="single" w:sz="4" w:space="0" w:color="auto"/>
            </w:tcBorders>
          </w:tcPr>
          <w:p w14:paraId="57F5F403" w14:textId="77777777" w:rsidR="00705F19" w:rsidRPr="00196089" w:rsidRDefault="00705F19" w:rsidP="0078095C">
            <w:pPr>
              <w:rPr>
                <w:b/>
              </w:rPr>
            </w:pPr>
            <w:r>
              <w:rPr>
                <w:b/>
              </w:rPr>
              <w:t>Requested</w:t>
            </w:r>
            <w:r w:rsidRPr="00196089">
              <w:rPr>
                <w:b/>
              </w:rPr>
              <w:t xml:space="preserve"> Amount</w:t>
            </w:r>
          </w:p>
        </w:tc>
      </w:tr>
      <w:tr w:rsidR="00705F19" w14:paraId="57F5F407" w14:textId="77777777" w:rsidTr="0078095C">
        <w:tc>
          <w:tcPr>
            <w:tcW w:w="6768" w:type="dxa"/>
            <w:tcBorders>
              <w:top w:val="single" w:sz="4" w:space="0" w:color="auto"/>
              <w:right w:val="single" w:sz="4" w:space="0" w:color="auto"/>
            </w:tcBorders>
          </w:tcPr>
          <w:p w14:paraId="57F5F405" w14:textId="77777777" w:rsidR="00705F19" w:rsidRDefault="00705F19" w:rsidP="0078095C">
            <w:r>
              <w:t>Energy savings with ex ante parameter estimates</w:t>
            </w:r>
          </w:p>
        </w:tc>
        <w:tc>
          <w:tcPr>
            <w:tcW w:w="2808" w:type="dxa"/>
            <w:tcBorders>
              <w:top w:val="single" w:sz="4" w:space="0" w:color="auto"/>
              <w:left w:val="single" w:sz="4" w:space="0" w:color="auto"/>
              <w:bottom w:val="nil"/>
            </w:tcBorders>
          </w:tcPr>
          <w:p w14:paraId="57F5F406" w14:textId="77777777" w:rsidR="00705F19" w:rsidRDefault="00705F19" w:rsidP="0078095C">
            <w:r>
              <w:t>$ 794,281</w:t>
            </w:r>
          </w:p>
        </w:tc>
      </w:tr>
      <w:tr w:rsidR="00705F19" w14:paraId="57F5F40A" w14:textId="77777777" w:rsidTr="0078095C">
        <w:tc>
          <w:tcPr>
            <w:tcW w:w="6768" w:type="dxa"/>
            <w:tcBorders>
              <w:right w:val="single" w:sz="4" w:space="0" w:color="auto"/>
            </w:tcBorders>
          </w:tcPr>
          <w:p w14:paraId="57F5F408" w14:textId="77777777" w:rsidR="00705F19" w:rsidRDefault="00705F19" w:rsidP="0078095C">
            <w:r>
              <w:t>Ex ante review performance</w:t>
            </w:r>
          </w:p>
        </w:tc>
        <w:tc>
          <w:tcPr>
            <w:tcW w:w="2808" w:type="dxa"/>
            <w:tcBorders>
              <w:top w:val="nil"/>
              <w:left w:val="single" w:sz="4" w:space="0" w:color="auto"/>
              <w:bottom w:val="single" w:sz="4" w:space="0" w:color="auto"/>
            </w:tcBorders>
          </w:tcPr>
          <w:p w14:paraId="57F5F409" w14:textId="77777777" w:rsidR="00705F19" w:rsidRDefault="00705F19" w:rsidP="0078095C">
            <w:r>
              <w:t>$ 1,047,976</w:t>
            </w:r>
          </w:p>
        </w:tc>
      </w:tr>
      <w:tr w:rsidR="00705F19" w14:paraId="57F5F40D" w14:textId="77777777" w:rsidTr="0078095C">
        <w:tc>
          <w:tcPr>
            <w:tcW w:w="6768" w:type="dxa"/>
            <w:tcBorders>
              <w:right w:val="single" w:sz="4" w:space="0" w:color="auto"/>
            </w:tcBorders>
          </w:tcPr>
          <w:p w14:paraId="57F5F40B" w14:textId="77777777" w:rsidR="00705F19" w:rsidRDefault="00705F19" w:rsidP="0078095C">
            <w:r>
              <w:t>Codes and standards management fee</w:t>
            </w:r>
          </w:p>
        </w:tc>
        <w:tc>
          <w:tcPr>
            <w:tcW w:w="2808" w:type="dxa"/>
            <w:tcBorders>
              <w:top w:val="single" w:sz="4" w:space="0" w:color="auto"/>
              <w:left w:val="single" w:sz="4" w:space="0" w:color="auto"/>
              <w:bottom w:val="nil"/>
            </w:tcBorders>
          </w:tcPr>
          <w:p w14:paraId="57F5F40C" w14:textId="77777777" w:rsidR="00705F19" w:rsidRDefault="00705F19" w:rsidP="0078095C">
            <w:r>
              <w:t>$ 73,418</w:t>
            </w:r>
          </w:p>
        </w:tc>
      </w:tr>
      <w:tr w:rsidR="00705F19" w14:paraId="57F5F410" w14:textId="77777777" w:rsidTr="0078095C">
        <w:tc>
          <w:tcPr>
            <w:tcW w:w="6768" w:type="dxa"/>
            <w:tcBorders>
              <w:bottom w:val="single" w:sz="4" w:space="0" w:color="auto"/>
              <w:right w:val="single" w:sz="4" w:space="0" w:color="auto"/>
            </w:tcBorders>
          </w:tcPr>
          <w:p w14:paraId="57F5F40E" w14:textId="77777777" w:rsidR="00705F19" w:rsidRDefault="00705F19" w:rsidP="0078095C">
            <w:r>
              <w:t>Non-resource program management fee</w:t>
            </w:r>
          </w:p>
        </w:tc>
        <w:tc>
          <w:tcPr>
            <w:tcW w:w="2808" w:type="dxa"/>
            <w:tcBorders>
              <w:top w:val="nil"/>
              <w:left w:val="single" w:sz="4" w:space="0" w:color="auto"/>
              <w:bottom w:val="single" w:sz="4" w:space="0" w:color="auto"/>
            </w:tcBorders>
          </w:tcPr>
          <w:p w14:paraId="57F5F40F" w14:textId="77777777" w:rsidR="00705F19" w:rsidRDefault="00705F19" w:rsidP="0078095C">
            <w:r>
              <w:t>$ 128,906</w:t>
            </w:r>
          </w:p>
        </w:tc>
      </w:tr>
      <w:tr w:rsidR="00705F19" w14:paraId="57F5F413" w14:textId="77777777" w:rsidTr="0078095C">
        <w:tc>
          <w:tcPr>
            <w:tcW w:w="6768" w:type="dxa"/>
            <w:tcBorders>
              <w:bottom w:val="single" w:sz="4" w:space="0" w:color="auto"/>
              <w:right w:val="single" w:sz="4" w:space="0" w:color="auto"/>
            </w:tcBorders>
          </w:tcPr>
          <w:p w14:paraId="57F5F411" w14:textId="77777777" w:rsidR="00705F19" w:rsidRDefault="00705F19" w:rsidP="0078095C">
            <w:r>
              <w:t>2013 UAFCB Audit True Up</w:t>
            </w:r>
          </w:p>
        </w:tc>
        <w:tc>
          <w:tcPr>
            <w:tcW w:w="2808" w:type="dxa"/>
            <w:tcBorders>
              <w:top w:val="nil"/>
              <w:left w:val="single" w:sz="4" w:space="0" w:color="auto"/>
              <w:bottom w:val="single" w:sz="4" w:space="0" w:color="auto"/>
            </w:tcBorders>
          </w:tcPr>
          <w:p w14:paraId="57F5F412" w14:textId="77777777" w:rsidR="00705F19" w:rsidRDefault="00705F19" w:rsidP="0078095C">
            <w:r>
              <w:t>($ 5,262)</w:t>
            </w:r>
          </w:p>
        </w:tc>
      </w:tr>
      <w:tr w:rsidR="00705F19" w14:paraId="57F5F416" w14:textId="77777777" w:rsidTr="0078095C">
        <w:tc>
          <w:tcPr>
            <w:tcW w:w="6768" w:type="dxa"/>
            <w:tcBorders>
              <w:top w:val="single" w:sz="4" w:space="0" w:color="auto"/>
              <w:bottom w:val="single" w:sz="4" w:space="0" w:color="auto"/>
              <w:right w:val="single" w:sz="4" w:space="0" w:color="auto"/>
            </w:tcBorders>
          </w:tcPr>
          <w:p w14:paraId="57F5F414" w14:textId="77777777" w:rsidR="00705F19" w:rsidRDefault="00705F19" w:rsidP="0078095C">
            <w:r>
              <w:t>Total</w:t>
            </w:r>
          </w:p>
        </w:tc>
        <w:tc>
          <w:tcPr>
            <w:tcW w:w="2808" w:type="dxa"/>
            <w:tcBorders>
              <w:top w:val="single" w:sz="4" w:space="0" w:color="auto"/>
              <w:left w:val="single" w:sz="4" w:space="0" w:color="auto"/>
              <w:bottom w:val="single" w:sz="4" w:space="0" w:color="auto"/>
            </w:tcBorders>
          </w:tcPr>
          <w:p w14:paraId="57F5F415" w14:textId="33AC89EC" w:rsidR="00705F19" w:rsidRDefault="00705F19" w:rsidP="00577A20">
            <w:r>
              <w:t>$ 2,039,</w:t>
            </w:r>
            <w:r w:rsidR="00577A20">
              <w:t>319</w:t>
            </w:r>
          </w:p>
        </w:tc>
      </w:tr>
    </w:tbl>
    <w:p w14:paraId="57F5F417" w14:textId="77777777" w:rsidR="00705F19" w:rsidRDefault="00705F19" w:rsidP="00705F19"/>
    <w:p w14:paraId="57F5F418" w14:textId="77777777" w:rsidR="00705F19" w:rsidRDefault="00705F19" w:rsidP="00705F19">
      <w:r>
        <w:t>The UAFCB included two audit observations recommending that certain expenditures be excluded from the ESPI in the SoCalGas 2013 Audit Report.</w:t>
      </w:r>
      <w:r>
        <w:rPr>
          <w:rStyle w:val="FootnoteReference"/>
        </w:rPr>
        <w:footnoteReference w:id="26"/>
      </w:r>
      <w:r>
        <w:t xml:space="preserve"> The UAFCB concluded that $ 5,262 should have been charged to Program </w:t>
      </w:r>
      <w:r w:rsidR="00DF6175">
        <w:br/>
      </w:r>
      <w:r>
        <w:t xml:space="preserve">Year 2012, and not Program Year 2013. </w:t>
      </w:r>
    </w:p>
    <w:p w14:paraId="57F5F419" w14:textId="77777777" w:rsidR="00705F19" w:rsidRDefault="00705F19" w:rsidP="00705F19"/>
    <w:p w14:paraId="57F5F41A" w14:textId="77777777" w:rsidR="00705F19" w:rsidRPr="00731444" w:rsidRDefault="00705F19" w:rsidP="00705F19">
      <w:pPr>
        <w:spacing w:after="120"/>
      </w:pPr>
      <w:r w:rsidRPr="007E7180">
        <w:rPr>
          <w:i/>
        </w:rPr>
        <w:t>Component 1: Energy Savings Performance Award</w:t>
      </w:r>
    </w:p>
    <w:p w14:paraId="57F5F41B" w14:textId="77777777" w:rsidR="00705F19" w:rsidRPr="00D46E49" w:rsidRDefault="00705F19" w:rsidP="00705F19">
      <w:r w:rsidRPr="00D46E49">
        <w:t xml:space="preserve">In Energy Division’s review of SoCalGas AL 4826, staff finds SoCalGas’s filing to be inconsistent with the utility-reported data on file with the Commission and </w:t>
      </w:r>
      <w:r w:rsidR="00C44CC2">
        <w:t>stored on the ED Central Server</w:t>
      </w:r>
      <w:r w:rsidRPr="00D46E49">
        <w:t>.  The differences between the SoCalGas-filed savings values and the Commission data are noted below.</w:t>
      </w:r>
    </w:p>
    <w:p w14:paraId="57F5F41C" w14:textId="77777777" w:rsidR="00705F19" w:rsidRPr="00893BF0" w:rsidRDefault="00705F19" w:rsidP="00705F19">
      <w:pPr>
        <w:rPr>
          <w:highlight w:val="yellow"/>
        </w:rPr>
      </w:pPr>
    </w:p>
    <w:p w14:paraId="57F5F41D" w14:textId="77777777" w:rsidR="00705F19" w:rsidRPr="007E7180" w:rsidRDefault="00705F19" w:rsidP="00705F19">
      <w:pPr>
        <w:spacing w:after="120"/>
      </w:pPr>
      <w:r w:rsidRPr="007E7180">
        <w:t>Table 18: Comparison of SoCalGas Filed Energy Savings and ED Central Server Values</w:t>
      </w:r>
    </w:p>
    <w:tbl>
      <w:tblPr>
        <w:tblW w:w="0" w:type="auto"/>
        <w:tblCellMar>
          <w:left w:w="0" w:type="dxa"/>
          <w:right w:w="0" w:type="dxa"/>
        </w:tblCellMar>
        <w:tblLook w:val="04A0" w:firstRow="1" w:lastRow="0" w:firstColumn="1" w:lastColumn="0" w:noHBand="0" w:noVBand="1"/>
      </w:tblPr>
      <w:tblGrid>
        <w:gridCol w:w="2435"/>
        <w:gridCol w:w="2623"/>
        <w:gridCol w:w="2284"/>
        <w:gridCol w:w="2234"/>
      </w:tblGrid>
      <w:tr w:rsidR="00705F19" w:rsidRPr="00893BF0" w14:paraId="57F5F423" w14:textId="77777777" w:rsidTr="0078095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7F5F41E" w14:textId="77777777" w:rsidR="00705F19" w:rsidRPr="00D46E49" w:rsidRDefault="00705F19" w:rsidP="0078095C">
            <w:pPr>
              <w:rPr>
                <w:rFonts w:ascii="Calibri" w:eastAsiaTheme="minorHAnsi" w:hAnsi="Calibri"/>
                <w:sz w:val="22"/>
                <w:szCs w:val="22"/>
              </w:rPr>
            </w:pP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41F" w14:textId="77777777" w:rsidR="00705F19" w:rsidRPr="00D46E49" w:rsidRDefault="00705F19" w:rsidP="0078095C">
            <w:pPr>
              <w:jc w:val="center"/>
              <w:rPr>
                <w:rFonts w:ascii="Calibri" w:eastAsiaTheme="minorHAnsi" w:hAnsi="Calibri"/>
                <w:b/>
                <w:sz w:val="22"/>
                <w:szCs w:val="22"/>
              </w:rPr>
            </w:pPr>
            <w:r w:rsidRPr="00D46E49">
              <w:rPr>
                <w:b/>
              </w:rPr>
              <w:t xml:space="preserve">IOU Claimed Value </w:t>
            </w:r>
          </w:p>
          <w:p w14:paraId="57F5F420" w14:textId="77777777" w:rsidR="00705F19" w:rsidRPr="00D46E49" w:rsidRDefault="00705F19" w:rsidP="0078095C">
            <w:pPr>
              <w:jc w:val="center"/>
              <w:rPr>
                <w:rFonts w:ascii="Calibri" w:eastAsiaTheme="minorHAnsi" w:hAnsi="Calibri"/>
                <w:b/>
                <w:sz w:val="22"/>
                <w:szCs w:val="22"/>
              </w:rPr>
            </w:pPr>
            <w:r w:rsidRPr="00D46E49">
              <w:rPr>
                <w:b/>
              </w:rPr>
              <w:t>(supplemental AL)</w:t>
            </w:r>
          </w:p>
        </w:tc>
        <w:tc>
          <w:tcPr>
            <w:tcW w:w="22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421" w14:textId="77777777" w:rsidR="00705F19" w:rsidRPr="00D46E49" w:rsidRDefault="00705F19" w:rsidP="0078095C">
            <w:pPr>
              <w:jc w:val="center"/>
              <w:rPr>
                <w:rFonts w:ascii="Calibri" w:eastAsiaTheme="minorHAnsi" w:hAnsi="Calibri"/>
                <w:b/>
                <w:sz w:val="22"/>
                <w:szCs w:val="22"/>
              </w:rPr>
            </w:pPr>
            <w:r w:rsidRPr="00D46E49">
              <w:rPr>
                <w:b/>
              </w:rPr>
              <w:t>ED Central Server Value</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5F422" w14:textId="77777777" w:rsidR="00705F19" w:rsidRPr="00D46E49" w:rsidRDefault="00705F19" w:rsidP="0078095C">
            <w:pPr>
              <w:jc w:val="center"/>
              <w:rPr>
                <w:rFonts w:ascii="Calibri" w:eastAsiaTheme="minorHAnsi" w:hAnsi="Calibri"/>
                <w:b/>
                <w:sz w:val="22"/>
                <w:szCs w:val="22"/>
              </w:rPr>
            </w:pPr>
            <w:r w:rsidRPr="00D46E49">
              <w:rPr>
                <w:b/>
              </w:rPr>
              <w:t>Difference</w:t>
            </w:r>
          </w:p>
        </w:tc>
      </w:tr>
      <w:tr w:rsidR="00705F19" w:rsidRPr="00893BF0" w14:paraId="57F5F428" w14:textId="77777777" w:rsidTr="0078095C">
        <w:tc>
          <w:tcPr>
            <w:tcW w:w="243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7F5F424" w14:textId="77777777" w:rsidR="00705F19" w:rsidRPr="00D46E49" w:rsidRDefault="00705F19" w:rsidP="0078095C">
            <w:pPr>
              <w:rPr>
                <w:rFonts w:ascii="Calibri" w:eastAsiaTheme="minorHAnsi" w:hAnsi="Calibri"/>
                <w:sz w:val="22"/>
                <w:szCs w:val="22"/>
              </w:rPr>
            </w:pPr>
            <w:r>
              <w:t>MMT</w:t>
            </w:r>
            <w:r w:rsidRPr="00D46E49">
              <w:t>h</w:t>
            </w:r>
          </w:p>
        </w:tc>
        <w:tc>
          <w:tcPr>
            <w:tcW w:w="2623" w:type="dxa"/>
            <w:tcBorders>
              <w:left w:val="nil"/>
              <w:bottom w:val="single" w:sz="8" w:space="0" w:color="auto"/>
              <w:right w:val="single" w:sz="8" w:space="0" w:color="auto"/>
            </w:tcBorders>
            <w:tcMar>
              <w:top w:w="0" w:type="dxa"/>
              <w:left w:w="108" w:type="dxa"/>
              <w:bottom w:w="0" w:type="dxa"/>
              <w:right w:w="108" w:type="dxa"/>
            </w:tcMar>
            <w:vAlign w:val="bottom"/>
          </w:tcPr>
          <w:p w14:paraId="57F5F425" w14:textId="77777777" w:rsidR="00705F19" w:rsidRPr="00D46E49" w:rsidRDefault="00705F19" w:rsidP="0078095C">
            <w:pPr>
              <w:jc w:val="center"/>
              <w:rPr>
                <w:rFonts w:ascii="Calibri" w:eastAsiaTheme="minorHAnsi" w:hAnsi="Calibri"/>
                <w:sz w:val="22"/>
                <w:szCs w:val="22"/>
              </w:rPr>
            </w:pPr>
            <w:r w:rsidRPr="00D46E49">
              <w:t>37</w:t>
            </w:r>
          </w:p>
        </w:tc>
        <w:tc>
          <w:tcPr>
            <w:tcW w:w="2284" w:type="dxa"/>
            <w:tcBorders>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7F5F426" w14:textId="77777777" w:rsidR="00705F19" w:rsidRPr="00D46E49" w:rsidRDefault="007E7180" w:rsidP="0078095C">
            <w:pPr>
              <w:jc w:val="center"/>
              <w:rPr>
                <w:rFonts w:ascii="Calibri" w:eastAsiaTheme="minorHAnsi" w:hAnsi="Calibri"/>
                <w:sz w:val="22"/>
                <w:szCs w:val="22"/>
              </w:rPr>
            </w:pPr>
            <w:r w:rsidRPr="007E7180">
              <w:t>3</w:t>
            </w:r>
            <w:r w:rsidR="00530B0C">
              <w:t>6</w:t>
            </w:r>
          </w:p>
        </w:tc>
        <w:tc>
          <w:tcPr>
            <w:tcW w:w="2234" w:type="dxa"/>
            <w:tcBorders>
              <w:left w:val="nil"/>
              <w:bottom w:val="single" w:sz="8" w:space="0" w:color="auto"/>
              <w:right w:val="single" w:sz="8" w:space="0" w:color="auto"/>
            </w:tcBorders>
            <w:shd w:val="clear" w:color="auto" w:fill="auto"/>
            <w:tcMar>
              <w:top w:w="0" w:type="dxa"/>
              <w:left w:w="108" w:type="dxa"/>
              <w:bottom w:w="0" w:type="dxa"/>
              <w:right w:w="108" w:type="dxa"/>
            </w:tcMar>
          </w:tcPr>
          <w:p w14:paraId="57F5F427" w14:textId="77777777" w:rsidR="00705F19" w:rsidRPr="00D46E49" w:rsidRDefault="00530B0C" w:rsidP="0078095C">
            <w:pPr>
              <w:jc w:val="center"/>
              <w:rPr>
                <w:rFonts w:ascii="Calibri" w:eastAsiaTheme="minorHAnsi" w:hAnsi="Calibri"/>
                <w:sz w:val="22"/>
                <w:szCs w:val="22"/>
              </w:rPr>
            </w:pPr>
            <w:r>
              <w:t>3</w:t>
            </w:r>
            <w:r w:rsidR="00705F19" w:rsidRPr="00D46E49">
              <w:t>%</w:t>
            </w:r>
          </w:p>
        </w:tc>
      </w:tr>
    </w:tbl>
    <w:p w14:paraId="57F5F42A" w14:textId="77777777" w:rsidR="00705F19" w:rsidRDefault="00705F19" w:rsidP="00705F19">
      <w:r w:rsidRPr="00D46E49">
        <w:lastRenderedPageBreak/>
        <w:t xml:space="preserve">It is unclear why the utility-reported data on file at the Commission would differ from SoCalGas’s advice letter filing.  The savings values staff used for the purposes of this Resolution is included as Attachment 3.  Given that the Commission data on file are comprised of utility-filed claims reviewed by Commission staff, staff relied on the Commission data to verify and confirm SoCalGas’s filing.  </w:t>
      </w:r>
      <w:r w:rsidRPr="00D46E49">
        <w:rPr>
          <w:u w:val="single"/>
        </w:rPr>
        <w:t xml:space="preserve">As such, the energy savings component of the shareholder incentive award for </w:t>
      </w:r>
      <w:r w:rsidRPr="00C44CC2">
        <w:rPr>
          <w:u w:val="single"/>
        </w:rPr>
        <w:t>SoCalGas</w:t>
      </w:r>
      <w:r w:rsidRPr="00D46E49">
        <w:rPr>
          <w:u w:val="single"/>
        </w:rPr>
        <w:t xml:space="preserve"> is calculated per Table</w:t>
      </w:r>
      <w:r w:rsidR="008C06CB">
        <w:rPr>
          <w:u w:val="single"/>
        </w:rPr>
        <w:t xml:space="preserve"> 19</w:t>
      </w:r>
      <w:r w:rsidRPr="00D46E49">
        <w:rPr>
          <w:u w:val="single"/>
        </w:rPr>
        <w:t xml:space="preserve"> below, for a total reduction of $ </w:t>
      </w:r>
      <w:r w:rsidR="00530B0C">
        <w:rPr>
          <w:u w:val="single"/>
        </w:rPr>
        <w:t>26,365</w:t>
      </w:r>
      <w:r w:rsidR="007E7180">
        <w:rPr>
          <w:u w:val="single"/>
        </w:rPr>
        <w:t xml:space="preserve"> </w:t>
      </w:r>
      <w:r w:rsidRPr="00D46E49">
        <w:rPr>
          <w:u w:val="single"/>
        </w:rPr>
        <w:t>from the claimed amount in SoCalGas AL 4826.</w:t>
      </w:r>
    </w:p>
    <w:p w14:paraId="57F5F42B" w14:textId="77777777" w:rsidR="00705F19" w:rsidRDefault="00705F19" w:rsidP="00705F19"/>
    <w:p w14:paraId="57F5F42C" w14:textId="77777777" w:rsidR="00705F19" w:rsidRDefault="00705F19" w:rsidP="00705F19">
      <w:pPr>
        <w:spacing w:after="120"/>
      </w:pPr>
      <w:r w:rsidRPr="007E7180">
        <w:t>Table 19: SoCalGas Energy Savings Performance Award Calculation</w:t>
      </w:r>
    </w:p>
    <w:tbl>
      <w:tblPr>
        <w:tblStyle w:val="TableGrid"/>
        <w:tblW w:w="0" w:type="auto"/>
        <w:tblLook w:val="04A0" w:firstRow="1" w:lastRow="0" w:firstColumn="1" w:lastColumn="0" w:noHBand="0" w:noVBand="1"/>
      </w:tblPr>
      <w:tblGrid>
        <w:gridCol w:w="3192"/>
        <w:gridCol w:w="3192"/>
        <w:gridCol w:w="3192"/>
      </w:tblGrid>
      <w:tr w:rsidR="00705F19" w14:paraId="57F5F430" w14:textId="77777777" w:rsidTr="0078095C">
        <w:tc>
          <w:tcPr>
            <w:tcW w:w="3192" w:type="dxa"/>
            <w:tcBorders>
              <w:bottom w:val="single" w:sz="4" w:space="0" w:color="auto"/>
            </w:tcBorders>
          </w:tcPr>
          <w:p w14:paraId="57F5F42D" w14:textId="77777777" w:rsidR="00705F19" w:rsidRPr="00196089" w:rsidRDefault="00705F19" w:rsidP="0078095C">
            <w:pPr>
              <w:jc w:val="center"/>
              <w:rPr>
                <w:b/>
              </w:rPr>
            </w:pPr>
            <w:r w:rsidRPr="00196089">
              <w:rPr>
                <w:b/>
              </w:rPr>
              <w:t>Energy Units Saved</w:t>
            </w:r>
          </w:p>
        </w:tc>
        <w:tc>
          <w:tcPr>
            <w:tcW w:w="3192" w:type="dxa"/>
            <w:tcBorders>
              <w:bottom w:val="single" w:sz="4" w:space="0" w:color="auto"/>
            </w:tcBorders>
          </w:tcPr>
          <w:p w14:paraId="57F5F42E" w14:textId="77777777" w:rsidR="00705F19" w:rsidRPr="00196089" w:rsidRDefault="00705F19" w:rsidP="0078095C">
            <w:pPr>
              <w:jc w:val="center"/>
              <w:rPr>
                <w:b/>
              </w:rPr>
            </w:pPr>
            <w:r w:rsidRPr="00196089">
              <w:rPr>
                <w:b/>
              </w:rPr>
              <w:t>Earnings Rate</w:t>
            </w:r>
          </w:p>
        </w:tc>
        <w:tc>
          <w:tcPr>
            <w:tcW w:w="3192" w:type="dxa"/>
            <w:tcBorders>
              <w:bottom w:val="single" w:sz="4" w:space="0" w:color="auto"/>
            </w:tcBorders>
          </w:tcPr>
          <w:p w14:paraId="57F5F42F" w14:textId="77777777" w:rsidR="00705F19" w:rsidRPr="00196089" w:rsidRDefault="00705F19" w:rsidP="0078095C">
            <w:pPr>
              <w:jc w:val="center"/>
              <w:rPr>
                <w:b/>
              </w:rPr>
            </w:pPr>
            <w:r w:rsidRPr="00196089">
              <w:rPr>
                <w:b/>
              </w:rPr>
              <w:t>Total Earnings</w:t>
            </w:r>
          </w:p>
        </w:tc>
      </w:tr>
      <w:tr w:rsidR="00705F19" w14:paraId="57F5F434" w14:textId="77777777" w:rsidTr="0078095C">
        <w:tc>
          <w:tcPr>
            <w:tcW w:w="3192" w:type="dxa"/>
            <w:tcBorders>
              <w:bottom w:val="nil"/>
            </w:tcBorders>
            <w:shd w:val="clear" w:color="auto" w:fill="auto"/>
          </w:tcPr>
          <w:p w14:paraId="57F5F431" w14:textId="77777777" w:rsidR="00705F19" w:rsidRPr="0061345E" w:rsidRDefault="00530B0C" w:rsidP="0078095C">
            <w:pPr>
              <w:jc w:val="center"/>
            </w:pPr>
            <w:r>
              <w:t xml:space="preserve"> 36 </w:t>
            </w:r>
            <w:r w:rsidR="00705F19">
              <w:t>MMTh</w:t>
            </w:r>
          </w:p>
        </w:tc>
        <w:tc>
          <w:tcPr>
            <w:tcW w:w="3192" w:type="dxa"/>
            <w:tcBorders>
              <w:bottom w:val="nil"/>
            </w:tcBorders>
          </w:tcPr>
          <w:p w14:paraId="57F5F432" w14:textId="77777777" w:rsidR="00705F19" w:rsidRPr="00476F1B" w:rsidRDefault="00705F19" w:rsidP="0078095C">
            <w:pPr>
              <w:jc w:val="center"/>
            </w:pPr>
            <w:r>
              <w:t>$ 21,331/MMTh</w:t>
            </w:r>
          </w:p>
        </w:tc>
        <w:tc>
          <w:tcPr>
            <w:tcW w:w="3192" w:type="dxa"/>
            <w:tcBorders>
              <w:bottom w:val="nil"/>
            </w:tcBorders>
          </w:tcPr>
          <w:p w14:paraId="57F5F433" w14:textId="77777777" w:rsidR="00705F19" w:rsidRPr="0061345E" w:rsidRDefault="00705F19" w:rsidP="00530B0C">
            <w:pPr>
              <w:jc w:val="center"/>
            </w:pPr>
            <w:r w:rsidRPr="00476F1B">
              <w:t>$</w:t>
            </w:r>
            <w:r>
              <w:t xml:space="preserve"> </w:t>
            </w:r>
            <w:r w:rsidR="00530B0C">
              <w:t>767,916</w:t>
            </w:r>
          </w:p>
        </w:tc>
      </w:tr>
      <w:tr w:rsidR="00705F19" w14:paraId="57F5F437" w14:textId="77777777" w:rsidTr="0078095C">
        <w:tc>
          <w:tcPr>
            <w:tcW w:w="6384" w:type="dxa"/>
            <w:gridSpan w:val="2"/>
          </w:tcPr>
          <w:p w14:paraId="57F5F435" w14:textId="77777777" w:rsidR="00705F19" w:rsidRPr="00141838" w:rsidRDefault="00705F19" w:rsidP="0078095C">
            <w:pPr>
              <w:jc w:val="center"/>
            </w:pPr>
          </w:p>
        </w:tc>
        <w:tc>
          <w:tcPr>
            <w:tcW w:w="3192" w:type="dxa"/>
          </w:tcPr>
          <w:p w14:paraId="57F5F436" w14:textId="77777777" w:rsidR="00705F19" w:rsidRPr="0061345E" w:rsidRDefault="00705F19" w:rsidP="00530B0C">
            <w:pPr>
              <w:jc w:val="center"/>
            </w:pPr>
            <w:r w:rsidRPr="0061345E">
              <w:t>$</w:t>
            </w:r>
            <w:r>
              <w:t xml:space="preserve"> </w:t>
            </w:r>
            <w:r w:rsidR="00530B0C">
              <w:t>767,916</w:t>
            </w:r>
          </w:p>
        </w:tc>
      </w:tr>
    </w:tbl>
    <w:p w14:paraId="57F5F438" w14:textId="77777777" w:rsidR="00705F19" w:rsidRDefault="00705F19" w:rsidP="00705F19">
      <w:pPr>
        <w:spacing w:after="120"/>
        <w:rPr>
          <w:i/>
        </w:rPr>
      </w:pPr>
    </w:p>
    <w:p w14:paraId="57F5F439" w14:textId="77777777" w:rsidR="00705F19" w:rsidRPr="00605B4E" w:rsidRDefault="00705F19" w:rsidP="00705F19">
      <w:pPr>
        <w:spacing w:after="120"/>
        <w:rPr>
          <w:i/>
        </w:rPr>
      </w:pPr>
      <w:r>
        <w:rPr>
          <w:i/>
        </w:rPr>
        <w:t>Energy Efficiency Program Expenditures</w:t>
      </w:r>
    </w:p>
    <w:p w14:paraId="57F5F43A" w14:textId="77777777" w:rsidR="00705F19" w:rsidRDefault="00705F19" w:rsidP="00705F19">
      <w:r>
        <w:t xml:space="preserve">In AL 4826 SoCalGas notes the following expenditures that are applicable to the </w:t>
      </w:r>
      <w:r w:rsidR="005A1D6B">
        <w:t xml:space="preserve">three </w:t>
      </w:r>
      <w:r>
        <w:t>incentive award components:</w:t>
      </w:r>
    </w:p>
    <w:p w14:paraId="57F5F43B" w14:textId="77777777" w:rsidR="00705F19" w:rsidRDefault="00705F19" w:rsidP="00705F19">
      <w:pPr>
        <w:spacing w:after="120"/>
      </w:pPr>
    </w:p>
    <w:p w14:paraId="57F5F43C" w14:textId="77777777" w:rsidR="00705F19" w:rsidRDefault="00705F19" w:rsidP="00705F19">
      <w:pPr>
        <w:spacing w:after="120"/>
      </w:pPr>
      <w:r>
        <w:t xml:space="preserve">Table 20: SoCalGas Filed Expenditures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978"/>
        <w:gridCol w:w="2970"/>
        <w:gridCol w:w="2628"/>
      </w:tblGrid>
      <w:tr w:rsidR="00705F19" w14:paraId="57F5F440" w14:textId="77777777" w:rsidTr="0078095C">
        <w:trPr>
          <w:tblHeader/>
        </w:trPr>
        <w:tc>
          <w:tcPr>
            <w:tcW w:w="3978" w:type="dxa"/>
            <w:tcBorders>
              <w:top w:val="single" w:sz="4" w:space="0" w:color="auto"/>
              <w:bottom w:val="single" w:sz="4" w:space="0" w:color="auto"/>
              <w:right w:val="single" w:sz="4" w:space="0" w:color="auto"/>
            </w:tcBorders>
          </w:tcPr>
          <w:p w14:paraId="57F5F43D" w14:textId="77777777" w:rsidR="00705F19" w:rsidRPr="00196089" w:rsidRDefault="00705F19" w:rsidP="0078095C">
            <w:pPr>
              <w:rPr>
                <w:b/>
              </w:rPr>
            </w:pPr>
            <w:r w:rsidRPr="00196089">
              <w:rPr>
                <w:b/>
              </w:rPr>
              <w:t>Award Component</w:t>
            </w:r>
          </w:p>
        </w:tc>
        <w:tc>
          <w:tcPr>
            <w:tcW w:w="2970" w:type="dxa"/>
            <w:tcBorders>
              <w:top w:val="single" w:sz="4" w:space="0" w:color="auto"/>
              <w:bottom w:val="single" w:sz="4" w:space="0" w:color="auto"/>
              <w:right w:val="single" w:sz="4" w:space="0" w:color="auto"/>
            </w:tcBorders>
          </w:tcPr>
          <w:p w14:paraId="57F5F43E" w14:textId="77777777" w:rsidR="00705F19" w:rsidRPr="00196089" w:rsidRDefault="00705F19" w:rsidP="0078095C">
            <w:pPr>
              <w:rPr>
                <w:b/>
              </w:rPr>
            </w:pPr>
            <w:r w:rsidRPr="00196089">
              <w:rPr>
                <w:b/>
              </w:rPr>
              <w:t>Applicable Budget(s)</w:t>
            </w:r>
          </w:p>
        </w:tc>
        <w:tc>
          <w:tcPr>
            <w:tcW w:w="2628" w:type="dxa"/>
            <w:tcBorders>
              <w:top w:val="single" w:sz="4" w:space="0" w:color="auto"/>
              <w:left w:val="single" w:sz="4" w:space="0" w:color="auto"/>
              <w:bottom w:val="single" w:sz="4" w:space="0" w:color="auto"/>
            </w:tcBorders>
          </w:tcPr>
          <w:p w14:paraId="57F5F43F" w14:textId="77777777" w:rsidR="00705F19" w:rsidRPr="00196089" w:rsidRDefault="00705F19" w:rsidP="0078095C">
            <w:pPr>
              <w:rPr>
                <w:b/>
              </w:rPr>
            </w:pPr>
            <w:r w:rsidRPr="00196089">
              <w:rPr>
                <w:b/>
              </w:rPr>
              <w:t>Expenditures (less administrative costs)</w:t>
            </w:r>
          </w:p>
        </w:tc>
      </w:tr>
      <w:tr w:rsidR="00705F19" w14:paraId="57F5F444" w14:textId="77777777" w:rsidTr="0078095C">
        <w:tc>
          <w:tcPr>
            <w:tcW w:w="3978" w:type="dxa"/>
            <w:tcBorders>
              <w:right w:val="single" w:sz="4" w:space="0" w:color="auto"/>
            </w:tcBorders>
          </w:tcPr>
          <w:p w14:paraId="57F5F441" w14:textId="77777777" w:rsidR="00705F19" w:rsidRDefault="00705F19" w:rsidP="0078095C">
            <w:pPr>
              <w:pStyle w:val="ListParagraph"/>
              <w:numPr>
                <w:ilvl w:val="0"/>
                <w:numId w:val="18"/>
              </w:numPr>
              <w:spacing w:after="120"/>
            </w:pPr>
            <w:r>
              <w:t>Ex ante review performance</w:t>
            </w:r>
          </w:p>
        </w:tc>
        <w:tc>
          <w:tcPr>
            <w:tcW w:w="2970" w:type="dxa"/>
            <w:tcBorders>
              <w:right w:val="single" w:sz="4" w:space="0" w:color="auto"/>
            </w:tcBorders>
          </w:tcPr>
          <w:p w14:paraId="57F5F442" w14:textId="77777777" w:rsidR="00705F19" w:rsidRDefault="00705F19" w:rsidP="0078095C">
            <w:pPr>
              <w:spacing w:after="120"/>
            </w:pPr>
            <w:r>
              <w:t>All resource programs</w:t>
            </w:r>
          </w:p>
        </w:tc>
        <w:tc>
          <w:tcPr>
            <w:tcW w:w="2628" w:type="dxa"/>
            <w:tcBorders>
              <w:top w:val="nil"/>
              <w:left w:val="single" w:sz="4" w:space="0" w:color="auto"/>
              <w:bottom w:val="nil"/>
            </w:tcBorders>
          </w:tcPr>
          <w:p w14:paraId="57F5F443" w14:textId="77777777" w:rsidR="00705F19" w:rsidRDefault="00705F19" w:rsidP="0078095C">
            <w:pPr>
              <w:spacing w:after="120"/>
            </w:pPr>
            <w:r>
              <w:t>$ 50,262,659</w:t>
            </w:r>
          </w:p>
        </w:tc>
      </w:tr>
      <w:tr w:rsidR="00705F19" w14:paraId="57F5F448" w14:textId="77777777" w:rsidTr="0078095C">
        <w:tc>
          <w:tcPr>
            <w:tcW w:w="3978" w:type="dxa"/>
            <w:tcBorders>
              <w:right w:val="single" w:sz="4" w:space="0" w:color="auto"/>
            </w:tcBorders>
          </w:tcPr>
          <w:p w14:paraId="57F5F445" w14:textId="77777777" w:rsidR="00705F19" w:rsidRDefault="00705F19" w:rsidP="0078095C">
            <w:pPr>
              <w:pStyle w:val="ListParagraph"/>
              <w:numPr>
                <w:ilvl w:val="0"/>
                <w:numId w:val="18"/>
              </w:numPr>
              <w:spacing w:after="120"/>
            </w:pPr>
            <w:r>
              <w:t>Codes and standards   management fee</w:t>
            </w:r>
          </w:p>
        </w:tc>
        <w:tc>
          <w:tcPr>
            <w:tcW w:w="2970" w:type="dxa"/>
            <w:tcBorders>
              <w:right w:val="single" w:sz="4" w:space="0" w:color="auto"/>
            </w:tcBorders>
          </w:tcPr>
          <w:p w14:paraId="57F5F446" w14:textId="77777777" w:rsidR="00705F19" w:rsidRDefault="00705F19" w:rsidP="0078095C">
            <w:pPr>
              <w:spacing w:after="120"/>
            </w:pPr>
            <w:r>
              <w:t>Codes and standards programs</w:t>
            </w:r>
          </w:p>
        </w:tc>
        <w:tc>
          <w:tcPr>
            <w:tcW w:w="2628" w:type="dxa"/>
            <w:tcBorders>
              <w:top w:val="nil"/>
              <w:left w:val="single" w:sz="4" w:space="0" w:color="auto"/>
              <w:bottom w:val="nil"/>
            </w:tcBorders>
          </w:tcPr>
          <w:p w14:paraId="57F5F447" w14:textId="77777777" w:rsidR="00705F19" w:rsidRDefault="00705F19" w:rsidP="0078095C">
            <w:pPr>
              <w:spacing w:after="120"/>
            </w:pPr>
            <w:r>
              <w:t>$ 611,820</w:t>
            </w:r>
          </w:p>
        </w:tc>
      </w:tr>
      <w:tr w:rsidR="00705F19" w14:paraId="57F5F44C" w14:textId="77777777" w:rsidTr="0078095C">
        <w:tc>
          <w:tcPr>
            <w:tcW w:w="3978" w:type="dxa"/>
            <w:tcBorders>
              <w:bottom w:val="single" w:sz="4" w:space="0" w:color="auto"/>
              <w:right w:val="single" w:sz="4" w:space="0" w:color="auto"/>
            </w:tcBorders>
          </w:tcPr>
          <w:p w14:paraId="57F5F449" w14:textId="77777777" w:rsidR="00705F19" w:rsidRDefault="00705F19" w:rsidP="0078095C">
            <w:pPr>
              <w:pStyle w:val="ListParagraph"/>
              <w:numPr>
                <w:ilvl w:val="0"/>
                <w:numId w:val="18"/>
              </w:numPr>
              <w:spacing w:after="120"/>
            </w:pPr>
            <w:r>
              <w:t>Non-resource program management fee</w:t>
            </w:r>
          </w:p>
        </w:tc>
        <w:tc>
          <w:tcPr>
            <w:tcW w:w="2970" w:type="dxa"/>
            <w:tcBorders>
              <w:bottom w:val="single" w:sz="4" w:space="0" w:color="auto"/>
              <w:right w:val="single" w:sz="4" w:space="0" w:color="auto"/>
            </w:tcBorders>
          </w:tcPr>
          <w:p w14:paraId="57F5F44A" w14:textId="77777777" w:rsidR="00705F19" w:rsidRDefault="00705F19" w:rsidP="0078095C">
            <w:pPr>
              <w:spacing w:after="120"/>
            </w:pPr>
            <w:r>
              <w:t>Non-resource programs</w:t>
            </w:r>
          </w:p>
        </w:tc>
        <w:tc>
          <w:tcPr>
            <w:tcW w:w="2628" w:type="dxa"/>
            <w:tcBorders>
              <w:top w:val="nil"/>
              <w:left w:val="single" w:sz="4" w:space="0" w:color="auto"/>
              <w:bottom w:val="single" w:sz="4" w:space="0" w:color="auto"/>
            </w:tcBorders>
          </w:tcPr>
          <w:p w14:paraId="57F5F44B" w14:textId="77777777" w:rsidR="00705F19" w:rsidRDefault="00705F19" w:rsidP="0078095C">
            <w:pPr>
              <w:spacing w:after="120"/>
            </w:pPr>
            <w:r>
              <w:t>$ 4,296,874</w:t>
            </w:r>
          </w:p>
        </w:tc>
      </w:tr>
    </w:tbl>
    <w:p w14:paraId="57F5F44D" w14:textId="77777777" w:rsidR="00705F19" w:rsidRDefault="00705F19" w:rsidP="00705F19"/>
    <w:p w14:paraId="57F5F44E" w14:textId="77777777" w:rsidR="00705F19" w:rsidRPr="00D46E49" w:rsidRDefault="00705F19" w:rsidP="00705F19">
      <w:r w:rsidRPr="00D46E49">
        <w:t>SoCalGas’s filed expenditures for non-resource programs are consistent with the utility-reported data on file at the Commission. The differences in expenditures for resource and C&amp;S programs are noted below:</w:t>
      </w:r>
    </w:p>
    <w:p w14:paraId="57F5F44F" w14:textId="77777777" w:rsidR="00705F19" w:rsidRPr="00F97044" w:rsidRDefault="00705F19" w:rsidP="00705F19">
      <w:pPr>
        <w:rPr>
          <w:highlight w:val="yellow"/>
        </w:rPr>
      </w:pPr>
    </w:p>
    <w:p w14:paraId="57F5F450" w14:textId="77777777" w:rsidR="00705F19" w:rsidRPr="00D46E49" w:rsidRDefault="00705F19" w:rsidP="00705F19">
      <w:pPr>
        <w:spacing w:after="120"/>
      </w:pPr>
      <w:r w:rsidRPr="00D46E49">
        <w:t xml:space="preserve">Table 21: Comparison of </w:t>
      </w:r>
      <w:r w:rsidR="005A1D6B">
        <w:t xml:space="preserve">2014 </w:t>
      </w:r>
      <w:r w:rsidRPr="00D46E49">
        <w:t xml:space="preserve">SoCalGas and ED Central Server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D46E49" w14:paraId="57F5F455" w14:textId="77777777" w:rsidTr="0078095C">
        <w:tc>
          <w:tcPr>
            <w:tcW w:w="3078" w:type="dxa"/>
            <w:tcBorders>
              <w:bottom w:val="single" w:sz="4" w:space="0" w:color="auto"/>
            </w:tcBorders>
            <w:shd w:val="clear" w:color="auto" w:fill="auto"/>
            <w:vAlign w:val="bottom"/>
          </w:tcPr>
          <w:p w14:paraId="57F5F451" w14:textId="77777777" w:rsidR="00705F19" w:rsidRPr="00D46E49" w:rsidRDefault="00705F19" w:rsidP="0078095C"/>
        </w:tc>
        <w:tc>
          <w:tcPr>
            <w:tcW w:w="2340" w:type="dxa"/>
            <w:tcBorders>
              <w:bottom w:val="single" w:sz="4" w:space="0" w:color="auto"/>
            </w:tcBorders>
            <w:shd w:val="clear" w:color="auto" w:fill="auto"/>
            <w:vAlign w:val="bottom"/>
          </w:tcPr>
          <w:p w14:paraId="57F5F452" w14:textId="77777777" w:rsidR="00705F19" w:rsidRPr="00D46E49" w:rsidRDefault="00705F19" w:rsidP="0078095C">
            <w:pPr>
              <w:jc w:val="center"/>
              <w:rPr>
                <w:b/>
              </w:rPr>
            </w:pPr>
            <w:r w:rsidRPr="00D46E49">
              <w:rPr>
                <w:b/>
              </w:rPr>
              <w:t>IOU Claimed Value</w:t>
            </w:r>
          </w:p>
        </w:tc>
        <w:tc>
          <w:tcPr>
            <w:tcW w:w="2340" w:type="dxa"/>
            <w:tcBorders>
              <w:bottom w:val="single" w:sz="4" w:space="0" w:color="auto"/>
            </w:tcBorders>
            <w:shd w:val="clear" w:color="auto" w:fill="auto"/>
            <w:vAlign w:val="bottom"/>
          </w:tcPr>
          <w:p w14:paraId="57F5F453" w14:textId="77777777" w:rsidR="00705F19" w:rsidRPr="00D46E49" w:rsidRDefault="00705F19" w:rsidP="0078095C">
            <w:pPr>
              <w:jc w:val="center"/>
              <w:rPr>
                <w:b/>
              </w:rPr>
            </w:pPr>
            <w:r w:rsidRPr="00D46E49">
              <w:rPr>
                <w:b/>
              </w:rPr>
              <w:t>ED Central Server Value</w:t>
            </w:r>
          </w:p>
        </w:tc>
        <w:tc>
          <w:tcPr>
            <w:tcW w:w="1818" w:type="dxa"/>
            <w:tcBorders>
              <w:bottom w:val="single" w:sz="4" w:space="0" w:color="auto"/>
            </w:tcBorders>
            <w:shd w:val="clear" w:color="auto" w:fill="auto"/>
          </w:tcPr>
          <w:p w14:paraId="57F5F454" w14:textId="77777777" w:rsidR="00705F19" w:rsidRPr="00D46E49" w:rsidRDefault="00705F19" w:rsidP="0078095C">
            <w:pPr>
              <w:jc w:val="center"/>
              <w:rPr>
                <w:b/>
              </w:rPr>
            </w:pPr>
            <w:r w:rsidRPr="00D46E49">
              <w:rPr>
                <w:b/>
              </w:rPr>
              <w:t>Difference</w:t>
            </w:r>
          </w:p>
        </w:tc>
      </w:tr>
      <w:tr w:rsidR="00705F19" w:rsidRPr="00D46E49" w14:paraId="57F5F45A" w14:textId="77777777" w:rsidTr="0078095C">
        <w:tc>
          <w:tcPr>
            <w:tcW w:w="3078" w:type="dxa"/>
            <w:tcBorders>
              <w:bottom w:val="nil"/>
            </w:tcBorders>
            <w:shd w:val="clear" w:color="auto" w:fill="auto"/>
            <w:vAlign w:val="bottom"/>
          </w:tcPr>
          <w:p w14:paraId="57F5F456" w14:textId="77777777" w:rsidR="00705F19" w:rsidRPr="00D46E49" w:rsidRDefault="00705F19" w:rsidP="0078095C">
            <w:r w:rsidRPr="00D46E49">
              <w:t>Resource programs</w:t>
            </w:r>
          </w:p>
        </w:tc>
        <w:tc>
          <w:tcPr>
            <w:tcW w:w="2340" w:type="dxa"/>
            <w:tcBorders>
              <w:bottom w:val="nil"/>
            </w:tcBorders>
            <w:shd w:val="clear" w:color="auto" w:fill="auto"/>
            <w:vAlign w:val="bottom"/>
          </w:tcPr>
          <w:p w14:paraId="57F5F457" w14:textId="77777777" w:rsidR="00705F19" w:rsidRPr="00D46E49" w:rsidRDefault="00705F19" w:rsidP="0078095C">
            <w:pPr>
              <w:jc w:val="center"/>
            </w:pPr>
            <w:r w:rsidRPr="00D46E49">
              <w:t>$ 50,262,659</w:t>
            </w:r>
          </w:p>
        </w:tc>
        <w:tc>
          <w:tcPr>
            <w:tcW w:w="2340" w:type="dxa"/>
            <w:tcBorders>
              <w:bottom w:val="nil"/>
            </w:tcBorders>
            <w:shd w:val="clear" w:color="auto" w:fill="auto"/>
            <w:vAlign w:val="bottom"/>
          </w:tcPr>
          <w:p w14:paraId="57F5F458" w14:textId="7D340051" w:rsidR="00705F19" w:rsidRPr="00D46E49" w:rsidRDefault="00705F19" w:rsidP="00577A20">
            <w:pPr>
              <w:jc w:val="center"/>
            </w:pPr>
            <w:r w:rsidRPr="00D46E49">
              <w:t>$  49,095,</w:t>
            </w:r>
            <w:r w:rsidR="00577A20" w:rsidRPr="00D46E49">
              <w:t>3</w:t>
            </w:r>
            <w:r w:rsidR="00577A20">
              <w:t>45</w:t>
            </w:r>
          </w:p>
        </w:tc>
        <w:tc>
          <w:tcPr>
            <w:tcW w:w="1818" w:type="dxa"/>
            <w:tcBorders>
              <w:bottom w:val="nil"/>
            </w:tcBorders>
            <w:shd w:val="clear" w:color="auto" w:fill="auto"/>
          </w:tcPr>
          <w:p w14:paraId="57F5F459" w14:textId="77777777" w:rsidR="00705F19" w:rsidRPr="00D46E49" w:rsidRDefault="00705F19" w:rsidP="0078095C">
            <w:pPr>
              <w:jc w:val="center"/>
            </w:pPr>
            <w:r w:rsidRPr="00D46E49">
              <w:t>2%</w:t>
            </w:r>
          </w:p>
        </w:tc>
      </w:tr>
      <w:tr w:rsidR="00705F19" w:rsidRPr="00D46E49" w14:paraId="57F5F460" w14:textId="77777777" w:rsidTr="0078095C">
        <w:tc>
          <w:tcPr>
            <w:tcW w:w="3078" w:type="dxa"/>
            <w:tcBorders>
              <w:top w:val="nil"/>
              <w:left w:val="single" w:sz="4" w:space="0" w:color="auto"/>
              <w:bottom w:val="nil"/>
              <w:right w:val="single" w:sz="4" w:space="0" w:color="auto"/>
            </w:tcBorders>
            <w:shd w:val="clear" w:color="auto" w:fill="auto"/>
            <w:vAlign w:val="bottom"/>
          </w:tcPr>
          <w:p w14:paraId="57F5F45B" w14:textId="77777777" w:rsidR="00705F19" w:rsidRPr="00D46E49" w:rsidRDefault="00705F19" w:rsidP="0078095C">
            <w:r w:rsidRPr="00D46E49">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45C" w14:textId="77777777" w:rsidR="00705F19" w:rsidRPr="00D46E49" w:rsidRDefault="00705F19" w:rsidP="0078095C">
            <w:pPr>
              <w:jc w:val="center"/>
            </w:pPr>
            <w:r w:rsidRPr="00D46E49">
              <w:t>$ 611,820</w:t>
            </w:r>
          </w:p>
        </w:tc>
        <w:tc>
          <w:tcPr>
            <w:tcW w:w="2340" w:type="dxa"/>
            <w:tcBorders>
              <w:top w:val="nil"/>
              <w:left w:val="single" w:sz="4" w:space="0" w:color="auto"/>
              <w:bottom w:val="nil"/>
              <w:right w:val="single" w:sz="4" w:space="0" w:color="auto"/>
            </w:tcBorders>
            <w:shd w:val="clear" w:color="auto" w:fill="auto"/>
            <w:vAlign w:val="bottom"/>
          </w:tcPr>
          <w:p w14:paraId="57F5F45D" w14:textId="77777777" w:rsidR="00705F19" w:rsidRPr="00D46E49" w:rsidRDefault="00705F19" w:rsidP="0078095C">
            <w:pPr>
              <w:jc w:val="center"/>
            </w:pPr>
            <w:r w:rsidRPr="00D46E49">
              <w:t>$   655,675</w:t>
            </w:r>
          </w:p>
        </w:tc>
        <w:tc>
          <w:tcPr>
            <w:tcW w:w="1818" w:type="dxa"/>
            <w:tcBorders>
              <w:top w:val="nil"/>
              <w:left w:val="single" w:sz="4" w:space="0" w:color="auto"/>
              <w:bottom w:val="nil"/>
              <w:right w:val="single" w:sz="4" w:space="0" w:color="auto"/>
            </w:tcBorders>
            <w:shd w:val="clear" w:color="auto" w:fill="auto"/>
          </w:tcPr>
          <w:p w14:paraId="57F5F45E" w14:textId="77777777" w:rsidR="00705F19" w:rsidRPr="00D46E49" w:rsidRDefault="00705F19" w:rsidP="0078095C">
            <w:pPr>
              <w:jc w:val="center"/>
            </w:pPr>
          </w:p>
          <w:p w14:paraId="57F5F45F" w14:textId="77777777" w:rsidR="00705F19" w:rsidRPr="00D46E49" w:rsidRDefault="00705F19" w:rsidP="0078095C">
            <w:pPr>
              <w:jc w:val="center"/>
            </w:pPr>
            <w:r w:rsidRPr="00D46E49">
              <w:t>-7%</w:t>
            </w:r>
          </w:p>
        </w:tc>
      </w:tr>
      <w:tr w:rsidR="00705F19" w:rsidRPr="00D46E49" w14:paraId="57F5F465"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461" w14:textId="77777777" w:rsidR="00705F19" w:rsidRPr="00D46E49" w:rsidRDefault="00705F19" w:rsidP="0078095C">
            <w:r w:rsidRPr="00D46E49">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462" w14:textId="77777777" w:rsidR="00705F19" w:rsidRPr="00D46E49" w:rsidRDefault="00705F19" w:rsidP="0078095C">
            <w:pPr>
              <w:jc w:val="center"/>
            </w:pPr>
            <w:r w:rsidRPr="00D46E49">
              <w:t>$ 4,296,874</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463" w14:textId="4EFD1E9B" w:rsidR="00705F19" w:rsidRPr="00D46E49" w:rsidRDefault="00705F19" w:rsidP="00577A20">
            <w:pPr>
              <w:jc w:val="center"/>
            </w:pPr>
            <w:r w:rsidRPr="00D46E49">
              <w:t xml:space="preserve"> $  4,296,</w:t>
            </w:r>
            <w:r w:rsidR="00577A20" w:rsidRPr="00D46E49">
              <w:t>8</w:t>
            </w:r>
            <w:r w:rsidR="00577A20">
              <w:t>67</w:t>
            </w:r>
          </w:p>
        </w:tc>
        <w:tc>
          <w:tcPr>
            <w:tcW w:w="1818" w:type="dxa"/>
            <w:tcBorders>
              <w:top w:val="nil"/>
              <w:left w:val="single" w:sz="4" w:space="0" w:color="auto"/>
              <w:bottom w:val="single" w:sz="4" w:space="0" w:color="auto"/>
              <w:right w:val="single" w:sz="4" w:space="0" w:color="auto"/>
            </w:tcBorders>
            <w:shd w:val="clear" w:color="auto" w:fill="auto"/>
          </w:tcPr>
          <w:p w14:paraId="57F5F464" w14:textId="77777777" w:rsidR="00705F19" w:rsidRPr="00D46E49" w:rsidRDefault="00705F19" w:rsidP="0078095C">
            <w:pPr>
              <w:jc w:val="center"/>
            </w:pPr>
            <w:r w:rsidRPr="00D46E49">
              <w:t>0%</w:t>
            </w:r>
          </w:p>
        </w:tc>
      </w:tr>
    </w:tbl>
    <w:p w14:paraId="57F5F466" w14:textId="77777777" w:rsidR="00705F19" w:rsidRPr="00D46E49" w:rsidRDefault="00705F19" w:rsidP="00705F19"/>
    <w:p w14:paraId="57F5F467" w14:textId="77777777" w:rsidR="00705F19" w:rsidRPr="00D46E49" w:rsidRDefault="00705F19" w:rsidP="00705F19">
      <w:r w:rsidRPr="00D46E49">
        <w:t xml:space="preserve">The list of </w:t>
      </w:r>
      <w:r w:rsidR="00C44CC2">
        <w:t>programs</w:t>
      </w:r>
      <w:r w:rsidRPr="00D46E49">
        <w:t xml:space="preserve">, with the reported expenditures, is included as Attachment 2 to this Resolution. In staff’s initial analysis of SoCalGas’s expenditures, staff noted inconsistencies between SoCalGas’s filed expenditures and Commission data. There may still be inconsistency in the categorization of expenditures as resource, non-resource, or C&amp;S for the 2013 and 2014 expenditure claims. The IOUs have submitted how they will categorize their 2015 programs on </w:t>
      </w:r>
      <w:r w:rsidR="00DF6175">
        <w:br/>
      </w:r>
      <w:r w:rsidRPr="00D46E49">
        <w:t>February 23, 2015</w:t>
      </w:r>
      <w:r w:rsidRPr="00D46E49">
        <w:rPr>
          <w:rStyle w:val="FootnoteReference"/>
        </w:rPr>
        <w:footnoteReference w:id="27"/>
      </w:r>
      <w:r w:rsidRPr="00D46E49">
        <w:t xml:space="preserve">. </w:t>
      </w:r>
    </w:p>
    <w:p w14:paraId="57F5F468" w14:textId="77777777" w:rsidR="00705F19" w:rsidRPr="00D46E49" w:rsidRDefault="00705F19" w:rsidP="00705F19"/>
    <w:p w14:paraId="57F5F469" w14:textId="77777777" w:rsidR="00705F19" w:rsidRDefault="00705F19" w:rsidP="00705F19">
      <w:r w:rsidRPr="00C44CC2">
        <w:t xml:space="preserve">Per the staff-issued memo distributed on June 9, 2014 and included as Attachment 1 to this Resolution, the IOUs’ 2014 expenditures will be trued up once the UAFCB final 2014 audit is complete. For the purposes of this Resolution, staff relied on </w:t>
      </w:r>
      <w:r w:rsidR="00876211">
        <w:t>SoCalGas’s data submissions</w:t>
      </w:r>
      <w:r w:rsidRPr="00C44CC2">
        <w:t xml:space="preserve"> to reconcile expenditure data differences between </w:t>
      </w:r>
      <w:r w:rsidR="00C44CC2" w:rsidRPr="00C44CC2">
        <w:t>SoCalGas AL 4826</w:t>
      </w:r>
      <w:r w:rsidRPr="00C44CC2">
        <w:t xml:space="preserve"> and data from the ED Central Server (included as Attachment 2 to this Resolution). </w:t>
      </w:r>
      <w:r w:rsidRPr="00C44CC2">
        <w:rPr>
          <w:u w:val="single"/>
        </w:rPr>
        <w:t xml:space="preserve">Staff uses </w:t>
      </w:r>
      <w:r w:rsidRPr="00C44CC2">
        <w:rPr>
          <w:b/>
          <w:u w:val="single"/>
        </w:rPr>
        <w:t>lower value</w:t>
      </w:r>
      <w:r w:rsidRPr="00C44CC2">
        <w:rPr>
          <w:u w:val="single"/>
        </w:rPr>
        <w:t xml:space="preserve"> between the IOU claimed expenditures in the AL and the quarterly expenditures from the </w:t>
      </w:r>
      <w:r w:rsidR="00DF6175">
        <w:rPr>
          <w:u w:val="single"/>
        </w:rPr>
        <w:br/>
      </w:r>
      <w:r w:rsidRPr="00C44CC2">
        <w:rPr>
          <w:u w:val="single"/>
        </w:rPr>
        <w:t>ED Central Server if reconciliation cannot be made.</w:t>
      </w:r>
      <w:r>
        <w:rPr>
          <w:u w:val="single"/>
        </w:rPr>
        <w:t xml:space="preserve">  </w:t>
      </w:r>
    </w:p>
    <w:p w14:paraId="57F5F46A" w14:textId="77777777" w:rsidR="00705F19" w:rsidRDefault="00705F19" w:rsidP="00705F19"/>
    <w:p w14:paraId="57F5F46B" w14:textId="4DFF3A43" w:rsidR="00705F19" w:rsidRDefault="00577A20" w:rsidP="00705F19">
      <w:r w:rsidRPr="00011D73">
        <w:t>Per the staff-issued memo distributed on June 9, 2014 and i</w:t>
      </w:r>
      <w:r>
        <w:t xml:space="preserve">ncluded as Attachment 1 to </w:t>
      </w:r>
      <w:r w:rsidRPr="00011D73">
        <w:t>Resolution</w:t>
      </w:r>
      <w:r>
        <w:t xml:space="preserve"> G-3497, the IOUs’ 2013 ESPI Resolution expenditures are to</w:t>
      </w:r>
      <w:r w:rsidRPr="00011D73">
        <w:t xml:space="preserve"> be trued up </w:t>
      </w:r>
      <w:r>
        <w:t>as</w:t>
      </w:r>
      <w:r w:rsidRPr="00011D73">
        <w:t xml:space="preserve"> the UAFCB</w:t>
      </w:r>
      <w:r>
        <w:t xml:space="preserve"> final 2013 audit was</w:t>
      </w:r>
      <w:r w:rsidRPr="00011D73">
        <w:t xml:space="preserve"> complete</w:t>
      </w:r>
      <w:r>
        <w:t>d on June 30, 2015</w:t>
      </w:r>
      <w:r w:rsidRPr="00011D73">
        <w:t>.</w:t>
      </w:r>
      <w:r>
        <w:t xml:space="preserve"> The difference in expenditures between the SoCalGas 2013 ESPI Resolution and 2013 UAFCB audited expenditures is used to calculate the true up for the 2014 award.</w:t>
      </w:r>
      <w:r w:rsidR="00705F19">
        <w:t xml:space="preserve"> </w:t>
      </w:r>
    </w:p>
    <w:p w14:paraId="57F5F46C" w14:textId="77777777" w:rsidR="00705F19" w:rsidRDefault="00705F19" w:rsidP="00705F19"/>
    <w:p w14:paraId="57F5F46D" w14:textId="77777777" w:rsidR="00705F19" w:rsidRPr="00D46E49" w:rsidRDefault="00705F19" w:rsidP="00705F19">
      <w:pPr>
        <w:spacing w:after="120"/>
      </w:pPr>
      <w:r w:rsidRPr="00D46E49">
        <w:lastRenderedPageBreak/>
        <w:t xml:space="preserve">Table 22: Comparison of 2013 SoCalGas Claimed and UAFCB Audited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011D73" w14:paraId="57F5F472" w14:textId="77777777" w:rsidTr="0078095C">
        <w:tc>
          <w:tcPr>
            <w:tcW w:w="3078" w:type="dxa"/>
            <w:tcBorders>
              <w:bottom w:val="single" w:sz="4" w:space="0" w:color="auto"/>
            </w:tcBorders>
            <w:shd w:val="clear" w:color="auto" w:fill="auto"/>
            <w:vAlign w:val="bottom"/>
          </w:tcPr>
          <w:p w14:paraId="57F5F46E" w14:textId="77777777" w:rsidR="00705F19" w:rsidRPr="00011D73" w:rsidRDefault="00705F19" w:rsidP="0078095C"/>
        </w:tc>
        <w:tc>
          <w:tcPr>
            <w:tcW w:w="2340" w:type="dxa"/>
            <w:tcBorders>
              <w:bottom w:val="single" w:sz="4" w:space="0" w:color="auto"/>
            </w:tcBorders>
            <w:shd w:val="clear" w:color="auto" w:fill="auto"/>
            <w:vAlign w:val="bottom"/>
          </w:tcPr>
          <w:p w14:paraId="57F5F46F" w14:textId="536B0E4E" w:rsidR="00705F19" w:rsidRPr="00011D73" w:rsidRDefault="00705F19" w:rsidP="000446EA">
            <w:pPr>
              <w:jc w:val="center"/>
              <w:rPr>
                <w:b/>
              </w:rPr>
            </w:pPr>
            <w:r>
              <w:rPr>
                <w:b/>
              </w:rPr>
              <w:t xml:space="preserve">2013 </w:t>
            </w:r>
            <w:r w:rsidR="000446EA">
              <w:rPr>
                <w:b/>
              </w:rPr>
              <w:t>ESPI Resolution</w:t>
            </w:r>
            <w:r>
              <w:rPr>
                <w:b/>
              </w:rPr>
              <w:t xml:space="preserve"> Expenditure</w:t>
            </w:r>
          </w:p>
        </w:tc>
        <w:tc>
          <w:tcPr>
            <w:tcW w:w="2340" w:type="dxa"/>
            <w:tcBorders>
              <w:bottom w:val="single" w:sz="4" w:space="0" w:color="auto"/>
            </w:tcBorders>
            <w:shd w:val="clear" w:color="auto" w:fill="auto"/>
            <w:vAlign w:val="bottom"/>
          </w:tcPr>
          <w:p w14:paraId="57F5F470" w14:textId="77777777" w:rsidR="00705F19" w:rsidRPr="00011D73" w:rsidRDefault="00705F19" w:rsidP="0078095C">
            <w:pPr>
              <w:jc w:val="center"/>
              <w:rPr>
                <w:b/>
              </w:rPr>
            </w:pPr>
            <w:r>
              <w:rPr>
                <w:b/>
              </w:rPr>
              <w:t>2013 UAFCB Audit Expenditure</w:t>
            </w:r>
          </w:p>
        </w:tc>
        <w:tc>
          <w:tcPr>
            <w:tcW w:w="1818" w:type="dxa"/>
            <w:tcBorders>
              <w:bottom w:val="single" w:sz="4" w:space="0" w:color="auto"/>
            </w:tcBorders>
            <w:shd w:val="clear" w:color="auto" w:fill="auto"/>
          </w:tcPr>
          <w:p w14:paraId="57F5F471" w14:textId="4D10AABD" w:rsidR="00705F19" w:rsidRPr="00011D73" w:rsidRDefault="000446EA" w:rsidP="0078095C">
            <w:pPr>
              <w:jc w:val="center"/>
              <w:rPr>
                <w:b/>
              </w:rPr>
            </w:pPr>
            <w:r>
              <w:rPr>
                <w:b/>
              </w:rPr>
              <w:t>Award Difference</w:t>
            </w:r>
          </w:p>
        </w:tc>
      </w:tr>
      <w:tr w:rsidR="00705F19" w:rsidRPr="00011D73" w14:paraId="57F5F477" w14:textId="77777777" w:rsidTr="0078095C">
        <w:tc>
          <w:tcPr>
            <w:tcW w:w="3078" w:type="dxa"/>
            <w:tcBorders>
              <w:bottom w:val="nil"/>
            </w:tcBorders>
            <w:shd w:val="clear" w:color="auto" w:fill="auto"/>
            <w:vAlign w:val="bottom"/>
          </w:tcPr>
          <w:p w14:paraId="57F5F473" w14:textId="77777777" w:rsidR="00705F19" w:rsidRPr="00011D73" w:rsidRDefault="00705F19" w:rsidP="0078095C">
            <w:r w:rsidRPr="00011D73">
              <w:t>Resource programs</w:t>
            </w:r>
          </w:p>
        </w:tc>
        <w:tc>
          <w:tcPr>
            <w:tcW w:w="2340" w:type="dxa"/>
            <w:tcBorders>
              <w:bottom w:val="nil"/>
            </w:tcBorders>
            <w:shd w:val="clear" w:color="auto" w:fill="auto"/>
            <w:vAlign w:val="bottom"/>
          </w:tcPr>
          <w:p w14:paraId="57F5F474" w14:textId="77777777" w:rsidR="00705F19" w:rsidRPr="00011D73" w:rsidRDefault="00705F19" w:rsidP="0078095C">
            <w:pPr>
              <w:jc w:val="center"/>
            </w:pPr>
            <w:r>
              <w:t>$ 39,303,489</w:t>
            </w:r>
          </w:p>
        </w:tc>
        <w:tc>
          <w:tcPr>
            <w:tcW w:w="2340" w:type="dxa"/>
            <w:tcBorders>
              <w:bottom w:val="nil"/>
            </w:tcBorders>
            <w:shd w:val="clear" w:color="auto" w:fill="auto"/>
            <w:vAlign w:val="bottom"/>
          </w:tcPr>
          <w:p w14:paraId="57F5F475" w14:textId="1372FDCA" w:rsidR="00705F19" w:rsidRPr="00011D73" w:rsidRDefault="00705F19" w:rsidP="00577A20">
            <w:pPr>
              <w:jc w:val="center"/>
            </w:pPr>
            <w:r w:rsidRPr="00011D73">
              <w:t>$</w:t>
            </w:r>
            <w:r>
              <w:t xml:space="preserve"> 40,470,</w:t>
            </w:r>
            <w:r w:rsidR="00577A20">
              <w:t>948</w:t>
            </w:r>
            <w:r>
              <w:rPr>
                <w:rStyle w:val="FootnoteReference"/>
              </w:rPr>
              <w:footnoteReference w:id="28"/>
            </w:r>
            <w:r w:rsidRPr="00011D73">
              <w:t xml:space="preserve"> </w:t>
            </w:r>
          </w:p>
        </w:tc>
        <w:tc>
          <w:tcPr>
            <w:tcW w:w="1818" w:type="dxa"/>
            <w:tcBorders>
              <w:bottom w:val="nil"/>
            </w:tcBorders>
            <w:shd w:val="clear" w:color="auto" w:fill="auto"/>
          </w:tcPr>
          <w:p w14:paraId="57F5F476" w14:textId="3D7EDBCA" w:rsidR="00705F19" w:rsidRPr="00011D73" w:rsidRDefault="00577A20" w:rsidP="0078095C">
            <w:pPr>
              <w:jc w:val="center"/>
            </w:pPr>
            <w:r>
              <w:t>(</w:t>
            </w:r>
            <w:r w:rsidR="00705F19">
              <w:t>$ 23,29</w:t>
            </w:r>
            <w:r>
              <w:t>0)</w:t>
            </w:r>
            <w:r>
              <w:rPr>
                <w:rStyle w:val="FootnoteReference"/>
              </w:rPr>
              <w:footnoteReference w:id="29"/>
            </w:r>
          </w:p>
        </w:tc>
      </w:tr>
      <w:tr w:rsidR="00705F19" w:rsidRPr="00011D73" w14:paraId="57F5F47D" w14:textId="77777777" w:rsidTr="0078095C">
        <w:tc>
          <w:tcPr>
            <w:tcW w:w="3078" w:type="dxa"/>
            <w:tcBorders>
              <w:top w:val="nil"/>
              <w:left w:val="single" w:sz="4" w:space="0" w:color="auto"/>
              <w:bottom w:val="nil"/>
              <w:right w:val="single" w:sz="4" w:space="0" w:color="auto"/>
            </w:tcBorders>
            <w:shd w:val="clear" w:color="auto" w:fill="auto"/>
            <w:vAlign w:val="bottom"/>
          </w:tcPr>
          <w:p w14:paraId="57F5F478" w14:textId="77777777" w:rsidR="00705F19" w:rsidRPr="00011D73" w:rsidRDefault="00705F19" w:rsidP="0078095C">
            <w:r w:rsidRPr="00011D73">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479" w14:textId="77777777" w:rsidR="00705F19" w:rsidRPr="00011D73" w:rsidRDefault="00705F19" w:rsidP="0078095C">
            <w:pPr>
              <w:jc w:val="center"/>
            </w:pPr>
            <w:r w:rsidRPr="00011D73">
              <w:t xml:space="preserve">$ </w:t>
            </w:r>
            <w:r>
              <w:t>208,021</w:t>
            </w:r>
          </w:p>
        </w:tc>
        <w:tc>
          <w:tcPr>
            <w:tcW w:w="2340" w:type="dxa"/>
            <w:tcBorders>
              <w:top w:val="nil"/>
              <w:left w:val="single" w:sz="4" w:space="0" w:color="auto"/>
              <w:bottom w:val="nil"/>
              <w:right w:val="single" w:sz="4" w:space="0" w:color="auto"/>
            </w:tcBorders>
            <w:shd w:val="clear" w:color="auto" w:fill="auto"/>
            <w:vAlign w:val="bottom"/>
          </w:tcPr>
          <w:p w14:paraId="57F5F47A" w14:textId="77777777" w:rsidR="00705F19" w:rsidRPr="00011D73" w:rsidRDefault="00705F19" w:rsidP="0078095C">
            <w:pPr>
              <w:jc w:val="center"/>
            </w:pPr>
            <w:r w:rsidRPr="00011D73">
              <w:t xml:space="preserve">$ </w:t>
            </w:r>
            <w:r>
              <w:t>164,169</w:t>
            </w:r>
          </w:p>
        </w:tc>
        <w:tc>
          <w:tcPr>
            <w:tcW w:w="1818" w:type="dxa"/>
            <w:tcBorders>
              <w:top w:val="nil"/>
              <w:left w:val="single" w:sz="4" w:space="0" w:color="auto"/>
              <w:bottom w:val="nil"/>
              <w:right w:val="single" w:sz="4" w:space="0" w:color="auto"/>
            </w:tcBorders>
            <w:shd w:val="clear" w:color="auto" w:fill="auto"/>
          </w:tcPr>
          <w:p w14:paraId="57F5F47B" w14:textId="77777777" w:rsidR="00705F19" w:rsidRDefault="00705F19" w:rsidP="0078095C">
            <w:pPr>
              <w:jc w:val="center"/>
            </w:pPr>
          </w:p>
          <w:p w14:paraId="57F5F47C" w14:textId="360FCD77" w:rsidR="00705F19" w:rsidRPr="00011D73" w:rsidRDefault="00705F19" w:rsidP="0078095C">
            <w:pPr>
              <w:jc w:val="center"/>
            </w:pPr>
            <w:r>
              <w:t>$ 5,262</w:t>
            </w:r>
          </w:p>
        </w:tc>
      </w:tr>
      <w:tr w:rsidR="00705F19" w14:paraId="57F5F482"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47E" w14:textId="77777777" w:rsidR="00705F19" w:rsidRPr="00011D73" w:rsidRDefault="00705F19" w:rsidP="0078095C">
            <w:r w:rsidRPr="00011D73">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47F" w14:textId="77777777" w:rsidR="00705F19" w:rsidRPr="00011D73" w:rsidRDefault="00705F19" w:rsidP="0078095C">
            <w:pPr>
              <w:jc w:val="center"/>
            </w:pPr>
            <w:r w:rsidRPr="00011D73">
              <w:t xml:space="preserve">$ </w:t>
            </w:r>
            <w:r>
              <w:t>3,678,072</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480" w14:textId="174A247A" w:rsidR="00705F19" w:rsidRPr="00011D73" w:rsidRDefault="00705F19" w:rsidP="00577A20">
            <w:pPr>
              <w:jc w:val="center"/>
            </w:pPr>
            <w:r w:rsidRPr="00011D73">
              <w:t xml:space="preserve"> </w:t>
            </w:r>
            <w:r>
              <w:t>$ 3,678,</w:t>
            </w:r>
            <w:r w:rsidR="00577A20">
              <w:t>073</w:t>
            </w:r>
          </w:p>
        </w:tc>
        <w:tc>
          <w:tcPr>
            <w:tcW w:w="1818" w:type="dxa"/>
            <w:tcBorders>
              <w:top w:val="nil"/>
              <w:left w:val="single" w:sz="4" w:space="0" w:color="auto"/>
              <w:bottom w:val="single" w:sz="4" w:space="0" w:color="auto"/>
              <w:right w:val="single" w:sz="4" w:space="0" w:color="auto"/>
            </w:tcBorders>
            <w:shd w:val="clear" w:color="auto" w:fill="auto"/>
          </w:tcPr>
          <w:p w14:paraId="57F5F481" w14:textId="77777777" w:rsidR="00705F19" w:rsidRDefault="00705F19" w:rsidP="0078095C">
            <w:pPr>
              <w:jc w:val="center"/>
            </w:pPr>
            <w:r>
              <w:t>$ 0</w:t>
            </w:r>
          </w:p>
        </w:tc>
      </w:tr>
    </w:tbl>
    <w:p w14:paraId="57F5F483" w14:textId="77777777" w:rsidR="00253603" w:rsidRDefault="00253603" w:rsidP="001341E5">
      <w:pPr>
        <w:spacing w:after="240"/>
        <w:rPr>
          <w:i/>
        </w:rPr>
      </w:pPr>
    </w:p>
    <w:p w14:paraId="57F5F484" w14:textId="77777777" w:rsidR="00705F19" w:rsidRPr="00605B4E" w:rsidRDefault="00705F19" w:rsidP="001341E5">
      <w:pPr>
        <w:spacing w:after="240"/>
      </w:pPr>
      <w:r>
        <w:rPr>
          <w:i/>
        </w:rPr>
        <w:t>Component 2: Ex Ante Review Performance Award</w:t>
      </w:r>
    </w:p>
    <w:p w14:paraId="57F5F485" w14:textId="77777777" w:rsidR="00705F19" w:rsidRDefault="00705F19" w:rsidP="00705F19">
      <w:r>
        <w:t>In accordance with D.13-09-023, SoCalGas is eligible to earn up to 3% of resource program expenditures, less administrative spend, for the ex ante review performance award. As noted above, SoCalGas’s final 2014 ex ante performance score was 69.5/100. The ex ante performance award component for SoCalGas is calculated as:</w:t>
      </w:r>
    </w:p>
    <w:p w14:paraId="57F5F486" w14:textId="77777777" w:rsidR="00705F19" w:rsidRDefault="00705F19" w:rsidP="00705F19"/>
    <w:p w14:paraId="57F5F487" w14:textId="77777777" w:rsidR="00705F19" w:rsidRDefault="00705F19" w:rsidP="00705F19">
      <w:pPr>
        <w:jc w:val="center"/>
      </w:pPr>
      <w:r>
        <w:t>$ 49,095,336* 3% *69.5% = $ 1,023,638</w:t>
      </w:r>
    </w:p>
    <w:p w14:paraId="57F5F488" w14:textId="77777777" w:rsidR="00705F19" w:rsidRDefault="00705F19" w:rsidP="00705F19">
      <w:pPr>
        <w:spacing w:after="120"/>
        <w:rPr>
          <w:i/>
        </w:rPr>
      </w:pPr>
    </w:p>
    <w:p w14:paraId="57F5F489" w14:textId="77777777" w:rsidR="00705F19" w:rsidRDefault="00705F19" w:rsidP="00705F19">
      <w:r>
        <w:t>$ 1,023,638 is increased by $ 23,291 to be trued up to account for the difference between the 2013 SoCalGas’s claimed expenditure and the UAFCB audited expenditure.</w:t>
      </w:r>
    </w:p>
    <w:p w14:paraId="57F5F48A" w14:textId="77777777" w:rsidR="001341E5" w:rsidRDefault="001341E5" w:rsidP="00705F19"/>
    <w:p w14:paraId="57F5F48B" w14:textId="1266126C" w:rsidR="00705F19" w:rsidRDefault="00705F19" w:rsidP="00705F19">
      <w:pPr>
        <w:jc w:val="center"/>
      </w:pPr>
      <w:r>
        <w:t xml:space="preserve">$ 1,023,638 </w:t>
      </w:r>
      <w:r w:rsidR="00DA50B6">
        <w:t>-</w:t>
      </w:r>
      <w:r>
        <w:t xml:space="preserve"> </w:t>
      </w:r>
      <w:r w:rsidR="00876211">
        <w:t>(</w:t>
      </w:r>
      <w:r>
        <w:t xml:space="preserve">$ </w:t>
      </w:r>
      <w:r w:rsidR="00876211">
        <w:t>39,303,489 - $ 40,470,957) * 3% * 66.5%</w:t>
      </w:r>
      <w:r>
        <w:t xml:space="preserve"> = $ 1,046,928</w:t>
      </w:r>
    </w:p>
    <w:p w14:paraId="57F5F48D" w14:textId="77777777" w:rsidR="00705F19" w:rsidRDefault="00705F19" w:rsidP="00705F19">
      <w:pPr>
        <w:rPr>
          <w:u w:val="single"/>
        </w:rPr>
      </w:pPr>
      <w:r w:rsidRPr="00D46E49">
        <w:rPr>
          <w:u w:val="single"/>
        </w:rPr>
        <w:lastRenderedPageBreak/>
        <w:t>This award is $ 1,046,928 and is $ 1,048 less the than the amount claimed in SoCalGas AL 4826 to account for the difference between the 2014 expenditure differences between what SoCalGas filed in the AL and with the ED central server and for the 2013 expenditure true up from the 2013 UAFCB audit.</w:t>
      </w:r>
    </w:p>
    <w:p w14:paraId="57F5F48E" w14:textId="77777777" w:rsidR="00705F19" w:rsidRDefault="00705F19" w:rsidP="00705F19">
      <w:pPr>
        <w:rPr>
          <w:i/>
        </w:rPr>
      </w:pPr>
    </w:p>
    <w:p w14:paraId="57F5F48F" w14:textId="77777777" w:rsidR="00705F19" w:rsidRPr="00C121C0" w:rsidRDefault="00705F19" w:rsidP="00705F19">
      <w:pPr>
        <w:rPr>
          <w:u w:val="single"/>
        </w:rPr>
      </w:pPr>
      <w:r>
        <w:rPr>
          <w:i/>
        </w:rPr>
        <w:t>Component 3: Codes and Standards Program Management Fee</w:t>
      </w:r>
    </w:p>
    <w:p w14:paraId="57F5F490" w14:textId="77777777" w:rsidR="00705F19" w:rsidRDefault="00705F19" w:rsidP="00705F19"/>
    <w:p w14:paraId="57F5F491" w14:textId="77777777" w:rsidR="00705F19" w:rsidRDefault="00705F19" w:rsidP="00705F19">
      <w:r>
        <w:t>Per D.13-09-023, the codes and standards program management fee is equal to 12% of the codes and standards program expenditures, less administrative spend. The codes and standards management fee is calculated as:</w:t>
      </w:r>
    </w:p>
    <w:p w14:paraId="57F5F492" w14:textId="77777777" w:rsidR="00705F19" w:rsidRDefault="00705F19" w:rsidP="00705F19">
      <w:pPr>
        <w:tabs>
          <w:tab w:val="left" w:pos="5522"/>
        </w:tabs>
      </w:pPr>
    </w:p>
    <w:p w14:paraId="57F5F493" w14:textId="77777777" w:rsidR="00705F19" w:rsidRDefault="00705F19" w:rsidP="00705F19">
      <w:pPr>
        <w:jc w:val="center"/>
      </w:pPr>
      <w:r>
        <w:t>$ 611,820* 12% = $ 73,418</w:t>
      </w:r>
    </w:p>
    <w:p w14:paraId="57F5F494" w14:textId="77777777" w:rsidR="009714C0" w:rsidRDefault="009714C0" w:rsidP="00705F19">
      <w:pPr>
        <w:jc w:val="center"/>
      </w:pPr>
    </w:p>
    <w:p w14:paraId="57F5F495" w14:textId="77777777" w:rsidR="009714C0" w:rsidRDefault="009714C0" w:rsidP="00705F19">
      <w:pPr>
        <w:jc w:val="center"/>
      </w:pPr>
      <w:r>
        <w:t>$73,418 - $5,262 = $68,156</w:t>
      </w:r>
    </w:p>
    <w:p w14:paraId="57F5F496" w14:textId="77777777" w:rsidR="00705F19" w:rsidRDefault="00705F19" w:rsidP="00705F19"/>
    <w:p w14:paraId="57F5F497" w14:textId="77777777" w:rsidR="00705F19" w:rsidRPr="00B66F15" w:rsidRDefault="00705F19" w:rsidP="00705F19">
      <w:pPr>
        <w:rPr>
          <w:u w:val="single"/>
        </w:rPr>
      </w:pPr>
      <w:r w:rsidRPr="00D46E49">
        <w:rPr>
          <w:u w:val="single"/>
        </w:rPr>
        <w:t xml:space="preserve">The 2013 UAFCB Audit True Up of $ 5,262 in 2013 awards is already noted by SoCalGas AL 4826. This award is $ </w:t>
      </w:r>
      <w:r w:rsidR="009714C0">
        <w:rPr>
          <w:u w:val="single"/>
        </w:rPr>
        <w:t xml:space="preserve">68,156 </w:t>
      </w:r>
      <w:r w:rsidRPr="00D46E49">
        <w:rPr>
          <w:u w:val="single"/>
        </w:rPr>
        <w:t xml:space="preserve">and is same amount claimed in SoCalGas AL 4826.   </w:t>
      </w:r>
    </w:p>
    <w:p w14:paraId="57F5F498" w14:textId="77777777" w:rsidR="00705F19" w:rsidRDefault="00705F19" w:rsidP="00705F19"/>
    <w:p w14:paraId="57F5F499" w14:textId="77777777" w:rsidR="001341E5" w:rsidRDefault="001341E5" w:rsidP="00705F19"/>
    <w:p w14:paraId="57F5F49A" w14:textId="77777777" w:rsidR="001341E5" w:rsidRDefault="001341E5" w:rsidP="00705F19"/>
    <w:p w14:paraId="57F5F49B" w14:textId="77777777" w:rsidR="001341E5" w:rsidRDefault="001341E5" w:rsidP="00705F19"/>
    <w:p w14:paraId="57F5F49C" w14:textId="77777777" w:rsidR="00705F19" w:rsidRDefault="00705F19" w:rsidP="001341E5">
      <w:pPr>
        <w:spacing w:after="240"/>
      </w:pPr>
      <w:r>
        <w:rPr>
          <w:i/>
        </w:rPr>
        <w:t>Component 4: Non-resource Program Management Fee</w:t>
      </w:r>
    </w:p>
    <w:p w14:paraId="57F5F49D" w14:textId="77777777" w:rsidR="00705F19" w:rsidRDefault="00705F19" w:rsidP="00705F19">
      <w:r>
        <w:t>Per D.13-09-023, the non-resource program management fee is equal to 3% of non-resource program expenditures, less administrative spend. The non-resource program management fee is calculated as:</w:t>
      </w:r>
    </w:p>
    <w:p w14:paraId="57F5F49E" w14:textId="77777777" w:rsidR="00705F19" w:rsidRDefault="00705F19" w:rsidP="00705F19"/>
    <w:p w14:paraId="57F5F49F" w14:textId="77777777" w:rsidR="00705F19" w:rsidRDefault="00705F19" w:rsidP="00705F19">
      <w:pPr>
        <w:jc w:val="center"/>
      </w:pPr>
      <w:r>
        <w:t>$ 4,296,874* 3%= $ 128,906</w:t>
      </w:r>
    </w:p>
    <w:p w14:paraId="57F5F4A0" w14:textId="77777777" w:rsidR="00705F19" w:rsidRDefault="00705F19" w:rsidP="00705F19">
      <w:pPr>
        <w:jc w:val="center"/>
      </w:pPr>
    </w:p>
    <w:p w14:paraId="57F5F4A1" w14:textId="77777777" w:rsidR="00705F19" w:rsidRPr="008F03DC" w:rsidRDefault="00705F19" w:rsidP="00705F19">
      <w:r w:rsidRPr="008F03DC">
        <w:rPr>
          <w:u w:val="single"/>
        </w:rPr>
        <w:t xml:space="preserve">This award is the same amount claimed in SoCalGas AL 4826.  </w:t>
      </w:r>
    </w:p>
    <w:p w14:paraId="57F5F4A2" w14:textId="77777777" w:rsidR="00705F19" w:rsidRPr="008F03DC" w:rsidRDefault="00705F19" w:rsidP="00705F19"/>
    <w:p w14:paraId="57F5F4A3" w14:textId="77777777" w:rsidR="00705F19" w:rsidRPr="008F03DC" w:rsidRDefault="00705F19" w:rsidP="00705F19">
      <w:pPr>
        <w:spacing w:after="120"/>
        <w:rPr>
          <w:i/>
        </w:rPr>
      </w:pPr>
      <w:r w:rsidRPr="007E7180">
        <w:rPr>
          <w:i/>
        </w:rPr>
        <w:t>Incentive Recovery though Retail Rates</w:t>
      </w:r>
    </w:p>
    <w:p w14:paraId="57F5F4A4" w14:textId="7A750A37" w:rsidR="00705F19" w:rsidRPr="008F03DC" w:rsidRDefault="00705F19" w:rsidP="00705F19">
      <w:r w:rsidRPr="008F03DC">
        <w:t xml:space="preserve">The 2014 incentive award for SoCalGas totals $ </w:t>
      </w:r>
      <w:r w:rsidR="00530B0C">
        <w:t>2,011,90</w:t>
      </w:r>
      <w:r w:rsidR="000446EA">
        <w:t>7</w:t>
      </w:r>
      <w:r w:rsidR="007E7180">
        <w:t xml:space="preserve"> </w:t>
      </w:r>
      <w:r w:rsidR="007E7180" w:rsidRPr="008F03DC">
        <w:t>as</w:t>
      </w:r>
      <w:r w:rsidRPr="008F03DC">
        <w:t xml:space="preserve"> shown below. </w:t>
      </w:r>
      <w:r w:rsidRPr="008F03DC">
        <w:rPr>
          <w:u w:val="single"/>
        </w:rPr>
        <w:t xml:space="preserve">This award is $ </w:t>
      </w:r>
      <w:r w:rsidR="000446EA">
        <w:rPr>
          <w:u w:val="single"/>
        </w:rPr>
        <w:t>27,412</w:t>
      </w:r>
      <w:r>
        <w:rPr>
          <w:u w:val="single"/>
        </w:rPr>
        <w:t xml:space="preserve"> </w:t>
      </w:r>
      <w:r w:rsidRPr="008F03DC">
        <w:rPr>
          <w:u w:val="single"/>
        </w:rPr>
        <w:t xml:space="preserve">less than the amount claimed in SoCalGas AL 4826.  </w:t>
      </w:r>
      <w:r w:rsidRPr="008F03DC">
        <w:t>SoCalGas is awarded a lesser amount than what was claimed in SoCalGas AL 4826</w:t>
      </w:r>
      <w:r w:rsidRPr="008F03DC">
        <w:rPr>
          <w:u w:val="single"/>
        </w:rPr>
        <w:t xml:space="preserve"> </w:t>
      </w:r>
      <w:r w:rsidRPr="008F03DC">
        <w:t xml:space="preserve">due to </w:t>
      </w:r>
      <w:r w:rsidRPr="008F03DC">
        <w:lastRenderedPageBreak/>
        <w:t>differences in the program expenditures and energy savings data in SoCalGas’ advice letter and the ED Central Server</w:t>
      </w:r>
      <w:r w:rsidR="009510A9">
        <w:t xml:space="preserve"> and 2013 audit true up</w:t>
      </w:r>
      <w:r w:rsidRPr="008F03DC">
        <w:t>.</w:t>
      </w:r>
    </w:p>
    <w:p w14:paraId="57F5F4A5" w14:textId="77777777" w:rsidR="00705F19" w:rsidRPr="009768CE" w:rsidRDefault="00705F19" w:rsidP="00705F19">
      <w:pPr>
        <w:rPr>
          <w:highlight w:val="yellow"/>
        </w:rPr>
      </w:pPr>
    </w:p>
    <w:p w14:paraId="57F5F4A6" w14:textId="77777777" w:rsidR="00705F19" w:rsidRPr="007E7180" w:rsidRDefault="00705F19" w:rsidP="00705F19">
      <w:pPr>
        <w:spacing w:after="120"/>
      </w:pPr>
      <w:r w:rsidRPr="007E7180">
        <w:t xml:space="preserve">Table 23: SoCalGas 2014 Incentive Award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rsidRPr="009768CE" w14:paraId="57F5F4A9" w14:textId="77777777" w:rsidTr="0078095C">
        <w:tc>
          <w:tcPr>
            <w:tcW w:w="6768" w:type="dxa"/>
            <w:tcBorders>
              <w:top w:val="single" w:sz="4" w:space="0" w:color="auto"/>
              <w:bottom w:val="single" w:sz="4" w:space="0" w:color="auto"/>
              <w:right w:val="single" w:sz="4" w:space="0" w:color="auto"/>
            </w:tcBorders>
          </w:tcPr>
          <w:p w14:paraId="57F5F4A7" w14:textId="77777777" w:rsidR="00705F19" w:rsidRPr="008F03DC" w:rsidRDefault="00705F19" w:rsidP="0078095C">
            <w:pPr>
              <w:rPr>
                <w:b/>
              </w:rPr>
            </w:pPr>
            <w:r w:rsidRPr="008F03DC">
              <w:rPr>
                <w:b/>
              </w:rPr>
              <w:t>Award Component</w:t>
            </w:r>
          </w:p>
        </w:tc>
        <w:tc>
          <w:tcPr>
            <w:tcW w:w="2808" w:type="dxa"/>
            <w:tcBorders>
              <w:top w:val="single" w:sz="4" w:space="0" w:color="auto"/>
              <w:left w:val="single" w:sz="4" w:space="0" w:color="auto"/>
              <w:bottom w:val="single" w:sz="4" w:space="0" w:color="auto"/>
            </w:tcBorders>
          </w:tcPr>
          <w:p w14:paraId="57F5F4A8" w14:textId="77777777" w:rsidR="00705F19" w:rsidRPr="008F03DC" w:rsidRDefault="00705F19" w:rsidP="0078095C">
            <w:pPr>
              <w:rPr>
                <w:b/>
              </w:rPr>
            </w:pPr>
            <w:r w:rsidRPr="008F03DC">
              <w:rPr>
                <w:b/>
              </w:rPr>
              <w:t>Award Amount</w:t>
            </w:r>
          </w:p>
        </w:tc>
      </w:tr>
      <w:tr w:rsidR="00705F19" w:rsidRPr="009768CE" w14:paraId="57F5F4AC" w14:textId="77777777" w:rsidTr="0078095C">
        <w:tc>
          <w:tcPr>
            <w:tcW w:w="6768" w:type="dxa"/>
            <w:tcBorders>
              <w:top w:val="nil"/>
              <w:right w:val="single" w:sz="4" w:space="0" w:color="auto"/>
            </w:tcBorders>
          </w:tcPr>
          <w:p w14:paraId="57F5F4AA" w14:textId="77777777" w:rsidR="00705F19" w:rsidRPr="008F03DC" w:rsidRDefault="00705F19" w:rsidP="0078095C">
            <w:r w:rsidRPr="008F03DC">
              <w:t>2014 Energy Savings (with ex ante parameter estimates)</w:t>
            </w:r>
          </w:p>
        </w:tc>
        <w:tc>
          <w:tcPr>
            <w:tcW w:w="2808" w:type="dxa"/>
            <w:tcBorders>
              <w:top w:val="nil"/>
              <w:left w:val="single" w:sz="4" w:space="0" w:color="auto"/>
              <w:bottom w:val="nil"/>
            </w:tcBorders>
          </w:tcPr>
          <w:p w14:paraId="57F5F4AB" w14:textId="77777777" w:rsidR="00705F19" w:rsidRPr="008F03DC" w:rsidRDefault="00705F19" w:rsidP="00530B0C">
            <w:r w:rsidRPr="008F03DC">
              <w:t xml:space="preserve">$ </w:t>
            </w:r>
            <w:r w:rsidR="00530B0C">
              <w:t>767,916</w:t>
            </w:r>
          </w:p>
        </w:tc>
      </w:tr>
      <w:tr w:rsidR="00705F19" w:rsidRPr="009768CE" w14:paraId="57F5F4AF" w14:textId="77777777" w:rsidTr="0078095C">
        <w:tc>
          <w:tcPr>
            <w:tcW w:w="6768" w:type="dxa"/>
            <w:tcBorders>
              <w:right w:val="single" w:sz="4" w:space="0" w:color="auto"/>
            </w:tcBorders>
          </w:tcPr>
          <w:p w14:paraId="57F5F4AD" w14:textId="77777777" w:rsidR="00705F19" w:rsidRPr="008F03DC" w:rsidRDefault="00705F19" w:rsidP="0078095C">
            <w:r w:rsidRPr="008F03DC">
              <w:t>2014 Ex Ante Review Performance</w:t>
            </w:r>
          </w:p>
        </w:tc>
        <w:tc>
          <w:tcPr>
            <w:tcW w:w="2808" w:type="dxa"/>
            <w:tcBorders>
              <w:top w:val="nil"/>
              <w:left w:val="single" w:sz="4" w:space="0" w:color="auto"/>
              <w:bottom w:val="nil"/>
            </w:tcBorders>
          </w:tcPr>
          <w:p w14:paraId="57F5F4AE" w14:textId="77777777" w:rsidR="00705F19" w:rsidRPr="008F03DC" w:rsidRDefault="00705F19" w:rsidP="0078095C">
            <w:r w:rsidRPr="008F03DC">
              <w:t>$ 1,046,928</w:t>
            </w:r>
          </w:p>
        </w:tc>
      </w:tr>
      <w:tr w:rsidR="00705F19" w:rsidRPr="009768CE" w14:paraId="57F5F4B2" w14:textId="77777777" w:rsidTr="0078095C">
        <w:tc>
          <w:tcPr>
            <w:tcW w:w="6768" w:type="dxa"/>
            <w:tcBorders>
              <w:right w:val="single" w:sz="4" w:space="0" w:color="auto"/>
            </w:tcBorders>
          </w:tcPr>
          <w:p w14:paraId="57F5F4B0" w14:textId="77777777" w:rsidR="00705F19" w:rsidRPr="008F03DC" w:rsidRDefault="00705F19" w:rsidP="0078095C">
            <w:r w:rsidRPr="008F03DC">
              <w:t>Codes and Standards Management Fee</w:t>
            </w:r>
          </w:p>
        </w:tc>
        <w:tc>
          <w:tcPr>
            <w:tcW w:w="2808" w:type="dxa"/>
            <w:tcBorders>
              <w:top w:val="nil"/>
              <w:left w:val="single" w:sz="4" w:space="0" w:color="auto"/>
              <w:bottom w:val="nil"/>
            </w:tcBorders>
          </w:tcPr>
          <w:p w14:paraId="57F5F4B1" w14:textId="77777777" w:rsidR="00705F19" w:rsidRPr="008F03DC" w:rsidRDefault="00705F19" w:rsidP="0078095C">
            <w:r w:rsidRPr="008F03DC">
              <w:t>$ 73,418</w:t>
            </w:r>
          </w:p>
        </w:tc>
      </w:tr>
      <w:tr w:rsidR="00705F19" w:rsidRPr="009768CE" w14:paraId="57F5F4B5" w14:textId="77777777" w:rsidTr="0078095C">
        <w:tc>
          <w:tcPr>
            <w:tcW w:w="6768" w:type="dxa"/>
            <w:tcBorders>
              <w:bottom w:val="single" w:sz="4" w:space="0" w:color="auto"/>
              <w:right w:val="single" w:sz="4" w:space="0" w:color="auto"/>
            </w:tcBorders>
          </w:tcPr>
          <w:p w14:paraId="57F5F4B3" w14:textId="77777777" w:rsidR="00705F19" w:rsidRPr="008F03DC" w:rsidRDefault="00705F19" w:rsidP="0078095C">
            <w:r w:rsidRPr="008F03DC">
              <w:t>Non-resource Program Management Fee</w:t>
            </w:r>
          </w:p>
        </w:tc>
        <w:tc>
          <w:tcPr>
            <w:tcW w:w="2808" w:type="dxa"/>
            <w:tcBorders>
              <w:top w:val="nil"/>
              <w:left w:val="single" w:sz="4" w:space="0" w:color="auto"/>
              <w:bottom w:val="single" w:sz="4" w:space="0" w:color="auto"/>
            </w:tcBorders>
          </w:tcPr>
          <w:p w14:paraId="57F5F4B4" w14:textId="77777777" w:rsidR="00705F19" w:rsidRPr="008F03DC" w:rsidRDefault="00705F19" w:rsidP="0078095C">
            <w:r w:rsidRPr="008F03DC">
              <w:t>$ 128,906</w:t>
            </w:r>
          </w:p>
        </w:tc>
      </w:tr>
      <w:tr w:rsidR="00705F19" w:rsidRPr="009768CE" w14:paraId="57F5F4B8" w14:textId="77777777" w:rsidTr="0078095C">
        <w:tc>
          <w:tcPr>
            <w:tcW w:w="6768" w:type="dxa"/>
            <w:tcBorders>
              <w:bottom w:val="single" w:sz="4" w:space="0" w:color="auto"/>
              <w:right w:val="single" w:sz="4" w:space="0" w:color="auto"/>
            </w:tcBorders>
          </w:tcPr>
          <w:p w14:paraId="57F5F4B6" w14:textId="77777777" w:rsidR="00705F19" w:rsidRPr="008F03DC" w:rsidRDefault="00705F19" w:rsidP="0078095C">
            <w:r w:rsidRPr="008F03DC">
              <w:t>2013 UAFCB Audit True Up</w:t>
            </w:r>
          </w:p>
        </w:tc>
        <w:tc>
          <w:tcPr>
            <w:tcW w:w="2808" w:type="dxa"/>
            <w:tcBorders>
              <w:top w:val="nil"/>
              <w:left w:val="single" w:sz="4" w:space="0" w:color="auto"/>
              <w:bottom w:val="single" w:sz="4" w:space="0" w:color="auto"/>
            </w:tcBorders>
          </w:tcPr>
          <w:p w14:paraId="57F5F4B7" w14:textId="77777777" w:rsidR="00705F19" w:rsidRPr="008F03DC" w:rsidRDefault="00705F19" w:rsidP="0078095C">
            <w:r w:rsidRPr="008F03DC">
              <w:t>($ 5,262)</w:t>
            </w:r>
          </w:p>
        </w:tc>
      </w:tr>
      <w:tr w:rsidR="00705F19" w:rsidRPr="009768CE" w14:paraId="57F5F4BB" w14:textId="77777777" w:rsidTr="0078095C">
        <w:tc>
          <w:tcPr>
            <w:tcW w:w="6768" w:type="dxa"/>
            <w:tcBorders>
              <w:top w:val="single" w:sz="4" w:space="0" w:color="auto"/>
              <w:bottom w:val="single" w:sz="4" w:space="0" w:color="auto"/>
              <w:right w:val="single" w:sz="4" w:space="0" w:color="auto"/>
            </w:tcBorders>
          </w:tcPr>
          <w:p w14:paraId="57F5F4B9" w14:textId="77777777" w:rsidR="00705F19" w:rsidRPr="008F03DC" w:rsidRDefault="00705F19" w:rsidP="0078095C">
            <w:r w:rsidRPr="008F03DC">
              <w:t>Total</w:t>
            </w:r>
          </w:p>
        </w:tc>
        <w:tc>
          <w:tcPr>
            <w:tcW w:w="2808" w:type="dxa"/>
            <w:tcBorders>
              <w:top w:val="single" w:sz="4" w:space="0" w:color="auto"/>
              <w:left w:val="single" w:sz="4" w:space="0" w:color="auto"/>
              <w:bottom w:val="single" w:sz="4" w:space="0" w:color="auto"/>
            </w:tcBorders>
          </w:tcPr>
          <w:p w14:paraId="57F5F4BA" w14:textId="7715E1AE" w:rsidR="00705F19" w:rsidRPr="008F03DC" w:rsidRDefault="00705F19" w:rsidP="008A3B7B">
            <w:r w:rsidRPr="008F03DC">
              <w:t xml:space="preserve">$ </w:t>
            </w:r>
            <w:r w:rsidR="008A3B7B">
              <w:t>2,011,90</w:t>
            </w:r>
            <w:r w:rsidR="000446EA">
              <w:t>7</w:t>
            </w:r>
          </w:p>
        </w:tc>
      </w:tr>
    </w:tbl>
    <w:p w14:paraId="57F5F4BC" w14:textId="77777777" w:rsidR="00705F19" w:rsidRPr="008F03DC" w:rsidRDefault="00705F19" w:rsidP="00705F19"/>
    <w:p w14:paraId="57F5F4BD" w14:textId="77777777" w:rsidR="00705F19" w:rsidRDefault="007E7180" w:rsidP="00705F19">
      <w:pPr>
        <w:rPr>
          <w:szCs w:val="26"/>
        </w:rPr>
      </w:pPr>
      <w:r>
        <w:rPr>
          <w:szCs w:val="26"/>
        </w:rPr>
        <w:t>In SoCalGas AL 4826, SoCalGas distributes the 2014 incentive awards between its core (94%) and non-core (6%) classes of service. The revenue requirement impact by class of service is summarized below.</w:t>
      </w:r>
    </w:p>
    <w:p w14:paraId="57F5F4BE" w14:textId="77777777" w:rsidR="00F85B02" w:rsidRPr="009768CE" w:rsidRDefault="00F85B02" w:rsidP="00705F19">
      <w:pPr>
        <w:rPr>
          <w:highlight w:val="yellow"/>
        </w:rPr>
      </w:pPr>
    </w:p>
    <w:p w14:paraId="57F5F4BF" w14:textId="77777777" w:rsidR="00705F19" w:rsidRPr="007E7180" w:rsidRDefault="00705F19" w:rsidP="00705F19">
      <w:pPr>
        <w:spacing w:after="120"/>
      </w:pPr>
      <w:r w:rsidRPr="007E7180">
        <w:t>Table 24: SoCalGas Incentive Award Allocation</w:t>
      </w:r>
    </w:p>
    <w:tbl>
      <w:tblPr>
        <w:tblStyle w:val="TableGrid"/>
        <w:tblW w:w="0" w:type="auto"/>
        <w:tblLook w:val="04A0" w:firstRow="1" w:lastRow="0" w:firstColumn="1" w:lastColumn="0" w:noHBand="0" w:noVBand="1"/>
      </w:tblPr>
      <w:tblGrid>
        <w:gridCol w:w="2268"/>
        <w:gridCol w:w="4770"/>
        <w:gridCol w:w="2538"/>
      </w:tblGrid>
      <w:tr w:rsidR="00705F19" w14:paraId="57F5F4C3" w14:textId="77777777" w:rsidTr="0078095C">
        <w:tc>
          <w:tcPr>
            <w:tcW w:w="2268" w:type="dxa"/>
            <w:tcBorders>
              <w:bottom w:val="single" w:sz="4" w:space="0" w:color="auto"/>
            </w:tcBorders>
          </w:tcPr>
          <w:p w14:paraId="57F5F4C0" w14:textId="77777777" w:rsidR="00705F19" w:rsidRDefault="00705F19" w:rsidP="0078095C">
            <w:r>
              <w:t>Class of Service</w:t>
            </w:r>
          </w:p>
        </w:tc>
        <w:tc>
          <w:tcPr>
            <w:tcW w:w="4770" w:type="dxa"/>
            <w:tcBorders>
              <w:bottom w:val="single" w:sz="4" w:space="0" w:color="auto"/>
            </w:tcBorders>
          </w:tcPr>
          <w:p w14:paraId="57F5F4C1" w14:textId="77777777" w:rsidR="00705F19" w:rsidRDefault="00705F19" w:rsidP="0078095C">
            <w:pPr>
              <w:jc w:val="center"/>
            </w:pPr>
            <w:r>
              <w:t>Applicable Rate Schedules</w:t>
            </w:r>
          </w:p>
        </w:tc>
        <w:tc>
          <w:tcPr>
            <w:tcW w:w="2538" w:type="dxa"/>
            <w:tcBorders>
              <w:bottom w:val="single" w:sz="4" w:space="0" w:color="auto"/>
            </w:tcBorders>
          </w:tcPr>
          <w:p w14:paraId="57F5F4C2" w14:textId="77777777" w:rsidR="00705F19" w:rsidRDefault="00705F19" w:rsidP="0078095C">
            <w:pPr>
              <w:jc w:val="center"/>
            </w:pPr>
            <w:r>
              <w:t xml:space="preserve">Increase </w:t>
            </w:r>
          </w:p>
        </w:tc>
      </w:tr>
      <w:tr w:rsidR="00705F19" w14:paraId="57F5F4C7" w14:textId="77777777" w:rsidTr="0078095C">
        <w:tc>
          <w:tcPr>
            <w:tcW w:w="2268" w:type="dxa"/>
            <w:tcBorders>
              <w:bottom w:val="nil"/>
            </w:tcBorders>
          </w:tcPr>
          <w:p w14:paraId="57F5F4C4" w14:textId="77777777" w:rsidR="00705F19" w:rsidRDefault="00705F19" w:rsidP="0078095C">
            <w:r>
              <w:t>Core</w:t>
            </w:r>
          </w:p>
        </w:tc>
        <w:tc>
          <w:tcPr>
            <w:tcW w:w="4770" w:type="dxa"/>
            <w:tcBorders>
              <w:bottom w:val="nil"/>
            </w:tcBorders>
          </w:tcPr>
          <w:p w14:paraId="57F5F4C5" w14:textId="77777777" w:rsidR="00705F19" w:rsidRDefault="00705F19" w:rsidP="0078095C">
            <w:r>
              <w:t>GR, GS, GM, GO-AC, G-NGVR, GL, G-10, G-AC, G-EN, G-NGV</w:t>
            </w:r>
          </w:p>
        </w:tc>
        <w:tc>
          <w:tcPr>
            <w:tcW w:w="2538" w:type="dxa"/>
            <w:tcBorders>
              <w:bottom w:val="nil"/>
            </w:tcBorders>
          </w:tcPr>
          <w:p w14:paraId="57F5F4C6" w14:textId="77777777" w:rsidR="00705F19" w:rsidRPr="00476F1B" w:rsidRDefault="00705F19" w:rsidP="008A3B7B">
            <w:pPr>
              <w:jc w:val="center"/>
            </w:pPr>
            <w:r w:rsidRPr="00536151">
              <w:t xml:space="preserve">$ </w:t>
            </w:r>
            <w:r w:rsidR="00F85B02">
              <w:t>1,</w:t>
            </w:r>
            <w:r w:rsidR="008A3B7B">
              <w:t>900,784</w:t>
            </w:r>
          </w:p>
        </w:tc>
      </w:tr>
      <w:tr w:rsidR="00705F19" w14:paraId="57F5F4CB" w14:textId="77777777" w:rsidTr="0078095C">
        <w:tc>
          <w:tcPr>
            <w:tcW w:w="2268" w:type="dxa"/>
            <w:tcBorders>
              <w:top w:val="nil"/>
            </w:tcBorders>
          </w:tcPr>
          <w:p w14:paraId="57F5F4C8" w14:textId="77777777" w:rsidR="00705F19" w:rsidRDefault="00705F19" w:rsidP="0078095C">
            <w:r>
              <w:t>Non-core</w:t>
            </w:r>
          </w:p>
        </w:tc>
        <w:tc>
          <w:tcPr>
            <w:tcW w:w="4770" w:type="dxa"/>
            <w:tcBorders>
              <w:top w:val="nil"/>
            </w:tcBorders>
          </w:tcPr>
          <w:p w14:paraId="57F5F4C9" w14:textId="77777777" w:rsidR="00705F19" w:rsidRDefault="00705F19" w:rsidP="0078095C">
            <w:r>
              <w:t>GT-F, GT-I, GT-TLS</w:t>
            </w:r>
          </w:p>
        </w:tc>
        <w:tc>
          <w:tcPr>
            <w:tcW w:w="2538" w:type="dxa"/>
            <w:tcBorders>
              <w:top w:val="nil"/>
            </w:tcBorders>
          </w:tcPr>
          <w:p w14:paraId="57F5F4CA" w14:textId="77777777" w:rsidR="00705F19" w:rsidRPr="00476F1B" w:rsidRDefault="00705F19" w:rsidP="008A3B7B">
            <w:pPr>
              <w:jc w:val="center"/>
            </w:pPr>
            <w:r>
              <w:t xml:space="preserve">$ </w:t>
            </w:r>
            <w:r w:rsidR="008A3B7B">
              <w:t>112,098</w:t>
            </w:r>
          </w:p>
        </w:tc>
      </w:tr>
      <w:tr w:rsidR="00705F19" w14:paraId="57F5F4CF" w14:textId="77777777" w:rsidTr="0078095C">
        <w:tc>
          <w:tcPr>
            <w:tcW w:w="2268" w:type="dxa"/>
          </w:tcPr>
          <w:p w14:paraId="57F5F4CC" w14:textId="77777777" w:rsidR="00705F19" w:rsidRDefault="00705F19" w:rsidP="0078095C">
            <w:r>
              <w:t>Total</w:t>
            </w:r>
          </w:p>
        </w:tc>
        <w:tc>
          <w:tcPr>
            <w:tcW w:w="4770" w:type="dxa"/>
          </w:tcPr>
          <w:p w14:paraId="57F5F4CD" w14:textId="77777777" w:rsidR="00705F19" w:rsidRDefault="00705F19" w:rsidP="0078095C"/>
        </w:tc>
        <w:tc>
          <w:tcPr>
            <w:tcW w:w="2538" w:type="dxa"/>
          </w:tcPr>
          <w:p w14:paraId="57F5F4CE" w14:textId="1D7FBA3D" w:rsidR="00705F19" w:rsidRPr="00476F1B" w:rsidRDefault="00705F19" w:rsidP="008A3B7B">
            <w:pPr>
              <w:jc w:val="center"/>
            </w:pPr>
            <w:r w:rsidRPr="00536151">
              <w:t xml:space="preserve">$ </w:t>
            </w:r>
            <w:r w:rsidR="008A3B7B">
              <w:t>2,011,90</w:t>
            </w:r>
            <w:r w:rsidR="000446EA">
              <w:t>7</w:t>
            </w:r>
          </w:p>
        </w:tc>
      </w:tr>
    </w:tbl>
    <w:p w14:paraId="57F5F4D0" w14:textId="77777777" w:rsidR="00705F19" w:rsidRPr="009768CE" w:rsidRDefault="00705F19" w:rsidP="00705F19">
      <w:pPr>
        <w:rPr>
          <w:highlight w:val="yellow"/>
        </w:rPr>
      </w:pPr>
    </w:p>
    <w:p w14:paraId="57F5F4D1" w14:textId="77777777" w:rsidR="00705F19" w:rsidRPr="00D35263" w:rsidRDefault="00705F19" w:rsidP="00705F19">
      <w:pPr>
        <w:spacing w:after="120"/>
      </w:pPr>
      <w:r>
        <w:rPr>
          <w:u w:val="single"/>
        </w:rPr>
        <w:t>SDG&amp;E</w:t>
      </w:r>
      <w:r w:rsidRPr="00D35263">
        <w:rPr>
          <w:u w:val="single"/>
        </w:rPr>
        <w:t xml:space="preserve"> Advice Letter </w:t>
      </w:r>
      <w:r>
        <w:rPr>
          <w:u w:val="single"/>
        </w:rPr>
        <w:t>2764-E/2396-G</w:t>
      </w:r>
    </w:p>
    <w:p w14:paraId="57F5F4D2" w14:textId="77777777" w:rsidR="00705F19" w:rsidRDefault="00705F19" w:rsidP="00705F19">
      <w:r>
        <w:t xml:space="preserve">SDG&amp;E requests $ 3,776,697 for the 2014 incentive award. In accordance with D.13-09-023 and the staff-issued memo, the award is comprised of </w:t>
      </w:r>
      <w:r w:rsidR="001341E5">
        <w:br/>
      </w:r>
      <w:r>
        <w:t xml:space="preserve">four components: </w:t>
      </w:r>
    </w:p>
    <w:p w14:paraId="57F5F4D3" w14:textId="77777777" w:rsidR="00705F19" w:rsidRDefault="00705F19" w:rsidP="00705F19"/>
    <w:p w14:paraId="57F5F4D4" w14:textId="77777777" w:rsidR="00705F19" w:rsidRPr="001700F6" w:rsidRDefault="00705F19" w:rsidP="00705F19">
      <w:pPr>
        <w:pStyle w:val="Caption"/>
        <w:rPr>
          <w:rFonts w:ascii="Palatino" w:eastAsia="Times New Roman" w:hAnsi="Palatino"/>
          <w:b w:val="0"/>
          <w:bCs w:val="0"/>
          <w:sz w:val="26"/>
        </w:rPr>
      </w:pPr>
      <w:r>
        <w:rPr>
          <w:rFonts w:ascii="Palatino" w:eastAsia="Times New Roman" w:hAnsi="Palatino"/>
          <w:b w:val="0"/>
          <w:bCs w:val="0"/>
          <w:sz w:val="26"/>
        </w:rPr>
        <w:t>Table 25</w:t>
      </w:r>
      <w:r w:rsidRPr="001700F6">
        <w:rPr>
          <w:rFonts w:ascii="Palatino" w:eastAsia="Times New Roman" w:hAnsi="Palatino"/>
          <w:b w:val="0"/>
          <w:bCs w:val="0"/>
          <w:sz w:val="26"/>
        </w:rPr>
        <w:t xml:space="preserve">: </w:t>
      </w:r>
      <w:r>
        <w:rPr>
          <w:rFonts w:ascii="Palatino" w:eastAsia="Times New Roman" w:hAnsi="Palatino"/>
          <w:b w:val="0"/>
          <w:bCs w:val="0"/>
          <w:sz w:val="26"/>
        </w:rPr>
        <w:t>SDG&amp;E</w:t>
      </w:r>
      <w:r w:rsidRPr="001700F6">
        <w:rPr>
          <w:rFonts w:ascii="Palatino" w:eastAsia="Times New Roman" w:hAnsi="Palatino"/>
          <w:b w:val="0"/>
          <w:bCs w:val="0"/>
          <w:sz w:val="26"/>
        </w:rPr>
        <w:t xml:space="preserve"> Filed 2014 Incentive Award Claim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14:paraId="57F5F4D7" w14:textId="77777777" w:rsidTr="0078095C">
        <w:tc>
          <w:tcPr>
            <w:tcW w:w="6768" w:type="dxa"/>
            <w:tcBorders>
              <w:top w:val="single" w:sz="4" w:space="0" w:color="auto"/>
              <w:bottom w:val="single" w:sz="4" w:space="0" w:color="auto"/>
              <w:right w:val="single" w:sz="4" w:space="0" w:color="auto"/>
            </w:tcBorders>
          </w:tcPr>
          <w:p w14:paraId="57F5F4D5" w14:textId="77777777" w:rsidR="00705F19" w:rsidRPr="00196089" w:rsidRDefault="00705F19" w:rsidP="0078095C">
            <w:pPr>
              <w:rPr>
                <w:b/>
              </w:rPr>
            </w:pPr>
            <w:r w:rsidRPr="00196089">
              <w:rPr>
                <w:b/>
              </w:rPr>
              <w:t>Award Component</w:t>
            </w:r>
          </w:p>
        </w:tc>
        <w:tc>
          <w:tcPr>
            <w:tcW w:w="2808" w:type="dxa"/>
            <w:tcBorders>
              <w:top w:val="single" w:sz="4" w:space="0" w:color="auto"/>
              <w:left w:val="single" w:sz="4" w:space="0" w:color="auto"/>
              <w:bottom w:val="single" w:sz="4" w:space="0" w:color="auto"/>
            </w:tcBorders>
          </w:tcPr>
          <w:p w14:paraId="57F5F4D6" w14:textId="77777777" w:rsidR="00705F19" w:rsidRPr="00196089" w:rsidRDefault="00705F19" w:rsidP="0078095C">
            <w:pPr>
              <w:rPr>
                <w:b/>
              </w:rPr>
            </w:pPr>
            <w:r>
              <w:rPr>
                <w:b/>
              </w:rPr>
              <w:t>Requested</w:t>
            </w:r>
            <w:r w:rsidRPr="00196089">
              <w:rPr>
                <w:b/>
              </w:rPr>
              <w:t xml:space="preserve"> Amount</w:t>
            </w:r>
          </w:p>
        </w:tc>
      </w:tr>
      <w:tr w:rsidR="00705F19" w14:paraId="57F5F4DA" w14:textId="77777777" w:rsidTr="0078095C">
        <w:tc>
          <w:tcPr>
            <w:tcW w:w="6768" w:type="dxa"/>
            <w:tcBorders>
              <w:top w:val="single" w:sz="4" w:space="0" w:color="auto"/>
              <w:right w:val="single" w:sz="4" w:space="0" w:color="auto"/>
            </w:tcBorders>
          </w:tcPr>
          <w:p w14:paraId="57F5F4D8" w14:textId="77777777" w:rsidR="00705F19" w:rsidRDefault="00705F19" w:rsidP="0078095C">
            <w:r>
              <w:t>Energy savings with ex ante parameter estimates</w:t>
            </w:r>
          </w:p>
        </w:tc>
        <w:tc>
          <w:tcPr>
            <w:tcW w:w="2808" w:type="dxa"/>
            <w:tcBorders>
              <w:top w:val="single" w:sz="4" w:space="0" w:color="auto"/>
              <w:left w:val="single" w:sz="4" w:space="0" w:color="auto"/>
              <w:bottom w:val="nil"/>
            </w:tcBorders>
          </w:tcPr>
          <w:p w14:paraId="57F5F4D9" w14:textId="77777777" w:rsidR="00705F19" w:rsidRDefault="00705F19" w:rsidP="0078095C">
            <w:r>
              <w:t>$ 2,081,559</w:t>
            </w:r>
          </w:p>
        </w:tc>
      </w:tr>
      <w:tr w:rsidR="00705F19" w14:paraId="57F5F4DD" w14:textId="77777777" w:rsidTr="0078095C">
        <w:tc>
          <w:tcPr>
            <w:tcW w:w="6768" w:type="dxa"/>
            <w:tcBorders>
              <w:right w:val="single" w:sz="4" w:space="0" w:color="auto"/>
            </w:tcBorders>
          </w:tcPr>
          <w:p w14:paraId="57F5F4DB" w14:textId="77777777" w:rsidR="00705F19" w:rsidRDefault="00705F19" w:rsidP="0078095C">
            <w:r>
              <w:t>Ex ante review performance</w:t>
            </w:r>
          </w:p>
        </w:tc>
        <w:tc>
          <w:tcPr>
            <w:tcW w:w="2808" w:type="dxa"/>
            <w:tcBorders>
              <w:top w:val="nil"/>
              <w:left w:val="single" w:sz="4" w:space="0" w:color="auto"/>
              <w:bottom w:val="single" w:sz="4" w:space="0" w:color="auto"/>
            </w:tcBorders>
          </w:tcPr>
          <w:p w14:paraId="57F5F4DC" w14:textId="77777777" w:rsidR="00705F19" w:rsidRDefault="00705F19" w:rsidP="0078095C">
            <w:r>
              <w:t>$ 1,368,459</w:t>
            </w:r>
          </w:p>
        </w:tc>
      </w:tr>
      <w:tr w:rsidR="00705F19" w14:paraId="57F5F4E0" w14:textId="77777777" w:rsidTr="0078095C">
        <w:tc>
          <w:tcPr>
            <w:tcW w:w="6768" w:type="dxa"/>
            <w:tcBorders>
              <w:right w:val="single" w:sz="4" w:space="0" w:color="auto"/>
            </w:tcBorders>
          </w:tcPr>
          <w:p w14:paraId="57F5F4DE" w14:textId="77777777" w:rsidR="00705F19" w:rsidRDefault="00705F19" w:rsidP="0078095C">
            <w:r>
              <w:t>Codes and standards management fee</w:t>
            </w:r>
          </w:p>
        </w:tc>
        <w:tc>
          <w:tcPr>
            <w:tcW w:w="2808" w:type="dxa"/>
            <w:tcBorders>
              <w:top w:val="single" w:sz="4" w:space="0" w:color="auto"/>
              <w:left w:val="single" w:sz="4" w:space="0" w:color="auto"/>
              <w:bottom w:val="nil"/>
            </w:tcBorders>
          </w:tcPr>
          <w:p w14:paraId="57F5F4DF" w14:textId="77777777" w:rsidR="00705F19" w:rsidRDefault="00705F19" w:rsidP="0078095C">
            <w:r>
              <w:t>$ 100,062</w:t>
            </w:r>
          </w:p>
        </w:tc>
      </w:tr>
      <w:tr w:rsidR="00705F19" w14:paraId="57F5F4E3" w14:textId="77777777" w:rsidTr="0078095C">
        <w:tc>
          <w:tcPr>
            <w:tcW w:w="6768" w:type="dxa"/>
            <w:tcBorders>
              <w:bottom w:val="single" w:sz="4" w:space="0" w:color="auto"/>
              <w:right w:val="single" w:sz="4" w:space="0" w:color="auto"/>
            </w:tcBorders>
          </w:tcPr>
          <w:p w14:paraId="57F5F4E1" w14:textId="77777777" w:rsidR="00705F19" w:rsidRDefault="00705F19" w:rsidP="0078095C">
            <w:r>
              <w:t>Non-resource program management fee</w:t>
            </w:r>
          </w:p>
        </w:tc>
        <w:tc>
          <w:tcPr>
            <w:tcW w:w="2808" w:type="dxa"/>
            <w:tcBorders>
              <w:top w:val="nil"/>
              <w:left w:val="single" w:sz="4" w:space="0" w:color="auto"/>
              <w:bottom w:val="single" w:sz="4" w:space="0" w:color="auto"/>
            </w:tcBorders>
          </w:tcPr>
          <w:p w14:paraId="57F5F4E2" w14:textId="77777777" w:rsidR="00705F19" w:rsidRDefault="00705F19" w:rsidP="0078095C">
            <w:r>
              <w:t>$ 229,620</w:t>
            </w:r>
          </w:p>
        </w:tc>
      </w:tr>
      <w:tr w:rsidR="00705F19" w14:paraId="57F5F4E9" w14:textId="77777777" w:rsidTr="0078095C">
        <w:tc>
          <w:tcPr>
            <w:tcW w:w="6768" w:type="dxa"/>
            <w:tcBorders>
              <w:top w:val="single" w:sz="4" w:space="0" w:color="auto"/>
              <w:bottom w:val="single" w:sz="4" w:space="0" w:color="auto"/>
              <w:right w:val="single" w:sz="4" w:space="0" w:color="auto"/>
            </w:tcBorders>
          </w:tcPr>
          <w:p w14:paraId="57F5F4E7" w14:textId="77777777" w:rsidR="00705F19" w:rsidRDefault="00705F19" w:rsidP="0078095C">
            <w:r>
              <w:t>Total</w:t>
            </w:r>
          </w:p>
        </w:tc>
        <w:tc>
          <w:tcPr>
            <w:tcW w:w="2808" w:type="dxa"/>
            <w:tcBorders>
              <w:top w:val="single" w:sz="4" w:space="0" w:color="auto"/>
              <w:left w:val="single" w:sz="4" w:space="0" w:color="auto"/>
              <w:bottom w:val="single" w:sz="4" w:space="0" w:color="auto"/>
            </w:tcBorders>
          </w:tcPr>
          <w:p w14:paraId="57F5F4E8" w14:textId="48186A89" w:rsidR="00705F19" w:rsidRDefault="00705F19" w:rsidP="000446EA">
            <w:r>
              <w:t>$ 3,77</w:t>
            </w:r>
            <w:r w:rsidR="000446EA">
              <w:t>9,700</w:t>
            </w:r>
          </w:p>
        </w:tc>
      </w:tr>
    </w:tbl>
    <w:p w14:paraId="57F5F4ED" w14:textId="2E1B664B" w:rsidR="00705F19" w:rsidRPr="00731444" w:rsidRDefault="00705F19" w:rsidP="00B71954">
      <w:r w:rsidRPr="00F85B02">
        <w:rPr>
          <w:i/>
        </w:rPr>
        <w:lastRenderedPageBreak/>
        <w:t>Component 1: Energy Savings Performance Award</w:t>
      </w:r>
    </w:p>
    <w:p w14:paraId="57F5F4EE" w14:textId="77777777" w:rsidR="00705F19" w:rsidRPr="008F03DC" w:rsidRDefault="00705F19" w:rsidP="00705F19">
      <w:r w:rsidRPr="008F03DC">
        <w:t>In Energy Division’s review of SDG&amp;E AL 2764-E/2396-G, staff finds SDG&amp;E’s filing to be inconsistent with the utility-reported data on file with the Commission and stored on the ED Central Server</w:t>
      </w:r>
      <w:r>
        <w:t xml:space="preserve">. </w:t>
      </w:r>
      <w:r w:rsidRPr="008F03DC">
        <w:t>The differences between the SDG&amp;E-filed savings values and the Commission data are noted below.</w:t>
      </w:r>
    </w:p>
    <w:p w14:paraId="57F5F4EF" w14:textId="77777777" w:rsidR="00705F19" w:rsidRPr="00893BF0" w:rsidRDefault="00705F19" w:rsidP="00705F19">
      <w:pPr>
        <w:rPr>
          <w:highlight w:val="yellow"/>
        </w:rPr>
      </w:pPr>
    </w:p>
    <w:p w14:paraId="57F5F4F0" w14:textId="77777777" w:rsidR="00705F19" w:rsidRPr="00F85B02" w:rsidRDefault="00705F19" w:rsidP="00705F19">
      <w:pPr>
        <w:spacing w:after="120"/>
      </w:pPr>
      <w:r w:rsidRPr="00F85B02">
        <w:t>Table 26: Comparison of SDG&amp;E Filed Energy Savings and ED Central Server Values</w:t>
      </w:r>
    </w:p>
    <w:tbl>
      <w:tblPr>
        <w:tblW w:w="0" w:type="auto"/>
        <w:tblCellMar>
          <w:left w:w="0" w:type="dxa"/>
          <w:right w:w="0" w:type="dxa"/>
        </w:tblCellMar>
        <w:tblLook w:val="04A0" w:firstRow="1" w:lastRow="0" w:firstColumn="1" w:lastColumn="0" w:noHBand="0" w:noVBand="1"/>
      </w:tblPr>
      <w:tblGrid>
        <w:gridCol w:w="2435"/>
        <w:gridCol w:w="2623"/>
        <w:gridCol w:w="2284"/>
        <w:gridCol w:w="2234"/>
      </w:tblGrid>
      <w:tr w:rsidR="00705F19" w:rsidRPr="00893BF0" w14:paraId="57F5F4F6" w14:textId="77777777" w:rsidTr="0078095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7F5F4F1" w14:textId="77777777" w:rsidR="00705F19" w:rsidRPr="008F03DC" w:rsidRDefault="00705F19" w:rsidP="0078095C">
            <w:pPr>
              <w:rPr>
                <w:rFonts w:ascii="Calibri" w:eastAsiaTheme="minorHAnsi" w:hAnsi="Calibri"/>
                <w:sz w:val="22"/>
                <w:szCs w:val="22"/>
              </w:rPr>
            </w:pP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4F2" w14:textId="77777777" w:rsidR="00705F19" w:rsidRPr="008F03DC" w:rsidRDefault="00705F19" w:rsidP="0078095C">
            <w:pPr>
              <w:jc w:val="center"/>
              <w:rPr>
                <w:rFonts w:ascii="Calibri" w:eastAsiaTheme="minorHAnsi" w:hAnsi="Calibri"/>
                <w:b/>
                <w:sz w:val="22"/>
                <w:szCs w:val="22"/>
              </w:rPr>
            </w:pPr>
            <w:r w:rsidRPr="008F03DC">
              <w:rPr>
                <w:b/>
              </w:rPr>
              <w:t xml:space="preserve">IOU Claimed Value </w:t>
            </w:r>
          </w:p>
          <w:p w14:paraId="57F5F4F3" w14:textId="77777777" w:rsidR="00705F19" w:rsidRPr="008F03DC" w:rsidRDefault="00705F19" w:rsidP="0078095C">
            <w:pPr>
              <w:jc w:val="center"/>
              <w:rPr>
                <w:rFonts w:ascii="Calibri" w:eastAsiaTheme="minorHAnsi" w:hAnsi="Calibri"/>
                <w:b/>
                <w:sz w:val="22"/>
                <w:szCs w:val="22"/>
              </w:rPr>
            </w:pPr>
            <w:r w:rsidRPr="008F03DC">
              <w:rPr>
                <w:b/>
              </w:rPr>
              <w:t>(supplemental AL)</w:t>
            </w:r>
          </w:p>
        </w:tc>
        <w:tc>
          <w:tcPr>
            <w:tcW w:w="22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F5F4F4" w14:textId="77777777" w:rsidR="00705F19" w:rsidRPr="008F03DC" w:rsidRDefault="00705F19" w:rsidP="0078095C">
            <w:pPr>
              <w:jc w:val="center"/>
              <w:rPr>
                <w:rFonts w:ascii="Calibri" w:eastAsiaTheme="minorHAnsi" w:hAnsi="Calibri"/>
                <w:b/>
                <w:sz w:val="22"/>
                <w:szCs w:val="22"/>
              </w:rPr>
            </w:pPr>
            <w:r w:rsidRPr="008F03DC">
              <w:rPr>
                <w:b/>
              </w:rPr>
              <w:t>ED Central Server Value</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5F4F5" w14:textId="77777777" w:rsidR="00705F19" w:rsidRPr="008F03DC" w:rsidRDefault="00705F19" w:rsidP="0078095C">
            <w:pPr>
              <w:jc w:val="center"/>
              <w:rPr>
                <w:rFonts w:ascii="Calibri" w:eastAsiaTheme="minorHAnsi" w:hAnsi="Calibri"/>
                <w:b/>
                <w:sz w:val="22"/>
                <w:szCs w:val="22"/>
              </w:rPr>
            </w:pPr>
            <w:r w:rsidRPr="008F03DC">
              <w:rPr>
                <w:b/>
              </w:rPr>
              <w:t>Difference</w:t>
            </w:r>
          </w:p>
        </w:tc>
      </w:tr>
      <w:tr w:rsidR="00705F19" w:rsidRPr="00893BF0" w14:paraId="57F5F4FB" w14:textId="77777777" w:rsidTr="0078095C">
        <w:tc>
          <w:tcPr>
            <w:tcW w:w="2435" w:type="dxa"/>
            <w:tcBorders>
              <w:top w:val="single" w:sz="8" w:space="0" w:color="auto"/>
              <w:left w:val="single" w:sz="8" w:space="0" w:color="auto"/>
              <w:right w:val="single" w:sz="8" w:space="0" w:color="auto"/>
            </w:tcBorders>
            <w:tcMar>
              <w:top w:w="0" w:type="dxa"/>
              <w:left w:w="108" w:type="dxa"/>
              <w:bottom w:w="0" w:type="dxa"/>
              <w:right w:w="108" w:type="dxa"/>
            </w:tcMar>
            <w:vAlign w:val="bottom"/>
          </w:tcPr>
          <w:p w14:paraId="57F5F4F7" w14:textId="77777777" w:rsidR="00705F19" w:rsidRPr="008F03DC" w:rsidRDefault="00705F19" w:rsidP="0078095C">
            <w:pPr>
              <w:rPr>
                <w:rFonts w:ascii="Calibri" w:eastAsiaTheme="minorHAnsi" w:hAnsi="Calibri"/>
                <w:sz w:val="22"/>
                <w:szCs w:val="22"/>
              </w:rPr>
            </w:pPr>
            <w:r w:rsidRPr="008F03DC">
              <w:t>GWh</w:t>
            </w:r>
          </w:p>
        </w:tc>
        <w:tc>
          <w:tcPr>
            <w:tcW w:w="2623" w:type="dxa"/>
            <w:tcBorders>
              <w:top w:val="single" w:sz="8" w:space="0" w:color="auto"/>
              <w:left w:val="nil"/>
              <w:right w:val="single" w:sz="8" w:space="0" w:color="auto"/>
            </w:tcBorders>
            <w:tcMar>
              <w:top w:w="0" w:type="dxa"/>
              <w:left w:w="108" w:type="dxa"/>
              <w:bottom w:w="0" w:type="dxa"/>
              <w:right w:w="108" w:type="dxa"/>
            </w:tcMar>
            <w:vAlign w:val="bottom"/>
          </w:tcPr>
          <w:p w14:paraId="57F5F4F8" w14:textId="77777777" w:rsidR="00705F19" w:rsidRPr="008F03DC" w:rsidRDefault="00705F19" w:rsidP="0078095C">
            <w:pPr>
              <w:jc w:val="center"/>
              <w:rPr>
                <w:rFonts w:ascii="Calibri" w:eastAsiaTheme="minorHAnsi" w:hAnsi="Calibri"/>
                <w:sz w:val="22"/>
                <w:szCs w:val="22"/>
              </w:rPr>
            </w:pPr>
            <w:r w:rsidRPr="008F03DC">
              <w:t>565</w:t>
            </w:r>
          </w:p>
        </w:tc>
        <w:tc>
          <w:tcPr>
            <w:tcW w:w="2284" w:type="dxa"/>
            <w:tcBorders>
              <w:top w:val="single" w:sz="8" w:space="0" w:color="auto"/>
              <w:left w:val="nil"/>
              <w:right w:val="single" w:sz="8" w:space="0" w:color="auto"/>
            </w:tcBorders>
            <w:shd w:val="clear" w:color="auto" w:fill="auto"/>
            <w:tcMar>
              <w:top w:w="0" w:type="dxa"/>
              <w:left w:w="108" w:type="dxa"/>
              <w:bottom w:w="0" w:type="dxa"/>
              <w:right w:w="108" w:type="dxa"/>
            </w:tcMar>
            <w:vAlign w:val="bottom"/>
          </w:tcPr>
          <w:p w14:paraId="57F5F4F9" w14:textId="77777777" w:rsidR="00705F19" w:rsidRPr="00CB54B1" w:rsidRDefault="008A3B7B" w:rsidP="0078095C">
            <w:pPr>
              <w:jc w:val="center"/>
            </w:pPr>
            <w:r>
              <w:t>535</w:t>
            </w:r>
          </w:p>
        </w:tc>
        <w:tc>
          <w:tcPr>
            <w:tcW w:w="2234" w:type="dxa"/>
            <w:tcBorders>
              <w:top w:val="single" w:sz="8" w:space="0" w:color="auto"/>
              <w:left w:val="nil"/>
              <w:right w:val="single" w:sz="8" w:space="0" w:color="auto"/>
            </w:tcBorders>
            <w:shd w:val="clear" w:color="auto" w:fill="auto"/>
            <w:tcMar>
              <w:top w:w="0" w:type="dxa"/>
              <w:left w:w="108" w:type="dxa"/>
              <w:bottom w:w="0" w:type="dxa"/>
              <w:right w:w="108" w:type="dxa"/>
            </w:tcMar>
          </w:tcPr>
          <w:p w14:paraId="57F5F4FA" w14:textId="77777777" w:rsidR="00705F19" w:rsidRPr="008F03DC" w:rsidRDefault="008A3B7B" w:rsidP="0078095C">
            <w:pPr>
              <w:jc w:val="center"/>
              <w:rPr>
                <w:rFonts w:ascii="Calibri" w:eastAsiaTheme="minorHAnsi" w:hAnsi="Calibri"/>
                <w:sz w:val="22"/>
                <w:szCs w:val="22"/>
              </w:rPr>
            </w:pPr>
            <w:r>
              <w:t>5</w:t>
            </w:r>
            <w:r w:rsidR="00705F19" w:rsidRPr="008F03DC">
              <w:t>%</w:t>
            </w:r>
          </w:p>
        </w:tc>
      </w:tr>
      <w:tr w:rsidR="00705F19" w:rsidRPr="00893BF0" w14:paraId="57F5F500" w14:textId="77777777" w:rsidTr="0078095C">
        <w:tc>
          <w:tcPr>
            <w:tcW w:w="2435" w:type="dxa"/>
            <w:tcBorders>
              <w:left w:val="single" w:sz="8" w:space="0" w:color="auto"/>
              <w:right w:val="single" w:sz="8" w:space="0" w:color="auto"/>
            </w:tcBorders>
            <w:tcMar>
              <w:top w:w="0" w:type="dxa"/>
              <w:left w:w="108" w:type="dxa"/>
              <w:bottom w:w="0" w:type="dxa"/>
              <w:right w:w="108" w:type="dxa"/>
            </w:tcMar>
            <w:vAlign w:val="bottom"/>
          </w:tcPr>
          <w:p w14:paraId="57F5F4FC" w14:textId="77777777" w:rsidR="00705F19" w:rsidRPr="008F03DC" w:rsidRDefault="00705F19" w:rsidP="0078095C">
            <w:pPr>
              <w:rPr>
                <w:rFonts w:ascii="Calibri" w:eastAsiaTheme="minorHAnsi" w:hAnsi="Calibri"/>
                <w:sz w:val="22"/>
                <w:szCs w:val="22"/>
              </w:rPr>
            </w:pPr>
            <w:r w:rsidRPr="008F03DC">
              <w:t>MW</w:t>
            </w:r>
          </w:p>
        </w:tc>
        <w:tc>
          <w:tcPr>
            <w:tcW w:w="2623" w:type="dxa"/>
            <w:tcBorders>
              <w:left w:val="nil"/>
              <w:right w:val="single" w:sz="8" w:space="0" w:color="auto"/>
            </w:tcBorders>
            <w:tcMar>
              <w:top w:w="0" w:type="dxa"/>
              <w:left w:w="108" w:type="dxa"/>
              <w:bottom w:w="0" w:type="dxa"/>
              <w:right w:w="108" w:type="dxa"/>
            </w:tcMar>
            <w:vAlign w:val="bottom"/>
          </w:tcPr>
          <w:p w14:paraId="57F5F4FD" w14:textId="77777777" w:rsidR="00705F19" w:rsidRPr="008F03DC" w:rsidRDefault="00705F19" w:rsidP="0078095C">
            <w:pPr>
              <w:jc w:val="center"/>
              <w:rPr>
                <w:rFonts w:ascii="Calibri" w:eastAsiaTheme="minorHAnsi" w:hAnsi="Calibri"/>
                <w:sz w:val="22"/>
                <w:szCs w:val="22"/>
              </w:rPr>
            </w:pPr>
            <w:r w:rsidRPr="008F03DC">
              <w:t>98.6</w:t>
            </w:r>
          </w:p>
        </w:tc>
        <w:tc>
          <w:tcPr>
            <w:tcW w:w="2284" w:type="dxa"/>
            <w:tcBorders>
              <w:left w:val="nil"/>
              <w:right w:val="single" w:sz="8" w:space="0" w:color="auto"/>
            </w:tcBorders>
            <w:shd w:val="clear" w:color="auto" w:fill="auto"/>
            <w:tcMar>
              <w:top w:w="0" w:type="dxa"/>
              <w:left w:w="108" w:type="dxa"/>
              <w:bottom w:w="0" w:type="dxa"/>
              <w:right w:w="108" w:type="dxa"/>
            </w:tcMar>
            <w:vAlign w:val="bottom"/>
          </w:tcPr>
          <w:p w14:paraId="57F5F4FE" w14:textId="77777777" w:rsidR="00705F19" w:rsidRPr="00CB54B1" w:rsidRDefault="00CB54B1" w:rsidP="0078095C">
            <w:pPr>
              <w:jc w:val="center"/>
            </w:pPr>
            <w:r w:rsidRPr="00CB54B1">
              <w:t>9</w:t>
            </w:r>
            <w:r w:rsidR="008A3B7B">
              <w:t>4</w:t>
            </w:r>
          </w:p>
        </w:tc>
        <w:tc>
          <w:tcPr>
            <w:tcW w:w="2234" w:type="dxa"/>
            <w:tcBorders>
              <w:left w:val="nil"/>
              <w:right w:val="single" w:sz="8" w:space="0" w:color="auto"/>
            </w:tcBorders>
            <w:shd w:val="clear" w:color="auto" w:fill="auto"/>
            <w:tcMar>
              <w:top w:w="0" w:type="dxa"/>
              <w:left w:w="108" w:type="dxa"/>
              <w:bottom w:w="0" w:type="dxa"/>
              <w:right w:w="108" w:type="dxa"/>
            </w:tcMar>
          </w:tcPr>
          <w:p w14:paraId="57F5F4FF" w14:textId="77777777" w:rsidR="00705F19" w:rsidRPr="008F03DC" w:rsidRDefault="008A3B7B" w:rsidP="0078095C">
            <w:pPr>
              <w:jc w:val="center"/>
              <w:rPr>
                <w:rFonts w:ascii="Calibri" w:eastAsiaTheme="minorHAnsi" w:hAnsi="Calibri"/>
                <w:sz w:val="22"/>
                <w:szCs w:val="22"/>
              </w:rPr>
            </w:pPr>
            <w:r>
              <w:t>5</w:t>
            </w:r>
            <w:r w:rsidR="00705F19" w:rsidRPr="008F03DC">
              <w:t>%</w:t>
            </w:r>
          </w:p>
        </w:tc>
      </w:tr>
      <w:tr w:rsidR="00705F19" w:rsidRPr="00893BF0" w14:paraId="57F5F505" w14:textId="77777777" w:rsidTr="0078095C">
        <w:tc>
          <w:tcPr>
            <w:tcW w:w="243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7F5F501" w14:textId="77777777" w:rsidR="00705F19" w:rsidRPr="008F03DC" w:rsidRDefault="00705F19" w:rsidP="0078095C">
            <w:pPr>
              <w:rPr>
                <w:rFonts w:ascii="Calibri" w:eastAsiaTheme="minorHAnsi" w:hAnsi="Calibri"/>
                <w:sz w:val="22"/>
                <w:szCs w:val="22"/>
              </w:rPr>
            </w:pPr>
            <w:r w:rsidRPr="008F03DC">
              <w:t>MMTh</w:t>
            </w:r>
          </w:p>
        </w:tc>
        <w:tc>
          <w:tcPr>
            <w:tcW w:w="2623" w:type="dxa"/>
            <w:tcBorders>
              <w:left w:val="nil"/>
              <w:bottom w:val="single" w:sz="8" w:space="0" w:color="auto"/>
              <w:right w:val="single" w:sz="8" w:space="0" w:color="auto"/>
            </w:tcBorders>
            <w:tcMar>
              <w:top w:w="0" w:type="dxa"/>
              <w:left w:w="108" w:type="dxa"/>
              <w:bottom w:w="0" w:type="dxa"/>
              <w:right w:w="108" w:type="dxa"/>
            </w:tcMar>
            <w:vAlign w:val="bottom"/>
          </w:tcPr>
          <w:p w14:paraId="57F5F502" w14:textId="77777777" w:rsidR="00705F19" w:rsidRPr="008F03DC" w:rsidRDefault="00705F19" w:rsidP="0078095C">
            <w:pPr>
              <w:jc w:val="center"/>
              <w:rPr>
                <w:rFonts w:ascii="Calibri" w:eastAsiaTheme="minorHAnsi" w:hAnsi="Calibri"/>
                <w:sz w:val="22"/>
                <w:szCs w:val="22"/>
              </w:rPr>
            </w:pPr>
            <w:r w:rsidRPr="008F03DC">
              <w:t>2.06</w:t>
            </w:r>
          </w:p>
        </w:tc>
        <w:tc>
          <w:tcPr>
            <w:tcW w:w="2284" w:type="dxa"/>
            <w:tcBorders>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7F5F503" w14:textId="77777777" w:rsidR="00705F19" w:rsidRPr="00CB54B1" w:rsidRDefault="008A3B7B" w:rsidP="0078095C">
            <w:pPr>
              <w:jc w:val="center"/>
            </w:pPr>
            <w:r>
              <w:t>2</w:t>
            </w:r>
          </w:p>
        </w:tc>
        <w:tc>
          <w:tcPr>
            <w:tcW w:w="2234" w:type="dxa"/>
            <w:tcBorders>
              <w:left w:val="nil"/>
              <w:bottom w:val="single" w:sz="8" w:space="0" w:color="auto"/>
              <w:right w:val="single" w:sz="8" w:space="0" w:color="auto"/>
            </w:tcBorders>
            <w:shd w:val="clear" w:color="auto" w:fill="auto"/>
            <w:tcMar>
              <w:top w:w="0" w:type="dxa"/>
              <w:left w:w="108" w:type="dxa"/>
              <w:bottom w:w="0" w:type="dxa"/>
              <w:right w:w="108" w:type="dxa"/>
            </w:tcMar>
          </w:tcPr>
          <w:p w14:paraId="57F5F504" w14:textId="77777777" w:rsidR="00705F19" w:rsidRPr="008F03DC" w:rsidRDefault="008A3B7B" w:rsidP="0078095C">
            <w:pPr>
              <w:jc w:val="center"/>
              <w:rPr>
                <w:rFonts w:ascii="Calibri" w:eastAsiaTheme="minorHAnsi" w:hAnsi="Calibri"/>
                <w:sz w:val="22"/>
                <w:szCs w:val="22"/>
              </w:rPr>
            </w:pPr>
            <w:r>
              <w:t>3</w:t>
            </w:r>
            <w:r w:rsidR="00705F19" w:rsidRPr="008F03DC">
              <w:t>%</w:t>
            </w:r>
          </w:p>
        </w:tc>
      </w:tr>
    </w:tbl>
    <w:p w14:paraId="57F5F506" w14:textId="77777777" w:rsidR="00705F19" w:rsidRDefault="00705F19" w:rsidP="00705F19">
      <w:r w:rsidRPr="008F03DC">
        <w:t xml:space="preserve">It is unclear why the utility-reported data on file at the Commission would differ from SDG&amp;E’s advice letter filing.  The savings values staff used for the purposes of this Resolution is included as Attachment 3.  Given that the Commission data on file are comprised of utility-filed claims reviewed by Commission staff, staff relied on the Commission data to verify and confirm SDG&amp;E’s filing.  </w:t>
      </w:r>
      <w:r w:rsidRPr="008F03DC">
        <w:rPr>
          <w:u w:val="single"/>
        </w:rPr>
        <w:t>As such, the energy savings component of the shareholder incentive award for</w:t>
      </w:r>
      <w:r w:rsidR="008C06CB">
        <w:rPr>
          <w:u w:val="single"/>
        </w:rPr>
        <w:t xml:space="preserve"> SDG&amp;E is calculated per Table 27</w:t>
      </w:r>
      <w:r w:rsidRPr="008F03DC">
        <w:rPr>
          <w:u w:val="single"/>
        </w:rPr>
        <w:t xml:space="preserve"> below, for a total reduction of $ </w:t>
      </w:r>
      <w:r w:rsidR="008A3B7B">
        <w:rPr>
          <w:u w:val="single"/>
        </w:rPr>
        <w:t>105,222</w:t>
      </w:r>
      <w:r w:rsidRPr="008F03DC">
        <w:rPr>
          <w:u w:val="single"/>
        </w:rPr>
        <w:t xml:space="preserve"> from the claimed amount in SDG&amp;E 2764-E/2396-G.</w:t>
      </w:r>
    </w:p>
    <w:p w14:paraId="57F5F507" w14:textId="77777777" w:rsidR="00705F19" w:rsidRDefault="00705F19" w:rsidP="00705F19"/>
    <w:p w14:paraId="57F5F508" w14:textId="77777777" w:rsidR="00705F19" w:rsidRDefault="00705F19" w:rsidP="00705F19">
      <w:pPr>
        <w:spacing w:after="120"/>
      </w:pPr>
      <w:r>
        <w:t>Table 27: SDG&amp;E Energy Savings Performance Award Calculation</w:t>
      </w:r>
    </w:p>
    <w:tbl>
      <w:tblPr>
        <w:tblStyle w:val="TableGrid"/>
        <w:tblW w:w="0" w:type="auto"/>
        <w:tblLook w:val="04A0" w:firstRow="1" w:lastRow="0" w:firstColumn="1" w:lastColumn="0" w:noHBand="0" w:noVBand="1"/>
      </w:tblPr>
      <w:tblGrid>
        <w:gridCol w:w="3192"/>
        <w:gridCol w:w="3192"/>
        <w:gridCol w:w="3192"/>
      </w:tblGrid>
      <w:tr w:rsidR="00705F19" w14:paraId="57F5F50C" w14:textId="77777777" w:rsidTr="0078095C">
        <w:tc>
          <w:tcPr>
            <w:tcW w:w="3192" w:type="dxa"/>
            <w:tcBorders>
              <w:bottom w:val="single" w:sz="4" w:space="0" w:color="auto"/>
            </w:tcBorders>
          </w:tcPr>
          <w:p w14:paraId="57F5F509" w14:textId="77777777" w:rsidR="00705F19" w:rsidRPr="00196089" w:rsidRDefault="00705F19" w:rsidP="0078095C">
            <w:pPr>
              <w:jc w:val="center"/>
              <w:rPr>
                <w:b/>
              </w:rPr>
            </w:pPr>
            <w:r w:rsidRPr="00196089">
              <w:rPr>
                <w:b/>
              </w:rPr>
              <w:t>Energy Units Saved</w:t>
            </w:r>
          </w:p>
        </w:tc>
        <w:tc>
          <w:tcPr>
            <w:tcW w:w="3192" w:type="dxa"/>
            <w:tcBorders>
              <w:bottom w:val="single" w:sz="4" w:space="0" w:color="auto"/>
            </w:tcBorders>
          </w:tcPr>
          <w:p w14:paraId="57F5F50A" w14:textId="77777777" w:rsidR="00705F19" w:rsidRPr="00196089" w:rsidRDefault="00705F19" w:rsidP="0078095C">
            <w:pPr>
              <w:jc w:val="center"/>
              <w:rPr>
                <w:b/>
              </w:rPr>
            </w:pPr>
            <w:r w:rsidRPr="00196089">
              <w:rPr>
                <w:b/>
              </w:rPr>
              <w:t>Earnings Rate</w:t>
            </w:r>
          </w:p>
        </w:tc>
        <w:tc>
          <w:tcPr>
            <w:tcW w:w="3192" w:type="dxa"/>
            <w:tcBorders>
              <w:bottom w:val="single" w:sz="4" w:space="0" w:color="auto"/>
            </w:tcBorders>
          </w:tcPr>
          <w:p w14:paraId="57F5F50B" w14:textId="77777777" w:rsidR="00705F19" w:rsidRPr="00196089" w:rsidRDefault="00705F19" w:rsidP="0078095C">
            <w:pPr>
              <w:jc w:val="center"/>
              <w:rPr>
                <w:b/>
              </w:rPr>
            </w:pPr>
            <w:r w:rsidRPr="00196089">
              <w:rPr>
                <w:b/>
              </w:rPr>
              <w:t>Total Earnings</w:t>
            </w:r>
          </w:p>
        </w:tc>
      </w:tr>
      <w:tr w:rsidR="00705F19" w14:paraId="57F5F510" w14:textId="77777777" w:rsidTr="0078095C">
        <w:tc>
          <w:tcPr>
            <w:tcW w:w="3192" w:type="dxa"/>
            <w:tcBorders>
              <w:bottom w:val="nil"/>
            </w:tcBorders>
            <w:shd w:val="clear" w:color="auto" w:fill="auto"/>
          </w:tcPr>
          <w:p w14:paraId="57F5F50D" w14:textId="77777777" w:rsidR="00705F19" w:rsidRPr="0061345E" w:rsidRDefault="008A3B7B" w:rsidP="0078095C">
            <w:pPr>
              <w:jc w:val="center"/>
            </w:pPr>
            <w:r>
              <w:t>535</w:t>
            </w:r>
            <w:r w:rsidR="00CB54B1">
              <w:t xml:space="preserve"> </w:t>
            </w:r>
            <w:r w:rsidR="00705F19" w:rsidRPr="0061345E">
              <w:t>GWh</w:t>
            </w:r>
          </w:p>
        </w:tc>
        <w:tc>
          <w:tcPr>
            <w:tcW w:w="3192" w:type="dxa"/>
            <w:tcBorders>
              <w:bottom w:val="nil"/>
            </w:tcBorders>
          </w:tcPr>
          <w:p w14:paraId="57F5F50E" w14:textId="77777777" w:rsidR="00705F19" w:rsidRPr="00476F1B" w:rsidRDefault="00705F19" w:rsidP="0078095C">
            <w:pPr>
              <w:jc w:val="center"/>
            </w:pPr>
            <w:r w:rsidRPr="00476F1B">
              <w:t>$</w:t>
            </w:r>
            <w:r>
              <w:t xml:space="preserve"> </w:t>
            </w:r>
            <w:r w:rsidRPr="00476F1B">
              <w:t>2,525/GWh</w:t>
            </w:r>
          </w:p>
        </w:tc>
        <w:tc>
          <w:tcPr>
            <w:tcW w:w="3192" w:type="dxa"/>
            <w:tcBorders>
              <w:bottom w:val="nil"/>
            </w:tcBorders>
          </w:tcPr>
          <w:p w14:paraId="57F5F50F" w14:textId="77777777" w:rsidR="00705F19" w:rsidRPr="0061345E" w:rsidRDefault="00705F19" w:rsidP="008A3B7B">
            <w:pPr>
              <w:jc w:val="center"/>
            </w:pPr>
            <w:r w:rsidRPr="00476F1B">
              <w:t>$</w:t>
            </w:r>
            <w:r>
              <w:t xml:space="preserve"> </w:t>
            </w:r>
            <w:r w:rsidR="008A3B7B">
              <w:t>1,350,875</w:t>
            </w:r>
          </w:p>
        </w:tc>
      </w:tr>
      <w:tr w:rsidR="00705F19" w:rsidRPr="004D689B" w14:paraId="57F5F514" w14:textId="77777777" w:rsidTr="0078095C">
        <w:tc>
          <w:tcPr>
            <w:tcW w:w="3192" w:type="dxa"/>
            <w:tcBorders>
              <w:top w:val="nil"/>
              <w:bottom w:val="nil"/>
            </w:tcBorders>
            <w:shd w:val="clear" w:color="auto" w:fill="auto"/>
          </w:tcPr>
          <w:p w14:paraId="57F5F511" w14:textId="77777777" w:rsidR="00705F19" w:rsidRPr="0061345E" w:rsidRDefault="008A3B7B" w:rsidP="0078095C">
            <w:pPr>
              <w:jc w:val="center"/>
            </w:pPr>
            <w:r>
              <w:t>94</w:t>
            </w:r>
            <w:r w:rsidR="00CB54B1">
              <w:t xml:space="preserve"> </w:t>
            </w:r>
            <w:r w:rsidR="00705F19" w:rsidRPr="0061345E">
              <w:t>MW-Yr</w:t>
            </w:r>
          </w:p>
        </w:tc>
        <w:tc>
          <w:tcPr>
            <w:tcW w:w="3192" w:type="dxa"/>
            <w:tcBorders>
              <w:top w:val="nil"/>
              <w:bottom w:val="nil"/>
            </w:tcBorders>
          </w:tcPr>
          <w:p w14:paraId="57F5F512" w14:textId="77777777" w:rsidR="00705F19" w:rsidRPr="00476F1B" w:rsidRDefault="00705F19" w:rsidP="0078095C">
            <w:pPr>
              <w:jc w:val="center"/>
            </w:pPr>
            <w:r w:rsidRPr="00476F1B">
              <w:t>$</w:t>
            </w:r>
            <w:r>
              <w:t xml:space="preserve"> </w:t>
            </w:r>
            <w:r w:rsidRPr="00476F1B">
              <w:t>6,200/MW-Yr</w:t>
            </w:r>
          </w:p>
        </w:tc>
        <w:tc>
          <w:tcPr>
            <w:tcW w:w="3192" w:type="dxa"/>
            <w:tcBorders>
              <w:top w:val="nil"/>
              <w:bottom w:val="nil"/>
            </w:tcBorders>
          </w:tcPr>
          <w:p w14:paraId="57F5F513" w14:textId="77777777" w:rsidR="00705F19" w:rsidRPr="0061345E" w:rsidRDefault="00705F19" w:rsidP="008A3B7B">
            <w:pPr>
              <w:jc w:val="center"/>
            </w:pPr>
            <w:r w:rsidRPr="00476F1B">
              <w:t>$</w:t>
            </w:r>
            <w:r>
              <w:t xml:space="preserve"> </w:t>
            </w:r>
            <w:r w:rsidR="008A3B7B">
              <w:t>582,800</w:t>
            </w:r>
          </w:p>
        </w:tc>
      </w:tr>
      <w:tr w:rsidR="00705F19" w14:paraId="57F5F518" w14:textId="77777777" w:rsidTr="0078095C">
        <w:tc>
          <w:tcPr>
            <w:tcW w:w="3192" w:type="dxa"/>
            <w:tcBorders>
              <w:top w:val="nil"/>
            </w:tcBorders>
            <w:shd w:val="clear" w:color="auto" w:fill="auto"/>
          </w:tcPr>
          <w:p w14:paraId="57F5F515" w14:textId="77777777" w:rsidR="00705F19" w:rsidRPr="0061345E" w:rsidRDefault="008A3B7B" w:rsidP="0078095C">
            <w:pPr>
              <w:jc w:val="center"/>
            </w:pPr>
            <w:r>
              <w:t>2</w:t>
            </w:r>
            <w:r w:rsidR="00CB54B1">
              <w:t xml:space="preserve"> </w:t>
            </w:r>
            <w:r w:rsidR="00705F19">
              <w:t>MMT</w:t>
            </w:r>
            <w:r w:rsidR="00705F19" w:rsidRPr="0061345E">
              <w:t>h</w:t>
            </w:r>
          </w:p>
        </w:tc>
        <w:tc>
          <w:tcPr>
            <w:tcW w:w="3192" w:type="dxa"/>
            <w:tcBorders>
              <w:top w:val="nil"/>
            </w:tcBorders>
          </w:tcPr>
          <w:p w14:paraId="57F5F516" w14:textId="77777777" w:rsidR="00705F19" w:rsidRPr="00476F1B" w:rsidRDefault="00705F19" w:rsidP="0078095C">
            <w:pPr>
              <w:jc w:val="center"/>
            </w:pPr>
            <w:r w:rsidRPr="00476F1B">
              <w:t>$</w:t>
            </w:r>
            <w:r>
              <w:t xml:space="preserve"> </w:t>
            </w:r>
            <w:r w:rsidRPr="00476F1B">
              <w:t>21,331</w:t>
            </w:r>
            <w:r>
              <w:t>/MMTh</w:t>
            </w:r>
          </w:p>
        </w:tc>
        <w:tc>
          <w:tcPr>
            <w:tcW w:w="3192" w:type="dxa"/>
            <w:tcBorders>
              <w:top w:val="nil"/>
            </w:tcBorders>
          </w:tcPr>
          <w:p w14:paraId="57F5F517" w14:textId="77777777" w:rsidR="00705F19" w:rsidRPr="00476F1B" w:rsidRDefault="00705F19" w:rsidP="008A3B7B">
            <w:pPr>
              <w:jc w:val="center"/>
            </w:pPr>
            <w:r w:rsidRPr="00476F1B">
              <w:t>$</w:t>
            </w:r>
            <w:r>
              <w:t xml:space="preserve"> </w:t>
            </w:r>
            <w:r w:rsidR="00CB54B1">
              <w:t xml:space="preserve"> </w:t>
            </w:r>
            <w:r w:rsidR="008A3B7B">
              <w:t>42,662</w:t>
            </w:r>
          </w:p>
        </w:tc>
      </w:tr>
      <w:tr w:rsidR="00705F19" w14:paraId="57F5F51B" w14:textId="77777777" w:rsidTr="0078095C">
        <w:tc>
          <w:tcPr>
            <w:tcW w:w="6384" w:type="dxa"/>
            <w:gridSpan w:val="2"/>
          </w:tcPr>
          <w:p w14:paraId="57F5F519" w14:textId="77777777" w:rsidR="00705F19" w:rsidRPr="00141838" w:rsidRDefault="00705F19" w:rsidP="0078095C">
            <w:pPr>
              <w:jc w:val="center"/>
            </w:pPr>
          </w:p>
        </w:tc>
        <w:tc>
          <w:tcPr>
            <w:tcW w:w="3192" w:type="dxa"/>
          </w:tcPr>
          <w:p w14:paraId="57F5F51A" w14:textId="77777777" w:rsidR="00705F19" w:rsidRPr="0061345E" w:rsidRDefault="00705F19" w:rsidP="008A3B7B">
            <w:pPr>
              <w:jc w:val="center"/>
            </w:pPr>
            <w:r w:rsidRPr="0061345E">
              <w:t>$</w:t>
            </w:r>
            <w:r>
              <w:t xml:space="preserve"> </w:t>
            </w:r>
            <w:r w:rsidR="008A3B7B">
              <w:t>1,976,337</w:t>
            </w:r>
          </w:p>
        </w:tc>
      </w:tr>
    </w:tbl>
    <w:p w14:paraId="57F5F51C" w14:textId="77777777" w:rsidR="00705F19" w:rsidRDefault="00705F19" w:rsidP="00705F19"/>
    <w:p w14:paraId="57F5F51D" w14:textId="77777777" w:rsidR="00705F19" w:rsidRPr="00605B4E" w:rsidRDefault="00705F19" w:rsidP="00705F19">
      <w:pPr>
        <w:spacing w:after="120"/>
        <w:rPr>
          <w:i/>
        </w:rPr>
      </w:pPr>
      <w:r>
        <w:rPr>
          <w:i/>
        </w:rPr>
        <w:t>Energy Efficiency Program Expenditures</w:t>
      </w:r>
    </w:p>
    <w:p w14:paraId="57F5F51E" w14:textId="77777777" w:rsidR="00705F19" w:rsidRDefault="00705F19" w:rsidP="00705F19">
      <w:r>
        <w:t xml:space="preserve">In AL </w:t>
      </w:r>
      <w:r w:rsidRPr="00FE536B">
        <w:t>2764-E/2396-G</w:t>
      </w:r>
      <w:r>
        <w:t xml:space="preserve"> SDG&amp;E notes the following expenditures that are applicable to the </w:t>
      </w:r>
      <w:r w:rsidR="00876211">
        <w:t>three</w:t>
      </w:r>
      <w:r>
        <w:t xml:space="preserve"> incentive award components:</w:t>
      </w:r>
    </w:p>
    <w:p w14:paraId="57F5F51F" w14:textId="77777777" w:rsidR="00705F19" w:rsidRDefault="00705F19" w:rsidP="00705F19">
      <w:pPr>
        <w:spacing w:after="120"/>
      </w:pPr>
    </w:p>
    <w:p w14:paraId="57F5F520" w14:textId="77777777" w:rsidR="00705F19" w:rsidRDefault="00705F19" w:rsidP="00705F19">
      <w:pPr>
        <w:spacing w:after="120"/>
      </w:pPr>
      <w:r>
        <w:t xml:space="preserve">Table 28: SDG&amp;E Filed Expenditures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978"/>
        <w:gridCol w:w="2970"/>
        <w:gridCol w:w="2628"/>
      </w:tblGrid>
      <w:tr w:rsidR="00705F19" w14:paraId="57F5F524" w14:textId="77777777" w:rsidTr="0078095C">
        <w:trPr>
          <w:tblHeader/>
        </w:trPr>
        <w:tc>
          <w:tcPr>
            <w:tcW w:w="3978" w:type="dxa"/>
            <w:tcBorders>
              <w:top w:val="single" w:sz="4" w:space="0" w:color="auto"/>
              <w:bottom w:val="single" w:sz="4" w:space="0" w:color="auto"/>
              <w:right w:val="single" w:sz="4" w:space="0" w:color="auto"/>
            </w:tcBorders>
          </w:tcPr>
          <w:p w14:paraId="57F5F521" w14:textId="77777777" w:rsidR="00705F19" w:rsidRPr="00196089" w:rsidRDefault="00705F19" w:rsidP="0078095C">
            <w:pPr>
              <w:rPr>
                <w:b/>
              </w:rPr>
            </w:pPr>
            <w:r w:rsidRPr="00196089">
              <w:rPr>
                <w:b/>
              </w:rPr>
              <w:lastRenderedPageBreak/>
              <w:t>Award Component</w:t>
            </w:r>
          </w:p>
        </w:tc>
        <w:tc>
          <w:tcPr>
            <w:tcW w:w="2970" w:type="dxa"/>
            <w:tcBorders>
              <w:top w:val="single" w:sz="4" w:space="0" w:color="auto"/>
              <w:bottom w:val="single" w:sz="4" w:space="0" w:color="auto"/>
              <w:right w:val="single" w:sz="4" w:space="0" w:color="auto"/>
            </w:tcBorders>
          </w:tcPr>
          <w:p w14:paraId="57F5F522" w14:textId="77777777" w:rsidR="00705F19" w:rsidRPr="00196089" w:rsidRDefault="00705F19" w:rsidP="0078095C">
            <w:pPr>
              <w:rPr>
                <w:b/>
              </w:rPr>
            </w:pPr>
            <w:r w:rsidRPr="00196089">
              <w:rPr>
                <w:b/>
              </w:rPr>
              <w:t>Applicable Budget(s)</w:t>
            </w:r>
          </w:p>
        </w:tc>
        <w:tc>
          <w:tcPr>
            <w:tcW w:w="2628" w:type="dxa"/>
            <w:tcBorders>
              <w:top w:val="single" w:sz="4" w:space="0" w:color="auto"/>
              <w:left w:val="single" w:sz="4" w:space="0" w:color="auto"/>
              <w:bottom w:val="single" w:sz="4" w:space="0" w:color="auto"/>
            </w:tcBorders>
          </w:tcPr>
          <w:p w14:paraId="57F5F523" w14:textId="77777777" w:rsidR="00705F19" w:rsidRPr="00196089" w:rsidRDefault="00705F19" w:rsidP="0078095C">
            <w:pPr>
              <w:rPr>
                <w:b/>
              </w:rPr>
            </w:pPr>
            <w:r w:rsidRPr="00196089">
              <w:rPr>
                <w:b/>
              </w:rPr>
              <w:t>Expenditures (less administrative costs)</w:t>
            </w:r>
          </w:p>
        </w:tc>
      </w:tr>
      <w:tr w:rsidR="00705F19" w14:paraId="57F5F528" w14:textId="77777777" w:rsidTr="0078095C">
        <w:tc>
          <w:tcPr>
            <w:tcW w:w="3978" w:type="dxa"/>
            <w:tcBorders>
              <w:right w:val="single" w:sz="4" w:space="0" w:color="auto"/>
            </w:tcBorders>
          </w:tcPr>
          <w:p w14:paraId="57F5F525" w14:textId="77777777" w:rsidR="00705F19" w:rsidRDefault="00705F19" w:rsidP="0078095C">
            <w:pPr>
              <w:pStyle w:val="ListParagraph"/>
              <w:numPr>
                <w:ilvl w:val="0"/>
                <w:numId w:val="19"/>
              </w:numPr>
              <w:spacing w:after="120"/>
            </w:pPr>
            <w:r>
              <w:t>Ex ante review performance</w:t>
            </w:r>
          </w:p>
        </w:tc>
        <w:tc>
          <w:tcPr>
            <w:tcW w:w="2970" w:type="dxa"/>
            <w:tcBorders>
              <w:right w:val="single" w:sz="4" w:space="0" w:color="auto"/>
            </w:tcBorders>
          </w:tcPr>
          <w:p w14:paraId="57F5F526" w14:textId="77777777" w:rsidR="00705F19" w:rsidRDefault="00705F19" w:rsidP="0078095C">
            <w:pPr>
              <w:spacing w:after="120"/>
            </w:pPr>
            <w:r>
              <w:t>All resource programs</w:t>
            </w:r>
          </w:p>
        </w:tc>
        <w:tc>
          <w:tcPr>
            <w:tcW w:w="2628" w:type="dxa"/>
            <w:tcBorders>
              <w:top w:val="nil"/>
              <w:left w:val="single" w:sz="4" w:space="0" w:color="auto"/>
              <w:bottom w:val="nil"/>
            </w:tcBorders>
          </w:tcPr>
          <w:p w14:paraId="57F5F527" w14:textId="77777777" w:rsidR="00705F19" w:rsidRDefault="00705F19" w:rsidP="0078095C">
            <w:pPr>
              <w:spacing w:after="120"/>
            </w:pPr>
            <w:r>
              <w:t>$ 67,081,303</w:t>
            </w:r>
          </w:p>
        </w:tc>
      </w:tr>
      <w:tr w:rsidR="00705F19" w14:paraId="57F5F52C" w14:textId="77777777" w:rsidTr="0078095C">
        <w:tc>
          <w:tcPr>
            <w:tcW w:w="3978" w:type="dxa"/>
            <w:tcBorders>
              <w:right w:val="single" w:sz="4" w:space="0" w:color="auto"/>
            </w:tcBorders>
          </w:tcPr>
          <w:p w14:paraId="57F5F529" w14:textId="77777777" w:rsidR="00705F19" w:rsidRDefault="00705F19" w:rsidP="0078095C">
            <w:pPr>
              <w:pStyle w:val="ListParagraph"/>
              <w:numPr>
                <w:ilvl w:val="0"/>
                <w:numId w:val="19"/>
              </w:numPr>
              <w:spacing w:after="120"/>
            </w:pPr>
            <w:r>
              <w:t>Codes and standards   management fee</w:t>
            </w:r>
          </w:p>
        </w:tc>
        <w:tc>
          <w:tcPr>
            <w:tcW w:w="2970" w:type="dxa"/>
            <w:tcBorders>
              <w:right w:val="single" w:sz="4" w:space="0" w:color="auto"/>
            </w:tcBorders>
          </w:tcPr>
          <w:p w14:paraId="57F5F52A" w14:textId="77777777" w:rsidR="00705F19" w:rsidRDefault="00705F19" w:rsidP="0078095C">
            <w:pPr>
              <w:spacing w:after="120"/>
            </w:pPr>
            <w:r>
              <w:t>Codes and standards programs</w:t>
            </w:r>
          </w:p>
        </w:tc>
        <w:tc>
          <w:tcPr>
            <w:tcW w:w="2628" w:type="dxa"/>
            <w:tcBorders>
              <w:top w:val="nil"/>
              <w:left w:val="single" w:sz="4" w:space="0" w:color="auto"/>
              <w:bottom w:val="nil"/>
            </w:tcBorders>
          </w:tcPr>
          <w:p w14:paraId="57F5F52B" w14:textId="77777777" w:rsidR="00705F19" w:rsidRDefault="00705F19" w:rsidP="0078095C">
            <w:pPr>
              <w:spacing w:after="120"/>
            </w:pPr>
            <w:r>
              <w:t>$ 808,826</w:t>
            </w:r>
          </w:p>
        </w:tc>
      </w:tr>
      <w:tr w:rsidR="00705F19" w14:paraId="57F5F530" w14:textId="77777777" w:rsidTr="0078095C">
        <w:tc>
          <w:tcPr>
            <w:tcW w:w="3978" w:type="dxa"/>
            <w:tcBorders>
              <w:bottom w:val="single" w:sz="4" w:space="0" w:color="auto"/>
              <w:right w:val="single" w:sz="4" w:space="0" w:color="auto"/>
            </w:tcBorders>
          </w:tcPr>
          <w:p w14:paraId="57F5F52D" w14:textId="77777777" w:rsidR="00705F19" w:rsidRDefault="00705F19" w:rsidP="0078095C">
            <w:pPr>
              <w:pStyle w:val="ListParagraph"/>
              <w:numPr>
                <w:ilvl w:val="0"/>
                <w:numId w:val="19"/>
              </w:numPr>
              <w:spacing w:after="120"/>
            </w:pPr>
            <w:r>
              <w:t>Non-resource program management fee</w:t>
            </w:r>
          </w:p>
        </w:tc>
        <w:tc>
          <w:tcPr>
            <w:tcW w:w="2970" w:type="dxa"/>
            <w:tcBorders>
              <w:bottom w:val="single" w:sz="4" w:space="0" w:color="auto"/>
              <w:right w:val="single" w:sz="4" w:space="0" w:color="auto"/>
            </w:tcBorders>
          </w:tcPr>
          <w:p w14:paraId="57F5F52E" w14:textId="77777777" w:rsidR="00705F19" w:rsidRDefault="00705F19" w:rsidP="0078095C">
            <w:pPr>
              <w:spacing w:after="120"/>
            </w:pPr>
            <w:r>
              <w:t>Non-resource programs</w:t>
            </w:r>
          </w:p>
        </w:tc>
        <w:tc>
          <w:tcPr>
            <w:tcW w:w="2628" w:type="dxa"/>
            <w:tcBorders>
              <w:top w:val="nil"/>
              <w:left w:val="single" w:sz="4" w:space="0" w:color="auto"/>
              <w:bottom w:val="single" w:sz="4" w:space="0" w:color="auto"/>
            </w:tcBorders>
          </w:tcPr>
          <w:p w14:paraId="57F5F52F" w14:textId="77777777" w:rsidR="00705F19" w:rsidRDefault="00705F19" w:rsidP="0078095C">
            <w:pPr>
              <w:spacing w:after="120"/>
            </w:pPr>
            <w:r>
              <w:t>$ 7,654,016</w:t>
            </w:r>
          </w:p>
        </w:tc>
      </w:tr>
    </w:tbl>
    <w:p w14:paraId="57F5F531" w14:textId="77777777" w:rsidR="00705F19" w:rsidRDefault="00705F19" w:rsidP="00705F19"/>
    <w:p w14:paraId="57F5F532" w14:textId="77777777" w:rsidR="00705F19" w:rsidRPr="008F03DC" w:rsidRDefault="00705F19" w:rsidP="00705F19">
      <w:r w:rsidRPr="008F03DC">
        <w:t>SDG&amp;E’s filed expenditures for resource and non-resource programs are not consistent with the utility-reported data on file at the Commission. The differences are noted below:</w:t>
      </w:r>
    </w:p>
    <w:p w14:paraId="57F5F533" w14:textId="77777777" w:rsidR="00705F19" w:rsidRDefault="00705F19" w:rsidP="00705F19"/>
    <w:p w14:paraId="57F5F534" w14:textId="77777777" w:rsidR="001341E5" w:rsidRPr="008F03DC" w:rsidRDefault="001341E5" w:rsidP="00705F19"/>
    <w:p w14:paraId="57F5F535" w14:textId="77777777" w:rsidR="00705F19" w:rsidRPr="008F03DC" w:rsidRDefault="00705F19" w:rsidP="00705F19">
      <w:pPr>
        <w:spacing w:after="120"/>
      </w:pPr>
      <w:r w:rsidRPr="008F03DC">
        <w:t xml:space="preserve">Table 29: Comparison of SDG&amp;E and ED Central Server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8F03DC" w14:paraId="57F5F53A" w14:textId="77777777" w:rsidTr="0078095C">
        <w:tc>
          <w:tcPr>
            <w:tcW w:w="3078" w:type="dxa"/>
            <w:tcBorders>
              <w:bottom w:val="single" w:sz="4" w:space="0" w:color="auto"/>
            </w:tcBorders>
            <w:shd w:val="clear" w:color="auto" w:fill="auto"/>
            <w:vAlign w:val="bottom"/>
          </w:tcPr>
          <w:p w14:paraId="57F5F536" w14:textId="77777777" w:rsidR="00705F19" w:rsidRPr="008F03DC" w:rsidRDefault="00705F19" w:rsidP="0078095C"/>
        </w:tc>
        <w:tc>
          <w:tcPr>
            <w:tcW w:w="2340" w:type="dxa"/>
            <w:tcBorders>
              <w:bottom w:val="single" w:sz="4" w:space="0" w:color="auto"/>
            </w:tcBorders>
            <w:shd w:val="clear" w:color="auto" w:fill="auto"/>
            <w:vAlign w:val="bottom"/>
          </w:tcPr>
          <w:p w14:paraId="57F5F537" w14:textId="77777777" w:rsidR="00705F19" w:rsidRPr="008F03DC" w:rsidRDefault="00705F19" w:rsidP="0078095C">
            <w:pPr>
              <w:jc w:val="center"/>
              <w:rPr>
                <w:b/>
              </w:rPr>
            </w:pPr>
            <w:r w:rsidRPr="008F03DC">
              <w:rPr>
                <w:b/>
              </w:rPr>
              <w:t>IOU Claimed Value</w:t>
            </w:r>
          </w:p>
        </w:tc>
        <w:tc>
          <w:tcPr>
            <w:tcW w:w="2340" w:type="dxa"/>
            <w:tcBorders>
              <w:bottom w:val="single" w:sz="4" w:space="0" w:color="auto"/>
            </w:tcBorders>
            <w:shd w:val="clear" w:color="auto" w:fill="auto"/>
            <w:vAlign w:val="bottom"/>
          </w:tcPr>
          <w:p w14:paraId="57F5F538" w14:textId="77777777" w:rsidR="00705F19" w:rsidRPr="008F03DC" w:rsidRDefault="00705F19" w:rsidP="0078095C">
            <w:pPr>
              <w:jc w:val="center"/>
              <w:rPr>
                <w:b/>
              </w:rPr>
            </w:pPr>
            <w:r w:rsidRPr="008F03DC">
              <w:rPr>
                <w:b/>
              </w:rPr>
              <w:t>ED Central Server Value</w:t>
            </w:r>
          </w:p>
        </w:tc>
        <w:tc>
          <w:tcPr>
            <w:tcW w:w="1818" w:type="dxa"/>
            <w:tcBorders>
              <w:bottom w:val="single" w:sz="4" w:space="0" w:color="auto"/>
            </w:tcBorders>
            <w:shd w:val="clear" w:color="auto" w:fill="auto"/>
          </w:tcPr>
          <w:p w14:paraId="57F5F539" w14:textId="77777777" w:rsidR="00705F19" w:rsidRPr="008F03DC" w:rsidRDefault="00705F19" w:rsidP="0078095C">
            <w:pPr>
              <w:jc w:val="center"/>
              <w:rPr>
                <w:b/>
              </w:rPr>
            </w:pPr>
            <w:r w:rsidRPr="008F03DC">
              <w:rPr>
                <w:b/>
              </w:rPr>
              <w:t>Difference</w:t>
            </w:r>
          </w:p>
        </w:tc>
      </w:tr>
      <w:tr w:rsidR="00705F19" w:rsidRPr="008F03DC" w14:paraId="57F5F53F" w14:textId="77777777" w:rsidTr="0078095C">
        <w:tc>
          <w:tcPr>
            <w:tcW w:w="3078" w:type="dxa"/>
            <w:tcBorders>
              <w:bottom w:val="nil"/>
            </w:tcBorders>
            <w:shd w:val="clear" w:color="auto" w:fill="auto"/>
            <w:vAlign w:val="bottom"/>
          </w:tcPr>
          <w:p w14:paraId="57F5F53B" w14:textId="77777777" w:rsidR="00705F19" w:rsidRPr="008F03DC" w:rsidRDefault="00705F19" w:rsidP="0078095C">
            <w:r w:rsidRPr="008F03DC">
              <w:t>Resource programs</w:t>
            </w:r>
          </w:p>
        </w:tc>
        <w:tc>
          <w:tcPr>
            <w:tcW w:w="2340" w:type="dxa"/>
            <w:tcBorders>
              <w:bottom w:val="nil"/>
            </w:tcBorders>
            <w:shd w:val="clear" w:color="auto" w:fill="auto"/>
            <w:vAlign w:val="bottom"/>
          </w:tcPr>
          <w:p w14:paraId="57F5F53C" w14:textId="77777777" w:rsidR="00705F19" w:rsidRPr="008F03DC" w:rsidRDefault="00705F19" w:rsidP="0078095C">
            <w:pPr>
              <w:jc w:val="center"/>
            </w:pPr>
            <w:r w:rsidRPr="008F03DC">
              <w:t>$ 67,081,303</w:t>
            </w:r>
          </w:p>
        </w:tc>
        <w:tc>
          <w:tcPr>
            <w:tcW w:w="2340" w:type="dxa"/>
            <w:tcBorders>
              <w:bottom w:val="nil"/>
            </w:tcBorders>
            <w:shd w:val="clear" w:color="auto" w:fill="auto"/>
            <w:vAlign w:val="bottom"/>
          </w:tcPr>
          <w:p w14:paraId="57F5F53D" w14:textId="77777777" w:rsidR="00705F19" w:rsidRPr="008F03DC" w:rsidRDefault="00705F19" w:rsidP="0078095C">
            <w:pPr>
              <w:jc w:val="center"/>
            </w:pPr>
            <w:r w:rsidRPr="008F03DC">
              <w:t>$ 67,926,408</w:t>
            </w:r>
          </w:p>
        </w:tc>
        <w:tc>
          <w:tcPr>
            <w:tcW w:w="1818" w:type="dxa"/>
            <w:tcBorders>
              <w:bottom w:val="nil"/>
            </w:tcBorders>
            <w:shd w:val="clear" w:color="auto" w:fill="auto"/>
          </w:tcPr>
          <w:p w14:paraId="57F5F53E" w14:textId="77777777" w:rsidR="00705F19" w:rsidRPr="008F03DC" w:rsidRDefault="00705F19" w:rsidP="0078095C">
            <w:pPr>
              <w:jc w:val="center"/>
            </w:pPr>
            <w:r w:rsidRPr="008F03DC">
              <w:t>-1%</w:t>
            </w:r>
          </w:p>
        </w:tc>
      </w:tr>
      <w:tr w:rsidR="00705F19" w:rsidRPr="008F03DC" w14:paraId="57F5F545" w14:textId="77777777" w:rsidTr="0078095C">
        <w:tc>
          <w:tcPr>
            <w:tcW w:w="3078" w:type="dxa"/>
            <w:tcBorders>
              <w:top w:val="nil"/>
              <w:left w:val="single" w:sz="4" w:space="0" w:color="auto"/>
              <w:bottom w:val="nil"/>
              <w:right w:val="single" w:sz="4" w:space="0" w:color="auto"/>
            </w:tcBorders>
            <w:shd w:val="clear" w:color="auto" w:fill="auto"/>
            <w:vAlign w:val="bottom"/>
          </w:tcPr>
          <w:p w14:paraId="57F5F540" w14:textId="77777777" w:rsidR="00705F19" w:rsidRPr="008F03DC" w:rsidRDefault="00705F19" w:rsidP="0078095C">
            <w:r w:rsidRPr="008F03DC">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541" w14:textId="6C301A11" w:rsidR="00705F19" w:rsidRPr="008F03DC" w:rsidRDefault="00705F19" w:rsidP="000446EA">
            <w:pPr>
              <w:jc w:val="center"/>
            </w:pPr>
            <w:r w:rsidRPr="008F03DC">
              <w:t xml:space="preserve">$ </w:t>
            </w:r>
            <w:r w:rsidR="000446EA">
              <w:t>808,826</w:t>
            </w:r>
          </w:p>
        </w:tc>
        <w:tc>
          <w:tcPr>
            <w:tcW w:w="2340" w:type="dxa"/>
            <w:tcBorders>
              <w:top w:val="nil"/>
              <w:left w:val="single" w:sz="4" w:space="0" w:color="auto"/>
              <w:bottom w:val="nil"/>
              <w:right w:val="single" w:sz="4" w:space="0" w:color="auto"/>
            </w:tcBorders>
            <w:shd w:val="clear" w:color="auto" w:fill="auto"/>
            <w:vAlign w:val="bottom"/>
          </w:tcPr>
          <w:p w14:paraId="57F5F542" w14:textId="77777777" w:rsidR="00705F19" w:rsidRPr="008F03DC" w:rsidRDefault="00705F19" w:rsidP="0078095C">
            <w:pPr>
              <w:jc w:val="center"/>
            </w:pPr>
            <w:r w:rsidRPr="008F03DC">
              <w:t>$ 833,851</w:t>
            </w:r>
          </w:p>
        </w:tc>
        <w:tc>
          <w:tcPr>
            <w:tcW w:w="1818" w:type="dxa"/>
            <w:tcBorders>
              <w:top w:val="nil"/>
              <w:left w:val="single" w:sz="4" w:space="0" w:color="auto"/>
              <w:bottom w:val="nil"/>
              <w:right w:val="single" w:sz="4" w:space="0" w:color="auto"/>
            </w:tcBorders>
            <w:shd w:val="clear" w:color="auto" w:fill="auto"/>
          </w:tcPr>
          <w:p w14:paraId="57F5F543" w14:textId="77777777" w:rsidR="00705F19" w:rsidRPr="008F03DC" w:rsidRDefault="00705F19" w:rsidP="0078095C">
            <w:pPr>
              <w:jc w:val="center"/>
            </w:pPr>
          </w:p>
          <w:p w14:paraId="57F5F544" w14:textId="0C6501AE" w:rsidR="00705F19" w:rsidRPr="008F03DC" w:rsidRDefault="000446EA" w:rsidP="0078095C">
            <w:pPr>
              <w:jc w:val="center"/>
            </w:pPr>
            <w:r>
              <w:t>-3</w:t>
            </w:r>
            <w:r w:rsidR="00705F19" w:rsidRPr="008F03DC">
              <w:t>%</w:t>
            </w:r>
          </w:p>
        </w:tc>
      </w:tr>
      <w:tr w:rsidR="00705F19" w14:paraId="57F5F54A"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546" w14:textId="77777777" w:rsidR="00705F19" w:rsidRPr="008F03DC" w:rsidRDefault="00705F19" w:rsidP="0078095C">
            <w:r w:rsidRPr="008F03DC">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547" w14:textId="77777777" w:rsidR="00705F19" w:rsidRPr="008F03DC" w:rsidRDefault="00705F19" w:rsidP="0078095C">
            <w:pPr>
              <w:jc w:val="center"/>
            </w:pPr>
            <w:r w:rsidRPr="008F03DC">
              <w:t>$ 7,654,016</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548" w14:textId="77777777" w:rsidR="00705F19" w:rsidRPr="008F03DC" w:rsidRDefault="00705F19" w:rsidP="0078095C">
            <w:pPr>
              <w:jc w:val="center"/>
            </w:pPr>
            <w:r w:rsidRPr="008F03DC">
              <w:t xml:space="preserve"> $ 7,672,294</w:t>
            </w:r>
          </w:p>
        </w:tc>
        <w:tc>
          <w:tcPr>
            <w:tcW w:w="1818" w:type="dxa"/>
            <w:tcBorders>
              <w:top w:val="nil"/>
              <w:left w:val="single" w:sz="4" w:space="0" w:color="auto"/>
              <w:bottom w:val="single" w:sz="4" w:space="0" w:color="auto"/>
              <w:right w:val="single" w:sz="4" w:space="0" w:color="auto"/>
            </w:tcBorders>
            <w:shd w:val="clear" w:color="auto" w:fill="auto"/>
          </w:tcPr>
          <w:p w14:paraId="57F5F549" w14:textId="77777777" w:rsidR="00705F19" w:rsidRDefault="00705F19" w:rsidP="0078095C">
            <w:pPr>
              <w:jc w:val="center"/>
            </w:pPr>
            <w:r w:rsidRPr="008F03DC">
              <w:t>-0.2%</w:t>
            </w:r>
          </w:p>
        </w:tc>
      </w:tr>
    </w:tbl>
    <w:p w14:paraId="57F5F54B" w14:textId="77777777" w:rsidR="00705F19" w:rsidRDefault="00705F19" w:rsidP="00705F19"/>
    <w:p w14:paraId="57F5F54C" w14:textId="77777777" w:rsidR="00705F19" w:rsidRPr="008F03DC" w:rsidRDefault="00705F19" w:rsidP="00705F19">
      <w:r w:rsidRPr="008F03DC">
        <w:t xml:space="preserve">The list of </w:t>
      </w:r>
      <w:r w:rsidR="00876211">
        <w:t>programs</w:t>
      </w:r>
      <w:r w:rsidRPr="008F03DC">
        <w:t xml:space="preserve">, with the reported expenditures, is included as Attachment 2 to this Resolution. In staff’s initial analysis of SDG&amp;E’s expenditures, staff noted inconsistencies between SDG&amp;E’s filed expenditures and Commission data for the resource and non-resource programs. There may still be </w:t>
      </w:r>
      <w:r w:rsidR="00876211">
        <w:t>minor inconsistencies</w:t>
      </w:r>
      <w:r w:rsidRPr="008F03DC">
        <w:t xml:space="preserve"> in the categorization of expenditures as resource, non-resource, or C&amp;S for the 2013 and 2014 expenditure claims. The IOUs have submitted how they will categorize their 2015 programs on February 23, 2015</w:t>
      </w:r>
      <w:r w:rsidRPr="008F03DC">
        <w:rPr>
          <w:rStyle w:val="FootnoteReference"/>
        </w:rPr>
        <w:footnoteReference w:id="30"/>
      </w:r>
      <w:r w:rsidRPr="008F03DC">
        <w:t xml:space="preserve">. </w:t>
      </w:r>
    </w:p>
    <w:p w14:paraId="57F5F54D" w14:textId="77777777" w:rsidR="00705F19" w:rsidRPr="008F03DC" w:rsidRDefault="00705F19" w:rsidP="00705F19"/>
    <w:p w14:paraId="57F5F54E" w14:textId="77777777" w:rsidR="00705F19" w:rsidRDefault="00705F19" w:rsidP="00705F19">
      <w:r w:rsidRPr="008F03DC">
        <w:lastRenderedPageBreak/>
        <w:t xml:space="preserve">Per the staff-issued memo distributed on June 9, 2014 and included as Attachment 1 to this Resolution, the IOUs’ 2014 expenditures will be trued up once the UAFCB final 2014 audit is complete. For the purposes of this Resolution, staff relied on </w:t>
      </w:r>
      <w:r w:rsidR="00876211">
        <w:t>SDG&amp;E’s data submissions</w:t>
      </w:r>
      <w:r w:rsidRPr="008F03DC">
        <w:t xml:space="preserve"> to reconcile expenditure data differences between </w:t>
      </w:r>
      <w:r w:rsidR="00876211">
        <w:t xml:space="preserve">SDG&amp;E  AL 2764-E/2396-G </w:t>
      </w:r>
      <w:r w:rsidRPr="008F03DC">
        <w:t xml:space="preserve">and data from the ED Central Server (included as Attachment 2 to this Resolution). </w:t>
      </w:r>
      <w:r w:rsidRPr="008F03DC">
        <w:rPr>
          <w:u w:val="single"/>
        </w:rPr>
        <w:t xml:space="preserve">Staff uses </w:t>
      </w:r>
      <w:r w:rsidRPr="008F03DC">
        <w:rPr>
          <w:b/>
          <w:u w:val="single"/>
        </w:rPr>
        <w:t>lower value</w:t>
      </w:r>
      <w:r w:rsidRPr="008F03DC">
        <w:rPr>
          <w:u w:val="single"/>
        </w:rPr>
        <w:t xml:space="preserve"> between the IOU claimed expenditures in the AL and the quarterly expenditures from the ED Central Server if reconciliation cannot be made.</w:t>
      </w:r>
      <w:r>
        <w:rPr>
          <w:u w:val="single"/>
        </w:rPr>
        <w:t xml:space="preserve">  </w:t>
      </w:r>
    </w:p>
    <w:p w14:paraId="57F5F54F" w14:textId="77777777" w:rsidR="00705F19" w:rsidRDefault="00705F19" w:rsidP="00705F19"/>
    <w:p w14:paraId="57F5F550" w14:textId="7AC39AD2" w:rsidR="00705F19" w:rsidRDefault="000446EA" w:rsidP="00705F19">
      <w:r w:rsidRPr="00011D73">
        <w:t>Per the staff-issued memo distributed on June 9, 2014 and i</w:t>
      </w:r>
      <w:r>
        <w:t xml:space="preserve">ncluded as Attachment 1 to </w:t>
      </w:r>
      <w:r w:rsidRPr="00011D73">
        <w:t>Resolution</w:t>
      </w:r>
      <w:r>
        <w:t xml:space="preserve"> G-3497, the IOUs’ 2013 ESPI Resolution expenditures are to</w:t>
      </w:r>
      <w:r w:rsidRPr="00011D73">
        <w:t xml:space="preserve"> be trued up </w:t>
      </w:r>
      <w:r>
        <w:t>as</w:t>
      </w:r>
      <w:r w:rsidRPr="00011D73">
        <w:t xml:space="preserve"> the UAFCB</w:t>
      </w:r>
      <w:r>
        <w:t xml:space="preserve"> final 2013 audit was</w:t>
      </w:r>
      <w:r w:rsidRPr="00011D73">
        <w:t xml:space="preserve"> complete</w:t>
      </w:r>
      <w:r>
        <w:t>d on June 30, 2015</w:t>
      </w:r>
      <w:r w:rsidRPr="00011D73">
        <w:t>.</w:t>
      </w:r>
      <w:r>
        <w:t xml:space="preserve"> The difference in expenditures between the SDG&amp;E 2013 ESPI Resolution expenditures and 2013 UAFCB audited expenditures is used to calculate the true up for the 2014 award.</w:t>
      </w:r>
      <w:r w:rsidR="00705F19">
        <w:t xml:space="preserve">  </w:t>
      </w:r>
    </w:p>
    <w:p w14:paraId="57F5F551" w14:textId="77777777" w:rsidR="00705F19" w:rsidRDefault="00705F19" w:rsidP="00705F19"/>
    <w:p w14:paraId="57F5F552" w14:textId="77777777" w:rsidR="001341E5" w:rsidRDefault="001341E5" w:rsidP="00705F19"/>
    <w:p w14:paraId="57F5F553" w14:textId="77777777" w:rsidR="00705F19" w:rsidRPr="008F03DC" w:rsidRDefault="00705F19" w:rsidP="00705F19">
      <w:pPr>
        <w:spacing w:after="120"/>
      </w:pPr>
      <w:r w:rsidRPr="008F03DC">
        <w:t xml:space="preserve">Table 30: Comparison of 2013 SDG&amp;E Claimed and UAFCB Audited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705F19" w:rsidRPr="00011D73" w14:paraId="57F5F558" w14:textId="77777777" w:rsidTr="0078095C">
        <w:tc>
          <w:tcPr>
            <w:tcW w:w="3078" w:type="dxa"/>
            <w:tcBorders>
              <w:bottom w:val="single" w:sz="4" w:space="0" w:color="auto"/>
            </w:tcBorders>
            <w:shd w:val="clear" w:color="auto" w:fill="auto"/>
            <w:vAlign w:val="bottom"/>
          </w:tcPr>
          <w:p w14:paraId="57F5F554" w14:textId="77777777" w:rsidR="00705F19" w:rsidRPr="00011D73" w:rsidRDefault="00705F19" w:rsidP="0078095C"/>
        </w:tc>
        <w:tc>
          <w:tcPr>
            <w:tcW w:w="2340" w:type="dxa"/>
            <w:tcBorders>
              <w:bottom w:val="single" w:sz="4" w:space="0" w:color="auto"/>
            </w:tcBorders>
            <w:shd w:val="clear" w:color="auto" w:fill="auto"/>
            <w:vAlign w:val="bottom"/>
          </w:tcPr>
          <w:p w14:paraId="57F5F555" w14:textId="3D176C97" w:rsidR="00705F19" w:rsidRPr="00011D73" w:rsidRDefault="00705F19" w:rsidP="000446EA">
            <w:pPr>
              <w:jc w:val="center"/>
              <w:rPr>
                <w:b/>
              </w:rPr>
            </w:pPr>
            <w:r>
              <w:rPr>
                <w:b/>
              </w:rPr>
              <w:t xml:space="preserve">2013 </w:t>
            </w:r>
            <w:r w:rsidR="000446EA">
              <w:rPr>
                <w:b/>
              </w:rPr>
              <w:t>ESPI Resolution</w:t>
            </w:r>
            <w:r>
              <w:rPr>
                <w:b/>
              </w:rPr>
              <w:t xml:space="preserve"> Expenditure</w:t>
            </w:r>
          </w:p>
        </w:tc>
        <w:tc>
          <w:tcPr>
            <w:tcW w:w="2340" w:type="dxa"/>
            <w:tcBorders>
              <w:bottom w:val="single" w:sz="4" w:space="0" w:color="auto"/>
            </w:tcBorders>
            <w:shd w:val="clear" w:color="auto" w:fill="auto"/>
            <w:vAlign w:val="bottom"/>
          </w:tcPr>
          <w:p w14:paraId="57F5F556" w14:textId="77777777" w:rsidR="00705F19" w:rsidRPr="00011D73" w:rsidRDefault="00705F19" w:rsidP="0078095C">
            <w:pPr>
              <w:jc w:val="center"/>
              <w:rPr>
                <w:b/>
              </w:rPr>
            </w:pPr>
            <w:r>
              <w:rPr>
                <w:b/>
              </w:rPr>
              <w:t>2013 UAFCB Audit Expenditure</w:t>
            </w:r>
          </w:p>
        </w:tc>
        <w:tc>
          <w:tcPr>
            <w:tcW w:w="1818" w:type="dxa"/>
            <w:tcBorders>
              <w:bottom w:val="single" w:sz="4" w:space="0" w:color="auto"/>
            </w:tcBorders>
            <w:shd w:val="clear" w:color="auto" w:fill="auto"/>
          </w:tcPr>
          <w:p w14:paraId="57F5F557" w14:textId="108EA49E" w:rsidR="00705F19" w:rsidRPr="00011D73" w:rsidRDefault="000446EA" w:rsidP="0078095C">
            <w:pPr>
              <w:jc w:val="center"/>
              <w:rPr>
                <w:b/>
              </w:rPr>
            </w:pPr>
            <w:r>
              <w:rPr>
                <w:b/>
              </w:rPr>
              <w:t>Award Difference</w:t>
            </w:r>
          </w:p>
        </w:tc>
      </w:tr>
      <w:tr w:rsidR="00705F19" w:rsidRPr="00011D73" w14:paraId="57F5F55D" w14:textId="77777777" w:rsidTr="0078095C">
        <w:tc>
          <w:tcPr>
            <w:tcW w:w="3078" w:type="dxa"/>
            <w:tcBorders>
              <w:bottom w:val="nil"/>
            </w:tcBorders>
            <w:shd w:val="clear" w:color="auto" w:fill="auto"/>
            <w:vAlign w:val="bottom"/>
          </w:tcPr>
          <w:p w14:paraId="57F5F559" w14:textId="77777777" w:rsidR="00705F19" w:rsidRPr="00011D73" w:rsidRDefault="00705F19" w:rsidP="0078095C">
            <w:r w:rsidRPr="00011D73">
              <w:t>Resource programs</w:t>
            </w:r>
          </w:p>
        </w:tc>
        <w:tc>
          <w:tcPr>
            <w:tcW w:w="2340" w:type="dxa"/>
            <w:tcBorders>
              <w:bottom w:val="nil"/>
            </w:tcBorders>
            <w:shd w:val="clear" w:color="auto" w:fill="auto"/>
            <w:vAlign w:val="bottom"/>
          </w:tcPr>
          <w:p w14:paraId="57F5F55A" w14:textId="4B4DEFA1" w:rsidR="00705F19" w:rsidRPr="00011D73" w:rsidRDefault="00705F19" w:rsidP="000446EA">
            <w:pPr>
              <w:jc w:val="center"/>
            </w:pPr>
            <w:r>
              <w:t xml:space="preserve">$ </w:t>
            </w:r>
            <w:r w:rsidR="000446EA">
              <w:t>58,739,080</w:t>
            </w:r>
          </w:p>
        </w:tc>
        <w:tc>
          <w:tcPr>
            <w:tcW w:w="2340" w:type="dxa"/>
            <w:tcBorders>
              <w:bottom w:val="nil"/>
            </w:tcBorders>
            <w:shd w:val="clear" w:color="auto" w:fill="auto"/>
            <w:vAlign w:val="bottom"/>
          </w:tcPr>
          <w:p w14:paraId="57F5F55B" w14:textId="77777777" w:rsidR="00705F19" w:rsidRPr="00011D73" w:rsidRDefault="00705F19" w:rsidP="0078095C">
            <w:pPr>
              <w:jc w:val="center"/>
            </w:pPr>
            <w:r w:rsidRPr="00011D73">
              <w:t xml:space="preserve">$ </w:t>
            </w:r>
            <w:r>
              <w:t>61,368,920</w:t>
            </w:r>
            <w:r>
              <w:rPr>
                <w:rStyle w:val="FootnoteReference"/>
              </w:rPr>
              <w:footnoteReference w:id="31"/>
            </w:r>
          </w:p>
        </w:tc>
        <w:tc>
          <w:tcPr>
            <w:tcW w:w="1818" w:type="dxa"/>
            <w:tcBorders>
              <w:bottom w:val="nil"/>
            </w:tcBorders>
            <w:shd w:val="clear" w:color="auto" w:fill="auto"/>
          </w:tcPr>
          <w:p w14:paraId="57F5F55C" w14:textId="77777777" w:rsidR="00705F19" w:rsidRPr="00011D73" w:rsidRDefault="000446EA" w:rsidP="0078095C">
            <w:pPr>
              <w:jc w:val="center"/>
            </w:pPr>
            <w:r>
              <w:t>(</w:t>
            </w:r>
            <w:r w:rsidR="00705F19">
              <w:t>$ 50,888</w:t>
            </w:r>
            <w:r>
              <w:t>)</w:t>
            </w:r>
            <w:r>
              <w:rPr>
                <w:rStyle w:val="FootnoteReference"/>
              </w:rPr>
              <w:footnoteReference w:id="32"/>
            </w:r>
          </w:p>
        </w:tc>
      </w:tr>
      <w:tr w:rsidR="00705F19" w:rsidRPr="00011D73" w14:paraId="57F5F563" w14:textId="77777777" w:rsidTr="0078095C">
        <w:tc>
          <w:tcPr>
            <w:tcW w:w="3078" w:type="dxa"/>
            <w:tcBorders>
              <w:top w:val="nil"/>
              <w:left w:val="single" w:sz="4" w:space="0" w:color="auto"/>
              <w:bottom w:val="nil"/>
              <w:right w:val="single" w:sz="4" w:space="0" w:color="auto"/>
            </w:tcBorders>
            <w:shd w:val="clear" w:color="auto" w:fill="auto"/>
            <w:vAlign w:val="bottom"/>
          </w:tcPr>
          <w:p w14:paraId="57F5F55E" w14:textId="77777777" w:rsidR="00705F19" w:rsidRPr="00011D73" w:rsidRDefault="00705F19" w:rsidP="0078095C">
            <w:r w:rsidRPr="00011D73">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55F" w14:textId="77777777" w:rsidR="00705F19" w:rsidRPr="00011D73" w:rsidRDefault="00705F19" w:rsidP="0078095C">
            <w:pPr>
              <w:jc w:val="center"/>
            </w:pPr>
            <w:r w:rsidRPr="00011D73">
              <w:t xml:space="preserve">$ </w:t>
            </w:r>
            <w:r>
              <w:t>276,246</w:t>
            </w:r>
          </w:p>
        </w:tc>
        <w:tc>
          <w:tcPr>
            <w:tcW w:w="2340" w:type="dxa"/>
            <w:tcBorders>
              <w:top w:val="nil"/>
              <w:left w:val="single" w:sz="4" w:space="0" w:color="auto"/>
              <w:bottom w:val="nil"/>
              <w:right w:val="single" w:sz="4" w:space="0" w:color="auto"/>
            </w:tcBorders>
            <w:shd w:val="clear" w:color="auto" w:fill="auto"/>
            <w:vAlign w:val="bottom"/>
          </w:tcPr>
          <w:p w14:paraId="57F5F560" w14:textId="77777777" w:rsidR="00705F19" w:rsidRPr="00011D73" w:rsidRDefault="00705F19" w:rsidP="0078095C">
            <w:pPr>
              <w:jc w:val="center"/>
            </w:pPr>
            <w:r w:rsidRPr="00011D73">
              <w:t xml:space="preserve">$ </w:t>
            </w:r>
            <w:r>
              <w:t>276,355</w:t>
            </w:r>
          </w:p>
        </w:tc>
        <w:tc>
          <w:tcPr>
            <w:tcW w:w="1818" w:type="dxa"/>
            <w:tcBorders>
              <w:top w:val="nil"/>
              <w:left w:val="single" w:sz="4" w:space="0" w:color="auto"/>
              <w:bottom w:val="nil"/>
              <w:right w:val="single" w:sz="4" w:space="0" w:color="auto"/>
            </w:tcBorders>
            <w:shd w:val="clear" w:color="auto" w:fill="auto"/>
          </w:tcPr>
          <w:p w14:paraId="57F5F561" w14:textId="77777777" w:rsidR="00705F19" w:rsidRDefault="00705F19" w:rsidP="0078095C">
            <w:pPr>
              <w:jc w:val="center"/>
            </w:pPr>
          </w:p>
          <w:p w14:paraId="57F5F562" w14:textId="77777777" w:rsidR="00705F19" w:rsidRPr="00011D73" w:rsidRDefault="00705F19" w:rsidP="009714C0">
            <w:pPr>
              <w:jc w:val="center"/>
            </w:pPr>
            <w:r>
              <w:t xml:space="preserve">$ </w:t>
            </w:r>
            <w:r w:rsidR="009714C0">
              <w:t>0</w:t>
            </w:r>
          </w:p>
        </w:tc>
      </w:tr>
      <w:tr w:rsidR="00705F19" w14:paraId="57F5F568" w14:textId="77777777" w:rsidTr="0078095C">
        <w:tc>
          <w:tcPr>
            <w:tcW w:w="3078" w:type="dxa"/>
            <w:tcBorders>
              <w:top w:val="nil"/>
              <w:left w:val="single" w:sz="4" w:space="0" w:color="auto"/>
              <w:bottom w:val="single" w:sz="4" w:space="0" w:color="auto"/>
              <w:right w:val="single" w:sz="4" w:space="0" w:color="auto"/>
            </w:tcBorders>
            <w:shd w:val="clear" w:color="auto" w:fill="auto"/>
            <w:vAlign w:val="bottom"/>
          </w:tcPr>
          <w:p w14:paraId="57F5F564" w14:textId="77777777" w:rsidR="00705F19" w:rsidRPr="00011D73" w:rsidRDefault="00705F19" w:rsidP="0078095C">
            <w:r w:rsidRPr="00011D73">
              <w:lastRenderedPageBreak/>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565" w14:textId="77777777" w:rsidR="00705F19" w:rsidRPr="00011D73" w:rsidRDefault="00705F19" w:rsidP="0078095C">
            <w:pPr>
              <w:jc w:val="center"/>
            </w:pPr>
            <w:r w:rsidRPr="00011D73">
              <w:t xml:space="preserve">$ </w:t>
            </w:r>
            <w:r>
              <w:t>6,027,540</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566" w14:textId="77777777" w:rsidR="00705F19" w:rsidRPr="00011D73" w:rsidRDefault="00705F19" w:rsidP="0078095C">
            <w:pPr>
              <w:jc w:val="center"/>
            </w:pPr>
            <w:r w:rsidRPr="00011D73">
              <w:t xml:space="preserve"> </w:t>
            </w:r>
            <w:r>
              <w:t>$ 6,009,265</w:t>
            </w:r>
          </w:p>
        </w:tc>
        <w:tc>
          <w:tcPr>
            <w:tcW w:w="1818" w:type="dxa"/>
            <w:tcBorders>
              <w:top w:val="nil"/>
              <w:left w:val="single" w:sz="4" w:space="0" w:color="auto"/>
              <w:bottom w:val="single" w:sz="4" w:space="0" w:color="auto"/>
              <w:right w:val="single" w:sz="4" w:space="0" w:color="auto"/>
            </w:tcBorders>
            <w:shd w:val="clear" w:color="auto" w:fill="auto"/>
          </w:tcPr>
          <w:p w14:paraId="57F5F567" w14:textId="6FB23C66" w:rsidR="00705F19" w:rsidRDefault="00705F19" w:rsidP="0078095C">
            <w:pPr>
              <w:jc w:val="center"/>
            </w:pPr>
            <w:r>
              <w:t>$ 548</w:t>
            </w:r>
          </w:p>
        </w:tc>
      </w:tr>
    </w:tbl>
    <w:p w14:paraId="57F5F569" w14:textId="77777777" w:rsidR="00705F19" w:rsidRDefault="00705F19" w:rsidP="00705F19">
      <w:pPr>
        <w:spacing w:after="120"/>
        <w:rPr>
          <w:i/>
        </w:rPr>
      </w:pPr>
    </w:p>
    <w:p w14:paraId="57F5F56A" w14:textId="77777777" w:rsidR="00705F19" w:rsidRPr="00605B4E" w:rsidRDefault="00705F19" w:rsidP="00705F19">
      <w:pPr>
        <w:spacing w:after="120"/>
      </w:pPr>
      <w:r>
        <w:rPr>
          <w:i/>
        </w:rPr>
        <w:t>Component 2: Ex Ante Review Performance Award</w:t>
      </w:r>
    </w:p>
    <w:p w14:paraId="57F5F56B" w14:textId="77777777" w:rsidR="00705F19" w:rsidRDefault="00705F19" w:rsidP="00705F19">
      <w:r>
        <w:t>In accordance with D.13-09-023, SDG&amp;E is eligible to earn up to 3% of resource program expenditures, less administrative spend, for the ex ante review performance award. As noted above, SDG&amp;E’s final 2014 ex ante performance score was 68/100. The ex ante performance award component for SDG&amp;E is calculated as:</w:t>
      </w:r>
    </w:p>
    <w:p w14:paraId="57F5F56C" w14:textId="77777777" w:rsidR="00705F19" w:rsidRDefault="00705F19" w:rsidP="00705F19"/>
    <w:p w14:paraId="57F5F56D" w14:textId="77777777" w:rsidR="00705F19" w:rsidRDefault="00705F19" w:rsidP="00705F19">
      <w:pPr>
        <w:jc w:val="center"/>
      </w:pPr>
      <w:r>
        <w:t>$ 67,081,303* 3% *68% = $ 1,385,459</w:t>
      </w:r>
    </w:p>
    <w:p w14:paraId="57F5F56E" w14:textId="77777777" w:rsidR="00705F19" w:rsidRDefault="00705F19" w:rsidP="00705F19">
      <w:pPr>
        <w:spacing w:after="120"/>
        <w:rPr>
          <w:i/>
        </w:rPr>
      </w:pPr>
    </w:p>
    <w:p w14:paraId="57F5F56F" w14:textId="348475BF" w:rsidR="00705F19" w:rsidRDefault="00705F19" w:rsidP="00705F19">
      <w:r>
        <w:t>$ 1,385,459 is increased by $ 50,88</w:t>
      </w:r>
      <w:r w:rsidR="000446EA">
        <w:t>8</w:t>
      </w:r>
      <w:r>
        <w:t xml:space="preserve"> to be trued up to account for the difference between the 2013 </w:t>
      </w:r>
      <w:r w:rsidR="007514B4">
        <w:t>SDG&amp;E</w:t>
      </w:r>
      <w:r>
        <w:t xml:space="preserve"> claimed expenditure and the UAFCB audited expenditure.</w:t>
      </w:r>
    </w:p>
    <w:p w14:paraId="57F5F570" w14:textId="77777777" w:rsidR="001341E5" w:rsidRDefault="001341E5" w:rsidP="00705F19"/>
    <w:p w14:paraId="57F5F571" w14:textId="6E19674E" w:rsidR="00705F19" w:rsidRDefault="00705F19" w:rsidP="00705F19">
      <w:pPr>
        <w:jc w:val="center"/>
      </w:pPr>
      <w:r>
        <w:t xml:space="preserve">$ 1,368,459 </w:t>
      </w:r>
      <w:r w:rsidR="00DA50B6">
        <w:t>-</w:t>
      </w:r>
      <w:r>
        <w:t xml:space="preserve"> </w:t>
      </w:r>
      <w:r w:rsidR="00876211">
        <w:t>(</w:t>
      </w:r>
      <w:r>
        <w:t>$</w:t>
      </w:r>
      <w:r w:rsidR="00876211">
        <w:t xml:space="preserve"> </w:t>
      </w:r>
      <w:r w:rsidR="000446EA">
        <w:t>58,739,080</w:t>
      </w:r>
      <w:r w:rsidR="00876211">
        <w:t xml:space="preserve"> - $ 61,368,920) * 3% * 64.5%</w:t>
      </w:r>
      <w:r>
        <w:t xml:space="preserve"> = $ 1,419,346</w:t>
      </w:r>
    </w:p>
    <w:p w14:paraId="57F5F572" w14:textId="77777777" w:rsidR="00705F19" w:rsidRPr="004130C0" w:rsidRDefault="00705F19" w:rsidP="00705F19">
      <w:pPr>
        <w:jc w:val="center"/>
      </w:pPr>
    </w:p>
    <w:p w14:paraId="57F5F573" w14:textId="5F9D1B29" w:rsidR="00705F19" w:rsidRDefault="00705F19" w:rsidP="00705F19">
      <w:pPr>
        <w:rPr>
          <w:u w:val="single"/>
        </w:rPr>
      </w:pPr>
      <w:r w:rsidRPr="008F03DC">
        <w:rPr>
          <w:u w:val="single"/>
        </w:rPr>
        <w:t>This award is $ 1,419,346  and is $ 50,</w:t>
      </w:r>
      <w:r w:rsidR="000446EA" w:rsidRPr="008F03DC">
        <w:rPr>
          <w:u w:val="single"/>
        </w:rPr>
        <w:t>8</w:t>
      </w:r>
      <w:r w:rsidR="000446EA">
        <w:rPr>
          <w:u w:val="single"/>
        </w:rPr>
        <w:t>88</w:t>
      </w:r>
      <w:r w:rsidR="000446EA" w:rsidRPr="008F03DC">
        <w:rPr>
          <w:u w:val="single"/>
        </w:rPr>
        <w:t xml:space="preserve"> </w:t>
      </w:r>
      <w:r w:rsidRPr="008F03DC">
        <w:rPr>
          <w:u w:val="single"/>
        </w:rPr>
        <w:t>more the than the amount claimed in SDG&amp;E AL 2764-E/2396-G to account for the 2013 expenditure true up from the 2013 UAFCB audit.</w:t>
      </w:r>
    </w:p>
    <w:p w14:paraId="57F5F574" w14:textId="77777777" w:rsidR="00705F19" w:rsidRDefault="00705F19" w:rsidP="00705F19">
      <w:pPr>
        <w:spacing w:after="120"/>
      </w:pPr>
      <w:r>
        <w:rPr>
          <w:i/>
        </w:rPr>
        <w:t>Component 3: Codes and Standards Program Management Fee</w:t>
      </w:r>
    </w:p>
    <w:p w14:paraId="57F5F575" w14:textId="77777777" w:rsidR="00705F19" w:rsidRDefault="00705F19" w:rsidP="00705F19">
      <w:r>
        <w:t>Per D.13-09-023, the codes and standards program management fee is equal to 12% of the codes and standards program expenditures, less administrative spend. The codes and standards management fee is calculated as:</w:t>
      </w:r>
    </w:p>
    <w:p w14:paraId="57F5F576" w14:textId="77777777" w:rsidR="00705F19" w:rsidRDefault="00705F19" w:rsidP="00705F19">
      <w:pPr>
        <w:tabs>
          <w:tab w:val="left" w:pos="5522"/>
        </w:tabs>
      </w:pPr>
    </w:p>
    <w:p w14:paraId="57F5F577" w14:textId="77777777" w:rsidR="00705F19" w:rsidRDefault="00705F19" w:rsidP="00705F19">
      <w:pPr>
        <w:jc w:val="center"/>
      </w:pPr>
      <w:r>
        <w:t xml:space="preserve">$ </w:t>
      </w:r>
      <w:r w:rsidR="00876211">
        <w:t>808,826</w:t>
      </w:r>
      <w:r>
        <w:t xml:space="preserve">* 12% = $ </w:t>
      </w:r>
      <w:r w:rsidR="009714C0">
        <w:t>100,075</w:t>
      </w:r>
    </w:p>
    <w:p w14:paraId="57F5F578" w14:textId="77777777" w:rsidR="00C6082A" w:rsidRDefault="00C6082A" w:rsidP="00705F19">
      <w:pPr>
        <w:jc w:val="center"/>
      </w:pPr>
    </w:p>
    <w:p w14:paraId="57F5F57B" w14:textId="19D75D1B" w:rsidR="00705F19" w:rsidRDefault="000446EA" w:rsidP="00705F19">
      <w:pPr>
        <w:rPr>
          <w:u w:val="single"/>
        </w:rPr>
      </w:pPr>
      <w:r w:rsidRPr="008F03DC">
        <w:rPr>
          <w:u w:val="single"/>
        </w:rPr>
        <w:t xml:space="preserve">This award is $ </w:t>
      </w:r>
      <w:r>
        <w:rPr>
          <w:u w:val="single"/>
        </w:rPr>
        <w:t>100,075</w:t>
      </w:r>
      <w:r w:rsidRPr="008F03DC">
        <w:rPr>
          <w:u w:val="single"/>
        </w:rPr>
        <w:t xml:space="preserve"> and is the same amount claimed in SDG&amp;E AL 2764-E/2396-G.</w:t>
      </w:r>
      <w:r w:rsidR="00705F19" w:rsidRPr="008F03DC">
        <w:rPr>
          <w:u w:val="single"/>
        </w:rPr>
        <w:t xml:space="preserve"> </w:t>
      </w:r>
    </w:p>
    <w:p w14:paraId="57F5F57C" w14:textId="77777777" w:rsidR="00705F19" w:rsidRPr="004D4ED6" w:rsidRDefault="00705F19" w:rsidP="00705F19">
      <w:pPr>
        <w:rPr>
          <w:u w:val="single"/>
        </w:rPr>
      </w:pPr>
      <w:r w:rsidRPr="00D85FCD">
        <w:rPr>
          <w:highlight w:val="yellow"/>
          <w:u w:val="single"/>
        </w:rPr>
        <w:t xml:space="preserve"> </w:t>
      </w:r>
    </w:p>
    <w:p w14:paraId="57F5F57D" w14:textId="77777777" w:rsidR="00705F19" w:rsidRDefault="00705F19" w:rsidP="00705F19">
      <w:pPr>
        <w:spacing w:after="120"/>
      </w:pPr>
      <w:r>
        <w:rPr>
          <w:i/>
        </w:rPr>
        <w:t>Component 4: Non-resource Program Management Fee</w:t>
      </w:r>
    </w:p>
    <w:p w14:paraId="57F5F57E" w14:textId="77777777" w:rsidR="00705F19" w:rsidRDefault="00705F19" w:rsidP="00705F19">
      <w:r>
        <w:t>Per D.13-09-023, the non-resource program management fee is equal to 3% of non-resource program expenditures, less administrative spend. The non-resource program management fee is calculated as:</w:t>
      </w:r>
    </w:p>
    <w:p w14:paraId="57F5F580" w14:textId="77777777" w:rsidR="00705F19" w:rsidRDefault="00705F19" w:rsidP="00705F19">
      <w:pPr>
        <w:jc w:val="center"/>
      </w:pPr>
      <w:r>
        <w:t>$ 7,654,016* 3%= $ 229,620</w:t>
      </w:r>
    </w:p>
    <w:p w14:paraId="57F5F581" w14:textId="77777777" w:rsidR="00705F19" w:rsidRDefault="00705F19" w:rsidP="00705F19">
      <w:pPr>
        <w:jc w:val="center"/>
      </w:pPr>
    </w:p>
    <w:p w14:paraId="57F5F582" w14:textId="761B81D6" w:rsidR="00705F19" w:rsidRDefault="00705F19" w:rsidP="00705F19">
      <w:r>
        <w:t xml:space="preserve">$ 229,072 is reduced by $ 548 to be trued up to account for the difference between the 2013 </w:t>
      </w:r>
      <w:r w:rsidR="00C20282">
        <w:t>SDG&amp;E</w:t>
      </w:r>
      <w:r>
        <w:t xml:space="preserve"> claimed expenditure and the UAFCB audited expenditure.</w:t>
      </w:r>
    </w:p>
    <w:p w14:paraId="57F5F583" w14:textId="77777777" w:rsidR="00705F19" w:rsidRDefault="00705F19" w:rsidP="00705F19">
      <w:pPr>
        <w:jc w:val="center"/>
      </w:pPr>
    </w:p>
    <w:p w14:paraId="57F5F584" w14:textId="77777777" w:rsidR="00705F19" w:rsidRDefault="00705F19" w:rsidP="00705F19">
      <w:pPr>
        <w:jc w:val="center"/>
      </w:pPr>
      <w:r>
        <w:t xml:space="preserve">$ 229,620- </w:t>
      </w:r>
      <w:r w:rsidR="00C6082A">
        <w:t>(</w:t>
      </w:r>
      <w:r>
        <w:t>$</w:t>
      </w:r>
      <w:r w:rsidR="00C6082A">
        <w:t xml:space="preserve"> 6,027,540 -$ 6,009,265) * 3%</w:t>
      </w:r>
      <w:r>
        <w:t xml:space="preserve">  = $ 229,072</w:t>
      </w:r>
    </w:p>
    <w:p w14:paraId="57F5F585" w14:textId="77777777" w:rsidR="00705F19" w:rsidRDefault="00705F19" w:rsidP="00705F19">
      <w:pPr>
        <w:jc w:val="center"/>
      </w:pPr>
    </w:p>
    <w:p w14:paraId="57F5F586" w14:textId="77777777" w:rsidR="00705F19" w:rsidRDefault="00705F19" w:rsidP="00705F19">
      <w:pPr>
        <w:rPr>
          <w:u w:val="single"/>
        </w:rPr>
      </w:pPr>
      <w:r w:rsidRPr="008F03DC">
        <w:rPr>
          <w:u w:val="single"/>
        </w:rPr>
        <w:t>This award is $ 229,072 and is $ 548 less than the amount claimed in SDG&amp;E AL 2764-E/2396-G to account for the difference for the 2013 expenditure true up from the 2013 UAFCB audit.</w:t>
      </w:r>
    </w:p>
    <w:p w14:paraId="57F5F587" w14:textId="77777777" w:rsidR="00705F19" w:rsidRPr="00B508CE" w:rsidRDefault="00705F19" w:rsidP="00705F19"/>
    <w:p w14:paraId="57F5F588" w14:textId="77777777" w:rsidR="00705F19" w:rsidRPr="00CB54B1" w:rsidRDefault="00705F19" w:rsidP="00705F19">
      <w:pPr>
        <w:spacing w:after="120"/>
        <w:rPr>
          <w:i/>
        </w:rPr>
      </w:pPr>
      <w:r w:rsidRPr="00CB54B1">
        <w:rPr>
          <w:i/>
        </w:rPr>
        <w:t>Incentive Recovery though Retail Rates</w:t>
      </w:r>
    </w:p>
    <w:p w14:paraId="57F5F589" w14:textId="1850F551" w:rsidR="00705F19" w:rsidRPr="008F03DC" w:rsidRDefault="00705F19" w:rsidP="00705F19">
      <w:r w:rsidRPr="008F03DC">
        <w:t xml:space="preserve">The 2014 incentive award for SDG&amp;E totals $ </w:t>
      </w:r>
      <w:r w:rsidR="00CB54B1">
        <w:t>3,</w:t>
      </w:r>
      <w:r w:rsidR="008A3B7B">
        <w:t>721,828</w:t>
      </w:r>
      <w:r w:rsidRPr="008F03DC">
        <w:t xml:space="preserve"> as shown below. </w:t>
      </w:r>
      <w:r w:rsidRPr="008F03DC">
        <w:rPr>
          <w:u w:val="single"/>
        </w:rPr>
        <w:t xml:space="preserve">This award is $ </w:t>
      </w:r>
      <w:r w:rsidR="008A3B7B">
        <w:rPr>
          <w:u w:val="single"/>
        </w:rPr>
        <w:t>54,869</w:t>
      </w:r>
      <w:r w:rsidRPr="008F03DC">
        <w:rPr>
          <w:u w:val="single"/>
        </w:rPr>
        <w:t xml:space="preserve"> less than the amount claimed in SDG&amp;E AL 2764-E/2396-G.</w:t>
      </w:r>
      <w:r w:rsidRPr="008F03DC">
        <w:t xml:space="preserve">  SDG&amp;E is awarded a lesser amount than what was claimed in SDG&amp;E </w:t>
      </w:r>
      <w:r w:rsidR="001341E5">
        <w:br/>
      </w:r>
      <w:r w:rsidRPr="008F03DC">
        <w:t xml:space="preserve">AL 2764-E/2396-G due to differences in the program expenditures and energy savings data in </w:t>
      </w:r>
      <w:r w:rsidR="00C20282">
        <w:t>SDG&amp;E</w:t>
      </w:r>
      <w:r w:rsidR="00C20282" w:rsidRPr="008F03DC">
        <w:t xml:space="preserve">’s </w:t>
      </w:r>
      <w:r w:rsidRPr="008F03DC">
        <w:t>advice l</w:t>
      </w:r>
      <w:r w:rsidR="009510A9">
        <w:t>etter and the ED Central Server and 2013 audit true up.</w:t>
      </w:r>
    </w:p>
    <w:p w14:paraId="57F5F58A" w14:textId="77777777" w:rsidR="00705F19" w:rsidRPr="009768CE" w:rsidRDefault="00705F19" w:rsidP="00705F19">
      <w:pPr>
        <w:rPr>
          <w:highlight w:val="yellow"/>
        </w:rPr>
      </w:pPr>
    </w:p>
    <w:p w14:paraId="57F5F58B" w14:textId="77777777" w:rsidR="00705F19" w:rsidRPr="00CB54B1" w:rsidRDefault="00705F19" w:rsidP="00705F19">
      <w:pPr>
        <w:spacing w:after="120"/>
      </w:pPr>
      <w:r w:rsidRPr="00CB54B1">
        <w:t xml:space="preserve">Table 31: SDG&amp;E 2014 Incentive Award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705F19" w:rsidRPr="008F03DC" w14:paraId="57F5F58E" w14:textId="77777777" w:rsidTr="0078095C">
        <w:tc>
          <w:tcPr>
            <w:tcW w:w="6768" w:type="dxa"/>
            <w:tcBorders>
              <w:top w:val="single" w:sz="4" w:space="0" w:color="auto"/>
              <w:bottom w:val="single" w:sz="4" w:space="0" w:color="auto"/>
              <w:right w:val="single" w:sz="4" w:space="0" w:color="auto"/>
            </w:tcBorders>
          </w:tcPr>
          <w:p w14:paraId="57F5F58C" w14:textId="77777777" w:rsidR="00705F19" w:rsidRPr="008F03DC" w:rsidRDefault="00705F19" w:rsidP="0078095C">
            <w:pPr>
              <w:rPr>
                <w:b/>
              </w:rPr>
            </w:pPr>
            <w:r w:rsidRPr="008F03DC">
              <w:rPr>
                <w:b/>
              </w:rPr>
              <w:t>Award Component</w:t>
            </w:r>
          </w:p>
        </w:tc>
        <w:tc>
          <w:tcPr>
            <w:tcW w:w="2808" w:type="dxa"/>
            <w:tcBorders>
              <w:top w:val="single" w:sz="4" w:space="0" w:color="auto"/>
              <w:left w:val="single" w:sz="4" w:space="0" w:color="auto"/>
              <w:bottom w:val="single" w:sz="4" w:space="0" w:color="auto"/>
            </w:tcBorders>
          </w:tcPr>
          <w:p w14:paraId="57F5F58D" w14:textId="77777777" w:rsidR="00705F19" w:rsidRPr="008F03DC" w:rsidRDefault="00705F19" w:rsidP="0078095C">
            <w:pPr>
              <w:rPr>
                <w:b/>
              </w:rPr>
            </w:pPr>
            <w:r w:rsidRPr="008F03DC">
              <w:rPr>
                <w:b/>
              </w:rPr>
              <w:t>Award Amount</w:t>
            </w:r>
          </w:p>
        </w:tc>
      </w:tr>
      <w:tr w:rsidR="00705F19" w:rsidRPr="008F03DC" w14:paraId="57F5F591" w14:textId="77777777" w:rsidTr="0078095C">
        <w:tc>
          <w:tcPr>
            <w:tcW w:w="6768" w:type="dxa"/>
            <w:tcBorders>
              <w:top w:val="nil"/>
              <w:right w:val="single" w:sz="4" w:space="0" w:color="auto"/>
            </w:tcBorders>
          </w:tcPr>
          <w:p w14:paraId="57F5F58F" w14:textId="77777777" w:rsidR="00705F19" w:rsidRPr="008F03DC" w:rsidRDefault="00705F19" w:rsidP="0078095C">
            <w:r w:rsidRPr="008F03DC">
              <w:t>2014 Energy Savings (with ex ante parameter estimates)</w:t>
            </w:r>
          </w:p>
        </w:tc>
        <w:tc>
          <w:tcPr>
            <w:tcW w:w="2808" w:type="dxa"/>
            <w:tcBorders>
              <w:top w:val="nil"/>
              <w:left w:val="single" w:sz="4" w:space="0" w:color="auto"/>
              <w:bottom w:val="nil"/>
            </w:tcBorders>
          </w:tcPr>
          <w:p w14:paraId="57F5F590" w14:textId="77777777" w:rsidR="00705F19" w:rsidRPr="008F03DC" w:rsidRDefault="00705F19" w:rsidP="008A3B7B">
            <w:r w:rsidRPr="008F03DC">
              <w:t xml:space="preserve">$ </w:t>
            </w:r>
            <w:r w:rsidR="008A3B7B">
              <w:t>1,976,337</w:t>
            </w:r>
          </w:p>
        </w:tc>
      </w:tr>
      <w:tr w:rsidR="00705F19" w:rsidRPr="008F03DC" w14:paraId="57F5F594" w14:textId="77777777" w:rsidTr="0078095C">
        <w:tc>
          <w:tcPr>
            <w:tcW w:w="6768" w:type="dxa"/>
            <w:tcBorders>
              <w:right w:val="single" w:sz="4" w:space="0" w:color="auto"/>
            </w:tcBorders>
          </w:tcPr>
          <w:p w14:paraId="57F5F592" w14:textId="77777777" w:rsidR="00705F19" w:rsidRPr="008F03DC" w:rsidRDefault="00705F19" w:rsidP="0078095C">
            <w:r w:rsidRPr="008F03DC">
              <w:t>2014 Ex Ante Review Performance</w:t>
            </w:r>
          </w:p>
        </w:tc>
        <w:tc>
          <w:tcPr>
            <w:tcW w:w="2808" w:type="dxa"/>
            <w:tcBorders>
              <w:top w:val="nil"/>
              <w:left w:val="single" w:sz="4" w:space="0" w:color="auto"/>
              <w:bottom w:val="nil"/>
            </w:tcBorders>
          </w:tcPr>
          <w:p w14:paraId="57F5F593" w14:textId="77777777" w:rsidR="00705F19" w:rsidRPr="008F03DC" w:rsidRDefault="00705F19" w:rsidP="0078095C">
            <w:r w:rsidRPr="008F03DC">
              <w:t>$ 1,419,346</w:t>
            </w:r>
          </w:p>
        </w:tc>
      </w:tr>
      <w:tr w:rsidR="00705F19" w:rsidRPr="008F03DC" w14:paraId="57F5F597" w14:textId="77777777" w:rsidTr="0078095C">
        <w:tc>
          <w:tcPr>
            <w:tcW w:w="6768" w:type="dxa"/>
            <w:tcBorders>
              <w:right w:val="single" w:sz="4" w:space="0" w:color="auto"/>
            </w:tcBorders>
          </w:tcPr>
          <w:p w14:paraId="57F5F595" w14:textId="77777777" w:rsidR="00705F19" w:rsidRPr="008F03DC" w:rsidRDefault="00705F19" w:rsidP="0078095C">
            <w:r w:rsidRPr="008F03DC">
              <w:t>Codes and Standards Management Fee</w:t>
            </w:r>
          </w:p>
        </w:tc>
        <w:tc>
          <w:tcPr>
            <w:tcW w:w="2808" w:type="dxa"/>
            <w:tcBorders>
              <w:top w:val="nil"/>
              <w:left w:val="single" w:sz="4" w:space="0" w:color="auto"/>
              <w:bottom w:val="nil"/>
            </w:tcBorders>
          </w:tcPr>
          <w:p w14:paraId="57F5F596" w14:textId="77777777" w:rsidR="00705F19" w:rsidRPr="008F03DC" w:rsidRDefault="00705F19" w:rsidP="0078095C">
            <w:r w:rsidRPr="008F03DC">
              <w:t>$ 100,075</w:t>
            </w:r>
          </w:p>
        </w:tc>
      </w:tr>
      <w:tr w:rsidR="00705F19" w:rsidRPr="008F03DC" w14:paraId="57F5F59A" w14:textId="77777777" w:rsidTr="0078095C">
        <w:tc>
          <w:tcPr>
            <w:tcW w:w="6768" w:type="dxa"/>
            <w:tcBorders>
              <w:bottom w:val="single" w:sz="4" w:space="0" w:color="auto"/>
              <w:right w:val="single" w:sz="4" w:space="0" w:color="auto"/>
            </w:tcBorders>
          </w:tcPr>
          <w:p w14:paraId="57F5F598" w14:textId="77777777" w:rsidR="00705F19" w:rsidRPr="008F03DC" w:rsidRDefault="00705F19" w:rsidP="0078095C">
            <w:r w:rsidRPr="008F03DC">
              <w:t>Non-resource Program Management Fee</w:t>
            </w:r>
          </w:p>
        </w:tc>
        <w:tc>
          <w:tcPr>
            <w:tcW w:w="2808" w:type="dxa"/>
            <w:tcBorders>
              <w:top w:val="nil"/>
              <w:left w:val="single" w:sz="4" w:space="0" w:color="auto"/>
              <w:bottom w:val="single" w:sz="4" w:space="0" w:color="auto"/>
            </w:tcBorders>
          </w:tcPr>
          <w:p w14:paraId="57F5F599" w14:textId="77777777" w:rsidR="00705F19" w:rsidRPr="008F03DC" w:rsidRDefault="00705F19" w:rsidP="0078095C">
            <w:r w:rsidRPr="008F03DC">
              <w:t>$ 229,072</w:t>
            </w:r>
          </w:p>
        </w:tc>
      </w:tr>
      <w:tr w:rsidR="00705F19" w:rsidRPr="008F03DC" w14:paraId="57F5F5A0" w14:textId="77777777" w:rsidTr="0078095C">
        <w:tc>
          <w:tcPr>
            <w:tcW w:w="6768" w:type="dxa"/>
            <w:tcBorders>
              <w:top w:val="single" w:sz="4" w:space="0" w:color="auto"/>
              <w:bottom w:val="single" w:sz="4" w:space="0" w:color="auto"/>
              <w:right w:val="single" w:sz="4" w:space="0" w:color="auto"/>
            </w:tcBorders>
          </w:tcPr>
          <w:p w14:paraId="57F5F59E" w14:textId="77777777" w:rsidR="00705F19" w:rsidRPr="008F03DC" w:rsidRDefault="00705F19" w:rsidP="0078095C">
            <w:r w:rsidRPr="008F03DC">
              <w:t>Total</w:t>
            </w:r>
          </w:p>
        </w:tc>
        <w:tc>
          <w:tcPr>
            <w:tcW w:w="2808" w:type="dxa"/>
            <w:tcBorders>
              <w:top w:val="single" w:sz="4" w:space="0" w:color="auto"/>
              <w:left w:val="single" w:sz="4" w:space="0" w:color="auto"/>
              <w:bottom w:val="single" w:sz="4" w:space="0" w:color="auto"/>
            </w:tcBorders>
          </w:tcPr>
          <w:p w14:paraId="57F5F59F" w14:textId="74DFE097" w:rsidR="00705F19" w:rsidRPr="008F03DC" w:rsidRDefault="00705F19" w:rsidP="000446EA">
            <w:r w:rsidRPr="008F03DC">
              <w:t xml:space="preserve">$ </w:t>
            </w:r>
            <w:r w:rsidR="008A3B7B">
              <w:t>3,</w:t>
            </w:r>
            <w:r w:rsidR="000446EA">
              <w:t>724,831</w:t>
            </w:r>
          </w:p>
        </w:tc>
      </w:tr>
    </w:tbl>
    <w:p w14:paraId="57F5F5A1" w14:textId="77777777" w:rsidR="00705F19" w:rsidRPr="008F03DC" w:rsidRDefault="00705F19" w:rsidP="00705F19"/>
    <w:p w14:paraId="57F5F5A2" w14:textId="77777777" w:rsidR="00705F19" w:rsidRDefault="00705F19" w:rsidP="00705F19">
      <w:r w:rsidRPr="008F03DC">
        <w:t xml:space="preserve">Per SDG&amp;E AL 2764-E/2396-G, SDG&amp;E will recover the 2014 incentive award from ratepayers by allocating the total award to its electric and gas Rewards and Penalties Balancing Accounts (RPBAs). The 2014 incentive award will be allocated according to the authorized 2013-14 electric and gas budget split of </w:t>
      </w:r>
      <w:r w:rsidR="001341E5">
        <w:br/>
      </w:r>
      <w:r w:rsidRPr="008F03DC">
        <w:t>90% electric and 10% gas.</w:t>
      </w:r>
    </w:p>
    <w:p w14:paraId="57F5F5A3" w14:textId="77777777" w:rsidR="00705F19" w:rsidRDefault="00705F19" w:rsidP="00705F19"/>
    <w:p w14:paraId="57F5F5A4" w14:textId="77777777" w:rsidR="00705F19" w:rsidRDefault="00705F19" w:rsidP="00705F19">
      <w:pPr>
        <w:spacing w:after="120"/>
      </w:pPr>
      <w:r w:rsidRPr="00CB54B1">
        <w:t>Table 32: SDG&amp;E Incentive Award Allocation</w:t>
      </w:r>
    </w:p>
    <w:tbl>
      <w:tblPr>
        <w:tblStyle w:val="TableGrid"/>
        <w:tblW w:w="0" w:type="auto"/>
        <w:tblLook w:val="04A0" w:firstRow="1" w:lastRow="0" w:firstColumn="1" w:lastColumn="0" w:noHBand="0" w:noVBand="1"/>
      </w:tblPr>
      <w:tblGrid>
        <w:gridCol w:w="4788"/>
        <w:gridCol w:w="4788"/>
      </w:tblGrid>
      <w:tr w:rsidR="00705F19" w14:paraId="57F5F5A7" w14:textId="77777777" w:rsidTr="0078095C">
        <w:tc>
          <w:tcPr>
            <w:tcW w:w="4788" w:type="dxa"/>
          </w:tcPr>
          <w:p w14:paraId="57F5F5A5" w14:textId="77777777" w:rsidR="00705F19" w:rsidRPr="00196089" w:rsidRDefault="00705F19" w:rsidP="0078095C">
            <w:pPr>
              <w:rPr>
                <w:b/>
              </w:rPr>
            </w:pPr>
            <w:r w:rsidRPr="00196089">
              <w:rPr>
                <w:b/>
              </w:rPr>
              <w:t>Allocation</w:t>
            </w:r>
          </w:p>
        </w:tc>
        <w:tc>
          <w:tcPr>
            <w:tcW w:w="4788" w:type="dxa"/>
          </w:tcPr>
          <w:p w14:paraId="57F5F5A6" w14:textId="77777777" w:rsidR="00705F19" w:rsidRPr="00196089" w:rsidRDefault="00705F19" w:rsidP="0078095C">
            <w:pPr>
              <w:rPr>
                <w:b/>
              </w:rPr>
            </w:pPr>
            <w:r w:rsidRPr="00196089">
              <w:rPr>
                <w:b/>
              </w:rPr>
              <w:t>Incentive Award</w:t>
            </w:r>
          </w:p>
        </w:tc>
      </w:tr>
      <w:tr w:rsidR="00705F19" w14:paraId="57F5F5AA" w14:textId="77777777" w:rsidTr="0078095C">
        <w:tc>
          <w:tcPr>
            <w:tcW w:w="4788" w:type="dxa"/>
            <w:tcBorders>
              <w:bottom w:val="nil"/>
            </w:tcBorders>
          </w:tcPr>
          <w:p w14:paraId="57F5F5A8" w14:textId="77777777" w:rsidR="00705F19" w:rsidRPr="0044611D" w:rsidRDefault="00705F19" w:rsidP="0078095C">
            <w:r w:rsidRPr="0044611D">
              <w:t>Electric RBPA (90%)</w:t>
            </w:r>
          </w:p>
        </w:tc>
        <w:tc>
          <w:tcPr>
            <w:tcW w:w="4788" w:type="dxa"/>
            <w:tcBorders>
              <w:bottom w:val="nil"/>
            </w:tcBorders>
          </w:tcPr>
          <w:p w14:paraId="57F5F5A9" w14:textId="6C3B978F" w:rsidR="00705F19" w:rsidRPr="0061345E" w:rsidRDefault="00705F19" w:rsidP="000446EA">
            <w:r w:rsidRPr="0061345E">
              <w:t>$</w:t>
            </w:r>
            <w:r>
              <w:t xml:space="preserve"> </w:t>
            </w:r>
            <w:r w:rsidR="000446EA">
              <w:t>3,352,348</w:t>
            </w:r>
          </w:p>
        </w:tc>
      </w:tr>
      <w:tr w:rsidR="00705F19" w14:paraId="57F5F5AD" w14:textId="77777777" w:rsidTr="0078095C">
        <w:tc>
          <w:tcPr>
            <w:tcW w:w="4788" w:type="dxa"/>
            <w:tcBorders>
              <w:top w:val="nil"/>
            </w:tcBorders>
          </w:tcPr>
          <w:p w14:paraId="57F5F5AB" w14:textId="77777777" w:rsidR="00705F19" w:rsidRPr="0044611D" w:rsidRDefault="00705F19" w:rsidP="0078095C">
            <w:r w:rsidRPr="0044611D">
              <w:t>Gas RBPA (10%)</w:t>
            </w:r>
          </w:p>
        </w:tc>
        <w:tc>
          <w:tcPr>
            <w:tcW w:w="4788" w:type="dxa"/>
            <w:tcBorders>
              <w:top w:val="nil"/>
            </w:tcBorders>
          </w:tcPr>
          <w:p w14:paraId="57F5F5AC" w14:textId="453242A2" w:rsidR="00705F19" w:rsidRPr="0061345E" w:rsidRDefault="00705F19" w:rsidP="000446EA">
            <w:r w:rsidRPr="0061345E">
              <w:t>$</w:t>
            </w:r>
            <w:r>
              <w:t xml:space="preserve"> </w:t>
            </w:r>
            <w:r w:rsidR="000446EA">
              <w:t>372,483</w:t>
            </w:r>
          </w:p>
        </w:tc>
      </w:tr>
    </w:tbl>
    <w:p w14:paraId="57F5F5AE" w14:textId="77777777" w:rsidR="00705F19" w:rsidRDefault="00705F19" w:rsidP="00705F19"/>
    <w:p w14:paraId="57F5F5AF" w14:textId="77777777" w:rsidR="00705F19" w:rsidRDefault="00705F19" w:rsidP="00705F19">
      <w:pPr>
        <w:pStyle w:val="Heading1"/>
      </w:pPr>
      <w:r>
        <w:t>Comments</w:t>
      </w:r>
    </w:p>
    <w:p w14:paraId="57F5F5B0" w14:textId="34331A18" w:rsidR="00705F19" w:rsidRDefault="00705F19" w:rsidP="00705F19">
      <w:r>
        <w:t xml:space="preserve">Public Utilities Code section 311(g)(1) provides that this </w:t>
      </w:r>
      <w:r w:rsidR="007514B4">
        <w:t>R</w:t>
      </w:r>
      <w:r>
        <w:t xml:space="preserve">esolution must be served on all parties and subject to at least 30 days public review and comment prior to a vote of the Commission.  Section 311(g)(2) provides that this </w:t>
      </w:r>
      <w:r w:rsidR="001341E5">
        <w:br/>
      </w:r>
      <w:r>
        <w:t xml:space="preserve">30-day period may be reduced or waived upon the stipulation of all parties in the proceeding.  </w:t>
      </w:r>
    </w:p>
    <w:p w14:paraId="57F5F5B1" w14:textId="77777777" w:rsidR="00705F19" w:rsidRDefault="00705F19" w:rsidP="00705F19"/>
    <w:p w14:paraId="57F5F5B2" w14:textId="7984DFB8" w:rsidR="00705F19" w:rsidRDefault="00705F19" w:rsidP="00705F19">
      <w:r>
        <w:t xml:space="preserve">The 30-day comment period for the draft of this </w:t>
      </w:r>
      <w:r w:rsidR="007514B4">
        <w:t>R</w:t>
      </w:r>
      <w:r>
        <w:t xml:space="preserve">esolution was neither waived nor reduced.  Accordingly, this draft </w:t>
      </w:r>
      <w:r w:rsidR="007514B4">
        <w:t>R</w:t>
      </w:r>
      <w:r>
        <w:t xml:space="preserve">esolution was mailed to parties for comments, and will be placed on the Commission's agenda no earlier than </w:t>
      </w:r>
      <w:r w:rsidR="001341E5">
        <w:br/>
      </w:r>
      <w:r>
        <w:t xml:space="preserve">30 days from today. </w:t>
      </w:r>
    </w:p>
    <w:p w14:paraId="57F5F5B3" w14:textId="77777777" w:rsidR="00705F19" w:rsidRDefault="00705F19" w:rsidP="00705F19"/>
    <w:p w14:paraId="57F5F5B4" w14:textId="77777777" w:rsidR="00776E79" w:rsidRDefault="00776E79" w:rsidP="00776E79">
      <w:r>
        <w:t>On November 23, 2015, PG&amp;E, SoCalGas, and SDG&amp;E filed comments in response</w:t>
      </w:r>
      <w:r w:rsidR="007514B4">
        <w:t xml:space="preserve"> to this R</w:t>
      </w:r>
      <w:r>
        <w:t>esolution.</w:t>
      </w:r>
      <w:r w:rsidR="00CE3E99">
        <w:t xml:space="preserve"> SCE did not </w:t>
      </w:r>
      <w:r w:rsidR="00402019">
        <w:t>file</w:t>
      </w:r>
      <w:r w:rsidR="00CE3E99">
        <w:t xml:space="preserve"> any comments.</w:t>
      </w:r>
    </w:p>
    <w:p w14:paraId="57F5F5B5" w14:textId="77777777" w:rsidR="00776E79" w:rsidRDefault="00776E79" w:rsidP="00776E79"/>
    <w:p w14:paraId="57F5F5B6" w14:textId="77777777" w:rsidR="00776E79" w:rsidRPr="00CE3E99" w:rsidRDefault="00776E79" w:rsidP="00776E79">
      <w:pPr>
        <w:spacing w:after="120"/>
      </w:pPr>
      <w:r w:rsidRPr="00CE3E99">
        <w:rPr>
          <w:i/>
          <w:u w:val="single"/>
        </w:rPr>
        <w:t>PG&amp;E</w:t>
      </w:r>
    </w:p>
    <w:p w14:paraId="57F5F5B7" w14:textId="75D7E78F" w:rsidR="009B25F2" w:rsidRDefault="007514B4" w:rsidP="009B25F2">
      <w:r>
        <w:t>PGE’s comments on this draft R</w:t>
      </w:r>
      <w:r w:rsidR="00776E79" w:rsidRPr="00CE3E99">
        <w:t>esolution</w:t>
      </w:r>
      <w:r>
        <w:t xml:space="preserve"> approve the incentive award for the second part of the PY 2013</w:t>
      </w:r>
      <w:r w:rsidR="00776E79" w:rsidRPr="00CE3E99">
        <w:t xml:space="preserve">, but request a correction to the </w:t>
      </w:r>
      <w:r>
        <w:t>energy savings, energy efficiency expenditures true-up, and Codes and Standards expenditures portions of the first part of the PY 2014 awards.</w:t>
      </w:r>
    </w:p>
    <w:p w14:paraId="57F5F5B8" w14:textId="77777777" w:rsidR="009B25F2" w:rsidRDefault="009B25F2" w:rsidP="009B25F2"/>
    <w:p w14:paraId="57F5F5B9" w14:textId="77777777" w:rsidR="00776E79" w:rsidRPr="00CE3E99" w:rsidRDefault="00776E79" w:rsidP="009B25F2">
      <w:r w:rsidRPr="00CE3E99">
        <w:t xml:space="preserve">PG&amp;E requests </w:t>
      </w:r>
      <w:r w:rsidR="007514B4">
        <w:t>that the energy savings award</w:t>
      </w:r>
      <w:r w:rsidRPr="00CE3E99">
        <w:t xml:space="preserve"> in the draft Resolution </w:t>
      </w:r>
      <w:r w:rsidR="007514B4">
        <w:t xml:space="preserve">should not be adjusted using a NTG value of </w:t>
      </w:r>
      <w:r w:rsidR="009B25F2">
        <w:t>3/4</w:t>
      </w:r>
      <w:r w:rsidR="007514B4">
        <w:t xml:space="preserve"> and </w:t>
      </w:r>
      <w:r w:rsidRPr="00CE3E99">
        <w:t>instead use the values a</w:t>
      </w:r>
      <w:r w:rsidR="00ED0465">
        <w:t>dopted in approved workpapers. Appendix A</w:t>
      </w:r>
      <w:r w:rsidRPr="00CE3E99">
        <w:t xml:space="preserve"> o</w:t>
      </w:r>
      <w:r w:rsidR="00ED0465">
        <w:t xml:space="preserve">f PG&amp;E’s comments includes a </w:t>
      </w:r>
      <w:r w:rsidRPr="00CE3E99">
        <w:t>list of measures with workpaper numbers where PG&amp;E asserts the NTG values were inappropriately changed.</w:t>
      </w:r>
      <w:r w:rsidR="00ED0465">
        <w:t xml:space="preserve"> PG&amp;E filed the same comment i</w:t>
      </w:r>
      <w:r w:rsidR="009B25F2">
        <w:t>n response to Resolution G-3497 PG&amp;E, SDG&amp;E, and SoCalGas requesting approval of program year 2012 and partial 2013 energy efficiency incentive awards.</w:t>
      </w:r>
    </w:p>
    <w:p w14:paraId="57F5F5BA" w14:textId="77777777" w:rsidR="00776E79" w:rsidRPr="00CE3E99" w:rsidRDefault="00776E79" w:rsidP="00776E79"/>
    <w:p w14:paraId="57F5F5BB" w14:textId="77777777" w:rsidR="00776E79" w:rsidRDefault="00776E79" w:rsidP="00776E79">
      <w:r w:rsidRPr="00CE3E99">
        <w:t xml:space="preserve">This Resolution rejects PG&amp;E’s comments related to energy savings and makes no adjustments to the savings-related incentives in response to PG&amp;E’s comments.  </w:t>
      </w:r>
    </w:p>
    <w:p w14:paraId="57F5F5BC" w14:textId="77777777" w:rsidR="00776E79" w:rsidRPr="00CE3E99" w:rsidRDefault="00776E79" w:rsidP="00776E79"/>
    <w:p w14:paraId="57F5F5BD" w14:textId="54910606" w:rsidR="00776E79" w:rsidRPr="00CE3E99" w:rsidRDefault="00ED0465" w:rsidP="00776E79">
      <w:r>
        <w:lastRenderedPageBreak/>
        <w:t>The</w:t>
      </w:r>
      <w:r w:rsidR="00776E79" w:rsidRPr="00CE3E99">
        <w:t xml:space="preserve"> documentation provided by PG&amp;E in support of its comment that the claimed NTG values are appropriate </w:t>
      </w:r>
      <w:r w:rsidRPr="00CE3E99">
        <w:t>does</w:t>
      </w:r>
      <w:r w:rsidR="00776E79" w:rsidRPr="00CE3E99">
        <w:t xml:space="preserve"> not come remotely close to answering the questions at hand.  The </w:t>
      </w:r>
      <w:r>
        <w:t>list</w:t>
      </w:r>
      <w:r w:rsidR="00776E79" w:rsidRPr="00CE3E99">
        <w:t xml:space="preserve"> provided by PG&amp;E does not include a single piece of information in support of PG&amp;E’s argument that a particular NTG value is warranted over staff’s adjusted value.</w:t>
      </w:r>
      <w:r w:rsidR="009B25F2">
        <w:t xml:space="preserve"> The same argument is made in Resolution G-3497 and there is no discernable correction made to fix this discrepancy since the last ESPI </w:t>
      </w:r>
      <w:r w:rsidR="004E0BC5">
        <w:t>advice letter</w:t>
      </w:r>
      <w:r w:rsidR="009B25F2">
        <w:t>.</w:t>
      </w:r>
    </w:p>
    <w:p w14:paraId="57F5F5BE" w14:textId="77777777" w:rsidR="00776E79" w:rsidRPr="00CE3E99" w:rsidRDefault="00776E79" w:rsidP="00776E79"/>
    <w:p w14:paraId="57F5F5BF" w14:textId="77777777" w:rsidR="00776E79" w:rsidRDefault="00776E79" w:rsidP="00776E79">
      <w:r w:rsidRPr="00CE3E99">
        <w:t xml:space="preserve">There may be potential that some NTG values were inaccurately adjusted; however, PG&amp;E has failed to prove the point. As stated in this Resolution, staff applied </w:t>
      </w:r>
      <w:r w:rsidR="009B25F2">
        <w:t>3/4</w:t>
      </w:r>
      <w:r w:rsidRPr="00CE3E99">
        <w:t xml:space="preserve"> of the NTG adjustment rather than the entire adjustment as a conservative application of the findings of the high level review.  A deeper dive into the measure-level may show that PG&amp;E accurately applied some NTG values consistent with Commission guidance (including the use of the hard-to-reach and emerging technology NTG values); however, it could also reveal broader problems with NTG application or other parameter values (EUL or RUL values, the use of the early retirement delivery type and related dual baseline, or unit energy savings), most of which did not receive scrutiny in the ex ante claim review process.  </w:t>
      </w:r>
    </w:p>
    <w:p w14:paraId="57F5F5C0" w14:textId="77777777" w:rsidR="009B25F2" w:rsidRDefault="009B25F2" w:rsidP="00776E79"/>
    <w:p w14:paraId="57F5F5C1" w14:textId="77777777" w:rsidR="006A6ABE" w:rsidRDefault="006A6ABE" w:rsidP="006A6ABE">
      <w:r w:rsidRPr="00CE3E99">
        <w:t>PG&amp;E</w:t>
      </w:r>
      <w:r>
        <w:t xml:space="preserve"> states</w:t>
      </w:r>
      <w:r w:rsidRPr="00CE3E99">
        <w:t xml:space="preserve"> </w:t>
      </w:r>
      <w:r>
        <w:t>that the expenditure true-ups from the 2013 UAFCB audit are unnecessary for the award calculation in the draft Resolution and request the true-up to be removed.</w:t>
      </w:r>
    </w:p>
    <w:p w14:paraId="57F5F5C2" w14:textId="77777777" w:rsidR="006A6ABE" w:rsidRDefault="006A6ABE" w:rsidP="006A6ABE"/>
    <w:p w14:paraId="57F5F5C3" w14:textId="77777777" w:rsidR="006A6ABE" w:rsidRDefault="006A6ABE" w:rsidP="00253603">
      <w:pPr>
        <w:pStyle w:val="ListParagraph"/>
        <w:numPr>
          <w:ilvl w:val="0"/>
          <w:numId w:val="35"/>
        </w:numPr>
      </w:pPr>
      <w:r>
        <w:t>Remove Table 7. Comparison of 2013 PG&amp;E Claimed and UAFCB Audited Expenditures.</w:t>
      </w:r>
    </w:p>
    <w:p w14:paraId="57F5F5C4" w14:textId="77777777" w:rsidR="006A6ABE" w:rsidRPr="00CE3E99" w:rsidRDefault="006A6ABE" w:rsidP="00253603">
      <w:pPr>
        <w:pStyle w:val="ListParagraph"/>
        <w:numPr>
          <w:ilvl w:val="0"/>
          <w:numId w:val="35"/>
        </w:numPr>
      </w:pPr>
      <w:r>
        <w:t>Remove the reduction from the true-up from the 2013 UAFCB audits for Components 2, 3, and 4 of the award.</w:t>
      </w:r>
    </w:p>
    <w:p w14:paraId="57F5F5C5" w14:textId="77777777" w:rsidR="006A6ABE" w:rsidRDefault="006A6ABE" w:rsidP="009B25F2"/>
    <w:p w14:paraId="57F5F5C6" w14:textId="77777777" w:rsidR="009B25F2" w:rsidRDefault="009B25F2" w:rsidP="009B25F2">
      <w:r w:rsidRPr="00CE3E99">
        <w:t xml:space="preserve">This Resolution </w:t>
      </w:r>
      <w:r w:rsidR="003848A9">
        <w:t xml:space="preserve">rejects </w:t>
      </w:r>
      <w:r w:rsidR="00253603">
        <w:t xml:space="preserve">some of </w:t>
      </w:r>
      <w:r w:rsidRPr="00CE3E99">
        <w:t>PG</w:t>
      </w:r>
      <w:r>
        <w:t>&amp;E’s comments related to expenditure true-up</w:t>
      </w:r>
      <w:r w:rsidRPr="00CE3E99">
        <w:t xml:space="preserve"> </w:t>
      </w:r>
      <w:r w:rsidR="00253603">
        <w:t>and</w:t>
      </w:r>
      <w:r w:rsidRPr="00CE3E99">
        <w:t xml:space="preserve"> makes adjustments to the </w:t>
      </w:r>
      <w:r w:rsidR="003848A9">
        <w:t>expenditure</w:t>
      </w:r>
      <w:r w:rsidRPr="00CE3E99">
        <w:t>-related incentives.</w:t>
      </w:r>
      <w:r w:rsidR="003848A9">
        <w:t xml:space="preserve"> The PY 2014 award is adjusted </w:t>
      </w:r>
      <w:r w:rsidR="00253603">
        <w:t>upward by $ 397,165.</w:t>
      </w:r>
      <w:r w:rsidRPr="00CE3E99">
        <w:t xml:space="preserve">  </w:t>
      </w:r>
    </w:p>
    <w:p w14:paraId="57F5F5C7" w14:textId="77777777" w:rsidR="003848A9" w:rsidRDefault="003848A9" w:rsidP="009B25F2"/>
    <w:p w14:paraId="57F5F5C8" w14:textId="7987876F" w:rsidR="003848A9" w:rsidRDefault="003848A9" w:rsidP="00253603">
      <w:pPr>
        <w:pStyle w:val="ListParagraph"/>
        <w:numPr>
          <w:ilvl w:val="0"/>
          <w:numId w:val="36"/>
        </w:numPr>
      </w:pPr>
      <w:r>
        <w:t>Table 7 will not be removed from the Resolution as there is still a discrepancy between 2013 PG&amp;E reported expenditure</w:t>
      </w:r>
      <w:r w:rsidR="006D1027">
        <w:t>s</w:t>
      </w:r>
      <w:r>
        <w:t xml:space="preserve"> for the ESPI and the </w:t>
      </w:r>
      <w:r w:rsidR="006D1027">
        <w:t xml:space="preserve">2013 Audit </w:t>
      </w:r>
      <w:r>
        <w:t xml:space="preserve">findings. </w:t>
      </w:r>
    </w:p>
    <w:p w14:paraId="57F5F5C9" w14:textId="77777777" w:rsidR="003848A9" w:rsidRDefault="003848A9" w:rsidP="00253603">
      <w:pPr>
        <w:pStyle w:val="ListParagraph"/>
      </w:pPr>
    </w:p>
    <w:p w14:paraId="57F5F5CA" w14:textId="77777777" w:rsidR="003848A9" w:rsidRPr="00D46E49" w:rsidRDefault="003848A9" w:rsidP="003848A9">
      <w:pPr>
        <w:spacing w:after="120"/>
      </w:pPr>
      <w:r w:rsidRPr="00D46E49">
        <w:lastRenderedPageBreak/>
        <w:t xml:space="preserve">Table 7: Comparison of 2013 PG&amp;E Claimed and UAFCB Audited Expenditures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gridCol w:w="2340"/>
        <w:gridCol w:w="1818"/>
      </w:tblGrid>
      <w:tr w:rsidR="003848A9" w:rsidRPr="00011D73" w14:paraId="57F5F5CF" w14:textId="77777777" w:rsidTr="00BE7AE4">
        <w:trPr>
          <w:tblHeader/>
        </w:trPr>
        <w:tc>
          <w:tcPr>
            <w:tcW w:w="3078" w:type="dxa"/>
            <w:tcBorders>
              <w:bottom w:val="single" w:sz="4" w:space="0" w:color="auto"/>
            </w:tcBorders>
            <w:shd w:val="clear" w:color="auto" w:fill="auto"/>
            <w:vAlign w:val="bottom"/>
          </w:tcPr>
          <w:p w14:paraId="57F5F5CB" w14:textId="77777777" w:rsidR="003848A9" w:rsidRPr="00011D73" w:rsidRDefault="003848A9" w:rsidP="00BE7AE4"/>
        </w:tc>
        <w:tc>
          <w:tcPr>
            <w:tcW w:w="2340" w:type="dxa"/>
            <w:tcBorders>
              <w:bottom w:val="single" w:sz="4" w:space="0" w:color="auto"/>
            </w:tcBorders>
            <w:shd w:val="clear" w:color="auto" w:fill="auto"/>
            <w:vAlign w:val="bottom"/>
          </w:tcPr>
          <w:p w14:paraId="57F5F5CC" w14:textId="77777777" w:rsidR="003848A9" w:rsidRPr="00011D73" w:rsidRDefault="003848A9" w:rsidP="00BE7AE4">
            <w:pPr>
              <w:jc w:val="center"/>
              <w:rPr>
                <w:b/>
              </w:rPr>
            </w:pPr>
            <w:r>
              <w:rPr>
                <w:b/>
              </w:rPr>
              <w:t>2013 IOU Resolution Expenditure</w:t>
            </w:r>
          </w:p>
        </w:tc>
        <w:tc>
          <w:tcPr>
            <w:tcW w:w="2340" w:type="dxa"/>
            <w:tcBorders>
              <w:bottom w:val="single" w:sz="4" w:space="0" w:color="auto"/>
            </w:tcBorders>
            <w:shd w:val="clear" w:color="auto" w:fill="auto"/>
            <w:vAlign w:val="bottom"/>
          </w:tcPr>
          <w:p w14:paraId="57F5F5CD" w14:textId="77777777" w:rsidR="003848A9" w:rsidRPr="00011D73" w:rsidRDefault="003848A9" w:rsidP="00BE7AE4">
            <w:pPr>
              <w:jc w:val="center"/>
              <w:rPr>
                <w:b/>
              </w:rPr>
            </w:pPr>
            <w:r>
              <w:rPr>
                <w:b/>
              </w:rPr>
              <w:t>2013 UAFCB Audit Expenditure</w:t>
            </w:r>
          </w:p>
        </w:tc>
        <w:tc>
          <w:tcPr>
            <w:tcW w:w="1818" w:type="dxa"/>
            <w:tcBorders>
              <w:bottom w:val="single" w:sz="4" w:space="0" w:color="auto"/>
            </w:tcBorders>
            <w:shd w:val="clear" w:color="auto" w:fill="auto"/>
          </w:tcPr>
          <w:p w14:paraId="57F5F5CE" w14:textId="77777777" w:rsidR="003848A9" w:rsidRPr="00011D73" w:rsidRDefault="003848A9" w:rsidP="00BE7AE4">
            <w:pPr>
              <w:jc w:val="center"/>
              <w:rPr>
                <w:b/>
              </w:rPr>
            </w:pPr>
            <w:r>
              <w:rPr>
                <w:b/>
              </w:rPr>
              <w:t>Award Difference</w:t>
            </w:r>
          </w:p>
        </w:tc>
      </w:tr>
      <w:tr w:rsidR="003848A9" w:rsidRPr="00011D73" w14:paraId="57F5F5D4" w14:textId="77777777" w:rsidTr="00BE7AE4">
        <w:tc>
          <w:tcPr>
            <w:tcW w:w="3078" w:type="dxa"/>
            <w:tcBorders>
              <w:bottom w:val="nil"/>
            </w:tcBorders>
            <w:shd w:val="clear" w:color="auto" w:fill="auto"/>
            <w:vAlign w:val="bottom"/>
          </w:tcPr>
          <w:p w14:paraId="57F5F5D0" w14:textId="77777777" w:rsidR="003848A9" w:rsidRPr="00011D73" w:rsidRDefault="003848A9" w:rsidP="00BE7AE4">
            <w:r w:rsidRPr="00011D73">
              <w:t>Resource programs</w:t>
            </w:r>
          </w:p>
        </w:tc>
        <w:tc>
          <w:tcPr>
            <w:tcW w:w="2340" w:type="dxa"/>
            <w:tcBorders>
              <w:bottom w:val="nil"/>
            </w:tcBorders>
            <w:shd w:val="clear" w:color="auto" w:fill="auto"/>
            <w:vAlign w:val="bottom"/>
          </w:tcPr>
          <w:p w14:paraId="57F5F5D1" w14:textId="77777777" w:rsidR="003848A9" w:rsidRPr="00011D73" w:rsidRDefault="003848A9" w:rsidP="00BE7AE4">
            <w:pPr>
              <w:jc w:val="center"/>
            </w:pPr>
            <w:r>
              <w:t>$ 275,359,291</w:t>
            </w:r>
          </w:p>
        </w:tc>
        <w:tc>
          <w:tcPr>
            <w:tcW w:w="2340" w:type="dxa"/>
            <w:tcBorders>
              <w:bottom w:val="nil"/>
            </w:tcBorders>
            <w:shd w:val="clear" w:color="auto" w:fill="auto"/>
            <w:vAlign w:val="bottom"/>
          </w:tcPr>
          <w:p w14:paraId="57F5F5D2" w14:textId="77777777" w:rsidR="003848A9" w:rsidRPr="00011D73" w:rsidRDefault="003848A9" w:rsidP="00183046">
            <w:pPr>
              <w:jc w:val="center"/>
            </w:pPr>
            <w:r w:rsidRPr="00011D73">
              <w:t xml:space="preserve">$ </w:t>
            </w:r>
            <w:r>
              <w:t>276,487,600</w:t>
            </w:r>
          </w:p>
        </w:tc>
        <w:tc>
          <w:tcPr>
            <w:tcW w:w="1818" w:type="dxa"/>
            <w:tcBorders>
              <w:bottom w:val="nil"/>
            </w:tcBorders>
            <w:shd w:val="clear" w:color="auto" w:fill="auto"/>
          </w:tcPr>
          <w:p w14:paraId="57F5F5D3" w14:textId="77777777" w:rsidR="003848A9" w:rsidRPr="00011D73" w:rsidRDefault="003848A9" w:rsidP="00183046">
            <w:pPr>
              <w:jc w:val="center"/>
            </w:pPr>
            <w:r>
              <w:t>($ 21,495)</w:t>
            </w:r>
          </w:p>
        </w:tc>
      </w:tr>
      <w:tr w:rsidR="003848A9" w:rsidRPr="00011D73" w14:paraId="57F5F5DA" w14:textId="77777777" w:rsidTr="00BE7AE4">
        <w:tc>
          <w:tcPr>
            <w:tcW w:w="3078" w:type="dxa"/>
            <w:tcBorders>
              <w:top w:val="nil"/>
              <w:left w:val="single" w:sz="4" w:space="0" w:color="auto"/>
              <w:bottom w:val="nil"/>
              <w:right w:val="single" w:sz="4" w:space="0" w:color="auto"/>
            </w:tcBorders>
            <w:shd w:val="clear" w:color="auto" w:fill="auto"/>
            <w:vAlign w:val="bottom"/>
          </w:tcPr>
          <w:p w14:paraId="57F5F5D5" w14:textId="77777777" w:rsidR="003848A9" w:rsidRPr="00011D73" w:rsidRDefault="003848A9" w:rsidP="00BE7AE4">
            <w:r w:rsidRPr="00011D73">
              <w:t>Codes and standards programs</w:t>
            </w:r>
          </w:p>
        </w:tc>
        <w:tc>
          <w:tcPr>
            <w:tcW w:w="2340" w:type="dxa"/>
            <w:tcBorders>
              <w:top w:val="nil"/>
              <w:left w:val="single" w:sz="4" w:space="0" w:color="auto"/>
              <w:bottom w:val="nil"/>
              <w:right w:val="single" w:sz="4" w:space="0" w:color="auto"/>
            </w:tcBorders>
            <w:shd w:val="clear" w:color="auto" w:fill="auto"/>
            <w:vAlign w:val="bottom"/>
          </w:tcPr>
          <w:p w14:paraId="57F5F5D6" w14:textId="77777777" w:rsidR="003848A9" w:rsidRPr="00011D73" w:rsidRDefault="003848A9" w:rsidP="00BE7AE4">
            <w:pPr>
              <w:jc w:val="center"/>
            </w:pPr>
            <w:r w:rsidRPr="00011D73">
              <w:t xml:space="preserve">$ </w:t>
            </w:r>
            <w:r>
              <w:t>6,295,617</w:t>
            </w:r>
          </w:p>
        </w:tc>
        <w:tc>
          <w:tcPr>
            <w:tcW w:w="2340" w:type="dxa"/>
            <w:tcBorders>
              <w:top w:val="nil"/>
              <w:left w:val="single" w:sz="4" w:space="0" w:color="auto"/>
              <w:bottom w:val="nil"/>
              <w:right w:val="single" w:sz="4" w:space="0" w:color="auto"/>
            </w:tcBorders>
            <w:shd w:val="clear" w:color="auto" w:fill="auto"/>
            <w:vAlign w:val="bottom"/>
          </w:tcPr>
          <w:p w14:paraId="57F5F5D7" w14:textId="77777777" w:rsidR="003848A9" w:rsidRPr="00011D73" w:rsidRDefault="003848A9" w:rsidP="00BE7AE4">
            <w:pPr>
              <w:jc w:val="center"/>
            </w:pPr>
            <w:r w:rsidRPr="00011D73">
              <w:t xml:space="preserve">$ </w:t>
            </w:r>
            <w:r>
              <w:t>6,295,617</w:t>
            </w:r>
          </w:p>
        </w:tc>
        <w:tc>
          <w:tcPr>
            <w:tcW w:w="1818" w:type="dxa"/>
            <w:tcBorders>
              <w:top w:val="nil"/>
              <w:left w:val="single" w:sz="4" w:space="0" w:color="auto"/>
              <w:bottom w:val="nil"/>
              <w:right w:val="single" w:sz="4" w:space="0" w:color="auto"/>
            </w:tcBorders>
            <w:shd w:val="clear" w:color="auto" w:fill="auto"/>
          </w:tcPr>
          <w:p w14:paraId="57F5F5D8" w14:textId="77777777" w:rsidR="003848A9" w:rsidRDefault="003848A9" w:rsidP="00BE7AE4">
            <w:pPr>
              <w:jc w:val="center"/>
            </w:pPr>
          </w:p>
          <w:p w14:paraId="57F5F5D9" w14:textId="77777777" w:rsidR="003848A9" w:rsidRPr="00011D73" w:rsidRDefault="003848A9" w:rsidP="00BE7AE4">
            <w:pPr>
              <w:jc w:val="center"/>
            </w:pPr>
            <w:r>
              <w:t>$ 0</w:t>
            </w:r>
          </w:p>
        </w:tc>
      </w:tr>
      <w:tr w:rsidR="003848A9" w14:paraId="57F5F5DF" w14:textId="77777777" w:rsidTr="00BE7AE4">
        <w:tc>
          <w:tcPr>
            <w:tcW w:w="3078" w:type="dxa"/>
            <w:tcBorders>
              <w:top w:val="nil"/>
              <w:left w:val="single" w:sz="4" w:space="0" w:color="auto"/>
              <w:bottom w:val="single" w:sz="4" w:space="0" w:color="auto"/>
              <w:right w:val="single" w:sz="4" w:space="0" w:color="auto"/>
            </w:tcBorders>
            <w:shd w:val="clear" w:color="auto" w:fill="auto"/>
            <w:vAlign w:val="bottom"/>
          </w:tcPr>
          <w:p w14:paraId="57F5F5DB" w14:textId="77777777" w:rsidR="003848A9" w:rsidRPr="00011D73" w:rsidRDefault="003848A9" w:rsidP="00BE7AE4">
            <w:r w:rsidRPr="00011D73">
              <w:t>Non-resource programs</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5DC" w14:textId="77777777" w:rsidR="003848A9" w:rsidRPr="00011D73" w:rsidRDefault="003848A9" w:rsidP="00BE7AE4">
            <w:pPr>
              <w:jc w:val="center"/>
            </w:pPr>
            <w:r w:rsidRPr="00011D73">
              <w:t xml:space="preserve">$ </w:t>
            </w:r>
            <w:r>
              <w:t>28,675,400</w:t>
            </w:r>
          </w:p>
        </w:tc>
        <w:tc>
          <w:tcPr>
            <w:tcW w:w="2340" w:type="dxa"/>
            <w:tcBorders>
              <w:top w:val="nil"/>
              <w:left w:val="single" w:sz="4" w:space="0" w:color="auto"/>
              <w:bottom w:val="single" w:sz="4" w:space="0" w:color="auto"/>
              <w:right w:val="single" w:sz="4" w:space="0" w:color="auto"/>
            </w:tcBorders>
            <w:shd w:val="clear" w:color="auto" w:fill="auto"/>
            <w:vAlign w:val="bottom"/>
          </w:tcPr>
          <w:p w14:paraId="57F5F5DD" w14:textId="77777777" w:rsidR="003848A9" w:rsidRPr="00011D73" w:rsidRDefault="003848A9" w:rsidP="00BE7AE4">
            <w:pPr>
              <w:jc w:val="center"/>
            </w:pPr>
            <w:r w:rsidRPr="00011D73">
              <w:t xml:space="preserve"> $ </w:t>
            </w:r>
            <w:r>
              <w:t>28,675,400</w:t>
            </w:r>
          </w:p>
        </w:tc>
        <w:tc>
          <w:tcPr>
            <w:tcW w:w="1818" w:type="dxa"/>
            <w:tcBorders>
              <w:top w:val="nil"/>
              <w:left w:val="single" w:sz="4" w:space="0" w:color="auto"/>
              <w:bottom w:val="single" w:sz="4" w:space="0" w:color="auto"/>
              <w:right w:val="single" w:sz="4" w:space="0" w:color="auto"/>
            </w:tcBorders>
            <w:shd w:val="clear" w:color="auto" w:fill="auto"/>
          </w:tcPr>
          <w:p w14:paraId="57F5F5DE" w14:textId="77777777" w:rsidR="003848A9" w:rsidRDefault="003848A9" w:rsidP="00BE7AE4">
            <w:pPr>
              <w:jc w:val="center"/>
            </w:pPr>
            <w:r>
              <w:t>$ 0</w:t>
            </w:r>
          </w:p>
        </w:tc>
      </w:tr>
    </w:tbl>
    <w:p w14:paraId="57F5F5E0" w14:textId="77777777" w:rsidR="003848A9" w:rsidRDefault="003848A9" w:rsidP="003848A9">
      <w:pPr>
        <w:pStyle w:val="ListParagraph"/>
      </w:pPr>
    </w:p>
    <w:p w14:paraId="57F5F5E1" w14:textId="2890A4C1" w:rsidR="00776E79" w:rsidRDefault="003848A9" w:rsidP="00253603">
      <w:pPr>
        <w:pStyle w:val="Style1"/>
        <w:numPr>
          <w:ilvl w:val="0"/>
          <w:numId w:val="36"/>
        </w:numPr>
        <w:tabs>
          <w:tab w:val="clear" w:pos="-720"/>
        </w:tabs>
        <w:suppressAutoHyphens w:val="0"/>
        <w:spacing w:after="0"/>
      </w:pPr>
      <w:r>
        <w:t xml:space="preserve">Upon further review, staff </w:t>
      </w:r>
      <w:r w:rsidR="006D1027">
        <w:t xml:space="preserve">adjusted </w:t>
      </w:r>
      <w:r>
        <w:t xml:space="preserve">Component 2 of the PY 2014 award upwards by $ 21,495 to account for the 2013 Audit true-up. </w:t>
      </w:r>
      <w:r w:rsidR="00253603">
        <w:t>Staff finds that there no true-up necessary for Component</w:t>
      </w:r>
      <w:r w:rsidR="004E0BC5">
        <w:t>s</w:t>
      </w:r>
      <w:r w:rsidR="00253603">
        <w:t xml:space="preserve"> 3 and 4 of the PY 2014 award</w:t>
      </w:r>
      <w:r w:rsidR="006D1027">
        <w:t xml:space="preserve"> beyond the</w:t>
      </w:r>
      <w:r w:rsidR="00253603">
        <w:t xml:space="preserve"> adjust</w:t>
      </w:r>
      <w:r w:rsidR="006D1027">
        <w:t>ments</w:t>
      </w:r>
      <w:r w:rsidR="00253603">
        <w:t xml:space="preserve"> </w:t>
      </w:r>
      <w:r w:rsidR="006D1027">
        <w:t>that</w:t>
      </w:r>
      <w:r w:rsidR="00253603">
        <w:t xml:space="preserve"> account for the C&amp;S Cap and the discrepancy between the 2014 claimed expenditures and the 2014 ED Central Server values.</w:t>
      </w:r>
    </w:p>
    <w:p w14:paraId="57F5F5E2" w14:textId="77777777" w:rsidR="003848A9" w:rsidRDefault="003848A9" w:rsidP="003848A9">
      <w:pPr>
        <w:pStyle w:val="Style1"/>
        <w:tabs>
          <w:tab w:val="clear" w:pos="-720"/>
        </w:tabs>
        <w:suppressAutoHyphens w:val="0"/>
        <w:spacing w:after="0"/>
      </w:pPr>
    </w:p>
    <w:p w14:paraId="57F5F5E3" w14:textId="77777777" w:rsidR="00253603" w:rsidRDefault="00253603" w:rsidP="00253603">
      <w:r w:rsidRPr="00CE3E99">
        <w:t xml:space="preserve">PG&amp;E requests </w:t>
      </w:r>
      <w:r>
        <w:t xml:space="preserve">that </w:t>
      </w:r>
      <w:r w:rsidR="00183046">
        <w:t>C&amp;S Award Cap to be removed for Component 3 of the PY 2014 award to recover the reduction of $ 163,456. PG&amp;E states that the cap in D.13-09-023 is placed on an undefined term of authorized expenditures.</w:t>
      </w:r>
      <w:r w:rsidR="00424545">
        <w:t xml:space="preserve"> PG&amp;E shifted $ 700,000 into the C&amp;S Program after the cap was set in 2013 and the $ 700,000 should be used to adjust the cap upwards as funds shifted within fund-shifting rules are authorized expenditures.</w:t>
      </w:r>
    </w:p>
    <w:p w14:paraId="57F5F5E4" w14:textId="77777777" w:rsidR="00183046" w:rsidRPr="00CE3E99" w:rsidRDefault="00183046" w:rsidP="00253603"/>
    <w:p w14:paraId="57F5F5E5" w14:textId="7E63C17B" w:rsidR="000E2B27" w:rsidRDefault="00253603" w:rsidP="00253603">
      <w:r w:rsidRPr="00CE3E99">
        <w:t xml:space="preserve">This Resolution rejects PG&amp;E’s comments related to </w:t>
      </w:r>
      <w:r w:rsidR="00183046">
        <w:t>C&amp;S Award Cap</w:t>
      </w:r>
      <w:r w:rsidRPr="00CE3E99">
        <w:t xml:space="preserve"> and makes no adjustments to the </w:t>
      </w:r>
      <w:r w:rsidR="00424545">
        <w:t>C&amp;S expenditure</w:t>
      </w:r>
      <w:r w:rsidRPr="00CE3E99">
        <w:t xml:space="preserve"> incentives in response to PG&amp;E’s comments.</w:t>
      </w:r>
      <w:r w:rsidR="00424545">
        <w:t xml:space="preserve"> </w:t>
      </w:r>
      <w:r w:rsidR="00305153">
        <w:t>D.13-09-023 adopted an award cap of $1,410,000 for the C&amp;S management fee based on the 2013-14 C&amp;S program budget, less administrative funds, and this cap will not be modified as a result of a mid-cycle fund shift.</w:t>
      </w:r>
      <w:r w:rsidR="00305153">
        <w:rPr>
          <w:rStyle w:val="FootnoteReference"/>
        </w:rPr>
        <w:footnoteReference w:id="33"/>
      </w:r>
      <w:r w:rsidR="00305153">
        <w:t xml:space="preserve">  </w:t>
      </w:r>
      <w:r w:rsidR="006D1027">
        <w:t>Staff assumes</w:t>
      </w:r>
      <w:r w:rsidR="00305153">
        <w:t xml:space="preserve"> that the </w:t>
      </w:r>
      <w:r w:rsidR="006D1027">
        <w:t xml:space="preserve">Commission’s </w:t>
      </w:r>
      <w:r w:rsidR="00305153">
        <w:t xml:space="preserve">purpose </w:t>
      </w:r>
      <w:r w:rsidR="006D1027">
        <w:t>in</w:t>
      </w:r>
      <w:r w:rsidR="00305153">
        <w:t xml:space="preserve"> adopting award cap</w:t>
      </w:r>
      <w:r w:rsidR="006D1027">
        <w:t>s</w:t>
      </w:r>
      <w:r w:rsidR="00305153">
        <w:t xml:space="preserve"> is to ensure that a program administrator </w:t>
      </w:r>
      <w:r w:rsidR="006D1027">
        <w:t>can</w:t>
      </w:r>
      <w:r w:rsidR="00305153">
        <w:t xml:space="preserve">not shift </w:t>
      </w:r>
      <w:r w:rsidR="007D664C">
        <w:t>funds beyond</w:t>
      </w:r>
      <w:r w:rsidR="006D1027">
        <w:t xml:space="preserve"> fixed limits </w:t>
      </w:r>
      <w:r w:rsidR="00305153">
        <w:t xml:space="preserve">to </w:t>
      </w:r>
      <w:r w:rsidR="006D1027">
        <w:t>“</w:t>
      </w:r>
      <w:r w:rsidR="00305153">
        <w:t>game the system</w:t>
      </w:r>
      <w:r w:rsidR="006D1027">
        <w:t>.”</w:t>
      </w:r>
      <w:r w:rsidRPr="00CE3E99">
        <w:t xml:space="preserve"> </w:t>
      </w:r>
    </w:p>
    <w:p w14:paraId="57F5F5E6" w14:textId="77777777" w:rsidR="00253603" w:rsidRPr="00CE3E99" w:rsidRDefault="00253603" w:rsidP="003848A9">
      <w:pPr>
        <w:pStyle w:val="Style1"/>
        <w:tabs>
          <w:tab w:val="clear" w:pos="-720"/>
        </w:tabs>
        <w:suppressAutoHyphens w:val="0"/>
        <w:spacing w:after="0"/>
      </w:pPr>
    </w:p>
    <w:p w14:paraId="57F5F5E7" w14:textId="77777777" w:rsidR="00776E79" w:rsidRPr="00CE3E99" w:rsidRDefault="00776E79" w:rsidP="00776E79">
      <w:pPr>
        <w:spacing w:after="120"/>
      </w:pPr>
      <w:r w:rsidRPr="00CE3E99">
        <w:rPr>
          <w:i/>
          <w:u w:val="single"/>
        </w:rPr>
        <w:lastRenderedPageBreak/>
        <w:t>SoCalGas</w:t>
      </w:r>
    </w:p>
    <w:p w14:paraId="57F5F5E8" w14:textId="77777777" w:rsidR="00CE3E99" w:rsidRDefault="00776E79" w:rsidP="00776E79">
      <w:r w:rsidRPr="00CE3E99">
        <w:t xml:space="preserve">SoCalGas’ comments note that SoCalGas recommends that the ESPI process would benefit from additional collaboration and transparency so the discrepancies and irregularities between the information of Energy Division and SoCalGas can be communicated earlier in the process. SoCalGas proposes to include a meeting in the current process. </w:t>
      </w:r>
    </w:p>
    <w:p w14:paraId="57F5F5E9" w14:textId="77777777" w:rsidR="00CE3E99" w:rsidRDefault="00CE3E99" w:rsidP="00776E79"/>
    <w:p w14:paraId="57F5F5EA" w14:textId="77777777" w:rsidR="00776E79" w:rsidRDefault="00776E79" w:rsidP="00776E79">
      <w:r w:rsidRPr="00CE3E99">
        <w:t>Staff supports improving the ESPI process with additional collaboration and transparency with the utilities. Adding an addition meeting to the analysis may consolidate some of the discrepancies and irregularities between the sources.</w:t>
      </w:r>
    </w:p>
    <w:p w14:paraId="57F5F5EB" w14:textId="77777777" w:rsidR="00CE3E99" w:rsidRDefault="00CE3E99" w:rsidP="00776E79"/>
    <w:p w14:paraId="57F5F5EC" w14:textId="77777777" w:rsidR="00CE3E99" w:rsidRDefault="00CE3E99" w:rsidP="00776E79">
      <w:r w:rsidRPr="00CE3E99">
        <w:t>SoCalGas also identified three technical changes in it PY 2014 energy savings that shoul</w:t>
      </w:r>
      <w:r w:rsidR="00ED0465">
        <w:t>d be made in the Resolution: 1. Home Upgrade Program, 2.</w:t>
      </w:r>
      <w:r w:rsidRPr="00CE3E99">
        <w:t xml:space="preserve"> Thermostatic Valve </w:t>
      </w:r>
      <w:r w:rsidR="00ED0465">
        <w:t>with 1.6 GPM Showerhead, and 3.</w:t>
      </w:r>
      <w:r w:rsidRPr="00CE3E99">
        <w:t xml:space="preserve"> EUL/RUL changes for Tank Insulation.</w:t>
      </w:r>
    </w:p>
    <w:p w14:paraId="57F5F5ED" w14:textId="77777777" w:rsidR="00CE3E99" w:rsidRDefault="00CE3E99" w:rsidP="00776E79"/>
    <w:p w14:paraId="57F5F5EE" w14:textId="77777777" w:rsidR="00ED0465" w:rsidRDefault="00ED0465" w:rsidP="00776E79">
      <w:r w:rsidRPr="00BE4F61">
        <w:t>This Resolution rejects SoCalGas’s comments related to energy savings and makes no adjustments to the savings-related incentives.</w:t>
      </w:r>
      <w:r>
        <w:t xml:space="preserve"> </w:t>
      </w:r>
    </w:p>
    <w:p w14:paraId="57F5F5EF" w14:textId="77777777" w:rsidR="00ED0465" w:rsidRDefault="00ED0465" w:rsidP="00776E79"/>
    <w:p w14:paraId="57F5F5F0" w14:textId="23477EB7" w:rsidR="00CE3E99" w:rsidRDefault="00402019" w:rsidP="00ED0465">
      <w:pPr>
        <w:pStyle w:val="ListParagraph"/>
        <w:numPr>
          <w:ilvl w:val="0"/>
          <w:numId w:val="34"/>
        </w:numPr>
      </w:pPr>
      <w:r>
        <w:t xml:space="preserve">SoCalGas </w:t>
      </w:r>
      <w:r w:rsidR="006D1027">
        <w:t>argues</w:t>
      </w:r>
      <w:r>
        <w:t xml:space="preserve"> that only the Advanced Home Upgrade Program projects are included in the Uncertain Measures list for PY2014 and thus cannot be claimed for savings, and all other projects under the Home Upgrade Program are claimable for the incentive award. </w:t>
      </w:r>
      <w:r w:rsidR="006D1027">
        <w:t>However, staff notes that t</w:t>
      </w:r>
      <w:r w:rsidR="00DD06E1">
        <w:t xml:space="preserve">he Uncertain Measures List (Attachments 3 to D.13-09-023) lists the general Energy Upgrade California program measures and includes all Home Upgrade Program projects. Therefore, the savings for those projects </w:t>
      </w:r>
      <w:r w:rsidR="006D1027">
        <w:t>are not to be</w:t>
      </w:r>
      <w:r w:rsidR="00DD06E1">
        <w:t xml:space="preserve"> </w:t>
      </w:r>
      <w:r w:rsidR="00305153">
        <w:t>based on ex ante values</w:t>
      </w:r>
      <w:r w:rsidR="00DD06E1">
        <w:t>. Staff also finds that SoCalGas listed all Home Upgrade Program projects under the custom measure category and</w:t>
      </w:r>
      <w:r w:rsidR="00305153">
        <w:t>,</w:t>
      </w:r>
      <w:r w:rsidR="00DD06E1">
        <w:t xml:space="preserve"> thus</w:t>
      </w:r>
      <w:r w:rsidR="00305153">
        <w:t>, the shareholder incentives related to the Home Upgrade Program should be claimed in next year’s advice letter</w:t>
      </w:r>
      <w:r w:rsidR="00DD06E1">
        <w:t xml:space="preserve">. SoCalGas </w:t>
      </w:r>
      <w:r w:rsidR="00ED0465">
        <w:t>shall</w:t>
      </w:r>
      <w:r w:rsidR="00DD06E1">
        <w:t xml:space="preserve"> clarify whether or not the Home Upgrade Program projects are deemed or custom and how the savings are calculated for those projects</w:t>
      </w:r>
      <w:r w:rsidR="00ED0465">
        <w:t xml:space="preserve"> in their next ESPI application</w:t>
      </w:r>
      <w:r w:rsidR="00DD06E1">
        <w:t xml:space="preserve">. </w:t>
      </w:r>
      <w:r w:rsidR="007D664C">
        <w:t>Consequently</w:t>
      </w:r>
      <w:r w:rsidR="006D1027">
        <w:t>, s</w:t>
      </w:r>
      <w:r w:rsidR="00DD06E1">
        <w:t xml:space="preserve">taff rejects SoCalGas’s </w:t>
      </w:r>
      <w:r>
        <w:t>claim for an additional $3,645 of incentive award.</w:t>
      </w:r>
    </w:p>
    <w:p w14:paraId="6EF19B23" w14:textId="08D4E7E8" w:rsidR="00D107B2" w:rsidRDefault="00D107B2" w:rsidP="00ED0465">
      <w:pPr>
        <w:pStyle w:val="ListParagraph"/>
        <w:numPr>
          <w:ilvl w:val="0"/>
          <w:numId w:val="34"/>
        </w:numPr>
      </w:pPr>
      <w:r>
        <w:t xml:space="preserve">SoCalGas comments that the thermostatic valve with 1.6 GPM showerhead is not </w:t>
      </w:r>
      <w:r w:rsidR="006D1027">
        <w:t xml:space="preserve">on </w:t>
      </w:r>
      <w:r>
        <w:t xml:space="preserve">the Uncertain Measures List and should be eligible for savings claims. Staff finds that the thermostatic valve with showerhead measure is </w:t>
      </w:r>
      <w:r>
        <w:lastRenderedPageBreak/>
        <w:t>part of the “w</w:t>
      </w:r>
      <w:r w:rsidRPr="00D107B2">
        <w:t>ater savings kits/items (shower and faucet)</w:t>
      </w:r>
      <w:r>
        <w:t>” measures on the Uncertain Measure List</w:t>
      </w:r>
      <w:r w:rsidR="006D1027">
        <w:t>, consequently, s</w:t>
      </w:r>
      <w:r>
        <w:t xml:space="preserve">avings from installing thermostatic valve with 1.6 GPM showerhead measures are not eligible for </w:t>
      </w:r>
      <w:r w:rsidR="006D1027">
        <w:t>ex ante based</w:t>
      </w:r>
      <w:r>
        <w:t xml:space="preserve"> savings.</w:t>
      </w:r>
    </w:p>
    <w:p w14:paraId="6EB119B3" w14:textId="0037C74C" w:rsidR="00D107B2" w:rsidRPr="00CE3E99" w:rsidRDefault="00D107B2" w:rsidP="00ED0465">
      <w:pPr>
        <w:pStyle w:val="ListParagraph"/>
        <w:numPr>
          <w:ilvl w:val="0"/>
          <w:numId w:val="34"/>
        </w:numPr>
      </w:pPr>
      <w:r>
        <w:t>SoCalGas also comments that the EUL for tank insulation should remain unaltered at 11 years because SoCalGas only allows new tank insulation to be incentivized. For retrofit add-on categories, the</w:t>
      </w:r>
      <w:r w:rsidR="00AC4BF3">
        <w:t xml:space="preserve"> EUL of add-on measure is capped at the RUL of the system. Staff finds that the methodology for adjusting the RUL is correct and thus no adjustments will be made.</w:t>
      </w:r>
      <w:r>
        <w:t xml:space="preserve">     </w:t>
      </w:r>
    </w:p>
    <w:p w14:paraId="57F5F5F1" w14:textId="77777777" w:rsidR="00776E79" w:rsidRPr="005B2DBD" w:rsidRDefault="00776E79" w:rsidP="00776E79">
      <w:pPr>
        <w:rPr>
          <w:highlight w:val="yellow"/>
        </w:rPr>
      </w:pPr>
    </w:p>
    <w:p w14:paraId="57F5F5F2" w14:textId="77777777" w:rsidR="00776E79" w:rsidRPr="00CE3E99" w:rsidRDefault="00776E79" w:rsidP="00776E79">
      <w:pPr>
        <w:spacing w:after="120"/>
      </w:pPr>
      <w:r w:rsidRPr="00CE3E99">
        <w:rPr>
          <w:i/>
          <w:u w:val="single"/>
        </w:rPr>
        <w:t>SDG&amp;E</w:t>
      </w:r>
    </w:p>
    <w:p w14:paraId="57F5F5F3" w14:textId="1A6AC562" w:rsidR="002B2208" w:rsidRPr="00CE3E99" w:rsidRDefault="00776E79" w:rsidP="00776E79">
      <w:r w:rsidRPr="00CE3E99">
        <w:t xml:space="preserve">SDG&amp;E disagrees with the adjustment that resulted from the UAFCB examination of SDG&amp;E’s PY 2013 expenditures. SDG&amp;E disagrees with the </w:t>
      </w:r>
      <w:r w:rsidR="00F771EE">
        <w:t>UAFCB finding</w:t>
      </w:r>
      <w:r w:rsidRPr="00CE3E99">
        <w:t xml:space="preserve"> that the $3,003 award reduction should be made in the PY 2014 incentive award. SDG&amp;E proposes that the reduction should be made in the PY 2013 incentive award so the final PY 2013 second ESPI incentive award is $2,824,209 and the final PY 2014 first ESPI incentive award is $3,724,831.</w:t>
      </w:r>
    </w:p>
    <w:p w14:paraId="57F5F5F4" w14:textId="77777777" w:rsidR="00776E79" w:rsidRPr="00CE3E99" w:rsidRDefault="00776E79" w:rsidP="00776E79"/>
    <w:p w14:paraId="57F5F5F5" w14:textId="5C225E2F" w:rsidR="00776E79" w:rsidRPr="00CE3E99" w:rsidRDefault="00F771EE" w:rsidP="00776E79">
      <w:r>
        <w:t xml:space="preserve">Staff agrees with </w:t>
      </w:r>
      <w:r w:rsidR="00776E79" w:rsidRPr="00CE3E99">
        <w:t>SDG&amp;E</w:t>
      </w:r>
      <w:r w:rsidR="007514B4">
        <w:t>. Therefore, this R</w:t>
      </w:r>
      <w:r w:rsidR="00776E79" w:rsidRPr="00CE3E99">
        <w:t xml:space="preserve">esolution also adjusts the PY 2013 and PY 2014 incentive awards. </w:t>
      </w:r>
    </w:p>
    <w:p w14:paraId="57F5F5F6" w14:textId="77777777" w:rsidR="002B2208" w:rsidRPr="00CE3E99" w:rsidRDefault="002B2208" w:rsidP="00776E79"/>
    <w:p w14:paraId="57F5F5F7" w14:textId="500D535C" w:rsidR="002B2208" w:rsidRPr="00CE3E99" w:rsidRDefault="002B2208" w:rsidP="00776E79">
      <w:r w:rsidRPr="00CE3E99">
        <w:t xml:space="preserve">SDG&amp;E also </w:t>
      </w:r>
      <w:r w:rsidR="00F771EE">
        <w:t xml:space="preserve">expresses </w:t>
      </w:r>
      <w:r w:rsidRPr="00CE3E99">
        <w:t xml:space="preserve">concern with how the NTG recommendation </w:t>
      </w:r>
      <w:r w:rsidR="00C63AAA" w:rsidRPr="00CE3E99">
        <w:t>in adjusting deemed energy savings would be applicable at the customer or participant level versus the measure or program level. SDG&amp;E finds it appropriate that the true-up of savings for the PY 2014 second ESPI incentive claim is to allow adjustment of NTG values at the participant level.</w:t>
      </w:r>
    </w:p>
    <w:p w14:paraId="57F5F5F8" w14:textId="77777777" w:rsidR="00776E79" w:rsidRPr="00CE3E99" w:rsidRDefault="00776E79" w:rsidP="00705F19"/>
    <w:p w14:paraId="57F5F5F9" w14:textId="77777777" w:rsidR="00C63AAA" w:rsidRDefault="00C63AAA" w:rsidP="00705F19">
      <w:r w:rsidRPr="00CE3E99">
        <w:t>Staff believes that defining if savings should be claimed at the measure or program level versus at the customer or participant level is out of the scope of the Resolution. Staff does not support change the accounting process adopted in D.13-09-023.</w:t>
      </w:r>
    </w:p>
    <w:p w14:paraId="57F5F5FA" w14:textId="77777777" w:rsidR="001341E5" w:rsidRDefault="001341E5" w:rsidP="00705F19"/>
    <w:p w14:paraId="57F5F5FB" w14:textId="77777777" w:rsidR="001341E5" w:rsidRDefault="001341E5" w:rsidP="00705F19"/>
    <w:p w14:paraId="57F5F5FC" w14:textId="77777777" w:rsidR="00705F19" w:rsidRDefault="00705F19" w:rsidP="001341E5">
      <w:pPr>
        <w:pStyle w:val="Heading1"/>
      </w:pPr>
      <w:r>
        <w:lastRenderedPageBreak/>
        <w:t>Findings</w:t>
      </w:r>
    </w:p>
    <w:p w14:paraId="57F5F5FD" w14:textId="77777777" w:rsidR="00705F19" w:rsidRDefault="00705F19" w:rsidP="00705F19">
      <w:pPr>
        <w:numPr>
          <w:ilvl w:val="0"/>
          <w:numId w:val="4"/>
        </w:numPr>
        <w:spacing w:after="120"/>
      </w:pPr>
      <w:r>
        <w:t>Commission decision D.13-09-023 directs the IOUs to file an annual Tier 3 Advice Letter to claim s</w:t>
      </w:r>
      <w:r w:rsidR="001341E5">
        <w:t>hareholder incentive awards.</w:t>
      </w:r>
    </w:p>
    <w:p w14:paraId="57F5F5FE" w14:textId="77777777" w:rsidR="00705F19" w:rsidRDefault="00705F19" w:rsidP="00705F19">
      <w:pPr>
        <w:numPr>
          <w:ilvl w:val="0"/>
          <w:numId w:val="4"/>
        </w:numPr>
        <w:spacing w:after="120"/>
      </w:pPr>
      <w:r>
        <w:t>The UAFCB audit of the IOUs’ 2014 energy efficiency program expenditures is not yet complete. As such, on June 9, 2014, Commission staff sent a memo to direct IOUs to file the initial 2014 incentive claims based on utility-reported data. The memo is included as Attachment 1 to this Resolution.</w:t>
      </w:r>
    </w:p>
    <w:p w14:paraId="57F5F5FF" w14:textId="77777777" w:rsidR="00705F19" w:rsidRDefault="00705F19" w:rsidP="00705F19">
      <w:pPr>
        <w:numPr>
          <w:ilvl w:val="0"/>
          <w:numId w:val="4"/>
        </w:numPr>
        <w:spacing w:after="120"/>
      </w:pPr>
      <w:r>
        <w:t xml:space="preserve">The second installation of 2014 incentive awards </w:t>
      </w:r>
      <w:r w:rsidR="00CB54B1">
        <w:t xml:space="preserve">(savings from custom projects and “uncertainty list” measures and 2014 “true up”) </w:t>
      </w:r>
      <w:r>
        <w:t>will reconcile any differences between utility-reported and Commission-audited data.  Any adjustments will be offset in the second (PY+2) payment and will not require IOUs to re-state the previous year’s earnings.</w:t>
      </w:r>
    </w:p>
    <w:p w14:paraId="57F5F600" w14:textId="77777777" w:rsidR="00705F19" w:rsidRPr="008F03DC" w:rsidRDefault="00705F19" w:rsidP="00705F19">
      <w:pPr>
        <w:numPr>
          <w:ilvl w:val="0"/>
          <w:numId w:val="4"/>
        </w:numPr>
        <w:spacing w:after="120"/>
      </w:pPr>
      <w:r w:rsidRPr="008F03DC">
        <w:t xml:space="preserve">Given that the Commission data on file are comprised of utility-filed reports, Commission staff relies on the Commission data to verify and confirm the IOUs’ filings.  Attachments 2 and 3 of this Resolution show the program expenditures and savings values, respectively, used to verify the IOUs’ advice letter fillings. For incentives calculated based on expenditures, staff used the </w:t>
      </w:r>
      <w:r w:rsidRPr="008F03DC">
        <w:rPr>
          <w:b/>
        </w:rPr>
        <w:t>lower of the IOUs’ values</w:t>
      </w:r>
      <w:r w:rsidRPr="008F03DC">
        <w:t xml:space="preserve"> filed in their advice letters and the quarterly report data. The IOUs’ expenditures will be trued up with the final 2014 UAFCB energy efficiency audit reports. For incentives calculated based on energy savings, staff used the quarterly report data to verify incentive claims. Because there is currently no true up method planned for ex ante savings, staff relies on the Energy Division Central Server data which is sourced from staff-reviewed utility-filed reports.</w:t>
      </w:r>
    </w:p>
    <w:p w14:paraId="57F5F601" w14:textId="77777777" w:rsidR="00705F19" w:rsidRDefault="00705F19" w:rsidP="00705F19">
      <w:pPr>
        <w:pStyle w:val="ListParagraph"/>
        <w:numPr>
          <w:ilvl w:val="0"/>
          <w:numId w:val="4"/>
        </w:numPr>
      </w:pPr>
      <w:r w:rsidRPr="00011D73">
        <w:t>Per the staff-issued memo distributed on June 9, 2014 and i</w:t>
      </w:r>
      <w:r>
        <w:t xml:space="preserve">ncluded as Attachment 1 to </w:t>
      </w:r>
      <w:r w:rsidRPr="00011D73">
        <w:t>Resolution</w:t>
      </w:r>
      <w:r>
        <w:t xml:space="preserve"> G-3497, the IOUs’ 2013 expenditures are to</w:t>
      </w:r>
      <w:r w:rsidRPr="00011D73">
        <w:t xml:space="preserve"> be trued up </w:t>
      </w:r>
      <w:r>
        <w:t>as</w:t>
      </w:r>
      <w:r w:rsidRPr="00011D73">
        <w:t xml:space="preserve"> the UAFCB</w:t>
      </w:r>
      <w:r>
        <w:t xml:space="preserve"> final 2013 audit was</w:t>
      </w:r>
      <w:r w:rsidRPr="00011D73">
        <w:t xml:space="preserve"> complete</w:t>
      </w:r>
      <w:r>
        <w:t>d on June 30, 2015</w:t>
      </w:r>
      <w:r w:rsidRPr="00011D73">
        <w:t>.</w:t>
      </w:r>
      <w:r>
        <w:t xml:space="preserve"> </w:t>
      </w:r>
    </w:p>
    <w:p w14:paraId="57F5F602" w14:textId="77777777" w:rsidR="00CB54B1" w:rsidRPr="00A9290A" w:rsidRDefault="00CB54B1" w:rsidP="00CB54B1">
      <w:pPr>
        <w:pStyle w:val="ListParagraph"/>
        <w:ind w:left="420"/>
      </w:pPr>
    </w:p>
    <w:p w14:paraId="57F5F603" w14:textId="0490EB14" w:rsidR="00705F19" w:rsidRPr="008F03DC" w:rsidRDefault="00705F19" w:rsidP="00CB54B1">
      <w:pPr>
        <w:numPr>
          <w:ilvl w:val="0"/>
          <w:numId w:val="4"/>
        </w:numPr>
        <w:spacing w:after="120"/>
      </w:pPr>
      <w:r w:rsidRPr="008F03DC">
        <w:t xml:space="preserve">PG&amp;E’s initial 2014 incentive claim is consistent with </w:t>
      </w:r>
      <w:r w:rsidR="00CB54B1">
        <w:t xml:space="preserve">the directions of </w:t>
      </w:r>
      <w:r w:rsidR="001341E5">
        <w:br/>
      </w:r>
      <w:r w:rsidR="00CB54B1">
        <w:t xml:space="preserve">D.13-09-023. </w:t>
      </w:r>
      <w:r w:rsidRPr="00CB54B1">
        <w:t>PG&amp;E’s filed energy savings claim is generally supported by the utility-reported savings data on file at the Commission</w:t>
      </w:r>
      <w:r w:rsidR="00CB54B1">
        <w:t xml:space="preserve">. </w:t>
      </w:r>
      <w:r w:rsidRPr="008F03DC">
        <w:t xml:space="preserve">PG&amp;E’s filed expenditure claims are not supported by the utility-reported quarterly expenditures data on file at the Commission. In total, </w:t>
      </w:r>
      <w:r w:rsidRPr="00CB54B1">
        <w:rPr>
          <w:u w:val="single"/>
        </w:rPr>
        <w:t xml:space="preserve">PG&amp;E is awarded </w:t>
      </w:r>
      <w:r w:rsidR="001341E5">
        <w:rPr>
          <w:u w:val="single"/>
        </w:rPr>
        <w:br/>
      </w:r>
      <w:r w:rsidRPr="00CB54B1">
        <w:rPr>
          <w:u w:val="single"/>
        </w:rPr>
        <w:t xml:space="preserve">$ </w:t>
      </w:r>
      <w:r w:rsidR="00BE4F61">
        <w:rPr>
          <w:u w:val="single"/>
        </w:rPr>
        <w:t>1,173,808</w:t>
      </w:r>
      <w:r w:rsidRPr="00CB54B1">
        <w:rPr>
          <w:u w:val="single"/>
        </w:rPr>
        <w:t xml:space="preserve"> less than the amount claimed in PG&amp;E AL 3606-G/4659-E.</w:t>
      </w:r>
      <w:r w:rsidRPr="008F03DC">
        <w:t xml:space="preserve"> PG&amp;E is awarded a lesser amount than what was claimed in PG&amp;E </w:t>
      </w:r>
      <w:r w:rsidR="001341E5">
        <w:br/>
      </w:r>
      <w:r w:rsidRPr="008F03DC">
        <w:lastRenderedPageBreak/>
        <w:t xml:space="preserve">AL 3606-E/4659-G to account for the difference between the 2014 </w:t>
      </w:r>
      <w:r w:rsidR="00CB54B1">
        <w:t xml:space="preserve">saving and </w:t>
      </w:r>
      <w:r w:rsidRPr="008F03DC">
        <w:t xml:space="preserve">expenditure differences between what PG&amp;E filed in the AL and with the </w:t>
      </w:r>
      <w:r w:rsidR="001341E5">
        <w:br/>
      </w:r>
      <w:r w:rsidRPr="008F03DC">
        <w:t>ED central server and for the 2013 expenditure true up from the 2013 UAFCB audit and for the 2013-2014 C&amp;S award cap.</w:t>
      </w:r>
    </w:p>
    <w:p w14:paraId="57F5F604" w14:textId="46970B86" w:rsidR="00705F19" w:rsidRPr="008F03DC" w:rsidRDefault="00705F19" w:rsidP="00CB54B1">
      <w:pPr>
        <w:numPr>
          <w:ilvl w:val="0"/>
          <w:numId w:val="4"/>
        </w:numPr>
        <w:spacing w:after="120"/>
      </w:pPr>
      <w:r w:rsidRPr="008F03DC">
        <w:t xml:space="preserve">SCE’s initial 2014 incentive claim is consistent with </w:t>
      </w:r>
      <w:r w:rsidR="00CB54B1">
        <w:t xml:space="preserve">the directions of </w:t>
      </w:r>
      <w:r w:rsidR="001341E5">
        <w:br/>
      </w:r>
      <w:r w:rsidR="00CB54B1">
        <w:t xml:space="preserve">D.13-09-023. </w:t>
      </w:r>
      <w:r w:rsidRPr="00CB54B1">
        <w:t>SCE’s filed energy savings claim is generally supported by the utility-reported savings data on file at the Commission</w:t>
      </w:r>
      <w:r w:rsidR="00CB54B1">
        <w:t xml:space="preserve">. </w:t>
      </w:r>
      <w:r w:rsidRPr="008F03DC">
        <w:t xml:space="preserve">SCE’s filed expenditure claims are generally supported by the utility-reported quarterly expenditures data on file at the Commission. In total, </w:t>
      </w:r>
      <w:r w:rsidRPr="00CB54B1">
        <w:rPr>
          <w:u w:val="single"/>
        </w:rPr>
        <w:t xml:space="preserve">SCE is awarded </w:t>
      </w:r>
      <w:r w:rsidR="001341E5">
        <w:rPr>
          <w:u w:val="single"/>
        </w:rPr>
        <w:br/>
      </w:r>
      <w:r w:rsidRPr="00CB54B1">
        <w:rPr>
          <w:u w:val="single"/>
        </w:rPr>
        <w:t xml:space="preserve">$ </w:t>
      </w:r>
      <w:r w:rsidR="00776E79">
        <w:rPr>
          <w:u w:val="single"/>
        </w:rPr>
        <w:t>102,462</w:t>
      </w:r>
      <w:r w:rsidRPr="00CB54B1">
        <w:rPr>
          <w:u w:val="single"/>
        </w:rPr>
        <w:t xml:space="preserve"> less than the amount claimed in SCE AL 3240-E.</w:t>
      </w:r>
      <w:r w:rsidRPr="008F03DC">
        <w:t xml:space="preserve"> SCE is awarded a lesser amount than what was claimed in SCE AL 3240-E to account for the difference between the 2014 </w:t>
      </w:r>
      <w:r w:rsidR="009510A9">
        <w:t xml:space="preserve">saving and </w:t>
      </w:r>
      <w:r w:rsidRPr="008F03DC">
        <w:t>expenditure differences between what SCE filed in the AL and with the ED central server and for the 2013 expenditure true up from the 2013 UAFCB audit.</w:t>
      </w:r>
    </w:p>
    <w:p w14:paraId="57F5F605" w14:textId="2BA1E26E" w:rsidR="00705F19" w:rsidRPr="00C20282" w:rsidRDefault="001341E5" w:rsidP="009510A9">
      <w:pPr>
        <w:numPr>
          <w:ilvl w:val="0"/>
          <w:numId w:val="4"/>
        </w:numPr>
        <w:spacing w:after="120"/>
      </w:pPr>
      <w:r>
        <w:t>SoCalGas’</w:t>
      </w:r>
      <w:r w:rsidR="00705F19" w:rsidRPr="008F03DC">
        <w:t xml:space="preserve"> initial 2014 incentive claim is consistent with the directions of D.13-09-023.  </w:t>
      </w:r>
      <w:r w:rsidR="00705F19" w:rsidRPr="009510A9">
        <w:t>SoCa</w:t>
      </w:r>
      <w:r>
        <w:t>lGas’</w:t>
      </w:r>
      <w:r w:rsidR="00705F19" w:rsidRPr="009510A9">
        <w:t xml:space="preserve"> filed energy savings claim is generally supported by the utility-reported savings data on file at the Commission.  </w:t>
      </w:r>
      <w:r>
        <w:t>SoCalGas’</w:t>
      </w:r>
      <w:r w:rsidR="00705F19" w:rsidRPr="008F03DC">
        <w:t xml:space="preserve"> filed expenditure claims are generally supported by the utility-reported quarterly expenditures data on file at the Commission. In total, </w:t>
      </w:r>
      <w:r w:rsidR="00705F19" w:rsidRPr="009510A9">
        <w:rPr>
          <w:u w:val="single"/>
        </w:rPr>
        <w:t xml:space="preserve">SoCalGas is awarded </w:t>
      </w:r>
      <w:r>
        <w:rPr>
          <w:u w:val="single"/>
        </w:rPr>
        <w:br/>
      </w:r>
      <w:r w:rsidR="00705F19" w:rsidRPr="009510A9">
        <w:rPr>
          <w:u w:val="single"/>
        </w:rPr>
        <w:t xml:space="preserve">$ </w:t>
      </w:r>
      <w:r w:rsidR="00F67C40">
        <w:rPr>
          <w:u w:val="single"/>
        </w:rPr>
        <w:t>27,412</w:t>
      </w:r>
      <w:r w:rsidR="00705F19" w:rsidRPr="009510A9">
        <w:rPr>
          <w:u w:val="single"/>
        </w:rPr>
        <w:t xml:space="preserve"> less than the amount claimed in SoCalGas AL 4826.</w:t>
      </w:r>
      <w:r w:rsidR="00705F19" w:rsidRPr="008F03DC">
        <w:t xml:space="preserve"> SoCalGas is awarded a lesser amount than what was claimed in SoCalGas AL 4826 to</w:t>
      </w:r>
      <w:r w:rsidR="009510A9" w:rsidRPr="008F03DC">
        <w:t xml:space="preserve"> account for the difference between the 2014 </w:t>
      </w:r>
      <w:r w:rsidR="009510A9">
        <w:t xml:space="preserve">saving and </w:t>
      </w:r>
      <w:r w:rsidR="009510A9" w:rsidRPr="008F03DC">
        <w:t xml:space="preserve">expenditure differences between what </w:t>
      </w:r>
      <w:r w:rsidR="009510A9">
        <w:t>SoCalGas</w:t>
      </w:r>
      <w:r w:rsidR="009510A9" w:rsidRPr="008F03DC">
        <w:t xml:space="preserve"> filed in the AL and with the ED central </w:t>
      </w:r>
      <w:r w:rsidR="009510A9" w:rsidRPr="00C20282">
        <w:t>server and for the 2013 expenditure true up from the 2013 UAFCB audit.</w:t>
      </w:r>
    </w:p>
    <w:p w14:paraId="57F5F606" w14:textId="77777777" w:rsidR="00705F19" w:rsidRPr="00C20282" w:rsidRDefault="00705F19" w:rsidP="009510A9">
      <w:pPr>
        <w:numPr>
          <w:ilvl w:val="0"/>
          <w:numId w:val="4"/>
        </w:numPr>
        <w:spacing w:after="120"/>
      </w:pPr>
      <w:r w:rsidRPr="00C20282">
        <w:t xml:space="preserve">SDG&amp;E’s initial 2014 incentive claim is consistent with </w:t>
      </w:r>
      <w:r w:rsidR="009510A9" w:rsidRPr="00C20282">
        <w:t xml:space="preserve">the directions of </w:t>
      </w:r>
      <w:r w:rsidR="001341E5" w:rsidRPr="00C20282">
        <w:br/>
      </w:r>
      <w:r w:rsidR="009510A9" w:rsidRPr="00C20282">
        <w:t xml:space="preserve">D.13-09-023. </w:t>
      </w:r>
      <w:r w:rsidRPr="00C20282">
        <w:t>SDG&amp;E’s filed energy savings claim is generally supported by the utility-reported savings data on file at the Commission</w:t>
      </w:r>
      <w:r w:rsidR="009510A9" w:rsidRPr="00C20282">
        <w:t xml:space="preserve">. </w:t>
      </w:r>
      <w:r w:rsidRPr="00C20282">
        <w:t xml:space="preserve">SDG&amp;E’s filed expenditure claims are generally supported by the utility-reported quarterly expenditures data on file at the Commission. In total, </w:t>
      </w:r>
      <w:r w:rsidRPr="00C20282">
        <w:rPr>
          <w:u w:val="single"/>
        </w:rPr>
        <w:t xml:space="preserve">SDG&amp;E is awarded </w:t>
      </w:r>
      <w:r w:rsidR="001341E5" w:rsidRPr="00C20282">
        <w:rPr>
          <w:u w:val="single"/>
        </w:rPr>
        <w:br/>
      </w:r>
      <w:r w:rsidRPr="00C20282">
        <w:rPr>
          <w:u w:val="single"/>
        </w:rPr>
        <w:t xml:space="preserve">$ </w:t>
      </w:r>
      <w:r w:rsidR="008A3B7B" w:rsidRPr="00C20282">
        <w:rPr>
          <w:u w:val="single"/>
        </w:rPr>
        <w:t>54,869</w:t>
      </w:r>
      <w:r w:rsidR="009510A9" w:rsidRPr="00C20282">
        <w:rPr>
          <w:u w:val="single"/>
        </w:rPr>
        <w:t xml:space="preserve"> less</w:t>
      </w:r>
      <w:r w:rsidRPr="00C20282">
        <w:rPr>
          <w:u w:val="single"/>
        </w:rPr>
        <w:t xml:space="preserve"> than the amount claimed in SDG&amp;E AL 2764-E/2396-G.</w:t>
      </w:r>
      <w:r w:rsidRPr="00C20282">
        <w:t xml:space="preserve"> SDG&amp;E is awarded </w:t>
      </w:r>
      <w:r w:rsidR="009510A9" w:rsidRPr="00C20282">
        <w:t>a lesser</w:t>
      </w:r>
      <w:r w:rsidRPr="00C20282">
        <w:t xml:space="preserve"> amount than what was claimed in SDG&amp;E </w:t>
      </w:r>
      <w:r w:rsidR="001341E5" w:rsidRPr="00C20282">
        <w:br/>
      </w:r>
      <w:r w:rsidRPr="00C20282">
        <w:t xml:space="preserve">AL 2764-E/2396-G to account for </w:t>
      </w:r>
      <w:r w:rsidR="009510A9" w:rsidRPr="00C20282">
        <w:t xml:space="preserve">the difference between the 2014 saving differences between what SDG&amp;E filed in the AL and with the ED central server and </w:t>
      </w:r>
      <w:r w:rsidRPr="00C20282">
        <w:t>the 2013 expenditure true up from the 2013 UAFCB audit.</w:t>
      </w:r>
    </w:p>
    <w:p w14:paraId="57F5F607" w14:textId="77777777" w:rsidR="000D5EA1" w:rsidRDefault="000D5EA1" w:rsidP="00705F19">
      <w:pPr>
        <w:numPr>
          <w:ilvl w:val="0"/>
          <w:numId w:val="4"/>
        </w:numPr>
        <w:spacing w:after="120"/>
      </w:pPr>
      <w:r>
        <w:lastRenderedPageBreak/>
        <w:t>PG&amp;E’s filed incentive amount for the second part of program year 2013 Energy Efficiency Incentive awards i</w:t>
      </w:r>
      <w:r w:rsidR="00920521">
        <w:t>s</w:t>
      </w:r>
      <w:r>
        <w:t xml:space="preserve"> consistent with D.13-09-023 and appropriately adjusts the 2013 earnings in response to the 2013 UAFCB audit.</w:t>
      </w:r>
    </w:p>
    <w:p w14:paraId="57F5F608" w14:textId="32D9037C" w:rsidR="000D5EA1" w:rsidRDefault="000D5EA1" w:rsidP="000D5EA1">
      <w:pPr>
        <w:numPr>
          <w:ilvl w:val="0"/>
          <w:numId w:val="4"/>
        </w:numPr>
        <w:spacing w:after="120"/>
      </w:pPr>
      <w:r>
        <w:t xml:space="preserve">SDG&amp;E’s filed incentive amount for the second part of program year </w:t>
      </w:r>
      <w:r w:rsidR="001341E5">
        <w:br/>
      </w:r>
      <w:r>
        <w:t>2013 Energ</w:t>
      </w:r>
      <w:r w:rsidR="00920521">
        <w:t>y Efficiency Incentive awards is</w:t>
      </w:r>
      <w:r>
        <w:t xml:space="preserve"> consistent with D.13-09-023</w:t>
      </w:r>
      <w:r w:rsidR="00920521">
        <w:t xml:space="preserve">; the </w:t>
      </w:r>
      <w:r>
        <w:t>adjust</w:t>
      </w:r>
      <w:r w:rsidR="00920521">
        <w:t>ment to</w:t>
      </w:r>
      <w:r>
        <w:t xml:space="preserve"> the 2013 earnings in response to the 2013 UAFCB audit</w:t>
      </w:r>
      <w:r w:rsidR="00920521">
        <w:t xml:space="preserve"> will be addressed with the 201</w:t>
      </w:r>
      <w:r w:rsidR="00144FD4">
        <w:t>3</w:t>
      </w:r>
      <w:r w:rsidR="00920521">
        <w:t xml:space="preserve"> incentive earnings in this </w:t>
      </w:r>
      <w:r w:rsidR="007514B4">
        <w:t>R</w:t>
      </w:r>
      <w:r w:rsidR="00920521">
        <w:t>esolution</w:t>
      </w:r>
      <w:r>
        <w:t>.</w:t>
      </w:r>
    </w:p>
    <w:p w14:paraId="57F5F609" w14:textId="77777777" w:rsidR="000D5EA1" w:rsidRDefault="000D5EA1" w:rsidP="000D5EA1">
      <w:pPr>
        <w:numPr>
          <w:ilvl w:val="0"/>
          <w:numId w:val="4"/>
        </w:numPr>
        <w:spacing w:after="120"/>
      </w:pPr>
      <w:r w:rsidRPr="008F03DC">
        <w:t>SoCalGas’s</w:t>
      </w:r>
      <w:r>
        <w:t xml:space="preserve"> filed incentive amount for the second part of program year </w:t>
      </w:r>
      <w:r w:rsidR="001341E5">
        <w:br/>
      </w:r>
      <w:r>
        <w:t>2013 Energ</w:t>
      </w:r>
      <w:r w:rsidR="00920521">
        <w:t>y Efficiency Incentive awards is</w:t>
      </w:r>
      <w:r>
        <w:t xml:space="preserve"> consistent with D.13-09-023.</w:t>
      </w:r>
    </w:p>
    <w:p w14:paraId="57F5F60A" w14:textId="77777777" w:rsidR="000D5EA1" w:rsidRDefault="000D5EA1" w:rsidP="000D5EA1">
      <w:pPr>
        <w:numPr>
          <w:ilvl w:val="0"/>
          <w:numId w:val="4"/>
        </w:numPr>
        <w:spacing w:after="120"/>
      </w:pPr>
      <w:r w:rsidRPr="008F03DC">
        <w:t>S</w:t>
      </w:r>
      <w:r>
        <w:t>CE’</w:t>
      </w:r>
      <w:r w:rsidRPr="008F03DC">
        <w:t>s</w:t>
      </w:r>
      <w:r>
        <w:t xml:space="preserve"> filed incentive amount for the second part of program year </w:t>
      </w:r>
      <w:r w:rsidR="001341E5">
        <w:br/>
      </w:r>
      <w:r>
        <w:t>2013 Energy Efficiency Incentive awards i</w:t>
      </w:r>
      <w:r w:rsidR="00920521">
        <w:t>s</w:t>
      </w:r>
      <w:r>
        <w:t xml:space="preserve"> consistent with D.13-09-023.</w:t>
      </w:r>
    </w:p>
    <w:p w14:paraId="57F5F60B" w14:textId="4A676943" w:rsidR="00920521" w:rsidRDefault="00920521" w:rsidP="00705F19">
      <w:pPr>
        <w:numPr>
          <w:ilvl w:val="0"/>
          <w:numId w:val="4"/>
        </w:numPr>
        <w:spacing w:after="120"/>
      </w:pPr>
      <w:r>
        <w:t xml:space="preserve">The issue of revising the “hard-to-reach” definition is outside the scope of this </w:t>
      </w:r>
      <w:r w:rsidR="007514B4">
        <w:t>R</w:t>
      </w:r>
      <w:r>
        <w:t xml:space="preserve">esolution and should be addressed in </w:t>
      </w:r>
      <w:r w:rsidRPr="005D4460">
        <w:t>a subsequent phase of the Energy Efficiency proceeding, R.13-11-005.</w:t>
      </w:r>
    </w:p>
    <w:p w14:paraId="57F5F60C" w14:textId="77777777" w:rsidR="00705F19" w:rsidRDefault="00705F19" w:rsidP="00705F19">
      <w:pPr>
        <w:numPr>
          <w:ilvl w:val="0"/>
          <w:numId w:val="4"/>
        </w:numPr>
        <w:spacing w:after="120"/>
      </w:pPr>
      <w:r w:rsidRPr="001E1E35">
        <w:t xml:space="preserve">No protests were filed for </w:t>
      </w:r>
      <w:r>
        <w:t>PG&amp;E AL 3606-G/4659-E, SCE AL 3240-E, SoCalGas AL 4826, SDG&amp;E AL 2764-E/2396-G</w:t>
      </w:r>
      <w:r w:rsidRPr="001E1E35">
        <w:t xml:space="preserve">.  </w:t>
      </w:r>
    </w:p>
    <w:p w14:paraId="57F5F60D" w14:textId="77777777" w:rsidR="000D5EA1" w:rsidRDefault="00920521" w:rsidP="00705F19">
      <w:pPr>
        <w:numPr>
          <w:ilvl w:val="0"/>
          <w:numId w:val="4"/>
        </w:numPr>
        <w:spacing w:after="120"/>
      </w:pPr>
      <w:r>
        <w:t xml:space="preserve">No protests </w:t>
      </w:r>
      <w:r w:rsidR="000D5EA1">
        <w:t>were filed for PG&amp;E AL 3632-G/4705-E, SCE AL 3271-E,  SoCalGas AL 4859, and SDG&amp;E AL 2788-E/2417-G</w:t>
      </w:r>
      <w:r w:rsidR="001341E5">
        <w:t>.</w:t>
      </w:r>
    </w:p>
    <w:p w14:paraId="57F5F60E" w14:textId="77777777" w:rsidR="00705F19" w:rsidRDefault="00705F19" w:rsidP="00705F19">
      <w:pPr>
        <w:numPr>
          <w:ilvl w:val="0"/>
          <w:numId w:val="4"/>
        </w:numPr>
        <w:spacing w:after="120"/>
      </w:pPr>
      <w:r>
        <w:t xml:space="preserve">This Resolution approves the program year 2014 incentive awards </w:t>
      </w:r>
      <w:r w:rsidR="009510A9">
        <w:t xml:space="preserve">(excluding awards for savings from custom projects and “uncertainty list” measures) </w:t>
      </w:r>
      <w:r>
        <w:t>with modifications.</w:t>
      </w:r>
    </w:p>
    <w:p w14:paraId="57F5F60F" w14:textId="77777777" w:rsidR="00253603" w:rsidRDefault="000D5EA1" w:rsidP="00253603">
      <w:pPr>
        <w:numPr>
          <w:ilvl w:val="0"/>
          <w:numId w:val="4"/>
        </w:numPr>
        <w:spacing w:after="120"/>
      </w:pPr>
      <w:r>
        <w:t>This Resolution approves the awards for the second part of program year 2013 Energy Efficiency Incentive</w:t>
      </w:r>
      <w:r w:rsidR="009510A9">
        <w:t xml:space="preserve"> (award savings from custom projects and “uncertainty list” measures and 2013 “true up”)</w:t>
      </w:r>
      <w:r>
        <w:t>.</w:t>
      </w:r>
    </w:p>
    <w:p w14:paraId="57F5F610" w14:textId="7C3E1889" w:rsidR="009B25F2" w:rsidRPr="00CE3E99" w:rsidRDefault="009B25F2" w:rsidP="00253603">
      <w:pPr>
        <w:numPr>
          <w:ilvl w:val="0"/>
          <w:numId w:val="4"/>
        </w:numPr>
        <w:spacing w:after="120"/>
      </w:pPr>
      <w:r>
        <w:t>PGE’s comments on this draft R</w:t>
      </w:r>
      <w:r w:rsidRPr="00CE3E99">
        <w:t>esolution</w:t>
      </w:r>
      <w:r>
        <w:t xml:space="preserve"> approve the incentive award for the second part of the PY 2013</w:t>
      </w:r>
      <w:r w:rsidRPr="00CE3E99">
        <w:t xml:space="preserve">, but request a correction to the </w:t>
      </w:r>
      <w:r>
        <w:t xml:space="preserve">energy savings, energy efficiency expenditures true-up, and Codes and Standards expenditures portions of the first part of the PY 2014 awards. </w:t>
      </w:r>
      <w:r w:rsidRPr="00CE3E99">
        <w:t xml:space="preserve">PG&amp;E requests </w:t>
      </w:r>
      <w:r>
        <w:t>that the energy savings award</w:t>
      </w:r>
      <w:r w:rsidRPr="00CE3E99">
        <w:t xml:space="preserve"> in the draft Resolution </w:t>
      </w:r>
      <w:r>
        <w:t xml:space="preserve">should not be adjusted using a NTG value of 3/4 and </w:t>
      </w:r>
      <w:r w:rsidRPr="00CE3E99">
        <w:t>instead use the values a</w:t>
      </w:r>
      <w:r>
        <w:t xml:space="preserve">dopted in approved workpapers. </w:t>
      </w:r>
      <w:r w:rsidR="00253603" w:rsidRPr="00CE3E99">
        <w:t>PG&amp;E</w:t>
      </w:r>
      <w:r w:rsidR="00253603">
        <w:t xml:space="preserve"> states</w:t>
      </w:r>
      <w:r w:rsidR="00253603" w:rsidRPr="00CE3E99">
        <w:t xml:space="preserve"> </w:t>
      </w:r>
      <w:r w:rsidR="00253603">
        <w:t>that the expenditure true-ups from the 2013 UAFCB audit are unnecessary for the award calculation in the draft Resolution and request the true-up to be removed.</w:t>
      </w:r>
      <w:r w:rsidR="000E2B27" w:rsidRPr="000E2B27">
        <w:t xml:space="preserve"> </w:t>
      </w:r>
      <w:r w:rsidR="000E2B27" w:rsidRPr="00CE3E99">
        <w:t xml:space="preserve">PG&amp;E requests </w:t>
      </w:r>
      <w:r w:rsidR="000E2B27">
        <w:t xml:space="preserve">that C&amp;S </w:t>
      </w:r>
      <w:r w:rsidR="000E2B27">
        <w:lastRenderedPageBreak/>
        <w:t>Award Cap to be removed for Component 3 of the PY 2014 award to recover the reduction of $ 163,456.</w:t>
      </w:r>
    </w:p>
    <w:p w14:paraId="57F5F611" w14:textId="77777777" w:rsidR="00253603" w:rsidRDefault="000E2B27" w:rsidP="00253603">
      <w:pPr>
        <w:numPr>
          <w:ilvl w:val="0"/>
          <w:numId w:val="4"/>
        </w:numPr>
        <w:spacing w:after="120"/>
      </w:pPr>
      <w:r w:rsidRPr="00CE3E99">
        <w:t>This Resolution rejects PG&amp;E’s comments related to energy savings and makes no adjustments to the savings-related incentives i</w:t>
      </w:r>
      <w:r>
        <w:t>n response to PG&amp;E’s comments.</w:t>
      </w:r>
      <w:r w:rsidRPr="00253603">
        <w:t xml:space="preserve"> </w:t>
      </w:r>
      <w:r w:rsidR="009B25F2">
        <w:t>Staff</w:t>
      </w:r>
      <w:r w:rsidR="009B25F2" w:rsidRPr="00CE3E99">
        <w:t xml:space="preserve"> do</w:t>
      </w:r>
      <w:r w:rsidR="009B25F2">
        <w:t>es</w:t>
      </w:r>
      <w:r w:rsidR="009B25F2" w:rsidRPr="00CE3E99">
        <w:t xml:space="preserve"> not remove the NTG adjustments applied in this Resolution because PG&amp;E did not provide adequate documentation as to why the values should not be adjusted.  </w:t>
      </w:r>
      <w:r w:rsidR="009B25F2">
        <w:t>Staff</w:t>
      </w:r>
      <w:r w:rsidR="009B25F2" w:rsidRPr="00CE3E99">
        <w:t xml:space="preserve"> consider</w:t>
      </w:r>
      <w:r w:rsidR="009B25F2">
        <w:t>s</w:t>
      </w:r>
      <w:r w:rsidR="009B25F2" w:rsidRPr="00CE3E99">
        <w:t xml:space="preserve"> the application of three-quarters of the potential NTG adjustments to be a conservative application of the findings of the </w:t>
      </w:r>
      <w:r w:rsidR="009B25F2">
        <w:t xml:space="preserve">claims review. </w:t>
      </w:r>
    </w:p>
    <w:p w14:paraId="57F5F612" w14:textId="77777777" w:rsidR="00253603" w:rsidRDefault="00253603" w:rsidP="00253603">
      <w:pPr>
        <w:numPr>
          <w:ilvl w:val="0"/>
          <w:numId w:val="4"/>
        </w:numPr>
        <w:spacing w:after="120"/>
      </w:pPr>
      <w:r w:rsidRPr="00CE3E99">
        <w:t xml:space="preserve">This Resolution </w:t>
      </w:r>
      <w:r>
        <w:t xml:space="preserve">rejects some of </w:t>
      </w:r>
      <w:r w:rsidRPr="00CE3E99">
        <w:t>PG</w:t>
      </w:r>
      <w:r>
        <w:t>&amp;E’s comments related to expenditure true-up</w:t>
      </w:r>
      <w:r w:rsidRPr="00CE3E99">
        <w:t xml:space="preserve"> </w:t>
      </w:r>
      <w:r>
        <w:t>and</w:t>
      </w:r>
      <w:r w:rsidRPr="00CE3E99">
        <w:t xml:space="preserve"> makes adjustments to the </w:t>
      </w:r>
      <w:r>
        <w:t>expenditure</w:t>
      </w:r>
      <w:r w:rsidRPr="00CE3E99">
        <w:t>-related incentives.</w:t>
      </w:r>
      <w:r>
        <w:t xml:space="preserve"> The PY 2014 award is adjusted upward by $ 397,165.</w:t>
      </w:r>
      <w:r w:rsidRPr="00CE3E99">
        <w:t xml:space="preserve">  </w:t>
      </w:r>
      <w:r>
        <w:t>Table 7 will not be removed from the Resolution as there is still a discrepancy between 2013 PG&amp;E reported expenditure for the ESPI and the findings of the 2013 Audit. Staff finds that Component 2 of the PY 2014 award is adjusted upwards by $ 21,495 to account for the 2013 Audit true-up. Staff also finds that is there no true-up necessary for Component 3 and 4 of the PY 2014 award.</w:t>
      </w:r>
    </w:p>
    <w:p w14:paraId="57F5F613" w14:textId="77777777" w:rsidR="000E2B27" w:rsidRDefault="000E2B27" w:rsidP="000E2B27">
      <w:pPr>
        <w:pStyle w:val="ListParagraph"/>
        <w:numPr>
          <w:ilvl w:val="0"/>
          <w:numId w:val="4"/>
        </w:numPr>
      </w:pPr>
      <w:r>
        <w:t>PG&amp;E states that the cap in D.13-09-023 is placed on an undefined term of authorized expenditures. PG&amp;E shifted $ 700,000 into the C&amp;S Program after a hard cap was set in 2013 and the $ 700,000 should be used to adjust the cap upwards as funds shifted within fund-shifting rules are authorized expenditures.</w:t>
      </w:r>
    </w:p>
    <w:p w14:paraId="706D0D9C" w14:textId="77777777" w:rsidR="00AC4BF3" w:rsidRDefault="00AC4BF3" w:rsidP="00AC4BF3">
      <w:pPr>
        <w:pStyle w:val="ListParagraph"/>
        <w:ind w:left="420"/>
      </w:pPr>
    </w:p>
    <w:p w14:paraId="57F5F614" w14:textId="68B33E7F" w:rsidR="000E2B27" w:rsidRDefault="000E2B27" w:rsidP="000E2B27">
      <w:pPr>
        <w:pStyle w:val="ListParagraph"/>
        <w:numPr>
          <w:ilvl w:val="0"/>
          <w:numId w:val="4"/>
        </w:numPr>
      </w:pPr>
      <w:r w:rsidRPr="00CE3E99">
        <w:t xml:space="preserve">This Resolution rejects PG&amp;E’s comments related to </w:t>
      </w:r>
      <w:r>
        <w:t>C&amp;S Award Cap</w:t>
      </w:r>
      <w:r w:rsidRPr="00CE3E99">
        <w:t xml:space="preserve"> and makes no adjustments to the </w:t>
      </w:r>
      <w:r>
        <w:t>C&amp;S expenditure</w:t>
      </w:r>
      <w:r w:rsidRPr="00CE3E99">
        <w:t xml:space="preserve"> incentives in response to PG&amp;E’s comments.</w:t>
      </w:r>
      <w:r>
        <w:t xml:space="preserve"> </w:t>
      </w:r>
      <w:r w:rsidR="00D61C40">
        <w:t>The C&amp;S award cap is adopted in D.13-09-023 and will not be adjusted in this Resolution</w:t>
      </w:r>
      <w:r>
        <w:t xml:space="preserve">.   </w:t>
      </w:r>
    </w:p>
    <w:p w14:paraId="57F5F615" w14:textId="77777777" w:rsidR="000E2B27" w:rsidRDefault="000E2B27" w:rsidP="000E2B27">
      <w:pPr>
        <w:pStyle w:val="ListParagraph"/>
        <w:ind w:left="420"/>
      </w:pPr>
      <w:r>
        <w:t xml:space="preserve">    </w:t>
      </w:r>
      <w:r w:rsidRPr="00CE3E99">
        <w:t xml:space="preserve">  </w:t>
      </w:r>
    </w:p>
    <w:p w14:paraId="57F5F616" w14:textId="77777777" w:rsidR="00F67C40" w:rsidRPr="00CE3E99" w:rsidRDefault="00F67C40" w:rsidP="000E2B27">
      <w:pPr>
        <w:numPr>
          <w:ilvl w:val="0"/>
          <w:numId w:val="4"/>
        </w:numPr>
        <w:spacing w:after="120"/>
      </w:pPr>
      <w:r w:rsidRPr="00CE3E99">
        <w:t xml:space="preserve">SoCalGas’ comments note that SoCalGas recommends that the ESPI process would benefit from additional collaboration and transparency so the discrepancies and irregularities between the information of Energy Division and SoCalGas can be communicated earlier in the process. </w:t>
      </w:r>
    </w:p>
    <w:p w14:paraId="57F5F617" w14:textId="77777777" w:rsidR="00402019" w:rsidRDefault="00F67C40" w:rsidP="006A6ABE">
      <w:pPr>
        <w:numPr>
          <w:ilvl w:val="0"/>
          <w:numId w:val="4"/>
        </w:numPr>
        <w:spacing w:after="120"/>
      </w:pPr>
      <w:r w:rsidRPr="00CE3E99">
        <w:t xml:space="preserve">Staff supports improving the ESPI process with additional collaboration and transparency with the utilities. </w:t>
      </w:r>
    </w:p>
    <w:p w14:paraId="22B01DC6" w14:textId="57E29A78" w:rsidR="00AC4BF3" w:rsidRDefault="00AC4BF3" w:rsidP="00AC4BF3">
      <w:pPr>
        <w:pStyle w:val="ListParagraph"/>
        <w:numPr>
          <w:ilvl w:val="0"/>
          <w:numId w:val="4"/>
        </w:numPr>
      </w:pPr>
      <w:r>
        <w:lastRenderedPageBreak/>
        <w:t xml:space="preserve">SoCalGas </w:t>
      </w:r>
      <w:r w:rsidRPr="00CE3E99">
        <w:t>identified three technical changes in it PY 2014 energy savings that shoul</w:t>
      </w:r>
      <w:r>
        <w:t>d be made in the Resolution: 1. Home Upgrade Program, 2.</w:t>
      </w:r>
      <w:r w:rsidRPr="00CE3E99">
        <w:t xml:space="preserve"> Thermostatic Valve </w:t>
      </w:r>
      <w:r>
        <w:t>with 1.6 GPM Showerhead, and 3.</w:t>
      </w:r>
      <w:r w:rsidRPr="00CE3E99">
        <w:t xml:space="preserve"> EUL/RUL changes for Tank Insulation.</w:t>
      </w:r>
    </w:p>
    <w:p w14:paraId="346FF974" w14:textId="77777777" w:rsidR="00AC4BF3" w:rsidRDefault="00AC4BF3" w:rsidP="00AC4BF3">
      <w:pPr>
        <w:pStyle w:val="ListParagraph"/>
        <w:ind w:left="420"/>
      </w:pPr>
    </w:p>
    <w:p w14:paraId="57F5F619" w14:textId="61DEE7C8" w:rsidR="00ED0465" w:rsidRDefault="00AC4BF3" w:rsidP="00AC4BF3">
      <w:pPr>
        <w:pStyle w:val="ListParagraph"/>
        <w:numPr>
          <w:ilvl w:val="0"/>
          <w:numId w:val="4"/>
        </w:numPr>
      </w:pPr>
      <w:r w:rsidRPr="00BE4F61">
        <w:t xml:space="preserve">This Resolution rejects SoCalGas’s comments related to </w:t>
      </w:r>
      <w:r>
        <w:t>the technical changes</w:t>
      </w:r>
      <w:r w:rsidRPr="00BE4F61">
        <w:t xml:space="preserve"> and makes no adjustments to the savings-related incentives.</w:t>
      </w:r>
      <w:r>
        <w:t xml:space="preserve"> </w:t>
      </w:r>
      <w:r w:rsidR="00402019">
        <w:t>Staff finds that the Uncertain Measures List includes all Home Upgrade Program Projects so the savings cannot be claimed</w:t>
      </w:r>
      <w:r w:rsidR="00D61C40">
        <w:t xml:space="preserve"> on an ex ante basis</w:t>
      </w:r>
      <w:r w:rsidR="00402019">
        <w:t>. In add</w:t>
      </w:r>
      <w:r w:rsidR="00ED0465">
        <w:t>ition, SoCalGas shall</w:t>
      </w:r>
      <w:r w:rsidR="00402019">
        <w:t xml:space="preserve"> clarify whether or not those projects are deemed or custom and how the savings are calculated</w:t>
      </w:r>
      <w:r w:rsidR="00ED0465">
        <w:t xml:space="preserve"> in their next ESPI application</w:t>
      </w:r>
      <w:r w:rsidR="00402019">
        <w:t>.</w:t>
      </w:r>
      <w:r>
        <w:t xml:space="preserve"> Staff also finds that the Thermostatic Valve with 1.6 GPM Showerhead is on the Uncertain Measures List so the savings cannot be claimed on an ex ante basis. Staff review the methodology for EUL/RUL for Tank Insulation measures and finds that no changes are necessary. </w:t>
      </w:r>
      <w:r w:rsidR="00402019">
        <w:t xml:space="preserve"> </w:t>
      </w:r>
    </w:p>
    <w:p w14:paraId="3C33144B" w14:textId="77777777" w:rsidR="00AC4BF3" w:rsidRPr="00CE3E99" w:rsidRDefault="00AC4BF3" w:rsidP="00AC4BF3"/>
    <w:p w14:paraId="57F5F61A" w14:textId="77777777" w:rsidR="00F67C40" w:rsidRPr="00CE3E99" w:rsidRDefault="00F67C40" w:rsidP="00F67C40">
      <w:pPr>
        <w:numPr>
          <w:ilvl w:val="0"/>
          <w:numId w:val="4"/>
        </w:numPr>
        <w:spacing w:after="120"/>
      </w:pPr>
      <w:r w:rsidRPr="00CE3E99">
        <w:t>SDG&amp;E’s comments on the Draft Resolution state that it disagrees with the adjustment that resulted from the UAFCB examination of SDG&amp;E’s PY 2013 expenditures. SDG&amp;E disagrees with the treatment that the $3,003 award reduction should be made in the PY 2014 incentive award.</w:t>
      </w:r>
    </w:p>
    <w:p w14:paraId="57F5F61B" w14:textId="77777777" w:rsidR="00CE3E99" w:rsidRPr="006A6ABE" w:rsidRDefault="00F67C40" w:rsidP="006A6ABE">
      <w:pPr>
        <w:numPr>
          <w:ilvl w:val="0"/>
          <w:numId w:val="4"/>
        </w:numPr>
        <w:spacing w:after="120"/>
      </w:pPr>
      <w:r w:rsidRPr="00CE3E99">
        <w:t>The Resolution adjusts SDG&amp;E’s incentive awards so the final PY 2013 second ESPI incentive award is $2,824,209 and the final PY 2014 first ESPI incentive award is $3,724,831.</w:t>
      </w:r>
    </w:p>
    <w:p w14:paraId="57F5F61C" w14:textId="77777777" w:rsidR="00F67C40" w:rsidRDefault="00CE3E99" w:rsidP="006A6ABE">
      <w:pPr>
        <w:numPr>
          <w:ilvl w:val="0"/>
          <w:numId w:val="4"/>
        </w:numPr>
        <w:spacing w:after="120"/>
      </w:pPr>
      <w:r w:rsidRPr="00CE3E99">
        <w:t xml:space="preserve">SDG&amp;E is also concerned with how the NTG recommendation in adjusting deemed energy savings would be applicable at the customer or participant level versus the measure or program level. </w:t>
      </w:r>
    </w:p>
    <w:p w14:paraId="57F5F61D" w14:textId="77777777" w:rsidR="006A6ABE" w:rsidRDefault="006A6ABE" w:rsidP="006A6ABE">
      <w:pPr>
        <w:numPr>
          <w:ilvl w:val="0"/>
          <w:numId w:val="4"/>
        </w:numPr>
        <w:spacing w:after="120"/>
      </w:pPr>
      <w:r w:rsidRPr="004F7BE6">
        <w:t>Staff believes that defining if savings should be claimed at the measure or program level versus at the customer or participant level is out of the scope of the Resolution. Staff does not support change the accounting process adopted in D.13-09-023.</w:t>
      </w:r>
    </w:p>
    <w:p w14:paraId="57F5F61E" w14:textId="77777777" w:rsidR="009510A9" w:rsidRPr="009510A9" w:rsidRDefault="009510A9" w:rsidP="009510A9">
      <w:pPr>
        <w:spacing w:after="120"/>
        <w:ind w:left="420"/>
      </w:pPr>
    </w:p>
    <w:p w14:paraId="57F5F61F" w14:textId="77777777" w:rsidR="00705F19" w:rsidRPr="008A3B7B" w:rsidRDefault="00705F19" w:rsidP="008A3B7B">
      <w:pPr>
        <w:pStyle w:val="Heading1"/>
      </w:pPr>
      <w:r w:rsidRPr="001504B2">
        <w:t>Therefore it is ordered that:</w:t>
      </w:r>
    </w:p>
    <w:p w14:paraId="57F5F620" w14:textId="754040DE" w:rsidR="00705F19" w:rsidRDefault="00705F19" w:rsidP="00705F19">
      <w:pPr>
        <w:numPr>
          <w:ilvl w:val="0"/>
          <w:numId w:val="5"/>
        </w:numPr>
        <w:spacing w:after="120"/>
        <w:rPr>
          <w:snapToGrid w:val="0"/>
        </w:rPr>
      </w:pPr>
      <w:r>
        <w:rPr>
          <w:snapToGrid w:val="0"/>
        </w:rPr>
        <w:t xml:space="preserve">The request of Pacific Gas and Electric Company (PG&amp;E) for Energy Efficiency Incentive award as made in Advice Letter </w:t>
      </w:r>
      <w:r>
        <w:t>3606-G/4659-E is</w:t>
      </w:r>
      <w:r>
        <w:rPr>
          <w:snapToGrid w:val="0"/>
        </w:rPr>
        <w:t xml:space="preserve"> </w:t>
      </w:r>
      <w:r>
        <w:rPr>
          <w:snapToGrid w:val="0"/>
        </w:rPr>
        <w:lastRenderedPageBreak/>
        <w:t xml:space="preserve">modified from the original request. PG&amp;E is awarded $ </w:t>
      </w:r>
      <w:r w:rsidR="00BE4F61">
        <w:rPr>
          <w:snapToGrid w:val="0"/>
        </w:rPr>
        <w:t>10,34</w:t>
      </w:r>
      <w:r w:rsidR="00F67C40">
        <w:rPr>
          <w:snapToGrid w:val="0"/>
        </w:rPr>
        <w:t>2,142</w:t>
      </w:r>
      <w:r>
        <w:rPr>
          <w:snapToGrid w:val="0"/>
        </w:rPr>
        <w:t xml:space="preserve"> for the </w:t>
      </w:r>
      <w:r w:rsidR="001B3214">
        <w:rPr>
          <w:snapToGrid w:val="0"/>
        </w:rPr>
        <w:t>program year 2014</w:t>
      </w:r>
      <w:r>
        <w:rPr>
          <w:snapToGrid w:val="0"/>
        </w:rPr>
        <w:t xml:space="preserve"> Efficiency Savings and Performance Incentive (ESPI) award.  </w:t>
      </w:r>
    </w:p>
    <w:p w14:paraId="57F5F621" w14:textId="3D0583A7" w:rsidR="00705F19" w:rsidRDefault="00705F19" w:rsidP="00705F19">
      <w:pPr>
        <w:numPr>
          <w:ilvl w:val="0"/>
          <w:numId w:val="5"/>
        </w:numPr>
        <w:spacing w:after="120"/>
        <w:rPr>
          <w:snapToGrid w:val="0"/>
        </w:rPr>
      </w:pPr>
      <w:r>
        <w:rPr>
          <w:snapToGrid w:val="0"/>
        </w:rPr>
        <w:t xml:space="preserve">Pacific Gas and Electric Company (PG&amp;E) is authorized to record its </w:t>
      </w:r>
      <w:r w:rsidR="001341E5">
        <w:rPr>
          <w:snapToGrid w:val="0"/>
        </w:rPr>
        <w:br/>
      </w:r>
      <w:r>
        <w:rPr>
          <w:snapToGrid w:val="0"/>
        </w:rPr>
        <w:t xml:space="preserve">2014 incentive award totaling $ </w:t>
      </w:r>
      <w:r w:rsidR="00BE4F61">
        <w:rPr>
          <w:snapToGrid w:val="0"/>
        </w:rPr>
        <w:t>10,34</w:t>
      </w:r>
      <w:r w:rsidR="00F67C40">
        <w:rPr>
          <w:snapToGrid w:val="0"/>
        </w:rPr>
        <w:t>2,142</w:t>
      </w:r>
      <w:r>
        <w:rPr>
          <w:snapToGrid w:val="0"/>
        </w:rPr>
        <w:t xml:space="preserve"> in its electric and gas balancing accounts according to the electric and gas net benefit factors allocating 2013-14 energy efficiency portfolio expenditures (82% electric, 18% gas) for recovery in its customer rates.</w:t>
      </w:r>
    </w:p>
    <w:p w14:paraId="57F5F622" w14:textId="4E810FA8" w:rsidR="00705F19" w:rsidRPr="000B05DC" w:rsidRDefault="00705F19" w:rsidP="00705F19">
      <w:pPr>
        <w:numPr>
          <w:ilvl w:val="0"/>
          <w:numId w:val="5"/>
        </w:numPr>
        <w:spacing w:after="120"/>
        <w:rPr>
          <w:snapToGrid w:val="0"/>
        </w:rPr>
      </w:pPr>
      <w:r>
        <w:rPr>
          <w:snapToGrid w:val="0"/>
        </w:rPr>
        <w:t xml:space="preserve">The request of Southern California Edison (SCE) for Energy Efficiency Incentive award as made in Advice Letter </w:t>
      </w:r>
      <w:r>
        <w:t>3240-E is</w:t>
      </w:r>
      <w:r>
        <w:rPr>
          <w:snapToGrid w:val="0"/>
        </w:rPr>
        <w:t xml:space="preserve"> modified from the original request. SCE is awarded $ </w:t>
      </w:r>
      <w:r w:rsidR="00F67C40">
        <w:rPr>
          <w:snapToGrid w:val="0"/>
        </w:rPr>
        <w:t>12,090,772</w:t>
      </w:r>
      <w:r>
        <w:rPr>
          <w:snapToGrid w:val="0"/>
        </w:rPr>
        <w:t xml:space="preserve"> for the program year </w:t>
      </w:r>
      <w:r w:rsidR="001341E5">
        <w:rPr>
          <w:snapToGrid w:val="0"/>
        </w:rPr>
        <w:br/>
      </w:r>
      <w:r>
        <w:rPr>
          <w:snapToGrid w:val="0"/>
        </w:rPr>
        <w:t xml:space="preserve">2014 Efficiency Savings and Performance Incentive (ESPI) award. The </w:t>
      </w:r>
      <w:r w:rsidR="001341E5">
        <w:rPr>
          <w:snapToGrid w:val="0"/>
        </w:rPr>
        <w:br/>
      </w:r>
      <w:r>
        <w:rPr>
          <w:snapToGrid w:val="0"/>
        </w:rPr>
        <w:t xml:space="preserve">$ </w:t>
      </w:r>
      <w:r w:rsidR="00F67C40">
        <w:rPr>
          <w:snapToGrid w:val="0"/>
        </w:rPr>
        <w:t>12,090,772</w:t>
      </w:r>
      <w:r w:rsidR="00500F55">
        <w:rPr>
          <w:snapToGrid w:val="0"/>
        </w:rPr>
        <w:t xml:space="preserve"> </w:t>
      </w:r>
      <w:r>
        <w:rPr>
          <w:snapToGrid w:val="0"/>
        </w:rPr>
        <w:t xml:space="preserve">award can be recovered in SCE’s rates through its Base Revenue Requirement Balancing Account for its rates effective in 2016.   </w:t>
      </w:r>
    </w:p>
    <w:p w14:paraId="57F5F623" w14:textId="48428A81" w:rsidR="00705F19" w:rsidRDefault="00705F19" w:rsidP="00705F19">
      <w:pPr>
        <w:numPr>
          <w:ilvl w:val="0"/>
          <w:numId w:val="5"/>
        </w:numPr>
        <w:spacing w:after="120"/>
        <w:rPr>
          <w:snapToGrid w:val="0"/>
        </w:rPr>
      </w:pPr>
      <w:r>
        <w:rPr>
          <w:snapToGrid w:val="0"/>
        </w:rPr>
        <w:t xml:space="preserve">The request of Southern California Gas Company (SoCalGas) for Energy Efficiency Incentive award as made in Advice Letter 4826 is modified from the original request. SoCalGas is awarded </w:t>
      </w:r>
      <w:r w:rsidR="001B3214">
        <w:rPr>
          <w:snapToGrid w:val="0"/>
        </w:rPr>
        <w:t xml:space="preserve">$ </w:t>
      </w:r>
      <w:r w:rsidR="008A3B7B">
        <w:rPr>
          <w:snapToGrid w:val="0"/>
        </w:rPr>
        <w:t>2,011,90</w:t>
      </w:r>
      <w:r w:rsidR="00F67C40">
        <w:rPr>
          <w:snapToGrid w:val="0"/>
        </w:rPr>
        <w:t>7</w:t>
      </w:r>
      <w:r w:rsidR="008A3B7B">
        <w:rPr>
          <w:snapToGrid w:val="0"/>
        </w:rPr>
        <w:t xml:space="preserve"> </w:t>
      </w:r>
      <w:r>
        <w:rPr>
          <w:snapToGrid w:val="0"/>
        </w:rPr>
        <w:t>for the program year 2014 ESPI award.</w:t>
      </w:r>
    </w:p>
    <w:p w14:paraId="57F5F624" w14:textId="3BC854F9" w:rsidR="00705F19" w:rsidRDefault="00705F19" w:rsidP="00705F19">
      <w:pPr>
        <w:numPr>
          <w:ilvl w:val="0"/>
          <w:numId w:val="5"/>
        </w:numPr>
        <w:spacing w:after="120"/>
        <w:rPr>
          <w:snapToGrid w:val="0"/>
        </w:rPr>
      </w:pPr>
      <w:r>
        <w:rPr>
          <w:snapToGrid w:val="0"/>
        </w:rPr>
        <w:t xml:space="preserve">Southern California Gas Company (SoCalGas) is authorized to record its </w:t>
      </w:r>
      <w:r w:rsidR="001341E5">
        <w:rPr>
          <w:snapToGrid w:val="0"/>
        </w:rPr>
        <w:br/>
      </w:r>
      <w:r>
        <w:rPr>
          <w:snapToGrid w:val="0"/>
        </w:rPr>
        <w:t xml:space="preserve">2014 incentive award totaling $ </w:t>
      </w:r>
      <w:r w:rsidR="008A3B7B">
        <w:rPr>
          <w:snapToGrid w:val="0"/>
        </w:rPr>
        <w:t>2,011,90</w:t>
      </w:r>
      <w:r w:rsidR="00F67C40">
        <w:rPr>
          <w:snapToGrid w:val="0"/>
        </w:rPr>
        <w:t>7</w:t>
      </w:r>
      <w:r>
        <w:rPr>
          <w:snapToGrid w:val="0"/>
        </w:rPr>
        <w:t xml:space="preserve"> in its Rewards and Penalties Balancing Account for recover in its core</w:t>
      </w:r>
      <w:r w:rsidR="001B3214">
        <w:rPr>
          <w:snapToGrid w:val="0"/>
        </w:rPr>
        <w:t xml:space="preserve"> (94%)</w:t>
      </w:r>
      <w:r>
        <w:rPr>
          <w:snapToGrid w:val="0"/>
        </w:rPr>
        <w:t xml:space="preserve"> and non-core </w:t>
      </w:r>
      <w:r w:rsidR="001B3214">
        <w:rPr>
          <w:snapToGrid w:val="0"/>
        </w:rPr>
        <w:t xml:space="preserve">(6%) </w:t>
      </w:r>
      <w:r>
        <w:rPr>
          <w:snapToGrid w:val="0"/>
        </w:rPr>
        <w:t>customer rates.</w:t>
      </w:r>
    </w:p>
    <w:p w14:paraId="57F5F625" w14:textId="71AA61F8" w:rsidR="00705F19" w:rsidRDefault="00705F19" w:rsidP="00705F19">
      <w:pPr>
        <w:numPr>
          <w:ilvl w:val="0"/>
          <w:numId w:val="5"/>
        </w:numPr>
        <w:spacing w:after="120"/>
        <w:rPr>
          <w:snapToGrid w:val="0"/>
        </w:rPr>
      </w:pPr>
      <w:r>
        <w:rPr>
          <w:snapToGrid w:val="0"/>
        </w:rPr>
        <w:t xml:space="preserve">The request of San Diego Gas and Electric Company (SDG&amp;E) for Energy Efficiency Incentive award as made in Advice Letter 2764-E/2396-G is modified from the original request. SDG&amp;E is awarded $ </w:t>
      </w:r>
      <w:r w:rsidR="00F67C40">
        <w:rPr>
          <w:snapToGrid w:val="0"/>
        </w:rPr>
        <w:t>3,724,831</w:t>
      </w:r>
      <w:r>
        <w:rPr>
          <w:snapToGrid w:val="0"/>
        </w:rPr>
        <w:t xml:space="preserve"> </w:t>
      </w:r>
      <w:r w:rsidRPr="0081176B">
        <w:rPr>
          <w:snapToGrid w:val="0"/>
        </w:rPr>
        <w:t>for</w:t>
      </w:r>
      <w:r>
        <w:rPr>
          <w:snapToGrid w:val="0"/>
        </w:rPr>
        <w:t xml:space="preserve"> the initial program year 2014 ESPI award.</w:t>
      </w:r>
    </w:p>
    <w:p w14:paraId="57F5F626" w14:textId="307D4AAD" w:rsidR="00705F19" w:rsidRDefault="00705F19" w:rsidP="00705F19">
      <w:pPr>
        <w:numPr>
          <w:ilvl w:val="0"/>
          <w:numId w:val="5"/>
        </w:numPr>
        <w:spacing w:after="120"/>
        <w:rPr>
          <w:snapToGrid w:val="0"/>
        </w:rPr>
      </w:pPr>
      <w:r>
        <w:rPr>
          <w:snapToGrid w:val="0"/>
        </w:rPr>
        <w:t xml:space="preserve">San Diego Gas &amp; Electric Company (SDG&amp;E) is authorized to record its </w:t>
      </w:r>
      <w:r w:rsidR="001341E5">
        <w:rPr>
          <w:snapToGrid w:val="0"/>
        </w:rPr>
        <w:br/>
      </w:r>
      <w:r>
        <w:rPr>
          <w:snapToGrid w:val="0"/>
        </w:rPr>
        <w:t xml:space="preserve">2014 incentive award totaling $ </w:t>
      </w:r>
      <w:r w:rsidR="00F67C40">
        <w:rPr>
          <w:snapToGrid w:val="0"/>
        </w:rPr>
        <w:t>3,724,831</w:t>
      </w:r>
      <w:r w:rsidR="008A3B7B">
        <w:rPr>
          <w:snapToGrid w:val="0"/>
        </w:rPr>
        <w:t xml:space="preserve"> </w:t>
      </w:r>
      <w:r>
        <w:rPr>
          <w:snapToGrid w:val="0"/>
        </w:rPr>
        <w:t xml:space="preserve">in its electric and gas Rewards and Penalties Balancing Accounts. The 2014 incentive award will be allocated according to the authorized 2013-14 electric and gas budget split of </w:t>
      </w:r>
      <w:r w:rsidR="001341E5">
        <w:rPr>
          <w:snapToGrid w:val="0"/>
        </w:rPr>
        <w:br/>
      </w:r>
      <w:r>
        <w:rPr>
          <w:snapToGrid w:val="0"/>
        </w:rPr>
        <w:t>90% electric and 10% gas.</w:t>
      </w:r>
    </w:p>
    <w:p w14:paraId="57F5F627" w14:textId="77777777" w:rsidR="00342A8E" w:rsidRDefault="00AE775E" w:rsidP="00AE775E">
      <w:pPr>
        <w:numPr>
          <w:ilvl w:val="0"/>
          <w:numId w:val="5"/>
        </w:numPr>
        <w:spacing w:after="120"/>
        <w:rPr>
          <w:snapToGrid w:val="0"/>
        </w:rPr>
      </w:pPr>
      <w:r>
        <w:rPr>
          <w:snapToGrid w:val="0"/>
        </w:rPr>
        <w:t xml:space="preserve">The request of Pacific Gas and Electric Company (PG&amp;E) for Energy Efficiency Incentive award as made in Advice Letter </w:t>
      </w:r>
      <w:r w:rsidRPr="001B3214">
        <w:rPr>
          <w:snapToGrid w:val="0"/>
        </w:rPr>
        <w:t>3632-G/4705-E is</w:t>
      </w:r>
      <w:r>
        <w:rPr>
          <w:snapToGrid w:val="0"/>
        </w:rPr>
        <w:t xml:space="preserve"> </w:t>
      </w:r>
      <w:r>
        <w:rPr>
          <w:snapToGrid w:val="0"/>
        </w:rPr>
        <w:lastRenderedPageBreak/>
        <w:t xml:space="preserve">approved.  PG&amp;E is awarded $ 14,358,084 for the second part of the program year 2013 Efficiency Savings and Performance Incentive (ESPI) award. </w:t>
      </w:r>
    </w:p>
    <w:p w14:paraId="57F5F628" w14:textId="77777777" w:rsidR="005D4460" w:rsidRDefault="00342A8E" w:rsidP="005D4460">
      <w:pPr>
        <w:numPr>
          <w:ilvl w:val="0"/>
          <w:numId w:val="5"/>
        </w:numPr>
        <w:spacing w:after="120"/>
        <w:rPr>
          <w:snapToGrid w:val="0"/>
        </w:rPr>
      </w:pPr>
      <w:r>
        <w:rPr>
          <w:snapToGrid w:val="0"/>
        </w:rPr>
        <w:t>Pacific Gas and Electric Company (PG&amp;E) is authorized to allocate the second part of the 2013 incentive award totaling $ 14,358,084 to electric and gas customers  on a basis of the electric and gas net benefit factor of 82% electric and 18% gas.</w:t>
      </w:r>
    </w:p>
    <w:p w14:paraId="57F5F629" w14:textId="77777777" w:rsidR="00AE775E" w:rsidRPr="005D4460" w:rsidRDefault="00AE775E" w:rsidP="005D4460">
      <w:pPr>
        <w:numPr>
          <w:ilvl w:val="0"/>
          <w:numId w:val="5"/>
        </w:numPr>
        <w:spacing w:after="120"/>
        <w:rPr>
          <w:snapToGrid w:val="0"/>
        </w:rPr>
      </w:pPr>
      <w:r w:rsidRPr="005D4460">
        <w:rPr>
          <w:snapToGrid w:val="0"/>
        </w:rPr>
        <w:t>The request of Southern California Edison (SCE) for Energy Efficiency Incentive award as made in Advice Letter 3271-E is approved. SCE is awarded $ 10,455,223 for the second part of the program year 2013 Efficiency Savings and Performance Incentive (ESPI) award</w:t>
      </w:r>
      <w:r w:rsidR="00342A8E" w:rsidRPr="005D4460">
        <w:rPr>
          <w:snapToGrid w:val="0"/>
        </w:rPr>
        <w:t xml:space="preserve"> for recovery in 2016 rates.</w:t>
      </w:r>
      <w:r w:rsidRPr="005D4460">
        <w:rPr>
          <w:snapToGrid w:val="0"/>
        </w:rPr>
        <w:t xml:space="preserve">  </w:t>
      </w:r>
    </w:p>
    <w:p w14:paraId="57F5F62A" w14:textId="77777777" w:rsidR="00342A8E" w:rsidRDefault="00AE775E" w:rsidP="002041B3">
      <w:pPr>
        <w:numPr>
          <w:ilvl w:val="0"/>
          <w:numId w:val="5"/>
        </w:numPr>
        <w:spacing w:after="120"/>
        <w:rPr>
          <w:snapToGrid w:val="0"/>
        </w:rPr>
      </w:pPr>
      <w:r>
        <w:rPr>
          <w:snapToGrid w:val="0"/>
        </w:rPr>
        <w:t xml:space="preserve">The request of </w:t>
      </w:r>
      <w:r w:rsidRPr="00AE775E">
        <w:rPr>
          <w:snapToGrid w:val="0"/>
        </w:rPr>
        <w:t xml:space="preserve">Southern California Gas Company (SoCalGas) </w:t>
      </w:r>
      <w:r>
        <w:rPr>
          <w:snapToGrid w:val="0"/>
        </w:rPr>
        <w:t xml:space="preserve">for Energy Efficiency Incentive award as made in Advice Letter </w:t>
      </w:r>
      <w:r w:rsidRPr="001B3214">
        <w:rPr>
          <w:snapToGrid w:val="0"/>
        </w:rPr>
        <w:t xml:space="preserve">4859 is approved.  </w:t>
      </w:r>
      <w:r w:rsidR="002041B3" w:rsidRPr="002041B3">
        <w:rPr>
          <w:snapToGrid w:val="0"/>
        </w:rPr>
        <w:t xml:space="preserve">SoCalGas </w:t>
      </w:r>
      <w:r w:rsidR="002041B3">
        <w:rPr>
          <w:snapToGrid w:val="0"/>
        </w:rPr>
        <w:t>is awarded $ 2,141,962</w:t>
      </w:r>
      <w:r>
        <w:rPr>
          <w:snapToGrid w:val="0"/>
        </w:rPr>
        <w:t xml:space="preserve"> for the second part of the program year </w:t>
      </w:r>
      <w:r w:rsidR="001341E5">
        <w:rPr>
          <w:snapToGrid w:val="0"/>
        </w:rPr>
        <w:br/>
      </w:r>
      <w:r>
        <w:rPr>
          <w:snapToGrid w:val="0"/>
        </w:rPr>
        <w:t xml:space="preserve">2013 Efficiency Savings and Performance Incentive (ESPI) award. </w:t>
      </w:r>
    </w:p>
    <w:p w14:paraId="57F5F62B" w14:textId="77777777" w:rsidR="00AE775E" w:rsidRDefault="00342A8E" w:rsidP="002041B3">
      <w:pPr>
        <w:numPr>
          <w:ilvl w:val="0"/>
          <w:numId w:val="5"/>
        </w:numPr>
        <w:spacing w:after="120"/>
        <w:rPr>
          <w:snapToGrid w:val="0"/>
        </w:rPr>
      </w:pPr>
      <w:r>
        <w:rPr>
          <w:snapToGrid w:val="0"/>
        </w:rPr>
        <w:t>Southern California Gas Company (SoCalGas) is authorized to recover the second part of the 2013 incentive award totaling $ 2,141,962 in its core (94%) and non-core (6%) customer rates</w:t>
      </w:r>
      <w:r w:rsidR="00AE775E">
        <w:rPr>
          <w:snapToGrid w:val="0"/>
        </w:rPr>
        <w:t xml:space="preserve"> </w:t>
      </w:r>
      <w:r>
        <w:rPr>
          <w:snapToGrid w:val="0"/>
        </w:rPr>
        <w:t>of the annual Natural Gas Transportation Rate revenues table.</w:t>
      </w:r>
    </w:p>
    <w:p w14:paraId="42E7FFCF" w14:textId="77777777" w:rsidR="00B71954" w:rsidRDefault="00B71954">
      <w:pPr>
        <w:rPr>
          <w:snapToGrid w:val="0"/>
        </w:rPr>
      </w:pPr>
      <w:r>
        <w:rPr>
          <w:snapToGrid w:val="0"/>
        </w:rPr>
        <w:br w:type="page"/>
      </w:r>
    </w:p>
    <w:p w14:paraId="57F5F62C" w14:textId="7E32A12E" w:rsidR="001B3214" w:rsidRDefault="001B3214" w:rsidP="001008C5">
      <w:pPr>
        <w:numPr>
          <w:ilvl w:val="0"/>
          <w:numId w:val="5"/>
        </w:numPr>
        <w:spacing w:after="120"/>
        <w:rPr>
          <w:snapToGrid w:val="0"/>
        </w:rPr>
      </w:pPr>
      <w:r>
        <w:rPr>
          <w:snapToGrid w:val="0"/>
        </w:rPr>
        <w:lastRenderedPageBreak/>
        <w:t xml:space="preserve">The request of San Diego Gas &amp; Electric Company (SDG&amp;E) for Energy Efficiency Incentive award as made in Advice Letter </w:t>
      </w:r>
      <w:r w:rsidRPr="001B3214">
        <w:rPr>
          <w:snapToGrid w:val="0"/>
        </w:rPr>
        <w:t>2788-E/2417-G is</w:t>
      </w:r>
      <w:r>
        <w:rPr>
          <w:snapToGrid w:val="0"/>
        </w:rPr>
        <w:t xml:space="preserve"> modified from the original request. SDG&amp;E is awarded $ </w:t>
      </w:r>
      <w:r w:rsidR="001008C5" w:rsidRPr="001008C5">
        <w:rPr>
          <w:snapToGrid w:val="0"/>
        </w:rPr>
        <w:t>2,824,209</w:t>
      </w:r>
      <w:r>
        <w:rPr>
          <w:snapToGrid w:val="0"/>
        </w:rPr>
        <w:t>for the second part of the program year 2013 Efficiency Savings and Perfo</w:t>
      </w:r>
      <w:r w:rsidR="001341E5">
        <w:rPr>
          <w:snapToGrid w:val="0"/>
        </w:rPr>
        <w:t>rmance Incentive (ESPI) award.</w:t>
      </w:r>
    </w:p>
    <w:p w14:paraId="57F5F62D" w14:textId="775E5C84" w:rsidR="00342A8E" w:rsidRPr="00500F55" w:rsidRDefault="00342A8E" w:rsidP="001008C5">
      <w:pPr>
        <w:numPr>
          <w:ilvl w:val="0"/>
          <w:numId w:val="5"/>
        </w:numPr>
        <w:spacing w:after="120"/>
        <w:rPr>
          <w:snapToGrid w:val="0"/>
        </w:rPr>
      </w:pPr>
      <w:r>
        <w:rPr>
          <w:snapToGrid w:val="0"/>
        </w:rPr>
        <w:t xml:space="preserve">San Diego Gas &amp; Electric Company (SDG&amp;E) is authorized to record the second part of the 2013 incentive award totaling $ </w:t>
      </w:r>
      <w:r w:rsidR="001008C5" w:rsidRPr="001008C5">
        <w:rPr>
          <w:snapToGrid w:val="0"/>
        </w:rPr>
        <w:t>2,824,209</w:t>
      </w:r>
      <w:r>
        <w:rPr>
          <w:snapToGrid w:val="0"/>
        </w:rPr>
        <w:t>in its electric and gas Rewards and Penalties Balancing account as 90% electric and 10% gas.</w:t>
      </w:r>
    </w:p>
    <w:p w14:paraId="57F5F62E" w14:textId="77777777" w:rsidR="00AE775E" w:rsidRDefault="00895AC5" w:rsidP="001341E5">
      <w:pPr>
        <w:numPr>
          <w:ilvl w:val="0"/>
          <w:numId w:val="5"/>
        </w:numPr>
        <w:rPr>
          <w:snapToGrid w:val="0"/>
        </w:rPr>
      </w:pPr>
      <w:r>
        <w:rPr>
          <w:snapToGrid w:val="0"/>
        </w:rPr>
        <w:t xml:space="preserve">Commission staff may address the “hard-to-reach” definition in </w:t>
      </w:r>
      <w:r w:rsidRPr="005D4460">
        <w:t>a subsequent phase of the Energy Efficiency proceeding, R.13-11-005.</w:t>
      </w:r>
    </w:p>
    <w:p w14:paraId="57F5F62F" w14:textId="77777777" w:rsidR="00705F19" w:rsidRPr="008F03DC" w:rsidRDefault="00705F19" w:rsidP="00705F19">
      <w:pPr>
        <w:spacing w:after="120"/>
        <w:ind w:left="360"/>
        <w:rPr>
          <w:snapToGrid w:val="0"/>
        </w:rPr>
      </w:pPr>
    </w:p>
    <w:p w14:paraId="57F5F630" w14:textId="77777777" w:rsidR="00705F19" w:rsidRDefault="00705F19" w:rsidP="00705F19">
      <w:pPr>
        <w:tabs>
          <w:tab w:val="left" w:pos="720"/>
          <w:tab w:val="left" w:pos="1296"/>
          <w:tab w:val="left" w:pos="2016"/>
          <w:tab w:val="left" w:pos="2736"/>
          <w:tab w:val="left" w:pos="3456"/>
          <w:tab w:val="left" w:pos="4176"/>
          <w:tab w:val="left" w:pos="5760"/>
        </w:tabs>
      </w:pPr>
      <w:r>
        <w:t>This Resolution is effective today.</w:t>
      </w:r>
    </w:p>
    <w:p w14:paraId="57F5F631" w14:textId="77777777" w:rsidR="00705F19" w:rsidRDefault="00705F19" w:rsidP="00705F19">
      <w:pPr>
        <w:tabs>
          <w:tab w:val="left" w:pos="720"/>
          <w:tab w:val="left" w:pos="1296"/>
          <w:tab w:val="left" w:pos="2016"/>
          <w:tab w:val="left" w:pos="2736"/>
          <w:tab w:val="left" w:pos="3456"/>
          <w:tab w:val="left" w:pos="4176"/>
          <w:tab w:val="left" w:pos="5760"/>
        </w:tabs>
      </w:pPr>
    </w:p>
    <w:p w14:paraId="57F5F632" w14:textId="7A102910" w:rsidR="00705F19" w:rsidRDefault="00705F19" w:rsidP="00705F19">
      <w:pPr>
        <w:rPr>
          <w:snapToGrid w:val="0"/>
        </w:rPr>
      </w:pPr>
      <w:r>
        <w:rPr>
          <w:snapToGrid w:val="0"/>
        </w:rPr>
        <w:t xml:space="preserve">I certify that the foregoing </w:t>
      </w:r>
      <w:r w:rsidR="007514B4">
        <w:rPr>
          <w:snapToGrid w:val="0"/>
        </w:rPr>
        <w:t>R</w:t>
      </w:r>
      <w:r>
        <w:rPr>
          <w:snapToGrid w:val="0"/>
        </w:rPr>
        <w:t xml:space="preserve">esolution was duly introduced, passed and adopted at a conference of the Public Utilities Commission of the State of California held on </w:t>
      </w:r>
      <w:r w:rsidR="001B3214">
        <w:rPr>
          <w:snapToGrid w:val="0"/>
        </w:rPr>
        <w:t>December 3, 2015</w:t>
      </w:r>
      <w:r>
        <w:rPr>
          <w:snapToGrid w:val="0"/>
        </w:rPr>
        <w:t>; the following Commissioners voting favorably thereon:</w:t>
      </w:r>
    </w:p>
    <w:p w14:paraId="57F5F634" w14:textId="77777777" w:rsidR="00705F19" w:rsidRDefault="00705F19" w:rsidP="00705F19">
      <w:pPr>
        <w:tabs>
          <w:tab w:val="left" w:pos="720"/>
          <w:tab w:val="left" w:pos="1152"/>
          <w:tab w:val="left" w:pos="1728"/>
          <w:tab w:val="left" w:pos="3168"/>
          <w:tab w:val="left" w:pos="5040"/>
        </w:tabs>
        <w:ind w:right="144"/>
      </w:pPr>
    </w:p>
    <w:p w14:paraId="57F5F635" w14:textId="77777777" w:rsidR="00705F19" w:rsidRDefault="00705F19" w:rsidP="00705F19">
      <w:pPr>
        <w:tabs>
          <w:tab w:val="left" w:pos="720"/>
          <w:tab w:val="left" w:pos="1152"/>
          <w:tab w:val="left" w:pos="1728"/>
          <w:tab w:val="left" w:pos="3168"/>
          <w:tab w:val="left" w:pos="5040"/>
        </w:tabs>
        <w:ind w:right="144"/>
      </w:pPr>
    </w:p>
    <w:p w14:paraId="57F5F636" w14:textId="77777777" w:rsidR="00705F19" w:rsidRDefault="00705F19" w:rsidP="00705F19">
      <w:pPr>
        <w:tabs>
          <w:tab w:val="left" w:pos="720"/>
          <w:tab w:val="left" w:pos="1152"/>
          <w:tab w:val="left" w:pos="1728"/>
          <w:tab w:val="left" w:pos="3168"/>
          <w:tab w:val="left" w:pos="5040"/>
        </w:tabs>
        <w:ind w:right="144"/>
      </w:pPr>
    </w:p>
    <w:p w14:paraId="57F5F637" w14:textId="6F6E83C1" w:rsidR="00705F19" w:rsidRDefault="00705F19" w:rsidP="00705F19">
      <w:pPr>
        <w:tabs>
          <w:tab w:val="left" w:pos="720"/>
          <w:tab w:val="left" w:pos="1152"/>
          <w:tab w:val="left" w:pos="1728"/>
          <w:tab w:val="left" w:pos="3168"/>
          <w:tab w:val="left" w:pos="5040"/>
        </w:tabs>
        <w:ind w:right="144"/>
      </w:pPr>
      <w:r>
        <w:tab/>
      </w:r>
      <w:r>
        <w:tab/>
      </w:r>
      <w:r>
        <w:tab/>
      </w:r>
      <w:r>
        <w:tab/>
      </w:r>
      <w:r>
        <w:tab/>
        <w:t>_</w:t>
      </w:r>
      <w:r w:rsidR="00836AB3">
        <w:rPr>
          <w:u w:val="single"/>
        </w:rPr>
        <w:t>/s/ Timothy J. Sullivan</w:t>
      </w:r>
      <w:r>
        <w:t>__</w:t>
      </w:r>
    </w:p>
    <w:p w14:paraId="57F5F638" w14:textId="0C23DB16" w:rsidR="00705F19" w:rsidRDefault="00705F19" w:rsidP="00705F19">
      <w:r>
        <w:tab/>
      </w:r>
      <w:r>
        <w:tab/>
      </w:r>
      <w:r>
        <w:tab/>
      </w:r>
      <w:r>
        <w:tab/>
      </w:r>
      <w:r>
        <w:tab/>
      </w:r>
      <w:r>
        <w:tab/>
      </w:r>
      <w:r>
        <w:tab/>
      </w:r>
      <w:r w:rsidR="001341E5">
        <w:t>TIMOTHY J. SULLIVAN</w:t>
      </w:r>
    </w:p>
    <w:p w14:paraId="57F5F639" w14:textId="56989210" w:rsidR="00705F19" w:rsidRDefault="00915945" w:rsidP="00705F19">
      <w:r>
        <w:tab/>
      </w:r>
      <w:r>
        <w:tab/>
      </w:r>
      <w:r>
        <w:tab/>
      </w:r>
      <w:r>
        <w:tab/>
      </w:r>
      <w:r>
        <w:tab/>
      </w:r>
      <w:r>
        <w:tab/>
      </w:r>
      <w:r w:rsidR="00705F19">
        <w:tab/>
        <w:t>Executive Director</w:t>
      </w:r>
    </w:p>
    <w:p w14:paraId="57F5F63A" w14:textId="77777777" w:rsidR="00705F19" w:rsidRPr="00171E8E" w:rsidRDefault="00705F19" w:rsidP="00705F19">
      <w:pPr>
        <w:tabs>
          <w:tab w:val="left" w:pos="2780"/>
        </w:tabs>
        <w:jc w:val="center"/>
        <w:rPr>
          <w:szCs w:val="26"/>
        </w:rPr>
      </w:pPr>
    </w:p>
    <w:p w14:paraId="57F5F63B" w14:textId="77777777" w:rsidR="00705F19" w:rsidRPr="00171E8E" w:rsidRDefault="00705F19" w:rsidP="00705F19">
      <w:pPr>
        <w:tabs>
          <w:tab w:val="left" w:pos="2780"/>
        </w:tabs>
        <w:jc w:val="center"/>
        <w:rPr>
          <w:szCs w:val="26"/>
        </w:rPr>
      </w:pPr>
    </w:p>
    <w:p w14:paraId="12217B1F" w14:textId="57F5A140" w:rsidR="00171E8E" w:rsidRDefault="00171E8E" w:rsidP="00171E8E">
      <w:pPr>
        <w:rPr>
          <w:rFonts w:ascii="Palatino Linotype" w:hAnsi="Palatino Linotype"/>
        </w:rPr>
      </w:pPr>
      <w:r>
        <w:rPr>
          <w:szCs w:val="26"/>
        </w:rPr>
        <w:tab/>
      </w:r>
      <w:r>
        <w:rPr>
          <w:szCs w:val="26"/>
        </w:rPr>
        <w:tab/>
      </w:r>
      <w:r>
        <w:rPr>
          <w:szCs w:val="26"/>
        </w:rPr>
        <w:tab/>
      </w:r>
      <w:r>
        <w:rPr>
          <w:szCs w:val="26"/>
        </w:rPr>
        <w:tab/>
      </w:r>
      <w:r>
        <w:rPr>
          <w:szCs w:val="26"/>
        </w:rPr>
        <w:tab/>
      </w:r>
      <w:r>
        <w:rPr>
          <w:szCs w:val="26"/>
        </w:rPr>
        <w:tab/>
      </w:r>
      <w:r>
        <w:rPr>
          <w:szCs w:val="26"/>
        </w:rPr>
        <w:tab/>
      </w:r>
      <w:r>
        <w:rPr>
          <w:rFonts w:ascii="Palatino Linotype" w:hAnsi="Palatino Linotype"/>
        </w:rPr>
        <w:t>MICHAEL PICKER</w:t>
      </w:r>
    </w:p>
    <w:p w14:paraId="297D07D0" w14:textId="77777777" w:rsidR="00171E8E" w:rsidRDefault="00171E8E" w:rsidP="00171E8E">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President</w:t>
      </w:r>
    </w:p>
    <w:p w14:paraId="3CA18F34" w14:textId="77777777" w:rsidR="00171E8E" w:rsidRDefault="00171E8E" w:rsidP="00171E8E">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MICHEL PETER FLORIO</w:t>
      </w:r>
    </w:p>
    <w:p w14:paraId="1CFF9329" w14:textId="77777777" w:rsidR="00171E8E" w:rsidRDefault="00171E8E" w:rsidP="00171E8E">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CATHERINE J.K. SANDOVAL</w:t>
      </w:r>
    </w:p>
    <w:p w14:paraId="13BD5A7F" w14:textId="77777777" w:rsidR="00171E8E" w:rsidRDefault="00171E8E" w:rsidP="00171E8E">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CARLA J. PETERMAN</w:t>
      </w:r>
    </w:p>
    <w:p w14:paraId="6245825E" w14:textId="77777777" w:rsidR="00171E8E" w:rsidRDefault="00171E8E" w:rsidP="00171E8E">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LIANE M. RANDOLPH</w:t>
      </w:r>
    </w:p>
    <w:p w14:paraId="1FA72DE3" w14:textId="77777777" w:rsidR="00171E8E" w:rsidRDefault="00171E8E" w:rsidP="00171E8E">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Commissioners</w:t>
      </w:r>
    </w:p>
    <w:p w14:paraId="57F5F63C" w14:textId="463E1706" w:rsidR="00705F19" w:rsidRPr="00171E8E" w:rsidRDefault="00705F19" w:rsidP="00171E8E">
      <w:pPr>
        <w:tabs>
          <w:tab w:val="left" w:pos="2780"/>
          <w:tab w:val="left" w:pos="5145"/>
        </w:tabs>
        <w:rPr>
          <w:szCs w:val="26"/>
        </w:rPr>
      </w:pPr>
    </w:p>
    <w:p w14:paraId="57F5F63D" w14:textId="77777777" w:rsidR="00157BF0" w:rsidRDefault="00157BF0" w:rsidP="00705F19">
      <w:pPr>
        <w:tabs>
          <w:tab w:val="left" w:pos="2780"/>
        </w:tabs>
        <w:jc w:val="center"/>
        <w:rPr>
          <w:sz w:val="44"/>
          <w:szCs w:val="44"/>
        </w:rPr>
      </w:pPr>
    </w:p>
    <w:p w14:paraId="57F5F63E" w14:textId="77777777" w:rsidR="00F67C40" w:rsidRDefault="00F67C40" w:rsidP="00705F19">
      <w:pPr>
        <w:tabs>
          <w:tab w:val="left" w:pos="2780"/>
        </w:tabs>
        <w:jc w:val="center"/>
        <w:rPr>
          <w:sz w:val="44"/>
          <w:szCs w:val="44"/>
        </w:rPr>
      </w:pPr>
    </w:p>
    <w:p w14:paraId="57F5F63F" w14:textId="77777777" w:rsidR="00F67C40" w:rsidRDefault="00F67C40" w:rsidP="00705F19">
      <w:pPr>
        <w:tabs>
          <w:tab w:val="left" w:pos="2780"/>
        </w:tabs>
        <w:jc w:val="center"/>
        <w:rPr>
          <w:sz w:val="44"/>
          <w:szCs w:val="44"/>
        </w:rPr>
      </w:pPr>
    </w:p>
    <w:p w14:paraId="57F5F640" w14:textId="77777777" w:rsidR="00F67C40" w:rsidRDefault="00F67C40" w:rsidP="00705F19">
      <w:pPr>
        <w:tabs>
          <w:tab w:val="left" w:pos="2780"/>
        </w:tabs>
        <w:jc w:val="center"/>
        <w:rPr>
          <w:sz w:val="44"/>
          <w:szCs w:val="44"/>
        </w:rPr>
      </w:pPr>
    </w:p>
    <w:p w14:paraId="57F5F641" w14:textId="77777777" w:rsidR="00F67C40" w:rsidRDefault="00F67C40" w:rsidP="00705F19">
      <w:pPr>
        <w:tabs>
          <w:tab w:val="left" w:pos="2780"/>
        </w:tabs>
        <w:jc w:val="center"/>
        <w:rPr>
          <w:sz w:val="44"/>
          <w:szCs w:val="44"/>
        </w:rPr>
      </w:pPr>
    </w:p>
    <w:p w14:paraId="57F5F642" w14:textId="77777777" w:rsidR="00F67C40" w:rsidRDefault="00F67C40" w:rsidP="00705F19">
      <w:pPr>
        <w:tabs>
          <w:tab w:val="left" w:pos="2780"/>
        </w:tabs>
        <w:jc w:val="center"/>
        <w:rPr>
          <w:sz w:val="44"/>
          <w:szCs w:val="44"/>
        </w:rPr>
      </w:pPr>
    </w:p>
    <w:p w14:paraId="57F5F643" w14:textId="77777777" w:rsidR="00F67C40" w:rsidRDefault="00F67C40" w:rsidP="00705F19">
      <w:pPr>
        <w:tabs>
          <w:tab w:val="left" w:pos="2780"/>
        </w:tabs>
        <w:jc w:val="center"/>
        <w:rPr>
          <w:sz w:val="44"/>
          <w:szCs w:val="44"/>
        </w:rPr>
      </w:pPr>
    </w:p>
    <w:p w14:paraId="57F5F64E" w14:textId="77777777" w:rsidR="007C6E14" w:rsidRDefault="007C6E14" w:rsidP="00F67C40">
      <w:pPr>
        <w:tabs>
          <w:tab w:val="left" w:pos="2780"/>
        </w:tabs>
        <w:rPr>
          <w:sz w:val="44"/>
          <w:szCs w:val="44"/>
        </w:rPr>
      </w:pPr>
    </w:p>
    <w:p w14:paraId="57F5F64F" w14:textId="77777777" w:rsidR="00157BF0" w:rsidRDefault="00705F19" w:rsidP="00157BF0">
      <w:pPr>
        <w:tabs>
          <w:tab w:val="left" w:pos="2780"/>
        </w:tabs>
        <w:jc w:val="center"/>
        <w:rPr>
          <w:sz w:val="44"/>
          <w:szCs w:val="44"/>
        </w:rPr>
      </w:pPr>
      <w:r w:rsidRPr="004A4514">
        <w:rPr>
          <w:sz w:val="44"/>
          <w:szCs w:val="44"/>
        </w:rPr>
        <w:t>ATTACHMENT 1:</w:t>
      </w:r>
    </w:p>
    <w:p w14:paraId="57F5F650" w14:textId="77777777" w:rsidR="00705F19" w:rsidRDefault="00705F19" w:rsidP="00157BF0">
      <w:pPr>
        <w:tabs>
          <w:tab w:val="left" w:pos="2780"/>
        </w:tabs>
        <w:jc w:val="center"/>
        <w:rPr>
          <w:sz w:val="44"/>
          <w:szCs w:val="44"/>
        </w:rPr>
      </w:pPr>
      <w:r w:rsidRPr="004A4514">
        <w:rPr>
          <w:sz w:val="44"/>
          <w:szCs w:val="44"/>
        </w:rPr>
        <w:t xml:space="preserve">STAFF-ISSUED MEMO PROVIDING GUIDANCE ON ESPI </w:t>
      </w:r>
      <w:r>
        <w:rPr>
          <w:sz w:val="44"/>
          <w:szCs w:val="44"/>
        </w:rPr>
        <w:t xml:space="preserve">ADVICE LETTER </w:t>
      </w:r>
      <w:r w:rsidRPr="004A4514">
        <w:rPr>
          <w:sz w:val="44"/>
          <w:szCs w:val="44"/>
        </w:rPr>
        <w:t>FILING</w:t>
      </w:r>
    </w:p>
    <w:p w14:paraId="57F5F651" w14:textId="77777777" w:rsidR="00157BF0" w:rsidRDefault="00157BF0" w:rsidP="00157BF0">
      <w:pPr>
        <w:tabs>
          <w:tab w:val="left" w:pos="2780"/>
        </w:tabs>
        <w:jc w:val="center"/>
        <w:rPr>
          <w:sz w:val="44"/>
          <w:szCs w:val="44"/>
        </w:rPr>
      </w:pPr>
    </w:p>
    <w:p w14:paraId="57F5F652" w14:textId="77777777" w:rsidR="00157BF0" w:rsidRDefault="00157BF0" w:rsidP="00157BF0">
      <w:pPr>
        <w:tabs>
          <w:tab w:val="left" w:pos="2780"/>
        </w:tabs>
        <w:jc w:val="center"/>
        <w:rPr>
          <w:sz w:val="44"/>
          <w:szCs w:val="44"/>
        </w:rPr>
        <w:sectPr w:rsidR="00157BF0" w:rsidSect="008F517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sectPr>
      </w:pPr>
    </w:p>
    <w:p w14:paraId="57F5F653" w14:textId="77777777" w:rsidR="00157BF0" w:rsidRPr="00157BF0" w:rsidRDefault="00157BF0" w:rsidP="00157BF0">
      <w:pPr>
        <w:pBdr>
          <w:bottom w:val="double" w:sz="6" w:space="1" w:color="auto"/>
        </w:pBdr>
        <w:tabs>
          <w:tab w:val="right" w:pos="11070"/>
        </w:tabs>
        <w:rPr>
          <w:rFonts w:ascii="Palatino Linotype" w:hAnsi="Palatino Linotype"/>
          <w:sz w:val="24"/>
          <w:szCs w:val="24"/>
        </w:rPr>
      </w:pPr>
    </w:p>
    <w:p w14:paraId="57F5F654" w14:textId="77777777" w:rsidR="00157BF0" w:rsidRDefault="00157BF0" w:rsidP="00157BF0">
      <w:pPr>
        <w:pBdr>
          <w:bottom w:val="double" w:sz="6" w:space="1" w:color="auto"/>
        </w:pBdr>
        <w:tabs>
          <w:tab w:val="right" w:pos="11070"/>
        </w:tabs>
        <w:rPr>
          <w:rFonts w:ascii="Arial" w:hAnsi="Arial"/>
          <w:i/>
        </w:rPr>
      </w:pPr>
      <w:r>
        <w:rPr>
          <w:rFonts w:ascii="Arial" w:hAnsi="Arial"/>
          <w:sz w:val="16"/>
        </w:rPr>
        <w:t xml:space="preserve">STATE OF CALIFORNIA                                                                                                                   </w:t>
      </w:r>
      <w:r w:rsidRPr="00E84AB2">
        <w:rPr>
          <w:rFonts w:ascii="Arial" w:hAnsi="Arial"/>
          <w:sz w:val="16"/>
        </w:rPr>
        <w:t>Edmund G. Brown Jr., Governor</w:t>
      </w:r>
    </w:p>
    <w:p w14:paraId="57F5F655" w14:textId="77777777" w:rsidR="00157BF0" w:rsidRDefault="00157BF0" w:rsidP="00157BF0">
      <w:pPr>
        <w:tabs>
          <w:tab w:val="right" w:pos="11070"/>
        </w:tabs>
        <w:spacing w:before="80"/>
        <w:rPr>
          <w:rFonts w:ascii="Arial" w:hAnsi="Arial"/>
        </w:rPr>
      </w:pPr>
      <w:r>
        <w:rPr>
          <w:rFonts w:ascii="Calibri" w:hAnsi="Calibri"/>
          <w:noProof/>
        </w:rPr>
        <mc:AlternateContent>
          <mc:Choice Requires="wps">
            <w:drawing>
              <wp:anchor distT="0" distB="0" distL="114300" distR="114300" simplePos="0" relativeHeight="251659264" behindDoc="0" locked="0" layoutInCell="1" allowOverlap="1" wp14:anchorId="57F5F6C8" wp14:editId="57F5F6C9">
                <wp:simplePos x="0" y="0"/>
                <wp:positionH relativeFrom="column">
                  <wp:posOffset>4519930</wp:posOffset>
                </wp:positionH>
                <wp:positionV relativeFrom="paragraph">
                  <wp:posOffset>57150</wp:posOffset>
                </wp:positionV>
                <wp:extent cx="859790" cy="824865"/>
                <wp:effectExtent l="0" t="0" r="1714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24865"/>
                        </a:xfrm>
                        <a:prstGeom prst="rect">
                          <a:avLst/>
                        </a:prstGeom>
                        <a:solidFill>
                          <a:srgbClr val="FFFFFF"/>
                        </a:solidFill>
                        <a:ln w="9525">
                          <a:solidFill>
                            <a:srgbClr val="FFFFFF"/>
                          </a:solidFill>
                          <a:miter lim="800000"/>
                          <a:headEnd/>
                          <a:tailEnd/>
                        </a:ln>
                      </wps:spPr>
                      <wps:txbx>
                        <w:txbxContent>
                          <w:p w14:paraId="57F5F704" w14:textId="77777777" w:rsidR="002505E6" w:rsidRDefault="002505E6" w:rsidP="00157BF0">
                            <w:r>
                              <w:rPr>
                                <w:noProof/>
                              </w:rPr>
                              <w:drawing>
                                <wp:inline distT="0" distB="0" distL="0" distR="0" wp14:anchorId="57F5F705" wp14:editId="57F5F706">
                                  <wp:extent cx="659765" cy="723265"/>
                                  <wp:effectExtent l="0" t="0" r="6985" b="635"/>
                                  <wp:docPr id="3" name="Picture 3" descr="State Seal with White Outer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with White Outer Bor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765" cy="7232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5.9pt;margin-top:4.5pt;width:67.7pt;height:64.9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" strokecolor="white">
                <v:textbox style="mso-fit-shape-to-text:t">
                  <w:txbxContent>
                    <w:p w14:paraId="57F5F704" w14:textId="77777777" w:rsidR="002505E6" w:rsidRDefault="002505E6" w:rsidP="00157BF0">
                      <w:r>
                        <w:rPr>
                          <w:noProof/>
                        </w:rPr>
                        <w:drawing>
                          <wp:inline distT="0" distB="0" distL="0" distR="0" wp14:anchorId="57F5F705" wp14:editId="57F5F706">
                            <wp:extent cx="659765" cy="723265"/>
                            <wp:effectExtent l="0" t="0" r="6985" b="635"/>
                            <wp:docPr id="3" name="Picture 3" descr="State Seal with White Outer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with White Outer Bor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765" cy="723265"/>
                                    </a:xfrm>
                                    <a:prstGeom prst="rect">
                                      <a:avLst/>
                                    </a:prstGeom>
                                    <a:noFill/>
                                    <a:ln>
                                      <a:noFill/>
                                    </a:ln>
                                  </pic:spPr>
                                </pic:pic>
                              </a:graphicData>
                            </a:graphic>
                          </wp:inline>
                        </w:drawing>
                      </w:r>
                    </w:p>
                  </w:txbxContent>
                </v:textbox>
              </v:shape>
            </w:pict>
          </mc:Fallback>
        </mc:AlternateContent>
      </w:r>
      <w:r>
        <w:rPr>
          <w:rFonts w:ascii="Arial" w:hAnsi="Arial"/>
        </w:rPr>
        <w:t xml:space="preserve">PUBLIC UTILITIES COMMISSION                                                </w:t>
      </w:r>
    </w:p>
    <w:p w14:paraId="57F5F656" w14:textId="77777777" w:rsidR="00157BF0" w:rsidRDefault="00157BF0" w:rsidP="00157BF0">
      <w:pPr>
        <w:tabs>
          <w:tab w:val="right" w:pos="11070"/>
        </w:tabs>
        <w:spacing w:before="80"/>
        <w:rPr>
          <w:rFonts w:ascii="Arial" w:hAnsi="Arial"/>
          <w:sz w:val="12"/>
        </w:rPr>
      </w:pPr>
      <w:r>
        <w:rPr>
          <w:rFonts w:ascii="Arial" w:hAnsi="Arial"/>
          <w:sz w:val="12"/>
        </w:rPr>
        <w:t>505 VAN NESS AVENUE</w:t>
      </w:r>
    </w:p>
    <w:p w14:paraId="57F5F657" w14:textId="77777777" w:rsidR="00157BF0" w:rsidRDefault="00157BF0" w:rsidP="00157BF0">
      <w:pPr>
        <w:tabs>
          <w:tab w:val="right" w:pos="11070"/>
        </w:tabs>
        <w:spacing w:before="80"/>
        <w:rPr>
          <w:rFonts w:ascii="Arial" w:hAnsi="Arial"/>
          <w:sz w:val="12"/>
        </w:rPr>
      </w:pPr>
      <w:r>
        <w:rPr>
          <w:rFonts w:ascii="Arial" w:hAnsi="Arial"/>
          <w:sz w:val="12"/>
        </w:rPr>
        <w:t>SAN FRANCISCO, CA  94102-3298</w:t>
      </w:r>
    </w:p>
    <w:p w14:paraId="57F5F658" w14:textId="77777777" w:rsidR="00157BF0" w:rsidRDefault="00157BF0" w:rsidP="00157BF0">
      <w:pPr>
        <w:pStyle w:val="Header"/>
      </w:pPr>
    </w:p>
    <w:p w14:paraId="57F5F659" w14:textId="77777777" w:rsidR="00705F19" w:rsidRDefault="00705F19" w:rsidP="00705F19">
      <w:pPr>
        <w:spacing w:after="120"/>
      </w:pPr>
      <w:r>
        <w:t xml:space="preserve">To: All Parties </w:t>
      </w:r>
      <w:r w:rsidR="00157BF0">
        <w:t>in R.13-11-005 and R.12-01-005</w:t>
      </w:r>
    </w:p>
    <w:p w14:paraId="57F5F65A" w14:textId="77777777" w:rsidR="00705F19" w:rsidRDefault="00705F19" w:rsidP="00705F19">
      <w:pPr>
        <w:spacing w:after="120"/>
      </w:pPr>
      <w:r>
        <w:t>From: Katie Wu, Energy Division</w:t>
      </w:r>
    </w:p>
    <w:p w14:paraId="57F5F65B" w14:textId="77777777" w:rsidR="00705F19" w:rsidRDefault="00705F19" w:rsidP="00705F19">
      <w:pPr>
        <w:spacing w:after="120"/>
      </w:pPr>
      <w:r>
        <w:t>Date: June 9, 2014</w:t>
      </w:r>
    </w:p>
    <w:p w14:paraId="57F5F65C" w14:textId="77777777" w:rsidR="00705F19" w:rsidRDefault="00705F19" w:rsidP="00157BF0">
      <w:r>
        <w:t>Subject: Additional Detail on Implementation of the Efficiency Savings and Performance Incentive (ESPI) Mechanism</w:t>
      </w:r>
    </w:p>
    <w:p w14:paraId="57F5F65D" w14:textId="77777777" w:rsidR="00705F19" w:rsidRDefault="00705F19" w:rsidP="00705F19">
      <w:pPr>
        <w:spacing w:after="120"/>
      </w:pPr>
    </w:p>
    <w:p w14:paraId="57F5F65E" w14:textId="77777777" w:rsidR="00705F19" w:rsidRDefault="00705F19" w:rsidP="00705F19">
      <w:pPr>
        <w:spacing w:after="120"/>
      </w:pPr>
      <w:r>
        <w:t>To all parties:</w:t>
      </w:r>
    </w:p>
    <w:p w14:paraId="57F5F65F" w14:textId="77777777" w:rsidR="00705F19" w:rsidRDefault="00705F19" w:rsidP="00705F19">
      <w:pPr>
        <w:spacing w:after="120"/>
      </w:pPr>
      <w:r>
        <w:t>Since adoption of the ESPI, Commission staff has begun implementation of the tasks prescribed in D.13-09-023, the decision adopting the ESPI.  Staff is coordinating internally to ensure that the deadlines are met and IOUs have the information needed to ultimately file award claims each June.  During the course of these activities, staff found that the annual energy efficiency audit performed by the Commission’s Audit Branch would not be complete by June of the year following program implementation.  In order to conduct a robust audit, the Commission audit team requires at least nine months to complete an audit.</w:t>
      </w:r>
    </w:p>
    <w:p w14:paraId="57F5F660" w14:textId="77777777" w:rsidR="00705F19" w:rsidRDefault="00705F19" w:rsidP="00D208D1">
      <w:pPr>
        <w:spacing w:after="240"/>
      </w:pPr>
      <w:r>
        <w:t xml:space="preserve">As such, in order to meet the deadlines set in D.13-09-023 and allow adequate time for IOU EE audits to be complete, the incentive distribution process is described in more detail below.  In general, incentive awards in the year following program year (i.e., PY +1) will be calculated using utility-reported information and incentive awards in the year two years after program year </w:t>
      </w:r>
      <w:r w:rsidR="001341E5">
        <w:br/>
      </w:r>
      <w:r>
        <w:t>(i.e., PY +2) will be calculated based on Commission-verified information.  The PY+2 incentive payment will include a true-up to reconcile any differences between utility-reported and Commission-verified information.  Program years 2013 and 2014 are referenced below for illustrative purposes; the process will be identical each year unless and until the Commission modifies the ESPI.</w:t>
      </w:r>
    </w:p>
    <w:p w14:paraId="57F5F661" w14:textId="77777777" w:rsidR="00705F19" w:rsidRDefault="00705F19" w:rsidP="00705F19">
      <w:pPr>
        <w:numPr>
          <w:ilvl w:val="0"/>
          <w:numId w:val="20"/>
        </w:numPr>
        <w:spacing w:after="120" w:line="276" w:lineRule="auto"/>
      </w:pPr>
      <w:r>
        <w:t>By June 30 of the year following the program year (e.g., 2014 for 2013 program activities), each utility will file a Tier 3 Advice Letter to Energy Division to request energy efficiency incentive award payments for:</w:t>
      </w:r>
    </w:p>
    <w:p w14:paraId="57F5F662" w14:textId="77777777" w:rsidR="00705F19" w:rsidRDefault="00705F19" w:rsidP="00705F19">
      <w:pPr>
        <w:numPr>
          <w:ilvl w:val="1"/>
          <w:numId w:val="20"/>
        </w:numPr>
        <w:spacing w:after="120" w:line="276" w:lineRule="auto"/>
      </w:pPr>
      <w:r>
        <w:lastRenderedPageBreak/>
        <w:t xml:space="preserve">Non-resource management fee: Equal to 3% of the utility’s </w:t>
      </w:r>
      <w:r w:rsidRPr="008F4B60">
        <w:rPr>
          <w:u w:val="single"/>
        </w:rPr>
        <w:t xml:space="preserve">reported </w:t>
      </w:r>
      <w:r>
        <w:rPr>
          <w:u w:val="single"/>
        </w:rPr>
        <w:t>expenditures</w:t>
      </w:r>
      <w:r>
        <w:t xml:space="preserve"> on non-resource programs during the previous program year.</w:t>
      </w:r>
    </w:p>
    <w:p w14:paraId="57F5F663" w14:textId="77777777" w:rsidR="00705F19" w:rsidRDefault="00705F19" w:rsidP="00705F19">
      <w:pPr>
        <w:numPr>
          <w:ilvl w:val="1"/>
          <w:numId w:val="20"/>
        </w:numPr>
        <w:spacing w:after="120" w:line="276" w:lineRule="auto"/>
      </w:pPr>
      <w:r>
        <w:t xml:space="preserve">Codes and standards management fee: Equal to 12% of the utility’s </w:t>
      </w:r>
      <w:r w:rsidRPr="00FD7ACB">
        <w:rPr>
          <w:u w:val="single"/>
        </w:rPr>
        <w:t xml:space="preserve">reported </w:t>
      </w:r>
      <w:r>
        <w:rPr>
          <w:u w:val="single"/>
        </w:rPr>
        <w:t>expenditures</w:t>
      </w:r>
      <w:r>
        <w:t xml:space="preserve"> on codes and standards programs during the previous program year.</w:t>
      </w:r>
    </w:p>
    <w:p w14:paraId="57F5F664" w14:textId="77777777" w:rsidR="00705F19" w:rsidRDefault="00705F19" w:rsidP="00705F19">
      <w:pPr>
        <w:numPr>
          <w:ilvl w:val="1"/>
          <w:numId w:val="20"/>
        </w:numPr>
        <w:spacing w:after="120" w:line="276" w:lineRule="auto"/>
      </w:pPr>
      <w:r>
        <w:t xml:space="preserve">Ex ante review performance: Equal to 3% of the utility’s </w:t>
      </w:r>
      <w:r w:rsidRPr="008B7E3F">
        <w:rPr>
          <w:u w:val="single"/>
        </w:rPr>
        <w:t>reported expenditures</w:t>
      </w:r>
      <w:r>
        <w:t xml:space="preserve"> on resource programs (excluding administrative costs) during the previous program year multiplied by the utility’s ex ante review score determined in accordance with Attachment 5 of </w:t>
      </w:r>
      <w:r w:rsidR="00157BF0">
        <w:br/>
      </w:r>
      <w:r>
        <w:t>D.13-09-023.</w:t>
      </w:r>
    </w:p>
    <w:p w14:paraId="57F5F665" w14:textId="77777777" w:rsidR="00705F19" w:rsidRDefault="00705F19" w:rsidP="00705F19">
      <w:pPr>
        <w:numPr>
          <w:ilvl w:val="1"/>
          <w:numId w:val="20"/>
        </w:numPr>
        <w:spacing w:after="120" w:line="276" w:lineRule="auto"/>
      </w:pPr>
      <w:r>
        <w:t xml:space="preserve">Energy savings with ex ante parameter estimates: Equal to the utility’s net lifecycle </w:t>
      </w:r>
      <w:r w:rsidRPr="00372E30">
        <w:rPr>
          <w:u w:val="single"/>
        </w:rPr>
        <w:t>reported savings</w:t>
      </w:r>
      <w:r>
        <w:rPr>
          <w:u w:val="single"/>
        </w:rPr>
        <w:t xml:space="preserve"> and installation rates</w:t>
      </w:r>
      <w:r>
        <w:t xml:space="preserve"> multiplied by the adopted earnings rates coefficients, determined in accordance with Attachment 1 of D.13-09-023.  Only savings from deemed measures not included on the ESPI Uncertain List are included in this calculation.</w:t>
      </w:r>
    </w:p>
    <w:p w14:paraId="57F5F666" w14:textId="77777777" w:rsidR="00705F19" w:rsidRDefault="00705F19" w:rsidP="00705F19">
      <w:pPr>
        <w:numPr>
          <w:ilvl w:val="0"/>
          <w:numId w:val="20"/>
        </w:numPr>
        <w:spacing w:after="120" w:line="276" w:lineRule="auto"/>
      </w:pPr>
      <w:r>
        <w:t>By June 30 two years after the program year (e.g., 2015 for PY 2013), each utility will file a Tier 3 Advice Letter to Energy Division to request:</w:t>
      </w:r>
    </w:p>
    <w:p w14:paraId="57F5F667" w14:textId="77777777" w:rsidR="00705F19" w:rsidRDefault="00705F19" w:rsidP="00705F19">
      <w:pPr>
        <w:numPr>
          <w:ilvl w:val="1"/>
          <w:numId w:val="20"/>
        </w:numPr>
        <w:spacing w:after="120" w:line="276" w:lineRule="auto"/>
      </w:pPr>
      <w:r>
        <w:t xml:space="preserve">Incentive awards for energy savings with ex post parameter estimates: Equal to the utility’s net lifecycle </w:t>
      </w:r>
      <w:r w:rsidRPr="0091245F">
        <w:rPr>
          <w:u w:val="single"/>
        </w:rPr>
        <w:t>verified savings and installation rates</w:t>
      </w:r>
      <w:r>
        <w:t xml:space="preserve"> from two program years ago (e.g., savings subject to ex post verification in 2013 will be awarded in 2015) for deemed measures on the ESPI Uncertain List and custom projects and measures.</w:t>
      </w:r>
    </w:p>
    <w:p w14:paraId="57F5F668" w14:textId="77777777" w:rsidR="00705F19" w:rsidRDefault="00705F19" w:rsidP="00705F19">
      <w:pPr>
        <w:numPr>
          <w:ilvl w:val="1"/>
          <w:numId w:val="20"/>
        </w:numPr>
        <w:spacing w:after="120" w:line="276" w:lineRule="auto"/>
      </w:pPr>
      <w:r>
        <w:t xml:space="preserve">A true-up of award payments distributed the previous year for items a-d in Item 1 above for two years prior (e.g., for PY2013 in the 2015 Advice Letter) based on </w:t>
      </w:r>
      <w:r w:rsidRPr="008B7E3F">
        <w:rPr>
          <w:u w:val="single"/>
        </w:rPr>
        <w:t xml:space="preserve">verified expenditures and </w:t>
      </w:r>
      <w:r>
        <w:rPr>
          <w:u w:val="single"/>
        </w:rPr>
        <w:t xml:space="preserve">measure </w:t>
      </w:r>
      <w:r w:rsidRPr="008B7E3F">
        <w:rPr>
          <w:u w:val="single"/>
        </w:rPr>
        <w:t>installation rates</w:t>
      </w:r>
      <w:r>
        <w:t xml:space="preserve">.  The true-up will reconcile any differences between the utility-reported versus Commission-audited </w:t>
      </w:r>
      <w:r>
        <w:lastRenderedPageBreak/>
        <w:t>expenditures / Commission-verified measure installation rates.  Publicly available Commission-led audits and EM&amp;V studies will be used to verify expenditures and installation rates, respectively.</w:t>
      </w:r>
    </w:p>
    <w:p w14:paraId="57F5F669" w14:textId="77777777" w:rsidR="00705F19" w:rsidRDefault="00705F19" w:rsidP="00915945">
      <w:pPr>
        <w:numPr>
          <w:ilvl w:val="1"/>
          <w:numId w:val="20"/>
        </w:numPr>
        <w:spacing w:after="240" w:line="276" w:lineRule="auto"/>
      </w:pPr>
      <w:r>
        <w:t xml:space="preserve">Incentive award payments for items a-d listed above for the previous program year (e.g.,for PY2014 in the 2015 Advice Letter) based on </w:t>
      </w:r>
      <w:r w:rsidRPr="008B7E3F">
        <w:rPr>
          <w:u w:val="single"/>
        </w:rPr>
        <w:t>reported expenditures</w:t>
      </w:r>
      <w:r>
        <w:t>.</w:t>
      </w:r>
    </w:p>
    <w:p w14:paraId="57F5F66A" w14:textId="77777777" w:rsidR="00705F19" w:rsidRDefault="00705F19" w:rsidP="00915945">
      <w:pPr>
        <w:spacing w:after="240"/>
      </w:pPr>
      <w:r>
        <w:t xml:space="preserve">This process is summarized in a table in the attached appendix.  Commission staff finds that this incentive distribution process will allow utilities to reliably predict energy efficiency incentive awards while protecting ratepayers from potentially overpaying for energy efficiency incentive awards.  </w:t>
      </w:r>
    </w:p>
    <w:p w14:paraId="57F5F66B" w14:textId="3FF2C6CC" w:rsidR="00705F19" w:rsidRDefault="00705F19" w:rsidP="00705F19">
      <w:pPr>
        <w:spacing w:after="120"/>
      </w:pPr>
      <w:r>
        <w:t xml:space="preserve">If parties have any questions or concerns regarding this incentive distribution process, please contact Katie Wu at </w:t>
      </w:r>
      <w:hyperlink r:id="rId18" w:history="1">
        <w:r w:rsidRPr="00967E49">
          <w:rPr>
            <w:rStyle w:val="Hyperlink"/>
          </w:rPr>
          <w:t>katie.wu@cpuc.ca.gov</w:t>
        </w:r>
      </w:hyperlink>
      <w:r>
        <w:t xml:space="preserve"> or 415.703.2452.</w:t>
      </w:r>
    </w:p>
    <w:p w14:paraId="57F5F66C" w14:textId="77777777" w:rsidR="00157BF0" w:rsidRDefault="00157BF0">
      <w:r>
        <w:br w:type="page"/>
      </w:r>
    </w:p>
    <w:p w14:paraId="57F5F66D" w14:textId="77777777" w:rsidR="00157BF0" w:rsidRDefault="00157BF0" w:rsidP="00705F19">
      <w:pPr>
        <w:spacing w:after="120"/>
      </w:pPr>
    </w:p>
    <w:p w14:paraId="57F5F66E" w14:textId="77777777" w:rsidR="00705F19" w:rsidRDefault="00705F19" w:rsidP="00D208D1">
      <w:pPr>
        <w:spacing w:after="120"/>
        <w:jc w:val="center"/>
      </w:pPr>
      <w:r>
        <w:t>APPENDIX: Incentive Distribution Process Summary</w:t>
      </w:r>
    </w:p>
    <w:tbl>
      <w:tblPr>
        <w:tblW w:w="0" w:type="auto"/>
        <w:tblBorders>
          <w:top w:val="single" w:sz="8" w:space="0" w:color="4F81BD"/>
          <w:bottom w:val="single" w:sz="8" w:space="0" w:color="4F81BD"/>
        </w:tblBorders>
        <w:tblLook w:val="04A0" w:firstRow="1" w:lastRow="0" w:firstColumn="1" w:lastColumn="0" w:noHBand="0" w:noVBand="1"/>
      </w:tblPr>
      <w:tblGrid>
        <w:gridCol w:w="4698"/>
        <w:gridCol w:w="4878"/>
      </w:tblGrid>
      <w:tr w:rsidR="00705F19" w14:paraId="57F5F673" w14:textId="77777777" w:rsidTr="0078095C">
        <w:tc>
          <w:tcPr>
            <w:tcW w:w="4698" w:type="dxa"/>
            <w:tcBorders>
              <w:top w:val="single" w:sz="8" w:space="0" w:color="4F81BD"/>
              <w:bottom w:val="single" w:sz="8" w:space="0" w:color="4F81BD"/>
              <w:right w:val="single" w:sz="4" w:space="0" w:color="auto"/>
            </w:tcBorders>
            <w:shd w:val="clear" w:color="auto" w:fill="auto"/>
            <w:vAlign w:val="center"/>
          </w:tcPr>
          <w:p w14:paraId="57F5F66F" w14:textId="77777777" w:rsidR="00705F19" w:rsidRPr="00160007" w:rsidRDefault="00705F19" w:rsidP="0078095C">
            <w:pPr>
              <w:spacing w:after="120"/>
              <w:jc w:val="center"/>
              <w:rPr>
                <w:b/>
                <w:bCs/>
                <w:color w:val="365F91"/>
              </w:rPr>
            </w:pPr>
            <w:r w:rsidRPr="00160007">
              <w:rPr>
                <w:b/>
                <w:bCs/>
                <w:color w:val="365F91"/>
              </w:rPr>
              <w:t>Program Year + 1</w:t>
            </w:r>
          </w:p>
          <w:p w14:paraId="57F5F670" w14:textId="77777777" w:rsidR="00705F19" w:rsidRPr="00160007" w:rsidRDefault="00705F19" w:rsidP="0078095C">
            <w:pPr>
              <w:spacing w:after="120"/>
              <w:jc w:val="center"/>
              <w:rPr>
                <w:b/>
                <w:bCs/>
                <w:color w:val="365F91"/>
              </w:rPr>
            </w:pPr>
            <w:r w:rsidRPr="00160007">
              <w:rPr>
                <w:b/>
                <w:bCs/>
                <w:color w:val="365F91"/>
              </w:rPr>
              <w:t>(uses utility-reported data)</w:t>
            </w:r>
          </w:p>
        </w:tc>
        <w:tc>
          <w:tcPr>
            <w:tcW w:w="4878" w:type="dxa"/>
            <w:tcBorders>
              <w:top w:val="single" w:sz="8" w:space="0" w:color="4F81BD"/>
              <w:left w:val="single" w:sz="4" w:space="0" w:color="auto"/>
              <w:bottom w:val="single" w:sz="8" w:space="0" w:color="4F81BD"/>
            </w:tcBorders>
            <w:shd w:val="clear" w:color="auto" w:fill="auto"/>
            <w:vAlign w:val="center"/>
          </w:tcPr>
          <w:p w14:paraId="57F5F671" w14:textId="77777777" w:rsidR="00705F19" w:rsidRPr="00160007" w:rsidRDefault="00705F19" w:rsidP="0078095C">
            <w:pPr>
              <w:spacing w:after="120"/>
              <w:jc w:val="center"/>
              <w:rPr>
                <w:b/>
                <w:bCs/>
                <w:color w:val="365F91"/>
              </w:rPr>
            </w:pPr>
            <w:r w:rsidRPr="00160007">
              <w:rPr>
                <w:b/>
                <w:bCs/>
                <w:color w:val="365F91"/>
              </w:rPr>
              <w:t>Program Year + 2</w:t>
            </w:r>
          </w:p>
          <w:p w14:paraId="57F5F672" w14:textId="77777777" w:rsidR="00705F19" w:rsidRPr="00160007" w:rsidRDefault="00705F19" w:rsidP="0078095C">
            <w:pPr>
              <w:spacing w:after="120"/>
              <w:jc w:val="center"/>
              <w:rPr>
                <w:b/>
                <w:bCs/>
                <w:color w:val="365F91"/>
              </w:rPr>
            </w:pPr>
            <w:r w:rsidRPr="00160007">
              <w:rPr>
                <w:b/>
                <w:bCs/>
                <w:color w:val="365F91"/>
              </w:rPr>
              <w:t>(uses Commission-verified data)</w:t>
            </w:r>
          </w:p>
        </w:tc>
      </w:tr>
      <w:tr w:rsidR="00705F19" w14:paraId="57F5F676" w14:textId="77777777" w:rsidTr="0078095C">
        <w:tc>
          <w:tcPr>
            <w:tcW w:w="4698" w:type="dxa"/>
            <w:tcBorders>
              <w:right w:val="single" w:sz="4" w:space="0" w:color="auto"/>
            </w:tcBorders>
            <w:shd w:val="clear" w:color="auto" w:fill="D3DFEE"/>
            <w:vAlign w:val="bottom"/>
          </w:tcPr>
          <w:p w14:paraId="57F5F674" w14:textId="77777777" w:rsidR="00705F19" w:rsidRPr="00160007" w:rsidRDefault="00705F19" w:rsidP="0078095C">
            <w:pPr>
              <w:rPr>
                <w:bCs/>
                <w:color w:val="365F91"/>
              </w:rPr>
            </w:pPr>
            <w:r w:rsidRPr="00160007">
              <w:rPr>
                <w:bCs/>
                <w:color w:val="365F91"/>
              </w:rPr>
              <w:t>Non-resource Management Fee</w:t>
            </w:r>
          </w:p>
        </w:tc>
        <w:tc>
          <w:tcPr>
            <w:tcW w:w="4878" w:type="dxa"/>
            <w:tcBorders>
              <w:left w:val="single" w:sz="4" w:space="0" w:color="auto"/>
              <w:right w:val="nil"/>
            </w:tcBorders>
            <w:shd w:val="clear" w:color="auto" w:fill="D3DFEE"/>
            <w:vAlign w:val="bottom"/>
          </w:tcPr>
          <w:p w14:paraId="57F5F675" w14:textId="77777777" w:rsidR="00705F19" w:rsidRPr="00160007" w:rsidRDefault="00705F19" w:rsidP="0078095C">
            <w:pPr>
              <w:rPr>
                <w:color w:val="365F91"/>
              </w:rPr>
            </w:pPr>
            <w:r w:rsidRPr="00160007">
              <w:rPr>
                <w:color w:val="365F91"/>
              </w:rPr>
              <w:t>Energy Savings from custom projects and measures</w:t>
            </w:r>
          </w:p>
        </w:tc>
      </w:tr>
      <w:tr w:rsidR="00705F19" w14:paraId="57F5F679" w14:textId="77777777" w:rsidTr="0078095C">
        <w:tc>
          <w:tcPr>
            <w:tcW w:w="4698" w:type="dxa"/>
            <w:tcBorders>
              <w:right w:val="single" w:sz="4" w:space="0" w:color="auto"/>
            </w:tcBorders>
            <w:shd w:val="clear" w:color="auto" w:fill="auto"/>
            <w:vAlign w:val="bottom"/>
          </w:tcPr>
          <w:p w14:paraId="57F5F677" w14:textId="77777777" w:rsidR="00705F19" w:rsidRPr="00160007" w:rsidRDefault="00705F19" w:rsidP="0078095C">
            <w:pPr>
              <w:rPr>
                <w:bCs/>
                <w:color w:val="365F91"/>
              </w:rPr>
            </w:pPr>
            <w:r w:rsidRPr="00160007">
              <w:rPr>
                <w:bCs/>
                <w:color w:val="365F91"/>
              </w:rPr>
              <w:t>Codes and Standards Management Fee</w:t>
            </w:r>
          </w:p>
        </w:tc>
        <w:tc>
          <w:tcPr>
            <w:tcW w:w="4878" w:type="dxa"/>
            <w:tcBorders>
              <w:left w:val="single" w:sz="4" w:space="0" w:color="auto"/>
            </w:tcBorders>
            <w:shd w:val="clear" w:color="auto" w:fill="auto"/>
            <w:vAlign w:val="bottom"/>
          </w:tcPr>
          <w:p w14:paraId="57F5F678" w14:textId="77777777" w:rsidR="00705F19" w:rsidRPr="00160007" w:rsidRDefault="00705F19" w:rsidP="0078095C">
            <w:pPr>
              <w:rPr>
                <w:color w:val="365F91"/>
              </w:rPr>
            </w:pPr>
            <w:r w:rsidRPr="00160007">
              <w:rPr>
                <w:color w:val="365F91"/>
              </w:rPr>
              <w:t>Deemed Energy Savings with ex post parameters (i.e., savings from the ESPI Uncertain List measures)</w:t>
            </w:r>
          </w:p>
        </w:tc>
      </w:tr>
      <w:tr w:rsidR="00705F19" w14:paraId="57F5F67C" w14:textId="77777777" w:rsidTr="0078095C">
        <w:tc>
          <w:tcPr>
            <w:tcW w:w="4698" w:type="dxa"/>
            <w:tcBorders>
              <w:right w:val="single" w:sz="4" w:space="0" w:color="auto"/>
            </w:tcBorders>
            <w:shd w:val="clear" w:color="auto" w:fill="D3DFEE"/>
            <w:vAlign w:val="bottom"/>
          </w:tcPr>
          <w:p w14:paraId="57F5F67A" w14:textId="77777777" w:rsidR="00705F19" w:rsidRPr="00160007" w:rsidRDefault="00705F19" w:rsidP="0078095C">
            <w:pPr>
              <w:rPr>
                <w:bCs/>
                <w:color w:val="365F91"/>
              </w:rPr>
            </w:pPr>
            <w:r w:rsidRPr="00160007">
              <w:rPr>
                <w:bCs/>
                <w:color w:val="365F91"/>
              </w:rPr>
              <w:t>Ex Ante Review Performance Award</w:t>
            </w:r>
          </w:p>
        </w:tc>
        <w:tc>
          <w:tcPr>
            <w:tcW w:w="4878" w:type="dxa"/>
            <w:tcBorders>
              <w:left w:val="single" w:sz="4" w:space="0" w:color="auto"/>
              <w:right w:val="nil"/>
            </w:tcBorders>
            <w:shd w:val="clear" w:color="auto" w:fill="D3DFEE"/>
            <w:vAlign w:val="bottom"/>
          </w:tcPr>
          <w:p w14:paraId="57F5F67B" w14:textId="77777777" w:rsidR="00705F19" w:rsidRPr="00160007" w:rsidRDefault="00705F19" w:rsidP="0078095C">
            <w:pPr>
              <w:rPr>
                <w:color w:val="365F91"/>
              </w:rPr>
            </w:pPr>
            <w:r w:rsidRPr="00160007">
              <w:rPr>
                <w:color w:val="365F91"/>
              </w:rPr>
              <w:t xml:space="preserve">True-up of all PY+1 payments using </w:t>
            </w:r>
            <w:r>
              <w:rPr>
                <w:color w:val="365F91"/>
              </w:rPr>
              <w:t>Commission audited</w:t>
            </w:r>
            <w:r w:rsidRPr="00160007">
              <w:rPr>
                <w:color w:val="365F91"/>
              </w:rPr>
              <w:t xml:space="preserve"> expenditures and </w:t>
            </w:r>
            <w:r>
              <w:rPr>
                <w:color w:val="365F91"/>
              </w:rPr>
              <w:t xml:space="preserve">verified </w:t>
            </w:r>
            <w:r w:rsidRPr="00160007">
              <w:rPr>
                <w:color w:val="365F91"/>
              </w:rPr>
              <w:t>installation rates</w:t>
            </w:r>
          </w:p>
        </w:tc>
      </w:tr>
      <w:tr w:rsidR="00705F19" w14:paraId="57F5F67F" w14:textId="77777777" w:rsidTr="0078095C">
        <w:tc>
          <w:tcPr>
            <w:tcW w:w="4698" w:type="dxa"/>
            <w:tcBorders>
              <w:right w:val="single" w:sz="4" w:space="0" w:color="auto"/>
            </w:tcBorders>
            <w:shd w:val="clear" w:color="auto" w:fill="auto"/>
            <w:vAlign w:val="bottom"/>
          </w:tcPr>
          <w:p w14:paraId="57F5F67D" w14:textId="77777777" w:rsidR="00705F19" w:rsidRPr="00160007" w:rsidRDefault="00705F19" w:rsidP="0078095C">
            <w:pPr>
              <w:rPr>
                <w:bCs/>
                <w:color w:val="365F91"/>
              </w:rPr>
            </w:pPr>
            <w:r w:rsidRPr="00160007">
              <w:rPr>
                <w:bCs/>
                <w:color w:val="365F91"/>
              </w:rPr>
              <w:t>Deemed Energy Savings with ex ante parameters</w:t>
            </w:r>
          </w:p>
        </w:tc>
        <w:tc>
          <w:tcPr>
            <w:tcW w:w="4878" w:type="dxa"/>
            <w:tcBorders>
              <w:left w:val="single" w:sz="4" w:space="0" w:color="auto"/>
            </w:tcBorders>
            <w:shd w:val="clear" w:color="auto" w:fill="auto"/>
            <w:vAlign w:val="bottom"/>
          </w:tcPr>
          <w:p w14:paraId="57F5F67E" w14:textId="77777777" w:rsidR="00705F19" w:rsidRPr="00160007" w:rsidRDefault="00705F19" w:rsidP="0078095C">
            <w:pPr>
              <w:rPr>
                <w:color w:val="365F91"/>
              </w:rPr>
            </w:pPr>
          </w:p>
        </w:tc>
      </w:tr>
    </w:tbl>
    <w:p w14:paraId="57F5F680" w14:textId="77777777" w:rsidR="00705F19" w:rsidRDefault="00705F19" w:rsidP="00705F19">
      <w:pPr>
        <w:spacing w:after="120"/>
      </w:pPr>
    </w:p>
    <w:p w14:paraId="57F5F681" w14:textId="77777777" w:rsidR="00705F19" w:rsidRDefault="00705F19" w:rsidP="00705F19">
      <w:pPr>
        <w:sectPr w:rsidR="00705F19">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14:paraId="57F5F682" w14:textId="77777777" w:rsidR="00705F19" w:rsidRDefault="00705F19" w:rsidP="00705F19">
      <w:pPr>
        <w:tabs>
          <w:tab w:val="left" w:pos="2780"/>
        </w:tabs>
        <w:jc w:val="center"/>
        <w:rPr>
          <w:sz w:val="44"/>
          <w:szCs w:val="44"/>
        </w:rPr>
      </w:pPr>
    </w:p>
    <w:p w14:paraId="57F5F683" w14:textId="77777777" w:rsidR="00705F19" w:rsidRDefault="00705F19" w:rsidP="00705F19">
      <w:pPr>
        <w:tabs>
          <w:tab w:val="left" w:pos="2780"/>
        </w:tabs>
        <w:jc w:val="center"/>
        <w:rPr>
          <w:sz w:val="44"/>
          <w:szCs w:val="44"/>
        </w:rPr>
      </w:pPr>
    </w:p>
    <w:p w14:paraId="57F5F684" w14:textId="77777777" w:rsidR="00705F19" w:rsidRDefault="00705F19" w:rsidP="00705F19">
      <w:pPr>
        <w:tabs>
          <w:tab w:val="left" w:pos="2780"/>
        </w:tabs>
        <w:jc w:val="center"/>
        <w:rPr>
          <w:sz w:val="44"/>
          <w:szCs w:val="44"/>
        </w:rPr>
      </w:pPr>
    </w:p>
    <w:p w14:paraId="57F5F685" w14:textId="77777777" w:rsidR="00705F19" w:rsidRDefault="00705F19" w:rsidP="00705F19">
      <w:pPr>
        <w:tabs>
          <w:tab w:val="left" w:pos="2780"/>
        </w:tabs>
        <w:jc w:val="center"/>
        <w:rPr>
          <w:sz w:val="44"/>
          <w:szCs w:val="44"/>
        </w:rPr>
      </w:pPr>
    </w:p>
    <w:p w14:paraId="57F5F686" w14:textId="77777777" w:rsidR="00705F19" w:rsidRDefault="00705F19" w:rsidP="00705F19">
      <w:pPr>
        <w:tabs>
          <w:tab w:val="left" w:pos="2780"/>
        </w:tabs>
        <w:jc w:val="center"/>
        <w:rPr>
          <w:sz w:val="44"/>
          <w:szCs w:val="44"/>
        </w:rPr>
      </w:pPr>
    </w:p>
    <w:p w14:paraId="57F5F687" w14:textId="77777777" w:rsidR="00705F19" w:rsidRDefault="00705F19" w:rsidP="00705F19">
      <w:pPr>
        <w:tabs>
          <w:tab w:val="left" w:pos="2780"/>
        </w:tabs>
        <w:jc w:val="center"/>
        <w:rPr>
          <w:sz w:val="44"/>
          <w:szCs w:val="44"/>
        </w:rPr>
      </w:pPr>
    </w:p>
    <w:p w14:paraId="57F5F688" w14:textId="77777777" w:rsidR="00705F19" w:rsidRDefault="00705F19" w:rsidP="00705F19">
      <w:pPr>
        <w:tabs>
          <w:tab w:val="left" w:pos="2780"/>
        </w:tabs>
        <w:jc w:val="center"/>
        <w:rPr>
          <w:sz w:val="44"/>
          <w:szCs w:val="44"/>
        </w:rPr>
      </w:pPr>
    </w:p>
    <w:p w14:paraId="57F5F689" w14:textId="77777777" w:rsidR="00705F19" w:rsidRDefault="00705F19" w:rsidP="00705F19">
      <w:pPr>
        <w:tabs>
          <w:tab w:val="left" w:pos="2780"/>
        </w:tabs>
        <w:jc w:val="center"/>
        <w:rPr>
          <w:sz w:val="44"/>
          <w:szCs w:val="44"/>
        </w:rPr>
      </w:pPr>
    </w:p>
    <w:p w14:paraId="57F5F68A" w14:textId="77777777" w:rsidR="00705F19" w:rsidRDefault="00705F19" w:rsidP="00705F19">
      <w:pPr>
        <w:tabs>
          <w:tab w:val="left" w:pos="2780"/>
        </w:tabs>
        <w:jc w:val="center"/>
        <w:rPr>
          <w:sz w:val="44"/>
          <w:szCs w:val="44"/>
        </w:rPr>
      </w:pPr>
    </w:p>
    <w:p w14:paraId="57F5F68B" w14:textId="77777777" w:rsidR="00705F19" w:rsidRDefault="00705F19" w:rsidP="00705F19">
      <w:pPr>
        <w:tabs>
          <w:tab w:val="left" w:pos="2780"/>
        </w:tabs>
        <w:jc w:val="center"/>
        <w:rPr>
          <w:sz w:val="44"/>
          <w:szCs w:val="44"/>
        </w:rPr>
      </w:pPr>
    </w:p>
    <w:p w14:paraId="57F5F68C" w14:textId="77777777" w:rsidR="00705F19" w:rsidRDefault="00705F19" w:rsidP="00705F19">
      <w:pPr>
        <w:tabs>
          <w:tab w:val="left" w:pos="2780"/>
        </w:tabs>
        <w:jc w:val="center"/>
        <w:rPr>
          <w:sz w:val="44"/>
          <w:szCs w:val="44"/>
        </w:rPr>
      </w:pPr>
    </w:p>
    <w:p w14:paraId="57F5F68D" w14:textId="77777777" w:rsidR="00705F19" w:rsidRDefault="00705F19" w:rsidP="00705F19">
      <w:pPr>
        <w:tabs>
          <w:tab w:val="left" w:pos="2780"/>
        </w:tabs>
        <w:jc w:val="center"/>
        <w:rPr>
          <w:sz w:val="44"/>
          <w:szCs w:val="44"/>
        </w:rPr>
      </w:pPr>
    </w:p>
    <w:p w14:paraId="57F5F68E" w14:textId="77777777" w:rsidR="00705F19" w:rsidRDefault="00705F19" w:rsidP="00705F19">
      <w:pPr>
        <w:tabs>
          <w:tab w:val="left" w:pos="2780"/>
        </w:tabs>
        <w:jc w:val="center"/>
        <w:rPr>
          <w:sz w:val="44"/>
          <w:szCs w:val="44"/>
        </w:rPr>
      </w:pPr>
    </w:p>
    <w:p w14:paraId="57F5F68F" w14:textId="77777777" w:rsidR="00705F19" w:rsidRDefault="00705F19" w:rsidP="00705F19">
      <w:pPr>
        <w:tabs>
          <w:tab w:val="left" w:pos="2780"/>
        </w:tabs>
        <w:jc w:val="center"/>
        <w:rPr>
          <w:sz w:val="44"/>
          <w:szCs w:val="44"/>
        </w:rPr>
      </w:pPr>
      <w:r>
        <w:rPr>
          <w:sz w:val="44"/>
          <w:szCs w:val="44"/>
        </w:rPr>
        <w:t>ATTACHMENT 2</w:t>
      </w:r>
      <w:r w:rsidRPr="004A4514">
        <w:rPr>
          <w:sz w:val="44"/>
          <w:szCs w:val="44"/>
        </w:rPr>
        <w:t xml:space="preserve">: </w:t>
      </w:r>
      <w:r w:rsidR="00157BF0">
        <w:rPr>
          <w:sz w:val="44"/>
          <w:szCs w:val="44"/>
        </w:rPr>
        <w:br/>
      </w:r>
      <w:r>
        <w:rPr>
          <w:sz w:val="44"/>
          <w:szCs w:val="44"/>
        </w:rPr>
        <w:t xml:space="preserve">2014 PROGRAM EXPENDITURES </w:t>
      </w:r>
    </w:p>
    <w:p w14:paraId="57F5F690" w14:textId="77777777" w:rsidR="00705F19" w:rsidRDefault="00705F19" w:rsidP="00705F19">
      <w:pPr>
        <w:tabs>
          <w:tab w:val="left" w:pos="2780"/>
        </w:tabs>
        <w:rPr>
          <w:szCs w:val="26"/>
        </w:rPr>
      </w:pPr>
    </w:p>
    <w:p w14:paraId="57F5F691" w14:textId="77777777" w:rsidR="00705F19" w:rsidRDefault="00705F19" w:rsidP="00705F19">
      <w:pPr>
        <w:tabs>
          <w:tab w:val="left" w:pos="2780"/>
        </w:tabs>
        <w:rPr>
          <w:szCs w:val="26"/>
        </w:rPr>
      </w:pPr>
      <w:r>
        <w:rPr>
          <w:szCs w:val="26"/>
        </w:rPr>
        <w:t xml:space="preserve">Attachment 2 to this Resolution is a spreadsheet of the 2014 program expenditures, as reported to the </w:t>
      </w:r>
      <w:r w:rsidRPr="003447CA">
        <w:t>Commission</w:t>
      </w:r>
      <w:r>
        <w:rPr>
          <w:szCs w:val="26"/>
        </w:rPr>
        <w:t xml:space="preserve"> by the IOUs in their quarterly and monthly reports. The electronic spreadsheet separates costs for each program administrator into different tabs. Columns A and B of each tab note the Program ID number and Program Name, respectively. Columns H and I note the administrative costs, which were subtracted from the total expenditures in Columns L (quarterly reports) and M (monthly reports). Columns P and Q show the total expenditures less administrative spend using quarterly reports </w:t>
      </w:r>
      <w:r w:rsidR="00157BF0">
        <w:rPr>
          <w:szCs w:val="26"/>
        </w:rPr>
        <w:br/>
      </w:r>
      <w:r>
        <w:rPr>
          <w:szCs w:val="26"/>
        </w:rPr>
        <w:t>(Column P) and monthly reports (Column Q). Columns N and O show the differences between the monthly and quarterly reports.</w:t>
      </w:r>
    </w:p>
    <w:p w14:paraId="57F5F692" w14:textId="77777777" w:rsidR="00705F19" w:rsidRDefault="00705F19" w:rsidP="00705F19">
      <w:pPr>
        <w:tabs>
          <w:tab w:val="left" w:pos="2780"/>
        </w:tabs>
        <w:rPr>
          <w:szCs w:val="26"/>
        </w:rPr>
      </w:pPr>
    </w:p>
    <w:p w14:paraId="57F5F693" w14:textId="77777777" w:rsidR="00705F19" w:rsidRDefault="00705F19" w:rsidP="00705F19">
      <w:pPr>
        <w:tabs>
          <w:tab w:val="left" w:pos="2780"/>
        </w:tabs>
      </w:pPr>
      <w:r>
        <w:rPr>
          <w:szCs w:val="26"/>
        </w:rPr>
        <w:t>The total 2014 resource, non-resource, and codes and standards expenditures are noted in the Row 3 of cells in Columns V, W, and X, respectively (calculated by subtracting 2013 audited expenditures from 2013 and 2014 total expenditures filed with the ED Central Server).</w:t>
      </w:r>
    </w:p>
    <w:p w14:paraId="57F5F694" w14:textId="77777777" w:rsidR="00705F19" w:rsidRDefault="00705F19" w:rsidP="00705F19"/>
    <w:p w14:paraId="57F5F695" w14:textId="0EA81775" w:rsidR="002835A6" w:rsidRPr="008E0CF4" w:rsidRDefault="002835A6" w:rsidP="002835A6">
      <w:pPr>
        <w:spacing w:after="100" w:afterAutospacing="1"/>
      </w:pPr>
      <w:r>
        <w:t xml:space="preserve">The summary tables are available at </w:t>
      </w:r>
      <w:r w:rsidR="007C6E14" w:rsidRPr="007C6E14">
        <w:t xml:space="preserve"> http://www.cpuc.ca.gov/NR/rdonlyres/38D893E8-C509-4BD3-A445-6BB8EDA8C4C1/0/ESPI2014Analysis.xlsx</w:t>
      </w:r>
      <w:r w:rsidR="007C6E14">
        <w:t>.</w:t>
      </w:r>
    </w:p>
    <w:p w14:paraId="57F5F696" w14:textId="77777777" w:rsidR="00705F19" w:rsidRDefault="00705F19" w:rsidP="00705F19"/>
    <w:p w14:paraId="57F5F697" w14:textId="77777777" w:rsidR="00705F19" w:rsidRDefault="00705F19" w:rsidP="00705F19"/>
    <w:p w14:paraId="57F5F698" w14:textId="77777777" w:rsidR="00705F19" w:rsidRDefault="00705F19" w:rsidP="00705F19"/>
    <w:p w14:paraId="57F5F699" w14:textId="77777777" w:rsidR="00705F19" w:rsidRDefault="00705F19" w:rsidP="00705F19">
      <w:pPr>
        <w:tabs>
          <w:tab w:val="left" w:pos="2780"/>
        </w:tabs>
        <w:jc w:val="center"/>
        <w:rPr>
          <w:sz w:val="44"/>
          <w:szCs w:val="44"/>
        </w:rPr>
      </w:pPr>
    </w:p>
    <w:p w14:paraId="57F5F69A" w14:textId="77777777" w:rsidR="00705F19" w:rsidRDefault="00705F19" w:rsidP="00705F19">
      <w:pPr>
        <w:tabs>
          <w:tab w:val="left" w:pos="2780"/>
        </w:tabs>
        <w:jc w:val="center"/>
        <w:rPr>
          <w:sz w:val="44"/>
          <w:szCs w:val="44"/>
        </w:rPr>
      </w:pPr>
    </w:p>
    <w:p w14:paraId="57F5F69B" w14:textId="77777777" w:rsidR="00705F19" w:rsidRDefault="00705F19" w:rsidP="00705F19">
      <w:pPr>
        <w:tabs>
          <w:tab w:val="left" w:pos="2780"/>
        </w:tabs>
        <w:jc w:val="center"/>
        <w:rPr>
          <w:sz w:val="44"/>
          <w:szCs w:val="44"/>
        </w:rPr>
      </w:pPr>
    </w:p>
    <w:p w14:paraId="57F5F69C" w14:textId="77777777" w:rsidR="00705F19" w:rsidRDefault="00705F19" w:rsidP="00705F19">
      <w:pPr>
        <w:tabs>
          <w:tab w:val="left" w:pos="2780"/>
        </w:tabs>
        <w:jc w:val="center"/>
        <w:rPr>
          <w:sz w:val="44"/>
          <w:szCs w:val="44"/>
        </w:rPr>
      </w:pPr>
    </w:p>
    <w:p w14:paraId="57F5F69D" w14:textId="77777777" w:rsidR="00A8689F" w:rsidRDefault="00A8689F" w:rsidP="00EF30CD">
      <w:pPr>
        <w:tabs>
          <w:tab w:val="left" w:pos="2780"/>
        </w:tabs>
        <w:jc w:val="center"/>
        <w:rPr>
          <w:sz w:val="44"/>
          <w:szCs w:val="44"/>
        </w:rPr>
      </w:pPr>
      <w:r>
        <w:rPr>
          <w:sz w:val="44"/>
          <w:szCs w:val="44"/>
        </w:rPr>
        <w:lastRenderedPageBreak/>
        <w:t>ATTACHMENT 3</w:t>
      </w:r>
      <w:r w:rsidRPr="004A4514">
        <w:rPr>
          <w:sz w:val="44"/>
          <w:szCs w:val="44"/>
        </w:rPr>
        <w:t xml:space="preserve">: </w:t>
      </w:r>
      <w:r>
        <w:rPr>
          <w:sz w:val="44"/>
          <w:szCs w:val="44"/>
        </w:rPr>
        <w:t>2014 DEEMED EX ANTE SAVINGS</w:t>
      </w:r>
    </w:p>
    <w:p w14:paraId="57F5F69E" w14:textId="77777777" w:rsidR="00A8689F" w:rsidRPr="001E1E35" w:rsidRDefault="00A8689F" w:rsidP="00A8689F">
      <w:pPr>
        <w:tabs>
          <w:tab w:val="left" w:pos="2780"/>
        </w:tabs>
        <w:rPr>
          <w:szCs w:val="26"/>
        </w:rPr>
      </w:pPr>
    </w:p>
    <w:p w14:paraId="57F5F69F" w14:textId="77777777" w:rsidR="00A8689F" w:rsidRDefault="00A8689F" w:rsidP="00A8689F">
      <w:pPr>
        <w:spacing w:after="100" w:afterAutospacing="1"/>
      </w:pPr>
      <w:r>
        <w:t xml:space="preserve">Attachment 3 to this Resolution is series of summary tables of IOUs’ </w:t>
      </w:r>
      <w:r w:rsidR="00157BF0">
        <w:br/>
      </w:r>
      <w:r>
        <w:t>2014 deemed ex ante savings.  The summary tables were created from the utility-filed quarterly report that were</w:t>
      </w:r>
      <w:r w:rsidRPr="008E0CF4">
        <w:t xml:space="preserve"> rolled up into a summary table </w:t>
      </w:r>
      <w:r>
        <w:t>that retains</w:t>
      </w:r>
      <w:r w:rsidRPr="008E0CF4">
        <w:t xml:space="preserve"> measure-specific information by summing </w:t>
      </w:r>
      <w:r>
        <w:t>parameters</w:t>
      </w:r>
      <w:r w:rsidRPr="008E0CF4">
        <w:t xml:space="preserve"> of the </w:t>
      </w:r>
      <w:r>
        <w:t>records</w:t>
      </w:r>
      <w:r w:rsidRPr="008E0CF4">
        <w:t xml:space="preserve"> for each </w:t>
      </w:r>
      <w:r>
        <w:t>program administrator</w:t>
      </w:r>
      <w:r w:rsidRPr="008E0CF4">
        <w:t xml:space="preserve">.   Specifically, the records were rolled up based on: </w:t>
      </w:r>
      <w:r>
        <w:t>program administrator</w:t>
      </w:r>
      <w:r w:rsidRPr="008E0CF4">
        <w:t xml:space="preserve">, </w:t>
      </w:r>
      <w:r>
        <w:t>portfolio sub</w:t>
      </w:r>
      <w:r w:rsidRPr="008E0CF4">
        <w:t>program, measure name,</w:t>
      </w:r>
      <w:r>
        <w:t xml:space="preserve"> type of measure (normal replacement, early retirement, etc.), sector (residential, commercial, etc.),</w:t>
      </w:r>
      <w:r w:rsidRPr="008E0CF4">
        <w:t xml:space="preserve"> </w:t>
      </w:r>
      <w:r>
        <w:t>measure full life and replaced equipment remaining life</w:t>
      </w:r>
      <w:r w:rsidRPr="008E0CF4">
        <w:t>,</w:t>
      </w:r>
      <w:r>
        <w:t xml:space="preserve"> net-to-gross, installation rate, custom measure realization rate</w:t>
      </w:r>
      <w:r w:rsidRPr="008E0CF4">
        <w:t xml:space="preserve">, </w:t>
      </w:r>
      <w:r>
        <w:t>and</w:t>
      </w:r>
      <w:r w:rsidRPr="008E0CF4">
        <w:t xml:space="preserve"> a flag indicating if the record is </w:t>
      </w:r>
      <w:r>
        <w:t xml:space="preserve">for </w:t>
      </w:r>
      <w:r w:rsidRPr="008E0CF4">
        <w:t xml:space="preserve">a deemed </w:t>
      </w:r>
      <w:r>
        <w:t xml:space="preserve">savings </w:t>
      </w:r>
      <w:r w:rsidRPr="008E0CF4">
        <w:t xml:space="preserve">or custom </w:t>
      </w:r>
      <w:r>
        <w:t xml:space="preserve">savings calculation </w:t>
      </w:r>
      <w:r w:rsidRPr="008E0CF4">
        <w:t>measure</w:t>
      </w:r>
      <w:r>
        <w:t>. </w:t>
      </w:r>
    </w:p>
    <w:p w14:paraId="57F5F6A0" w14:textId="0894E495" w:rsidR="00A8689F" w:rsidRPr="008E0CF4" w:rsidRDefault="00A8689F" w:rsidP="00A8689F">
      <w:pPr>
        <w:spacing w:after="100" w:afterAutospacing="1"/>
      </w:pPr>
      <w:r>
        <w:t>The summary tables are available at</w:t>
      </w:r>
      <w:r w:rsidR="007C6E14" w:rsidRPr="007C6E14">
        <w:t xml:space="preserve"> http://www.cpuc.ca.gov/NR/rdonlyres/E8339572-20B1-4865-AC0F-CF23FBCE9604/0/DRAFT2014_ESPI_DeemedClaimsSummaryClaimsAdj14October2015Corrected20151102.xlsm</w:t>
      </w:r>
      <w:r w:rsidR="007C6E14">
        <w:t>.</w:t>
      </w:r>
      <w:r w:rsidR="002835A6">
        <w:t xml:space="preserve"> </w:t>
      </w:r>
    </w:p>
    <w:p w14:paraId="57F5F6A1" w14:textId="77777777" w:rsidR="00A8689F" w:rsidRPr="00423FEE" w:rsidRDefault="00A8689F" w:rsidP="00157BF0">
      <w:pPr>
        <w:spacing w:after="120"/>
      </w:pPr>
      <w:r w:rsidRPr="00423FEE">
        <w:t>The review targeted the following issues:</w:t>
      </w:r>
    </w:p>
    <w:p w14:paraId="57F5F6A2" w14:textId="77777777" w:rsidR="00A8689F" w:rsidRPr="00423FEE" w:rsidRDefault="00A8689F" w:rsidP="00A8689F">
      <w:pPr>
        <w:pStyle w:val="ListParagraph"/>
        <w:numPr>
          <w:ilvl w:val="0"/>
          <w:numId w:val="21"/>
        </w:numPr>
        <w:spacing w:after="120"/>
        <w:contextualSpacing w:val="0"/>
      </w:pPr>
      <w:r w:rsidRPr="00423FEE">
        <w:t>Removal of all Uncertain Measures from this advice letter filing,</w:t>
      </w:r>
    </w:p>
    <w:p w14:paraId="57F5F6A3" w14:textId="77777777" w:rsidR="00A8689F" w:rsidRDefault="00A8689F" w:rsidP="00A8689F">
      <w:pPr>
        <w:pStyle w:val="ListParagraph"/>
        <w:numPr>
          <w:ilvl w:val="0"/>
          <w:numId w:val="21"/>
        </w:numPr>
        <w:spacing w:after="120"/>
        <w:contextualSpacing w:val="0"/>
      </w:pPr>
      <w:r>
        <w:t>Consideration of market effects,</w:t>
      </w:r>
    </w:p>
    <w:p w14:paraId="57F5F6A4" w14:textId="77777777" w:rsidR="00A8689F" w:rsidRPr="00423FEE" w:rsidRDefault="00A8689F" w:rsidP="00A8689F">
      <w:pPr>
        <w:pStyle w:val="ListParagraph"/>
        <w:numPr>
          <w:ilvl w:val="0"/>
          <w:numId w:val="21"/>
        </w:numPr>
        <w:spacing w:after="120"/>
        <w:contextualSpacing w:val="0"/>
      </w:pPr>
      <w:r>
        <w:t>Proper application of Early Retirement (ER) policy and related effective and remaining useful life (EUL and RUL) values for add-on measures and measures with savings calculated over existing baselines</w:t>
      </w:r>
      <w:r w:rsidR="005B7506">
        <w:t>,</w:t>
      </w:r>
    </w:p>
    <w:p w14:paraId="57F5F6A5" w14:textId="77777777" w:rsidR="00A8689F" w:rsidRDefault="00A8689F" w:rsidP="00A8689F">
      <w:pPr>
        <w:pStyle w:val="ListParagraph"/>
        <w:numPr>
          <w:ilvl w:val="0"/>
          <w:numId w:val="21"/>
        </w:numPr>
        <w:spacing w:after="120"/>
        <w:contextualSpacing w:val="0"/>
      </w:pPr>
      <w:r w:rsidRPr="00423FEE">
        <w:t>Proper application of the Hard-to-Reach and Emerging Techn</w:t>
      </w:r>
      <w:r w:rsidR="005B7506">
        <w:t xml:space="preserve">ology </w:t>
      </w:r>
      <w:r w:rsidR="00157BF0">
        <w:br/>
      </w:r>
      <w:r w:rsidR="005B7506">
        <w:t>net-to-gross (NTG) values, and</w:t>
      </w:r>
    </w:p>
    <w:p w14:paraId="57F5F6A6" w14:textId="77777777" w:rsidR="005B7506" w:rsidRDefault="005B7506" w:rsidP="00157BF0">
      <w:pPr>
        <w:pStyle w:val="ListParagraph"/>
        <w:numPr>
          <w:ilvl w:val="0"/>
          <w:numId w:val="21"/>
        </w:numPr>
        <w:spacing w:after="240"/>
        <w:contextualSpacing w:val="0"/>
      </w:pPr>
      <w:r>
        <w:t>Removal of measures installed pre-2013.</w:t>
      </w:r>
    </w:p>
    <w:p w14:paraId="57F5F6A7" w14:textId="77777777" w:rsidR="00A8689F" w:rsidRDefault="00A8689F" w:rsidP="00157BF0">
      <w:pPr>
        <w:spacing w:after="100" w:afterAutospacing="1"/>
      </w:pPr>
      <w:r>
        <w:t>Staff classifies erroneous and inappropriate assignments of EUL and RUL into the three categories described below:</w:t>
      </w:r>
    </w:p>
    <w:p w14:paraId="57F5F6A8" w14:textId="77777777" w:rsidR="00157BF0" w:rsidRDefault="00157BF0" w:rsidP="00157BF0">
      <w:pPr>
        <w:spacing w:after="100" w:afterAutospacing="1"/>
      </w:pPr>
    </w:p>
    <w:p w14:paraId="57F5F6A9" w14:textId="77777777" w:rsidR="00A8689F" w:rsidRDefault="00A8689F" w:rsidP="00A8689F">
      <w:pPr>
        <w:pStyle w:val="ListParagraph"/>
        <w:numPr>
          <w:ilvl w:val="0"/>
          <w:numId w:val="26"/>
        </w:numPr>
        <w:spacing w:after="100" w:afterAutospacing="1"/>
        <w:ind w:left="360"/>
      </w:pPr>
      <w:r>
        <w:rPr>
          <w:b/>
          <w:u w:val="single"/>
        </w:rPr>
        <w:lastRenderedPageBreak/>
        <w:t>Use of high RUL or EUL for add-on measures:</w:t>
      </w:r>
      <w:r>
        <w:t xml:space="preserve"> The EUL of measures that add new technologies to existing equipment or systems is typically limited by the RUL of the existing equipment. </w:t>
      </w:r>
      <w:r w:rsidRPr="00777290">
        <w:t>These measures are commonly referred to as “Retrofit Add-on” or “REA” measures. Examples of REA measures are the addition of an air economizer onto an air conditioning system, installing insulation to a heated storage tank or the installation of night covers on open refrigerated cases.</w:t>
      </w:r>
      <w:r>
        <w:t xml:space="preserve"> </w:t>
      </w:r>
      <w:r w:rsidRPr="00777290">
        <w:t xml:space="preserve">Staff has revised these measures so that the </w:t>
      </w:r>
      <w:r>
        <w:t>EUL of the measure</w:t>
      </w:r>
      <w:r w:rsidRPr="00777290">
        <w:t xml:space="preserve"> is equal to the lower of the RUL of modified system or equipment and the EUL of the new component.</w:t>
      </w:r>
      <w:r>
        <w:t xml:space="preserve"> The RUL has been revised in all cases to be zero.</w:t>
      </w:r>
    </w:p>
    <w:p w14:paraId="57F5F6AA" w14:textId="77777777" w:rsidR="00A8689F" w:rsidRDefault="00A8689F" w:rsidP="00A8689F">
      <w:pPr>
        <w:pStyle w:val="ListParagraph"/>
        <w:spacing w:after="100" w:afterAutospacing="1"/>
        <w:ind w:left="920"/>
      </w:pPr>
    </w:p>
    <w:p w14:paraId="57F5F6AB" w14:textId="77777777" w:rsidR="00A8689F" w:rsidRDefault="00A8689F" w:rsidP="00A8689F">
      <w:pPr>
        <w:pStyle w:val="ListParagraph"/>
        <w:numPr>
          <w:ilvl w:val="0"/>
          <w:numId w:val="26"/>
        </w:numPr>
        <w:spacing w:after="100" w:afterAutospacing="1"/>
        <w:ind w:left="360"/>
      </w:pPr>
      <w:r>
        <w:rPr>
          <w:b/>
          <w:u w:val="single"/>
        </w:rPr>
        <w:t>Measures misclassified as add-on measures:</w:t>
      </w:r>
      <w:r>
        <w:t xml:space="preserve"> Some measures appear to be classified as REA, but actually are defined as a replacement of specific component of an existing operating system or piece of equipment with a more efficient component. </w:t>
      </w:r>
      <w:r w:rsidRPr="00044F71">
        <w:t>Examples of these types of measures are replacement of linear fluorescent lighting in refrigerated cases with LEDs and the replacement of wall switches for lighting with wall-box occupancy sensors.</w:t>
      </w:r>
      <w:r>
        <w:t xml:space="preserve"> Since the existing equipment cannot operate without the replaced component, these measures should have been classified as Early Retirement (ER) rather than REA. For these measures, the RUL has been revised to be </w:t>
      </w:r>
      <w:r w:rsidRPr="00777290">
        <w:t>the lower of the RUL of modified system or equipment an</w:t>
      </w:r>
      <w:r>
        <w:t>d the EUL of the new component, and the EUL has been set equal to the RUL.</w:t>
      </w:r>
    </w:p>
    <w:p w14:paraId="57F5F6AC" w14:textId="77777777" w:rsidR="00157BF0" w:rsidRDefault="00157BF0" w:rsidP="00157BF0">
      <w:pPr>
        <w:pStyle w:val="ListParagraph"/>
      </w:pPr>
    </w:p>
    <w:p w14:paraId="57F5F6AD" w14:textId="77777777" w:rsidR="00A8689F" w:rsidRPr="0033646B" w:rsidRDefault="00A8689F" w:rsidP="00157BF0">
      <w:pPr>
        <w:pStyle w:val="ListParagraph"/>
        <w:numPr>
          <w:ilvl w:val="0"/>
          <w:numId w:val="26"/>
        </w:numPr>
        <w:spacing w:after="100" w:afterAutospacing="1"/>
        <w:ind w:left="360"/>
      </w:pPr>
      <w:r w:rsidRPr="0033646B">
        <w:rPr>
          <w:b/>
          <w:u w:val="single"/>
        </w:rPr>
        <w:t xml:space="preserve">Measures misclassified as Replace-on-Burnout measures: </w:t>
      </w:r>
      <w:r w:rsidRPr="0033646B">
        <w:t xml:space="preserve">Any measure with savings calculated above a pre-existing condition implies an early retirement application. Where the measure is a replacement of a component of an existing system or piece of equipment, the EUL of the measure must be the lower of the RUL of modified system or equipment and the EUL of the new component. Staff has revised these measures to reflect this requirement. These measures are likely misclassified as ROB and should be classified as ER where the RUL is set to follow this requirement and the EUL is set equal to the RUL. </w:t>
      </w:r>
    </w:p>
    <w:p w14:paraId="57F5F6AE" w14:textId="77777777" w:rsidR="00157BF0" w:rsidRDefault="00157BF0" w:rsidP="00157BF0">
      <w:pPr>
        <w:pStyle w:val="ListParagraph"/>
      </w:pPr>
    </w:p>
    <w:p w14:paraId="57F5F6AF" w14:textId="77777777" w:rsidR="00A8689F" w:rsidRDefault="00A8689F" w:rsidP="00157BF0">
      <w:pPr>
        <w:spacing w:after="100" w:afterAutospacing="1"/>
      </w:pPr>
      <w:r>
        <w:t xml:space="preserve">Staff classifies the erroneous and inappropriate assignments of NTG into </w:t>
      </w:r>
      <w:r w:rsidR="00157BF0">
        <w:br/>
      </w:r>
      <w:r>
        <w:t>five categories as described below.</w:t>
      </w:r>
    </w:p>
    <w:p w14:paraId="57F5F6B0" w14:textId="77777777" w:rsidR="00A8689F" w:rsidRDefault="00A8689F" w:rsidP="00A8689F">
      <w:pPr>
        <w:pStyle w:val="ListParagraph"/>
        <w:numPr>
          <w:ilvl w:val="0"/>
          <w:numId w:val="27"/>
        </w:numPr>
        <w:spacing w:after="100" w:afterAutospacing="1"/>
      </w:pPr>
      <w:r w:rsidRPr="0033646B">
        <w:rPr>
          <w:b/>
          <w:u w:val="single"/>
        </w:rPr>
        <w:t>Possible error in NTG assignment:</w:t>
      </w:r>
      <w:r w:rsidRPr="00B43046">
        <w:t xml:space="preserve"> </w:t>
      </w:r>
      <w:r>
        <w:t xml:space="preserve">Some measures </w:t>
      </w:r>
      <w:r w:rsidRPr="00B43046">
        <w:t xml:space="preserve">appear to have incorrect NTG assignments. For example, several non-lighting measures appear to be </w:t>
      </w:r>
      <w:r w:rsidRPr="00B43046">
        <w:lastRenderedPageBreak/>
        <w:t>assigned NTG values that are only applicable for lighting measures for direct install to hard-to-reach customers (0.89 for T8 linear fluorescent and 0.8 for commercial CFLs).</w:t>
      </w:r>
    </w:p>
    <w:p w14:paraId="57F5F6B1" w14:textId="77777777" w:rsidR="00A8689F" w:rsidRPr="0033646B" w:rsidRDefault="00A8689F" w:rsidP="00A8689F">
      <w:pPr>
        <w:pStyle w:val="ListParagraph"/>
        <w:spacing w:after="100" w:afterAutospacing="1"/>
        <w:ind w:left="360"/>
      </w:pPr>
    </w:p>
    <w:p w14:paraId="57F5F6B2" w14:textId="77777777" w:rsidR="00A8689F" w:rsidRDefault="00A8689F" w:rsidP="00A8689F">
      <w:pPr>
        <w:pStyle w:val="ListParagraph"/>
        <w:numPr>
          <w:ilvl w:val="0"/>
          <w:numId w:val="27"/>
        </w:numPr>
        <w:spacing w:after="100" w:afterAutospacing="1"/>
      </w:pPr>
      <w:r w:rsidRPr="0033646B">
        <w:rPr>
          <w:b/>
          <w:u w:val="single"/>
        </w:rPr>
        <w:t>Use of direct install to hard-to-reach customer default:</w:t>
      </w:r>
      <w:r w:rsidRPr="00B43046">
        <w:t xml:space="preserve"> It appears that all </w:t>
      </w:r>
      <w:r>
        <w:t>utilities</w:t>
      </w:r>
      <w:r w:rsidRPr="00B43046">
        <w:t xml:space="preserve"> are assigning NTG values from the category of “direct install to </w:t>
      </w:r>
      <w:r w:rsidR="00157BF0">
        <w:br/>
      </w:r>
      <w:r w:rsidRPr="00B43046">
        <w:t>hard-to-</w:t>
      </w:r>
      <w:r>
        <w:t>reach customers” for local government and third-party</w:t>
      </w:r>
      <w:r w:rsidRPr="00B43046">
        <w:t xml:space="preserve"> programs. </w:t>
      </w:r>
      <w:r w:rsidRPr="0033646B">
        <w:rPr>
          <w:i/>
        </w:rPr>
        <w:t xml:space="preserve">This NTG designation is NOT for activities that are either direct install OR to </w:t>
      </w:r>
      <w:r w:rsidR="00157BF0">
        <w:rPr>
          <w:i/>
        </w:rPr>
        <w:br/>
      </w:r>
      <w:r w:rsidRPr="0033646B">
        <w:rPr>
          <w:i/>
        </w:rPr>
        <w:t>hard-to-reach customer, but instead they are only for direct install activities into hard-to-reach customer facilities/homes</w:t>
      </w:r>
      <w:r>
        <w:t>.</w:t>
      </w:r>
    </w:p>
    <w:p w14:paraId="57F5F6B3" w14:textId="77777777" w:rsidR="00A8689F" w:rsidRDefault="00A8689F" w:rsidP="00A8689F">
      <w:pPr>
        <w:pStyle w:val="ListParagraph"/>
      </w:pPr>
    </w:p>
    <w:p w14:paraId="57F5F6B4" w14:textId="77777777" w:rsidR="00A8689F" w:rsidRDefault="00A8689F" w:rsidP="00A8689F">
      <w:pPr>
        <w:spacing w:after="100" w:afterAutospacing="1"/>
      </w:pPr>
      <w:r>
        <w:t>S</w:t>
      </w:r>
      <w:r w:rsidRPr="00B43046">
        <w:t xml:space="preserve">pecific criteria </w:t>
      </w:r>
      <w:r>
        <w:t>were developed by staff to be used in classifying a</w:t>
      </w:r>
      <w:r w:rsidRPr="00B43046">
        <w:t xml:space="preserve"> customer </w:t>
      </w:r>
      <w:r>
        <w:t xml:space="preserve">as </w:t>
      </w:r>
      <w:r w:rsidRPr="00B43046">
        <w:t>hard-to-reach</w:t>
      </w:r>
      <w:r>
        <w:t>. Two criteria are considered sufficient if one of the criteria met is the geographic criteria defined below. There are common, as well as separate, criteria when defining hard-to-reach for residential versus small business customers. The barriers common to both include:</w:t>
      </w:r>
    </w:p>
    <w:p w14:paraId="57F5F6B5" w14:textId="77777777" w:rsidR="00A8689F" w:rsidRDefault="00A8689F" w:rsidP="00A8689F">
      <w:pPr>
        <w:pStyle w:val="ListParagraph"/>
        <w:numPr>
          <w:ilvl w:val="0"/>
          <w:numId w:val="28"/>
        </w:numPr>
        <w:spacing w:after="120"/>
      </w:pPr>
      <w:r>
        <w:t>Those customers who do not have easy access to program information or generally do not participate in energy efficiency programs due to a combination of language, business size, geographic, and lease (split incentive) barriers. These barriers to consider include:</w:t>
      </w:r>
    </w:p>
    <w:p w14:paraId="57F5F6B6" w14:textId="77777777" w:rsidR="00A8689F" w:rsidRDefault="00A8689F" w:rsidP="00A8689F">
      <w:pPr>
        <w:pStyle w:val="ListParagraph"/>
        <w:spacing w:after="120"/>
        <w:ind w:left="360"/>
      </w:pPr>
    </w:p>
    <w:p w14:paraId="57F5F6B7" w14:textId="77777777" w:rsidR="00A8689F" w:rsidRDefault="00A8689F" w:rsidP="00A8689F">
      <w:pPr>
        <w:pStyle w:val="ListParagraph"/>
        <w:numPr>
          <w:ilvl w:val="1"/>
          <w:numId w:val="28"/>
        </w:numPr>
        <w:spacing w:after="120"/>
      </w:pPr>
      <w:r w:rsidRPr="00423FEE">
        <w:t>Language</w:t>
      </w:r>
      <w:r w:rsidRPr="0033646B">
        <w:rPr>
          <w:i/>
        </w:rPr>
        <w:t xml:space="preserve"> –</w:t>
      </w:r>
      <w:r>
        <w:t xml:space="preserve"> Primary language spoken is other than English, and/or</w:t>
      </w:r>
    </w:p>
    <w:p w14:paraId="57F5F6B8" w14:textId="77777777" w:rsidR="00A8689F" w:rsidRDefault="00A8689F" w:rsidP="00A8689F">
      <w:pPr>
        <w:pStyle w:val="ListParagraph"/>
        <w:spacing w:after="120"/>
        <w:ind w:left="1080"/>
      </w:pPr>
    </w:p>
    <w:p w14:paraId="57F5F6B9" w14:textId="77777777" w:rsidR="00A8689F" w:rsidRDefault="00A8689F" w:rsidP="00A8689F">
      <w:pPr>
        <w:pStyle w:val="ListParagraph"/>
        <w:numPr>
          <w:ilvl w:val="1"/>
          <w:numId w:val="28"/>
        </w:numPr>
        <w:spacing w:after="120"/>
      </w:pPr>
      <w:r w:rsidRPr="00423FEE">
        <w:t>Geographic</w:t>
      </w:r>
      <w:r w:rsidRPr="0033646B">
        <w:rPr>
          <w:i/>
        </w:rPr>
        <w:t xml:space="preserve"> – </w:t>
      </w:r>
      <w:r>
        <w:t>Businesses or homes in areas other than the United States Office of Management and Budget Combined Statistical Areas of the San Francisco Bay Area, the Greater Los Angeles Area  and the Greater Sacramento Area or the Office of Management and Budget metropolitan statistical areas of San Diego County.</w:t>
      </w:r>
    </w:p>
    <w:p w14:paraId="57F5F6BA" w14:textId="77777777" w:rsidR="00A8689F" w:rsidRDefault="00A8689F" w:rsidP="00A8689F">
      <w:pPr>
        <w:pStyle w:val="ListParagraph"/>
      </w:pPr>
    </w:p>
    <w:p w14:paraId="57F5F6BB" w14:textId="77777777" w:rsidR="00A8689F" w:rsidRDefault="00A8689F" w:rsidP="00A8689F">
      <w:pPr>
        <w:pStyle w:val="ListParagraph"/>
        <w:numPr>
          <w:ilvl w:val="0"/>
          <w:numId w:val="28"/>
        </w:numPr>
        <w:spacing w:after="120"/>
      </w:pPr>
      <w:r>
        <w:t>For small business added criteria to the above to consider:</w:t>
      </w:r>
    </w:p>
    <w:p w14:paraId="57F5F6BC" w14:textId="77777777" w:rsidR="00A8689F" w:rsidRDefault="00A8689F" w:rsidP="00A8689F">
      <w:pPr>
        <w:pStyle w:val="ListParagraph"/>
        <w:spacing w:after="120"/>
        <w:ind w:left="360"/>
      </w:pPr>
    </w:p>
    <w:p w14:paraId="57F5F6BD" w14:textId="77777777" w:rsidR="00A8689F" w:rsidRDefault="00A8689F" w:rsidP="00A8689F">
      <w:pPr>
        <w:pStyle w:val="ListParagraph"/>
        <w:numPr>
          <w:ilvl w:val="1"/>
          <w:numId w:val="28"/>
        </w:numPr>
        <w:spacing w:after="120"/>
      </w:pPr>
      <w:r w:rsidRPr="00423FEE">
        <w:t>Business Size</w:t>
      </w:r>
      <w:r w:rsidRPr="0033646B">
        <w:rPr>
          <w:i/>
        </w:rPr>
        <w:t xml:space="preserve"> – </w:t>
      </w:r>
      <w:r>
        <w:t>Less than ten employees and/or classified as Very Small (Customers whose annual electric demand is less than 20kW, or whose annual gas consumption is less than 10,000 therm, or both) , and/or</w:t>
      </w:r>
    </w:p>
    <w:p w14:paraId="57F5F6BE" w14:textId="77777777" w:rsidR="00A8689F" w:rsidRDefault="00A8689F" w:rsidP="00A8689F">
      <w:pPr>
        <w:pStyle w:val="ListParagraph"/>
        <w:spacing w:after="120"/>
        <w:ind w:left="1080"/>
      </w:pPr>
    </w:p>
    <w:p w14:paraId="57F5F6BF" w14:textId="77777777" w:rsidR="00A8689F" w:rsidRDefault="00A8689F" w:rsidP="00A8689F">
      <w:pPr>
        <w:pStyle w:val="ListParagraph"/>
        <w:numPr>
          <w:ilvl w:val="2"/>
          <w:numId w:val="28"/>
        </w:numPr>
        <w:spacing w:after="120"/>
      </w:pPr>
      <w:r w:rsidRPr="00423FEE">
        <w:lastRenderedPageBreak/>
        <w:t>Leased or Rented Facilities</w:t>
      </w:r>
      <w:r w:rsidRPr="0033646B">
        <w:rPr>
          <w:i/>
        </w:rPr>
        <w:t xml:space="preserve"> – </w:t>
      </w:r>
      <w:r>
        <w:t>Investments in improvements to a facility rented or leased by a participating business customer</w:t>
      </w:r>
    </w:p>
    <w:p w14:paraId="57F5F6C0" w14:textId="77777777" w:rsidR="00A8689F" w:rsidRDefault="00A8689F" w:rsidP="00A8689F">
      <w:pPr>
        <w:pStyle w:val="ListParagraph"/>
        <w:spacing w:after="120"/>
        <w:ind w:left="1800"/>
      </w:pPr>
    </w:p>
    <w:p w14:paraId="57F5F6C1" w14:textId="77777777" w:rsidR="00A8689F" w:rsidRDefault="00A8689F" w:rsidP="00A8689F">
      <w:pPr>
        <w:pStyle w:val="ListParagraph"/>
        <w:numPr>
          <w:ilvl w:val="1"/>
          <w:numId w:val="22"/>
        </w:numPr>
        <w:spacing w:after="120"/>
        <w:ind w:left="1080"/>
        <w:contextualSpacing w:val="0"/>
      </w:pPr>
      <w:r>
        <w:t>For residential added criteria to the above to consider:</w:t>
      </w:r>
    </w:p>
    <w:p w14:paraId="57F5F6C2" w14:textId="77777777" w:rsidR="00A8689F" w:rsidRDefault="00A8689F" w:rsidP="00A8689F">
      <w:pPr>
        <w:pStyle w:val="ListParagraph"/>
        <w:numPr>
          <w:ilvl w:val="2"/>
          <w:numId w:val="22"/>
        </w:numPr>
        <w:spacing w:after="120"/>
        <w:ind w:left="1800"/>
        <w:contextualSpacing w:val="0"/>
      </w:pPr>
      <w:r w:rsidRPr="00423FEE">
        <w:t>Income</w:t>
      </w:r>
      <w:r w:rsidRPr="00281C7F">
        <w:rPr>
          <w:i/>
        </w:rPr>
        <w:t xml:space="preserve"> –</w:t>
      </w:r>
      <w:r>
        <w:t xml:space="preserve"> Those customers who qualify for the California Alternative Rates for Energy (CARE) or the Family Electric Rate Assistance Program (FERA), and/or</w:t>
      </w:r>
    </w:p>
    <w:p w14:paraId="57F5F6C3" w14:textId="77777777" w:rsidR="00A8689F" w:rsidRDefault="00A8689F" w:rsidP="00A8689F">
      <w:pPr>
        <w:pStyle w:val="ListParagraph"/>
        <w:numPr>
          <w:ilvl w:val="2"/>
          <w:numId w:val="22"/>
        </w:numPr>
        <w:spacing w:after="120"/>
        <w:ind w:left="1800"/>
        <w:contextualSpacing w:val="0"/>
      </w:pPr>
      <w:r w:rsidRPr="00423FEE">
        <w:t>Housing Type</w:t>
      </w:r>
      <w:r w:rsidRPr="00281C7F">
        <w:rPr>
          <w:i/>
        </w:rPr>
        <w:t xml:space="preserve"> – </w:t>
      </w:r>
      <w:r>
        <w:t>Multi-family and Mobile Home Tenants (rent and lease)</w:t>
      </w:r>
    </w:p>
    <w:p w14:paraId="57F5F6C4" w14:textId="77777777" w:rsidR="00A8689F" w:rsidRPr="00B43046" w:rsidRDefault="00A8689F" w:rsidP="00157BF0">
      <w:pPr>
        <w:spacing w:after="240"/>
      </w:pPr>
      <w:r>
        <w:t>In place of</w:t>
      </w:r>
      <w:r w:rsidRPr="00B43046">
        <w:t xml:space="preserve"> the </w:t>
      </w:r>
      <w:r>
        <w:t>direct install hard-to-reach</w:t>
      </w:r>
      <w:r w:rsidRPr="00B43046">
        <w:t xml:space="preserve"> </w:t>
      </w:r>
      <w:r>
        <w:t xml:space="preserve">NTG values </w:t>
      </w:r>
      <w:r w:rsidRPr="00B43046">
        <w:t xml:space="preserve">(0.89 for T8 linear fluorescent, 0.80 for commercial CFL, and 0.85 for all other technologies) </w:t>
      </w:r>
      <w:r>
        <w:t xml:space="preserve">for measure installations at the facilities and homes of customers who do not meet the hard-to-reach minimum criteria, staff </w:t>
      </w:r>
      <w:r w:rsidRPr="00B43046">
        <w:t>expects the us</w:t>
      </w:r>
      <w:r>
        <w:t xml:space="preserve">e of more appropriate defaults, </w:t>
      </w:r>
      <w:r w:rsidRPr="00B43046">
        <w:t xml:space="preserve">most commonly </w:t>
      </w:r>
      <w:r>
        <w:t>0.55</w:t>
      </w:r>
      <w:r w:rsidRPr="00B43046">
        <w:t xml:space="preserve"> to 0.7</w:t>
      </w:r>
      <w:r>
        <w:t>0 for residential sectors and 0.60 to 0.70 for commercial, industrial and agricultural sectors</w:t>
      </w:r>
      <w:r w:rsidRPr="00B43046">
        <w:t>.</w:t>
      </w:r>
    </w:p>
    <w:p w14:paraId="57F5F6C5" w14:textId="77777777" w:rsidR="00A8689F" w:rsidRDefault="00A8689F" w:rsidP="00A8689F">
      <w:pPr>
        <w:pStyle w:val="ListParagraph"/>
        <w:numPr>
          <w:ilvl w:val="0"/>
          <w:numId w:val="30"/>
        </w:numPr>
        <w:spacing w:afterAutospacing="1" w:line="276" w:lineRule="auto"/>
      </w:pPr>
      <w:r w:rsidRPr="0033646B">
        <w:rPr>
          <w:b/>
          <w:u w:val="single"/>
        </w:rPr>
        <w:t>Use of Emerging Technology default:</w:t>
      </w:r>
      <w:r w:rsidRPr="00B43046">
        <w:t xml:space="preserve"> It appears that all </w:t>
      </w:r>
      <w:r>
        <w:t>program administrators</w:t>
      </w:r>
      <w:r w:rsidRPr="00B43046">
        <w:t xml:space="preserve"> are assigni</w:t>
      </w:r>
      <w:r>
        <w:t xml:space="preserve">ng the Emerging Technology </w:t>
      </w:r>
      <w:r w:rsidRPr="00B43046">
        <w:t>default of 0.85 to all LED measures. It is not clear of the basis for this assignment. Sinc</w:t>
      </w:r>
      <w:r>
        <w:t>e many LED measures appear in third party</w:t>
      </w:r>
      <w:r w:rsidRPr="00B43046">
        <w:t xml:space="preserve"> or </w:t>
      </w:r>
      <w:r>
        <w:t>local government partnership</w:t>
      </w:r>
      <w:r w:rsidRPr="00B43046">
        <w:t xml:space="preserve"> programs, these may also be assigned the </w:t>
      </w:r>
      <w:r>
        <w:t>hard-to-reach</w:t>
      </w:r>
      <w:r w:rsidRPr="00B43046">
        <w:t xml:space="preserve"> defaults as described above. As directed in D.12-05-015, </w:t>
      </w:r>
      <w:r>
        <w:t>program administrators</w:t>
      </w:r>
      <w:r w:rsidRPr="00B43046">
        <w:t xml:space="preserve"> must </w:t>
      </w:r>
      <w:r>
        <w:t xml:space="preserve">propose and </w:t>
      </w:r>
      <w:r w:rsidRPr="00B43046">
        <w:t xml:space="preserve">request approval from </w:t>
      </w:r>
      <w:r>
        <w:t xml:space="preserve">staff </w:t>
      </w:r>
      <w:r w:rsidRPr="00B43046">
        <w:t xml:space="preserve">for the use of the </w:t>
      </w:r>
      <w:r>
        <w:t>emerging technology</w:t>
      </w:r>
      <w:r w:rsidRPr="00B43046">
        <w:t xml:space="preserve"> default. Additionally, D.12-05-015 re</w:t>
      </w:r>
      <w:r>
        <w:t>quires that, in order for the emerging technology</w:t>
      </w:r>
      <w:r w:rsidRPr="00B43046">
        <w:t xml:space="preserve"> default to be used, the measure </w:t>
      </w:r>
      <w:r>
        <w:t>inclusion into the portfolio</w:t>
      </w:r>
      <w:r w:rsidRPr="00B43046">
        <w:t xml:space="preserve"> must </w:t>
      </w:r>
      <w:r>
        <w:t xml:space="preserve">be </w:t>
      </w:r>
      <w:r w:rsidRPr="00B43046">
        <w:t xml:space="preserve">directly </w:t>
      </w:r>
      <w:r>
        <w:t>attributable to the emerging technology program activity</w:t>
      </w:r>
      <w:r w:rsidRPr="00B43046">
        <w:t xml:space="preserve">. </w:t>
      </w:r>
      <w:r>
        <w:t>Simply including the emerging technology NTG designation in a workpaper or other document, with no documentation to support the emerging technology program influence claim, is not sufficient.</w:t>
      </w:r>
    </w:p>
    <w:p w14:paraId="57F5F6C6" w14:textId="77777777" w:rsidR="00A8689F" w:rsidRPr="0033646B" w:rsidRDefault="00A8689F" w:rsidP="00A8689F">
      <w:pPr>
        <w:pStyle w:val="ListParagraph"/>
        <w:spacing w:afterAutospacing="1" w:line="276" w:lineRule="auto"/>
        <w:ind w:left="360"/>
      </w:pPr>
    </w:p>
    <w:p w14:paraId="57F5F6C7" w14:textId="77777777" w:rsidR="00A8689F" w:rsidRPr="00423FEE" w:rsidRDefault="00A8689F" w:rsidP="00157BF0">
      <w:pPr>
        <w:pStyle w:val="ListParagraph"/>
        <w:numPr>
          <w:ilvl w:val="0"/>
          <w:numId w:val="29"/>
        </w:numPr>
        <w:spacing w:after="100" w:afterAutospacing="1" w:line="276" w:lineRule="auto"/>
      </w:pPr>
      <w:r w:rsidRPr="0033646B">
        <w:rPr>
          <w:b/>
          <w:u w:val="single"/>
        </w:rPr>
        <w:t>Use of NTG value that is not in DEER:</w:t>
      </w:r>
      <w:r w:rsidRPr="00B43046">
        <w:t xml:space="preserve"> </w:t>
      </w:r>
      <w:r>
        <w:t>Values that</w:t>
      </w:r>
      <w:r w:rsidRPr="00B43046">
        <w:t xml:space="preserve"> appear</w:t>
      </w:r>
      <w:r>
        <w:t xml:space="preserve"> to be from</w:t>
      </w:r>
      <w:r w:rsidRPr="00B43046">
        <w:t xml:space="preserve"> earlier versions of DEER</w:t>
      </w:r>
      <w:r>
        <w:t>. For example, a number duct sealing claims report an NTG value of 0.46 instead of the residential default of 0.55.</w:t>
      </w:r>
    </w:p>
    <w:sectPr w:rsidR="00A8689F" w:rsidRPr="00423FEE">
      <w:headerReference w:type="default" r:id="rId23"/>
      <w:footerReference w:type="default" r:id="rId24"/>
      <w:headerReference w:type="first" r:id="rId25"/>
      <w:footerReference w:type="first" r:id="rId2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AB7EC" w14:textId="77777777" w:rsidR="00296218" w:rsidRDefault="00296218">
      <w:r>
        <w:separator/>
      </w:r>
    </w:p>
  </w:endnote>
  <w:endnote w:type="continuationSeparator" w:id="0">
    <w:p w14:paraId="0E243360" w14:textId="77777777" w:rsidR="00296218" w:rsidRDefault="0029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altName w:val="Times New Roman"/>
    <w:panose1 w:val="02040502050505030304"/>
    <w:charset w:val="00"/>
    <w:family w:val="roman"/>
    <w:pitch w:val="variable"/>
    <w:sig w:usb0="E0000287" w:usb1="40000013"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8E6B1" w14:textId="77777777" w:rsidR="004A4B9A" w:rsidRDefault="004A4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06336"/>
      <w:docPartObj>
        <w:docPartGallery w:val="Page Numbers (Bottom of Page)"/>
        <w:docPartUnique/>
      </w:docPartObj>
    </w:sdtPr>
    <w:sdtEndPr>
      <w:rPr>
        <w:noProof/>
      </w:rPr>
    </w:sdtEndPr>
    <w:sdtContent>
      <w:p w14:paraId="57F5F6D3" w14:textId="77777777" w:rsidR="002505E6" w:rsidRDefault="002505E6">
        <w:pPr>
          <w:pStyle w:val="Footer"/>
        </w:pPr>
        <w:r>
          <w:fldChar w:fldCharType="begin"/>
        </w:r>
        <w:r>
          <w:instrText xml:space="preserve"> PAGE   \* MERGEFORMAT </w:instrText>
        </w:r>
        <w:r>
          <w:fldChar w:fldCharType="separate"/>
        </w:r>
        <w:r w:rsidR="00C25372">
          <w:rPr>
            <w:noProof/>
          </w:rPr>
          <w:t>50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242874"/>
      <w:docPartObj>
        <w:docPartGallery w:val="Page Numbers (Bottom of Page)"/>
        <w:docPartUnique/>
      </w:docPartObj>
    </w:sdtPr>
    <w:sdtEndPr>
      <w:rPr>
        <w:noProof/>
      </w:rPr>
    </w:sdtEndPr>
    <w:sdtContent>
      <w:p w14:paraId="57F5F6D5" w14:textId="2E4B6000" w:rsidR="002505E6" w:rsidRDefault="007A1987" w:rsidP="00DB05C8">
        <w:pPr>
          <w:pStyle w:val="Footer"/>
          <w:jc w:val="left"/>
        </w:pPr>
        <w:r>
          <w:rPr>
            <w:rFonts w:ascii="Tahoma" w:hAnsi="Tahoma" w:cs="Tahoma"/>
            <w:sz w:val="17"/>
            <w:szCs w:val="17"/>
          </w:rPr>
          <w:t>156208939</w:t>
        </w:r>
        <w:r w:rsidR="002505E6">
          <w:rPr>
            <w:rFonts w:ascii="Tahoma" w:hAnsi="Tahoma" w:cs="Tahoma"/>
            <w:sz w:val="17"/>
            <w:szCs w:val="17"/>
          </w:rPr>
          <w:tab/>
        </w:r>
        <w:r w:rsidR="002505E6">
          <w:fldChar w:fldCharType="begin"/>
        </w:r>
        <w:r w:rsidR="002505E6">
          <w:instrText xml:space="preserve"> PAGE   \* MERGEFORMAT </w:instrText>
        </w:r>
        <w:r w:rsidR="002505E6">
          <w:fldChar w:fldCharType="separate"/>
        </w:r>
        <w:r w:rsidR="00C25372">
          <w:rPr>
            <w:noProof/>
          </w:rPr>
          <w:t>1</w:t>
        </w:r>
        <w:r w:rsidR="002505E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40363"/>
      <w:docPartObj>
        <w:docPartGallery w:val="Page Numbers (Bottom of Page)"/>
        <w:docPartUnique/>
      </w:docPartObj>
    </w:sdtPr>
    <w:sdtEndPr>
      <w:rPr>
        <w:noProof/>
      </w:rPr>
    </w:sdtEndPr>
    <w:sdtContent>
      <w:p w14:paraId="57F5F6D9" w14:textId="77777777" w:rsidR="002505E6" w:rsidRDefault="002505E6">
        <w:pPr>
          <w:pStyle w:val="Footer"/>
        </w:pPr>
        <w:r>
          <w:fldChar w:fldCharType="begin"/>
        </w:r>
        <w:r>
          <w:instrText xml:space="preserve"> PAGE   \* MERGEFORMAT </w:instrText>
        </w:r>
        <w:r>
          <w:fldChar w:fldCharType="separate"/>
        </w:r>
        <w:r w:rsidR="00C25372">
          <w:rPr>
            <w:noProof/>
          </w:rPr>
          <w:t>54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DD" w14:textId="77777777" w:rsidR="002505E6" w:rsidRDefault="002505E6" w:rsidP="001341E5">
    <w:pPr>
      <w:pStyle w:val="Footer"/>
    </w:pPr>
    <w:r>
      <w:fldChar w:fldCharType="begin"/>
    </w:r>
    <w:r>
      <w:instrText xml:space="preserve"> PAGE   \* MERGEFORMAT </w:instrText>
    </w:r>
    <w:r>
      <w:fldChar w:fldCharType="separate"/>
    </w:r>
    <w:r w:rsidR="00C25372">
      <w:rPr>
        <w:noProof/>
      </w:rPr>
      <w:t>51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E1" w14:textId="77777777" w:rsidR="002505E6" w:rsidRDefault="002505E6">
    <w:pPr>
      <w:pStyle w:val="Footer"/>
    </w:pPr>
    <w:r>
      <w:rPr>
        <w:rStyle w:val="PageNumber"/>
      </w:rPr>
      <w:fldChar w:fldCharType="begin"/>
    </w:r>
    <w:r>
      <w:rPr>
        <w:rStyle w:val="PageNumber"/>
      </w:rPr>
      <w:instrText xml:space="preserve"> PAGE </w:instrText>
    </w:r>
    <w:r>
      <w:rPr>
        <w:rStyle w:val="PageNumber"/>
      </w:rPr>
      <w:fldChar w:fldCharType="separate"/>
    </w:r>
    <w:r w:rsidR="00C25372">
      <w:rPr>
        <w:rStyle w:val="PageNumber"/>
        <w:noProof/>
      </w:rPr>
      <w:t>59</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E3" w14:textId="77777777" w:rsidR="002505E6" w:rsidRDefault="002505E6">
    <w:pPr>
      <w:pStyle w:val="Footer"/>
      <w:tabs>
        <w:tab w:val="clear" w:pos="4320"/>
        <w:tab w:val="center" w:pos="4680"/>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521F0" w14:textId="77777777" w:rsidR="00296218" w:rsidRDefault="00296218">
      <w:r>
        <w:separator/>
      </w:r>
    </w:p>
  </w:footnote>
  <w:footnote w:type="continuationSeparator" w:id="0">
    <w:p w14:paraId="76FE1154" w14:textId="77777777" w:rsidR="00296218" w:rsidRDefault="00296218">
      <w:r>
        <w:continuationSeparator/>
      </w:r>
    </w:p>
  </w:footnote>
  <w:footnote w:type="continuationNotice" w:id="1">
    <w:p w14:paraId="6AE927D1" w14:textId="77777777" w:rsidR="00296218" w:rsidRDefault="00296218">
      <w:pPr>
        <w:rPr>
          <w:sz w:val="22"/>
        </w:rPr>
      </w:pPr>
    </w:p>
    <w:p w14:paraId="0DA9799C" w14:textId="77777777" w:rsidR="00296218" w:rsidRDefault="00296218">
      <w:pPr>
        <w:jc w:val="right"/>
        <w:rPr>
          <w:sz w:val="22"/>
        </w:rPr>
      </w:pPr>
      <w:r>
        <w:rPr>
          <w:i/>
          <w:sz w:val="22"/>
        </w:rPr>
        <w:t>Footnote continued on next page</w:t>
      </w:r>
    </w:p>
  </w:footnote>
  <w:footnote w:id="2">
    <w:p w14:paraId="57F5F6E4" w14:textId="77777777" w:rsidR="002505E6" w:rsidRDefault="002505E6" w:rsidP="00D261DB">
      <w:pPr>
        <w:pStyle w:val="FootnoteText"/>
        <w:numPr>
          <w:ilvl w:val="0"/>
          <w:numId w:val="0"/>
        </w:numPr>
        <w:spacing w:after="120"/>
      </w:pPr>
      <w:r>
        <w:rPr>
          <w:rStyle w:val="FootnoteReference"/>
        </w:rPr>
        <w:footnoteRef/>
      </w:r>
      <w:r>
        <w:t xml:space="preserve"> A resource program is defined as an energy efficiency program that is intended to achieve and report quantified energy savings.</w:t>
      </w:r>
    </w:p>
  </w:footnote>
  <w:footnote w:id="3">
    <w:p w14:paraId="57F5F6E5" w14:textId="77777777" w:rsidR="002505E6" w:rsidRDefault="002505E6" w:rsidP="00D261DB">
      <w:pPr>
        <w:pStyle w:val="FootnoteText"/>
        <w:numPr>
          <w:ilvl w:val="0"/>
          <w:numId w:val="0"/>
        </w:numPr>
        <w:spacing w:after="120"/>
      </w:pPr>
      <w:r>
        <w:rPr>
          <w:rStyle w:val="FootnoteReference"/>
        </w:rPr>
        <w:footnoteRef/>
      </w:r>
      <w:r>
        <w:t xml:space="preserve"> A non-resource program is defined as an energy efficiency program where energy savings are not directly attributed but the program supports the energy efficiency portfolio through activities such as marketing or improved access to training and education.</w:t>
      </w:r>
    </w:p>
  </w:footnote>
  <w:footnote w:id="4">
    <w:p w14:paraId="57F5F6E6" w14:textId="67890415" w:rsidR="002505E6" w:rsidRDefault="002505E6" w:rsidP="00D261DB">
      <w:pPr>
        <w:pStyle w:val="FootnoteText"/>
        <w:numPr>
          <w:ilvl w:val="0"/>
          <w:numId w:val="0"/>
        </w:numPr>
        <w:spacing w:after="120"/>
      </w:pPr>
      <w:r>
        <w:rPr>
          <w:rStyle w:val="FootnoteReference"/>
        </w:rPr>
        <w:footnoteRef/>
      </w:r>
      <w:r>
        <w:t xml:space="preserve"> Shareholder Incentive Mechanism website available at:  </w:t>
      </w:r>
      <w:hyperlink r:id="rId1" w:history="1">
        <w:r w:rsidRPr="007D664C">
          <w:rPr>
            <w:rStyle w:val="Hyperlink"/>
            <w:szCs w:val="24"/>
          </w:rPr>
          <w:t>http://www.cpuc.ca.gov/PUC/energy/Energy+Efficiency/Shareholder+Incentive+Mechanism.htm</w:t>
        </w:r>
      </w:hyperlink>
    </w:p>
  </w:footnote>
  <w:footnote w:id="5">
    <w:p w14:paraId="57F5F6E7" w14:textId="77777777" w:rsidR="002505E6" w:rsidRDefault="002505E6" w:rsidP="00D261DB">
      <w:pPr>
        <w:pStyle w:val="FootnoteText"/>
        <w:numPr>
          <w:ilvl w:val="0"/>
          <w:numId w:val="0"/>
        </w:numPr>
        <w:spacing w:after="120"/>
      </w:pPr>
      <w:r>
        <w:rPr>
          <w:rStyle w:val="FootnoteReference"/>
        </w:rPr>
        <w:footnoteRef/>
      </w:r>
      <w:r>
        <w:t xml:space="preserve"> </w:t>
      </w:r>
      <w:r w:rsidRPr="00954A05">
        <w:rPr>
          <w:i/>
        </w:rPr>
        <w:t>ESPI Ex Ante Review Metrics – Overlapping Metric and Actions to Improve Scores</w:t>
      </w:r>
      <w:r>
        <w:t xml:space="preserve">; memo from Katie Wu, Commission staff, to all Investor Owned Utilities, dated </w:t>
      </w:r>
      <w:r>
        <w:br/>
        <w:t>February 3, 2014.</w:t>
      </w:r>
    </w:p>
  </w:footnote>
  <w:footnote w:id="6">
    <w:p w14:paraId="57F5F6E8" w14:textId="6CC1557F" w:rsidR="002505E6" w:rsidRDefault="002505E6" w:rsidP="00D261DB">
      <w:pPr>
        <w:pStyle w:val="FootnoteText"/>
        <w:numPr>
          <w:ilvl w:val="0"/>
          <w:numId w:val="0"/>
        </w:numPr>
        <w:spacing w:after="120"/>
      </w:pPr>
      <w:r>
        <w:rPr>
          <w:rStyle w:val="FootnoteReference"/>
        </w:rPr>
        <w:footnoteRef/>
      </w:r>
      <w:r>
        <w:t xml:space="preserve"> ESPI – EAR Performance Scoring website available at: </w:t>
      </w:r>
      <w:hyperlink r:id="rId2" w:history="1">
        <w:r w:rsidRPr="00F16F71">
          <w:rPr>
            <w:rStyle w:val="Hyperlink"/>
          </w:rPr>
          <w:t>http://deeresources.com/index.php/espi/espi-ear-performance-scoring</w:t>
        </w:r>
      </w:hyperlink>
      <w:r>
        <w:t xml:space="preserve"> </w:t>
      </w:r>
    </w:p>
  </w:footnote>
  <w:footnote w:id="7">
    <w:p w14:paraId="57F5F6E9" w14:textId="30B54365" w:rsidR="002505E6" w:rsidRDefault="002505E6" w:rsidP="00D261DB">
      <w:pPr>
        <w:pStyle w:val="FootnoteText"/>
        <w:numPr>
          <w:ilvl w:val="0"/>
          <w:numId w:val="0"/>
        </w:numPr>
        <w:spacing w:after="120"/>
      </w:pPr>
      <w:r>
        <w:rPr>
          <w:rStyle w:val="FootnoteReference"/>
        </w:rPr>
        <w:footnoteRef/>
      </w:r>
      <w:r>
        <w:t xml:space="preserve"> Utility Audit, Finance &amp; Compliance Reports for 2013 Energy Efficiency Programs, </w:t>
      </w:r>
      <w:hyperlink r:id="rId3" w:history="1">
        <w:r w:rsidRPr="003227E8">
          <w:rPr>
            <w:rStyle w:val="Hyperlink"/>
          </w:rPr>
          <w:t>http://www.cpuc.ca.gov/PUC/Water/Available+Documents/Downloadable+Reports/Utility_Audit_Finance_and_Compliance_Reports.htm</w:t>
        </w:r>
      </w:hyperlink>
      <w:r>
        <w:t>, June 30, 2015</w:t>
      </w:r>
    </w:p>
  </w:footnote>
  <w:footnote w:id="8">
    <w:p w14:paraId="57F5F6EA" w14:textId="77777777" w:rsidR="002505E6" w:rsidRPr="00954A05" w:rsidRDefault="002505E6" w:rsidP="00D261DB">
      <w:pPr>
        <w:pStyle w:val="FootnoteText"/>
        <w:numPr>
          <w:ilvl w:val="0"/>
          <w:numId w:val="0"/>
        </w:numPr>
        <w:spacing w:after="120"/>
      </w:pPr>
      <w:r>
        <w:rPr>
          <w:rStyle w:val="FootnoteReference"/>
        </w:rPr>
        <w:footnoteRef/>
      </w:r>
      <w:r>
        <w:t xml:space="preserve"> </w:t>
      </w:r>
      <w:r>
        <w:rPr>
          <w:i/>
        </w:rPr>
        <w:t>Additional Detail on Implementation of the Efficiency Savings and Performance Incentive (ESPI) Mechanism</w:t>
      </w:r>
      <w:r>
        <w:t>; memo from Katie Wu, Commission staff, to all parties in R.13-11-005 and R.12-01-005; sent June 9, 2014.</w:t>
      </w:r>
    </w:p>
  </w:footnote>
  <w:footnote w:id="9">
    <w:p w14:paraId="57F5F6EB" w14:textId="6AF4FC58" w:rsidR="002505E6" w:rsidRDefault="002505E6" w:rsidP="00D261DB">
      <w:pPr>
        <w:pStyle w:val="FootnoteText"/>
        <w:numPr>
          <w:ilvl w:val="0"/>
          <w:numId w:val="0"/>
        </w:numPr>
        <w:spacing w:after="120"/>
      </w:pPr>
      <w:r>
        <w:rPr>
          <w:rStyle w:val="FootnoteReference"/>
        </w:rPr>
        <w:footnoteRef/>
      </w:r>
      <w:r>
        <w:t xml:space="preserve"> See Table 1 of the 2013 Performance Statement Report, </w:t>
      </w:r>
      <w:hyperlink r:id="rId4" w:history="1">
        <w:r w:rsidRPr="00181BBE">
          <w:rPr>
            <w:rStyle w:val="Hyperlink"/>
          </w:rPr>
          <w:t>http://www.cpuc.ca.gov/NR/rdonlyres/5730A107-47D8-49E7-8607-38C9585FFF05/0/2013ESPIPerformanceStatementReport_DISTRIBUTE.pdf</w:t>
        </w:r>
      </w:hyperlink>
      <w:r>
        <w:t xml:space="preserve">, </w:t>
      </w:r>
      <w:r>
        <w:br/>
        <w:t>August 2015</w:t>
      </w:r>
    </w:p>
  </w:footnote>
  <w:footnote w:id="10">
    <w:p w14:paraId="57F5F6EC" w14:textId="76A829FD" w:rsidR="002505E6" w:rsidRDefault="002505E6" w:rsidP="00D261DB">
      <w:pPr>
        <w:pStyle w:val="FootnoteText"/>
        <w:numPr>
          <w:ilvl w:val="0"/>
          <w:numId w:val="0"/>
        </w:numPr>
        <w:spacing w:after="120"/>
      </w:pPr>
      <w:r>
        <w:rPr>
          <w:rStyle w:val="FootnoteReference"/>
        </w:rPr>
        <w:footnoteRef/>
      </w:r>
      <w:r>
        <w:t xml:space="preserve"> See page 1 of Financial, Management, and Regulatory Compliance Examination Report on Pacific Gas and Electric Company’s (PGE’s) Energy Efficiency (EE) Programs for the Period January 1, 2013 through December 31, 2013, </w:t>
      </w:r>
      <w:hyperlink r:id="rId5" w:history="1">
        <w:r w:rsidRPr="00181BBE">
          <w:rPr>
            <w:rStyle w:val="Hyperlink"/>
          </w:rPr>
          <w:t>http://www.cpuc.ca.gov/NR/rdonlyres/2A3A2C09-96E6-4F12-AA28-1EA1855D0FC7/0/PGEEEProgramExaminationReport2013.pdf</w:t>
        </w:r>
      </w:hyperlink>
      <w:r>
        <w:t>, June 2015</w:t>
      </w:r>
    </w:p>
  </w:footnote>
  <w:footnote w:id="11">
    <w:p w14:paraId="57F5F6ED" w14:textId="6F0ADFB5" w:rsidR="002505E6" w:rsidRDefault="002505E6" w:rsidP="00D261DB">
      <w:pPr>
        <w:pStyle w:val="FootnoteText"/>
        <w:numPr>
          <w:ilvl w:val="0"/>
          <w:numId w:val="0"/>
        </w:numPr>
        <w:spacing w:after="120"/>
      </w:pPr>
      <w:r>
        <w:rPr>
          <w:rStyle w:val="FootnoteReference"/>
        </w:rPr>
        <w:footnoteRef/>
      </w:r>
      <w:r>
        <w:t xml:space="preserve"> See Table 1 of the 2013 Performance Statement Report, </w:t>
      </w:r>
      <w:hyperlink r:id="rId6" w:history="1">
        <w:r w:rsidRPr="00181BBE">
          <w:rPr>
            <w:rStyle w:val="Hyperlink"/>
          </w:rPr>
          <w:t>http://www.cpuc.ca.gov/NR/rdonlyres/5730A107-47D8-49E7-8607-38C9585FFF05/0/2013ESPIPerformanceStatementReport_DISTRIBUTE.pdf</w:t>
        </w:r>
      </w:hyperlink>
      <w:r>
        <w:t xml:space="preserve">, </w:t>
      </w:r>
      <w:r>
        <w:br/>
        <w:t>August 2015</w:t>
      </w:r>
    </w:p>
  </w:footnote>
  <w:footnote w:id="12">
    <w:p w14:paraId="57F5F6EE" w14:textId="7AA74B25" w:rsidR="002505E6" w:rsidRDefault="002505E6" w:rsidP="00D261DB">
      <w:pPr>
        <w:pStyle w:val="FootnoteText"/>
        <w:numPr>
          <w:ilvl w:val="0"/>
          <w:numId w:val="0"/>
        </w:numPr>
        <w:spacing w:after="120"/>
      </w:pPr>
      <w:r>
        <w:rPr>
          <w:rStyle w:val="FootnoteReference"/>
        </w:rPr>
        <w:footnoteRef/>
      </w:r>
      <w:r>
        <w:t xml:space="preserve"> See Table 1 of the 2013 Performance Statement Report, </w:t>
      </w:r>
      <w:hyperlink r:id="rId7" w:history="1">
        <w:r w:rsidRPr="00181BBE">
          <w:rPr>
            <w:rStyle w:val="Hyperlink"/>
          </w:rPr>
          <w:t>http://www.cpuc.ca.gov/NR/rdonlyres/5730A107-47D8-49E7-8607-38C9585FFF05/0/2013ESPIPerformanceStatementReport_DISTRIBUTE.pdf</w:t>
        </w:r>
      </w:hyperlink>
      <w:r>
        <w:t xml:space="preserve">, </w:t>
      </w:r>
      <w:r>
        <w:br/>
        <w:t>August 2015</w:t>
      </w:r>
    </w:p>
  </w:footnote>
  <w:footnote w:id="13">
    <w:p w14:paraId="57F5F6EF" w14:textId="77777777" w:rsidR="002505E6" w:rsidRDefault="002505E6" w:rsidP="00D261DB">
      <w:pPr>
        <w:pStyle w:val="FootnoteText"/>
        <w:numPr>
          <w:ilvl w:val="0"/>
          <w:numId w:val="0"/>
        </w:numPr>
        <w:spacing w:after="120"/>
        <w:ind w:left="360" w:hanging="360"/>
      </w:pPr>
      <w:r>
        <w:rPr>
          <w:rStyle w:val="FootnoteReference"/>
        </w:rPr>
        <w:footnoteRef/>
      </w:r>
      <w:r>
        <w:t xml:space="preserve"> ibid</w:t>
      </w:r>
    </w:p>
  </w:footnote>
  <w:footnote w:id="14">
    <w:p w14:paraId="57F5F6F0" w14:textId="77777777" w:rsidR="002505E6" w:rsidRDefault="002505E6" w:rsidP="00D261DB">
      <w:pPr>
        <w:pStyle w:val="FootnoteText"/>
        <w:numPr>
          <w:ilvl w:val="0"/>
          <w:numId w:val="0"/>
        </w:numPr>
        <w:spacing w:after="120"/>
      </w:pPr>
      <w:r>
        <w:rPr>
          <w:rStyle w:val="FootnoteReference"/>
        </w:rPr>
        <w:footnoteRef/>
      </w:r>
      <w:r>
        <w:t xml:space="preserve"> Appendix D of the Energy Efficiency Policy Manual (Version 5) describes program administrators’ reporting requirements.  Program administrators are required to submit monthly reports on expenditures and program-level savings and quarterly reports on budgets and expenditure caps.  Quarterly reports also contain measure level energy savings data.</w:t>
      </w:r>
    </w:p>
  </w:footnote>
  <w:footnote w:id="15">
    <w:p w14:paraId="57F5F6F1" w14:textId="77777777" w:rsidR="002505E6" w:rsidRDefault="002505E6" w:rsidP="00DF6175">
      <w:pPr>
        <w:pStyle w:val="FootnoteText"/>
        <w:numPr>
          <w:ilvl w:val="0"/>
          <w:numId w:val="0"/>
        </w:numPr>
        <w:spacing w:after="120"/>
      </w:pPr>
      <w:r>
        <w:rPr>
          <w:rStyle w:val="FootnoteReference"/>
        </w:rPr>
        <w:footnoteRef/>
      </w:r>
      <w:r>
        <w:t xml:space="preserve"> </w:t>
      </w:r>
      <w:r>
        <w:rPr>
          <w:szCs w:val="24"/>
        </w:rPr>
        <w:t xml:space="preserve">This annual </w:t>
      </w:r>
      <w:r w:rsidRPr="00481136">
        <w:rPr>
          <w:szCs w:val="24"/>
        </w:rPr>
        <w:t>installation date based claims</w:t>
      </w:r>
      <w:r>
        <w:rPr>
          <w:szCs w:val="24"/>
        </w:rPr>
        <w:t xml:space="preserve"> requirement was introduced in D.04-09-060 (page 33 and OP 14) , clarified in and reiterated in D.05-04-051 (page 55, </w:t>
      </w:r>
      <w:r w:rsidRPr="00481136">
        <w:rPr>
          <w:szCs w:val="24"/>
        </w:rPr>
        <w:t>Findings of Fact 36-42, Conclusion of Law 3, Ordering Paragraph 17)</w:t>
      </w:r>
      <w:r>
        <w:rPr>
          <w:szCs w:val="24"/>
        </w:rPr>
        <w:t>, and again in D.05-09-043 (page 84).</w:t>
      </w:r>
    </w:p>
  </w:footnote>
  <w:footnote w:id="16">
    <w:p w14:paraId="57F5F6F2" w14:textId="77777777" w:rsidR="002505E6" w:rsidRDefault="002505E6" w:rsidP="00DF6175">
      <w:pPr>
        <w:pStyle w:val="FootnoteText"/>
        <w:numPr>
          <w:ilvl w:val="0"/>
          <w:numId w:val="0"/>
        </w:numPr>
        <w:spacing w:after="120"/>
      </w:pPr>
      <w:r>
        <w:rPr>
          <w:rStyle w:val="FootnoteReference"/>
        </w:rPr>
        <w:footnoteRef/>
      </w:r>
      <w:r>
        <w:t xml:space="preserve"> PG&amp;E AL 2566-G/4591-E, SCE AL 3181-E, SoCalGas 4764, SDG&amp;E 2709-E/2363-G, Updates to the 2015 ESPI Mechanism Earnings Coefficient and Caps, February 28, 2015 </w:t>
      </w:r>
    </w:p>
  </w:footnote>
  <w:footnote w:id="17">
    <w:p w14:paraId="57F5F6F3" w14:textId="44541FB1" w:rsidR="002505E6" w:rsidRDefault="002505E6" w:rsidP="00DF6175">
      <w:pPr>
        <w:pStyle w:val="FootnoteText"/>
        <w:numPr>
          <w:ilvl w:val="0"/>
          <w:numId w:val="0"/>
        </w:numPr>
        <w:spacing w:after="120"/>
      </w:pPr>
      <w:r>
        <w:rPr>
          <w:rStyle w:val="FootnoteReference"/>
        </w:rPr>
        <w:footnoteRef/>
      </w:r>
      <w:r>
        <w:t xml:space="preserve"> Resource expenditure derived from Portfolio total minus Administrative expenses minus Non-IOU program expenditure minus EMV expenditure minus On-bill financing minus C&amp;S expenditure (less administrative expenses) minus Non-resources expenditure (less administrative expenses from Tables B-2, B-3, and B-4 of</w:t>
      </w:r>
      <w:r w:rsidRPr="00F845F5">
        <w:t xml:space="preserve"> </w:t>
      </w:r>
      <w:r>
        <w:t xml:space="preserve">Utility Audit, Finance &amp; Compliance Reports for 2013 Energy Efficiency Programs, </w:t>
      </w:r>
      <w:hyperlink r:id="rId8" w:history="1">
        <w:r w:rsidRPr="003227E8">
          <w:rPr>
            <w:rStyle w:val="Hyperlink"/>
          </w:rPr>
          <w:t>http://www.cpuc.ca.gov/PUC/Water/Available+Documents/Downloadable+Reports/Utility_Audit_Finance_and_Compliance_Reports.htm</w:t>
        </w:r>
      </w:hyperlink>
      <w:r>
        <w:t>, June 30, 2015</w:t>
      </w:r>
    </w:p>
  </w:footnote>
  <w:footnote w:id="18">
    <w:p w14:paraId="57F5F6F4" w14:textId="516BF16B" w:rsidR="002505E6" w:rsidRDefault="002505E6" w:rsidP="00D506FB">
      <w:pPr>
        <w:pStyle w:val="FootnoteText"/>
        <w:numPr>
          <w:ilvl w:val="0"/>
          <w:numId w:val="0"/>
        </w:numPr>
      </w:pPr>
      <w:r>
        <w:rPr>
          <w:rStyle w:val="FootnoteReference"/>
        </w:rPr>
        <w:footnoteRef/>
      </w:r>
      <w:r>
        <w:t xml:space="preserve"> A pre-2013 carryover of $48,699,178 is reallocated back to the 2013 UAFCB  Audit Expenditure under Resource Programs from Table: Summary of EE Program Reporting Differences Among 2013 EEStats Reports on Page 2 of</w:t>
      </w:r>
      <w:r w:rsidRPr="00F845F5">
        <w:t xml:space="preserve"> </w:t>
      </w:r>
      <w:r>
        <w:t xml:space="preserve">Utility Audit, Finance &amp; Compliance Reports for 2013 Energy Efficiency Programs, </w:t>
      </w:r>
      <w:hyperlink r:id="rId9" w:history="1">
        <w:r w:rsidRPr="003227E8">
          <w:rPr>
            <w:rStyle w:val="Hyperlink"/>
          </w:rPr>
          <w:t>http://www.cpuc.ca.gov/PUC/Water/Available+Documents/Downloadable+Reports/Utility_Audit_Finance_and_Compliance_Reports.htm</w:t>
        </w:r>
      </w:hyperlink>
      <w:r>
        <w:t>, June 30, 2015</w:t>
      </w:r>
    </w:p>
  </w:footnote>
  <w:footnote w:id="19">
    <w:p w14:paraId="57F5F6F5" w14:textId="77777777" w:rsidR="002505E6" w:rsidRDefault="002505E6" w:rsidP="00D506FB">
      <w:pPr>
        <w:pStyle w:val="FootnoteText"/>
        <w:numPr>
          <w:ilvl w:val="0"/>
          <w:numId w:val="0"/>
        </w:numPr>
      </w:pPr>
      <w:r>
        <w:rPr>
          <w:rStyle w:val="FootnoteReference"/>
        </w:rPr>
        <w:footnoteRef/>
      </w:r>
      <w:r>
        <w:t xml:space="preserve"> The award difference for resource programs is the difference between the 2013 ESPI Resolution Expenditure and the 2013 UAFCB Audit Expenditure.</w:t>
      </w:r>
    </w:p>
  </w:footnote>
  <w:footnote w:id="20">
    <w:p w14:paraId="57F5F6F6" w14:textId="77777777" w:rsidR="002505E6" w:rsidRDefault="002505E6" w:rsidP="00DF6175">
      <w:pPr>
        <w:pStyle w:val="FootnoteText"/>
        <w:numPr>
          <w:ilvl w:val="0"/>
          <w:numId w:val="0"/>
        </w:numPr>
        <w:spacing w:after="120"/>
      </w:pPr>
      <w:r>
        <w:rPr>
          <w:rStyle w:val="FootnoteReference"/>
        </w:rPr>
        <w:footnoteRef/>
      </w:r>
      <w:r>
        <w:t xml:space="preserve"> The net benefit factor for the 2013-14 portfolio cycle was approved in Advice Letter 3356-G-A/4176-E-A.</w:t>
      </w:r>
    </w:p>
  </w:footnote>
  <w:footnote w:id="21">
    <w:p w14:paraId="57F5F6F7" w14:textId="77777777" w:rsidR="002505E6" w:rsidRDefault="002505E6" w:rsidP="00DF6175">
      <w:pPr>
        <w:pStyle w:val="FootnoteText"/>
        <w:numPr>
          <w:ilvl w:val="0"/>
          <w:numId w:val="0"/>
        </w:numPr>
        <w:spacing w:after="120"/>
      </w:pPr>
      <w:r>
        <w:rPr>
          <w:rStyle w:val="FootnoteReference"/>
        </w:rPr>
        <w:footnoteRef/>
      </w:r>
      <w:r>
        <w:t xml:space="preserve"> </w:t>
      </w:r>
      <w:r w:rsidRPr="00F85B02">
        <w:t>Financial, Management, Regulatory, and Compliance Examination Report on Southern California Edison Company’s Energy Efficiency For the Period January 1, 2013 through December 31, 2013, p. 2.</w:t>
      </w:r>
    </w:p>
  </w:footnote>
  <w:footnote w:id="22">
    <w:p w14:paraId="57F5F6F8" w14:textId="77777777" w:rsidR="002505E6" w:rsidRDefault="002505E6" w:rsidP="00DF6175">
      <w:pPr>
        <w:pStyle w:val="FootnoteText"/>
        <w:numPr>
          <w:ilvl w:val="0"/>
          <w:numId w:val="0"/>
        </w:numPr>
        <w:spacing w:after="120"/>
      </w:pPr>
      <w:r>
        <w:rPr>
          <w:rStyle w:val="FootnoteReference"/>
        </w:rPr>
        <w:footnoteRef/>
      </w:r>
      <w:r>
        <w:t xml:space="preserve"> PG&amp;E AL 2566-G/4591-E, SCE AL 3181-E, SoCalGas 4764, SDG&amp;E 2709-E/2363-G, Updates to the 2015 ESPI Mechanism Earnings Coefficient and Caps, February 28, 2015 </w:t>
      </w:r>
    </w:p>
  </w:footnote>
  <w:footnote w:id="23">
    <w:p w14:paraId="57F5F6F9" w14:textId="0A990D77" w:rsidR="002505E6" w:rsidRDefault="002505E6" w:rsidP="00DF6175">
      <w:pPr>
        <w:pStyle w:val="FootnoteText"/>
        <w:numPr>
          <w:ilvl w:val="0"/>
          <w:numId w:val="0"/>
        </w:numPr>
        <w:spacing w:after="120"/>
      </w:pPr>
      <w:r>
        <w:rPr>
          <w:rStyle w:val="FootnoteReference"/>
        </w:rPr>
        <w:footnoteRef/>
      </w:r>
      <w:r>
        <w:t xml:space="preserve"> Resource expenditure derived from Portfolio total minus Administrative expenses minus C&amp;S expenditure (less administrative expenses) minus Non-resources expenditure (less administrative expenses from Tables B-2, B-3, and B-4 of</w:t>
      </w:r>
      <w:r w:rsidRPr="00F845F5">
        <w:t xml:space="preserve"> </w:t>
      </w:r>
      <w:r>
        <w:t xml:space="preserve">Utility Audit, Finance &amp; Compliance Reports for 2013 Energy Efficiency Programs, </w:t>
      </w:r>
      <w:hyperlink r:id="rId10" w:history="1">
        <w:r w:rsidRPr="003227E8">
          <w:rPr>
            <w:rStyle w:val="Hyperlink"/>
          </w:rPr>
          <w:t>http://www.cpuc.ca.gov/PUC/Water/Available+Documents/Downloadable+Reports/Utility_Audit_Finance_and_Compliance_Reports.htm</w:t>
        </w:r>
      </w:hyperlink>
      <w:r>
        <w:t>, June 30, 2015</w:t>
      </w:r>
      <w:r w:rsidRPr="00577A20">
        <w:t xml:space="preserve"> </w:t>
      </w:r>
      <w:r>
        <w:t>An additional difference of $ 4,532,426 is reported by SCE staff to be external to ESPI expenditures accounting.</w:t>
      </w:r>
    </w:p>
  </w:footnote>
  <w:footnote w:id="24">
    <w:p w14:paraId="57F5F6FA" w14:textId="77777777" w:rsidR="002505E6" w:rsidRDefault="002505E6" w:rsidP="00577A20">
      <w:pPr>
        <w:pStyle w:val="FootnoteText"/>
        <w:numPr>
          <w:ilvl w:val="0"/>
          <w:numId w:val="0"/>
        </w:numPr>
      </w:pPr>
      <w:r>
        <w:rPr>
          <w:rStyle w:val="FootnoteReference"/>
        </w:rPr>
        <w:footnoteRef/>
      </w:r>
      <w:r>
        <w:t xml:space="preserve"> The award difference for resource programs is the difference between the 2013 ESPI Resolution Expenditure and the 2013 UAFCB Audit Expenditure.</w:t>
      </w:r>
    </w:p>
  </w:footnote>
  <w:footnote w:id="25">
    <w:p w14:paraId="57F5F6FB" w14:textId="77777777" w:rsidR="002505E6" w:rsidRPr="00EE5547" w:rsidRDefault="002505E6" w:rsidP="00DF6175">
      <w:pPr>
        <w:autoSpaceDE w:val="0"/>
        <w:autoSpaceDN w:val="0"/>
        <w:adjustRightInd w:val="0"/>
        <w:spacing w:after="120"/>
        <w:rPr>
          <w:sz w:val="24"/>
        </w:rPr>
      </w:pPr>
      <w:r>
        <w:rPr>
          <w:rStyle w:val="FootnoteReference"/>
        </w:rPr>
        <w:footnoteRef/>
      </w:r>
      <w:r>
        <w:t xml:space="preserve"> </w:t>
      </w:r>
      <w:r w:rsidRPr="00EE5547">
        <w:rPr>
          <w:sz w:val="24"/>
        </w:rPr>
        <w:t>Per the draft Financial, Management, Regulatory, and Compliance Examination Report on</w:t>
      </w:r>
      <w:r>
        <w:rPr>
          <w:sz w:val="24"/>
        </w:rPr>
        <w:t xml:space="preserve"> </w:t>
      </w:r>
      <w:r w:rsidRPr="00EE5547">
        <w:rPr>
          <w:sz w:val="24"/>
        </w:rPr>
        <w:t>Southern California Edison Company’s (SCE’s) Energy Efficiency (EE) Program For the</w:t>
      </w:r>
      <w:r>
        <w:rPr>
          <w:sz w:val="24"/>
        </w:rPr>
        <w:t xml:space="preserve"> </w:t>
      </w:r>
      <w:r w:rsidRPr="00EE5547">
        <w:rPr>
          <w:sz w:val="24"/>
        </w:rPr>
        <w:t>Period January 1, 2013 through December 31, 2013, Observation 4, p 2. SCE reported and</w:t>
      </w:r>
      <w:r>
        <w:rPr>
          <w:sz w:val="24"/>
        </w:rPr>
        <w:t xml:space="preserve"> </w:t>
      </w:r>
      <w:r w:rsidRPr="00EE5547">
        <w:rPr>
          <w:sz w:val="24"/>
        </w:rPr>
        <w:t>paid an incorrect amount to a vendor from April through November 2013 by using incorrect</w:t>
      </w:r>
      <w:r>
        <w:rPr>
          <w:sz w:val="24"/>
        </w:rPr>
        <w:t xml:space="preserve"> </w:t>
      </w:r>
      <w:r w:rsidRPr="00EE5547">
        <w:rPr>
          <w:sz w:val="24"/>
        </w:rPr>
        <w:t>labor rates. SCE has therefore reduced its earnings claim by $2,424 in accordance with the</w:t>
      </w:r>
      <w:r>
        <w:rPr>
          <w:sz w:val="24"/>
        </w:rPr>
        <w:t xml:space="preserve"> </w:t>
      </w:r>
      <w:r w:rsidRPr="00EE5547">
        <w:rPr>
          <w:sz w:val="24"/>
        </w:rPr>
        <w:t>Recommendation for Observation 4.</w:t>
      </w:r>
    </w:p>
  </w:footnote>
  <w:footnote w:id="26">
    <w:p w14:paraId="57F5F6FC" w14:textId="77777777" w:rsidR="002505E6" w:rsidRPr="00841947" w:rsidRDefault="002505E6" w:rsidP="00DF6175">
      <w:pPr>
        <w:autoSpaceDE w:val="0"/>
        <w:autoSpaceDN w:val="0"/>
        <w:adjustRightInd w:val="0"/>
        <w:spacing w:after="120"/>
        <w:rPr>
          <w:rFonts w:ascii="ArialMT" w:hAnsi="ArialMT" w:cs="ArialMT"/>
          <w:sz w:val="20"/>
        </w:rPr>
      </w:pPr>
      <w:r>
        <w:rPr>
          <w:rStyle w:val="FootnoteReference"/>
        </w:rPr>
        <w:footnoteRef/>
      </w:r>
      <w:r>
        <w:t xml:space="preserve"> </w:t>
      </w:r>
      <w:r w:rsidRPr="00F85B02">
        <w:rPr>
          <w:sz w:val="24"/>
        </w:rPr>
        <w:t>Financial, Management, Regulatory, and Compliance Examination Report on Southern California Gas Company’s Energy Efficiency For the Period January 1, 2013 through December 31, 2013, p. 1.</w:t>
      </w:r>
    </w:p>
  </w:footnote>
  <w:footnote w:id="27">
    <w:p w14:paraId="57F5F6FD" w14:textId="77777777" w:rsidR="002505E6" w:rsidRDefault="002505E6" w:rsidP="00DF6175">
      <w:pPr>
        <w:pStyle w:val="FootnoteText"/>
        <w:numPr>
          <w:ilvl w:val="0"/>
          <w:numId w:val="0"/>
        </w:numPr>
        <w:spacing w:after="120"/>
      </w:pPr>
      <w:r>
        <w:rPr>
          <w:rStyle w:val="FootnoteReference"/>
        </w:rPr>
        <w:footnoteRef/>
      </w:r>
      <w:r>
        <w:t xml:space="preserve"> PG&amp;E AL 2566-G/4591-E, SCE AL 3181-E, SoCalGas 4764, SDG&amp;E 2709-E/2363-G, Updates to the 2015 ESPI Mechanism Earnings Coefficient and Caps, February 28, 2015 </w:t>
      </w:r>
    </w:p>
  </w:footnote>
  <w:footnote w:id="28">
    <w:p w14:paraId="57F5F6FE" w14:textId="11D39A24" w:rsidR="002505E6" w:rsidRDefault="002505E6" w:rsidP="00DF6175">
      <w:pPr>
        <w:pStyle w:val="FootnoteText"/>
        <w:numPr>
          <w:ilvl w:val="0"/>
          <w:numId w:val="0"/>
        </w:numPr>
        <w:spacing w:after="120"/>
      </w:pPr>
      <w:r>
        <w:rPr>
          <w:rStyle w:val="FootnoteReference"/>
        </w:rPr>
        <w:footnoteRef/>
      </w:r>
      <w:r>
        <w:t xml:space="preserve"> Resource expenditure derived from Portfolio total minus Administrative expenses minus C&amp;S expenditure (less administrative expenses) minus Non-resources expenditure (less administrative expenses from Tables B-2, B-3, and B-4 of</w:t>
      </w:r>
      <w:r w:rsidRPr="00F845F5">
        <w:t xml:space="preserve"> </w:t>
      </w:r>
      <w:r>
        <w:t xml:space="preserve">Utility Audit, Finance &amp; Compliance Reports for 2013 Energy Efficiency Programs, </w:t>
      </w:r>
      <w:hyperlink r:id="rId11" w:history="1">
        <w:r w:rsidRPr="003227E8">
          <w:rPr>
            <w:rStyle w:val="Hyperlink"/>
          </w:rPr>
          <w:t>http://www.cpuc.ca.gov/PUC/Water/Available+Documents/Downloadable+Reports/Utility_Audit_Finance_and_Compliance_Reports.htm</w:t>
        </w:r>
      </w:hyperlink>
      <w:r>
        <w:t>, June 30, 2015</w:t>
      </w:r>
    </w:p>
  </w:footnote>
  <w:footnote w:id="29">
    <w:p w14:paraId="57F5F6FF" w14:textId="77777777" w:rsidR="002505E6" w:rsidRDefault="002505E6" w:rsidP="00577A20">
      <w:pPr>
        <w:pStyle w:val="FootnoteText"/>
        <w:numPr>
          <w:ilvl w:val="0"/>
          <w:numId w:val="0"/>
        </w:numPr>
      </w:pPr>
      <w:r>
        <w:rPr>
          <w:rStyle w:val="FootnoteReference"/>
        </w:rPr>
        <w:footnoteRef/>
      </w:r>
      <w:r>
        <w:t xml:space="preserve"> The award difference for resource programs is the difference between the 2013 ESPI Resolution Expenditure and the 2013 UAFCB Audit Expenditure.</w:t>
      </w:r>
    </w:p>
  </w:footnote>
  <w:footnote w:id="30">
    <w:p w14:paraId="57F5F701" w14:textId="77777777" w:rsidR="002505E6" w:rsidRDefault="002505E6" w:rsidP="001341E5">
      <w:pPr>
        <w:pStyle w:val="FootnoteText"/>
        <w:numPr>
          <w:ilvl w:val="0"/>
          <w:numId w:val="0"/>
        </w:numPr>
        <w:spacing w:after="120"/>
      </w:pPr>
      <w:r>
        <w:rPr>
          <w:rStyle w:val="FootnoteReference"/>
        </w:rPr>
        <w:footnoteRef/>
      </w:r>
      <w:r>
        <w:t xml:space="preserve"> PG&amp;E AL 2566-G/4591-E, SCE AL 3181-E, SoCalGas 4764, SDG&amp;E 2709-E/2363-G, Updates to the 2015 ESPI Mechanism Earnings Coefficient and Caps, February 28, 2015 </w:t>
      </w:r>
    </w:p>
  </w:footnote>
  <w:footnote w:id="31">
    <w:p w14:paraId="57F5F702" w14:textId="0C6B3805" w:rsidR="002505E6" w:rsidRDefault="002505E6" w:rsidP="001341E5">
      <w:pPr>
        <w:pStyle w:val="FootnoteText"/>
        <w:numPr>
          <w:ilvl w:val="0"/>
          <w:numId w:val="0"/>
        </w:numPr>
        <w:spacing w:after="120"/>
      </w:pPr>
      <w:r>
        <w:rPr>
          <w:rStyle w:val="FootnoteReference"/>
        </w:rPr>
        <w:footnoteRef/>
      </w:r>
      <w:r>
        <w:t xml:space="preserve"> Resource expenditure derived from Portfolio total minus Administrative expenses minus C&amp;S expenditure (less administrative expenses) minus Non-resources expenditure (less administrative expenses from Tables B-2, B-3, and B-4 of</w:t>
      </w:r>
      <w:r w:rsidRPr="00F845F5">
        <w:t xml:space="preserve"> </w:t>
      </w:r>
      <w:r>
        <w:t xml:space="preserve">Utility Audit, Finance &amp; Compliance Reports for 2013 Energy Efficiency Programs, </w:t>
      </w:r>
      <w:hyperlink r:id="rId12" w:history="1">
        <w:r w:rsidRPr="003227E8">
          <w:rPr>
            <w:rStyle w:val="Hyperlink"/>
          </w:rPr>
          <w:t>http://www.cpuc.ca.gov/PUC/Water/Available+Documents/Downloadable+Reports/Utility_Audit_Finance_and_Compliance_Reports.htm</w:t>
        </w:r>
      </w:hyperlink>
      <w:r>
        <w:t>, June 30, 2015</w:t>
      </w:r>
    </w:p>
  </w:footnote>
  <w:footnote w:id="32">
    <w:p w14:paraId="57F5F703" w14:textId="77777777" w:rsidR="002505E6" w:rsidRDefault="002505E6" w:rsidP="000446EA">
      <w:pPr>
        <w:pStyle w:val="FootnoteText"/>
        <w:numPr>
          <w:ilvl w:val="0"/>
          <w:numId w:val="0"/>
        </w:numPr>
      </w:pPr>
      <w:r>
        <w:rPr>
          <w:rStyle w:val="FootnoteReference"/>
        </w:rPr>
        <w:footnoteRef/>
      </w:r>
      <w:r>
        <w:t xml:space="preserve"> The award difference for resource programs is the difference between the 2013 ESPI Resolution Expenditure and the 2013 UAFCB Audit Expenditure. </w:t>
      </w:r>
    </w:p>
  </w:footnote>
  <w:footnote w:id="33">
    <w:p w14:paraId="2CE42992" w14:textId="77E5C027" w:rsidR="002505E6" w:rsidRDefault="002505E6">
      <w:pPr>
        <w:pStyle w:val="FootnoteText"/>
      </w:pPr>
      <w:r>
        <w:rPr>
          <w:rStyle w:val="FootnoteReference"/>
        </w:rPr>
        <w:footnoteRef/>
      </w:r>
      <w:r>
        <w:t xml:space="preserve"> D.13-09-023 at page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526A1" w14:textId="77777777" w:rsidR="004A4B9A" w:rsidRDefault="004A4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D0" w14:textId="77777777" w:rsidR="002505E6" w:rsidRDefault="002505E6" w:rsidP="00A8689F">
    <w:pPr>
      <w:pStyle w:val="Header"/>
      <w:tabs>
        <w:tab w:val="clear" w:pos="4320"/>
        <w:tab w:val="clear" w:pos="8640"/>
        <w:tab w:val="center" w:pos="4680"/>
        <w:tab w:val="right" w:pos="9180"/>
      </w:tabs>
    </w:pPr>
    <w:r>
      <w:t>Resolution G-3510</w:t>
    </w:r>
    <w:r>
      <w:tab/>
      <w:t>DRAFT</w:t>
    </w:r>
    <w:r>
      <w:tab/>
      <w:t>December 3, 2015</w:t>
    </w:r>
  </w:p>
  <w:p w14:paraId="57F5F6D1" w14:textId="77777777" w:rsidR="002505E6" w:rsidRDefault="002505E6" w:rsidP="00EF30CD">
    <w:pPr>
      <w:pStyle w:val="Header"/>
      <w:tabs>
        <w:tab w:val="clear" w:pos="4320"/>
        <w:tab w:val="clear" w:pos="8640"/>
        <w:tab w:val="center" w:pos="4680"/>
        <w:tab w:val="right" w:pos="9180"/>
      </w:tabs>
    </w:pPr>
    <w:r>
      <w:t xml:space="preserve">PG&amp;E AL 3606-G/4659-E, SCE AL 3240-E, SoCalGas AL 4826, </w:t>
    </w:r>
    <w:r>
      <w:br/>
      <w:t xml:space="preserve">SDG&amp;E AL 2764-E/2396-G, PG&amp;E AL 3632-G/4705-E, SCE AL 3271-E, </w:t>
    </w:r>
    <w:r>
      <w:br/>
      <w:t>SoCalGas AL 4859, SDG&amp;E AL 2788-E/2417-G/AL8</w:t>
    </w:r>
  </w:p>
  <w:p w14:paraId="57F5F6D2" w14:textId="77777777" w:rsidR="002505E6" w:rsidRDefault="00250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D4" w14:textId="0C081737" w:rsidR="002505E6" w:rsidRPr="00AE7AC0" w:rsidRDefault="002505E6" w:rsidP="002505E6">
    <w:pPr>
      <w:pStyle w:val="Header"/>
      <w:jc w:val="right"/>
      <w:rPr>
        <w:rFonts w:ascii="Book Antiqua" w:hAnsi="Book Antiqua"/>
        <w:szCs w:val="26"/>
      </w:rPr>
    </w:pPr>
    <w:r w:rsidRPr="00AE7AC0">
      <w:rPr>
        <w:rFonts w:ascii="Book Antiqua" w:hAnsi="Book Antiqua"/>
        <w:szCs w:val="26"/>
      </w:rPr>
      <w:t xml:space="preserve">Date of Issuance: December </w:t>
    </w:r>
    <w:r w:rsidR="00AE7AC0" w:rsidRPr="00AE7AC0">
      <w:rPr>
        <w:rFonts w:ascii="Book Antiqua" w:hAnsi="Book Antiqua"/>
        <w:szCs w:val="26"/>
      </w:rPr>
      <w:t>7</w:t>
    </w:r>
    <w:r w:rsidRPr="00AE7AC0">
      <w:rPr>
        <w:rFonts w:ascii="Book Antiqua" w:hAnsi="Book Antiqua"/>
        <w:szCs w:val="26"/>
      </w:rPr>
      <w:t>,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D6" w14:textId="77777777" w:rsidR="002505E6" w:rsidRDefault="002505E6" w:rsidP="00992D3D">
    <w:pPr>
      <w:pStyle w:val="Header"/>
      <w:tabs>
        <w:tab w:val="clear" w:pos="4320"/>
        <w:tab w:val="clear" w:pos="8640"/>
        <w:tab w:val="center" w:pos="4680"/>
        <w:tab w:val="right" w:pos="9180"/>
      </w:tabs>
    </w:pPr>
    <w:r>
      <w:t>Resolution G-3510</w:t>
    </w:r>
    <w:r>
      <w:tab/>
      <w:t>DRAFT</w:t>
    </w:r>
    <w:r>
      <w:tab/>
      <w:t>December 3, 2015</w:t>
    </w:r>
  </w:p>
  <w:p w14:paraId="57F5F6D7" w14:textId="77777777" w:rsidR="002505E6" w:rsidRDefault="002505E6" w:rsidP="00992D3D">
    <w:pPr>
      <w:pStyle w:val="Header"/>
      <w:tabs>
        <w:tab w:val="clear" w:pos="4320"/>
        <w:tab w:val="clear" w:pos="8640"/>
        <w:tab w:val="center" w:pos="4680"/>
        <w:tab w:val="right" w:pos="9180"/>
      </w:tabs>
    </w:pPr>
    <w:r>
      <w:t xml:space="preserve">PG&amp;E AL 3606-G/4659-E, SCE AL 3240-E, SoCalGas AL 4826, </w:t>
    </w:r>
    <w:r>
      <w:br/>
      <w:t xml:space="preserve">SDG&amp;E AL 2764-E/2396-G, PG&amp;E AL 3632-G/4705-E, SCE AL 3271-E, </w:t>
    </w:r>
    <w:r>
      <w:br/>
      <w:t>SoCalGas AL 4859, SDG&amp;E AL 2788-E/2417-G/AL8</w:t>
    </w:r>
  </w:p>
  <w:p w14:paraId="57F5F6D8" w14:textId="77777777" w:rsidR="002505E6" w:rsidRDefault="002505E6" w:rsidP="00992D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DA" w14:textId="77777777" w:rsidR="002505E6" w:rsidRDefault="002505E6" w:rsidP="00157BF0">
    <w:pPr>
      <w:pStyle w:val="Header"/>
      <w:tabs>
        <w:tab w:val="clear" w:pos="4320"/>
        <w:tab w:val="clear" w:pos="8640"/>
        <w:tab w:val="center" w:pos="4680"/>
        <w:tab w:val="right" w:pos="9180"/>
      </w:tabs>
    </w:pPr>
    <w:r>
      <w:t>Resolution G-3510</w:t>
    </w:r>
    <w:r>
      <w:tab/>
      <w:t>DRAFT</w:t>
    </w:r>
    <w:r>
      <w:tab/>
      <w:t>December 3, 2015</w:t>
    </w:r>
  </w:p>
  <w:p w14:paraId="57F5F6DB" w14:textId="77777777" w:rsidR="002505E6" w:rsidRDefault="002505E6" w:rsidP="00157BF0">
    <w:pPr>
      <w:pStyle w:val="Header"/>
      <w:tabs>
        <w:tab w:val="clear" w:pos="4320"/>
        <w:tab w:val="clear" w:pos="8640"/>
        <w:tab w:val="center" w:pos="4680"/>
        <w:tab w:val="right" w:pos="9180"/>
      </w:tabs>
    </w:pPr>
    <w:r>
      <w:t xml:space="preserve">PG&amp;E AL 3606-G/4659-E, SCE AL 3240-E, SoCalGas AL 4826, </w:t>
    </w:r>
    <w:r>
      <w:br/>
      <w:t xml:space="preserve">SDG&amp;E AL 2764-E/2396-G, PG&amp;E AL 3632-G/4705-E, SCE AL 3271-E, </w:t>
    </w:r>
    <w:r>
      <w:br/>
      <w:t>SoCalGas AL 4859, SDG&amp;E AL 2788-E/2417-G/AL8</w:t>
    </w:r>
  </w:p>
  <w:p w14:paraId="57F5F6DC" w14:textId="77777777" w:rsidR="002505E6" w:rsidRDefault="002505E6" w:rsidP="00157B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DE" w14:textId="77777777" w:rsidR="002505E6" w:rsidRDefault="002505E6" w:rsidP="00992D3D">
    <w:pPr>
      <w:pStyle w:val="Header"/>
      <w:tabs>
        <w:tab w:val="clear" w:pos="4320"/>
        <w:tab w:val="clear" w:pos="8640"/>
        <w:tab w:val="center" w:pos="4680"/>
        <w:tab w:val="right" w:pos="9180"/>
      </w:tabs>
    </w:pPr>
    <w:r>
      <w:t>Resolution G-3510</w:t>
    </w:r>
    <w:r>
      <w:tab/>
      <w:t>DRAFT</w:t>
    </w:r>
    <w:r>
      <w:tab/>
      <w:t>December 3, 2015</w:t>
    </w:r>
  </w:p>
  <w:p w14:paraId="57F5F6DF" w14:textId="77777777" w:rsidR="002505E6" w:rsidRDefault="002505E6" w:rsidP="00992D3D">
    <w:pPr>
      <w:pStyle w:val="Header"/>
      <w:tabs>
        <w:tab w:val="clear" w:pos="4320"/>
        <w:tab w:val="clear" w:pos="8640"/>
        <w:tab w:val="center" w:pos="4680"/>
        <w:tab w:val="right" w:pos="9180"/>
      </w:tabs>
    </w:pPr>
    <w:r>
      <w:t xml:space="preserve">PG&amp;E AL 3606-G/4659-E, SCE AL 3240-E, SoCalGas AL 4826, </w:t>
    </w:r>
    <w:r>
      <w:br/>
      <w:t xml:space="preserve">SDG&amp;E AL 2764-E/2396-G, PG&amp;E AL 3632-G/4705-E, SCE AL 3271-E, </w:t>
    </w:r>
    <w:r>
      <w:br/>
      <w:t>SoCalGas AL 4859, SDG&amp;E AL 2788-E/2417-G/AL8</w:t>
    </w:r>
  </w:p>
  <w:p w14:paraId="57F5F6E0" w14:textId="77777777" w:rsidR="002505E6" w:rsidRDefault="002505E6" w:rsidP="00992D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F6E2" w14:textId="77777777" w:rsidR="002505E6" w:rsidRPr="008E6797" w:rsidRDefault="002505E6">
    <w:pPr>
      <w:pStyle w:val="Header"/>
      <w:rPr>
        <w:rFonts w:ascii="Helvetica" w:hAnsi="Helvetica"/>
        <w:sz w:val="28"/>
      </w:rPr>
    </w:pPr>
    <w:r>
      <w:tab/>
    </w:r>
    <w:r w:rsidRPr="008E6797">
      <w:t>DRAFT</w:t>
    </w:r>
    <w:r w:rsidRPr="008E6797">
      <w:tab/>
    </w:r>
    <w:r w:rsidRPr="008E679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589F"/>
    <w:multiLevelType w:val="hybridMultilevel"/>
    <w:tmpl w:val="3F30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AF04BF3"/>
    <w:multiLevelType w:val="hybridMultilevel"/>
    <w:tmpl w:val="D8909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DB7819"/>
    <w:multiLevelType w:val="singleLevel"/>
    <w:tmpl w:val="0409000F"/>
    <w:lvl w:ilvl="0">
      <w:start w:val="1"/>
      <w:numFmt w:val="decimal"/>
      <w:lvlText w:val="%1."/>
      <w:lvlJc w:val="left"/>
      <w:pPr>
        <w:tabs>
          <w:tab w:val="num" w:pos="360"/>
        </w:tabs>
        <w:ind w:left="360" w:hanging="360"/>
      </w:pPr>
    </w:lvl>
  </w:abstractNum>
  <w:abstractNum w:abstractNumId="4">
    <w:nsid w:val="0CF258A4"/>
    <w:multiLevelType w:val="hybridMultilevel"/>
    <w:tmpl w:val="B358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E28C7"/>
    <w:multiLevelType w:val="hybridMultilevel"/>
    <w:tmpl w:val="1A2C5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3643C"/>
    <w:multiLevelType w:val="hybridMultilevel"/>
    <w:tmpl w:val="320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64DD7"/>
    <w:multiLevelType w:val="hybridMultilevel"/>
    <w:tmpl w:val="1354D58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BB3FD0"/>
    <w:multiLevelType w:val="hybridMultilevel"/>
    <w:tmpl w:val="92A06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B44C6"/>
    <w:multiLevelType w:val="hybridMultilevel"/>
    <w:tmpl w:val="2118DF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5612B3"/>
    <w:multiLevelType w:val="hybridMultilevel"/>
    <w:tmpl w:val="2DF22C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0355F"/>
    <w:multiLevelType w:val="hybridMultilevel"/>
    <w:tmpl w:val="5A04A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0C0D48"/>
    <w:multiLevelType w:val="hybridMultilevel"/>
    <w:tmpl w:val="7C9C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E3CED"/>
    <w:multiLevelType w:val="hybridMultilevel"/>
    <w:tmpl w:val="FDD09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344EA7"/>
    <w:multiLevelType w:val="hybridMultilevel"/>
    <w:tmpl w:val="5616EF20"/>
    <w:lvl w:ilvl="0" w:tplc="B37C34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C2486"/>
    <w:multiLevelType w:val="hybridMultilevel"/>
    <w:tmpl w:val="E8C4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658CC"/>
    <w:multiLevelType w:val="hybridMultilevel"/>
    <w:tmpl w:val="B648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83B4346"/>
    <w:multiLevelType w:val="hybridMultilevel"/>
    <w:tmpl w:val="3ACE5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DF2528"/>
    <w:multiLevelType w:val="hybridMultilevel"/>
    <w:tmpl w:val="F71480C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DF12C7"/>
    <w:multiLevelType w:val="hybridMultilevel"/>
    <w:tmpl w:val="C5028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03689"/>
    <w:multiLevelType w:val="hybridMultilevel"/>
    <w:tmpl w:val="0B96C73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5">
    <w:nsid w:val="58673877"/>
    <w:multiLevelType w:val="singleLevel"/>
    <w:tmpl w:val="739A51AE"/>
    <w:lvl w:ilvl="0">
      <w:start w:val="1"/>
      <w:numFmt w:val="decimal"/>
      <w:lvlText w:val="%1."/>
      <w:legacy w:legacy="1" w:legacySpace="144" w:legacyIndent="0"/>
      <w:lvlJc w:val="left"/>
    </w:lvl>
  </w:abstractNum>
  <w:abstractNum w:abstractNumId="26">
    <w:nsid w:val="5FBB5012"/>
    <w:multiLevelType w:val="hybridMultilevel"/>
    <w:tmpl w:val="F8FEEF4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nsid w:val="6256496C"/>
    <w:multiLevelType w:val="hybridMultilevel"/>
    <w:tmpl w:val="FC8C0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F10E5"/>
    <w:multiLevelType w:val="hybridMultilevel"/>
    <w:tmpl w:val="B138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EDE0A66"/>
    <w:multiLevelType w:val="hybridMultilevel"/>
    <w:tmpl w:val="2F16E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2B0B53"/>
    <w:multiLevelType w:val="hybridMultilevel"/>
    <w:tmpl w:val="390E1EF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EC7B13"/>
    <w:multiLevelType w:val="hybridMultilevel"/>
    <w:tmpl w:val="B28E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4724A"/>
    <w:multiLevelType w:val="hybridMultilevel"/>
    <w:tmpl w:val="9086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B2B5F"/>
    <w:multiLevelType w:val="hybridMultilevel"/>
    <w:tmpl w:val="320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9"/>
  </w:num>
  <w:num w:numId="3">
    <w:abstractNumId w:val="10"/>
  </w:num>
  <w:num w:numId="4">
    <w:abstractNumId w:val="24"/>
  </w:num>
  <w:num w:numId="5">
    <w:abstractNumId w:val="3"/>
  </w:num>
  <w:num w:numId="6">
    <w:abstractNumId w:val="11"/>
  </w:num>
  <w:num w:numId="7">
    <w:abstractNumId w:val="29"/>
  </w:num>
  <w:num w:numId="8">
    <w:abstractNumId w:val="35"/>
  </w:num>
  <w:num w:numId="9">
    <w:abstractNumId w:val="0"/>
  </w:num>
  <w:num w:numId="10">
    <w:abstractNumId w:val="14"/>
  </w:num>
  <w:num w:numId="11">
    <w:abstractNumId w:val="28"/>
  </w:num>
  <w:num w:numId="12">
    <w:abstractNumId w:val="9"/>
  </w:num>
  <w:num w:numId="13">
    <w:abstractNumId w:val="12"/>
  </w:num>
  <w:num w:numId="14">
    <w:abstractNumId w:val="16"/>
  </w:num>
  <w:num w:numId="15">
    <w:abstractNumId w:val="31"/>
  </w:num>
  <w:num w:numId="16">
    <w:abstractNumId w:val="2"/>
  </w:num>
  <w:num w:numId="17">
    <w:abstractNumId w:val="23"/>
  </w:num>
  <w:num w:numId="18">
    <w:abstractNumId w:val="21"/>
  </w:num>
  <w:num w:numId="19">
    <w:abstractNumId w:val="7"/>
  </w:num>
  <w:num w:numId="20">
    <w:abstractNumId w:val="8"/>
  </w:num>
  <w:num w:numId="21">
    <w:abstractNumId w:val="34"/>
  </w:num>
  <w:num w:numId="22">
    <w:abstractNumId w:val="33"/>
  </w:num>
  <w:num w:numId="23">
    <w:abstractNumId w:val="20"/>
  </w:num>
  <w:num w:numId="24">
    <w:abstractNumId w:val="25"/>
  </w:num>
  <w:num w:numId="25">
    <w:abstractNumId w:val="6"/>
  </w:num>
  <w:num w:numId="26">
    <w:abstractNumId w:val="26"/>
  </w:num>
  <w:num w:numId="27">
    <w:abstractNumId w:val="15"/>
  </w:num>
  <w:num w:numId="28">
    <w:abstractNumId w:val="4"/>
  </w:num>
  <w:num w:numId="29">
    <w:abstractNumId w:val="30"/>
  </w:num>
  <w:num w:numId="30">
    <w:abstractNumId w:val="13"/>
  </w:num>
  <w:num w:numId="31">
    <w:abstractNumId w:val="5"/>
  </w:num>
  <w:num w:numId="32">
    <w:abstractNumId w:val="32"/>
  </w:num>
  <w:num w:numId="33">
    <w:abstractNumId w:val="27"/>
  </w:num>
  <w:num w:numId="34">
    <w:abstractNumId w:val="22"/>
  </w:num>
  <w:num w:numId="35">
    <w:abstractNumId w:val="17"/>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11D73"/>
    <w:rsid w:val="000207B5"/>
    <w:rsid w:val="000446EA"/>
    <w:rsid w:val="00064029"/>
    <w:rsid w:val="000A76EE"/>
    <w:rsid w:val="000B05DC"/>
    <w:rsid w:val="000B5D11"/>
    <w:rsid w:val="000D5565"/>
    <w:rsid w:val="000D5EA1"/>
    <w:rsid w:val="000E2710"/>
    <w:rsid w:val="000E2B27"/>
    <w:rsid w:val="000E4645"/>
    <w:rsid w:val="001008C5"/>
    <w:rsid w:val="001173F5"/>
    <w:rsid w:val="00124E33"/>
    <w:rsid w:val="001341E5"/>
    <w:rsid w:val="00142FB8"/>
    <w:rsid w:val="00144FD4"/>
    <w:rsid w:val="001504B2"/>
    <w:rsid w:val="0015677D"/>
    <w:rsid w:val="00157BF0"/>
    <w:rsid w:val="00160403"/>
    <w:rsid w:val="00165280"/>
    <w:rsid w:val="001700F6"/>
    <w:rsid w:val="00171E8E"/>
    <w:rsid w:val="00174FB1"/>
    <w:rsid w:val="00183046"/>
    <w:rsid w:val="00186482"/>
    <w:rsid w:val="00186D1E"/>
    <w:rsid w:val="00194AAE"/>
    <w:rsid w:val="00194F5E"/>
    <w:rsid w:val="001A51E9"/>
    <w:rsid w:val="001A7C28"/>
    <w:rsid w:val="001B3214"/>
    <w:rsid w:val="001E2AD5"/>
    <w:rsid w:val="002041B3"/>
    <w:rsid w:val="00215AA5"/>
    <w:rsid w:val="00242C8B"/>
    <w:rsid w:val="002505E6"/>
    <w:rsid w:val="00253603"/>
    <w:rsid w:val="002720B2"/>
    <w:rsid w:val="002835A6"/>
    <w:rsid w:val="00294D28"/>
    <w:rsid w:val="00296218"/>
    <w:rsid w:val="0029797B"/>
    <w:rsid w:val="002A087A"/>
    <w:rsid w:val="002A6ED9"/>
    <w:rsid w:val="002B188D"/>
    <w:rsid w:val="002B2208"/>
    <w:rsid w:val="002B44F9"/>
    <w:rsid w:val="002D581E"/>
    <w:rsid w:val="002D6C27"/>
    <w:rsid w:val="002E55CF"/>
    <w:rsid w:val="00305153"/>
    <w:rsid w:val="003112F9"/>
    <w:rsid w:val="003307CD"/>
    <w:rsid w:val="00332E3B"/>
    <w:rsid w:val="00341EE4"/>
    <w:rsid w:val="00342A8E"/>
    <w:rsid w:val="003447CA"/>
    <w:rsid w:val="00357C2C"/>
    <w:rsid w:val="00360C67"/>
    <w:rsid w:val="00366BC3"/>
    <w:rsid w:val="00370A47"/>
    <w:rsid w:val="00373776"/>
    <w:rsid w:val="00377134"/>
    <w:rsid w:val="003848A9"/>
    <w:rsid w:val="00393E46"/>
    <w:rsid w:val="003B1839"/>
    <w:rsid w:val="003B1A20"/>
    <w:rsid w:val="003B5F6D"/>
    <w:rsid w:val="003C3E4B"/>
    <w:rsid w:val="003E4BA5"/>
    <w:rsid w:val="00400F6B"/>
    <w:rsid w:val="00401D90"/>
    <w:rsid w:val="00402019"/>
    <w:rsid w:val="00404CBB"/>
    <w:rsid w:val="004130C0"/>
    <w:rsid w:val="00424545"/>
    <w:rsid w:val="00437ADF"/>
    <w:rsid w:val="00440971"/>
    <w:rsid w:val="00440AB7"/>
    <w:rsid w:val="00470B9B"/>
    <w:rsid w:val="004905D3"/>
    <w:rsid w:val="00492C75"/>
    <w:rsid w:val="004A318D"/>
    <w:rsid w:val="004A4B9A"/>
    <w:rsid w:val="004B3301"/>
    <w:rsid w:val="004B461B"/>
    <w:rsid w:val="004C31BF"/>
    <w:rsid w:val="004C628A"/>
    <w:rsid w:val="004D013D"/>
    <w:rsid w:val="004D4ED6"/>
    <w:rsid w:val="004E0A18"/>
    <w:rsid w:val="004E0BC5"/>
    <w:rsid w:val="00500F55"/>
    <w:rsid w:val="00501310"/>
    <w:rsid w:val="00520384"/>
    <w:rsid w:val="005226DA"/>
    <w:rsid w:val="00530B0C"/>
    <w:rsid w:val="00533DF4"/>
    <w:rsid w:val="00542981"/>
    <w:rsid w:val="005740F1"/>
    <w:rsid w:val="00574F78"/>
    <w:rsid w:val="00577A20"/>
    <w:rsid w:val="00593807"/>
    <w:rsid w:val="00595FBA"/>
    <w:rsid w:val="005A1D6B"/>
    <w:rsid w:val="005A4BBC"/>
    <w:rsid w:val="005B4DA3"/>
    <w:rsid w:val="005B7506"/>
    <w:rsid w:val="005D4460"/>
    <w:rsid w:val="005D48CC"/>
    <w:rsid w:val="005F2438"/>
    <w:rsid w:val="005F7196"/>
    <w:rsid w:val="00617B3D"/>
    <w:rsid w:val="00624000"/>
    <w:rsid w:val="0065084B"/>
    <w:rsid w:val="00655C5C"/>
    <w:rsid w:val="00656992"/>
    <w:rsid w:val="00690425"/>
    <w:rsid w:val="00691FEB"/>
    <w:rsid w:val="0069631C"/>
    <w:rsid w:val="00697245"/>
    <w:rsid w:val="006A6ABE"/>
    <w:rsid w:val="006B05EE"/>
    <w:rsid w:val="006B2FC6"/>
    <w:rsid w:val="006B3528"/>
    <w:rsid w:val="006B74A0"/>
    <w:rsid w:val="006C562F"/>
    <w:rsid w:val="006D0517"/>
    <w:rsid w:val="006D0BB4"/>
    <w:rsid w:val="006D1027"/>
    <w:rsid w:val="006D6390"/>
    <w:rsid w:val="006E35D9"/>
    <w:rsid w:val="006E69E9"/>
    <w:rsid w:val="00705F19"/>
    <w:rsid w:val="0071002C"/>
    <w:rsid w:val="00732A92"/>
    <w:rsid w:val="00745AB5"/>
    <w:rsid w:val="007514B4"/>
    <w:rsid w:val="0076408A"/>
    <w:rsid w:val="00765D91"/>
    <w:rsid w:val="00771E6E"/>
    <w:rsid w:val="00776E79"/>
    <w:rsid w:val="0078095C"/>
    <w:rsid w:val="007867B0"/>
    <w:rsid w:val="00794B1C"/>
    <w:rsid w:val="007A1987"/>
    <w:rsid w:val="007A281A"/>
    <w:rsid w:val="007C6E14"/>
    <w:rsid w:val="007D664C"/>
    <w:rsid w:val="007E4573"/>
    <w:rsid w:val="007E7180"/>
    <w:rsid w:val="00801D70"/>
    <w:rsid w:val="0080627F"/>
    <w:rsid w:val="008165D1"/>
    <w:rsid w:val="00835FD7"/>
    <w:rsid w:val="00836AB3"/>
    <w:rsid w:val="00841947"/>
    <w:rsid w:val="00860A64"/>
    <w:rsid w:val="00866154"/>
    <w:rsid w:val="00870AE2"/>
    <w:rsid w:val="00876211"/>
    <w:rsid w:val="00893BF0"/>
    <w:rsid w:val="00895AC5"/>
    <w:rsid w:val="008A3161"/>
    <w:rsid w:val="008A3B7B"/>
    <w:rsid w:val="008B1CDD"/>
    <w:rsid w:val="008C06CB"/>
    <w:rsid w:val="008C3D7F"/>
    <w:rsid w:val="008C49E4"/>
    <w:rsid w:val="008C4C74"/>
    <w:rsid w:val="008E6797"/>
    <w:rsid w:val="008E71F1"/>
    <w:rsid w:val="008F0E61"/>
    <w:rsid w:val="008F0ED1"/>
    <w:rsid w:val="008F5170"/>
    <w:rsid w:val="00907C1B"/>
    <w:rsid w:val="00915945"/>
    <w:rsid w:val="009168E4"/>
    <w:rsid w:val="00920521"/>
    <w:rsid w:val="00920CE0"/>
    <w:rsid w:val="00931EEE"/>
    <w:rsid w:val="00933530"/>
    <w:rsid w:val="00940D45"/>
    <w:rsid w:val="009510A9"/>
    <w:rsid w:val="00957E67"/>
    <w:rsid w:val="00966821"/>
    <w:rsid w:val="00967945"/>
    <w:rsid w:val="009714C0"/>
    <w:rsid w:val="009768CE"/>
    <w:rsid w:val="00977D8D"/>
    <w:rsid w:val="009809B1"/>
    <w:rsid w:val="00983D93"/>
    <w:rsid w:val="00992D3D"/>
    <w:rsid w:val="009B25F2"/>
    <w:rsid w:val="009C20E7"/>
    <w:rsid w:val="009C7142"/>
    <w:rsid w:val="009D2C52"/>
    <w:rsid w:val="009D7160"/>
    <w:rsid w:val="009E28E5"/>
    <w:rsid w:val="00A0023C"/>
    <w:rsid w:val="00A02AE9"/>
    <w:rsid w:val="00A1526C"/>
    <w:rsid w:val="00A218B6"/>
    <w:rsid w:val="00A4550F"/>
    <w:rsid w:val="00A5120C"/>
    <w:rsid w:val="00A60201"/>
    <w:rsid w:val="00A8689F"/>
    <w:rsid w:val="00A9290A"/>
    <w:rsid w:val="00A95141"/>
    <w:rsid w:val="00A957FC"/>
    <w:rsid w:val="00AB4D08"/>
    <w:rsid w:val="00AC1B06"/>
    <w:rsid w:val="00AC46B0"/>
    <w:rsid w:val="00AC4BF3"/>
    <w:rsid w:val="00AC6165"/>
    <w:rsid w:val="00AC7402"/>
    <w:rsid w:val="00AE775E"/>
    <w:rsid w:val="00AE7AC0"/>
    <w:rsid w:val="00AF14D9"/>
    <w:rsid w:val="00AF1DF6"/>
    <w:rsid w:val="00AF3084"/>
    <w:rsid w:val="00AF715C"/>
    <w:rsid w:val="00B00376"/>
    <w:rsid w:val="00B20AB3"/>
    <w:rsid w:val="00B550E9"/>
    <w:rsid w:val="00B57869"/>
    <w:rsid w:val="00B60B55"/>
    <w:rsid w:val="00B7085D"/>
    <w:rsid w:val="00B71954"/>
    <w:rsid w:val="00B77FE9"/>
    <w:rsid w:val="00B86AF9"/>
    <w:rsid w:val="00B927B5"/>
    <w:rsid w:val="00BA6E45"/>
    <w:rsid w:val="00BB0757"/>
    <w:rsid w:val="00BB37FC"/>
    <w:rsid w:val="00BD4ED3"/>
    <w:rsid w:val="00BE4F61"/>
    <w:rsid w:val="00BE7AE4"/>
    <w:rsid w:val="00BF7753"/>
    <w:rsid w:val="00C121C0"/>
    <w:rsid w:val="00C20282"/>
    <w:rsid w:val="00C25244"/>
    <w:rsid w:val="00C25372"/>
    <w:rsid w:val="00C44CC2"/>
    <w:rsid w:val="00C5138B"/>
    <w:rsid w:val="00C6082A"/>
    <w:rsid w:val="00C63AAA"/>
    <w:rsid w:val="00C64581"/>
    <w:rsid w:val="00C75E50"/>
    <w:rsid w:val="00C85E1E"/>
    <w:rsid w:val="00CA1C62"/>
    <w:rsid w:val="00CB54B1"/>
    <w:rsid w:val="00CC1D84"/>
    <w:rsid w:val="00CD0C1E"/>
    <w:rsid w:val="00CE3E99"/>
    <w:rsid w:val="00CF17DE"/>
    <w:rsid w:val="00CF17F8"/>
    <w:rsid w:val="00CF577A"/>
    <w:rsid w:val="00D0484A"/>
    <w:rsid w:val="00D107B2"/>
    <w:rsid w:val="00D208D1"/>
    <w:rsid w:val="00D20F6C"/>
    <w:rsid w:val="00D23B25"/>
    <w:rsid w:val="00D261DB"/>
    <w:rsid w:val="00D2688C"/>
    <w:rsid w:val="00D3231D"/>
    <w:rsid w:val="00D506FB"/>
    <w:rsid w:val="00D52F2C"/>
    <w:rsid w:val="00D55595"/>
    <w:rsid w:val="00D61C40"/>
    <w:rsid w:val="00D72705"/>
    <w:rsid w:val="00D85AC9"/>
    <w:rsid w:val="00D85FCD"/>
    <w:rsid w:val="00DA1E63"/>
    <w:rsid w:val="00DA50B6"/>
    <w:rsid w:val="00DB05C8"/>
    <w:rsid w:val="00DB08CE"/>
    <w:rsid w:val="00DB0C0F"/>
    <w:rsid w:val="00DB1E41"/>
    <w:rsid w:val="00DB6F2C"/>
    <w:rsid w:val="00DC0FAE"/>
    <w:rsid w:val="00DC6D66"/>
    <w:rsid w:val="00DD06E1"/>
    <w:rsid w:val="00DE4781"/>
    <w:rsid w:val="00DF6175"/>
    <w:rsid w:val="00E02127"/>
    <w:rsid w:val="00E10A3D"/>
    <w:rsid w:val="00E154A6"/>
    <w:rsid w:val="00E20FC8"/>
    <w:rsid w:val="00E22D49"/>
    <w:rsid w:val="00E352BE"/>
    <w:rsid w:val="00E51260"/>
    <w:rsid w:val="00E55220"/>
    <w:rsid w:val="00E67751"/>
    <w:rsid w:val="00E928CF"/>
    <w:rsid w:val="00E9533A"/>
    <w:rsid w:val="00EA2D80"/>
    <w:rsid w:val="00ED0465"/>
    <w:rsid w:val="00ED4EF3"/>
    <w:rsid w:val="00EE28CD"/>
    <w:rsid w:val="00EE5547"/>
    <w:rsid w:val="00EF059E"/>
    <w:rsid w:val="00EF30CD"/>
    <w:rsid w:val="00F145B1"/>
    <w:rsid w:val="00F14ADA"/>
    <w:rsid w:val="00F426F9"/>
    <w:rsid w:val="00F45DD4"/>
    <w:rsid w:val="00F51C84"/>
    <w:rsid w:val="00F51F8B"/>
    <w:rsid w:val="00F67C40"/>
    <w:rsid w:val="00F771EE"/>
    <w:rsid w:val="00F845F5"/>
    <w:rsid w:val="00F85B02"/>
    <w:rsid w:val="00F97044"/>
    <w:rsid w:val="00FD3001"/>
    <w:rsid w:val="00FE536B"/>
    <w:rsid w:val="00FE6CAC"/>
    <w:rsid w:val="00FF2113"/>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hapeDefaults>
    <o:shapedefaults v:ext="edit" spidmax="8193"/>
    <o:shapelayout v:ext="edit">
      <o:idmap v:ext="edit" data="1"/>
    </o:shapelayout>
  </w:shapeDefaults>
  <w:decimalSymbol w:val="."/>
  <w:listSeparator w:val=","/>
  <w14:docId w14:val="57F5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BalloonText">
    <w:name w:val="Balloon Text"/>
    <w:basedOn w:val="Normal"/>
    <w:link w:val="BalloonTextChar"/>
    <w:rsid w:val="00294D28"/>
    <w:rPr>
      <w:rFonts w:ascii="Tahoma" w:hAnsi="Tahoma" w:cs="Tahoma"/>
      <w:sz w:val="16"/>
      <w:szCs w:val="16"/>
    </w:rPr>
  </w:style>
  <w:style w:type="character" w:customStyle="1" w:styleId="BalloonTextChar">
    <w:name w:val="Balloon Text Char"/>
    <w:basedOn w:val="DefaultParagraphFont"/>
    <w:link w:val="BalloonText"/>
    <w:rsid w:val="00294D28"/>
    <w:rPr>
      <w:rFonts w:ascii="Tahoma" w:hAnsi="Tahoma" w:cs="Tahoma"/>
      <w:sz w:val="16"/>
      <w:szCs w:val="16"/>
    </w:rPr>
  </w:style>
  <w:style w:type="paragraph" w:styleId="ListParagraph">
    <w:name w:val="List Paragraph"/>
    <w:basedOn w:val="Normal"/>
    <w:uiPriority w:val="34"/>
    <w:qFormat/>
    <w:rsid w:val="003112F9"/>
    <w:pPr>
      <w:ind w:left="720"/>
      <w:contextualSpacing/>
    </w:pPr>
  </w:style>
  <w:style w:type="paragraph" w:styleId="Caption">
    <w:name w:val="caption"/>
    <w:basedOn w:val="Normal"/>
    <w:next w:val="Normal"/>
    <w:uiPriority w:val="35"/>
    <w:unhideWhenUsed/>
    <w:qFormat/>
    <w:rsid w:val="003112F9"/>
    <w:pPr>
      <w:spacing w:after="200" w:line="276" w:lineRule="auto"/>
    </w:pPr>
    <w:rPr>
      <w:rFonts w:ascii="Calibri" w:eastAsia="Calibri" w:hAnsi="Calibri"/>
      <w:b/>
      <w:bCs/>
      <w:sz w:val="20"/>
    </w:rPr>
  </w:style>
  <w:style w:type="character" w:customStyle="1" w:styleId="FootnoteTextChar">
    <w:name w:val="Footnote Text Char"/>
    <w:basedOn w:val="DefaultParagraphFont"/>
    <w:link w:val="FootnoteText"/>
    <w:semiHidden/>
    <w:rsid w:val="003112F9"/>
    <w:rPr>
      <w:rFonts w:ascii="Palatino" w:hAnsi="Palatino"/>
      <w:sz w:val="24"/>
    </w:rPr>
  </w:style>
  <w:style w:type="character" w:styleId="Hyperlink">
    <w:name w:val="Hyperlink"/>
    <w:basedOn w:val="DefaultParagraphFont"/>
    <w:rsid w:val="008C3D7F"/>
    <w:rPr>
      <w:color w:val="0000FF" w:themeColor="hyperlink"/>
      <w:u w:val="single"/>
    </w:rPr>
  </w:style>
  <w:style w:type="character" w:styleId="FollowedHyperlink">
    <w:name w:val="FollowedHyperlink"/>
    <w:basedOn w:val="DefaultParagraphFont"/>
    <w:rsid w:val="00697245"/>
    <w:rPr>
      <w:color w:val="800080" w:themeColor="followedHyperlink"/>
      <w:u w:val="single"/>
    </w:rPr>
  </w:style>
  <w:style w:type="table" w:styleId="TableGrid">
    <w:name w:val="Table Grid"/>
    <w:basedOn w:val="TableNormal"/>
    <w:rsid w:val="00170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174FB1"/>
    <w:rPr>
      <w:rFonts w:ascii="Palatino" w:hAnsi="Palatino"/>
      <w:sz w:val="26"/>
    </w:rPr>
  </w:style>
  <w:style w:type="character" w:customStyle="1" w:styleId="FooterChar">
    <w:name w:val="Footer Char"/>
    <w:link w:val="Footer"/>
    <w:uiPriority w:val="99"/>
    <w:rsid w:val="00174FB1"/>
    <w:rPr>
      <w:rFonts w:ascii="Palatino" w:hAnsi="Palatino"/>
      <w:sz w:val="26"/>
    </w:rPr>
  </w:style>
  <w:style w:type="character" w:styleId="CommentReference">
    <w:name w:val="annotation reference"/>
    <w:basedOn w:val="DefaultParagraphFont"/>
    <w:rsid w:val="006E69E9"/>
    <w:rPr>
      <w:sz w:val="16"/>
      <w:szCs w:val="16"/>
    </w:rPr>
  </w:style>
  <w:style w:type="paragraph" w:styleId="CommentText">
    <w:name w:val="annotation text"/>
    <w:basedOn w:val="Normal"/>
    <w:link w:val="CommentTextChar"/>
    <w:rsid w:val="006E69E9"/>
    <w:rPr>
      <w:sz w:val="20"/>
    </w:rPr>
  </w:style>
  <w:style w:type="character" w:customStyle="1" w:styleId="CommentTextChar">
    <w:name w:val="Comment Text Char"/>
    <w:basedOn w:val="DefaultParagraphFont"/>
    <w:link w:val="CommentText"/>
    <w:rsid w:val="006E69E9"/>
    <w:rPr>
      <w:rFonts w:ascii="Palatino" w:hAnsi="Palatino"/>
    </w:rPr>
  </w:style>
  <w:style w:type="paragraph" w:styleId="CommentSubject">
    <w:name w:val="annotation subject"/>
    <w:basedOn w:val="CommentText"/>
    <w:next w:val="CommentText"/>
    <w:link w:val="CommentSubjectChar"/>
    <w:rsid w:val="006E69E9"/>
    <w:rPr>
      <w:b/>
      <w:bCs/>
    </w:rPr>
  </w:style>
  <w:style w:type="character" w:customStyle="1" w:styleId="CommentSubjectChar">
    <w:name w:val="Comment Subject Char"/>
    <w:basedOn w:val="CommentTextChar"/>
    <w:link w:val="CommentSubject"/>
    <w:rsid w:val="006E69E9"/>
    <w:rPr>
      <w:rFonts w:ascii="Palatino" w:hAnsi="Palatino"/>
      <w:b/>
      <w:bCs/>
    </w:rPr>
  </w:style>
  <w:style w:type="paragraph" w:styleId="Revision">
    <w:name w:val="Revision"/>
    <w:hidden/>
    <w:uiPriority w:val="99"/>
    <w:semiHidden/>
    <w:rsid w:val="002B188D"/>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BalloonText">
    <w:name w:val="Balloon Text"/>
    <w:basedOn w:val="Normal"/>
    <w:link w:val="BalloonTextChar"/>
    <w:rsid w:val="00294D28"/>
    <w:rPr>
      <w:rFonts w:ascii="Tahoma" w:hAnsi="Tahoma" w:cs="Tahoma"/>
      <w:sz w:val="16"/>
      <w:szCs w:val="16"/>
    </w:rPr>
  </w:style>
  <w:style w:type="character" w:customStyle="1" w:styleId="BalloonTextChar">
    <w:name w:val="Balloon Text Char"/>
    <w:basedOn w:val="DefaultParagraphFont"/>
    <w:link w:val="BalloonText"/>
    <w:rsid w:val="00294D28"/>
    <w:rPr>
      <w:rFonts w:ascii="Tahoma" w:hAnsi="Tahoma" w:cs="Tahoma"/>
      <w:sz w:val="16"/>
      <w:szCs w:val="16"/>
    </w:rPr>
  </w:style>
  <w:style w:type="paragraph" w:styleId="ListParagraph">
    <w:name w:val="List Paragraph"/>
    <w:basedOn w:val="Normal"/>
    <w:uiPriority w:val="34"/>
    <w:qFormat/>
    <w:rsid w:val="003112F9"/>
    <w:pPr>
      <w:ind w:left="720"/>
      <w:contextualSpacing/>
    </w:pPr>
  </w:style>
  <w:style w:type="paragraph" w:styleId="Caption">
    <w:name w:val="caption"/>
    <w:basedOn w:val="Normal"/>
    <w:next w:val="Normal"/>
    <w:uiPriority w:val="35"/>
    <w:unhideWhenUsed/>
    <w:qFormat/>
    <w:rsid w:val="003112F9"/>
    <w:pPr>
      <w:spacing w:after="200" w:line="276" w:lineRule="auto"/>
    </w:pPr>
    <w:rPr>
      <w:rFonts w:ascii="Calibri" w:eastAsia="Calibri" w:hAnsi="Calibri"/>
      <w:b/>
      <w:bCs/>
      <w:sz w:val="20"/>
    </w:rPr>
  </w:style>
  <w:style w:type="character" w:customStyle="1" w:styleId="FootnoteTextChar">
    <w:name w:val="Footnote Text Char"/>
    <w:basedOn w:val="DefaultParagraphFont"/>
    <w:link w:val="FootnoteText"/>
    <w:semiHidden/>
    <w:rsid w:val="003112F9"/>
    <w:rPr>
      <w:rFonts w:ascii="Palatino" w:hAnsi="Palatino"/>
      <w:sz w:val="24"/>
    </w:rPr>
  </w:style>
  <w:style w:type="character" w:styleId="Hyperlink">
    <w:name w:val="Hyperlink"/>
    <w:basedOn w:val="DefaultParagraphFont"/>
    <w:rsid w:val="008C3D7F"/>
    <w:rPr>
      <w:color w:val="0000FF" w:themeColor="hyperlink"/>
      <w:u w:val="single"/>
    </w:rPr>
  </w:style>
  <w:style w:type="character" w:styleId="FollowedHyperlink">
    <w:name w:val="FollowedHyperlink"/>
    <w:basedOn w:val="DefaultParagraphFont"/>
    <w:rsid w:val="00697245"/>
    <w:rPr>
      <w:color w:val="800080" w:themeColor="followedHyperlink"/>
      <w:u w:val="single"/>
    </w:rPr>
  </w:style>
  <w:style w:type="table" w:styleId="TableGrid">
    <w:name w:val="Table Grid"/>
    <w:basedOn w:val="TableNormal"/>
    <w:rsid w:val="00170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174FB1"/>
    <w:rPr>
      <w:rFonts w:ascii="Palatino" w:hAnsi="Palatino"/>
      <w:sz w:val="26"/>
    </w:rPr>
  </w:style>
  <w:style w:type="character" w:customStyle="1" w:styleId="FooterChar">
    <w:name w:val="Footer Char"/>
    <w:link w:val="Footer"/>
    <w:uiPriority w:val="99"/>
    <w:rsid w:val="00174FB1"/>
    <w:rPr>
      <w:rFonts w:ascii="Palatino" w:hAnsi="Palatino"/>
      <w:sz w:val="26"/>
    </w:rPr>
  </w:style>
  <w:style w:type="character" w:styleId="CommentReference">
    <w:name w:val="annotation reference"/>
    <w:basedOn w:val="DefaultParagraphFont"/>
    <w:rsid w:val="006E69E9"/>
    <w:rPr>
      <w:sz w:val="16"/>
      <w:szCs w:val="16"/>
    </w:rPr>
  </w:style>
  <w:style w:type="paragraph" w:styleId="CommentText">
    <w:name w:val="annotation text"/>
    <w:basedOn w:val="Normal"/>
    <w:link w:val="CommentTextChar"/>
    <w:rsid w:val="006E69E9"/>
    <w:rPr>
      <w:sz w:val="20"/>
    </w:rPr>
  </w:style>
  <w:style w:type="character" w:customStyle="1" w:styleId="CommentTextChar">
    <w:name w:val="Comment Text Char"/>
    <w:basedOn w:val="DefaultParagraphFont"/>
    <w:link w:val="CommentText"/>
    <w:rsid w:val="006E69E9"/>
    <w:rPr>
      <w:rFonts w:ascii="Palatino" w:hAnsi="Palatino"/>
    </w:rPr>
  </w:style>
  <w:style w:type="paragraph" w:styleId="CommentSubject">
    <w:name w:val="annotation subject"/>
    <w:basedOn w:val="CommentText"/>
    <w:next w:val="CommentText"/>
    <w:link w:val="CommentSubjectChar"/>
    <w:rsid w:val="006E69E9"/>
    <w:rPr>
      <w:b/>
      <w:bCs/>
    </w:rPr>
  </w:style>
  <w:style w:type="character" w:customStyle="1" w:styleId="CommentSubjectChar">
    <w:name w:val="Comment Subject Char"/>
    <w:basedOn w:val="CommentTextChar"/>
    <w:link w:val="CommentSubject"/>
    <w:rsid w:val="006E69E9"/>
    <w:rPr>
      <w:rFonts w:ascii="Palatino" w:hAnsi="Palatino"/>
      <w:b/>
      <w:bCs/>
    </w:rPr>
  </w:style>
  <w:style w:type="paragraph" w:styleId="Revision">
    <w:name w:val="Revision"/>
    <w:hidden/>
    <w:uiPriority w:val="99"/>
    <w:semiHidden/>
    <w:rsid w:val="002B188D"/>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00176">
      <w:bodyDiv w:val="1"/>
      <w:marLeft w:val="0"/>
      <w:marRight w:val="0"/>
      <w:marTop w:val="0"/>
      <w:marBottom w:val="0"/>
      <w:divBdr>
        <w:top w:val="none" w:sz="0" w:space="0" w:color="auto"/>
        <w:left w:val="none" w:sz="0" w:space="0" w:color="auto"/>
        <w:bottom w:val="none" w:sz="0" w:space="0" w:color="auto"/>
        <w:right w:val="none" w:sz="0" w:space="0" w:color="auto"/>
      </w:divBdr>
    </w:div>
    <w:div w:id="1714770154">
      <w:bodyDiv w:val="1"/>
      <w:marLeft w:val="0"/>
      <w:marRight w:val="0"/>
      <w:marTop w:val="0"/>
      <w:marBottom w:val="0"/>
      <w:divBdr>
        <w:top w:val="none" w:sz="0" w:space="0" w:color="auto"/>
        <w:left w:val="none" w:sz="0" w:space="0" w:color="auto"/>
        <w:bottom w:val="none" w:sz="0" w:space="0" w:color="auto"/>
        <w:right w:val="none" w:sz="0" w:space="0" w:color="auto"/>
      </w:divBdr>
    </w:div>
    <w:div w:id="1809781236">
      <w:bodyDiv w:val="1"/>
      <w:marLeft w:val="0"/>
      <w:marRight w:val="0"/>
      <w:marTop w:val="0"/>
      <w:marBottom w:val="0"/>
      <w:divBdr>
        <w:top w:val="none" w:sz="0" w:space="0" w:color="auto"/>
        <w:left w:val="none" w:sz="0" w:space="0" w:color="auto"/>
        <w:bottom w:val="none" w:sz="0" w:space="0" w:color="auto"/>
        <w:right w:val="none" w:sz="0" w:space="0" w:color="auto"/>
      </w:divBdr>
    </w:div>
    <w:div w:id="1850757291">
      <w:bodyDiv w:val="1"/>
      <w:marLeft w:val="0"/>
      <w:marRight w:val="0"/>
      <w:marTop w:val="0"/>
      <w:marBottom w:val="0"/>
      <w:divBdr>
        <w:top w:val="none" w:sz="0" w:space="0" w:color="auto"/>
        <w:left w:val="none" w:sz="0" w:space="0" w:color="auto"/>
        <w:bottom w:val="none" w:sz="0" w:space="0" w:color="auto"/>
        <w:right w:val="none" w:sz="0" w:space="0" w:color="auto"/>
      </w:divBdr>
    </w:div>
    <w:div w:id="1859656155">
      <w:bodyDiv w:val="1"/>
      <w:marLeft w:val="0"/>
      <w:marRight w:val="0"/>
      <w:marTop w:val="0"/>
      <w:marBottom w:val="0"/>
      <w:divBdr>
        <w:top w:val="none" w:sz="0" w:space="0" w:color="auto"/>
        <w:left w:val="none" w:sz="0" w:space="0" w:color="auto"/>
        <w:bottom w:val="none" w:sz="0" w:space="0" w:color="auto"/>
        <w:right w:val="none" w:sz="0" w:space="0" w:color="auto"/>
      </w:divBdr>
    </w:div>
    <w:div w:id="19789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resources.com/" TargetMode="External"/><Relationship Id="rId13" Type="http://schemas.openxmlformats.org/officeDocument/2006/relationships/footer" Target="footer2.xml"/><Relationship Id="rId18" Type="http://schemas.openxmlformats.org/officeDocument/2006/relationships/hyperlink" Target="mailto:katie.wu@cpuc.ca.gov" TargetMode="Externa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eestats.cpuc.ca.gov/Views/Documents.aspx"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puc.ca.gov/PUC/Water/Available+Documents/Downloadable+Reports/Utility_Audit_Finance_and_Compliance_Reports.htm" TargetMode="External"/><Relationship Id="rId3" Type="http://schemas.openxmlformats.org/officeDocument/2006/relationships/hyperlink" Target="http://www.cpuc.ca.gov/PUC/Water/Available+Documents/Downloadable+Reports/Utility_Audit_Finance_and_Compliance_Reports.htm" TargetMode="External"/><Relationship Id="rId7" Type="http://schemas.openxmlformats.org/officeDocument/2006/relationships/hyperlink" Target="http://www.cpuc.ca.gov/NR/rdonlyres/5730A107-47D8-49E7-8607-38C9585FFF05/0/2013ESPIPerformanceStatementReport_DISTRIBUTE.pdf" TargetMode="External"/><Relationship Id="rId12" Type="http://schemas.openxmlformats.org/officeDocument/2006/relationships/hyperlink" Target="http://www.cpuc.ca.gov/PUC/Water/Available+Documents/Downloadable+Reports/Utility_Audit_Finance_and_Compliance_Reports.htm" TargetMode="External"/><Relationship Id="rId2" Type="http://schemas.openxmlformats.org/officeDocument/2006/relationships/hyperlink" Target="http://deeresources.com/index.php/espi/espi-ear-performance-scoring" TargetMode="External"/><Relationship Id="rId1" Type="http://schemas.openxmlformats.org/officeDocument/2006/relationships/hyperlink" Target="http://www.cpuc.ca.gov/PUC/energy/Energy+Efficiency/Shareholder+Incentive+Mechanism.htm" TargetMode="External"/><Relationship Id="rId6" Type="http://schemas.openxmlformats.org/officeDocument/2006/relationships/hyperlink" Target="http://www.cpuc.ca.gov/NR/rdonlyres/5730A107-47D8-49E7-8607-38C9585FFF05/0/2013ESPIPerformanceStatementReport_DISTRIBUTE.pdf" TargetMode="External"/><Relationship Id="rId11" Type="http://schemas.openxmlformats.org/officeDocument/2006/relationships/hyperlink" Target="http://www.cpuc.ca.gov/PUC/Water/Available+Documents/Downloadable+Reports/Utility_Audit_Finance_and_Compliance_Reports.htm" TargetMode="External"/><Relationship Id="rId5" Type="http://schemas.openxmlformats.org/officeDocument/2006/relationships/hyperlink" Target="http://www.cpuc.ca.gov/NR/rdonlyres/2A3A2C09-96E6-4F12-AA28-1EA1855D0FC7/0/PGEEEProgramExaminationReport2013.pdf" TargetMode="External"/><Relationship Id="rId10" Type="http://schemas.openxmlformats.org/officeDocument/2006/relationships/hyperlink" Target="http://www.cpuc.ca.gov/PUC/Water/Available+Documents/Downloadable+Reports/Utility_Audit_Finance_and_Compliance_Reports.htm" TargetMode="External"/><Relationship Id="rId4" Type="http://schemas.openxmlformats.org/officeDocument/2006/relationships/hyperlink" Target="http://www.cpuc.ca.gov/NR/rdonlyres/5730A107-47D8-49E7-8607-38C9585FFF05/0/2013ESPIPerformanceStatementReport_DISTRIBUTE.pdf" TargetMode="External"/><Relationship Id="rId9" Type="http://schemas.openxmlformats.org/officeDocument/2006/relationships/hyperlink" Target="http://www.cpuc.ca.gov/PUC/Water/Available+Documents/Downloadable+Reports/Utility_Audit_Finance_and_Compliance_Repor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13535</Words>
  <Characters>77152</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Resolution Template</vt:lpstr>
    </vt:vector>
  </TitlesOfParts>
  <Manager/>
  <Company/>
  <LinksUpToDate>false</LinksUpToDate>
  <CharactersWithSpaces>90506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2015-12-07T18:48:00Z</cp:lastPrinted>
  <dcterms:created xsi:type="dcterms:W3CDTF">2015-12-07T19:14:00Z</dcterms:created>
  <dcterms:modified xsi:type="dcterms:W3CDTF">2015-12-07T19:15:00Z</dcterms:modified>
  <cp:category> </cp:category>
  <cp:contentStatus> </cp:contentStatus>
</cp:coreProperties>
</file>