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A2F" w:rsidRPr="00713293" w:rsidRDefault="00C67A2F" w:rsidP="00C67A2F">
      <w:pPr>
        <w:ind w:right="630"/>
        <w:jc w:val="center"/>
        <w:rPr>
          <w:rFonts w:ascii="Palatino Linotype" w:hAnsi="Palatino Linotype"/>
          <w:b/>
          <w:sz w:val="24"/>
          <w:szCs w:val="24"/>
        </w:rPr>
      </w:pPr>
      <w:bookmarkStart w:id="0" w:name="_GoBack"/>
      <w:bookmarkEnd w:id="0"/>
      <w:r w:rsidRPr="00713293">
        <w:rPr>
          <w:rFonts w:ascii="Palatino Linotype" w:hAnsi="Palatino Linotype"/>
          <w:b/>
          <w:sz w:val="24"/>
          <w:szCs w:val="24"/>
        </w:rPr>
        <w:t>PUBLIC UTILITIES COMMISSION OF THE STATE OF CALIFORNIA</w:t>
      </w:r>
    </w:p>
    <w:p w:rsidR="00C67A2F" w:rsidRPr="00D217EA" w:rsidRDefault="00C67A2F" w:rsidP="00C67A2F">
      <w:pPr>
        <w:rPr>
          <w:rFonts w:ascii="Palatino Linotype" w:hAnsi="Palatino Linotype"/>
          <w:b/>
          <w:color w:val="FF0000"/>
          <w:sz w:val="24"/>
          <w:szCs w:val="24"/>
        </w:rPr>
      </w:pPr>
    </w:p>
    <w:p w:rsidR="00C67A2F" w:rsidRPr="00D217EA" w:rsidRDefault="00C67A2F" w:rsidP="00C67A2F">
      <w:pPr>
        <w:pStyle w:val="xl28"/>
        <w:spacing w:before="0" w:beforeAutospacing="0" w:after="0" w:afterAutospacing="0"/>
        <w:rPr>
          <w:rFonts w:ascii="Palatino Linotype" w:eastAsia="Times New Roman" w:hAnsi="Palatino Linotype" w:cs="Times New Roman"/>
          <w:bCs w:val="0"/>
          <w:color w:val="FF0000"/>
        </w:rPr>
      </w:pPr>
    </w:p>
    <w:tbl>
      <w:tblPr>
        <w:tblW w:w="0" w:type="auto"/>
        <w:tblInd w:w="198" w:type="dxa"/>
        <w:tblLayout w:type="fixed"/>
        <w:tblLook w:val="0000" w:firstRow="0" w:lastRow="0" w:firstColumn="0" w:lastColumn="0" w:noHBand="0" w:noVBand="0"/>
      </w:tblPr>
      <w:tblGrid>
        <w:gridCol w:w="5760"/>
        <w:gridCol w:w="3150"/>
      </w:tblGrid>
      <w:tr w:rsidR="00C67A2F" w:rsidRPr="00D217EA">
        <w:tc>
          <w:tcPr>
            <w:tcW w:w="5760" w:type="dxa"/>
          </w:tcPr>
          <w:p w:rsidR="00C67A2F" w:rsidRPr="00713293" w:rsidRDefault="00C67A2F" w:rsidP="00723AC4">
            <w:pPr>
              <w:rPr>
                <w:rFonts w:ascii="Palatino Linotype" w:hAnsi="Palatino Linotype"/>
                <w:b/>
                <w:sz w:val="24"/>
                <w:szCs w:val="24"/>
              </w:rPr>
            </w:pPr>
            <w:r w:rsidRPr="00713293">
              <w:rPr>
                <w:rFonts w:ascii="Palatino Linotype" w:hAnsi="Palatino Linotype"/>
                <w:b/>
                <w:sz w:val="24"/>
                <w:szCs w:val="24"/>
              </w:rPr>
              <w:t>Communications Division</w:t>
            </w:r>
          </w:p>
        </w:tc>
        <w:tc>
          <w:tcPr>
            <w:tcW w:w="3150" w:type="dxa"/>
          </w:tcPr>
          <w:p w:rsidR="00C67A2F" w:rsidRPr="00713293" w:rsidRDefault="00C67A2F" w:rsidP="00723AC4">
            <w:pPr>
              <w:pStyle w:val="xl24"/>
              <w:spacing w:before="0" w:beforeAutospacing="0" w:after="0" w:afterAutospacing="0"/>
              <w:jc w:val="left"/>
              <w:rPr>
                <w:rFonts w:ascii="Palatino Linotype" w:eastAsia="Times New Roman" w:hAnsi="Palatino Linotype" w:cs="Times New Roman"/>
                <w:bCs w:val="0"/>
              </w:rPr>
            </w:pPr>
            <w:r w:rsidRPr="00713293">
              <w:rPr>
                <w:rFonts w:ascii="Palatino Linotype" w:eastAsia="Times New Roman" w:hAnsi="Palatino Linotype" w:cs="Times New Roman"/>
                <w:bCs w:val="0"/>
              </w:rPr>
              <w:t>RESOLUTION T-1</w:t>
            </w:r>
            <w:r>
              <w:rPr>
                <w:rFonts w:ascii="Palatino Linotype" w:eastAsia="Times New Roman" w:hAnsi="Palatino Linotype" w:cs="Times New Roman"/>
                <w:bCs w:val="0"/>
              </w:rPr>
              <w:t>7</w:t>
            </w:r>
            <w:r w:rsidRPr="00713293">
              <w:rPr>
                <w:rFonts w:ascii="Palatino Linotype" w:eastAsia="Times New Roman" w:hAnsi="Palatino Linotype" w:cs="Times New Roman"/>
                <w:bCs w:val="0"/>
              </w:rPr>
              <w:t>503</w:t>
            </w:r>
          </w:p>
        </w:tc>
      </w:tr>
      <w:tr w:rsidR="00C67A2F" w:rsidRPr="00D217EA">
        <w:tc>
          <w:tcPr>
            <w:tcW w:w="5760" w:type="dxa"/>
          </w:tcPr>
          <w:p w:rsidR="00C67A2F" w:rsidRPr="00713293" w:rsidRDefault="00C67A2F" w:rsidP="00723AC4">
            <w:pPr>
              <w:rPr>
                <w:rFonts w:ascii="Palatino Linotype" w:hAnsi="Palatino Linotype"/>
                <w:b/>
                <w:sz w:val="24"/>
                <w:szCs w:val="24"/>
              </w:rPr>
            </w:pPr>
            <w:r w:rsidRPr="00713293">
              <w:rPr>
                <w:rFonts w:ascii="Palatino Linotype" w:hAnsi="Palatino Linotype"/>
                <w:b/>
                <w:sz w:val="24"/>
                <w:szCs w:val="24"/>
              </w:rPr>
              <w:t xml:space="preserve">Broadband, Policy and Analysis Branch </w:t>
            </w:r>
          </w:p>
        </w:tc>
        <w:tc>
          <w:tcPr>
            <w:tcW w:w="3150" w:type="dxa"/>
          </w:tcPr>
          <w:p w:rsidR="00C67A2F" w:rsidRPr="00713293" w:rsidRDefault="00C67A2F" w:rsidP="00723AC4">
            <w:pPr>
              <w:rPr>
                <w:rFonts w:ascii="Palatino Linotype" w:hAnsi="Palatino Linotype"/>
                <w:b/>
                <w:sz w:val="24"/>
                <w:szCs w:val="24"/>
              </w:rPr>
            </w:pPr>
            <w:r w:rsidRPr="00713293">
              <w:rPr>
                <w:rFonts w:ascii="Palatino Linotype" w:hAnsi="Palatino Linotype"/>
                <w:b/>
                <w:sz w:val="24"/>
                <w:szCs w:val="24"/>
              </w:rPr>
              <w:t xml:space="preserve">DATE </w:t>
            </w:r>
            <w:r>
              <w:rPr>
                <w:rFonts w:ascii="Palatino Linotype" w:hAnsi="Palatino Linotype"/>
                <w:b/>
                <w:sz w:val="24"/>
                <w:szCs w:val="24"/>
              </w:rPr>
              <w:t>December 17</w:t>
            </w:r>
            <w:r w:rsidRPr="00713293">
              <w:rPr>
                <w:rFonts w:ascii="Palatino Linotype" w:hAnsi="Palatino Linotype"/>
                <w:b/>
                <w:sz w:val="24"/>
                <w:szCs w:val="24"/>
              </w:rPr>
              <w:t>, 2015</w:t>
            </w:r>
          </w:p>
        </w:tc>
      </w:tr>
    </w:tbl>
    <w:p w:rsidR="00C67A2F" w:rsidRPr="00D217EA" w:rsidRDefault="00C67A2F" w:rsidP="00C67A2F">
      <w:pPr>
        <w:rPr>
          <w:rFonts w:ascii="Palatino Linotype" w:hAnsi="Palatino Linotype"/>
          <w:color w:val="FF0000"/>
          <w:sz w:val="24"/>
          <w:szCs w:val="24"/>
        </w:rPr>
      </w:pPr>
    </w:p>
    <w:p w:rsidR="00C67A2F" w:rsidRPr="00D217EA" w:rsidRDefault="00C67A2F" w:rsidP="00C67A2F">
      <w:pPr>
        <w:rPr>
          <w:rFonts w:ascii="Palatino Linotype" w:hAnsi="Palatino Linotype"/>
          <w:color w:val="FF0000"/>
          <w:sz w:val="24"/>
          <w:szCs w:val="24"/>
        </w:rPr>
      </w:pPr>
    </w:p>
    <w:p w:rsidR="00C67A2F" w:rsidRPr="00675FF8" w:rsidRDefault="00C67A2F" w:rsidP="00C67A2F">
      <w:pPr>
        <w:ind w:right="990"/>
        <w:jc w:val="center"/>
        <w:rPr>
          <w:rFonts w:ascii="Palatino Linotype" w:hAnsi="Palatino Linotype"/>
          <w:sz w:val="24"/>
          <w:szCs w:val="24"/>
        </w:rPr>
      </w:pPr>
      <w:r w:rsidRPr="00675FF8">
        <w:rPr>
          <w:rFonts w:ascii="Palatino Linotype" w:hAnsi="Palatino Linotype"/>
          <w:b/>
          <w:sz w:val="24"/>
          <w:szCs w:val="24"/>
          <w:u w:val="single"/>
        </w:rPr>
        <w:t>R</w:t>
      </w:r>
      <w:r w:rsidRPr="00675FF8">
        <w:rPr>
          <w:rFonts w:ascii="Palatino Linotype" w:hAnsi="Palatino Linotype"/>
          <w:sz w:val="24"/>
          <w:szCs w:val="24"/>
        </w:rPr>
        <w:t xml:space="preserve"> </w:t>
      </w:r>
      <w:r w:rsidRPr="00675FF8">
        <w:rPr>
          <w:rFonts w:ascii="Palatino Linotype" w:hAnsi="Palatino Linotype"/>
          <w:b/>
          <w:sz w:val="24"/>
          <w:szCs w:val="24"/>
          <w:u w:val="single"/>
        </w:rPr>
        <w:t>E</w:t>
      </w:r>
      <w:r w:rsidRPr="00675FF8">
        <w:rPr>
          <w:rFonts w:ascii="Palatino Linotype" w:hAnsi="Palatino Linotype"/>
          <w:sz w:val="24"/>
          <w:szCs w:val="24"/>
        </w:rPr>
        <w:t xml:space="preserve"> </w:t>
      </w:r>
      <w:r w:rsidRPr="00675FF8">
        <w:rPr>
          <w:rFonts w:ascii="Palatino Linotype" w:hAnsi="Palatino Linotype"/>
          <w:b/>
          <w:sz w:val="24"/>
          <w:szCs w:val="24"/>
          <w:u w:val="single"/>
        </w:rPr>
        <w:t>S</w:t>
      </w:r>
      <w:r w:rsidRPr="00675FF8">
        <w:rPr>
          <w:rFonts w:ascii="Palatino Linotype" w:hAnsi="Palatino Linotype"/>
          <w:sz w:val="24"/>
          <w:szCs w:val="24"/>
        </w:rPr>
        <w:t xml:space="preserve"> </w:t>
      </w:r>
      <w:r w:rsidRPr="00675FF8">
        <w:rPr>
          <w:rFonts w:ascii="Palatino Linotype" w:hAnsi="Palatino Linotype"/>
          <w:b/>
          <w:sz w:val="24"/>
          <w:szCs w:val="24"/>
          <w:u w:val="single"/>
        </w:rPr>
        <w:t>O</w:t>
      </w:r>
      <w:r w:rsidRPr="00675FF8">
        <w:rPr>
          <w:rFonts w:ascii="Palatino Linotype" w:hAnsi="Palatino Linotype"/>
          <w:sz w:val="24"/>
          <w:szCs w:val="24"/>
        </w:rPr>
        <w:t xml:space="preserve"> </w:t>
      </w:r>
      <w:r w:rsidRPr="00675FF8">
        <w:rPr>
          <w:rFonts w:ascii="Palatino Linotype" w:hAnsi="Palatino Linotype"/>
          <w:b/>
          <w:sz w:val="24"/>
          <w:szCs w:val="24"/>
          <w:u w:val="single"/>
        </w:rPr>
        <w:t>L</w:t>
      </w:r>
      <w:r w:rsidRPr="00675FF8">
        <w:rPr>
          <w:rFonts w:ascii="Palatino Linotype" w:hAnsi="Palatino Linotype"/>
          <w:sz w:val="24"/>
          <w:szCs w:val="24"/>
        </w:rPr>
        <w:t xml:space="preserve"> </w:t>
      </w:r>
      <w:r w:rsidRPr="00675FF8">
        <w:rPr>
          <w:rFonts w:ascii="Palatino Linotype" w:hAnsi="Palatino Linotype"/>
          <w:b/>
          <w:sz w:val="24"/>
          <w:szCs w:val="24"/>
          <w:u w:val="single"/>
        </w:rPr>
        <w:t>U</w:t>
      </w:r>
      <w:r w:rsidRPr="00675FF8">
        <w:rPr>
          <w:rFonts w:ascii="Palatino Linotype" w:hAnsi="Palatino Linotype"/>
          <w:sz w:val="24"/>
          <w:szCs w:val="24"/>
        </w:rPr>
        <w:t xml:space="preserve"> </w:t>
      </w:r>
      <w:r w:rsidRPr="00675FF8">
        <w:rPr>
          <w:rFonts w:ascii="Palatino Linotype" w:hAnsi="Palatino Linotype"/>
          <w:b/>
          <w:sz w:val="24"/>
          <w:szCs w:val="24"/>
          <w:u w:val="single"/>
        </w:rPr>
        <w:t>T</w:t>
      </w:r>
      <w:r w:rsidRPr="00675FF8">
        <w:rPr>
          <w:rFonts w:ascii="Palatino Linotype" w:hAnsi="Palatino Linotype"/>
          <w:sz w:val="24"/>
          <w:szCs w:val="24"/>
        </w:rPr>
        <w:t xml:space="preserve"> </w:t>
      </w:r>
      <w:r w:rsidRPr="00675FF8">
        <w:rPr>
          <w:rFonts w:ascii="Palatino Linotype" w:hAnsi="Palatino Linotype"/>
          <w:b/>
          <w:sz w:val="24"/>
          <w:szCs w:val="24"/>
          <w:u w:val="single"/>
        </w:rPr>
        <w:t>I</w:t>
      </w:r>
      <w:r w:rsidRPr="00675FF8">
        <w:rPr>
          <w:rFonts w:ascii="Palatino Linotype" w:hAnsi="Palatino Linotype"/>
          <w:sz w:val="24"/>
          <w:szCs w:val="24"/>
        </w:rPr>
        <w:t xml:space="preserve"> </w:t>
      </w:r>
      <w:r w:rsidRPr="00675FF8">
        <w:rPr>
          <w:rFonts w:ascii="Palatino Linotype" w:hAnsi="Palatino Linotype"/>
          <w:b/>
          <w:sz w:val="24"/>
          <w:szCs w:val="24"/>
          <w:u w:val="single"/>
        </w:rPr>
        <w:t>O</w:t>
      </w:r>
      <w:r w:rsidRPr="00675FF8">
        <w:rPr>
          <w:rFonts w:ascii="Palatino Linotype" w:hAnsi="Palatino Linotype"/>
          <w:sz w:val="24"/>
          <w:szCs w:val="24"/>
        </w:rPr>
        <w:t xml:space="preserve"> </w:t>
      </w:r>
      <w:r w:rsidRPr="00675FF8">
        <w:rPr>
          <w:rFonts w:ascii="Palatino Linotype" w:hAnsi="Palatino Linotype"/>
          <w:b/>
          <w:sz w:val="24"/>
          <w:szCs w:val="24"/>
          <w:u w:val="single"/>
        </w:rPr>
        <w:t>N</w:t>
      </w:r>
    </w:p>
    <w:p w:rsidR="00C67A2F" w:rsidRPr="00675FF8" w:rsidRDefault="00C67A2F" w:rsidP="00C67A2F">
      <w:pPr>
        <w:ind w:right="990"/>
        <w:rPr>
          <w:rFonts w:ascii="Palatino Linotype" w:hAnsi="Palatino Linotype"/>
          <w:sz w:val="24"/>
          <w:szCs w:val="24"/>
        </w:rPr>
      </w:pPr>
    </w:p>
    <w:p w:rsidR="00C67A2F" w:rsidRPr="00675FF8" w:rsidRDefault="00C67A2F" w:rsidP="00C67A2F">
      <w:pPr>
        <w:ind w:left="450" w:right="630"/>
        <w:rPr>
          <w:rFonts w:ascii="Palatino Linotype" w:hAnsi="Palatino Linotype"/>
          <w:b/>
          <w:sz w:val="24"/>
          <w:szCs w:val="24"/>
        </w:rPr>
      </w:pPr>
      <w:r w:rsidRPr="00675FF8">
        <w:rPr>
          <w:rFonts w:ascii="Palatino Linotype" w:hAnsi="Palatino Linotype"/>
          <w:b/>
          <w:sz w:val="24"/>
          <w:szCs w:val="24"/>
        </w:rPr>
        <w:t>Resolution T-17503: Approval of funding for the grant application of Anza Electric Cooperative, Inc. from the California Advanced Services Fund (CASF) in the amount of $2</w:t>
      </w:r>
      <w:r>
        <w:rPr>
          <w:rFonts w:ascii="Palatino Linotype" w:hAnsi="Palatino Linotype"/>
          <w:b/>
          <w:sz w:val="24"/>
          <w:szCs w:val="24"/>
        </w:rPr>
        <w:t>,</w:t>
      </w:r>
      <w:r w:rsidRPr="00675FF8">
        <w:rPr>
          <w:rFonts w:ascii="Palatino Linotype" w:hAnsi="Palatino Linotype"/>
          <w:b/>
          <w:sz w:val="24"/>
          <w:szCs w:val="24"/>
        </w:rPr>
        <w:t>66</w:t>
      </w:r>
      <w:r>
        <w:rPr>
          <w:rFonts w:ascii="Palatino Linotype" w:hAnsi="Palatino Linotype"/>
          <w:b/>
          <w:sz w:val="24"/>
          <w:szCs w:val="24"/>
        </w:rPr>
        <w:t xml:space="preserve">2,450 </w:t>
      </w:r>
      <w:r w:rsidRPr="00675FF8">
        <w:rPr>
          <w:rFonts w:ascii="Palatino Linotype" w:hAnsi="Palatino Linotype"/>
          <w:b/>
          <w:sz w:val="24"/>
          <w:szCs w:val="24"/>
        </w:rPr>
        <w:t xml:space="preserve">for the </w:t>
      </w:r>
      <w:r>
        <w:rPr>
          <w:rFonts w:ascii="Palatino Linotype" w:hAnsi="Palatino Linotype"/>
          <w:b/>
          <w:sz w:val="24"/>
          <w:szCs w:val="24"/>
        </w:rPr>
        <w:t>Connect Anza</w:t>
      </w:r>
      <w:r w:rsidRPr="00675FF8">
        <w:rPr>
          <w:rFonts w:ascii="Palatino Linotype" w:hAnsi="Palatino Linotype"/>
          <w:b/>
          <w:sz w:val="24"/>
          <w:szCs w:val="24"/>
        </w:rPr>
        <w:t xml:space="preserve"> Project</w:t>
      </w:r>
      <w:r>
        <w:rPr>
          <w:rFonts w:ascii="Palatino Linotype" w:hAnsi="Palatino Linotype"/>
          <w:b/>
          <w:sz w:val="24"/>
          <w:szCs w:val="24"/>
        </w:rPr>
        <w:t>, located in a CASF “priority area.”</w:t>
      </w:r>
    </w:p>
    <w:p w:rsidR="00C67A2F" w:rsidRPr="00C7230D" w:rsidRDefault="00C67A2F" w:rsidP="00C67A2F">
      <w:pPr>
        <w:ind w:left="720" w:right="630"/>
        <w:rPr>
          <w:rFonts w:ascii="Palatino Linotype" w:hAnsi="Palatino Linotype"/>
          <w:sz w:val="24"/>
          <w:szCs w:val="24"/>
        </w:rPr>
      </w:pPr>
      <w:r w:rsidRPr="00C7230D">
        <w:rPr>
          <w:rFonts w:ascii="Palatino Linotype" w:hAnsi="Palatino Linotype"/>
          <w:sz w:val="24"/>
          <w:szCs w:val="24"/>
        </w:rPr>
        <w:t>__________________________________________________________________</w:t>
      </w:r>
    </w:p>
    <w:p w:rsidR="00C67A2F" w:rsidRPr="00C7230D" w:rsidRDefault="00C67A2F" w:rsidP="00C67A2F">
      <w:pPr>
        <w:ind w:left="720" w:right="630"/>
        <w:rPr>
          <w:rFonts w:ascii="Palatino Linotype" w:hAnsi="Palatino Linotype"/>
          <w:sz w:val="24"/>
          <w:szCs w:val="24"/>
        </w:rPr>
      </w:pPr>
    </w:p>
    <w:p w:rsidR="00C67A2F" w:rsidRPr="00C7230D" w:rsidRDefault="00C67A2F" w:rsidP="00C67A2F">
      <w:pPr>
        <w:ind w:left="720" w:right="630"/>
        <w:rPr>
          <w:rFonts w:ascii="Palatino Linotype" w:hAnsi="Palatino Linotype"/>
          <w:sz w:val="24"/>
          <w:szCs w:val="24"/>
        </w:rPr>
      </w:pPr>
    </w:p>
    <w:p w:rsidR="00C67A2F" w:rsidRPr="00C7230D" w:rsidRDefault="00C67A2F" w:rsidP="00C67A2F">
      <w:pPr>
        <w:keepNext/>
        <w:numPr>
          <w:ilvl w:val="0"/>
          <w:numId w:val="12"/>
        </w:numPr>
        <w:ind w:right="630"/>
        <w:rPr>
          <w:rFonts w:ascii="Palatino Linotype" w:hAnsi="Palatino Linotype"/>
          <w:b/>
          <w:sz w:val="24"/>
          <w:szCs w:val="24"/>
        </w:rPr>
      </w:pPr>
      <w:r w:rsidRPr="00C7230D">
        <w:rPr>
          <w:rFonts w:ascii="Palatino Linotype" w:hAnsi="Palatino Linotype"/>
          <w:b/>
          <w:sz w:val="24"/>
          <w:szCs w:val="24"/>
        </w:rPr>
        <w:t>Summary</w:t>
      </w:r>
    </w:p>
    <w:p w:rsidR="00C67A2F" w:rsidRPr="00D217EA" w:rsidRDefault="00C67A2F" w:rsidP="00C67A2F">
      <w:pPr>
        <w:keepNext/>
        <w:ind w:right="630"/>
        <w:rPr>
          <w:rFonts w:ascii="Palatino Linotype" w:hAnsi="Palatino Linotype"/>
          <w:b/>
          <w:color w:val="FF0000"/>
          <w:sz w:val="24"/>
          <w:szCs w:val="24"/>
        </w:rPr>
      </w:pPr>
    </w:p>
    <w:p w:rsidR="00C67A2F" w:rsidRPr="001D16F4" w:rsidRDefault="00C67A2F" w:rsidP="00C67A2F">
      <w:pPr>
        <w:pStyle w:val="xl41"/>
        <w:keepNext/>
        <w:overflowPunct/>
        <w:autoSpaceDE/>
        <w:autoSpaceDN/>
        <w:adjustRightInd/>
        <w:spacing w:before="0" w:after="0"/>
        <w:ind w:right="630"/>
        <w:textAlignment w:val="auto"/>
        <w:rPr>
          <w:rFonts w:ascii="Palatino Linotype" w:hAnsi="Palatino Linotype" w:cs="Palatino Linotype"/>
          <w:szCs w:val="24"/>
        </w:rPr>
      </w:pPr>
      <w:r w:rsidRPr="00462D4E">
        <w:rPr>
          <w:rFonts w:ascii="Palatino Linotype" w:eastAsia="Times New Roman" w:hAnsi="Palatino Linotype" w:cs="Palatino Linotype"/>
          <w:szCs w:val="24"/>
        </w:rPr>
        <w:t>This Resolution approves funding in the amount of $</w:t>
      </w:r>
      <w:r w:rsidRPr="009F097D">
        <w:rPr>
          <w:rFonts w:ascii="Palatino Linotype" w:eastAsia="Times New Roman" w:hAnsi="Palatino Linotype" w:cs="Palatino Linotype"/>
          <w:szCs w:val="24"/>
        </w:rPr>
        <w:t>2,662,450</w:t>
      </w:r>
      <w:r>
        <w:rPr>
          <w:rFonts w:ascii="Palatino Linotype" w:eastAsia="Times New Roman" w:hAnsi="Palatino Linotype" w:cs="Palatino Linotype"/>
          <w:szCs w:val="24"/>
        </w:rPr>
        <w:t xml:space="preserve"> </w:t>
      </w:r>
      <w:r w:rsidRPr="00462D4E">
        <w:rPr>
          <w:rFonts w:ascii="Palatino Linotype" w:eastAsia="Times New Roman" w:hAnsi="Palatino Linotype" w:cs="Palatino Linotype"/>
          <w:szCs w:val="24"/>
        </w:rPr>
        <w:t xml:space="preserve">from the California Advanced Service Fund (CASF) </w:t>
      </w:r>
      <w:r>
        <w:rPr>
          <w:rFonts w:ascii="Palatino Linotype" w:eastAsia="Times New Roman" w:hAnsi="Palatino Linotype" w:cs="Palatino Linotype"/>
          <w:szCs w:val="24"/>
        </w:rPr>
        <w:t xml:space="preserve">in response to the </w:t>
      </w:r>
      <w:r w:rsidRPr="00462D4E">
        <w:rPr>
          <w:rFonts w:ascii="Palatino Linotype" w:eastAsia="Times New Roman" w:hAnsi="Palatino Linotype" w:cs="Palatino Linotype"/>
          <w:szCs w:val="24"/>
        </w:rPr>
        <w:t xml:space="preserve">grant application </w:t>
      </w:r>
      <w:r>
        <w:rPr>
          <w:rFonts w:ascii="Palatino Linotype" w:eastAsia="Times New Roman" w:hAnsi="Palatino Linotype" w:cs="Palatino Linotype"/>
          <w:szCs w:val="24"/>
        </w:rPr>
        <w:t>from</w:t>
      </w:r>
      <w:r w:rsidRPr="00462D4E">
        <w:rPr>
          <w:rFonts w:ascii="Palatino Linotype" w:eastAsia="Times New Roman" w:hAnsi="Palatino Linotype" w:cs="Palatino Linotype"/>
          <w:szCs w:val="24"/>
        </w:rPr>
        <w:t xml:space="preserve"> </w:t>
      </w:r>
      <w:r w:rsidRPr="003C28EB">
        <w:rPr>
          <w:rFonts w:ascii="Palatino Linotype" w:eastAsia="Times New Roman" w:hAnsi="Palatino Linotype" w:cs="Palatino Linotype"/>
          <w:szCs w:val="24"/>
        </w:rPr>
        <w:t xml:space="preserve">Anza Electric Cooperative, Inc. </w:t>
      </w:r>
      <w:r>
        <w:rPr>
          <w:rFonts w:ascii="Palatino Linotype" w:eastAsia="Times New Roman" w:hAnsi="Palatino Linotype" w:cs="Palatino Linotype"/>
          <w:szCs w:val="24"/>
        </w:rPr>
        <w:t>(AEC) which proposes to</w:t>
      </w:r>
      <w:r w:rsidRPr="00462D4E">
        <w:rPr>
          <w:rFonts w:ascii="Palatino Linotype" w:eastAsia="Times New Roman" w:hAnsi="Palatino Linotype" w:cs="Palatino Linotype"/>
          <w:szCs w:val="24"/>
        </w:rPr>
        <w:t xml:space="preserve"> install a fiber-to-the-premises (FTTP) system in </w:t>
      </w:r>
      <w:r>
        <w:rPr>
          <w:rFonts w:ascii="Palatino Linotype" w:eastAsia="Times New Roman" w:hAnsi="Palatino Linotype" w:cs="Palatino Linotype"/>
          <w:szCs w:val="24"/>
        </w:rPr>
        <w:t xml:space="preserve">the </w:t>
      </w:r>
      <w:r w:rsidRPr="003C28EB">
        <w:rPr>
          <w:rFonts w:ascii="Palatino Linotype" w:eastAsia="Times New Roman" w:hAnsi="Palatino Linotype" w:cs="Palatino Linotype"/>
          <w:szCs w:val="24"/>
        </w:rPr>
        <w:t>unincorporated communities of Anza, Aguanga, Lake Riverside Estates, and Reed Valley</w:t>
      </w:r>
      <w:r>
        <w:rPr>
          <w:rFonts w:ascii="Palatino Linotype" w:eastAsia="Times New Roman" w:hAnsi="Palatino Linotype" w:cs="Palatino Linotype"/>
          <w:szCs w:val="24"/>
        </w:rPr>
        <w:t xml:space="preserve"> in Western Riverside County</w:t>
      </w:r>
      <w:r w:rsidRPr="00462D4E">
        <w:rPr>
          <w:rFonts w:ascii="Palatino Linotype" w:eastAsia="Times New Roman" w:hAnsi="Palatino Linotype" w:cs="Palatino Linotype"/>
          <w:szCs w:val="24"/>
        </w:rPr>
        <w:t xml:space="preserve"> (</w:t>
      </w:r>
      <w:r>
        <w:rPr>
          <w:rFonts w:ascii="Palatino Linotype" w:eastAsia="Times New Roman" w:hAnsi="Palatino Linotype" w:cs="Palatino Linotype"/>
          <w:szCs w:val="24"/>
        </w:rPr>
        <w:t>Connect Anza</w:t>
      </w:r>
      <w:r w:rsidRPr="00462D4E">
        <w:rPr>
          <w:rFonts w:ascii="Palatino Linotype" w:eastAsia="Times New Roman" w:hAnsi="Palatino Linotype" w:cs="Palatino Linotype"/>
          <w:szCs w:val="24"/>
        </w:rPr>
        <w:t xml:space="preserve"> Project). </w:t>
      </w:r>
      <w:r>
        <w:rPr>
          <w:rFonts w:ascii="Palatino Linotype" w:eastAsia="Times New Roman" w:hAnsi="Palatino Linotype" w:cs="Palatino Linotype"/>
          <w:szCs w:val="24"/>
        </w:rPr>
        <w:t xml:space="preserve"> </w:t>
      </w:r>
      <w:r w:rsidRPr="00462D4E">
        <w:rPr>
          <w:rFonts w:ascii="Palatino Linotype" w:eastAsia="Times New Roman" w:hAnsi="Palatino Linotype" w:cs="Palatino Linotype"/>
          <w:szCs w:val="24"/>
        </w:rPr>
        <w:t xml:space="preserve">The </w:t>
      </w:r>
      <w:r>
        <w:rPr>
          <w:rFonts w:ascii="Palatino Linotype" w:eastAsia="Times New Roman" w:hAnsi="Palatino Linotype" w:cs="Palatino Linotype"/>
          <w:szCs w:val="24"/>
        </w:rPr>
        <w:t>Connect Anza</w:t>
      </w:r>
      <w:r w:rsidRPr="00462D4E">
        <w:rPr>
          <w:rFonts w:ascii="Palatino Linotype" w:eastAsia="Times New Roman" w:hAnsi="Palatino Linotype" w:cs="Palatino Linotype"/>
          <w:szCs w:val="24"/>
        </w:rPr>
        <w:t xml:space="preserve"> Project will extend </w:t>
      </w:r>
      <w:r>
        <w:rPr>
          <w:rFonts w:ascii="Palatino Linotype" w:hAnsi="Palatino Linotype"/>
          <w:szCs w:val="24"/>
        </w:rPr>
        <w:t xml:space="preserve">50 Mbps and above </w:t>
      </w:r>
      <w:r w:rsidRPr="007F1736">
        <w:rPr>
          <w:rFonts w:ascii="Palatino Linotype" w:hAnsi="Palatino Linotype"/>
          <w:szCs w:val="24"/>
        </w:rPr>
        <w:t xml:space="preserve">broadband </w:t>
      </w:r>
      <w:r w:rsidRPr="00462D4E">
        <w:rPr>
          <w:rFonts w:ascii="Palatino Linotype" w:eastAsia="Times New Roman" w:hAnsi="Palatino Linotype" w:cs="Palatino Linotype"/>
          <w:szCs w:val="24"/>
        </w:rPr>
        <w:t xml:space="preserve">service </w:t>
      </w:r>
      <w:r w:rsidRPr="00A93D39">
        <w:rPr>
          <w:rFonts w:ascii="Palatino Linotype" w:eastAsia="Times New Roman" w:hAnsi="Palatino Linotype" w:cs="Palatino Linotype"/>
          <w:szCs w:val="24"/>
        </w:rPr>
        <w:t xml:space="preserve">to approximately </w:t>
      </w:r>
      <w:r>
        <w:rPr>
          <w:rFonts w:ascii="Palatino Linotype" w:eastAsia="Times New Roman" w:hAnsi="Palatino Linotype" w:cs="Palatino Linotype"/>
          <w:szCs w:val="24"/>
        </w:rPr>
        <w:t xml:space="preserve">3,751 </w:t>
      </w:r>
      <w:r w:rsidRPr="00A93D39">
        <w:rPr>
          <w:rFonts w:ascii="Palatino Linotype" w:eastAsia="Times New Roman" w:hAnsi="Palatino Linotype" w:cs="Palatino Linotype"/>
          <w:szCs w:val="24"/>
        </w:rPr>
        <w:t>households spread over</w:t>
      </w:r>
      <w:r w:rsidRPr="00462D4E">
        <w:rPr>
          <w:rFonts w:ascii="Palatino Linotype" w:eastAsia="Times New Roman" w:hAnsi="Palatino Linotype" w:cs="Palatino Linotype"/>
          <w:szCs w:val="24"/>
        </w:rPr>
        <w:t xml:space="preserve"> </w:t>
      </w:r>
      <w:r>
        <w:rPr>
          <w:rFonts w:ascii="Palatino Linotype" w:eastAsia="Times New Roman" w:hAnsi="Palatino Linotype" w:cs="Palatino Linotype"/>
          <w:szCs w:val="24"/>
        </w:rPr>
        <w:t>213</w:t>
      </w:r>
      <w:r w:rsidRPr="00462D4E">
        <w:rPr>
          <w:rFonts w:ascii="Palatino Linotype" w:eastAsia="Times New Roman" w:hAnsi="Palatino Linotype" w:cs="Palatino Linotype"/>
          <w:szCs w:val="24"/>
        </w:rPr>
        <w:t xml:space="preserve"> square miles </w:t>
      </w:r>
      <w:r w:rsidRPr="00A27DF3">
        <w:rPr>
          <w:rFonts w:ascii="Palatino Linotype" w:eastAsia="Times New Roman" w:hAnsi="Palatino Linotype" w:cs="Palatino Linotype"/>
          <w:szCs w:val="24"/>
        </w:rPr>
        <w:t>in the Anza Valley</w:t>
      </w:r>
      <w:r>
        <w:rPr>
          <w:rFonts w:ascii="Palatino Linotype" w:eastAsia="Times New Roman" w:hAnsi="Palatino Linotype" w:cs="Palatino Linotype"/>
          <w:szCs w:val="24"/>
        </w:rPr>
        <w:t xml:space="preserve"> at a cost of $710 per household in CASF subsidies.  The Anza Valley is</w:t>
      </w:r>
      <w:r w:rsidRPr="00A27DF3">
        <w:rPr>
          <w:rFonts w:ascii="Palatino Linotype" w:eastAsia="Times New Roman" w:hAnsi="Palatino Linotype" w:cs="Palatino Linotype"/>
          <w:szCs w:val="24"/>
        </w:rPr>
        <w:t xml:space="preserve"> located 1</w:t>
      </w:r>
      <w:r>
        <w:rPr>
          <w:rFonts w:ascii="Palatino Linotype" w:eastAsia="Times New Roman" w:hAnsi="Palatino Linotype" w:cs="Palatino Linotype"/>
          <w:szCs w:val="24"/>
        </w:rPr>
        <w:t xml:space="preserve">3 miles south of Idyllwild, </w:t>
      </w:r>
      <w:r w:rsidRPr="00A27DF3">
        <w:rPr>
          <w:rFonts w:ascii="Palatino Linotype" w:eastAsia="Times New Roman" w:hAnsi="Palatino Linotype" w:cs="Palatino Linotype"/>
          <w:szCs w:val="24"/>
        </w:rPr>
        <w:t xml:space="preserve">approximately 35 </w:t>
      </w:r>
      <w:r>
        <w:rPr>
          <w:rFonts w:ascii="Palatino Linotype" w:eastAsia="Times New Roman" w:hAnsi="Palatino Linotype" w:cs="Palatino Linotype"/>
          <w:szCs w:val="24"/>
        </w:rPr>
        <w:t>miles southwest of Palm Springs</w:t>
      </w:r>
      <w:r w:rsidRPr="00A27DF3">
        <w:rPr>
          <w:rFonts w:ascii="Palatino Linotype" w:eastAsia="Times New Roman" w:hAnsi="Palatino Linotype" w:cs="Palatino Linotype"/>
          <w:szCs w:val="24"/>
        </w:rPr>
        <w:t xml:space="preserve"> </w:t>
      </w:r>
      <w:r>
        <w:rPr>
          <w:rFonts w:ascii="Palatino Linotype" w:eastAsia="Times New Roman" w:hAnsi="Palatino Linotype" w:cs="Palatino Linotype"/>
          <w:szCs w:val="24"/>
        </w:rPr>
        <w:t>and 120 miles southeast of Los Angeles</w:t>
      </w:r>
      <w:r w:rsidRPr="00462D4E">
        <w:rPr>
          <w:rFonts w:ascii="Palatino Linotype" w:eastAsia="Times New Roman" w:hAnsi="Palatino Linotype" w:cs="Palatino Linotype"/>
          <w:szCs w:val="24"/>
        </w:rPr>
        <w:t>.</w:t>
      </w:r>
      <w:r>
        <w:rPr>
          <w:rFonts w:ascii="Palatino Linotype" w:eastAsia="Times New Roman" w:hAnsi="Palatino Linotype" w:cs="Palatino Linotype"/>
          <w:szCs w:val="24"/>
        </w:rPr>
        <w:t xml:space="preserve">  T</w:t>
      </w:r>
      <w:r w:rsidRPr="001D16F4">
        <w:rPr>
          <w:rFonts w:ascii="Palatino Linotype" w:hAnsi="Palatino Linotype" w:cs="Palatino Linotype"/>
          <w:szCs w:val="24"/>
        </w:rPr>
        <w:t>h</w:t>
      </w:r>
      <w:r>
        <w:rPr>
          <w:rFonts w:ascii="Palatino Linotype" w:hAnsi="Palatino Linotype" w:cs="Palatino Linotype"/>
          <w:szCs w:val="24"/>
        </w:rPr>
        <w:t>e Connect Anza project will also</w:t>
      </w:r>
      <w:r w:rsidRPr="001D16F4">
        <w:rPr>
          <w:rFonts w:ascii="Palatino Linotype" w:hAnsi="Palatino Linotype" w:cs="Palatino Linotype"/>
          <w:szCs w:val="24"/>
        </w:rPr>
        <w:t xml:space="preserve"> provide substantial safety</w:t>
      </w:r>
      <w:r>
        <w:rPr>
          <w:rFonts w:ascii="Palatino Linotype" w:hAnsi="Palatino Linotype" w:cs="Palatino Linotype"/>
          <w:szCs w:val="24"/>
        </w:rPr>
        <w:t xml:space="preserve"> and health</w:t>
      </w:r>
      <w:r w:rsidRPr="001D16F4">
        <w:rPr>
          <w:rFonts w:ascii="Palatino Linotype" w:hAnsi="Palatino Linotype" w:cs="Palatino Linotype"/>
          <w:szCs w:val="24"/>
        </w:rPr>
        <w:t xml:space="preserve"> benefits including, but not limited to, </w:t>
      </w:r>
      <w:r>
        <w:rPr>
          <w:rFonts w:ascii="Palatino Linotype" w:hAnsi="Palatino Linotype" w:cs="Palatino Linotype"/>
          <w:szCs w:val="24"/>
        </w:rPr>
        <w:t xml:space="preserve">resilient high capacity broadband infrastructure that will provide access to e-health services and </w:t>
      </w:r>
      <w:r w:rsidRPr="001D16F4">
        <w:rPr>
          <w:rFonts w:ascii="Palatino Linotype" w:hAnsi="Palatino Linotype" w:cs="Palatino Linotype"/>
          <w:szCs w:val="24"/>
        </w:rPr>
        <w:t>voice service that w</w:t>
      </w:r>
      <w:r>
        <w:rPr>
          <w:rFonts w:ascii="Palatino Linotype" w:hAnsi="Palatino Linotype" w:cs="Palatino Linotype"/>
          <w:szCs w:val="24"/>
        </w:rPr>
        <w:t>ill</w:t>
      </w:r>
      <w:r w:rsidRPr="001D16F4">
        <w:rPr>
          <w:rFonts w:ascii="Palatino Linotype" w:hAnsi="Palatino Linotype" w:cs="Palatino Linotype"/>
          <w:szCs w:val="24"/>
        </w:rPr>
        <w:t xml:space="preserve"> meet all safety standards, including </w:t>
      </w:r>
      <w:r>
        <w:rPr>
          <w:rFonts w:ascii="Palatino Linotype" w:hAnsi="Palatino Linotype" w:cs="Palatino Linotype"/>
          <w:szCs w:val="24"/>
        </w:rPr>
        <w:t>E</w:t>
      </w:r>
      <w:r w:rsidRPr="001D16F4">
        <w:rPr>
          <w:rFonts w:ascii="Palatino Linotype" w:hAnsi="Palatino Linotype" w:cs="Palatino Linotype"/>
          <w:szCs w:val="24"/>
        </w:rPr>
        <w:t>911.</w:t>
      </w:r>
    </w:p>
    <w:p w:rsidR="00C67A2F" w:rsidRPr="00D217EA" w:rsidRDefault="00C67A2F" w:rsidP="00C67A2F">
      <w:pPr>
        <w:ind w:right="630"/>
        <w:rPr>
          <w:rFonts w:ascii="Palatino Linotype" w:hAnsi="Palatino Linotype"/>
          <w:color w:val="FF0000"/>
          <w:sz w:val="24"/>
          <w:szCs w:val="24"/>
        </w:rPr>
      </w:pPr>
    </w:p>
    <w:p w:rsidR="00C67A2F" w:rsidRPr="00CD7048" w:rsidRDefault="00C67A2F" w:rsidP="00C67A2F">
      <w:pPr>
        <w:pStyle w:val="Heading1"/>
        <w:keepNext w:val="0"/>
        <w:widowControl w:val="0"/>
        <w:numPr>
          <w:ilvl w:val="0"/>
          <w:numId w:val="12"/>
        </w:numPr>
        <w:ind w:right="630"/>
        <w:rPr>
          <w:rFonts w:ascii="Palatino Linotype" w:hAnsi="Palatino Linotype"/>
          <w:szCs w:val="24"/>
          <w:u w:val="none"/>
        </w:rPr>
      </w:pPr>
      <w:r w:rsidRPr="00CD7048">
        <w:rPr>
          <w:rFonts w:ascii="Palatino Linotype" w:hAnsi="Palatino Linotype"/>
          <w:szCs w:val="24"/>
          <w:u w:val="none"/>
        </w:rPr>
        <w:t>Background</w:t>
      </w:r>
    </w:p>
    <w:p w:rsidR="00C67A2F" w:rsidRPr="00CD7048" w:rsidRDefault="00C67A2F" w:rsidP="00C67A2F">
      <w:pPr>
        <w:rPr>
          <w:rFonts w:ascii="Palatino Linotype" w:hAnsi="Palatino Linotype"/>
          <w:sz w:val="24"/>
          <w:szCs w:val="24"/>
        </w:rPr>
      </w:pPr>
    </w:p>
    <w:p w:rsidR="00C67A2F" w:rsidRPr="00CD7048" w:rsidRDefault="00C67A2F" w:rsidP="00C67A2F">
      <w:pPr>
        <w:autoSpaceDE w:val="0"/>
        <w:autoSpaceDN w:val="0"/>
        <w:adjustRightInd w:val="0"/>
        <w:rPr>
          <w:rFonts w:ascii="Palatino Linotype" w:hAnsi="Palatino Linotype" w:cs="Palatino Linotype"/>
          <w:sz w:val="24"/>
          <w:szCs w:val="24"/>
        </w:rPr>
      </w:pPr>
      <w:r w:rsidRPr="00CD7048">
        <w:rPr>
          <w:rFonts w:ascii="Palatino Linotype" w:hAnsi="Palatino Linotype" w:cs="Palatino Linotype"/>
          <w:sz w:val="24"/>
          <w:szCs w:val="24"/>
        </w:rPr>
        <w:t xml:space="preserve">On December 20, 2007, the California Public Utilities Commission, in Decision (D.) 07-12-054, established the CASF program as a two-year program to provide funds for the deployment of broadband infrastructure in unserved and underserved areas in California. </w:t>
      </w:r>
    </w:p>
    <w:p w:rsidR="00C67A2F" w:rsidRPr="00CD7048" w:rsidRDefault="00C67A2F" w:rsidP="00C67A2F">
      <w:pPr>
        <w:autoSpaceDE w:val="0"/>
        <w:autoSpaceDN w:val="0"/>
        <w:adjustRightInd w:val="0"/>
        <w:rPr>
          <w:rFonts w:ascii="Palatino Linotype" w:hAnsi="Palatino Linotype" w:cs="Palatino Linotype"/>
          <w:sz w:val="24"/>
          <w:szCs w:val="24"/>
        </w:rPr>
      </w:pPr>
    </w:p>
    <w:p w:rsidR="00C67A2F" w:rsidRPr="00CD7048" w:rsidRDefault="00C67A2F" w:rsidP="00C67A2F">
      <w:pPr>
        <w:autoSpaceDE w:val="0"/>
        <w:autoSpaceDN w:val="0"/>
        <w:adjustRightInd w:val="0"/>
        <w:rPr>
          <w:rFonts w:ascii="Palatino Linotype" w:hAnsi="Palatino Linotype"/>
          <w:sz w:val="24"/>
          <w:szCs w:val="24"/>
        </w:rPr>
      </w:pPr>
      <w:r w:rsidRPr="00CD7048">
        <w:rPr>
          <w:rFonts w:ascii="Palatino Linotype" w:hAnsi="Palatino Linotype" w:cs="Palatino Linotype"/>
          <w:sz w:val="24"/>
          <w:szCs w:val="24"/>
        </w:rPr>
        <w:t>On September 25, 2010, Governor Schwarzenegger signed Senate Bill (SB) 1040,</w:t>
      </w:r>
      <w:r w:rsidRPr="00CD7048">
        <w:rPr>
          <w:rStyle w:val="FootnoteReference"/>
          <w:rFonts w:ascii="Palatino Linotype" w:hAnsi="Palatino Linotype" w:cs="Palatino Linotype"/>
          <w:sz w:val="24"/>
          <w:szCs w:val="24"/>
        </w:rPr>
        <w:footnoteReference w:id="1"/>
      </w:r>
      <w:r w:rsidRPr="00CD7048">
        <w:rPr>
          <w:rFonts w:ascii="Palatino Linotype" w:hAnsi="Palatino Linotype" w:cs="Palatino Linotype"/>
          <w:sz w:val="24"/>
          <w:szCs w:val="24"/>
        </w:rPr>
        <w:t xml:space="preserve"> which codified the CASF program and expanded it to include three accounts: (1) the Infra-structure Grant Account, (2) the Consortia Grant Account, and (3) the Revolving Loan Account. </w:t>
      </w:r>
      <w:r>
        <w:rPr>
          <w:rFonts w:ascii="Palatino Linotype" w:hAnsi="Palatino Linotype" w:cs="Palatino Linotype"/>
          <w:sz w:val="24"/>
          <w:szCs w:val="24"/>
        </w:rPr>
        <w:t xml:space="preserve"> </w:t>
      </w:r>
      <w:r w:rsidRPr="00CD7048">
        <w:rPr>
          <w:rFonts w:ascii="Palatino Linotype" w:hAnsi="Palatino Linotype" w:cs="Palatino Linotype"/>
          <w:sz w:val="24"/>
          <w:szCs w:val="24"/>
        </w:rPr>
        <w:t>The latter two accounts are intended to address the needs that were unmet</w:t>
      </w:r>
      <w:r w:rsidRPr="00CD7048">
        <w:rPr>
          <w:rFonts w:ascii="Palatino Linotype" w:hAnsi="Palatino Linotype"/>
          <w:sz w:val="24"/>
          <w:szCs w:val="24"/>
        </w:rPr>
        <w:t xml:space="preserve"> under the original CASF program. </w:t>
      </w:r>
      <w:r>
        <w:rPr>
          <w:rFonts w:ascii="Palatino Linotype" w:hAnsi="Palatino Linotype"/>
          <w:sz w:val="24"/>
          <w:szCs w:val="24"/>
        </w:rPr>
        <w:t xml:space="preserve"> </w:t>
      </w:r>
      <w:r w:rsidRPr="00CD7048">
        <w:rPr>
          <w:rFonts w:ascii="Palatino Linotype" w:hAnsi="Palatino Linotype"/>
          <w:sz w:val="24"/>
          <w:szCs w:val="24"/>
        </w:rPr>
        <w:t>SB 1040 also expanded the CASF fund from $100 million to $225 million, adding $100 million to the Infrastructure Grant Account and allocating $10 million and $15 million to the Consortia Grant Account and the Revolving Loan Account, respectively.</w:t>
      </w:r>
      <w:r w:rsidRPr="00CD7048">
        <w:rPr>
          <w:rStyle w:val="FootnoteReference"/>
          <w:rFonts w:ascii="Palatino Linotype" w:hAnsi="Palatino Linotype"/>
          <w:sz w:val="24"/>
          <w:szCs w:val="24"/>
        </w:rPr>
        <w:footnoteReference w:id="2"/>
      </w:r>
    </w:p>
    <w:p w:rsidR="00C67A2F" w:rsidRPr="00CD7048" w:rsidRDefault="00C67A2F" w:rsidP="00C67A2F">
      <w:pPr>
        <w:autoSpaceDE w:val="0"/>
        <w:autoSpaceDN w:val="0"/>
        <w:adjustRightInd w:val="0"/>
        <w:rPr>
          <w:rFonts w:ascii="Palatino Linotype" w:hAnsi="Palatino Linotype"/>
          <w:sz w:val="24"/>
          <w:szCs w:val="24"/>
        </w:rPr>
      </w:pPr>
    </w:p>
    <w:p w:rsidR="00C67A2F" w:rsidRPr="00CD7048" w:rsidRDefault="00C67A2F" w:rsidP="00C67A2F">
      <w:pPr>
        <w:autoSpaceDE w:val="0"/>
        <w:autoSpaceDN w:val="0"/>
        <w:adjustRightInd w:val="0"/>
        <w:rPr>
          <w:rFonts w:ascii="Palatino Linotype" w:hAnsi="Palatino Linotype" w:cs="Palatino Linotype"/>
          <w:sz w:val="24"/>
          <w:szCs w:val="24"/>
        </w:rPr>
      </w:pPr>
      <w:r w:rsidRPr="00CD7048">
        <w:rPr>
          <w:rFonts w:ascii="Palatino Linotype" w:hAnsi="Palatino Linotype" w:cs="Palatino Linotype"/>
          <w:sz w:val="24"/>
          <w:szCs w:val="24"/>
        </w:rPr>
        <w:t xml:space="preserve">On February 1, 2012, the Commission approved D.12-02-015 to implement new guidelines for the Infrastructure Grant and Revolving Loan Accounts. Key provisions of the decision include: </w:t>
      </w:r>
    </w:p>
    <w:p w:rsidR="00C67A2F" w:rsidRPr="00D217EA" w:rsidRDefault="00C67A2F" w:rsidP="00C67A2F">
      <w:pPr>
        <w:autoSpaceDE w:val="0"/>
        <w:autoSpaceDN w:val="0"/>
        <w:adjustRightInd w:val="0"/>
        <w:rPr>
          <w:rFonts w:ascii="Palatino Linotype" w:hAnsi="Palatino Linotype"/>
          <w:color w:val="FF0000"/>
          <w:sz w:val="24"/>
          <w:szCs w:val="24"/>
        </w:rPr>
      </w:pPr>
    </w:p>
    <w:p w:rsidR="00C67A2F" w:rsidRPr="00CD7048" w:rsidRDefault="00C67A2F" w:rsidP="00C67A2F">
      <w:pPr>
        <w:numPr>
          <w:ilvl w:val="0"/>
          <w:numId w:val="5"/>
        </w:numPr>
        <w:autoSpaceDE w:val="0"/>
        <w:autoSpaceDN w:val="0"/>
        <w:adjustRightInd w:val="0"/>
        <w:spacing w:after="50"/>
        <w:rPr>
          <w:rFonts w:ascii="Palatino Linotype" w:hAnsi="Palatino Linotype" w:cs="Palatino Linotype"/>
          <w:sz w:val="24"/>
          <w:szCs w:val="24"/>
        </w:rPr>
      </w:pPr>
      <w:r w:rsidRPr="00CD7048">
        <w:rPr>
          <w:rFonts w:ascii="Palatino Linotype" w:hAnsi="Palatino Linotype" w:cs="Palatino Linotype"/>
          <w:sz w:val="24"/>
          <w:szCs w:val="24"/>
        </w:rPr>
        <w:t xml:space="preserve">A maximum CASF grant award of 70 </w:t>
      </w:r>
      <w:r>
        <w:rPr>
          <w:rFonts w:ascii="Palatino Linotype" w:hAnsi="Palatino Linotype" w:cs="Palatino Linotype"/>
          <w:sz w:val="24"/>
          <w:szCs w:val="24"/>
        </w:rPr>
        <w:t>percent</w:t>
      </w:r>
      <w:r w:rsidRPr="00CD7048">
        <w:rPr>
          <w:rFonts w:ascii="Palatino Linotype" w:hAnsi="Palatino Linotype" w:cs="Palatino Linotype"/>
          <w:sz w:val="24"/>
          <w:szCs w:val="24"/>
        </w:rPr>
        <w:t xml:space="preserve"> of project costs for unserved areas and 60 </w:t>
      </w:r>
      <w:r>
        <w:rPr>
          <w:rFonts w:ascii="Palatino Linotype" w:hAnsi="Palatino Linotype" w:cs="Palatino Linotype"/>
          <w:sz w:val="24"/>
          <w:szCs w:val="24"/>
        </w:rPr>
        <w:t>percent</w:t>
      </w:r>
      <w:r w:rsidRPr="00CD7048">
        <w:rPr>
          <w:rFonts w:ascii="Palatino Linotype" w:hAnsi="Palatino Linotype" w:cs="Palatino Linotype"/>
          <w:sz w:val="24"/>
          <w:szCs w:val="24"/>
        </w:rPr>
        <w:t xml:space="preserve"> for underserved areas; and,</w:t>
      </w:r>
    </w:p>
    <w:p w:rsidR="00C67A2F" w:rsidRPr="00CD7048" w:rsidRDefault="00C67A2F" w:rsidP="00C67A2F">
      <w:pPr>
        <w:numPr>
          <w:ilvl w:val="0"/>
          <w:numId w:val="5"/>
        </w:numPr>
        <w:autoSpaceDE w:val="0"/>
        <w:autoSpaceDN w:val="0"/>
        <w:adjustRightInd w:val="0"/>
        <w:spacing w:after="50"/>
        <w:rPr>
          <w:rFonts w:ascii="Palatino Linotype" w:hAnsi="Palatino Linotype" w:cs="Palatino Linotype"/>
          <w:sz w:val="24"/>
          <w:szCs w:val="24"/>
        </w:rPr>
      </w:pPr>
      <w:r w:rsidRPr="00CD7048">
        <w:rPr>
          <w:rFonts w:ascii="Palatino Linotype" w:hAnsi="Palatino Linotype" w:cs="Palatino Linotype"/>
          <w:sz w:val="24"/>
          <w:szCs w:val="24"/>
        </w:rPr>
        <w:t>A definition of an underserved area, “where broadband is available, but no wireline or wireless facilities-based provider offers service at advertised speeds of at least 6 megabits per second (Mbps) downstream and 1.5 Mbps upstream (6 Mbps /1.5 Mbps).”</w:t>
      </w:r>
    </w:p>
    <w:p w:rsidR="00C67A2F" w:rsidRPr="00CD7048" w:rsidRDefault="00C67A2F" w:rsidP="00C67A2F">
      <w:pPr>
        <w:autoSpaceDE w:val="0"/>
        <w:autoSpaceDN w:val="0"/>
        <w:adjustRightInd w:val="0"/>
        <w:ind w:left="720"/>
        <w:rPr>
          <w:rFonts w:ascii="Palatino Linotype" w:hAnsi="Palatino Linotype" w:cs="Palatino Linotype"/>
          <w:sz w:val="24"/>
          <w:szCs w:val="24"/>
        </w:rPr>
      </w:pPr>
    </w:p>
    <w:p w:rsidR="00C67A2F" w:rsidRPr="00CD7048" w:rsidRDefault="00C67A2F" w:rsidP="00C67A2F">
      <w:pPr>
        <w:autoSpaceDE w:val="0"/>
        <w:autoSpaceDN w:val="0"/>
        <w:adjustRightInd w:val="0"/>
        <w:rPr>
          <w:rFonts w:ascii="Palatino Linotype" w:hAnsi="Palatino Linotype" w:cs="Palatino Linotype"/>
          <w:sz w:val="24"/>
          <w:szCs w:val="24"/>
        </w:rPr>
      </w:pPr>
      <w:r w:rsidRPr="00CD7048">
        <w:rPr>
          <w:rFonts w:ascii="Palatino Linotype" w:hAnsi="Palatino Linotype" w:cs="Palatino Linotype"/>
          <w:sz w:val="24"/>
          <w:szCs w:val="24"/>
        </w:rPr>
        <w:t>Subsequently, on June 26, 2014, the Commission approved Resolution T-17443, which (relevant to this resolution) opened the CASF Broadband Infrastructure Grant Account to new applications as of December 1, 2014, and offered existing providers a “right of first refusal” to upgrade service in unserved and underserved areas.</w:t>
      </w:r>
      <w:r w:rsidRPr="00CD7048">
        <w:rPr>
          <w:rStyle w:val="FootnoteReference"/>
          <w:rFonts w:ascii="Palatino Linotype" w:hAnsi="Palatino Linotype" w:cs="Palatino Linotype"/>
          <w:sz w:val="24"/>
          <w:szCs w:val="24"/>
        </w:rPr>
        <w:footnoteReference w:id="3"/>
      </w:r>
      <w:r w:rsidRPr="00CD7048">
        <w:rPr>
          <w:rFonts w:ascii="Palatino Linotype" w:hAnsi="Palatino Linotype" w:cs="Palatino Linotype"/>
          <w:sz w:val="24"/>
          <w:szCs w:val="24"/>
        </w:rPr>
        <w:t xml:space="preserve"> </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Default="00C67A2F" w:rsidP="00C67A2F">
      <w:pPr>
        <w:autoSpaceDE w:val="0"/>
        <w:autoSpaceDN w:val="0"/>
        <w:adjustRightInd w:val="0"/>
        <w:rPr>
          <w:rFonts w:ascii="Palatino Linotype" w:hAnsi="Palatino Linotype" w:cs="Palatino Linotype"/>
          <w:sz w:val="24"/>
          <w:szCs w:val="24"/>
        </w:rPr>
      </w:pPr>
      <w:r w:rsidRPr="007F1736">
        <w:rPr>
          <w:rFonts w:ascii="Palatino Linotype" w:hAnsi="Palatino Linotype" w:cs="Palatino Linotype"/>
          <w:sz w:val="24"/>
          <w:szCs w:val="24"/>
        </w:rPr>
        <w:t xml:space="preserve">On </w:t>
      </w:r>
      <w:r>
        <w:rPr>
          <w:rFonts w:ascii="Palatino Linotype" w:hAnsi="Palatino Linotype" w:cs="Palatino Linotype"/>
          <w:sz w:val="24"/>
          <w:szCs w:val="24"/>
        </w:rPr>
        <w:t>July 16</w:t>
      </w:r>
      <w:r w:rsidRPr="007F1736">
        <w:rPr>
          <w:rFonts w:ascii="Palatino Linotype" w:hAnsi="Palatino Linotype" w:cs="Palatino Linotype"/>
          <w:sz w:val="24"/>
          <w:szCs w:val="24"/>
        </w:rPr>
        <w:t>, 201</w:t>
      </w:r>
      <w:r>
        <w:rPr>
          <w:rFonts w:ascii="Palatino Linotype" w:hAnsi="Palatino Linotype" w:cs="Palatino Linotype"/>
          <w:sz w:val="24"/>
          <w:szCs w:val="24"/>
        </w:rPr>
        <w:t>5</w:t>
      </w:r>
      <w:r w:rsidRPr="007F1736">
        <w:rPr>
          <w:rFonts w:ascii="Palatino Linotype" w:hAnsi="Palatino Linotype" w:cs="Palatino Linotype"/>
          <w:sz w:val="24"/>
          <w:szCs w:val="24"/>
        </w:rPr>
        <w:t xml:space="preserve">, </w:t>
      </w:r>
      <w:r>
        <w:rPr>
          <w:rFonts w:ascii="Palatino Linotype" w:hAnsi="Palatino Linotype" w:cs="Palatino Linotype"/>
          <w:sz w:val="24"/>
          <w:szCs w:val="24"/>
        </w:rPr>
        <w:t>AEC</w:t>
      </w:r>
      <w:r w:rsidRPr="007F1736">
        <w:rPr>
          <w:rFonts w:ascii="Palatino Linotype" w:hAnsi="Palatino Linotype" w:cs="Palatino Linotype"/>
          <w:sz w:val="24"/>
          <w:szCs w:val="24"/>
        </w:rPr>
        <w:t xml:space="preserve"> submitted an application for CASF funding to </w:t>
      </w:r>
      <w:r w:rsidRPr="007F1736">
        <w:rPr>
          <w:rFonts w:ascii="Palatino Linotype" w:hAnsi="Palatino Linotype"/>
          <w:sz w:val="24"/>
          <w:szCs w:val="24"/>
        </w:rPr>
        <w:t xml:space="preserve">bring symmetrical </w:t>
      </w:r>
      <w:r>
        <w:rPr>
          <w:rFonts w:ascii="Palatino Linotype" w:hAnsi="Palatino Linotype"/>
          <w:sz w:val="24"/>
          <w:szCs w:val="24"/>
        </w:rPr>
        <w:t>50 Mbps</w:t>
      </w:r>
      <w:r w:rsidRPr="007F1736">
        <w:rPr>
          <w:rFonts w:ascii="Palatino Linotype" w:hAnsi="Palatino Linotype"/>
          <w:sz w:val="24"/>
          <w:szCs w:val="24"/>
        </w:rPr>
        <w:t xml:space="preserve"> </w:t>
      </w:r>
      <w:r>
        <w:rPr>
          <w:rFonts w:ascii="Palatino Linotype" w:hAnsi="Palatino Linotype"/>
          <w:sz w:val="24"/>
          <w:szCs w:val="24"/>
        </w:rPr>
        <w:t xml:space="preserve">and above </w:t>
      </w:r>
      <w:r w:rsidRPr="007F1736">
        <w:rPr>
          <w:rFonts w:ascii="Palatino Linotype" w:hAnsi="Palatino Linotype"/>
          <w:sz w:val="24"/>
          <w:szCs w:val="24"/>
        </w:rPr>
        <w:t>broadband service to the homes and businesses</w:t>
      </w:r>
      <w:r>
        <w:rPr>
          <w:rFonts w:ascii="Palatino Linotype" w:hAnsi="Palatino Linotype"/>
          <w:sz w:val="24"/>
          <w:szCs w:val="24"/>
        </w:rPr>
        <w:t xml:space="preserve"> of the unincorporated communities of </w:t>
      </w:r>
      <w:r w:rsidRPr="007F1736">
        <w:rPr>
          <w:rFonts w:ascii="Palatino Linotype" w:hAnsi="Palatino Linotype"/>
          <w:sz w:val="24"/>
          <w:szCs w:val="24"/>
        </w:rPr>
        <w:t>Anza, Aguanga, Lake Riverside Estates, and Reed Valley via a FTTP connection.</w:t>
      </w:r>
      <w:r>
        <w:rPr>
          <w:rFonts w:ascii="Palatino Linotype" w:hAnsi="Palatino Linotype"/>
          <w:sz w:val="24"/>
          <w:szCs w:val="24"/>
        </w:rPr>
        <w:t xml:space="preserve"> </w:t>
      </w:r>
      <w:r w:rsidRPr="007F1736">
        <w:rPr>
          <w:rFonts w:ascii="Palatino Linotype" w:hAnsi="Palatino Linotype" w:cs="Palatino Linotype"/>
          <w:sz w:val="24"/>
          <w:szCs w:val="24"/>
        </w:rPr>
        <w:t xml:space="preserve"> No existing provider made a commitment to upgrade service before the Nov</w:t>
      </w:r>
      <w:r>
        <w:rPr>
          <w:rFonts w:ascii="Palatino Linotype" w:hAnsi="Palatino Linotype" w:cs="Palatino Linotype"/>
          <w:sz w:val="24"/>
          <w:szCs w:val="24"/>
        </w:rPr>
        <w:t>ember</w:t>
      </w:r>
      <w:r w:rsidRPr="007F1736">
        <w:rPr>
          <w:rFonts w:ascii="Palatino Linotype" w:hAnsi="Palatino Linotype" w:cs="Palatino Linotype"/>
          <w:sz w:val="24"/>
          <w:szCs w:val="24"/>
        </w:rPr>
        <w:t xml:space="preserve"> 1, 2014, “first refusal” deadline</w:t>
      </w:r>
      <w:r>
        <w:rPr>
          <w:rFonts w:ascii="Palatino Linotype" w:hAnsi="Palatino Linotype" w:cs="Palatino Linotype"/>
          <w:sz w:val="24"/>
          <w:szCs w:val="24"/>
        </w:rPr>
        <w:t>.</w:t>
      </w:r>
      <w:r w:rsidRPr="007F1736">
        <w:rPr>
          <w:rFonts w:ascii="Palatino Linotype" w:hAnsi="Palatino Linotype" w:cs="Palatino Linotype"/>
          <w:sz w:val="24"/>
          <w:szCs w:val="24"/>
        </w:rPr>
        <w:t xml:space="preserve"> </w:t>
      </w:r>
      <w:r>
        <w:rPr>
          <w:rFonts w:ascii="Palatino Linotype" w:hAnsi="Palatino Linotype" w:cs="Palatino Linotype"/>
          <w:sz w:val="24"/>
          <w:szCs w:val="24"/>
        </w:rPr>
        <w:t>Because of this, CD determined t</w:t>
      </w:r>
      <w:r w:rsidRPr="007F1736">
        <w:rPr>
          <w:rFonts w:ascii="Palatino Linotype" w:hAnsi="Palatino Linotype" w:cs="Palatino Linotype"/>
          <w:sz w:val="24"/>
          <w:szCs w:val="24"/>
        </w:rPr>
        <w:t xml:space="preserve">he </w:t>
      </w:r>
      <w:r>
        <w:rPr>
          <w:rFonts w:ascii="Palatino Linotype" w:hAnsi="Palatino Linotype" w:cs="Palatino Linotype"/>
          <w:sz w:val="24"/>
          <w:szCs w:val="24"/>
        </w:rPr>
        <w:t>proposed project</w:t>
      </w:r>
      <w:r w:rsidRPr="007F1736">
        <w:rPr>
          <w:rFonts w:ascii="Palatino Linotype" w:hAnsi="Palatino Linotype" w:cs="Palatino Linotype"/>
          <w:sz w:val="24"/>
          <w:szCs w:val="24"/>
        </w:rPr>
        <w:t xml:space="preserve"> area to be “underserved</w:t>
      </w:r>
      <w:r>
        <w:rPr>
          <w:rFonts w:ascii="Palatino Linotype" w:hAnsi="Palatino Linotype" w:cs="Palatino Linotype"/>
          <w:sz w:val="24"/>
          <w:szCs w:val="24"/>
        </w:rPr>
        <w:t>”</w:t>
      </w:r>
      <w:r w:rsidRPr="007F1736">
        <w:rPr>
          <w:rFonts w:ascii="Palatino Linotype" w:hAnsi="Palatino Linotype" w:cs="Palatino Linotype"/>
          <w:sz w:val="24"/>
          <w:szCs w:val="24"/>
        </w:rPr>
        <w:t xml:space="preserve"> </w:t>
      </w:r>
      <w:r>
        <w:rPr>
          <w:rFonts w:ascii="Palatino Linotype" w:hAnsi="Palatino Linotype" w:cs="Palatino Linotype"/>
          <w:sz w:val="24"/>
          <w:szCs w:val="24"/>
        </w:rPr>
        <w:t xml:space="preserve">and </w:t>
      </w:r>
      <w:r w:rsidRPr="007F1736">
        <w:rPr>
          <w:rFonts w:ascii="Palatino Linotype" w:hAnsi="Palatino Linotype" w:cs="Palatino Linotype"/>
          <w:sz w:val="24"/>
          <w:szCs w:val="24"/>
        </w:rPr>
        <w:t>eligible for new applications.</w:t>
      </w:r>
    </w:p>
    <w:p w:rsidR="00C67A2F" w:rsidRDefault="00C67A2F" w:rsidP="00C67A2F">
      <w:pPr>
        <w:autoSpaceDE w:val="0"/>
        <w:autoSpaceDN w:val="0"/>
        <w:adjustRightInd w:val="0"/>
        <w:rPr>
          <w:rFonts w:ascii="Palatino Linotype" w:hAnsi="Palatino Linotype" w:cs="Palatino Linotype"/>
          <w:sz w:val="24"/>
          <w:szCs w:val="24"/>
        </w:rPr>
      </w:pPr>
    </w:p>
    <w:p w:rsidR="00C67A2F" w:rsidRPr="003B7E9D" w:rsidRDefault="00C67A2F" w:rsidP="00C67A2F">
      <w:pPr>
        <w:rPr>
          <w:rFonts w:ascii="Palatino Linotype" w:hAnsi="Palatino Linotype"/>
          <w:sz w:val="24"/>
          <w:szCs w:val="24"/>
        </w:rPr>
      </w:pPr>
      <w:r>
        <w:rPr>
          <w:rFonts w:ascii="Palatino Linotype" w:hAnsi="Palatino Linotype"/>
          <w:sz w:val="24"/>
          <w:szCs w:val="24"/>
        </w:rPr>
        <w:lastRenderedPageBreak/>
        <w:t xml:space="preserve">On September 17, 2015, Anza modified their application.  The initial application proposed to serve a 319 square mile area which includes the California State Route 74 ‘Pines to Palms’ state scenic highway.  Given that a categorical CEQA exemption cannot be granted for </w:t>
      </w:r>
      <w:r w:rsidRPr="00424734">
        <w:rPr>
          <w:rFonts w:ascii="Palatino Linotype" w:hAnsi="Palatino Linotype"/>
          <w:sz w:val="24"/>
          <w:szCs w:val="24"/>
        </w:rPr>
        <w:t>above-ground fiber projects along scenic highways</w:t>
      </w:r>
      <w:r>
        <w:rPr>
          <w:rFonts w:ascii="Palatino Linotype" w:hAnsi="Palatino Linotype"/>
          <w:sz w:val="24"/>
          <w:szCs w:val="24"/>
        </w:rPr>
        <w:t xml:space="preserve">, Anza modified their application to exclude the Highway 74 corridor.  This modification reduced the total project area to 213 square miles.  The applicant estimates a 10 percent reduction in the number of households to be served (an estimated 375 households) given the 106 mile modification.  </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B016F0" w:rsidRDefault="00C67A2F" w:rsidP="00C67A2F">
      <w:pPr>
        <w:numPr>
          <w:ilvl w:val="0"/>
          <w:numId w:val="12"/>
        </w:numPr>
        <w:autoSpaceDE w:val="0"/>
        <w:autoSpaceDN w:val="0"/>
        <w:adjustRightInd w:val="0"/>
        <w:rPr>
          <w:rFonts w:ascii="Palatino Linotype" w:hAnsi="Palatino Linotype" w:cs="Palatino Linotype"/>
          <w:b/>
          <w:sz w:val="24"/>
          <w:szCs w:val="24"/>
        </w:rPr>
      </w:pPr>
      <w:r w:rsidRPr="00B016F0">
        <w:rPr>
          <w:rFonts w:ascii="Palatino Linotype" w:hAnsi="Palatino Linotype" w:cs="Palatino Linotype"/>
          <w:b/>
          <w:sz w:val="24"/>
          <w:szCs w:val="24"/>
        </w:rPr>
        <w:t>Notice/Protests</w:t>
      </w:r>
    </w:p>
    <w:p w:rsidR="00C67A2F" w:rsidRPr="00B016F0" w:rsidRDefault="00C67A2F" w:rsidP="00C67A2F">
      <w:pPr>
        <w:autoSpaceDE w:val="0"/>
        <w:autoSpaceDN w:val="0"/>
        <w:adjustRightInd w:val="0"/>
        <w:rPr>
          <w:rFonts w:ascii="Palatino Linotype" w:hAnsi="Palatino Linotype" w:cs="Palatino Linotype"/>
          <w:b/>
          <w:sz w:val="24"/>
          <w:szCs w:val="24"/>
        </w:rPr>
      </w:pPr>
    </w:p>
    <w:p w:rsidR="00C67A2F" w:rsidRPr="00B016F0" w:rsidRDefault="00C67A2F" w:rsidP="00C67A2F">
      <w:pPr>
        <w:autoSpaceDE w:val="0"/>
        <w:autoSpaceDN w:val="0"/>
        <w:adjustRightInd w:val="0"/>
        <w:rPr>
          <w:rFonts w:ascii="Palatino Linotype" w:hAnsi="Palatino Linotype" w:cs="Palatino Linotype"/>
          <w:sz w:val="24"/>
          <w:szCs w:val="24"/>
        </w:rPr>
      </w:pPr>
      <w:r w:rsidRPr="00B016F0">
        <w:rPr>
          <w:rFonts w:ascii="Palatino Linotype" w:hAnsi="Palatino Linotype" w:cs="Palatino Linotype"/>
          <w:sz w:val="24"/>
          <w:szCs w:val="24"/>
        </w:rPr>
        <w:t xml:space="preserve">On </w:t>
      </w:r>
      <w:r>
        <w:rPr>
          <w:rFonts w:ascii="Palatino Linotype" w:hAnsi="Palatino Linotype" w:cs="Palatino Linotype"/>
          <w:sz w:val="24"/>
          <w:szCs w:val="24"/>
        </w:rPr>
        <w:t>July 17</w:t>
      </w:r>
      <w:r w:rsidRPr="007F1736">
        <w:rPr>
          <w:rFonts w:ascii="Palatino Linotype" w:hAnsi="Palatino Linotype" w:cs="Palatino Linotype"/>
          <w:sz w:val="24"/>
          <w:szCs w:val="24"/>
        </w:rPr>
        <w:t>, 201</w:t>
      </w:r>
      <w:r>
        <w:rPr>
          <w:rFonts w:ascii="Palatino Linotype" w:hAnsi="Palatino Linotype" w:cs="Palatino Linotype"/>
          <w:sz w:val="24"/>
          <w:szCs w:val="24"/>
        </w:rPr>
        <w:t>5</w:t>
      </w:r>
      <w:r w:rsidRPr="00B016F0">
        <w:rPr>
          <w:rFonts w:ascii="Palatino Linotype" w:hAnsi="Palatino Linotype" w:cs="Palatino Linotype"/>
          <w:sz w:val="24"/>
          <w:szCs w:val="24"/>
        </w:rPr>
        <w:t>,</w:t>
      </w:r>
      <w:r>
        <w:rPr>
          <w:rFonts w:ascii="Palatino Linotype" w:hAnsi="Palatino Linotype" w:cs="Palatino Linotype"/>
          <w:sz w:val="24"/>
          <w:szCs w:val="24"/>
        </w:rPr>
        <w:t xml:space="preserve"> </w:t>
      </w:r>
      <w:r w:rsidRPr="00B016F0">
        <w:rPr>
          <w:rFonts w:ascii="Palatino Linotype" w:hAnsi="Palatino Linotype" w:cs="Palatino Linotype"/>
          <w:sz w:val="24"/>
          <w:szCs w:val="24"/>
        </w:rPr>
        <w:t>CD</w:t>
      </w:r>
      <w:r>
        <w:rPr>
          <w:rFonts w:ascii="Palatino Linotype" w:hAnsi="Palatino Linotype" w:cs="Palatino Linotype"/>
          <w:sz w:val="24"/>
          <w:szCs w:val="24"/>
        </w:rPr>
        <w:t xml:space="preserve"> </w:t>
      </w:r>
      <w:r w:rsidRPr="00B016F0">
        <w:rPr>
          <w:rFonts w:ascii="Palatino Linotype" w:hAnsi="Palatino Linotype" w:cs="Palatino Linotype"/>
          <w:sz w:val="24"/>
          <w:szCs w:val="24"/>
        </w:rPr>
        <w:t xml:space="preserve">posted the proposed project area map, census block groups (CBGs) and zip codes for the </w:t>
      </w:r>
      <w:r>
        <w:rPr>
          <w:rFonts w:ascii="Palatino Linotype" w:hAnsi="Palatino Linotype" w:cs="Palatino Linotype"/>
          <w:sz w:val="24"/>
          <w:szCs w:val="24"/>
        </w:rPr>
        <w:t>Connect Anza</w:t>
      </w:r>
      <w:r w:rsidRPr="00B016F0">
        <w:rPr>
          <w:rFonts w:ascii="Palatino Linotype" w:hAnsi="Palatino Linotype" w:cs="Palatino Linotype"/>
          <w:sz w:val="24"/>
          <w:szCs w:val="24"/>
        </w:rPr>
        <w:t xml:space="preserve"> Project on the Commission’s CASF webpage under “CASF Application Project Summaries” and also sent notice regarding the project to its electronic service list. </w:t>
      </w:r>
      <w:r>
        <w:rPr>
          <w:rFonts w:ascii="Palatino Linotype" w:hAnsi="Palatino Linotype" w:cs="Palatino Linotype"/>
          <w:sz w:val="24"/>
          <w:szCs w:val="24"/>
        </w:rPr>
        <w:t xml:space="preserve"> CD did not receive any challenges to the proposed project.</w:t>
      </w:r>
      <w:r>
        <w:rPr>
          <w:rStyle w:val="FootnoteReference"/>
          <w:rFonts w:ascii="Palatino Linotype" w:hAnsi="Palatino Linotype" w:cs="Palatino Linotype"/>
          <w:sz w:val="24"/>
          <w:szCs w:val="24"/>
        </w:rPr>
        <w:footnoteReference w:id="4"/>
      </w:r>
      <w:r>
        <w:rPr>
          <w:rFonts w:ascii="Palatino Linotype" w:hAnsi="Palatino Linotype" w:cs="Palatino Linotype"/>
          <w:sz w:val="24"/>
          <w:szCs w:val="24"/>
        </w:rPr>
        <w:t xml:space="preserve">  </w:t>
      </w:r>
    </w:p>
    <w:p w:rsidR="00C67A2F" w:rsidRPr="00D217EA" w:rsidRDefault="00C67A2F" w:rsidP="00C67A2F">
      <w:pPr>
        <w:ind w:right="630"/>
        <w:rPr>
          <w:rFonts w:ascii="Palatino Linotype" w:hAnsi="Palatino Linotype" w:cs="Palatino Linotype"/>
          <w:color w:val="FF0000"/>
          <w:sz w:val="24"/>
          <w:szCs w:val="24"/>
        </w:rPr>
      </w:pPr>
    </w:p>
    <w:p w:rsidR="00C67A2F" w:rsidRPr="00754BF0" w:rsidRDefault="00C67A2F" w:rsidP="00C67A2F">
      <w:pPr>
        <w:numPr>
          <w:ilvl w:val="0"/>
          <w:numId w:val="12"/>
        </w:numPr>
        <w:ind w:right="630"/>
        <w:rPr>
          <w:rFonts w:ascii="Palatino Linotype" w:hAnsi="Palatino Linotype"/>
          <w:b/>
          <w:sz w:val="24"/>
          <w:szCs w:val="24"/>
        </w:rPr>
      </w:pPr>
      <w:r w:rsidRPr="00754BF0">
        <w:rPr>
          <w:rFonts w:ascii="Palatino Linotype" w:hAnsi="Palatino Linotype"/>
          <w:b/>
          <w:sz w:val="24"/>
          <w:szCs w:val="24"/>
        </w:rPr>
        <w:t>Discussion</w:t>
      </w:r>
    </w:p>
    <w:p w:rsidR="00C67A2F" w:rsidRPr="00754BF0" w:rsidRDefault="00C67A2F" w:rsidP="00C67A2F">
      <w:pPr>
        <w:ind w:right="630"/>
        <w:rPr>
          <w:rFonts w:ascii="Palatino Linotype" w:hAnsi="Palatino Linotype"/>
          <w:sz w:val="24"/>
          <w:szCs w:val="24"/>
        </w:rPr>
      </w:pPr>
    </w:p>
    <w:p w:rsidR="00C67A2F" w:rsidRPr="003B7E9D" w:rsidRDefault="00C67A2F" w:rsidP="00C67A2F">
      <w:pPr>
        <w:autoSpaceDE w:val="0"/>
        <w:autoSpaceDN w:val="0"/>
        <w:adjustRightInd w:val="0"/>
        <w:rPr>
          <w:rFonts w:ascii="Palatino Linotype" w:hAnsi="Palatino Linotype" w:cs="Palatino Linotype"/>
          <w:sz w:val="24"/>
          <w:szCs w:val="24"/>
        </w:rPr>
      </w:pPr>
      <w:r w:rsidRPr="00754BF0">
        <w:rPr>
          <w:rFonts w:ascii="Palatino Linotype" w:hAnsi="Palatino Linotype" w:cs="Palatino Linotype"/>
          <w:sz w:val="24"/>
          <w:szCs w:val="24"/>
        </w:rPr>
        <w:t xml:space="preserve">This Resolution adopts CD’s recommended award of </w:t>
      </w:r>
      <w:r>
        <w:rPr>
          <w:rFonts w:ascii="Palatino Linotype" w:hAnsi="Palatino Linotype" w:cs="Palatino Linotype"/>
          <w:sz w:val="24"/>
          <w:szCs w:val="24"/>
        </w:rPr>
        <w:t>$</w:t>
      </w:r>
      <w:r w:rsidRPr="009F097D">
        <w:rPr>
          <w:rFonts w:ascii="Palatino Linotype" w:hAnsi="Palatino Linotype" w:cs="Palatino Linotype"/>
          <w:sz w:val="24"/>
          <w:szCs w:val="24"/>
        </w:rPr>
        <w:t>2,662,45</w:t>
      </w:r>
      <w:r>
        <w:rPr>
          <w:rFonts w:ascii="Palatino Linotype" w:hAnsi="Palatino Linotype" w:cs="Palatino Linotype"/>
          <w:sz w:val="24"/>
          <w:szCs w:val="24"/>
        </w:rPr>
        <w:t xml:space="preserve">0 in a CASF grant </w:t>
      </w:r>
      <w:r w:rsidRPr="00754BF0">
        <w:rPr>
          <w:rFonts w:ascii="Palatino Linotype" w:hAnsi="Palatino Linotype" w:cs="Palatino Linotype"/>
          <w:sz w:val="24"/>
          <w:szCs w:val="24"/>
        </w:rPr>
        <w:t xml:space="preserve">for the </w:t>
      </w:r>
      <w:r>
        <w:rPr>
          <w:rFonts w:ascii="Palatino Linotype" w:hAnsi="Palatino Linotype" w:cs="Palatino Linotype"/>
          <w:sz w:val="24"/>
          <w:szCs w:val="24"/>
        </w:rPr>
        <w:t>Connect Anza</w:t>
      </w:r>
      <w:r w:rsidRPr="00754BF0">
        <w:rPr>
          <w:rFonts w:ascii="Palatino Linotype" w:hAnsi="Palatino Linotype" w:cs="Palatino Linotype"/>
          <w:sz w:val="24"/>
          <w:szCs w:val="24"/>
        </w:rPr>
        <w:t xml:space="preserve"> Project. </w:t>
      </w:r>
      <w:r>
        <w:rPr>
          <w:rFonts w:ascii="Palatino Linotype" w:hAnsi="Palatino Linotype" w:cs="Palatino Linotype"/>
          <w:sz w:val="24"/>
          <w:szCs w:val="24"/>
        </w:rPr>
        <w:t xml:space="preserve"> </w:t>
      </w:r>
      <w:r w:rsidRPr="00754BF0">
        <w:rPr>
          <w:rFonts w:ascii="Palatino Linotype" w:hAnsi="Palatino Linotype" w:cs="Palatino Linotype"/>
          <w:sz w:val="24"/>
          <w:szCs w:val="24"/>
        </w:rPr>
        <w:t xml:space="preserve">This award represents 60 </w:t>
      </w:r>
      <w:r>
        <w:rPr>
          <w:rFonts w:ascii="Palatino Linotype" w:hAnsi="Palatino Linotype" w:cs="Palatino Linotype"/>
          <w:sz w:val="24"/>
          <w:szCs w:val="24"/>
        </w:rPr>
        <w:t>percent</w:t>
      </w:r>
      <w:r w:rsidRPr="00754BF0">
        <w:rPr>
          <w:rFonts w:ascii="Palatino Linotype" w:hAnsi="Palatino Linotype" w:cs="Palatino Linotype"/>
          <w:sz w:val="24"/>
          <w:szCs w:val="24"/>
        </w:rPr>
        <w:t xml:space="preserve"> of the applicant’s estimated total project cost of </w:t>
      </w:r>
      <w:r>
        <w:rPr>
          <w:rFonts w:ascii="Palatino Linotype" w:hAnsi="Palatino Linotype" w:cs="Palatino Linotype"/>
          <w:sz w:val="24"/>
          <w:szCs w:val="24"/>
        </w:rPr>
        <w:t>$4,437,418</w:t>
      </w:r>
      <w:r w:rsidRPr="00754BF0">
        <w:rPr>
          <w:rFonts w:ascii="Palatino Linotype" w:hAnsi="Palatino Linotype" w:cs="Palatino Linotype"/>
          <w:sz w:val="24"/>
          <w:szCs w:val="24"/>
        </w:rPr>
        <w:t xml:space="preserve">. </w:t>
      </w:r>
      <w:r>
        <w:rPr>
          <w:rFonts w:ascii="Palatino Linotype" w:hAnsi="Palatino Linotype" w:cs="Palatino Linotype"/>
          <w:sz w:val="24"/>
          <w:szCs w:val="24"/>
        </w:rPr>
        <w:t xml:space="preserve"> </w:t>
      </w:r>
      <w:r w:rsidRPr="00754BF0">
        <w:rPr>
          <w:rFonts w:ascii="Palatino Linotype" w:hAnsi="Palatino Linotype" w:cs="Palatino Linotype"/>
          <w:sz w:val="24"/>
          <w:szCs w:val="24"/>
        </w:rPr>
        <w:t xml:space="preserve">Key project information and maps are shown in Appendix A. </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502087" w:rsidRDefault="00C67A2F" w:rsidP="00C67A2F">
      <w:pPr>
        <w:numPr>
          <w:ilvl w:val="0"/>
          <w:numId w:val="10"/>
        </w:numPr>
        <w:autoSpaceDE w:val="0"/>
        <w:autoSpaceDN w:val="0"/>
        <w:adjustRightInd w:val="0"/>
        <w:rPr>
          <w:rFonts w:ascii="Palatino Linotype" w:hAnsi="Palatino Linotype" w:cs="Palatino Linotype"/>
          <w:sz w:val="24"/>
          <w:szCs w:val="24"/>
          <w:u w:val="single"/>
        </w:rPr>
      </w:pPr>
      <w:r>
        <w:rPr>
          <w:rFonts w:ascii="Palatino Linotype" w:hAnsi="Palatino Linotype" w:cs="Palatino Linotype"/>
          <w:sz w:val="24"/>
          <w:szCs w:val="24"/>
          <w:u w:val="single"/>
        </w:rPr>
        <w:t xml:space="preserve">Applicant and </w:t>
      </w:r>
      <w:r w:rsidRPr="00502087">
        <w:rPr>
          <w:rFonts w:ascii="Palatino Linotype" w:hAnsi="Palatino Linotype" w:cs="Palatino Linotype"/>
          <w:sz w:val="24"/>
          <w:szCs w:val="24"/>
          <w:u w:val="single"/>
        </w:rPr>
        <w:t xml:space="preserve">Project Overview </w:t>
      </w:r>
    </w:p>
    <w:p w:rsidR="00C67A2F" w:rsidRDefault="00C67A2F" w:rsidP="00C67A2F">
      <w:pPr>
        <w:rPr>
          <w:rFonts w:ascii="Palatino Linotype" w:hAnsi="Palatino Linotype"/>
          <w:color w:val="FF0000"/>
          <w:sz w:val="24"/>
          <w:szCs w:val="24"/>
        </w:rPr>
      </w:pPr>
    </w:p>
    <w:p w:rsidR="00C67A2F" w:rsidRPr="00026F1B" w:rsidRDefault="00C67A2F" w:rsidP="00C67A2F">
      <w:pPr>
        <w:rPr>
          <w:rFonts w:ascii="Palatino Linotype" w:hAnsi="Palatino Linotype"/>
          <w:sz w:val="24"/>
          <w:szCs w:val="24"/>
        </w:rPr>
      </w:pPr>
      <w:r>
        <w:rPr>
          <w:rFonts w:ascii="Palatino Linotype" w:hAnsi="Palatino Linotype"/>
          <w:sz w:val="24"/>
          <w:szCs w:val="24"/>
        </w:rPr>
        <w:t>AEC</w:t>
      </w:r>
      <w:r>
        <w:rPr>
          <w:rStyle w:val="FootnoteReference"/>
          <w:rFonts w:ascii="Palatino Linotype" w:hAnsi="Palatino Linotype"/>
          <w:sz w:val="24"/>
          <w:szCs w:val="24"/>
        </w:rPr>
        <w:footnoteReference w:id="5"/>
      </w:r>
      <w:r>
        <w:rPr>
          <w:rFonts w:ascii="Palatino Linotype" w:hAnsi="Palatino Linotype"/>
          <w:sz w:val="24"/>
          <w:szCs w:val="24"/>
        </w:rPr>
        <w:t xml:space="preserve"> currently owns and distributes electricity using over 700 miles of line in Southwest Riverside County covering the areas of Anza, Garner Valley, Pinyon, Alpine Village, Royal Carrizo and parts of Aguanga.  </w:t>
      </w:r>
      <w:r w:rsidRPr="00026F1B">
        <w:rPr>
          <w:rFonts w:ascii="Palatino Linotype" w:hAnsi="Palatino Linotype"/>
          <w:sz w:val="24"/>
          <w:szCs w:val="24"/>
        </w:rPr>
        <w:t>AEC</w:t>
      </w:r>
      <w:r>
        <w:rPr>
          <w:rFonts w:ascii="Palatino Linotype" w:hAnsi="Palatino Linotype"/>
          <w:sz w:val="24"/>
          <w:szCs w:val="24"/>
        </w:rPr>
        <w:t xml:space="preserve"> proposes to deploy a fiber optic network </w:t>
      </w:r>
      <w:r w:rsidRPr="00026F1B">
        <w:rPr>
          <w:rFonts w:ascii="Palatino Linotype" w:hAnsi="Palatino Linotype"/>
          <w:sz w:val="24"/>
          <w:szCs w:val="24"/>
        </w:rPr>
        <w:t xml:space="preserve">on </w:t>
      </w:r>
      <w:r>
        <w:rPr>
          <w:rFonts w:ascii="Palatino Linotype" w:hAnsi="Palatino Linotype"/>
          <w:sz w:val="24"/>
          <w:szCs w:val="24"/>
        </w:rPr>
        <w:t xml:space="preserve">its </w:t>
      </w:r>
      <w:r w:rsidRPr="00026F1B">
        <w:rPr>
          <w:rFonts w:ascii="Palatino Linotype" w:hAnsi="Palatino Linotype"/>
          <w:sz w:val="24"/>
          <w:szCs w:val="24"/>
        </w:rPr>
        <w:t xml:space="preserve">existing poles and rights of way and establish a network of sufficient capacity to establish high speed, quality </w:t>
      </w:r>
      <w:r>
        <w:rPr>
          <w:rFonts w:ascii="Palatino Linotype" w:hAnsi="Palatino Linotype"/>
          <w:sz w:val="24"/>
          <w:szCs w:val="24"/>
        </w:rPr>
        <w:t>Internet</w:t>
      </w:r>
      <w:r w:rsidRPr="00026F1B">
        <w:rPr>
          <w:rFonts w:ascii="Palatino Linotype" w:hAnsi="Palatino Linotype"/>
          <w:sz w:val="24"/>
          <w:szCs w:val="24"/>
        </w:rPr>
        <w:t xml:space="preserve"> service for </w:t>
      </w:r>
      <w:r>
        <w:rPr>
          <w:rFonts w:ascii="Palatino Linotype" w:hAnsi="Palatino Linotype"/>
          <w:sz w:val="24"/>
          <w:szCs w:val="24"/>
        </w:rPr>
        <w:t xml:space="preserve">customers in AEC’s electrical </w:t>
      </w:r>
      <w:r w:rsidRPr="00026F1B">
        <w:rPr>
          <w:rFonts w:ascii="Palatino Linotype" w:hAnsi="Palatino Linotype"/>
          <w:sz w:val="24"/>
          <w:szCs w:val="24"/>
        </w:rPr>
        <w:t>service territory.</w:t>
      </w:r>
      <w:r>
        <w:rPr>
          <w:rFonts w:ascii="Palatino Linotype" w:hAnsi="Palatino Linotype"/>
          <w:sz w:val="24"/>
          <w:szCs w:val="24"/>
        </w:rPr>
        <w:t xml:space="preserve">  Anza also proposes to serve approximately 170 transient residences (trailer homes) using a fixed wireless installation</w:t>
      </w:r>
      <w:r>
        <w:rPr>
          <w:rStyle w:val="FootnoteReference"/>
          <w:rFonts w:ascii="Palatino Linotype" w:hAnsi="Palatino Linotype"/>
          <w:sz w:val="24"/>
          <w:szCs w:val="24"/>
        </w:rPr>
        <w:footnoteReference w:id="6"/>
      </w:r>
      <w:r>
        <w:rPr>
          <w:rFonts w:ascii="Palatino Linotype" w:hAnsi="Palatino Linotype"/>
          <w:sz w:val="24"/>
          <w:szCs w:val="24"/>
        </w:rPr>
        <w:t xml:space="preserve">.  </w:t>
      </w:r>
    </w:p>
    <w:p w:rsidR="00C67A2F" w:rsidRPr="00D217EA" w:rsidRDefault="00C67A2F" w:rsidP="00C67A2F">
      <w:pPr>
        <w:rPr>
          <w:rFonts w:ascii="Palatino Linotype" w:hAnsi="Palatino Linotype"/>
          <w:color w:val="FF0000"/>
          <w:sz w:val="24"/>
          <w:szCs w:val="24"/>
        </w:rPr>
      </w:pPr>
    </w:p>
    <w:p w:rsidR="00C67A2F" w:rsidRDefault="00C67A2F" w:rsidP="00C67A2F">
      <w:pPr>
        <w:autoSpaceDE w:val="0"/>
        <w:autoSpaceDN w:val="0"/>
        <w:adjustRightInd w:val="0"/>
        <w:rPr>
          <w:rFonts w:ascii="Palatino Linotype" w:hAnsi="Palatino Linotype" w:cs="Palatino Linotype"/>
          <w:sz w:val="24"/>
          <w:szCs w:val="24"/>
        </w:rPr>
      </w:pPr>
      <w:r w:rsidRPr="003C0439">
        <w:rPr>
          <w:rFonts w:ascii="Palatino Linotype" w:hAnsi="Palatino Linotype" w:cs="Palatino Linotype"/>
          <w:sz w:val="24"/>
          <w:szCs w:val="24"/>
        </w:rPr>
        <w:t xml:space="preserve">AEC </w:t>
      </w:r>
      <w:r>
        <w:rPr>
          <w:rFonts w:ascii="Palatino Linotype" w:hAnsi="Palatino Linotype" w:cs="Palatino Linotype"/>
          <w:sz w:val="24"/>
          <w:szCs w:val="24"/>
        </w:rPr>
        <w:t>requested a</w:t>
      </w:r>
      <w:r w:rsidRPr="003C0439">
        <w:rPr>
          <w:rFonts w:ascii="Palatino Linotype" w:hAnsi="Palatino Linotype" w:cs="Palatino Linotype"/>
          <w:sz w:val="24"/>
          <w:szCs w:val="24"/>
        </w:rPr>
        <w:t xml:space="preserve"> CASF grant of $2,662,450.81,</w:t>
      </w:r>
      <w:r w:rsidRPr="006D267B">
        <w:rPr>
          <w:rFonts w:ascii="Palatino Linotype" w:hAnsi="Palatino Linotype" w:cs="Palatino Linotype"/>
          <w:sz w:val="24"/>
          <w:szCs w:val="24"/>
        </w:rPr>
        <w:t xml:space="preserve"> which is 60 </w:t>
      </w:r>
      <w:r>
        <w:rPr>
          <w:rFonts w:ascii="Palatino Linotype" w:hAnsi="Palatino Linotype" w:cs="Palatino Linotype"/>
          <w:sz w:val="24"/>
          <w:szCs w:val="24"/>
        </w:rPr>
        <w:t>percent</w:t>
      </w:r>
      <w:r w:rsidRPr="006D267B">
        <w:rPr>
          <w:rFonts w:ascii="Palatino Linotype" w:hAnsi="Palatino Linotype" w:cs="Palatino Linotype"/>
          <w:sz w:val="24"/>
          <w:szCs w:val="24"/>
        </w:rPr>
        <w:t xml:space="preserve"> of the total project costs</w:t>
      </w:r>
      <w:r>
        <w:rPr>
          <w:rFonts w:ascii="Palatino Linotype" w:hAnsi="Palatino Linotype" w:cs="Palatino Linotype"/>
          <w:sz w:val="24"/>
          <w:szCs w:val="24"/>
        </w:rPr>
        <w:t xml:space="preserve"> ($</w:t>
      </w:r>
      <w:r w:rsidRPr="009F097D">
        <w:rPr>
          <w:rFonts w:ascii="Palatino Linotype" w:hAnsi="Palatino Linotype" w:cs="Palatino Linotype"/>
          <w:sz w:val="24"/>
          <w:szCs w:val="24"/>
        </w:rPr>
        <w:t>4,437,418.02</w:t>
      </w:r>
      <w:r>
        <w:rPr>
          <w:rFonts w:ascii="Palatino Linotype" w:hAnsi="Palatino Linotype" w:cs="Palatino Linotype"/>
          <w:sz w:val="24"/>
          <w:szCs w:val="24"/>
        </w:rPr>
        <w:t>), with</w:t>
      </w:r>
      <w:r w:rsidRPr="006D267B">
        <w:rPr>
          <w:rFonts w:ascii="Palatino Linotype" w:hAnsi="Palatino Linotype" w:cs="Palatino Linotype"/>
          <w:sz w:val="24"/>
          <w:szCs w:val="24"/>
        </w:rPr>
        <w:t xml:space="preserve"> match</w:t>
      </w:r>
      <w:r>
        <w:rPr>
          <w:rFonts w:ascii="Palatino Linotype" w:hAnsi="Palatino Linotype" w:cs="Palatino Linotype"/>
          <w:sz w:val="24"/>
          <w:szCs w:val="24"/>
        </w:rPr>
        <w:t>ing</w:t>
      </w:r>
      <w:r w:rsidRPr="006D267B">
        <w:rPr>
          <w:rFonts w:ascii="Palatino Linotype" w:hAnsi="Palatino Linotype" w:cs="Palatino Linotype"/>
          <w:sz w:val="24"/>
          <w:szCs w:val="24"/>
        </w:rPr>
        <w:t xml:space="preserve"> </w:t>
      </w:r>
      <w:r>
        <w:rPr>
          <w:rFonts w:ascii="Palatino Linotype" w:hAnsi="Palatino Linotype" w:cs="Palatino Linotype"/>
          <w:sz w:val="24"/>
          <w:szCs w:val="24"/>
        </w:rPr>
        <w:t>AEC</w:t>
      </w:r>
      <w:r w:rsidRPr="006D267B">
        <w:rPr>
          <w:rFonts w:ascii="Palatino Linotype" w:hAnsi="Palatino Linotype" w:cs="Palatino Linotype"/>
          <w:sz w:val="24"/>
          <w:szCs w:val="24"/>
        </w:rPr>
        <w:t xml:space="preserve"> funding of $</w:t>
      </w:r>
      <w:r w:rsidRPr="009F097D">
        <w:rPr>
          <w:rFonts w:ascii="Palatino Linotype" w:hAnsi="Palatino Linotype" w:cs="Palatino Linotype"/>
          <w:sz w:val="24"/>
          <w:szCs w:val="24"/>
        </w:rPr>
        <w:t>1,774,967</w:t>
      </w:r>
      <w:r w:rsidRPr="006D267B">
        <w:rPr>
          <w:rFonts w:ascii="Palatino Linotype" w:hAnsi="Palatino Linotype" w:cs="Palatino Linotype"/>
          <w:sz w:val="24"/>
          <w:szCs w:val="24"/>
        </w:rPr>
        <w:t xml:space="preserve">. </w:t>
      </w:r>
      <w:r>
        <w:rPr>
          <w:rFonts w:ascii="Palatino Linotype" w:hAnsi="Palatino Linotype" w:cs="Palatino Linotype"/>
          <w:sz w:val="24"/>
          <w:szCs w:val="24"/>
        </w:rPr>
        <w:t>If this project is approved</w:t>
      </w:r>
      <w:r w:rsidRPr="006D267B">
        <w:rPr>
          <w:rFonts w:ascii="Palatino Linotype" w:hAnsi="Palatino Linotype" w:cs="Palatino Linotype"/>
          <w:sz w:val="24"/>
          <w:szCs w:val="24"/>
        </w:rPr>
        <w:t xml:space="preserve">, the project will reach an estimated </w:t>
      </w:r>
      <w:r>
        <w:rPr>
          <w:rFonts w:ascii="Palatino Linotype" w:hAnsi="Palatino Linotype" w:cs="Palatino Linotype"/>
          <w:sz w:val="24"/>
          <w:szCs w:val="24"/>
        </w:rPr>
        <w:t>3,751</w:t>
      </w:r>
      <w:r w:rsidRPr="006D267B">
        <w:rPr>
          <w:rFonts w:ascii="Palatino Linotype" w:hAnsi="Palatino Linotype" w:cs="Palatino Linotype"/>
          <w:sz w:val="24"/>
          <w:szCs w:val="24"/>
        </w:rPr>
        <w:t xml:space="preserve"> households,</w:t>
      </w:r>
      <w:r w:rsidRPr="006D267B">
        <w:rPr>
          <w:rStyle w:val="FootnoteReference"/>
          <w:rFonts w:ascii="Palatino Linotype" w:hAnsi="Palatino Linotype" w:cs="Palatino Linotype"/>
          <w:sz w:val="24"/>
          <w:szCs w:val="24"/>
        </w:rPr>
        <w:footnoteReference w:id="7"/>
      </w:r>
      <w:r w:rsidRPr="006D267B">
        <w:rPr>
          <w:rFonts w:ascii="Palatino Linotype" w:hAnsi="Palatino Linotype" w:cs="Palatino Linotype"/>
          <w:sz w:val="24"/>
          <w:szCs w:val="24"/>
        </w:rPr>
        <w:t xml:space="preserve"> with all customers capable of achieving speeds of </w:t>
      </w:r>
      <w:r>
        <w:rPr>
          <w:rFonts w:ascii="Palatino Linotype" w:hAnsi="Palatino Linotype" w:cs="Palatino Linotype"/>
          <w:sz w:val="24"/>
          <w:szCs w:val="24"/>
        </w:rPr>
        <w:t>at least 50 Mbps</w:t>
      </w:r>
      <w:r w:rsidRPr="006D267B">
        <w:rPr>
          <w:rFonts w:ascii="Palatino Linotype" w:hAnsi="Palatino Linotype" w:cs="Palatino Linotype"/>
          <w:sz w:val="24"/>
          <w:szCs w:val="24"/>
        </w:rPr>
        <w:t xml:space="preserve"> on both downloads and uploads </w:t>
      </w:r>
      <w:r>
        <w:rPr>
          <w:rFonts w:ascii="Palatino Linotype" w:hAnsi="Palatino Linotype" w:cs="Palatino Linotype"/>
          <w:sz w:val="24"/>
          <w:szCs w:val="24"/>
        </w:rPr>
        <w:t>which is</w:t>
      </w:r>
      <w:r w:rsidRPr="006D267B">
        <w:rPr>
          <w:rFonts w:ascii="Palatino Linotype" w:hAnsi="Palatino Linotype" w:cs="Palatino Linotype"/>
          <w:sz w:val="24"/>
          <w:szCs w:val="24"/>
        </w:rPr>
        <w:t xml:space="preserve"> above the Commission-defined “served” threshold of 6 Mbps download/1.5 Mbps upload. </w:t>
      </w:r>
      <w:r>
        <w:rPr>
          <w:rFonts w:ascii="Palatino Linotype" w:hAnsi="Palatino Linotype" w:cs="Palatino Linotype"/>
          <w:sz w:val="24"/>
          <w:szCs w:val="24"/>
        </w:rPr>
        <w:t xml:space="preserve"> </w:t>
      </w:r>
    </w:p>
    <w:p w:rsidR="00C67A2F" w:rsidRPr="00D60D61" w:rsidRDefault="00C67A2F" w:rsidP="00C67A2F">
      <w:pPr>
        <w:rPr>
          <w:rFonts w:ascii="Palatino Linotype" w:hAnsi="Palatino Linotype" w:cs="Palatino Linotype"/>
          <w:sz w:val="24"/>
          <w:szCs w:val="24"/>
        </w:rPr>
      </w:pPr>
    </w:p>
    <w:p w:rsidR="00C67A2F" w:rsidRPr="003B7E9D" w:rsidRDefault="00C67A2F" w:rsidP="00C67A2F">
      <w:pPr>
        <w:rPr>
          <w:rFonts w:ascii="Palatino Linotype" w:hAnsi="Palatino Linotype" w:cs="Palatino Linotype"/>
          <w:sz w:val="24"/>
          <w:szCs w:val="24"/>
        </w:rPr>
      </w:pPr>
      <w:r w:rsidRPr="00D60D61">
        <w:rPr>
          <w:rFonts w:ascii="Palatino Linotype" w:hAnsi="Palatino Linotype" w:cs="Palatino Linotype"/>
          <w:sz w:val="24"/>
          <w:szCs w:val="24"/>
        </w:rPr>
        <w:t xml:space="preserve">The </w:t>
      </w:r>
      <w:r>
        <w:rPr>
          <w:rFonts w:ascii="Palatino Linotype" w:hAnsi="Palatino Linotype" w:cs="Palatino Linotype"/>
          <w:sz w:val="24"/>
          <w:szCs w:val="24"/>
        </w:rPr>
        <w:t>Connect Anza project will directly benefit the Cahuilla band of Indians whose reservation in within the project area.  The reservation contains an estimated</w:t>
      </w:r>
      <w:r>
        <w:rPr>
          <w:rStyle w:val="FootnoteReference"/>
          <w:rFonts w:ascii="Palatino Linotype" w:hAnsi="Palatino Linotype" w:cs="Palatino Linotype"/>
          <w:sz w:val="24"/>
          <w:szCs w:val="24"/>
        </w:rPr>
        <w:footnoteReference w:id="8"/>
      </w:r>
      <w:r>
        <w:rPr>
          <w:rFonts w:ascii="Palatino Linotype" w:hAnsi="Palatino Linotype" w:cs="Palatino Linotype"/>
          <w:sz w:val="24"/>
          <w:szCs w:val="24"/>
        </w:rPr>
        <w:t xml:space="preserve"> 70 households as well as the </w:t>
      </w:r>
      <w:r w:rsidRPr="00D60D61">
        <w:rPr>
          <w:rFonts w:ascii="Palatino Linotype" w:hAnsi="Palatino Linotype" w:cs="Palatino Linotype"/>
          <w:sz w:val="24"/>
          <w:szCs w:val="24"/>
        </w:rPr>
        <w:t>Cahuilla Creek Casino</w:t>
      </w:r>
      <w:r>
        <w:rPr>
          <w:rFonts w:ascii="Palatino Linotype" w:hAnsi="Palatino Linotype" w:cs="Palatino Linotype"/>
          <w:sz w:val="24"/>
          <w:szCs w:val="24"/>
        </w:rPr>
        <w:t xml:space="preserve"> and tribal buildings.  </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8D4A0E" w:rsidRDefault="00C67A2F" w:rsidP="00C67A2F">
      <w:pPr>
        <w:numPr>
          <w:ilvl w:val="0"/>
          <w:numId w:val="10"/>
        </w:numPr>
        <w:autoSpaceDE w:val="0"/>
        <w:autoSpaceDN w:val="0"/>
        <w:adjustRightInd w:val="0"/>
        <w:rPr>
          <w:rFonts w:ascii="Palatino Linotype" w:hAnsi="Palatino Linotype" w:cs="Palatino Linotype"/>
          <w:color w:val="000000" w:themeColor="text1"/>
          <w:sz w:val="24"/>
          <w:szCs w:val="24"/>
          <w:u w:val="single"/>
        </w:rPr>
      </w:pPr>
      <w:r w:rsidRPr="008D4A0E">
        <w:rPr>
          <w:rFonts w:ascii="Palatino Linotype" w:hAnsi="Palatino Linotype" w:cs="Palatino Linotype"/>
          <w:color w:val="000000" w:themeColor="text1"/>
          <w:sz w:val="24"/>
          <w:szCs w:val="24"/>
          <w:u w:val="single"/>
        </w:rPr>
        <w:t xml:space="preserve">Project Qualification </w:t>
      </w:r>
    </w:p>
    <w:p w:rsidR="00C67A2F" w:rsidRPr="008D4A0E" w:rsidRDefault="00C67A2F" w:rsidP="00C67A2F">
      <w:pPr>
        <w:autoSpaceDE w:val="0"/>
        <w:autoSpaceDN w:val="0"/>
        <w:adjustRightInd w:val="0"/>
        <w:ind w:left="720"/>
        <w:rPr>
          <w:rFonts w:ascii="Palatino Linotype" w:hAnsi="Palatino Linotype" w:cs="Palatino Linotype"/>
          <w:color w:val="000000" w:themeColor="text1"/>
          <w:sz w:val="24"/>
          <w:szCs w:val="24"/>
          <w:u w:val="single"/>
        </w:rPr>
      </w:pPr>
    </w:p>
    <w:p w:rsidR="00C67A2F" w:rsidRPr="008D4A0E" w:rsidRDefault="00C67A2F" w:rsidP="00C67A2F">
      <w:pPr>
        <w:rPr>
          <w:rFonts w:ascii="Palatino Linotype" w:hAnsi="Palatino Linotype"/>
          <w:color w:val="000000" w:themeColor="text1"/>
          <w:sz w:val="24"/>
          <w:szCs w:val="24"/>
        </w:rPr>
      </w:pPr>
      <w:r w:rsidRPr="008D4A0E">
        <w:rPr>
          <w:rFonts w:ascii="Palatino Linotype" w:hAnsi="Palatino Linotype"/>
          <w:color w:val="000000" w:themeColor="text1"/>
          <w:sz w:val="24"/>
          <w:szCs w:val="24"/>
        </w:rPr>
        <w:t xml:space="preserve">To qualify for the CASF program, an applicant is required to submit proof that the area is unserved or underserved by submitting shapefiles of the proposed project. </w:t>
      </w:r>
      <w:r>
        <w:rPr>
          <w:rFonts w:ascii="Palatino Linotype" w:hAnsi="Palatino Linotype"/>
          <w:color w:val="000000" w:themeColor="text1"/>
          <w:sz w:val="24"/>
          <w:szCs w:val="24"/>
        </w:rPr>
        <w:t xml:space="preserve"> </w:t>
      </w:r>
      <w:r w:rsidRPr="008D4A0E">
        <w:rPr>
          <w:rFonts w:ascii="Palatino Linotype" w:hAnsi="Palatino Linotype"/>
          <w:color w:val="000000" w:themeColor="text1"/>
          <w:sz w:val="24"/>
          <w:szCs w:val="24"/>
        </w:rPr>
        <w:t>CD reviews the submitted shapefiles and compares them with United States 2010 Census data and the California Interactive Broadband Availability map.</w:t>
      </w:r>
      <w:r w:rsidRPr="008D4A0E">
        <w:rPr>
          <w:rStyle w:val="FootnoteReference"/>
          <w:rFonts w:ascii="Palatino Linotype" w:hAnsi="Palatino Linotype"/>
          <w:color w:val="000000" w:themeColor="text1"/>
          <w:sz w:val="24"/>
          <w:szCs w:val="24"/>
        </w:rPr>
        <w:footnoteReference w:id="9"/>
      </w:r>
      <w:r w:rsidRPr="008D4A0E">
        <w:rPr>
          <w:rFonts w:ascii="Palatino Linotype" w:hAnsi="Palatino Linotype"/>
          <w:color w:val="000000" w:themeColor="text1"/>
          <w:sz w:val="24"/>
          <w:szCs w:val="24"/>
        </w:rPr>
        <w:t xml:space="preserve">  Once CD determines that the area is eligible either as an unserved or underserved area, CD evaluates all other information</w:t>
      </w:r>
      <w:r>
        <w:rPr>
          <w:rFonts w:ascii="Palatino Linotype" w:hAnsi="Palatino Linotype"/>
          <w:color w:val="000000" w:themeColor="text1"/>
          <w:sz w:val="24"/>
          <w:szCs w:val="24"/>
        </w:rPr>
        <w:t xml:space="preserve"> the applicant has</w:t>
      </w:r>
      <w:r w:rsidRPr="008D4A0E">
        <w:rPr>
          <w:rFonts w:ascii="Palatino Linotype" w:hAnsi="Palatino Linotype"/>
          <w:color w:val="000000" w:themeColor="text1"/>
          <w:sz w:val="24"/>
          <w:szCs w:val="24"/>
        </w:rPr>
        <w:t xml:space="preserve"> submitte</w:t>
      </w:r>
      <w:r>
        <w:rPr>
          <w:rFonts w:ascii="Palatino Linotype" w:hAnsi="Palatino Linotype"/>
          <w:color w:val="000000" w:themeColor="text1"/>
          <w:sz w:val="24"/>
          <w:szCs w:val="24"/>
        </w:rPr>
        <w:t>d</w:t>
      </w:r>
      <w:r w:rsidRPr="008D4A0E">
        <w:rPr>
          <w:rFonts w:ascii="Palatino Linotype" w:hAnsi="Palatino Linotype"/>
          <w:color w:val="000000" w:themeColor="text1"/>
          <w:sz w:val="24"/>
          <w:szCs w:val="24"/>
        </w:rPr>
        <w:t xml:space="preserve"> to determine if the project meets the requirements outlined in D.12-02-015.</w:t>
      </w:r>
      <w:r>
        <w:rPr>
          <w:rFonts w:ascii="Palatino Linotype" w:hAnsi="Palatino Linotype"/>
          <w:color w:val="000000" w:themeColor="text1"/>
          <w:sz w:val="24"/>
          <w:szCs w:val="24"/>
        </w:rPr>
        <w:t xml:space="preserve"> </w:t>
      </w:r>
      <w:r w:rsidRPr="008D4A0E">
        <w:rPr>
          <w:rFonts w:ascii="Palatino Linotype" w:hAnsi="Palatino Linotype"/>
          <w:color w:val="000000" w:themeColor="text1"/>
          <w:sz w:val="24"/>
          <w:szCs w:val="24"/>
        </w:rPr>
        <w:t xml:space="preserve"> </w:t>
      </w:r>
      <w:r>
        <w:rPr>
          <w:rFonts w:ascii="Palatino Linotype" w:hAnsi="Palatino Linotype"/>
          <w:color w:val="000000" w:themeColor="text1"/>
          <w:sz w:val="24"/>
          <w:szCs w:val="24"/>
        </w:rPr>
        <w:t>CD reviews o</w:t>
      </w:r>
      <w:r w:rsidRPr="008D4A0E">
        <w:rPr>
          <w:rFonts w:ascii="Palatino Linotype" w:hAnsi="Palatino Linotype"/>
          <w:color w:val="000000" w:themeColor="text1"/>
          <w:sz w:val="24"/>
          <w:szCs w:val="24"/>
        </w:rPr>
        <w:t>ther information includ</w:t>
      </w:r>
      <w:r>
        <w:rPr>
          <w:rFonts w:ascii="Palatino Linotype" w:hAnsi="Palatino Linotype"/>
          <w:color w:val="000000" w:themeColor="text1"/>
          <w:sz w:val="24"/>
          <w:szCs w:val="24"/>
        </w:rPr>
        <w:t>ing</w:t>
      </w:r>
      <w:r w:rsidRPr="008D4A0E">
        <w:rPr>
          <w:rFonts w:ascii="Palatino Linotype" w:hAnsi="Palatino Linotype"/>
          <w:color w:val="000000" w:themeColor="text1"/>
          <w:sz w:val="24"/>
          <w:szCs w:val="24"/>
        </w:rPr>
        <w:t xml:space="preserve">: descriptions of current and proposed broadband infrastructure; number of potential subscriber households and average income; project construction schedule; project budget; proposed pricing and commitment period for new subscribers; and financial viability of the applicant. </w:t>
      </w:r>
    </w:p>
    <w:p w:rsidR="00C67A2F" w:rsidRDefault="00C67A2F" w:rsidP="00C67A2F">
      <w:pPr>
        <w:autoSpaceDE w:val="0"/>
        <w:autoSpaceDN w:val="0"/>
        <w:adjustRightInd w:val="0"/>
        <w:rPr>
          <w:rFonts w:ascii="Palatino Linotype" w:hAnsi="Palatino Linotype" w:cs="Book Antiqua"/>
          <w:color w:val="FF0000"/>
          <w:sz w:val="24"/>
          <w:szCs w:val="24"/>
        </w:rPr>
      </w:pPr>
    </w:p>
    <w:p w:rsidR="00C67A2F" w:rsidRDefault="00C67A2F" w:rsidP="00C67A2F">
      <w:pPr>
        <w:autoSpaceDE w:val="0"/>
        <w:autoSpaceDN w:val="0"/>
        <w:rPr>
          <w:rFonts w:ascii="Palatino Linotype" w:hAnsi="Palatino Linotype"/>
          <w:sz w:val="24"/>
          <w:szCs w:val="24"/>
        </w:rPr>
      </w:pPr>
      <w:r>
        <w:rPr>
          <w:rFonts w:ascii="Palatino Linotype" w:hAnsi="Palatino Linotype"/>
          <w:sz w:val="24"/>
          <w:szCs w:val="24"/>
        </w:rPr>
        <w:t xml:space="preserve">As an initial step in the review of AEC’s application, CD reviewed the CBGs submitted in the project application and determined that the project was indeed not served at adequate speeds via </w:t>
      </w:r>
      <w:r>
        <w:rPr>
          <w:rFonts w:ascii="Palatino Linotype" w:hAnsi="Palatino Linotype"/>
          <w:i/>
          <w:iCs/>
          <w:sz w:val="24"/>
          <w:szCs w:val="24"/>
        </w:rPr>
        <w:t>wireline</w:t>
      </w:r>
      <w:r>
        <w:rPr>
          <w:rFonts w:ascii="Palatino Linotype" w:hAnsi="Palatino Linotype"/>
          <w:sz w:val="24"/>
          <w:szCs w:val="24"/>
        </w:rPr>
        <w:t xml:space="preserve"> or </w:t>
      </w:r>
      <w:r>
        <w:rPr>
          <w:rFonts w:ascii="Palatino Linotype" w:hAnsi="Palatino Linotype"/>
          <w:i/>
          <w:iCs/>
          <w:sz w:val="24"/>
          <w:szCs w:val="24"/>
        </w:rPr>
        <w:t>fixed wireless</w:t>
      </w:r>
      <w:r>
        <w:rPr>
          <w:rFonts w:ascii="Palatino Linotype" w:hAnsi="Palatino Linotype"/>
          <w:sz w:val="24"/>
          <w:szCs w:val="24"/>
        </w:rPr>
        <w:t xml:space="preserve"> providers. With regard to </w:t>
      </w:r>
      <w:r>
        <w:rPr>
          <w:rFonts w:ascii="Palatino Linotype" w:hAnsi="Palatino Linotype"/>
          <w:i/>
          <w:iCs/>
          <w:sz w:val="24"/>
          <w:szCs w:val="24"/>
        </w:rPr>
        <w:t>mobile service</w:t>
      </w:r>
      <w:r>
        <w:rPr>
          <w:rFonts w:ascii="Palatino Linotype" w:hAnsi="Palatino Linotype"/>
          <w:sz w:val="24"/>
          <w:szCs w:val="24"/>
        </w:rPr>
        <w:t>, however, the California Interactive Broadband Availability Map indicates that 55% of the proposed project area may be served by Verizon and/or AT&amp;T Mobility wireless service</w:t>
      </w:r>
      <w:r>
        <w:rPr>
          <w:rStyle w:val="FootnoteReference"/>
          <w:rFonts w:ascii="Palatino Linotype" w:hAnsi="Palatino Linotype"/>
          <w:sz w:val="24"/>
          <w:szCs w:val="24"/>
        </w:rPr>
        <w:footnoteReference w:id="10"/>
      </w:r>
      <w:r>
        <w:rPr>
          <w:rFonts w:ascii="Palatino Linotype" w:hAnsi="Palatino Linotype"/>
          <w:sz w:val="24"/>
          <w:szCs w:val="24"/>
        </w:rPr>
        <w:t>.  The applicant disputed that the area is served by providing mobile field tests using the CalSPEED app.</w:t>
      </w:r>
      <w:r>
        <w:rPr>
          <w:rStyle w:val="FootnoteReference"/>
          <w:rFonts w:ascii="Palatino Linotype" w:hAnsi="Palatino Linotype"/>
          <w:sz w:val="24"/>
          <w:szCs w:val="24"/>
        </w:rPr>
        <w:footnoteReference w:id="11"/>
      </w:r>
      <w:r>
        <w:rPr>
          <w:rFonts w:ascii="Palatino Linotype" w:hAnsi="Palatino Linotype"/>
          <w:sz w:val="24"/>
          <w:szCs w:val="24"/>
        </w:rPr>
        <w:t xml:space="preserve">  </w:t>
      </w:r>
    </w:p>
    <w:p w:rsidR="00C67A2F" w:rsidRDefault="00C67A2F" w:rsidP="00C67A2F">
      <w:pPr>
        <w:autoSpaceDE w:val="0"/>
        <w:autoSpaceDN w:val="0"/>
        <w:rPr>
          <w:rFonts w:ascii="Palatino Linotype" w:hAnsi="Palatino Linotype"/>
          <w:sz w:val="24"/>
          <w:szCs w:val="24"/>
        </w:rPr>
      </w:pPr>
    </w:p>
    <w:p w:rsidR="00C67A2F" w:rsidRDefault="00C67A2F" w:rsidP="00C67A2F">
      <w:pPr>
        <w:autoSpaceDE w:val="0"/>
        <w:autoSpaceDN w:val="0"/>
        <w:rPr>
          <w:rFonts w:ascii="Palatino Linotype" w:hAnsi="Palatino Linotype"/>
          <w:sz w:val="24"/>
          <w:szCs w:val="24"/>
        </w:rPr>
      </w:pPr>
      <w:r>
        <w:rPr>
          <w:rFonts w:ascii="Palatino Linotype" w:hAnsi="Palatino Linotype"/>
          <w:sz w:val="24"/>
          <w:szCs w:val="24"/>
        </w:rPr>
        <w:t>The applicant provided 43 CalSPEED tests conducted on July 3, 2015 (see Appendix D for a list of speed test results).  All of the test results showed unserved or underserved speeds within the project area.  This finding, when combined with the fact that there were no challenges to the project, led staff to recommend that the area be considered underserved by mobile broadband.</w:t>
      </w:r>
    </w:p>
    <w:p w:rsidR="00C67A2F" w:rsidRPr="00D217EA" w:rsidRDefault="00C67A2F" w:rsidP="00C67A2F">
      <w:pPr>
        <w:autoSpaceDE w:val="0"/>
        <w:autoSpaceDN w:val="0"/>
        <w:adjustRightInd w:val="0"/>
        <w:rPr>
          <w:rFonts w:ascii="Palatino Linotype" w:hAnsi="Palatino Linotype"/>
          <w:color w:val="FF0000"/>
          <w:sz w:val="24"/>
          <w:szCs w:val="24"/>
        </w:rPr>
      </w:pPr>
    </w:p>
    <w:p w:rsidR="00C67A2F" w:rsidRPr="009562AE" w:rsidRDefault="00C67A2F" w:rsidP="00C67A2F">
      <w:pPr>
        <w:pStyle w:val="Default"/>
        <w:numPr>
          <w:ilvl w:val="0"/>
          <w:numId w:val="10"/>
        </w:numPr>
        <w:rPr>
          <w:rFonts w:ascii="Palatino Linotype" w:hAnsi="Palatino Linotype"/>
          <w:color w:val="000000" w:themeColor="text1"/>
        </w:rPr>
      </w:pPr>
      <w:r w:rsidRPr="009562AE">
        <w:rPr>
          <w:rFonts w:ascii="Palatino Linotype" w:hAnsi="Palatino Linotype" w:cs="Palatino Linotype"/>
          <w:color w:val="000000" w:themeColor="text1"/>
          <w:u w:val="single"/>
        </w:rPr>
        <w:t>Project Evaluation and Recommendation for Funding</w:t>
      </w:r>
      <w:r w:rsidRPr="009562AE">
        <w:rPr>
          <w:rFonts w:ascii="Palatino Linotype" w:hAnsi="Palatino Linotype" w:cs="Palatino Linotype"/>
          <w:color w:val="000000" w:themeColor="text1"/>
        </w:rPr>
        <w:t xml:space="preserve"> </w:t>
      </w:r>
    </w:p>
    <w:p w:rsidR="00C67A2F" w:rsidRPr="009562AE" w:rsidRDefault="00C67A2F" w:rsidP="00C67A2F">
      <w:pPr>
        <w:pStyle w:val="Default"/>
        <w:rPr>
          <w:rFonts w:ascii="Palatino Linotype" w:hAnsi="Palatino Linotype" w:cs="Palatino Linotype"/>
          <w:color w:val="000000" w:themeColor="text1"/>
        </w:rPr>
      </w:pPr>
    </w:p>
    <w:p w:rsidR="00C67A2F" w:rsidRPr="00B75D78" w:rsidRDefault="00C67A2F" w:rsidP="00C67A2F">
      <w:pPr>
        <w:pStyle w:val="Default"/>
        <w:rPr>
          <w:rFonts w:ascii="Palatino Linotype" w:hAnsi="Palatino Linotype"/>
          <w:color w:val="000000" w:themeColor="text1"/>
        </w:rPr>
      </w:pPr>
      <w:r w:rsidRPr="0070228F">
        <w:rPr>
          <w:rFonts w:ascii="Palatino Linotype" w:hAnsi="Palatino Linotype" w:cs="Palatino Linotype"/>
        </w:rPr>
        <w:t xml:space="preserve">CD evaluated </w:t>
      </w:r>
      <w:r>
        <w:rPr>
          <w:rFonts w:ascii="Palatino Linotype" w:hAnsi="Palatino Linotype" w:cs="Palatino Linotype"/>
        </w:rPr>
        <w:t xml:space="preserve">AEC’s </w:t>
      </w:r>
      <w:r w:rsidRPr="0070228F">
        <w:rPr>
          <w:rFonts w:ascii="Palatino Linotype" w:hAnsi="Palatino Linotype" w:cs="Palatino Linotype"/>
        </w:rPr>
        <w:t>application with respect to the scoring criteria defined in D.12-02-015, Appendix 1, Section VIII (Scoring Criteria). The scoring criteria include</w:t>
      </w:r>
      <w:r>
        <w:rPr>
          <w:rFonts w:ascii="Palatino Linotype" w:hAnsi="Palatino Linotype" w:cs="Palatino Linotype"/>
        </w:rPr>
        <w:t>s</w:t>
      </w:r>
      <w:r w:rsidRPr="0070228F">
        <w:rPr>
          <w:rFonts w:ascii="Palatino Linotype" w:hAnsi="Palatino Linotype" w:cs="Palatino Linotype"/>
        </w:rPr>
        <w:t>: (i) Funds Requested per Potential Customer</w:t>
      </w:r>
      <w:r>
        <w:rPr>
          <w:rFonts w:ascii="Palatino Linotype" w:hAnsi="Palatino Linotype" w:cs="Palatino Linotype"/>
        </w:rPr>
        <w:t>;</w:t>
      </w:r>
      <w:r w:rsidRPr="0070228F">
        <w:rPr>
          <w:rFonts w:ascii="Palatino Linotype" w:hAnsi="Palatino Linotype" w:cs="Palatino Linotype"/>
        </w:rPr>
        <w:t xml:space="preserve"> (ii) Speed, (iii) Financial Viability</w:t>
      </w:r>
      <w:r>
        <w:rPr>
          <w:rFonts w:ascii="Palatino Linotype" w:hAnsi="Palatino Linotype" w:cs="Palatino Linotype"/>
        </w:rPr>
        <w:t>;</w:t>
      </w:r>
      <w:r w:rsidRPr="0070228F">
        <w:rPr>
          <w:rFonts w:ascii="Palatino Linotype" w:hAnsi="Palatino Linotype" w:cs="Palatino Linotype"/>
        </w:rPr>
        <w:t xml:space="preserve"> (iv) Pricing</w:t>
      </w:r>
      <w:r>
        <w:rPr>
          <w:rFonts w:ascii="Palatino Linotype" w:hAnsi="Palatino Linotype" w:cs="Palatino Linotype"/>
        </w:rPr>
        <w:t>;</w:t>
      </w:r>
      <w:r w:rsidRPr="0070228F">
        <w:rPr>
          <w:rFonts w:ascii="Palatino Linotype" w:hAnsi="Palatino Linotype" w:cs="Palatino Linotype"/>
        </w:rPr>
        <w:t xml:space="preserve"> (v) Total Number of Households in the Proposed Area</w:t>
      </w:r>
      <w:r>
        <w:rPr>
          <w:rFonts w:ascii="Palatino Linotype" w:hAnsi="Palatino Linotype" w:cs="Palatino Linotype"/>
        </w:rPr>
        <w:t>;</w:t>
      </w:r>
      <w:r w:rsidRPr="0070228F">
        <w:rPr>
          <w:rFonts w:ascii="Palatino Linotype" w:hAnsi="Palatino Linotype" w:cs="Palatino Linotype"/>
        </w:rPr>
        <w:t xml:space="preserve"> (vi) Timeliness of Completion of Project</w:t>
      </w:r>
      <w:r>
        <w:rPr>
          <w:rFonts w:ascii="Palatino Linotype" w:hAnsi="Palatino Linotype" w:cs="Palatino Linotype"/>
        </w:rPr>
        <w:t>;</w:t>
      </w:r>
      <w:r w:rsidRPr="0070228F">
        <w:rPr>
          <w:rFonts w:ascii="Palatino Linotype" w:hAnsi="Palatino Linotype" w:cs="Palatino Linotype"/>
        </w:rPr>
        <w:t xml:space="preserve"> (vii) Guaranteed Pricing Period</w:t>
      </w:r>
      <w:r>
        <w:rPr>
          <w:rFonts w:ascii="Palatino Linotype" w:hAnsi="Palatino Linotype" w:cs="Palatino Linotype"/>
        </w:rPr>
        <w:t>;</w:t>
      </w:r>
      <w:r w:rsidRPr="0070228F">
        <w:rPr>
          <w:rFonts w:ascii="Palatino Linotype" w:hAnsi="Palatino Linotype" w:cs="Palatino Linotype"/>
        </w:rPr>
        <w:t xml:space="preserve"> and (viii) Low-Income Areas.</w:t>
      </w:r>
      <w:r>
        <w:rPr>
          <w:rFonts w:ascii="Palatino Linotype" w:hAnsi="Palatino Linotype" w:cs="Palatino Linotype"/>
        </w:rPr>
        <w:t xml:space="preserve">  Five bonus points are also added to an applicant’s score if local government and community endorsements or letters of support are submitted.  CD also conducted qualitative evaluation of the project area, existing infrastructure, and community needs.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sidRPr="00B16760">
        <w:rPr>
          <w:rFonts w:ascii="Palatino Linotype" w:hAnsi="Palatino Linotype"/>
          <w:b/>
          <w:i/>
          <w:sz w:val="24"/>
          <w:szCs w:val="24"/>
        </w:rPr>
        <w:t>The Community</w:t>
      </w:r>
      <w:r>
        <w:rPr>
          <w:rFonts w:ascii="Palatino Linotype" w:hAnsi="Palatino Linotype"/>
          <w:i/>
          <w:sz w:val="24"/>
          <w:szCs w:val="24"/>
        </w:rPr>
        <w:t xml:space="preserve">.  </w:t>
      </w:r>
      <w:r w:rsidRPr="00505811">
        <w:rPr>
          <w:rFonts w:ascii="Palatino Linotype" w:hAnsi="Palatino Linotype"/>
          <w:color w:val="000000" w:themeColor="text1"/>
          <w:sz w:val="24"/>
          <w:szCs w:val="24"/>
        </w:rPr>
        <w:t>The unincorporated</w:t>
      </w:r>
      <w:r>
        <w:rPr>
          <w:rFonts w:ascii="Palatino Linotype" w:hAnsi="Palatino Linotype"/>
          <w:color w:val="000000" w:themeColor="text1"/>
          <w:sz w:val="24"/>
          <w:szCs w:val="24"/>
        </w:rPr>
        <w:t xml:space="preserve"> communities of Anza, </w:t>
      </w:r>
      <w:r w:rsidRPr="00505811">
        <w:rPr>
          <w:rFonts w:ascii="Palatino Linotype" w:hAnsi="Palatino Linotype"/>
          <w:color w:val="000000" w:themeColor="text1"/>
          <w:sz w:val="24"/>
          <w:szCs w:val="24"/>
        </w:rPr>
        <w:t>Aguanga</w:t>
      </w:r>
      <w:r>
        <w:rPr>
          <w:rFonts w:ascii="Palatino Linotype" w:hAnsi="Palatino Linotype"/>
          <w:color w:val="000000" w:themeColor="text1"/>
          <w:sz w:val="24"/>
          <w:szCs w:val="24"/>
        </w:rPr>
        <w:t>, Lake Riverside Estates</w:t>
      </w:r>
      <w:r w:rsidRPr="00505811">
        <w:rPr>
          <w:rFonts w:ascii="Palatino Linotype" w:hAnsi="Palatino Linotype"/>
          <w:color w:val="000000" w:themeColor="text1"/>
          <w:sz w:val="24"/>
          <w:szCs w:val="24"/>
        </w:rPr>
        <w:t xml:space="preserve"> and Reed Valley are located </w:t>
      </w:r>
      <w:r>
        <w:rPr>
          <w:rFonts w:ascii="Palatino Linotype" w:hAnsi="Palatino Linotype"/>
          <w:color w:val="000000" w:themeColor="text1"/>
          <w:sz w:val="24"/>
          <w:szCs w:val="24"/>
        </w:rPr>
        <w:t xml:space="preserve">in the high desert southwest of the San Jacinto Mountains.  Anza Valley is located in the high desert southwest of the San Jacinto Mountains.  Coachella Valley (which includes the city of Palm Springs) lies on the east side of the San Jacinto Mountains.  Los Angeles is approximately 120 miles northwest and San Diego is approximately 75 miles to the southwest of the proposed project area.  The project </w:t>
      </w:r>
      <w:r w:rsidRPr="00E84135">
        <w:rPr>
          <w:rFonts w:ascii="Palatino Linotype" w:hAnsi="Palatino Linotype"/>
          <w:color w:val="000000" w:themeColor="text1"/>
          <w:sz w:val="24"/>
          <w:szCs w:val="24"/>
        </w:rPr>
        <w:t>area</w:t>
      </w:r>
      <w:r>
        <w:rPr>
          <w:rFonts w:ascii="Palatino Linotype" w:hAnsi="Palatino Linotype"/>
          <w:color w:val="000000" w:themeColor="text1"/>
          <w:sz w:val="24"/>
          <w:szCs w:val="24"/>
        </w:rPr>
        <w:t xml:space="preserve"> is just north of the San Diego County border in southwestern Riverside County.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The communities within the project boundary have approximately 3,751 households with a total population of 9,701 (using 2010 US Census data).  For the Census Designated Place (CDP) of Anza (population 3,040 as reported in the 2010 US Census), 8.3 percent of the population is 18 years of age or younger, 66 percent is between the ages of 18 and 62, and 26 percent is 62 years and above.  The smaller CDP of Aguanga (population 1,128 per the 2010 Census) had an even higher percentage of the population 62 years and older (41 percent).  </w:t>
      </w:r>
      <w:r w:rsidRPr="00D75666">
        <w:rPr>
          <w:rFonts w:ascii="Palatino Linotype" w:hAnsi="Palatino Linotype"/>
          <w:color w:val="000000" w:themeColor="text1"/>
          <w:sz w:val="24"/>
          <w:szCs w:val="24"/>
        </w:rPr>
        <w:t xml:space="preserve">The applicant noted that there is large number of retired people in the community.  The Cahuilla Indian Reservation is within the project area.  </w:t>
      </w:r>
      <w:r>
        <w:rPr>
          <w:rFonts w:ascii="Palatino Linotype" w:hAnsi="Palatino Linotype"/>
          <w:color w:val="000000" w:themeColor="text1"/>
          <w:sz w:val="24"/>
          <w:szCs w:val="24"/>
        </w:rPr>
        <w:t xml:space="preserve">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Based on the information provided in AEC’s application, local economic activity is minimal and a large percentage of the working population commutes out of the area.  Referring to the census data for Anza CDP, 65 percent of the working population’s commute time is 30 minutes or more, with the mean travel time to work at 41 minutes.  The US 2010 Census reported the median household income (MHI) (per census block data) is $48,038 which is 79 percent of the state MHI average.  However, the poverty rate for Anza CDP is reported at 11.5 percent which is below the state average (15.9 percent).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The Connect Anza project area includes two</w:t>
      </w:r>
      <w:r w:rsidRPr="00BF671E">
        <w:rPr>
          <w:rFonts w:ascii="Palatino Linotype" w:hAnsi="Palatino Linotype"/>
          <w:color w:val="000000" w:themeColor="text1"/>
          <w:sz w:val="24"/>
          <w:szCs w:val="24"/>
        </w:rPr>
        <w:t xml:space="preserve"> public schools</w:t>
      </w:r>
      <w:r>
        <w:rPr>
          <w:rFonts w:ascii="Palatino Linotype" w:hAnsi="Palatino Linotype"/>
          <w:color w:val="000000" w:themeColor="text1"/>
          <w:sz w:val="24"/>
          <w:szCs w:val="24"/>
        </w:rPr>
        <w:t xml:space="preserve">; </w:t>
      </w:r>
      <w:r w:rsidRPr="00BF671E">
        <w:rPr>
          <w:rFonts w:ascii="Palatino Linotype" w:hAnsi="Palatino Linotype"/>
          <w:color w:val="000000" w:themeColor="text1"/>
          <w:sz w:val="24"/>
          <w:szCs w:val="24"/>
        </w:rPr>
        <w:t xml:space="preserve">the </w:t>
      </w:r>
      <w:r>
        <w:rPr>
          <w:rFonts w:ascii="Palatino Linotype" w:hAnsi="Palatino Linotype"/>
          <w:color w:val="000000" w:themeColor="text1"/>
          <w:sz w:val="24"/>
          <w:szCs w:val="24"/>
        </w:rPr>
        <w:t xml:space="preserve">Hamilton High School and the Hamilton Elementary School.  According to the California Department of Education, total enrollment at Hamilton High School is 326 and at the Elementary School it is 445.  The proposed project area also includes a small K-12 Christian school and a private religious university (Olivet University) whose current enrollment is 120 students and a projected enrollment of 2,000.  There is also a public library, two fire stations and large California Department of Corrections and Rehabilitation Conservation (Fire) Camp (with a maximum capacity of 120 inmates).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The Connect Anza project will increase Internet capacity and enable local students to take advantage of open-sourced educational materials, thus helping the area bridge the digital divide.  The local public schools already have a fiber connection through the CENIC</w:t>
      </w:r>
      <w:r>
        <w:rPr>
          <w:rStyle w:val="FootnoteReference"/>
          <w:rFonts w:ascii="Palatino Linotype" w:hAnsi="Palatino Linotype"/>
          <w:color w:val="000000" w:themeColor="text1"/>
          <w:sz w:val="24"/>
          <w:szCs w:val="24"/>
        </w:rPr>
        <w:footnoteReference w:id="12"/>
      </w:r>
      <w:r>
        <w:rPr>
          <w:rFonts w:ascii="Palatino Linotype" w:hAnsi="Palatino Linotype"/>
          <w:color w:val="000000" w:themeColor="text1"/>
          <w:sz w:val="24"/>
          <w:szCs w:val="24"/>
        </w:rPr>
        <w:t xml:space="preserve"> network.  However, the schools have expressed support for this project due to the opportunities provided to the students.  A robust internet connection will allow students to utilize online teaching materials and techniques which they cannot currently access and use at home.  Students and parents will be able to utilize online services to organize class assignments, check grades and communicate with teachers.  Given the rural nature of the community and the substantial distances between schools and residences, reliable broadband access will allow students to learn at home without the need to travel to the school.  Additionally free Internet access will be available at the local library and community hall.</w:t>
      </w:r>
      <w:r>
        <w:rPr>
          <w:rStyle w:val="FootnoteReference"/>
          <w:rFonts w:ascii="Palatino Linotype" w:hAnsi="Palatino Linotype"/>
          <w:color w:val="000000" w:themeColor="text1"/>
          <w:sz w:val="24"/>
          <w:szCs w:val="24"/>
        </w:rPr>
        <w:footnoteReference w:id="13"/>
      </w:r>
      <w:r>
        <w:rPr>
          <w:rFonts w:ascii="Palatino Linotype" w:hAnsi="Palatino Linotype"/>
          <w:color w:val="000000" w:themeColor="text1"/>
          <w:sz w:val="24"/>
          <w:szCs w:val="24"/>
        </w:rPr>
        <w:t xml:space="preserve">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Olivet University is a religious institution located in the project area.  Olivet University has stated to the applicant that they will leverage the Anza project fiber network to enable online access and education at the university, a service that is not currently available.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CD has received 70 letters of support for the Connect Anza project.  CD’s review of the letters of support revealed numerous complaints about the poor quality of Internet service in the area as well as the lack of broadband choices.  Another theme portrayed in the letters of support for this CASF proposed project was AEC’s dependability for affordable and reliable energy utility service, including the community’s overarching confidence in AEC.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Further, the Inland Empire Regional Broadband Consortium recommended the communities of Anza and Aguanga as priority areas for CASF funding and fully supports the proposed project.  They noted how vital this project is to the area’s long term viability given the needs and opportunities that this project will address related to telemedicine, education, economic development, fire and police communications as well as benefiting the Cahuilla Native American tribes.  The project is also supported by elected officials at the local, state and federal level.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Pr="00E731FC" w:rsidRDefault="00C67A2F" w:rsidP="00C67A2F">
      <w:pPr>
        <w:rPr>
          <w:rFonts w:ascii="Palatino Linotype" w:hAnsi="Palatino Linotype"/>
          <w:sz w:val="24"/>
          <w:szCs w:val="24"/>
        </w:rPr>
      </w:pPr>
      <w:r w:rsidRPr="00F05AC3">
        <w:rPr>
          <w:rFonts w:ascii="Palatino Linotype" w:hAnsi="Palatino Linotype" w:cs="Palatino Linotype"/>
          <w:b/>
          <w:i/>
          <w:sz w:val="24"/>
          <w:szCs w:val="24"/>
        </w:rPr>
        <w:t>Pricing</w:t>
      </w:r>
      <w:r>
        <w:rPr>
          <w:rFonts w:ascii="Palatino Linotype" w:hAnsi="Palatino Linotype" w:cs="Palatino Linotype"/>
          <w:b/>
          <w:i/>
          <w:sz w:val="24"/>
          <w:szCs w:val="24"/>
        </w:rPr>
        <w:t xml:space="preserve"> and Affordability</w:t>
      </w:r>
      <w:r w:rsidRPr="00F05AC3">
        <w:rPr>
          <w:rFonts w:ascii="Palatino Linotype" w:hAnsi="Palatino Linotype" w:cs="Palatino Linotype"/>
          <w:b/>
          <w:sz w:val="24"/>
          <w:szCs w:val="24"/>
        </w:rPr>
        <w:t xml:space="preserve">.  </w:t>
      </w:r>
      <w:r>
        <w:rPr>
          <w:rFonts w:ascii="Palatino Linotype" w:hAnsi="Palatino Linotype"/>
          <w:sz w:val="24"/>
          <w:szCs w:val="24"/>
        </w:rPr>
        <w:t>AEC</w:t>
      </w:r>
      <w:r w:rsidRPr="00E731FC">
        <w:rPr>
          <w:rFonts w:ascii="Palatino Linotype" w:hAnsi="Palatino Linotype"/>
          <w:sz w:val="24"/>
          <w:szCs w:val="24"/>
        </w:rPr>
        <w:t xml:space="preserve"> has committed to a broadband pricing plan</w:t>
      </w:r>
      <w:r>
        <w:rPr>
          <w:rFonts w:ascii="Palatino Linotype" w:hAnsi="Palatino Linotype"/>
          <w:sz w:val="24"/>
          <w:szCs w:val="24"/>
        </w:rPr>
        <w:t xml:space="preserve"> </w:t>
      </w:r>
      <w:r w:rsidRPr="00E731FC">
        <w:rPr>
          <w:rFonts w:ascii="Palatino Linotype" w:hAnsi="Palatino Linotype"/>
          <w:sz w:val="24"/>
          <w:szCs w:val="24"/>
        </w:rPr>
        <w:t xml:space="preserve">under the terms shown below, </w:t>
      </w:r>
      <w:r>
        <w:rPr>
          <w:rFonts w:ascii="Palatino Linotype" w:hAnsi="Palatino Linotype"/>
          <w:sz w:val="24"/>
          <w:szCs w:val="24"/>
        </w:rPr>
        <w:t xml:space="preserve">for four years </w:t>
      </w:r>
      <w:r w:rsidRPr="00E731FC">
        <w:rPr>
          <w:rFonts w:ascii="Palatino Linotype" w:hAnsi="Palatino Linotype"/>
          <w:sz w:val="24"/>
          <w:szCs w:val="24"/>
        </w:rPr>
        <w:t xml:space="preserve">starting from the beginning date of service. </w:t>
      </w:r>
      <w:r>
        <w:rPr>
          <w:rFonts w:ascii="Palatino Linotype" w:hAnsi="Palatino Linotype"/>
          <w:sz w:val="24"/>
          <w:szCs w:val="24"/>
        </w:rPr>
        <w:t xml:space="preserve"> </w:t>
      </w:r>
      <w:r w:rsidRPr="00E731FC">
        <w:rPr>
          <w:rFonts w:ascii="Palatino Linotype" w:hAnsi="Palatino Linotype"/>
          <w:sz w:val="24"/>
          <w:szCs w:val="24"/>
        </w:rPr>
        <w:t>There is no long-term commitment</w:t>
      </w:r>
      <w:r>
        <w:rPr>
          <w:rFonts w:ascii="Palatino Linotype" w:hAnsi="Palatino Linotype"/>
          <w:sz w:val="24"/>
          <w:szCs w:val="24"/>
        </w:rPr>
        <w:t xml:space="preserve"> required</w:t>
      </w:r>
      <w:r w:rsidRPr="00E731FC">
        <w:rPr>
          <w:rFonts w:ascii="Palatino Linotype" w:hAnsi="Palatino Linotype"/>
          <w:sz w:val="24"/>
          <w:szCs w:val="24"/>
        </w:rPr>
        <w:t xml:space="preserve"> by the consumer.</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tbl>
      <w:tblPr>
        <w:tblW w:w="9015" w:type="dxa"/>
        <w:tblInd w:w="93" w:type="dxa"/>
        <w:tblLook w:val="04A0" w:firstRow="1" w:lastRow="0" w:firstColumn="1" w:lastColumn="0" w:noHBand="0" w:noVBand="1"/>
      </w:tblPr>
      <w:tblGrid>
        <w:gridCol w:w="1995"/>
        <w:gridCol w:w="2160"/>
        <w:gridCol w:w="2430"/>
        <w:gridCol w:w="2430"/>
      </w:tblGrid>
      <w:tr w:rsidR="00C67A2F" w:rsidRPr="00340ED0">
        <w:trPr>
          <w:trHeight w:val="1440"/>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i/>
              </w:rPr>
            </w:pPr>
            <w:r w:rsidRPr="00BB3DBF">
              <w:rPr>
                <w:rFonts w:ascii="Palatino Linotype" w:hAnsi="Palatino Linotype" w:cs="Arial"/>
                <w:i/>
              </w:rPr>
              <w:t>Service 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i/>
              </w:rPr>
            </w:pPr>
            <w:r w:rsidRPr="00BB3DBF">
              <w:rPr>
                <w:rFonts w:ascii="Palatino Linotype" w:hAnsi="Palatino Linotype" w:cs="Arial"/>
                <w:i/>
              </w:rPr>
              <w:t>Broadband Speed</w:t>
            </w:r>
          </w:p>
          <w:p w:rsidR="00C67A2F" w:rsidRPr="00BB3DBF" w:rsidRDefault="00C67A2F" w:rsidP="00723AC4">
            <w:pPr>
              <w:jc w:val="center"/>
              <w:rPr>
                <w:rFonts w:ascii="Palatino Linotype" w:hAnsi="Palatino Linotype" w:cs="Arial"/>
              </w:rPr>
            </w:pPr>
            <w:r w:rsidRPr="00BB3DBF">
              <w:rPr>
                <w:rFonts w:ascii="Palatino Linotype" w:hAnsi="Palatino Linotype" w:cs="Arial"/>
                <w:i/>
              </w:rPr>
              <w:t>(in Mbps)</w:t>
            </w:r>
          </w:p>
        </w:tc>
        <w:tc>
          <w:tcPr>
            <w:tcW w:w="2430" w:type="dxa"/>
            <w:tcBorders>
              <w:top w:val="single" w:sz="4" w:space="0" w:color="auto"/>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i/>
              </w:rPr>
            </w:pPr>
            <w:r w:rsidRPr="00BB3DBF">
              <w:rPr>
                <w:rFonts w:ascii="Palatino Linotype" w:hAnsi="Palatino Linotype" w:cs="Arial"/>
                <w:i/>
              </w:rPr>
              <w:t xml:space="preserve">Monthly Charge: Standalone Broadband </w:t>
            </w:r>
          </w:p>
        </w:tc>
        <w:tc>
          <w:tcPr>
            <w:tcW w:w="2430" w:type="dxa"/>
            <w:tcBorders>
              <w:top w:val="single" w:sz="4" w:space="0" w:color="auto"/>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i/>
              </w:rPr>
            </w:pPr>
            <w:r w:rsidRPr="00BB3DBF">
              <w:rPr>
                <w:rFonts w:ascii="Palatino Linotype" w:hAnsi="Palatino Linotype" w:cs="Arial"/>
                <w:i/>
              </w:rPr>
              <w:t xml:space="preserve">Monthly Charge: </w:t>
            </w:r>
          </w:p>
          <w:p w:rsidR="00C67A2F" w:rsidRPr="00BB3DBF" w:rsidRDefault="00C67A2F" w:rsidP="00723AC4">
            <w:pPr>
              <w:jc w:val="center"/>
              <w:rPr>
                <w:rFonts w:ascii="Palatino Linotype" w:hAnsi="Palatino Linotype" w:cs="Arial"/>
              </w:rPr>
            </w:pPr>
            <w:r w:rsidRPr="00BB3DBF">
              <w:rPr>
                <w:rFonts w:ascii="Palatino Linotype" w:hAnsi="Palatino Linotype" w:cs="Arial"/>
                <w:i/>
              </w:rPr>
              <w:t>Bundled with Voice</w:t>
            </w:r>
            <w:r w:rsidRPr="00BB3DBF">
              <w:rPr>
                <w:rFonts w:ascii="Palatino Linotype" w:hAnsi="Palatino Linotype" w:cs="Arial"/>
              </w:rPr>
              <w:t xml:space="preserve"> </w:t>
            </w:r>
          </w:p>
        </w:tc>
      </w:tr>
      <w:tr w:rsidR="00C67A2F" w:rsidRPr="00340ED0">
        <w:trPr>
          <w:trHeight w:val="323"/>
        </w:trPr>
        <w:tc>
          <w:tcPr>
            <w:tcW w:w="1995" w:type="dxa"/>
            <w:tcBorders>
              <w:top w:val="nil"/>
              <w:left w:val="single" w:sz="4" w:space="0" w:color="auto"/>
              <w:bottom w:val="single" w:sz="4" w:space="0" w:color="auto"/>
              <w:right w:val="single" w:sz="4" w:space="0" w:color="auto"/>
            </w:tcBorders>
            <w:shd w:val="clear" w:color="auto" w:fill="auto"/>
            <w:noWrap/>
            <w:vAlign w:val="center"/>
          </w:tcPr>
          <w:p w:rsidR="00C67A2F" w:rsidRPr="00BB3DBF" w:rsidRDefault="00C67A2F" w:rsidP="00723AC4">
            <w:pPr>
              <w:rPr>
                <w:rFonts w:ascii="Palatino Linotype" w:hAnsi="Palatino Linotype" w:cs="Arial"/>
              </w:rPr>
            </w:pPr>
            <w:r w:rsidRPr="00BB3DBF">
              <w:rPr>
                <w:rFonts w:ascii="Palatino Linotype" w:hAnsi="Palatino Linotype" w:cs="Arial"/>
              </w:rPr>
              <w:t>Residential</w:t>
            </w:r>
            <w:r>
              <w:rPr>
                <w:rFonts w:ascii="Palatino Linotype" w:hAnsi="Palatino Linotype" w:cs="Arial"/>
              </w:rPr>
              <w:t xml:space="preserve"> </w:t>
            </w:r>
          </w:p>
        </w:tc>
        <w:tc>
          <w:tcPr>
            <w:tcW w:w="2160" w:type="dxa"/>
            <w:tcBorders>
              <w:top w:val="nil"/>
              <w:left w:val="nil"/>
              <w:bottom w:val="single" w:sz="4" w:space="0" w:color="auto"/>
              <w:right w:val="single" w:sz="4" w:space="0" w:color="auto"/>
            </w:tcBorders>
            <w:shd w:val="clear" w:color="auto" w:fill="auto"/>
            <w:vAlign w:val="bottom"/>
          </w:tcPr>
          <w:p w:rsidR="00C67A2F" w:rsidRPr="00BB3DBF" w:rsidRDefault="00C67A2F" w:rsidP="00723AC4">
            <w:pPr>
              <w:rPr>
                <w:rFonts w:ascii="Palatino Linotype" w:hAnsi="Palatino Linotype" w:cs="Arial"/>
              </w:rPr>
            </w:pPr>
            <w:r w:rsidRPr="00BB3DBF">
              <w:rPr>
                <w:rFonts w:ascii="Palatino Linotype" w:hAnsi="Palatino Linotype" w:cs="Arial"/>
              </w:rPr>
              <w:t>50 down / 50 up</w:t>
            </w:r>
          </w:p>
        </w:tc>
        <w:tc>
          <w:tcPr>
            <w:tcW w:w="2430" w:type="dxa"/>
            <w:tcBorders>
              <w:top w:val="nil"/>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rPr>
            </w:pPr>
            <w:r w:rsidRPr="00BB3DBF">
              <w:rPr>
                <w:rFonts w:ascii="Palatino Linotype" w:hAnsi="Palatino Linotype" w:cs="Arial"/>
              </w:rPr>
              <w:t xml:space="preserve">$49.99 </w:t>
            </w:r>
          </w:p>
        </w:tc>
        <w:tc>
          <w:tcPr>
            <w:tcW w:w="2430" w:type="dxa"/>
            <w:tcBorders>
              <w:top w:val="nil"/>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rPr>
            </w:pPr>
            <w:r w:rsidRPr="00BB3DBF">
              <w:rPr>
                <w:rFonts w:ascii="Palatino Linotype" w:hAnsi="Palatino Linotype" w:cs="Arial"/>
              </w:rPr>
              <w:t xml:space="preserve">$69.99 </w:t>
            </w:r>
          </w:p>
        </w:tc>
      </w:tr>
      <w:tr w:rsidR="00C67A2F" w:rsidRPr="00340ED0">
        <w:trPr>
          <w:trHeight w:val="314"/>
        </w:trPr>
        <w:tc>
          <w:tcPr>
            <w:tcW w:w="1995" w:type="dxa"/>
            <w:tcBorders>
              <w:top w:val="nil"/>
              <w:left w:val="single" w:sz="4" w:space="0" w:color="auto"/>
              <w:bottom w:val="single" w:sz="4" w:space="0" w:color="auto"/>
              <w:right w:val="single" w:sz="4" w:space="0" w:color="auto"/>
            </w:tcBorders>
            <w:shd w:val="clear" w:color="auto" w:fill="auto"/>
            <w:noWrap/>
            <w:vAlign w:val="center"/>
          </w:tcPr>
          <w:p w:rsidR="00C67A2F" w:rsidRPr="00BB3DBF" w:rsidRDefault="00C67A2F" w:rsidP="00723AC4">
            <w:pPr>
              <w:rPr>
                <w:rFonts w:ascii="Palatino Linotype" w:hAnsi="Palatino Linotype" w:cs="Arial"/>
              </w:rPr>
            </w:pPr>
            <w:r w:rsidRPr="00BB3DBF">
              <w:rPr>
                <w:rFonts w:ascii="Palatino Linotype" w:hAnsi="Palatino Linotype" w:cs="Arial"/>
              </w:rPr>
              <w:t>Small Business</w:t>
            </w:r>
          </w:p>
        </w:tc>
        <w:tc>
          <w:tcPr>
            <w:tcW w:w="2160" w:type="dxa"/>
            <w:tcBorders>
              <w:top w:val="nil"/>
              <w:left w:val="nil"/>
              <w:bottom w:val="single" w:sz="4" w:space="0" w:color="auto"/>
              <w:right w:val="single" w:sz="4" w:space="0" w:color="auto"/>
            </w:tcBorders>
            <w:shd w:val="clear" w:color="auto" w:fill="auto"/>
            <w:vAlign w:val="bottom"/>
          </w:tcPr>
          <w:p w:rsidR="00C67A2F" w:rsidRPr="00BB3DBF" w:rsidRDefault="00C67A2F" w:rsidP="00723AC4">
            <w:pPr>
              <w:rPr>
                <w:rFonts w:ascii="Palatino Linotype" w:hAnsi="Palatino Linotype" w:cs="Arial"/>
              </w:rPr>
            </w:pPr>
            <w:r w:rsidRPr="00BB3DBF">
              <w:rPr>
                <w:rFonts w:ascii="Palatino Linotype" w:hAnsi="Palatino Linotype" w:cs="Arial"/>
              </w:rPr>
              <w:t>100 down / 50 up</w:t>
            </w:r>
          </w:p>
        </w:tc>
        <w:tc>
          <w:tcPr>
            <w:tcW w:w="2430" w:type="dxa"/>
            <w:tcBorders>
              <w:top w:val="nil"/>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rPr>
            </w:pPr>
            <w:r w:rsidRPr="00BB3DBF">
              <w:rPr>
                <w:rFonts w:ascii="Palatino Linotype" w:hAnsi="Palatino Linotype" w:cs="Arial"/>
              </w:rPr>
              <w:t xml:space="preserve">$109.99 </w:t>
            </w:r>
          </w:p>
        </w:tc>
        <w:tc>
          <w:tcPr>
            <w:tcW w:w="2430" w:type="dxa"/>
            <w:tcBorders>
              <w:top w:val="nil"/>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rPr>
            </w:pPr>
            <w:r w:rsidRPr="00BB3DBF">
              <w:rPr>
                <w:rFonts w:ascii="Palatino Linotype" w:hAnsi="Palatino Linotype" w:cs="Arial"/>
              </w:rPr>
              <w:t xml:space="preserve">$144.99 </w:t>
            </w:r>
          </w:p>
        </w:tc>
      </w:tr>
      <w:tr w:rsidR="00C67A2F" w:rsidRPr="00340ED0">
        <w:trPr>
          <w:trHeight w:val="296"/>
        </w:trPr>
        <w:tc>
          <w:tcPr>
            <w:tcW w:w="1995" w:type="dxa"/>
            <w:tcBorders>
              <w:top w:val="nil"/>
              <w:left w:val="single" w:sz="4" w:space="0" w:color="auto"/>
              <w:bottom w:val="single" w:sz="4" w:space="0" w:color="auto"/>
              <w:right w:val="single" w:sz="4" w:space="0" w:color="auto"/>
            </w:tcBorders>
            <w:shd w:val="clear" w:color="auto" w:fill="auto"/>
            <w:noWrap/>
            <w:vAlign w:val="center"/>
          </w:tcPr>
          <w:p w:rsidR="00C67A2F" w:rsidRPr="00BB3DBF" w:rsidRDefault="00C67A2F" w:rsidP="00723AC4">
            <w:pPr>
              <w:rPr>
                <w:rFonts w:ascii="Palatino Linotype" w:hAnsi="Palatino Linotype" w:cs="Arial"/>
              </w:rPr>
            </w:pPr>
            <w:r w:rsidRPr="00BB3DBF">
              <w:rPr>
                <w:rFonts w:ascii="Palatino Linotype" w:hAnsi="Palatino Linotype" w:cs="Arial"/>
              </w:rPr>
              <w:t>Commercial</w:t>
            </w:r>
          </w:p>
        </w:tc>
        <w:tc>
          <w:tcPr>
            <w:tcW w:w="2160" w:type="dxa"/>
            <w:tcBorders>
              <w:top w:val="nil"/>
              <w:left w:val="nil"/>
              <w:bottom w:val="single" w:sz="4" w:space="0" w:color="auto"/>
              <w:right w:val="single" w:sz="4" w:space="0" w:color="auto"/>
            </w:tcBorders>
            <w:shd w:val="clear" w:color="auto" w:fill="auto"/>
            <w:vAlign w:val="bottom"/>
          </w:tcPr>
          <w:p w:rsidR="00C67A2F" w:rsidRPr="00BB3DBF" w:rsidRDefault="00C67A2F" w:rsidP="00723AC4">
            <w:pPr>
              <w:rPr>
                <w:rFonts w:ascii="Palatino Linotype" w:hAnsi="Palatino Linotype" w:cs="Arial"/>
              </w:rPr>
            </w:pPr>
            <w:r w:rsidRPr="00BB3DBF">
              <w:rPr>
                <w:rFonts w:ascii="Palatino Linotype" w:hAnsi="Palatino Linotype" w:cs="Arial"/>
              </w:rPr>
              <w:t>500 down / 500 up</w:t>
            </w:r>
          </w:p>
        </w:tc>
        <w:tc>
          <w:tcPr>
            <w:tcW w:w="2430" w:type="dxa"/>
            <w:tcBorders>
              <w:top w:val="nil"/>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rPr>
            </w:pPr>
            <w:r w:rsidRPr="00BB3DBF">
              <w:rPr>
                <w:rFonts w:ascii="Palatino Linotype" w:hAnsi="Palatino Linotype" w:cs="Arial"/>
              </w:rPr>
              <w:t xml:space="preserve">$2,000.00 </w:t>
            </w:r>
          </w:p>
        </w:tc>
        <w:tc>
          <w:tcPr>
            <w:tcW w:w="2430" w:type="dxa"/>
            <w:tcBorders>
              <w:top w:val="nil"/>
              <w:left w:val="nil"/>
              <w:bottom w:val="single" w:sz="4" w:space="0" w:color="auto"/>
              <w:right w:val="single" w:sz="4" w:space="0" w:color="auto"/>
            </w:tcBorders>
            <w:shd w:val="clear" w:color="auto" w:fill="auto"/>
            <w:vAlign w:val="center"/>
          </w:tcPr>
          <w:p w:rsidR="00C67A2F" w:rsidRPr="00BB3DBF" w:rsidRDefault="00C67A2F" w:rsidP="00723AC4">
            <w:pPr>
              <w:jc w:val="center"/>
              <w:rPr>
                <w:rFonts w:ascii="Palatino Linotype" w:hAnsi="Palatino Linotype" w:cs="Arial"/>
              </w:rPr>
            </w:pPr>
            <w:r w:rsidRPr="00BB3DBF">
              <w:rPr>
                <w:rFonts w:ascii="Palatino Linotype" w:hAnsi="Palatino Linotype" w:cs="Arial"/>
              </w:rPr>
              <w:t xml:space="preserve">$2,000.00 </w:t>
            </w:r>
          </w:p>
        </w:tc>
      </w:tr>
      <w:tr w:rsidR="00C67A2F" w:rsidRPr="00340ED0">
        <w:trPr>
          <w:trHeight w:val="255"/>
        </w:trPr>
        <w:tc>
          <w:tcPr>
            <w:tcW w:w="901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C67A2F" w:rsidRPr="00BB3DBF" w:rsidRDefault="00C67A2F" w:rsidP="00723AC4">
            <w:pPr>
              <w:rPr>
                <w:rFonts w:ascii="Palatino Linotype" w:hAnsi="Palatino Linotype" w:cs="Arial"/>
              </w:rPr>
            </w:pPr>
            <w:r w:rsidRPr="00BB3DBF">
              <w:rPr>
                <w:rFonts w:ascii="Palatino Linotype" w:hAnsi="Palatino Linotype" w:cs="Arial"/>
                <w:i/>
              </w:rPr>
              <w:t>Activation and installation (all types):</w:t>
            </w:r>
            <w:r w:rsidRPr="00BB3DBF">
              <w:rPr>
                <w:rFonts w:ascii="Palatino Linotype" w:hAnsi="Palatino Linotype" w:cs="Arial"/>
              </w:rPr>
              <w:t xml:space="preserve">  Waived</w:t>
            </w:r>
          </w:p>
        </w:tc>
      </w:tr>
      <w:tr w:rsidR="00C67A2F" w:rsidRPr="00340ED0">
        <w:trPr>
          <w:trHeight w:val="255"/>
        </w:trPr>
        <w:tc>
          <w:tcPr>
            <w:tcW w:w="901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C67A2F" w:rsidRPr="00BB3DBF" w:rsidRDefault="00C67A2F" w:rsidP="00723AC4">
            <w:pPr>
              <w:rPr>
                <w:rFonts w:ascii="Palatino Linotype" w:hAnsi="Palatino Linotype" w:cs="Arial"/>
              </w:rPr>
            </w:pPr>
            <w:r w:rsidRPr="00BB3DBF">
              <w:rPr>
                <w:rFonts w:ascii="Palatino Linotype" w:hAnsi="Palatino Linotype" w:cs="Arial"/>
                <w:i/>
              </w:rPr>
              <w:t>Modem charge:</w:t>
            </w:r>
            <w:r w:rsidRPr="00BB3DBF">
              <w:rPr>
                <w:rFonts w:ascii="Palatino Linotype" w:hAnsi="Palatino Linotype" w:cs="Arial"/>
              </w:rPr>
              <w:t xml:space="preserve">  No monthly residential </w:t>
            </w:r>
            <w:r>
              <w:rPr>
                <w:rFonts w:ascii="Palatino Linotype" w:hAnsi="Palatino Linotype" w:cs="Arial"/>
              </w:rPr>
              <w:t xml:space="preserve">or business </w:t>
            </w:r>
            <w:r w:rsidRPr="00BB3DBF">
              <w:rPr>
                <w:rFonts w:ascii="Palatino Linotype" w:hAnsi="Palatino Linotype" w:cs="Arial"/>
              </w:rPr>
              <w:t>equipment fee.</w:t>
            </w:r>
          </w:p>
        </w:tc>
      </w:tr>
      <w:tr w:rsidR="00C67A2F" w:rsidRPr="00340ED0">
        <w:trPr>
          <w:trHeight w:val="255"/>
        </w:trPr>
        <w:tc>
          <w:tcPr>
            <w:tcW w:w="901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C67A2F" w:rsidRPr="00667DE0" w:rsidRDefault="00C67A2F" w:rsidP="00723AC4">
            <w:pPr>
              <w:rPr>
                <w:rFonts w:ascii="Palatino Linotype" w:hAnsi="Palatino Linotype" w:cs="Arial"/>
              </w:rPr>
            </w:pPr>
            <w:r w:rsidRPr="00667DE0">
              <w:rPr>
                <w:rFonts w:ascii="Palatino Linotype" w:hAnsi="Palatino Linotype" w:cs="Arial"/>
              </w:rPr>
              <w:t xml:space="preserve">Voice service includes unlimited calling in </w:t>
            </w:r>
            <w:r>
              <w:rPr>
                <w:rFonts w:ascii="Palatino Linotype" w:hAnsi="Palatino Linotype" w:cs="Arial"/>
              </w:rPr>
              <w:t xml:space="preserve">the </w:t>
            </w:r>
            <w:r w:rsidRPr="00667DE0">
              <w:rPr>
                <w:rFonts w:ascii="Palatino Linotype" w:hAnsi="Palatino Linotype" w:cs="Arial"/>
              </w:rPr>
              <w:t xml:space="preserve">United States and </w:t>
            </w:r>
            <w:r>
              <w:rPr>
                <w:rFonts w:ascii="Palatino Linotype" w:hAnsi="Palatino Linotype" w:cs="Arial"/>
              </w:rPr>
              <w:t xml:space="preserve">to </w:t>
            </w:r>
            <w:r w:rsidRPr="00667DE0">
              <w:rPr>
                <w:rFonts w:ascii="Palatino Linotype" w:hAnsi="Palatino Linotype" w:cs="Arial"/>
              </w:rPr>
              <w:t>Canada.</w:t>
            </w:r>
          </w:p>
        </w:tc>
      </w:tr>
    </w:tbl>
    <w:p w:rsidR="00C67A2F" w:rsidRDefault="00C67A2F" w:rsidP="00C67A2F">
      <w:pPr>
        <w:autoSpaceDE w:val="0"/>
        <w:autoSpaceDN w:val="0"/>
        <w:adjustRightInd w:val="0"/>
        <w:rPr>
          <w:rFonts w:ascii="Palatino Linotype" w:hAnsi="Palatino Linotype" w:cs="Palatino Linotype"/>
          <w:color w:val="FF0000"/>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The applicant estimates that about 40 percent of households in the area would purchase AEC’s service because of the area’s underserved status.  </w:t>
      </w:r>
      <w:r w:rsidRPr="002A79BF">
        <w:rPr>
          <w:rFonts w:ascii="Palatino Linotype" w:hAnsi="Palatino Linotype"/>
          <w:color w:val="000000" w:themeColor="text1"/>
          <w:sz w:val="24"/>
          <w:szCs w:val="24"/>
        </w:rPr>
        <w:t>Th</w:t>
      </w:r>
      <w:r>
        <w:rPr>
          <w:rFonts w:ascii="Palatino Linotype" w:hAnsi="Palatino Linotype"/>
          <w:color w:val="000000" w:themeColor="text1"/>
          <w:sz w:val="24"/>
          <w:szCs w:val="24"/>
        </w:rPr>
        <w:t>is</w:t>
      </w:r>
      <w:r w:rsidRPr="002A79BF">
        <w:rPr>
          <w:rFonts w:ascii="Palatino Linotype" w:hAnsi="Palatino Linotype"/>
          <w:color w:val="000000" w:themeColor="text1"/>
          <w:sz w:val="24"/>
          <w:szCs w:val="24"/>
        </w:rPr>
        <w:t xml:space="preserve"> take rate</w:t>
      </w:r>
      <w:r>
        <w:rPr>
          <w:rStyle w:val="FootnoteReference"/>
          <w:rFonts w:ascii="Palatino Linotype" w:hAnsi="Palatino Linotype"/>
          <w:color w:val="000000" w:themeColor="text1"/>
          <w:sz w:val="24"/>
          <w:szCs w:val="24"/>
        </w:rPr>
        <w:footnoteReference w:id="14"/>
      </w:r>
      <w:r w:rsidRPr="002A79BF">
        <w:rPr>
          <w:rFonts w:ascii="Palatino Linotype" w:hAnsi="Palatino Linotype"/>
          <w:color w:val="000000" w:themeColor="text1"/>
          <w:sz w:val="24"/>
          <w:szCs w:val="24"/>
        </w:rPr>
        <w:t xml:space="preserve"> may actually be higher for a number of reasons.</w:t>
      </w:r>
      <w:r>
        <w:rPr>
          <w:rFonts w:ascii="Palatino Linotype" w:hAnsi="Palatino Linotype"/>
          <w:color w:val="000000" w:themeColor="text1"/>
          <w:sz w:val="24"/>
          <w:szCs w:val="24"/>
        </w:rPr>
        <w:t xml:space="preserve">  Given that AEC is the long-standing local utility for electrical service, area residents are familiar with the AEC.  AEC is member-owned and the members voted to change the company’s by-laws for the purpose of providing this service.  Given the large percentage of residents who commute out of the area, robust broadband access would provide an opportunity for telecommuting.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color w:val="000000" w:themeColor="text1"/>
          <w:sz w:val="24"/>
          <w:szCs w:val="24"/>
        </w:rPr>
      </w:pPr>
      <w:r w:rsidRPr="00AD0D39">
        <w:rPr>
          <w:rFonts w:ascii="Palatino Linotype" w:hAnsi="Palatino Linotype"/>
          <w:b/>
          <w:i/>
          <w:color w:val="000000" w:themeColor="text1"/>
          <w:sz w:val="24"/>
          <w:szCs w:val="24"/>
        </w:rPr>
        <w:t>The Applicant.</w:t>
      </w:r>
      <w:r w:rsidRPr="005E2ABC">
        <w:rPr>
          <w:rFonts w:ascii="Palatino Linotype" w:hAnsi="Palatino Linotype"/>
          <w:color w:val="000000" w:themeColor="text1"/>
          <w:sz w:val="24"/>
          <w:szCs w:val="24"/>
        </w:rPr>
        <w:t xml:space="preserve"> </w:t>
      </w:r>
      <w:r>
        <w:rPr>
          <w:rFonts w:ascii="Palatino Linotype" w:hAnsi="Palatino Linotype"/>
          <w:color w:val="000000" w:themeColor="text1"/>
          <w:sz w:val="24"/>
          <w:szCs w:val="24"/>
        </w:rPr>
        <w:t xml:space="preserve"> AEC is a not-for-profit business with six decades of experience providing affordable and reliable energy service.  AEC owns and maintains over 10,000 poles and other structures necessary for the installation of the cable, as well as easements necessary to route the system through.  AEC already has a 3-mile segment of fiber installed in the downtown Anza area that provides Internet service free of charge to the Anza Civic Improvement League, the Community Center Building and a fire station.</w:t>
      </w:r>
      <w:r>
        <w:rPr>
          <w:rStyle w:val="FootnoteReference"/>
          <w:rFonts w:ascii="Palatino Linotype" w:hAnsi="Palatino Linotype"/>
          <w:color w:val="000000" w:themeColor="text1"/>
          <w:sz w:val="24"/>
          <w:szCs w:val="24"/>
        </w:rPr>
        <w:footnoteReference w:id="15"/>
      </w:r>
      <w:r>
        <w:rPr>
          <w:rFonts w:ascii="Palatino Linotype" w:hAnsi="Palatino Linotype"/>
          <w:color w:val="000000" w:themeColor="text1"/>
          <w:sz w:val="24"/>
          <w:szCs w:val="24"/>
        </w:rPr>
        <w:t xml:space="preserve">  Based on this information, CD determined that AEC has relevant experience and infrastructure for successfully installing and operating a high speed fiber optic network to the premises.  </w:t>
      </w:r>
    </w:p>
    <w:p w:rsidR="00C67A2F" w:rsidRDefault="00C67A2F" w:rsidP="00C67A2F">
      <w:pPr>
        <w:autoSpaceDE w:val="0"/>
        <w:autoSpaceDN w:val="0"/>
        <w:adjustRightInd w:val="0"/>
        <w:rPr>
          <w:rFonts w:ascii="Palatino Linotype" w:hAnsi="Palatino Linotype"/>
          <w:color w:val="000000" w:themeColor="text1"/>
          <w:sz w:val="24"/>
          <w:szCs w:val="24"/>
        </w:rPr>
      </w:pPr>
    </w:p>
    <w:p w:rsidR="00C67A2F" w:rsidRDefault="00C67A2F" w:rsidP="00C67A2F">
      <w:pPr>
        <w:autoSpaceDE w:val="0"/>
        <w:autoSpaceDN w:val="0"/>
        <w:adjustRightInd w:val="0"/>
        <w:rPr>
          <w:rFonts w:ascii="Palatino Linotype" w:hAnsi="Palatino Linotype"/>
          <w:sz w:val="24"/>
          <w:szCs w:val="24"/>
        </w:rPr>
      </w:pPr>
      <w:r w:rsidRPr="00D9279C">
        <w:rPr>
          <w:rFonts w:ascii="Palatino Linotype" w:hAnsi="Palatino Linotype"/>
          <w:b/>
          <w:i/>
          <w:sz w:val="24"/>
          <w:szCs w:val="24"/>
        </w:rPr>
        <w:t>Financial Viability.</w:t>
      </w:r>
      <w:r w:rsidRPr="00D9279C">
        <w:rPr>
          <w:rFonts w:ascii="Palatino Linotype" w:hAnsi="Palatino Linotype"/>
          <w:i/>
          <w:sz w:val="24"/>
          <w:szCs w:val="24"/>
        </w:rPr>
        <w:t xml:space="preserve">  </w:t>
      </w:r>
      <w:r>
        <w:rPr>
          <w:rFonts w:ascii="Palatino Linotype" w:hAnsi="Palatino Linotype"/>
          <w:sz w:val="24"/>
          <w:szCs w:val="24"/>
        </w:rPr>
        <w:t>AEC</w:t>
      </w:r>
      <w:r w:rsidRPr="00D9279C">
        <w:rPr>
          <w:rFonts w:ascii="Palatino Linotype" w:hAnsi="Palatino Linotype" w:cs="Palatino Linotype"/>
          <w:color w:val="000000"/>
          <w:sz w:val="24"/>
          <w:szCs w:val="24"/>
        </w:rPr>
        <w:t xml:space="preserve"> determined that the project is economically feasible with a CASF grant of </w:t>
      </w:r>
      <w:r w:rsidRPr="00D2073A">
        <w:rPr>
          <w:rFonts w:ascii="Palatino Linotype" w:hAnsi="Palatino Linotype" w:cs="Palatino Linotype"/>
          <w:color w:val="000000"/>
          <w:sz w:val="24"/>
          <w:szCs w:val="24"/>
        </w:rPr>
        <w:t>$2,662,450</w:t>
      </w:r>
      <w:r w:rsidRPr="00D9279C">
        <w:rPr>
          <w:rFonts w:ascii="Palatino Linotype" w:hAnsi="Palatino Linotype" w:cs="Palatino Linotype"/>
          <w:color w:val="000000"/>
          <w:sz w:val="24"/>
          <w:szCs w:val="24"/>
        </w:rPr>
        <w:t xml:space="preserve">, which is 60 </w:t>
      </w:r>
      <w:r>
        <w:rPr>
          <w:rFonts w:ascii="Palatino Linotype" w:hAnsi="Palatino Linotype" w:cs="Palatino Linotype"/>
          <w:color w:val="000000"/>
          <w:sz w:val="24"/>
          <w:szCs w:val="24"/>
        </w:rPr>
        <w:t>percent</w:t>
      </w:r>
      <w:r w:rsidRPr="00D9279C">
        <w:rPr>
          <w:rFonts w:ascii="Palatino Linotype" w:hAnsi="Palatino Linotype" w:cs="Palatino Linotype"/>
          <w:color w:val="000000"/>
          <w:sz w:val="24"/>
          <w:szCs w:val="24"/>
        </w:rPr>
        <w:t xml:space="preserve"> of the total project costs, to match </w:t>
      </w:r>
      <w:r>
        <w:rPr>
          <w:rFonts w:ascii="Palatino Linotype" w:hAnsi="Palatino Linotype" w:cs="Palatino Linotype"/>
          <w:color w:val="000000"/>
          <w:sz w:val="24"/>
          <w:szCs w:val="24"/>
        </w:rPr>
        <w:t xml:space="preserve">AEC’s </w:t>
      </w:r>
      <w:r w:rsidRPr="00D9279C">
        <w:rPr>
          <w:rFonts w:ascii="Palatino Linotype" w:hAnsi="Palatino Linotype" w:cs="Palatino Linotype"/>
          <w:color w:val="000000"/>
          <w:sz w:val="24"/>
          <w:szCs w:val="24"/>
        </w:rPr>
        <w:t>investment of $</w:t>
      </w:r>
      <w:r>
        <w:rPr>
          <w:rFonts w:ascii="Palatino Linotype" w:hAnsi="Palatino Linotype" w:cs="Palatino Linotype"/>
          <w:color w:val="000000"/>
          <w:sz w:val="24"/>
          <w:szCs w:val="24"/>
        </w:rPr>
        <w:t>1,774,967</w:t>
      </w:r>
      <w:r w:rsidRPr="00D9279C">
        <w:rPr>
          <w:rFonts w:ascii="Palatino Linotype" w:hAnsi="Palatino Linotype" w:cs="Palatino Linotype"/>
          <w:color w:val="000000"/>
          <w:sz w:val="24"/>
          <w:szCs w:val="24"/>
        </w:rPr>
        <w:t xml:space="preserve">.  </w:t>
      </w:r>
    </w:p>
    <w:p w:rsidR="00C67A2F" w:rsidRPr="00D9279C" w:rsidRDefault="00C67A2F" w:rsidP="00C67A2F">
      <w:pPr>
        <w:autoSpaceDE w:val="0"/>
        <w:autoSpaceDN w:val="0"/>
        <w:adjustRightInd w:val="0"/>
        <w:rPr>
          <w:rFonts w:ascii="Palatino Linotype" w:hAnsi="Palatino Linotype"/>
          <w:sz w:val="24"/>
          <w:szCs w:val="24"/>
        </w:rPr>
      </w:pPr>
    </w:p>
    <w:p w:rsidR="00C67A2F" w:rsidRDefault="00C67A2F" w:rsidP="00C67A2F">
      <w:pPr>
        <w:autoSpaceDE w:val="0"/>
        <w:autoSpaceDN w:val="0"/>
        <w:adjustRightInd w:val="0"/>
        <w:rPr>
          <w:rFonts w:ascii="Palatino Linotype" w:hAnsi="Palatino Linotype"/>
          <w:sz w:val="24"/>
          <w:szCs w:val="24"/>
        </w:rPr>
      </w:pPr>
      <w:r w:rsidRPr="00D9279C">
        <w:rPr>
          <w:rFonts w:ascii="Palatino Linotype" w:hAnsi="Palatino Linotype"/>
          <w:sz w:val="24"/>
          <w:szCs w:val="24"/>
        </w:rPr>
        <w:t>CD review</w:t>
      </w:r>
      <w:r>
        <w:rPr>
          <w:rFonts w:ascii="Palatino Linotype" w:hAnsi="Palatino Linotype"/>
          <w:sz w:val="24"/>
          <w:szCs w:val="24"/>
        </w:rPr>
        <w:t>ed</w:t>
      </w:r>
      <w:r w:rsidRPr="00D9279C">
        <w:rPr>
          <w:rFonts w:ascii="Palatino Linotype" w:hAnsi="Palatino Linotype"/>
          <w:sz w:val="24"/>
          <w:szCs w:val="24"/>
        </w:rPr>
        <w:t xml:space="preserve"> </w:t>
      </w:r>
      <w:r>
        <w:rPr>
          <w:rFonts w:ascii="Palatino Linotype" w:hAnsi="Palatino Linotype"/>
          <w:sz w:val="24"/>
          <w:szCs w:val="24"/>
        </w:rPr>
        <w:t xml:space="preserve">submitted balance sheet, income, cash flow statements </w:t>
      </w:r>
      <w:r w:rsidRPr="00D9279C">
        <w:rPr>
          <w:rFonts w:ascii="Palatino Linotype" w:hAnsi="Palatino Linotype"/>
          <w:sz w:val="24"/>
          <w:szCs w:val="24"/>
        </w:rPr>
        <w:t xml:space="preserve">and other financial viability variables for </w:t>
      </w:r>
      <w:r>
        <w:rPr>
          <w:rFonts w:ascii="Palatino Linotype" w:hAnsi="Palatino Linotype"/>
          <w:sz w:val="24"/>
          <w:szCs w:val="24"/>
        </w:rPr>
        <w:t>AEC</w:t>
      </w:r>
      <w:r w:rsidRPr="00D9279C">
        <w:rPr>
          <w:rFonts w:ascii="Palatino Linotype" w:hAnsi="Palatino Linotype"/>
          <w:sz w:val="24"/>
          <w:szCs w:val="24"/>
        </w:rPr>
        <w:t xml:space="preserve"> and </w:t>
      </w:r>
      <w:r>
        <w:rPr>
          <w:rFonts w:ascii="Palatino Linotype" w:hAnsi="Palatino Linotype"/>
          <w:sz w:val="24"/>
          <w:szCs w:val="24"/>
        </w:rPr>
        <w:t>concluded</w:t>
      </w:r>
      <w:r w:rsidRPr="00D9279C">
        <w:rPr>
          <w:rFonts w:ascii="Palatino Linotype" w:hAnsi="Palatino Linotype"/>
          <w:sz w:val="24"/>
          <w:szCs w:val="24"/>
        </w:rPr>
        <w:t xml:space="preserve"> that </w:t>
      </w:r>
      <w:r>
        <w:rPr>
          <w:rFonts w:ascii="Palatino Linotype" w:hAnsi="Palatino Linotype"/>
          <w:sz w:val="24"/>
          <w:szCs w:val="24"/>
        </w:rPr>
        <w:t>AEC</w:t>
      </w:r>
      <w:r w:rsidRPr="00D9279C">
        <w:rPr>
          <w:rFonts w:ascii="Palatino Linotype" w:hAnsi="Palatino Linotype"/>
          <w:sz w:val="24"/>
          <w:szCs w:val="24"/>
        </w:rPr>
        <w:t xml:space="preserve"> ha</w:t>
      </w:r>
      <w:r>
        <w:rPr>
          <w:rFonts w:ascii="Palatino Linotype" w:hAnsi="Palatino Linotype"/>
          <w:sz w:val="24"/>
          <w:szCs w:val="24"/>
        </w:rPr>
        <w:t>s</w:t>
      </w:r>
      <w:r w:rsidRPr="00D9279C">
        <w:rPr>
          <w:rFonts w:ascii="Palatino Linotype" w:hAnsi="Palatino Linotype"/>
          <w:sz w:val="24"/>
          <w:szCs w:val="24"/>
        </w:rPr>
        <w:t xml:space="preserve"> the existing capital resources for the 40 </w:t>
      </w:r>
      <w:r>
        <w:rPr>
          <w:rFonts w:ascii="Palatino Linotype" w:hAnsi="Palatino Linotype"/>
          <w:sz w:val="24"/>
          <w:szCs w:val="24"/>
        </w:rPr>
        <w:t>percent</w:t>
      </w:r>
      <w:r w:rsidRPr="00D9279C">
        <w:rPr>
          <w:rFonts w:ascii="Palatino Linotype" w:hAnsi="Palatino Linotype"/>
          <w:sz w:val="24"/>
          <w:szCs w:val="24"/>
        </w:rPr>
        <w:t xml:space="preserve"> required matching funds to construct the </w:t>
      </w:r>
      <w:r>
        <w:rPr>
          <w:rFonts w:ascii="Palatino Linotype" w:hAnsi="Palatino Linotype"/>
          <w:sz w:val="24"/>
          <w:szCs w:val="24"/>
        </w:rPr>
        <w:t>Connect Anza</w:t>
      </w:r>
      <w:r w:rsidRPr="00D9279C">
        <w:rPr>
          <w:rFonts w:ascii="Palatino Linotype" w:hAnsi="Palatino Linotype"/>
          <w:sz w:val="24"/>
          <w:szCs w:val="24"/>
        </w:rPr>
        <w:t xml:space="preserve"> project, as well as a sound financial framework for future operations.  Therefore, staff determined that </w:t>
      </w:r>
      <w:r>
        <w:rPr>
          <w:rFonts w:ascii="Palatino Linotype" w:hAnsi="Palatino Linotype"/>
          <w:sz w:val="24"/>
          <w:szCs w:val="24"/>
        </w:rPr>
        <w:t xml:space="preserve">the risk </w:t>
      </w:r>
      <w:r w:rsidRPr="00D9279C">
        <w:rPr>
          <w:rFonts w:ascii="Palatino Linotype" w:hAnsi="Palatino Linotype"/>
          <w:sz w:val="24"/>
          <w:szCs w:val="24"/>
        </w:rPr>
        <w:t>that this project would encounter financial problems, such as the project not being completed</w:t>
      </w:r>
      <w:r>
        <w:rPr>
          <w:rFonts w:ascii="Palatino Linotype" w:hAnsi="Palatino Linotype"/>
          <w:sz w:val="24"/>
          <w:szCs w:val="24"/>
        </w:rPr>
        <w:t xml:space="preserve"> or maintained over time, is minimal</w:t>
      </w:r>
      <w:r w:rsidRPr="00D9279C">
        <w:rPr>
          <w:rFonts w:ascii="Palatino Linotype" w:hAnsi="Palatino Linotype"/>
          <w:sz w:val="24"/>
          <w:szCs w:val="24"/>
        </w:rPr>
        <w:t xml:space="preserve">.  </w:t>
      </w:r>
    </w:p>
    <w:p w:rsidR="00C67A2F" w:rsidRPr="00D217EA" w:rsidRDefault="00C67A2F" w:rsidP="00C67A2F">
      <w:pPr>
        <w:autoSpaceDE w:val="0"/>
        <w:autoSpaceDN w:val="0"/>
        <w:adjustRightInd w:val="0"/>
        <w:rPr>
          <w:rFonts w:ascii="Palatino Linotype" w:hAnsi="Palatino Linotype"/>
          <w:color w:val="FF0000"/>
          <w:sz w:val="24"/>
          <w:szCs w:val="24"/>
        </w:rPr>
      </w:pPr>
    </w:p>
    <w:p w:rsidR="00C67A2F" w:rsidRPr="00855776" w:rsidRDefault="00C67A2F" w:rsidP="00C67A2F">
      <w:pPr>
        <w:autoSpaceDE w:val="0"/>
        <w:autoSpaceDN w:val="0"/>
        <w:adjustRightInd w:val="0"/>
        <w:rPr>
          <w:rFonts w:ascii="Palatino Linotype" w:hAnsi="Palatino Linotype" w:cs="Book Antiqua"/>
          <w:sz w:val="24"/>
          <w:szCs w:val="24"/>
        </w:rPr>
      </w:pPr>
      <w:r w:rsidRPr="00AD0D39">
        <w:rPr>
          <w:rFonts w:ascii="Palatino Linotype" w:hAnsi="Palatino Linotype" w:cs="Book Antiqua"/>
          <w:b/>
          <w:i/>
          <w:sz w:val="24"/>
          <w:szCs w:val="24"/>
        </w:rPr>
        <w:t>Key Characteristics.</w:t>
      </w:r>
      <w:r w:rsidRPr="00CD4C26">
        <w:rPr>
          <w:rFonts w:ascii="Palatino Linotype" w:hAnsi="Palatino Linotype" w:cs="Book Antiqua"/>
          <w:sz w:val="24"/>
          <w:szCs w:val="24"/>
        </w:rPr>
        <w:t xml:space="preserve">  </w:t>
      </w:r>
      <w:r w:rsidRPr="00855776">
        <w:rPr>
          <w:rFonts w:ascii="Palatino Linotype" w:hAnsi="Palatino Linotype" w:cs="Book Antiqua"/>
          <w:sz w:val="24"/>
          <w:szCs w:val="24"/>
        </w:rPr>
        <w:t xml:space="preserve">CD found that the </w:t>
      </w:r>
      <w:r>
        <w:rPr>
          <w:rFonts w:ascii="Palatino Linotype" w:hAnsi="Palatino Linotype" w:cs="Book Antiqua"/>
          <w:sz w:val="24"/>
          <w:szCs w:val="24"/>
        </w:rPr>
        <w:t>Connect Anza</w:t>
      </w:r>
      <w:r w:rsidRPr="00855776">
        <w:rPr>
          <w:rFonts w:ascii="Palatino Linotype" w:hAnsi="Palatino Linotype" w:cs="Book Antiqua"/>
          <w:sz w:val="24"/>
          <w:szCs w:val="24"/>
        </w:rPr>
        <w:t xml:space="preserve"> Project meets CASF funding requirements with respect to the following factors:</w:t>
      </w:r>
    </w:p>
    <w:p w:rsidR="00C67A2F" w:rsidRPr="00855776" w:rsidRDefault="00C67A2F" w:rsidP="00C67A2F">
      <w:pPr>
        <w:autoSpaceDE w:val="0"/>
        <w:autoSpaceDN w:val="0"/>
        <w:adjustRightInd w:val="0"/>
        <w:rPr>
          <w:rFonts w:ascii="Palatino Linotype" w:hAnsi="Palatino Linotype" w:cs="Book Antiqua"/>
          <w:sz w:val="24"/>
          <w:szCs w:val="24"/>
        </w:rPr>
      </w:pPr>
    </w:p>
    <w:p w:rsidR="00C67A2F" w:rsidRPr="00855776" w:rsidRDefault="00C67A2F" w:rsidP="00C67A2F">
      <w:pPr>
        <w:numPr>
          <w:ilvl w:val="0"/>
          <w:numId w:val="18"/>
        </w:numPr>
        <w:autoSpaceDE w:val="0"/>
        <w:autoSpaceDN w:val="0"/>
        <w:adjustRightInd w:val="0"/>
        <w:spacing w:after="35"/>
        <w:rPr>
          <w:rFonts w:ascii="Palatino Linotype" w:hAnsi="Palatino Linotype" w:cs="Book Antiqua"/>
          <w:sz w:val="24"/>
          <w:szCs w:val="24"/>
        </w:rPr>
      </w:pPr>
      <w:r w:rsidRPr="00855776">
        <w:rPr>
          <w:rFonts w:ascii="Palatino Linotype" w:hAnsi="Palatino Linotype" w:cs="Book Antiqua"/>
          <w:i/>
          <w:sz w:val="24"/>
          <w:szCs w:val="24"/>
        </w:rPr>
        <w:t>Speed</w:t>
      </w:r>
      <w:r w:rsidRPr="00855776">
        <w:rPr>
          <w:rFonts w:ascii="Palatino Linotype" w:hAnsi="Palatino Linotype" w:cs="Book Antiqua"/>
          <w:sz w:val="24"/>
          <w:szCs w:val="24"/>
        </w:rPr>
        <w:t xml:space="preserve"> – </w:t>
      </w:r>
      <w:r>
        <w:rPr>
          <w:rFonts w:ascii="Palatino Linotype" w:hAnsi="Palatino Linotype" w:cs="Book Antiqua"/>
          <w:sz w:val="24"/>
          <w:szCs w:val="24"/>
        </w:rPr>
        <w:t>the proposed speed offering of 50 Mbps</w:t>
      </w:r>
      <w:r w:rsidRPr="00855776">
        <w:rPr>
          <w:rFonts w:ascii="Palatino Linotype" w:hAnsi="Palatino Linotype" w:cs="Book Antiqua"/>
          <w:sz w:val="24"/>
          <w:szCs w:val="24"/>
        </w:rPr>
        <w:t xml:space="preserve"> download and </w:t>
      </w:r>
      <w:r>
        <w:rPr>
          <w:rFonts w:ascii="Palatino Linotype" w:hAnsi="Palatino Linotype" w:cs="Book Antiqua"/>
          <w:sz w:val="24"/>
          <w:szCs w:val="24"/>
        </w:rPr>
        <w:t>50 Mbps</w:t>
      </w:r>
      <w:r w:rsidRPr="00855776">
        <w:rPr>
          <w:rFonts w:ascii="Palatino Linotype" w:hAnsi="Palatino Linotype" w:cs="Book Antiqua"/>
          <w:sz w:val="24"/>
          <w:szCs w:val="24"/>
        </w:rPr>
        <w:t xml:space="preserve"> upload </w:t>
      </w:r>
      <w:r>
        <w:rPr>
          <w:rFonts w:ascii="Palatino Linotype" w:hAnsi="Palatino Linotype" w:cs="Book Antiqua"/>
          <w:sz w:val="24"/>
          <w:szCs w:val="24"/>
        </w:rPr>
        <w:t xml:space="preserve">(for residential customers) </w:t>
      </w:r>
      <w:r w:rsidRPr="00855776">
        <w:rPr>
          <w:rFonts w:ascii="Palatino Linotype" w:hAnsi="Palatino Linotype" w:cs="Book Antiqua"/>
          <w:sz w:val="24"/>
          <w:szCs w:val="24"/>
        </w:rPr>
        <w:t>significantly exceeds the 6/1.5 benchmark set by the Commission;</w:t>
      </w:r>
    </w:p>
    <w:p w:rsidR="00C67A2F" w:rsidRPr="00855776" w:rsidRDefault="00C67A2F" w:rsidP="00C67A2F">
      <w:pPr>
        <w:numPr>
          <w:ilvl w:val="0"/>
          <w:numId w:val="18"/>
        </w:numPr>
        <w:autoSpaceDE w:val="0"/>
        <w:autoSpaceDN w:val="0"/>
        <w:adjustRightInd w:val="0"/>
        <w:spacing w:after="35"/>
        <w:rPr>
          <w:rFonts w:ascii="Palatino Linotype" w:hAnsi="Palatino Linotype" w:cs="Book Antiqua"/>
          <w:sz w:val="24"/>
          <w:szCs w:val="24"/>
        </w:rPr>
      </w:pPr>
      <w:r w:rsidRPr="00855776">
        <w:rPr>
          <w:rFonts w:ascii="Palatino Linotype" w:hAnsi="Palatino Linotype" w:cs="Book Antiqua"/>
          <w:i/>
          <w:sz w:val="24"/>
          <w:szCs w:val="24"/>
        </w:rPr>
        <w:t>Service area</w:t>
      </w:r>
      <w:r w:rsidRPr="00855776">
        <w:rPr>
          <w:rFonts w:ascii="Palatino Linotype" w:hAnsi="Palatino Linotype" w:cs="Book Antiqua"/>
          <w:sz w:val="24"/>
          <w:szCs w:val="24"/>
        </w:rPr>
        <w:t xml:space="preserve"> – is determined to be underserved and covers </w:t>
      </w:r>
      <w:r>
        <w:rPr>
          <w:rFonts w:ascii="Palatino Linotype" w:hAnsi="Palatino Linotype" w:cs="Book Antiqua"/>
          <w:sz w:val="24"/>
          <w:szCs w:val="24"/>
        </w:rPr>
        <w:t>213</w:t>
      </w:r>
      <w:r w:rsidRPr="00855776">
        <w:rPr>
          <w:rFonts w:ascii="Palatino Linotype" w:hAnsi="Palatino Linotype" w:cs="Book Antiqua"/>
          <w:sz w:val="24"/>
          <w:szCs w:val="24"/>
        </w:rPr>
        <w:t xml:space="preserve"> square miles;</w:t>
      </w:r>
    </w:p>
    <w:p w:rsidR="00C67A2F" w:rsidRPr="00855776" w:rsidRDefault="00C67A2F" w:rsidP="00C67A2F">
      <w:pPr>
        <w:numPr>
          <w:ilvl w:val="0"/>
          <w:numId w:val="18"/>
        </w:numPr>
        <w:autoSpaceDE w:val="0"/>
        <w:autoSpaceDN w:val="0"/>
        <w:adjustRightInd w:val="0"/>
        <w:rPr>
          <w:rFonts w:ascii="Palatino Linotype" w:hAnsi="Palatino Linotype"/>
          <w:sz w:val="24"/>
          <w:szCs w:val="24"/>
        </w:rPr>
      </w:pPr>
      <w:r w:rsidRPr="00855776">
        <w:rPr>
          <w:rFonts w:ascii="Palatino Linotype" w:hAnsi="Palatino Linotype" w:cs="Book Antiqua"/>
          <w:i/>
          <w:sz w:val="24"/>
          <w:szCs w:val="24"/>
        </w:rPr>
        <w:t>Matching Funds</w:t>
      </w:r>
      <w:r>
        <w:rPr>
          <w:rFonts w:ascii="Palatino Linotype" w:hAnsi="Palatino Linotype" w:cs="Book Antiqua"/>
          <w:i/>
          <w:sz w:val="24"/>
          <w:szCs w:val="24"/>
        </w:rPr>
        <w:t>(</w:t>
      </w:r>
      <w:r w:rsidRPr="00855776">
        <w:rPr>
          <w:rFonts w:ascii="Palatino Linotype" w:hAnsi="Palatino Linotype" w:cs="Book Antiqua"/>
          <w:i/>
          <w:sz w:val="24"/>
          <w:szCs w:val="24"/>
        </w:rPr>
        <w:t xml:space="preserve">40 </w:t>
      </w:r>
      <w:r>
        <w:rPr>
          <w:rFonts w:ascii="Palatino Linotype" w:hAnsi="Palatino Linotype" w:cs="Book Antiqua"/>
          <w:i/>
          <w:sz w:val="24"/>
          <w:szCs w:val="24"/>
        </w:rPr>
        <w:t>percent</w:t>
      </w:r>
      <w:r w:rsidRPr="00855776">
        <w:rPr>
          <w:rFonts w:ascii="Palatino Linotype" w:hAnsi="Palatino Linotype" w:cs="Book Antiqua"/>
          <w:i/>
          <w:sz w:val="24"/>
          <w:szCs w:val="24"/>
        </w:rPr>
        <w:t xml:space="preserve"> of project cost</w:t>
      </w:r>
      <w:r>
        <w:rPr>
          <w:rFonts w:ascii="Palatino Linotype" w:hAnsi="Palatino Linotype" w:cs="Book Antiqua"/>
          <w:i/>
          <w:sz w:val="24"/>
          <w:szCs w:val="24"/>
        </w:rPr>
        <w:t>)</w:t>
      </w:r>
      <w:r w:rsidRPr="00855776">
        <w:rPr>
          <w:rFonts w:ascii="Palatino Linotype" w:hAnsi="Palatino Linotype" w:cs="Book Antiqua"/>
          <w:sz w:val="24"/>
          <w:szCs w:val="24"/>
        </w:rPr>
        <w:t xml:space="preserve"> – the applicant will use existing capital; the submitted balance sheet, income and cash flow statements show that the applicant is financially viable and has the financial capability to match the funds;</w:t>
      </w:r>
    </w:p>
    <w:p w:rsidR="00C67A2F" w:rsidRPr="00855776" w:rsidRDefault="00C67A2F" w:rsidP="00C67A2F">
      <w:pPr>
        <w:numPr>
          <w:ilvl w:val="0"/>
          <w:numId w:val="18"/>
        </w:numPr>
        <w:autoSpaceDE w:val="0"/>
        <w:autoSpaceDN w:val="0"/>
        <w:adjustRightInd w:val="0"/>
        <w:spacing w:after="37"/>
        <w:rPr>
          <w:rFonts w:ascii="Palatino Linotype" w:hAnsi="Palatino Linotype"/>
          <w:sz w:val="24"/>
          <w:szCs w:val="24"/>
        </w:rPr>
      </w:pPr>
      <w:r w:rsidRPr="00855776">
        <w:rPr>
          <w:rFonts w:ascii="Palatino Linotype" w:hAnsi="Palatino Linotype" w:cs="Book Antiqua"/>
          <w:i/>
          <w:sz w:val="24"/>
          <w:szCs w:val="24"/>
        </w:rPr>
        <w:t xml:space="preserve">Price </w:t>
      </w:r>
      <w:r>
        <w:rPr>
          <w:rFonts w:ascii="Palatino Linotype" w:hAnsi="Palatino Linotype" w:cs="Book Antiqua"/>
          <w:i/>
          <w:sz w:val="24"/>
          <w:szCs w:val="24"/>
        </w:rPr>
        <w:t>C</w:t>
      </w:r>
      <w:r w:rsidRPr="00855776">
        <w:rPr>
          <w:rFonts w:ascii="Palatino Linotype" w:hAnsi="Palatino Linotype" w:cs="Book Antiqua"/>
          <w:i/>
          <w:sz w:val="24"/>
          <w:szCs w:val="24"/>
        </w:rPr>
        <w:t xml:space="preserve">ommitment </w:t>
      </w:r>
      <w:r>
        <w:rPr>
          <w:rFonts w:ascii="Palatino Linotype" w:hAnsi="Palatino Linotype" w:cs="Book Antiqua"/>
          <w:i/>
          <w:sz w:val="24"/>
          <w:szCs w:val="24"/>
        </w:rPr>
        <w:t>P</w:t>
      </w:r>
      <w:r w:rsidRPr="00855776">
        <w:rPr>
          <w:rFonts w:ascii="Palatino Linotype" w:hAnsi="Palatino Linotype" w:cs="Book Antiqua"/>
          <w:i/>
          <w:sz w:val="24"/>
          <w:szCs w:val="24"/>
        </w:rPr>
        <w:t>eriod</w:t>
      </w:r>
      <w:r w:rsidRPr="00855776">
        <w:rPr>
          <w:rFonts w:ascii="Palatino Linotype" w:hAnsi="Palatino Linotype"/>
          <w:sz w:val="24"/>
          <w:szCs w:val="24"/>
        </w:rPr>
        <w:t xml:space="preserve"> – the applicant has committed to a pricing plan of four years</w:t>
      </w:r>
      <w:r>
        <w:rPr>
          <w:rFonts w:ascii="Palatino Linotype" w:hAnsi="Palatino Linotype"/>
          <w:sz w:val="24"/>
          <w:szCs w:val="24"/>
        </w:rPr>
        <w:t xml:space="preserve">, which is </w:t>
      </w:r>
      <w:r w:rsidRPr="00855776">
        <w:rPr>
          <w:rFonts w:ascii="Palatino Linotype" w:hAnsi="Palatino Linotype"/>
          <w:sz w:val="24"/>
          <w:szCs w:val="24"/>
        </w:rPr>
        <w:t>two years more than required;</w:t>
      </w:r>
    </w:p>
    <w:p w:rsidR="00C67A2F" w:rsidRDefault="00C67A2F" w:rsidP="00C67A2F">
      <w:pPr>
        <w:numPr>
          <w:ilvl w:val="0"/>
          <w:numId w:val="18"/>
        </w:numPr>
        <w:autoSpaceDE w:val="0"/>
        <w:autoSpaceDN w:val="0"/>
        <w:adjustRightInd w:val="0"/>
        <w:rPr>
          <w:rFonts w:ascii="Palatino Linotype" w:hAnsi="Palatino Linotype"/>
          <w:sz w:val="24"/>
          <w:szCs w:val="24"/>
        </w:rPr>
      </w:pPr>
      <w:r w:rsidRPr="00855776">
        <w:rPr>
          <w:rFonts w:ascii="Palatino Linotype" w:hAnsi="Palatino Linotype" w:cs="Book Antiqua"/>
          <w:i/>
          <w:sz w:val="24"/>
          <w:szCs w:val="24"/>
        </w:rPr>
        <w:t xml:space="preserve">Deployment </w:t>
      </w:r>
      <w:r>
        <w:rPr>
          <w:rFonts w:ascii="Palatino Linotype" w:hAnsi="Palatino Linotype" w:cs="Book Antiqua"/>
          <w:i/>
          <w:sz w:val="24"/>
          <w:szCs w:val="24"/>
        </w:rPr>
        <w:t>S</w:t>
      </w:r>
      <w:r w:rsidRPr="00855776">
        <w:rPr>
          <w:rFonts w:ascii="Palatino Linotype" w:hAnsi="Palatino Linotype" w:cs="Book Antiqua"/>
          <w:i/>
          <w:sz w:val="24"/>
          <w:szCs w:val="24"/>
        </w:rPr>
        <w:t>chedule</w:t>
      </w:r>
      <w:r w:rsidRPr="00855776">
        <w:rPr>
          <w:rFonts w:ascii="Palatino Linotype" w:hAnsi="Palatino Linotype"/>
          <w:sz w:val="24"/>
          <w:szCs w:val="24"/>
        </w:rPr>
        <w:t xml:space="preserve"> – the applicant has submitted detailed planning documents, including a schedule with clear milestones to indicate</w:t>
      </w:r>
      <w:r>
        <w:rPr>
          <w:rFonts w:ascii="Palatino Linotype" w:hAnsi="Palatino Linotype"/>
          <w:sz w:val="24"/>
          <w:szCs w:val="24"/>
        </w:rPr>
        <w:t xml:space="preserve"> that</w:t>
      </w:r>
      <w:r w:rsidRPr="00855776">
        <w:rPr>
          <w:rFonts w:ascii="Palatino Linotype" w:hAnsi="Palatino Linotype"/>
          <w:sz w:val="24"/>
          <w:szCs w:val="24"/>
        </w:rPr>
        <w:t xml:space="preserve"> it will be completed within </w:t>
      </w:r>
      <w:r>
        <w:rPr>
          <w:rFonts w:ascii="Palatino Linotype" w:hAnsi="Palatino Linotype"/>
          <w:sz w:val="24"/>
          <w:szCs w:val="24"/>
        </w:rPr>
        <w:t>the required 24-month construction timeline;</w:t>
      </w:r>
    </w:p>
    <w:p w:rsidR="00C67A2F" w:rsidRDefault="00C67A2F" w:rsidP="00C67A2F">
      <w:pPr>
        <w:numPr>
          <w:ilvl w:val="0"/>
          <w:numId w:val="18"/>
        </w:numPr>
        <w:autoSpaceDE w:val="0"/>
        <w:autoSpaceDN w:val="0"/>
        <w:adjustRightInd w:val="0"/>
        <w:rPr>
          <w:rFonts w:ascii="Palatino Linotype" w:hAnsi="Palatino Linotype"/>
          <w:sz w:val="24"/>
          <w:szCs w:val="24"/>
        </w:rPr>
      </w:pPr>
      <w:r>
        <w:rPr>
          <w:rFonts w:ascii="Palatino Linotype" w:hAnsi="Palatino Linotype" w:cs="Book Antiqua"/>
          <w:i/>
          <w:sz w:val="24"/>
          <w:szCs w:val="24"/>
        </w:rPr>
        <w:t xml:space="preserve">Number of Households </w:t>
      </w:r>
      <w:r>
        <w:rPr>
          <w:rFonts w:ascii="Palatino Linotype" w:hAnsi="Palatino Linotype"/>
          <w:sz w:val="24"/>
          <w:szCs w:val="24"/>
        </w:rPr>
        <w:t>– This project will potentially reach 3,751 households;</w:t>
      </w:r>
    </w:p>
    <w:p w:rsidR="00C67A2F" w:rsidRDefault="00C67A2F" w:rsidP="00C67A2F">
      <w:pPr>
        <w:numPr>
          <w:ilvl w:val="0"/>
          <w:numId w:val="18"/>
        </w:numPr>
        <w:autoSpaceDE w:val="0"/>
        <w:autoSpaceDN w:val="0"/>
        <w:adjustRightInd w:val="0"/>
        <w:rPr>
          <w:rFonts w:ascii="Palatino Linotype" w:hAnsi="Palatino Linotype"/>
          <w:sz w:val="24"/>
          <w:szCs w:val="24"/>
        </w:rPr>
      </w:pPr>
      <w:r>
        <w:rPr>
          <w:rFonts w:ascii="Palatino Linotype" w:hAnsi="Palatino Linotype" w:cs="Book Antiqua"/>
          <w:i/>
          <w:sz w:val="24"/>
          <w:szCs w:val="24"/>
        </w:rPr>
        <w:t xml:space="preserve">Low Income </w:t>
      </w:r>
      <w:r>
        <w:rPr>
          <w:rFonts w:ascii="Palatino Linotype" w:hAnsi="Palatino Linotype"/>
          <w:sz w:val="24"/>
          <w:szCs w:val="24"/>
        </w:rPr>
        <w:t>– The median household income (</w:t>
      </w:r>
      <w:r w:rsidRPr="00632FDE">
        <w:rPr>
          <w:rFonts w:ascii="Palatino Linotype" w:hAnsi="Palatino Linotype"/>
          <w:sz w:val="24"/>
          <w:szCs w:val="24"/>
        </w:rPr>
        <w:t>$48,038</w:t>
      </w:r>
      <w:r>
        <w:rPr>
          <w:rFonts w:ascii="Palatino Linotype" w:hAnsi="Palatino Linotype"/>
          <w:sz w:val="24"/>
          <w:szCs w:val="24"/>
        </w:rPr>
        <w:t>) is 79 percent of the State’s median value.</w:t>
      </w:r>
    </w:p>
    <w:p w:rsidR="00C67A2F" w:rsidRDefault="00C67A2F" w:rsidP="00C67A2F">
      <w:pPr>
        <w:autoSpaceDE w:val="0"/>
        <w:autoSpaceDN w:val="0"/>
        <w:adjustRightInd w:val="0"/>
        <w:rPr>
          <w:rFonts w:ascii="Palatino Linotype" w:hAnsi="Palatino Linotype"/>
          <w:sz w:val="24"/>
          <w:szCs w:val="24"/>
        </w:rPr>
      </w:pPr>
    </w:p>
    <w:p w:rsidR="00C67A2F" w:rsidRPr="00855776" w:rsidRDefault="00C67A2F" w:rsidP="00C67A2F">
      <w:pPr>
        <w:autoSpaceDE w:val="0"/>
        <w:autoSpaceDN w:val="0"/>
        <w:adjustRightInd w:val="0"/>
        <w:rPr>
          <w:rFonts w:ascii="Palatino Linotype" w:hAnsi="Palatino Linotype"/>
          <w:sz w:val="24"/>
          <w:szCs w:val="24"/>
        </w:rPr>
      </w:pPr>
      <w:r>
        <w:rPr>
          <w:rFonts w:ascii="Palatino Linotype" w:hAnsi="Palatino Linotype"/>
          <w:sz w:val="24"/>
          <w:szCs w:val="24"/>
        </w:rPr>
        <w:t xml:space="preserve">This project is economical and provides a wide benefit.  </w:t>
      </w:r>
      <w:r w:rsidRPr="00D9279C">
        <w:rPr>
          <w:rFonts w:ascii="Palatino Linotype" w:hAnsi="Palatino Linotype" w:cs="Palatino Linotype"/>
          <w:color w:val="000000"/>
          <w:sz w:val="24"/>
          <w:szCs w:val="24"/>
        </w:rPr>
        <w:t xml:space="preserve">The CASF per-household subsidy </w:t>
      </w:r>
      <w:r>
        <w:rPr>
          <w:rFonts w:ascii="Palatino Linotype" w:hAnsi="Palatino Linotype" w:cs="Palatino Linotype"/>
          <w:color w:val="000000"/>
          <w:sz w:val="24"/>
          <w:szCs w:val="24"/>
        </w:rPr>
        <w:t>is</w:t>
      </w:r>
      <w:r w:rsidRPr="00D9279C">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710 </w:t>
      </w:r>
      <w:r w:rsidRPr="00D9279C">
        <w:rPr>
          <w:rFonts w:ascii="Palatino Linotype" w:hAnsi="Palatino Linotype" w:cs="Palatino Linotype"/>
          <w:color w:val="000000"/>
          <w:sz w:val="24"/>
          <w:szCs w:val="24"/>
        </w:rPr>
        <w:t xml:space="preserve">per household (based on </w:t>
      </w:r>
      <w:r>
        <w:rPr>
          <w:rFonts w:ascii="Palatino Linotype" w:hAnsi="Palatino Linotype" w:cs="Palatino Linotype"/>
          <w:color w:val="000000"/>
          <w:sz w:val="24"/>
          <w:szCs w:val="24"/>
        </w:rPr>
        <w:t>3,751</w:t>
      </w:r>
      <w:r w:rsidRPr="00D9279C">
        <w:rPr>
          <w:rFonts w:ascii="Palatino Linotype" w:hAnsi="Palatino Linotype" w:cs="Palatino Linotype"/>
          <w:color w:val="000000"/>
          <w:sz w:val="24"/>
          <w:szCs w:val="24"/>
        </w:rPr>
        <w:t xml:space="preserve"> households that will have access)</w:t>
      </w:r>
      <w:r>
        <w:rPr>
          <w:rFonts w:ascii="Palatino Linotype" w:hAnsi="Palatino Linotype" w:cs="Palatino Linotype"/>
          <w:color w:val="000000"/>
          <w:sz w:val="24"/>
          <w:szCs w:val="24"/>
        </w:rPr>
        <w:t xml:space="preserve">.  </w:t>
      </w:r>
      <w:r>
        <w:rPr>
          <w:rFonts w:ascii="Palatino Linotype" w:hAnsi="Palatino Linotype" w:cs="Palatino Linotype"/>
          <w:sz w:val="24"/>
          <w:szCs w:val="24"/>
        </w:rPr>
        <w:t>This state subsidy, when compared to previous subsidies provided through the CASF program for fiber projects, is</w:t>
      </w:r>
      <w:r w:rsidRPr="003B7E9D">
        <w:rPr>
          <w:rFonts w:ascii="Palatino Linotype" w:hAnsi="Palatino Linotype" w:cs="Palatino Linotype"/>
          <w:sz w:val="24"/>
          <w:szCs w:val="24"/>
        </w:rPr>
        <w:t xml:space="preserve"> </w:t>
      </w:r>
      <w:r>
        <w:rPr>
          <w:rFonts w:ascii="Palatino Linotype" w:hAnsi="Palatino Linotype" w:cs="Palatino Linotype"/>
          <w:sz w:val="24"/>
          <w:szCs w:val="24"/>
        </w:rPr>
        <w:t>low.</w:t>
      </w:r>
      <w:r>
        <w:rPr>
          <w:rStyle w:val="FootnoteReference"/>
          <w:rFonts w:ascii="Palatino Linotype" w:hAnsi="Palatino Linotype" w:cs="Palatino Linotype"/>
          <w:sz w:val="24"/>
          <w:szCs w:val="24"/>
        </w:rPr>
        <w:footnoteReference w:id="16"/>
      </w:r>
      <w:r>
        <w:rPr>
          <w:rFonts w:ascii="Palatino Linotype" w:hAnsi="Palatino Linotype" w:cs="Palatino Linotype"/>
          <w:sz w:val="24"/>
          <w:szCs w:val="24"/>
        </w:rPr>
        <w:t xml:space="preserve">  </w:t>
      </w:r>
      <w:r>
        <w:rPr>
          <w:rFonts w:ascii="Palatino Linotype" w:hAnsi="Palatino Linotype" w:cs="Palatino Linotype"/>
          <w:color w:val="000000"/>
          <w:sz w:val="24"/>
          <w:szCs w:val="24"/>
        </w:rPr>
        <w:t xml:space="preserve">The number of households that Anza proposes to pass </w:t>
      </w:r>
      <w:r>
        <w:rPr>
          <w:rFonts w:ascii="Palatino Linotype" w:hAnsi="Palatino Linotype"/>
          <w:sz w:val="24"/>
          <w:szCs w:val="24"/>
        </w:rPr>
        <w:t xml:space="preserve">would be the fourth largest CASF last-mile project in terms of households served and the area served in terms of square miles would be the highest for all approved CASF last-mile projects.  </w:t>
      </w:r>
    </w:p>
    <w:p w:rsidR="00C67A2F" w:rsidRPr="00D217EA" w:rsidRDefault="00C67A2F" w:rsidP="00C67A2F">
      <w:pPr>
        <w:autoSpaceDE w:val="0"/>
        <w:autoSpaceDN w:val="0"/>
        <w:adjustRightInd w:val="0"/>
        <w:rPr>
          <w:rFonts w:ascii="Palatino Linotype" w:hAnsi="Palatino Linotype"/>
          <w:color w:val="FF0000"/>
          <w:sz w:val="24"/>
          <w:szCs w:val="24"/>
        </w:rPr>
      </w:pPr>
    </w:p>
    <w:p w:rsidR="00C67A2F" w:rsidRPr="006D2637" w:rsidRDefault="00C67A2F" w:rsidP="00C67A2F">
      <w:pPr>
        <w:autoSpaceDE w:val="0"/>
        <w:autoSpaceDN w:val="0"/>
        <w:adjustRightInd w:val="0"/>
        <w:rPr>
          <w:rFonts w:ascii="Palatino Linotype" w:hAnsi="Palatino Linotype"/>
          <w:sz w:val="24"/>
          <w:szCs w:val="24"/>
        </w:rPr>
      </w:pPr>
      <w:r w:rsidRPr="00107966">
        <w:rPr>
          <w:rFonts w:ascii="Palatino Linotype" w:hAnsi="Palatino Linotype"/>
          <w:sz w:val="24"/>
          <w:szCs w:val="24"/>
        </w:rPr>
        <w:t>Based on it</w:t>
      </w:r>
      <w:r>
        <w:rPr>
          <w:rFonts w:ascii="Palatino Linotype" w:hAnsi="Palatino Linotype"/>
          <w:sz w:val="24"/>
          <w:szCs w:val="24"/>
        </w:rPr>
        <w:t>s review, CD determined that AEC</w:t>
      </w:r>
      <w:r w:rsidRPr="00107966">
        <w:rPr>
          <w:rFonts w:ascii="Palatino Linotype" w:hAnsi="Palatino Linotype"/>
          <w:sz w:val="24"/>
          <w:szCs w:val="24"/>
        </w:rPr>
        <w:t xml:space="preserve">’s grant application for the </w:t>
      </w:r>
      <w:r>
        <w:rPr>
          <w:rFonts w:ascii="Palatino Linotype" w:hAnsi="Palatino Linotype"/>
          <w:sz w:val="24"/>
          <w:szCs w:val="24"/>
        </w:rPr>
        <w:t>Connect Anza</w:t>
      </w:r>
      <w:r w:rsidRPr="00107966">
        <w:rPr>
          <w:rFonts w:ascii="Palatino Linotype" w:hAnsi="Palatino Linotype"/>
          <w:sz w:val="24"/>
          <w:szCs w:val="24"/>
        </w:rPr>
        <w:t xml:space="preserve"> Project qualifies for funding as an underserved area and meets the requirements of D.12-02-015. </w:t>
      </w:r>
      <w:r>
        <w:rPr>
          <w:rFonts w:ascii="Palatino Linotype" w:hAnsi="Palatino Linotype"/>
          <w:sz w:val="24"/>
          <w:szCs w:val="24"/>
        </w:rPr>
        <w:t xml:space="preserve"> </w:t>
      </w:r>
      <w:r w:rsidRPr="00107966">
        <w:rPr>
          <w:rFonts w:ascii="Palatino Linotype" w:hAnsi="Palatino Linotype"/>
          <w:sz w:val="24"/>
          <w:szCs w:val="24"/>
        </w:rPr>
        <w:t xml:space="preserve">CD </w:t>
      </w:r>
      <w:r>
        <w:rPr>
          <w:rFonts w:ascii="Palatino Linotype" w:hAnsi="Palatino Linotype"/>
          <w:sz w:val="24"/>
          <w:szCs w:val="24"/>
        </w:rPr>
        <w:t>staff further finds that funding the Connect Anza</w:t>
      </w:r>
      <w:r w:rsidRPr="00107966">
        <w:rPr>
          <w:rFonts w:ascii="Palatino Linotype" w:hAnsi="Palatino Linotype"/>
          <w:sz w:val="24"/>
          <w:szCs w:val="24"/>
        </w:rPr>
        <w:t xml:space="preserve"> Project aligns with CASF’s goal to encourage the deployment of high-quality advanced information and communications technologies to all Californians to promote economic growth, job creation, and substantial social benefits.</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107966" w:rsidRDefault="00C67A2F" w:rsidP="00C67A2F">
      <w:pPr>
        <w:numPr>
          <w:ilvl w:val="0"/>
          <w:numId w:val="10"/>
        </w:numPr>
        <w:rPr>
          <w:rFonts w:ascii="Palatino Linotype" w:hAnsi="Palatino Linotype"/>
          <w:sz w:val="24"/>
          <w:szCs w:val="24"/>
          <w:u w:val="single"/>
        </w:rPr>
      </w:pPr>
      <w:r w:rsidRPr="00107966">
        <w:rPr>
          <w:rFonts w:ascii="Palatino Linotype" w:hAnsi="Palatino Linotype"/>
          <w:sz w:val="24"/>
          <w:szCs w:val="24"/>
          <w:u w:val="single"/>
        </w:rPr>
        <w:t>Safety Considerations</w:t>
      </w:r>
    </w:p>
    <w:p w:rsidR="00C67A2F" w:rsidRPr="00107966" w:rsidRDefault="00C67A2F" w:rsidP="00C67A2F">
      <w:pPr>
        <w:ind w:left="720"/>
        <w:rPr>
          <w:rFonts w:ascii="Palatino Linotype" w:hAnsi="Palatino Linotype"/>
          <w:sz w:val="24"/>
          <w:szCs w:val="24"/>
          <w:u w:val="single"/>
        </w:rPr>
      </w:pPr>
    </w:p>
    <w:p w:rsidR="00C67A2F" w:rsidRPr="00107966" w:rsidRDefault="00C67A2F" w:rsidP="00C67A2F">
      <w:pPr>
        <w:rPr>
          <w:rFonts w:ascii="Palatino Linotype" w:hAnsi="Palatino Linotype"/>
          <w:sz w:val="24"/>
          <w:szCs w:val="24"/>
        </w:rPr>
      </w:pPr>
      <w:r w:rsidRPr="00107966">
        <w:rPr>
          <w:rFonts w:ascii="Palatino Linotype" w:hAnsi="Palatino Linotype"/>
          <w:sz w:val="24"/>
          <w:szCs w:val="24"/>
        </w:rPr>
        <w:t xml:space="preserve">The CASF program encourages the deployment of broadband throughout the State which can enable the public to access </w:t>
      </w:r>
      <w:r>
        <w:rPr>
          <w:rFonts w:ascii="Palatino Linotype" w:hAnsi="Palatino Linotype"/>
          <w:sz w:val="24"/>
          <w:szCs w:val="24"/>
        </w:rPr>
        <w:t>important information in the event of an emergency</w:t>
      </w:r>
      <w:r w:rsidRPr="00107966">
        <w:rPr>
          <w:rFonts w:ascii="Palatino Linotype" w:hAnsi="Palatino Linotype"/>
          <w:sz w:val="24"/>
          <w:szCs w:val="24"/>
        </w:rPr>
        <w:t xml:space="preserve">, access to emergency services, and allow first responders to communicate with each other and collaborate during emergencies.  As the Governor’s Broadband Task Force stated in its 2007 report, ubiquitous broadband will play a key role in enhancing public safety operations and applications in law enforcement, disaster relief, traffic management, and virtually every other aspect of public safety.  </w:t>
      </w:r>
    </w:p>
    <w:p w:rsidR="00C67A2F" w:rsidRDefault="00C67A2F" w:rsidP="00C67A2F">
      <w:pPr>
        <w:rPr>
          <w:rFonts w:ascii="Palatino Linotype" w:hAnsi="Palatino Linotype"/>
          <w:color w:val="FF0000"/>
          <w:sz w:val="24"/>
          <w:szCs w:val="24"/>
        </w:rPr>
      </w:pPr>
    </w:p>
    <w:p w:rsidR="00C67A2F" w:rsidRDefault="00C67A2F" w:rsidP="00C67A2F">
      <w:pPr>
        <w:rPr>
          <w:rFonts w:ascii="Palatino Linotype" w:hAnsi="Palatino Linotype"/>
          <w:sz w:val="24"/>
          <w:szCs w:val="24"/>
        </w:rPr>
      </w:pPr>
      <w:r w:rsidRPr="00A84442">
        <w:rPr>
          <w:rFonts w:ascii="Palatino Linotype" w:hAnsi="Palatino Linotype"/>
          <w:sz w:val="24"/>
          <w:szCs w:val="24"/>
        </w:rPr>
        <w:t>The census</w:t>
      </w:r>
      <w:r>
        <w:rPr>
          <w:rFonts w:ascii="Palatino Linotype" w:hAnsi="Palatino Linotype"/>
          <w:sz w:val="24"/>
          <w:szCs w:val="24"/>
        </w:rPr>
        <w:t>-</w:t>
      </w:r>
      <w:r w:rsidRPr="00A84442">
        <w:rPr>
          <w:rFonts w:ascii="Palatino Linotype" w:hAnsi="Palatino Linotype"/>
          <w:sz w:val="24"/>
          <w:szCs w:val="24"/>
        </w:rPr>
        <w:t>designated communities of Anza and Aguanga and the communities of Lake Riverside Estates, and Reed Valley</w:t>
      </w:r>
      <w:r>
        <w:rPr>
          <w:rFonts w:ascii="Palatino Linotype" w:hAnsi="Palatino Linotype"/>
          <w:sz w:val="24"/>
          <w:szCs w:val="24"/>
        </w:rPr>
        <w:t xml:space="preserve"> have no local medical clinics.  The nearest facilities are located either in Hemet or Murrieta, both of which are 50-plus minutes by car on windy 2-lane roads.  </w:t>
      </w:r>
      <w:r w:rsidRPr="006012FE">
        <w:rPr>
          <w:rFonts w:ascii="Palatino Linotype" w:hAnsi="Palatino Linotype"/>
          <w:sz w:val="24"/>
          <w:szCs w:val="24"/>
        </w:rPr>
        <w:t xml:space="preserve">Telephone and broadband allows access to these facilities and providers and can be a critical factor in health and safety emergencies.  </w:t>
      </w:r>
    </w:p>
    <w:p w:rsidR="00C67A2F" w:rsidRPr="006012FE" w:rsidRDefault="00C67A2F" w:rsidP="00C67A2F">
      <w:pPr>
        <w:rPr>
          <w:rFonts w:ascii="Palatino Linotype" w:hAnsi="Palatino Linotype"/>
          <w:sz w:val="24"/>
          <w:szCs w:val="24"/>
        </w:rPr>
      </w:pPr>
      <w:r w:rsidRPr="006012FE">
        <w:rPr>
          <w:rFonts w:ascii="Palatino Linotype" w:hAnsi="Palatino Linotype"/>
          <w:sz w:val="24"/>
          <w:szCs w:val="24"/>
        </w:rPr>
        <w:t>Additionally, voice service provided as a part of this project would meet all safety standards, including battery backup, E911 data and access to local PSAPs.</w:t>
      </w:r>
    </w:p>
    <w:p w:rsidR="00C67A2F" w:rsidRPr="00D217EA" w:rsidRDefault="00C67A2F" w:rsidP="00C67A2F">
      <w:pPr>
        <w:rPr>
          <w:rFonts w:ascii="Palatino Linotype" w:hAnsi="Palatino Linotype"/>
          <w:color w:val="FF0000"/>
          <w:sz w:val="24"/>
          <w:szCs w:val="24"/>
        </w:rPr>
      </w:pPr>
    </w:p>
    <w:p w:rsidR="00C67A2F" w:rsidRPr="0020641D" w:rsidRDefault="00C67A2F" w:rsidP="00C67A2F">
      <w:pPr>
        <w:pStyle w:val="Default"/>
        <w:numPr>
          <w:ilvl w:val="0"/>
          <w:numId w:val="12"/>
        </w:numPr>
        <w:rPr>
          <w:rFonts w:ascii="Palatino Linotype" w:hAnsi="Palatino Linotype"/>
          <w:color w:val="auto"/>
        </w:rPr>
      </w:pPr>
      <w:r w:rsidRPr="0020641D">
        <w:rPr>
          <w:rFonts w:ascii="Palatino Linotype" w:hAnsi="Palatino Linotype" w:cs="Palatino Linotype"/>
          <w:b/>
          <w:bCs/>
          <w:color w:val="auto"/>
        </w:rPr>
        <w:t>Compliance Requirements</w:t>
      </w:r>
    </w:p>
    <w:p w:rsidR="00C67A2F" w:rsidRPr="0020641D" w:rsidRDefault="00C67A2F" w:rsidP="00C67A2F">
      <w:pPr>
        <w:pStyle w:val="Default"/>
        <w:rPr>
          <w:rFonts w:ascii="Palatino Linotype" w:hAnsi="Palatino Linotype"/>
          <w:color w:val="auto"/>
        </w:rPr>
      </w:pPr>
    </w:p>
    <w:p w:rsidR="00C67A2F" w:rsidRPr="0020641D" w:rsidRDefault="00C67A2F" w:rsidP="00C67A2F">
      <w:pPr>
        <w:pStyle w:val="Default"/>
        <w:rPr>
          <w:rFonts w:ascii="Palatino Linotype" w:hAnsi="Palatino Linotype" w:cs="Palatino Linotype"/>
          <w:color w:val="auto"/>
        </w:rPr>
      </w:pPr>
      <w:r>
        <w:rPr>
          <w:rFonts w:ascii="Palatino Linotype" w:hAnsi="Palatino Linotype" w:cs="Palatino Linotype"/>
          <w:color w:val="auto"/>
        </w:rPr>
        <w:t>AEC</w:t>
      </w:r>
      <w:r w:rsidRPr="0020641D">
        <w:rPr>
          <w:rFonts w:ascii="Palatino Linotype" w:hAnsi="Palatino Linotype" w:cs="Palatino Linotype"/>
          <w:color w:val="auto"/>
        </w:rPr>
        <w:t xml:space="preserve"> is required to comply with all the guidelines, requirements, and conditions associated with the grant of CASF funds as specified in D.12-02-015.</w:t>
      </w:r>
      <w:r>
        <w:rPr>
          <w:rFonts w:ascii="Palatino Linotype" w:hAnsi="Palatino Linotype" w:cs="Palatino Linotype"/>
          <w:color w:val="auto"/>
        </w:rPr>
        <w:t xml:space="preserve"> </w:t>
      </w:r>
      <w:r w:rsidRPr="0020641D">
        <w:rPr>
          <w:rFonts w:ascii="Palatino Linotype" w:hAnsi="Palatino Linotype" w:cs="Palatino Linotype"/>
          <w:color w:val="auto"/>
        </w:rPr>
        <w:t xml:space="preserve"> Such compliance includes, but is not limited to: </w:t>
      </w:r>
    </w:p>
    <w:p w:rsidR="00C67A2F" w:rsidRPr="00D217EA" w:rsidRDefault="00C67A2F" w:rsidP="00C67A2F">
      <w:pPr>
        <w:rPr>
          <w:color w:val="FF0000"/>
        </w:rPr>
      </w:pPr>
    </w:p>
    <w:p w:rsidR="00C67A2F" w:rsidRPr="0020641D" w:rsidRDefault="00C67A2F" w:rsidP="00C67A2F">
      <w:pPr>
        <w:pStyle w:val="Default"/>
        <w:numPr>
          <w:ilvl w:val="0"/>
          <w:numId w:val="19"/>
        </w:numPr>
        <w:adjustRightInd/>
        <w:rPr>
          <w:rFonts w:ascii="Palatino Linotype" w:hAnsi="Palatino Linotype"/>
          <w:color w:val="auto"/>
        </w:rPr>
      </w:pPr>
      <w:r w:rsidRPr="0020641D">
        <w:rPr>
          <w:rFonts w:ascii="Palatino Linotype" w:hAnsi="Palatino Linotype"/>
          <w:color w:val="auto"/>
          <w:u w:val="single"/>
        </w:rPr>
        <w:t>California Environmental Quality Act (CEQA)</w:t>
      </w:r>
      <w:r w:rsidRPr="0020641D">
        <w:rPr>
          <w:rFonts w:ascii="Palatino Linotype" w:hAnsi="Palatino Linotype"/>
          <w:color w:val="auto"/>
        </w:rPr>
        <w:t xml:space="preserve"> </w:t>
      </w:r>
    </w:p>
    <w:p w:rsidR="00C67A2F" w:rsidRPr="0020641D" w:rsidRDefault="00C67A2F" w:rsidP="00C67A2F">
      <w:pPr>
        <w:pStyle w:val="Default"/>
        <w:rPr>
          <w:rFonts w:ascii="Palatino Linotype" w:hAnsi="Palatino Linotype"/>
          <w:color w:val="auto"/>
        </w:rPr>
      </w:pPr>
    </w:p>
    <w:p w:rsidR="00C67A2F" w:rsidRPr="0020641D" w:rsidRDefault="00C67A2F" w:rsidP="00C67A2F">
      <w:pPr>
        <w:pStyle w:val="Default"/>
        <w:rPr>
          <w:rFonts w:ascii="Palatino Linotype" w:hAnsi="Palatino Linotype"/>
          <w:color w:val="auto"/>
        </w:rPr>
      </w:pPr>
      <w:r w:rsidRPr="0020641D">
        <w:rPr>
          <w:rFonts w:ascii="Palatino Linotype" w:hAnsi="Palatino Linotype"/>
          <w:color w:val="auto"/>
        </w:rPr>
        <w:t>All CASF grants are subject to CEQA requirements.  The Commission must complete environmental review before funding construction projects, unless the projects are statutorily or categorically exempt pursuant to the CEQA Guidelines.</w:t>
      </w:r>
    </w:p>
    <w:p w:rsidR="00C67A2F" w:rsidRPr="0020641D" w:rsidRDefault="00C67A2F" w:rsidP="00C67A2F">
      <w:pPr>
        <w:pStyle w:val="Default"/>
        <w:rPr>
          <w:rFonts w:ascii="Palatino Linotype" w:hAnsi="Palatino Linotype"/>
          <w:color w:val="auto"/>
        </w:rPr>
      </w:pPr>
    </w:p>
    <w:p w:rsidR="00C67A2F" w:rsidRDefault="00C67A2F" w:rsidP="00C67A2F">
      <w:pPr>
        <w:pStyle w:val="Default"/>
        <w:rPr>
          <w:rFonts w:ascii="Palatino Linotype" w:hAnsi="Palatino Linotype"/>
          <w:color w:val="auto"/>
        </w:rPr>
      </w:pPr>
      <w:r>
        <w:rPr>
          <w:rFonts w:ascii="Palatino Linotype" w:hAnsi="Palatino Linotype"/>
          <w:color w:val="auto"/>
        </w:rPr>
        <w:t>AEC</w:t>
      </w:r>
      <w:r w:rsidRPr="0020641D">
        <w:rPr>
          <w:rFonts w:ascii="Palatino Linotype" w:hAnsi="Palatino Linotype"/>
          <w:color w:val="auto"/>
        </w:rPr>
        <w:t xml:space="preserve"> has provided the Commission with their plan to use existing infrastructure for the installation of a fiber-to-the-premises (FTTP) system in </w:t>
      </w:r>
      <w:r>
        <w:rPr>
          <w:rFonts w:ascii="Palatino Linotype" w:hAnsi="Palatino Linotype"/>
          <w:color w:val="auto"/>
        </w:rPr>
        <w:t>their service area</w:t>
      </w:r>
      <w:r w:rsidRPr="0020641D">
        <w:rPr>
          <w:rFonts w:ascii="Palatino Linotype" w:hAnsi="Palatino Linotype"/>
          <w:color w:val="auto"/>
        </w:rPr>
        <w:t xml:space="preserve">.  Existing </w:t>
      </w:r>
      <w:r>
        <w:rPr>
          <w:rFonts w:ascii="Palatino Linotype" w:hAnsi="Palatino Linotype"/>
          <w:color w:val="auto"/>
        </w:rPr>
        <w:t>electrical infrastructure</w:t>
      </w:r>
      <w:r w:rsidRPr="0020641D">
        <w:rPr>
          <w:rFonts w:ascii="Palatino Linotype" w:hAnsi="Palatino Linotype"/>
          <w:color w:val="auto"/>
        </w:rPr>
        <w:t xml:space="preserve"> (</w:t>
      </w:r>
      <w:r>
        <w:rPr>
          <w:rFonts w:ascii="Palatino Linotype" w:hAnsi="Palatino Linotype"/>
          <w:color w:val="auto"/>
        </w:rPr>
        <w:t>with over 700 miles of line and associated poles</w:t>
      </w:r>
      <w:r w:rsidRPr="0020641D">
        <w:rPr>
          <w:rFonts w:ascii="Palatino Linotype" w:hAnsi="Palatino Linotype"/>
          <w:color w:val="auto"/>
        </w:rPr>
        <w:t xml:space="preserve">) </w:t>
      </w:r>
      <w:r>
        <w:rPr>
          <w:rFonts w:ascii="Palatino Linotype" w:hAnsi="Palatino Linotype"/>
          <w:color w:val="auto"/>
        </w:rPr>
        <w:t xml:space="preserve">provides power to area residents and businesses.  AEC has been providing power to the area since 1955 and owns most of the existing towers, buildings, conduits, ducts, rights-of-way, trenches and other facilities (some poles are owned by Verizon who currently provides telephone service for the area).  AEC will construct its fiber backbone using these existing facilities.  AEC will likewise construct last mile segments in or on existing facilities, including replacement utility poles (when necessary to meet applicable engineering and safety standards).  AEC anticipates that the only underground construction that may be required is for short utility extensions.  In these limited instances, AEC may engage in relatively minor ground-disturbing activities primarily in existing, well-used rights-of-ways and utility easements in its electric service territory.  </w:t>
      </w:r>
    </w:p>
    <w:p w:rsidR="00C67A2F" w:rsidRPr="00453404" w:rsidRDefault="00C67A2F" w:rsidP="00C67A2F">
      <w:pPr>
        <w:pStyle w:val="Default"/>
        <w:rPr>
          <w:rFonts w:ascii="Palatino Linotype" w:hAnsi="Palatino Linotype"/>
          <w:color w:val="auto"/>
        </w:rPr>
      </w:pPr>
    </w:p>
    <w:p w:rsidR="00C67A2F" w:rsidRDefault="00C67A2F" w:rsidP="00C67A2F">
      <w:pPr>
        <w:rPr>
          <w:rFonts w:ascii="Palatino Linotype" w:hAnsi="Palatino Linotype"/>
          <w:sz w:val="24"/>
          <w:szCs w:val="24"/>
        </w:rPr>
      </w:pPr>
      <w:r w:rsidRPr="00B15600">
        <w:rPr>
          <w:rFonts w:ascii="Palatino Linotype" w:hAnsi="Palatino Linotype"/>
          <w:sz w:val="24"/>
          <w:szCs w:val="24"/>
        </w:rPr>
        <w:t>Based on the above information the project qualifies for the following categorical exemptions from CEQA:  This project meets the criteria of the CEQA categorical exemption for existing facilities (CEQA Guidelines § 15301) and CEQA Guidelines Section § 15303 – New Construction or Conversion of Small Structures, involving construction, installation, and/or conversion of limited numbers of new and/or existing facilities/structures.</w:t>
      </w:r>
    </w:p>
    <w:p w:rsidR="00DB328C" w:rsidRDefault="00DB328C" w:rsidP="00C67A2F">
      <w:pPr>
        <w:rPr>
          <w:rFonts w:ascii="Palatino Linotype" w:hAnsi="Palatino Linotype"/>
          <w:sz w:val="24"/>
          <w:szCs w:val="24"/>
        </w:rPr>
      </w:pPr>
    </w:p>
    <w:p w:rsidR="00DB328C" w:rsidRDefault="00DB328C" w:rsidP="00C67A2F">
      <w:pPr>
        <w:rPr>
          <w:rFonts w:ascii="Palatino Linotype" w:hAnsi="Palatino Linotype"/>
          <w:sz w:val="24"/>
          <w:szCs w:val="24"/>
        </w:rPr>
      </w:pPr>
    </w:p>
    <w:p w:rsidR="00DB328C" w:rsidRPr="00B15600" w:rsidRDefault="00DB328C" w:rsidP="00C67A2F">
      <w:pPr>
        <w:rPr>
          <w:rFonts w:ascii="Palatino Linotype" w:hAnsi="Palatino Linotype"/>
          <w:sz w:val="24"/>
          <w:szCs w:val="24"/>
        </w:rPr>
      </w:pPr>
    </w:p>
    <w:p w:rsidR="00C67A2F" w:rsidRPr="00D217EA" w:rsidRDefault="00C67A2F" w:rsidP="00C67A2F">
      <w:pPr>
        <w:autoSpaceDE w:val="0"/>
        <w:autoSpaceDN w:val="0"/>
        <w:adjustRightInd w:val="0"/>
        <w:rPr>
          <w:rFonts w:ascii="Palatino Linotype" w:hAnsi="Palatino Linotype" w:cs="Palatino Linotype"/>
          <w:color w:val="FF0000"/>
        </w:rPr>
      </w:pPr>
    </w:p>
    <w:p w:rsidR="00C67A2F" w:rsidRPr="00C924A7" w:rsidRDefault="00C67A2F" w:rsidP="00C67A2F">
      <w:pPr>
        <w:pStyle w:val="Default"/>
        <w:numPr>
          <w:ilvl w:val="0"/>
          <w:numId w:val="11"/>
        </w:numPr>
        <w:rPr>
          <w:rFonts w:ascii="Palatino Linotype" w:hAnsi="Palatino Linotype"/>
          <w:color w:val="auto"/>
        </w:rPr>
      </w:pPr>
      <w:r w:rsidRPr="00C924A7">
        <w:rPr>
          <w:rFonts w:ascii="Palatino Linotype" w:hAnsi="Palatino Linotype" w:cs="Palatino Linotype"/>
          <w:color w:val="auto"/>
          <w:u w:val="single"/>
        </w:rPr>
        <w:t>Deployment Schedule</w:t>
      </w:r>
      <w:r w:rsidRPr="00C924A7">
        <w:rPr>
          <w:rFonts w:ascii="Palatino Linotype" w:hAnsi="Palatino Linotype" w:cs="Palatino Linotype"/>
          <w:color w:val="auto"/>
        </w:rPr>
        <w:t xml:space="preserve"> </w:t>
      </w:r>
    </w:p>
    <w:p w:rsidR="00C67A2F" w:rsidRPr="00C924A7" w:rsidRDefault="00C67A2F" w:rsidP="00C67A2F">
      <w:pPr>
        <w:pStyle w:val="Default"/>
        <w:rPr>
          <w:rFonts w:ascii="Palatino Linotype" w:hAnsi="Palatino Linotype"/>
          <w:color w:val="auto"/>
        </w:rPr>
      </w:pPr>
    </w:p>
    <w:p w:rsidR="00C67A2F" w:rsidRPr="002A0816" w:rsidRDefault="00C67A2F" w:rsidP="00C67A2F">
      <w:pPr>
        <w:pStyle w:val="Default"/>
        <w:rPr>
          <w:rFonts w:ascii="Palatino Linotype" w:hAnsi="Palatino Linotype" w:cs="Palatino Linotype"/>
          <w:color w:val="auto"/>
        </w:rPr>
      </w:pPr>
      <w:r w:rsidRPr="00C924A7">
        <w:rPr>
          <w:rFonts w:ascii="Palatino Linotype" w:hAnsi="Palatino Linotype" w:cs="Palatino Linotype"/>
          <w:color w:val="auto"/>
        </w:rPr>
        <w:t xml:space="preserve">The Commission expects </w:t>
      </w:r>
      <w:r>
        <w:rPr>
          <w:rFonts w:ascii="Palatino Linotype" w:hAnsi="Palatino Linotype" w:cs="Palatino Linotype"/>
          <w:color w:val="auto"/>
        </w:rPr>
        <w:t>AEC</w:t>
      </w:r>
      <w:r w:rsidRPr="00C924A7">
        <w:rPr>
          <w:rFonts w:ascii="Palatino Linotype" w:hAnsi="Palatino Linotype" w:cs="Palatino Linotype"/>
          <w:color w:val="auto"/>
        </w:rPr>
        <w:t xml:space="preserve"> t</w:t>
      </w:r>
      <w:r>
        <w:rPr>
          <w:rFonts w:ascii="Palatino Linotype" w:hAnsi="Palatino Linotype" w:cs="Palatino Linotype"/>
          <w:color w:val="auto"/>
        </w:rPr>
        <w:t>o complete the project within 24</w:t>
      </w:r>
      <w:r w:rsidRPr="00C924A7">
        <w:rPr>
          <w:rFonts w:ascii="Palatino Linotype" w:hAnsi="Palatino Linotype" w:cs="Palatino Linotype"/>
          <w:color w:val="auto"/>
        </w:rPr>
        <w:t xml:space="preserve"> months from start date (as determined by the procedure below).</w:t>
      </w:r>
      <w:r>
        <w:rPr>
          <w:rFonts w:ascii="Palatino Linotype" w:hAnsi="Palatino Linotype" w:cs="Palatino Linotype"/>
          <w:color w:val="auto"/>
        </w:rPr>
        <w:t xml:space="preserve"> </w:t>
      </w:r>
      <w:r w:rsidRPr="00C924A7">
        <w:rPr>
          <w:rFonts w:ascii="Palatino Linotype" w:hAnsi="Palatino Linotype" w:cs="Palatino Linotype"/>
          <w:color w:val="auto"/>
        </w:rPr>
        <w:t xml:space="preserve"> If the applicant is unable to complete the proposed project</w:t>
      </w:r>
      <w:r>
        <w:rPr>
          <w:rFonts w:ascii="Palatino Linotype" w:hAnsi="Palatino Linotype" w:cs="Palatino Linotype"/>
          <w:color w:val="auto"/>
        </w:rPr>
        <w:t xml:space="preserve"> within the 24 </w:t>
      </w:r>
      <w:r w:rsidRPr="00C924A7">
        <w:rPr>
          <w:rFonts w:ascii="Palatino Linotype" w:hAnsi="Palatino Linotype" w:cs="Palatino Linotype"/>
          <w:color w:val="auto"/>
        </w:rPr>
        <w:t>month timeframe requirement established by the Commission, it must notify the</w:t>
      </w:r>
      <w:r>
        <w:rPr>
          <w:rFonts w:ascii="Palatino Linotype" w:hAnsi="Palatino Linotype" w:cs="Palatino Linotype"/>
          <w:color w:val="auto"/>
        </w:rPr>
        <w:t xml:space="preserve"> Director of CD</w:t>
      </w:r>
      <w:r w:rsidRPr="00C924A7">
        <w:rPr>
          <w:rFonts w:ascii="Palatino Linotype" w:hAnsi="Palatino Linotype" w:cs="Palatino Linotype"/>
          <w:color w:val="auto"/>
        </w:rPr>
        <w:t xml:space="preserve"> as soon as </w:t>
      </w:r>
      <w:r>
        <w:rPr>
          <w:rFonts w:ascii="Palatino Linotype" w:hAnsi="Palatino Linotype" w:cs="Palatino Linotype"/>
          <w:color w:val="auto"/>
        </w:rPr>
        <w:t>AEC</w:t>
      </w:r>
      <w:r w:rsidRPr="00C924A7">
        <w:rPr>
          <w:rFonts w:ascii="Palatino Linotype" w:hAnsi="Palatino Linotype" w:cs="Palatino Linotype"/>
          <w:color w:val="auto"/>
        </w:rPr>
        <w:t xml:space="preserve"> becomes aware of this p</w:t>
      </w:r>
      <w:r>
        <w:rPr>
          <w:rFonts w:ascii="Palatino Linotype" w:hAnsi="Palatino Linotype" w:cs="Palatino Linotype"/>
          <w:color w:val="auto"/>
        </w:rPr>
        <w:t>ossibility</w:t>
      </w:r>
      <w:r w:rsidRPr="00C924A7">
        <w:rPr>
          <w:rFonts w:ascii="Palatino Linotype" w:hAnsi="Palatino Linotype" w:cs="Palatino Linotype"/>
          <w:color w:val="auto"/>
        </w:rPr>
        <w:t xml:space="preserve">. </w:t>
      </w:r>
      <w:r>
        <w:rPr>
          <w:rFonts w:ascii="Palatino Linotype" w:hAnsi="Palatino Linotype" w:cs="Palatino Linotype"/>
          <w:color w:val="auto"/>
        </w:rPr>
        <w:t xml:space="preserve"> If such notice is not provided, t</w:t>
      </w:r>
      <w:r w:rsidRPr="00C924A7">
        <w:rPr>
          <w:rFonts w:ascii="Palatino Linotype" w:hAnsi="Palatino Linotype" w:cs="Palatino Linotype"/>
          <w:color w:val="auto"/>
        </w:rPr>
        <w:t xml:space="preserve">he Commission may reduce payment for failure to </w:t>
      </w:r>
      <w:r>
        <w:rPr>
          <w:rFonts w:ascii="Palatino Linotype" w:hAnsi="Palatino Linotype" w:cs="Palatino Linotype"/>
          <w:color w:val="auto"/>
        </w:rPr>
        <w:t>satisfy the requirement by timely notifying</w:t>
      </w:r>
      <w:r w:rsidRPr="00C924A7">
        <w:rPr>
          <w:rFonts w:ascii="Palatino Linotype" w:hAnsi="Palatino Linotype" w:cs="Palatino Linotype"/>
          <w:color w:val="auto"/>
        </w:rPr>
        <w:t xml:space="preserve"> CD’s Director.</w:t>
      </w:r>
    </w:p>
    <w:p w:rsidR="00C67A2F" w:rsidRPr="00D217EA" w:rsidRDefault="00C67A2F" w:rsidP="00C67A2F">
      <w:pPr>
        <w:pStyle w:val="Default"/>
        <w:rPr>
          <w:rFonts w:ascii="Palatino Linotype" w:hAnsi="Palatino Linotype" w:cs="Palatino Linotype"/>
          <w:color w:val="FF0000"/>
        </w:rPr>
      </w:pPr>
    </w:p>
    <w:p w:rsidR="00C67A2F" w:rsidRPr="00740196" w:rsidRDefault="00C67A2F" w:rsidP="00C67A2F">
      <w:pPr>
        <w:pStyle w:val="Default"/>
        <w:numPr>
          <w:ilvl w:val="0"/>
          <w:numId w:val="11"/>
        </w:numPr>
        <w:rPr>
          <w:rFonts w:ascii="Palatino Linotype" w:hAnsi="Palatino Linotype"/>
          <w:color w:val="auto"/>
        </w:rPr>
      </w:pPr>
      <w:r w:rsidRPr="00740196">
        <w:rPr>
          <w:rFonts w:ascii="Palatino Linotype" w:hAnsi="Palatino Linotype" w:cs="Palatino Linotype"/>
          <w:color w:val="auto"/>
          <w:u w:val="single"/>
        </w:rPr>
        <w:t>Execution and Performance</w:t>
      </w:r>
      <w:r w:rsidRPr="00740196">
        <w:rPr>
          <w:rFonts w:ascii="Palatino Linotype" w:hAnsi="Palatino Linotype" w:cs="Palatino Linotype"/>
          <w:color w:val="auto"/>
        </w:rPr>
        <w:t xml:space="preserve"> </w:t>
      </w:r>
    </w:p>
    <w:p w:rsidR="00C67A2F" w:rsidRPr="00740196" w:rsidRDefault="00C67A2F" w:rsidP="00C67A2F">
      <w:pPr>
        <w:pStyle w:val="Default"/>
        <w:rPr>
          <w:rFonts w:ascii="Palatino Linotype" w:hAnsi="Palatino Linotype"/>
          <w:color w:val="auto"/>
        </w:rPr>
      </w:pPr>
    </w:p>
    <w:p w:rsidR="00C67A2F" w:rsidRPr="00740196" w:rsidRDefault="00C67A2F" w:rsidP="00C67A2F">
      <w:pPr>
        <w:pStyle w:val="Default"/>
        <w:rPr>
          <w:rFonts w:ascii="Palatino Linotype" w:hAnsi="Palatino Linotype" w:cs="Palatino Linotype"/>
          <w:color w:val="auto"/>
        </w:rPr>
      </w:pPr>
      <w:r w:rsidRPr="00740196">
        <w:rPr>
          <w:rFonts w:ascii="Palatino Linotype" w:hAnsi="Palatino Linotype" w:cs="Palatino Linotype"/>
          <w:color w:val="auto"/>
        </w:rPr>
        <w:t xml:space="preserve">CD and </w:t>
      </w:r>
      <w:r>
        <w:rPr>
          <w:rFonts w:ascii="Palatino Linotype" w:hAnsi="Palatino Linotype" w:cs="Palatino Linotype"/>
          <w:color w:val="auto"/>
        </w:rPr>
        <w:t>AEC</w:t>
      </w:r>
      <w:r w:rsidRPr="00740196">
        <w:rPr>
          <w:rFonts w:ascii="Palatino Linotype" w:hAnsi="Palatino Linotype" w:cs="Palatino Linotype"/>
          <w:color w:val="auto"/>
        </w:rPr>
        <w:t xml:space="preserve"> shall determine a project start date after the CASF grant recipient has obtained all approvals. </w:t>
      </w:r>
      <w:r>
        <w:rPr>
          <w:rFonts w:ascii="Palatino Linotype" w:hAnsi="Palatino Linotype" w:cs="Palatino Linotype"/>
          <w:color w:val="auto"/>
        </w:rPr>
        <w:t xml:space="preserve"> </w:t>
      </w:r>
      <w:r w:rsidRPr="00740196">
        <w:rPr>
          <w:rFonts w:ascii="Palatino Linotype" w:hAnsi="Palatino Linotype" w:cs="Palatino Linotype"/>
          <w:color w:val="auto"/>
        </w:rPr>
        <w:t xml:space="preserve">Should </w:t>
      </w:r>
      <w:r>
        <w:rPr>
          <w:rFonts w:ascii="Palatino Linotype" w:hAnsi="Palatino Linotype" w:cs="Palatino Linotype"/>
          <w:color w:val="auto"/>
        </w:rPr>
        <w:t>AEC</w:t>
      </w:r>
      <w:r w:rsidRPr="00740196">
        <w:rPr>
          <w:rFonts w:ascii="Palatino Linotype" w:hAnsi="Palatino Linotype" w:cs="Palatino Linotype"/>
          <w:color w:val="auto"/>
        </w:rPr>
        <w:t xml:space="preserve"> or</w:t>
      </w:r>
      <w:r>
        <w:rPr>
          <w:rFonts w:ascii="Palatino Linotype" w:hAnsi="Palatino Linotype" w:cs="Palatino Linotype"/>
          <w:color w:val="auto"/>
        </w:rPr>
        <w:t xml:space="preserve"> any</w:t>
      </w:r>
      <w:r w:rsidRPr="00740196">
        <w:rPr>
          <w:rFonts w:ascii="Palatino Linotype" w:hAnsi="Palatino Linotype" w:cs="Palatino Linotype"/>
          <w:color w:val="auto"/>
        </w:rPr>
        <w:t xml:space="preserve"> Contractor </w:t>
      </w:r>
      <w:r>
        <w:rPr>
          <w:rFonts w:ascii="Palatino Linotype" w:hAnsi="Palatino Linotype" w:cs="Palatino Linotype"/>
          <w:color w:val="auto"/>
        </w:rPr>
        <w:t xml:space="preserve">it retains </w:t>
      </w:r>
      <w:r w:rsidRPr="00740196">
        <w:rPr>
          <w:rFonts w:ascii="Palatino Linotype" w:hAnsi="Palatino Linotype" w:cs="Palatino Linotype"/>
          <w:color w:val="auto"/>
        </w:rPr>
        <w:t xml:space="preserve">fail to commence work </w:t>
      </w:r>
      <w:r>
        <w:rPr>
          <w:rFonts w:ascii="Palatino Linotype" w:hAnsi="Palatino Linotype" w:cs="Palatino Linotype"/>
          <w:color w:val="auto"/>
        </w:rPr>
        <w:t>by the designated</w:t>
      </w:r>
      <w:r w:rsidRPr="00740196">
        <w:rPr>
          <w:rFonts w:ascii="Palatino Linotype" w:hAnsi="Palatino Linotype" w:cs="Palatino Linotype"/>
          <w:color w:val="auto"/>
        </w:rPr>
        <w:t xml:space="preserve"> </w:t>
      </w:r>
      <w:r>
        <w:rPr>
          <w:rFonts w:ascii="Palatino Linotype" w:hAnsi="Palatino Linotype" w:cs="Palatino Linotype"/>
          <w:color w:val="auto"/>
        </w:rPr>
        <w:t>date</w:t>
      </w:r>
      <w:r w:rsidRPr="00740196">
        <w:rPr>
          <w:rFonts w:ascii="Palatino Linotype" w:hAnsi="Palatino Linotype" w:cs="Palatino Linotype"/>
          <w:color w:val="auto"/>
        </w:rPr>
        <w:t xml:space="preserve">, upon five days written notice to </w:t>
      </w:r>
      <w:r>
        <w:rPr>
          <w:rFonts w:ascii="Palatino Linotype" w:hAnsi="Palatino Linotype" w:cs="Palatino Linotype"/>
          <w:color w:val="auto"/>
        </w:rPr>
        <w:t>AEC</w:t>
      </w:r>
      <w:r w:rsidRPr="00740196">
        <w:rPr>
          <w:rFonts w:ascii="Palatino Linotype" w:hAnsi="Palatino Linotype" w:cs="Palatino Linotype"/>
          <w:color w:val="auto"/>
        </w:rPr>
        <w:t>,</w:t>
      </w:r>
      <w:r>
        <w:rPr>
          <w:rFonts w:ascii="Palatino Linotype" w:hAnsi="Palatino Linotype" w:cs="Palatino Linotype"/>
          <w:color w:val="auto"/>
        </w:rPr>
        <w:t xml:space="preserve"> the Commission may</w:t>
      </w:r>
      <w:r w:rsidRPr="00740196">
        <w:rPr>
          <w:rFonts w:ascii="Palatino Linotype" w:hAnsi="Palatino Linotype" w:cs="Palatino Linotype"/>
          <w:color w:val="auto"/>
        </w:rPr>
        <w:t xml:space="preserve"> terminate the </w:t>
      </w:r>
      <w:r>
        <w:rPr>
          <w:rFonts w:ascii="Palatino Linotype" w:hAnsi="Palatino Linotype" w:cs="Palatino Linotype"/>
          <w:color w:val="auto"/>
        </w:rPr>
        <w:t>grant</w:t>
      </w:r>
      <w:r w:rsidRPr="00740196">
        <w:rPr>
          <w:rFonts w:ascii="Palatino Linotype" w:hAnsi="Palatino Linotype" w:cs="Palatino Linotype"/>
          <w:color w:val="auto"/>
        </w:rPr>
        <w:t xml:space="preserve">. </w:t>
      </w:r>
      <w:r>
        <w:rPr>
          <w:rFonts w:ascii="Palatino Linotype" w:hAnsi="Palatino Linotype" w:cs="Palatino Linotype"/>
          <w:color w:val="auto"/>
        </w:rPr>
        <w:t xml:space="preserve"> </w:t>
      </w:r>
      <w:r w:rsidRPr="00740196">
        <w:rPr>
          <w:rFonts w:ascii="Palatino Linotype" w:hAnsi="Palatino Linotype" w:cs="Palatino Linotype"/>
          <w:color w:val="auto"/>
        </w:rPr>
        <w:t xml:space="preserve">In the event that </w:t>
      </w:r>
      <w:r>
        <w:rPr>
          <w:rFonts w:ascii="Palatino Linotype" w:hAnsi="Palatino Linotype" w:cs="Palatino Linotype"/>
          <w:color w:val="auto"/>
        </w:rPr>
        <w:t>AEC</w:t>
      </w:r>
      <w:r w:rsidRPr="00740196">
        <w:rPr>
          <w:rFonts w:ascii="Palatino Linotype" w:hAnsi="Palatino Linotype" w:cs="Palatino Linotype"/>
          <w:color w:val="auto"/>
        </w:rPr>
        <w:t xml:space="preserve"> fails to complete the project in accordance with the terms of </w:t>
      </w:r>
      <w:r>
        <w:rPr>
          <w:rFonts w:ascii="Palatino Linotype" w:hAnsi="Palatino Linotype" w:cs="Palatino Linotype"/>
          <w:color w:val="auto"/>
        </w:rPr>
        <w:t xml:space="preserve">CPUC </w:t>
      </w:r>
      <w:r w:rsidRPr="00740196">
        <w:rPr>
          <w:rFonts w:ascii="Palatino Linotype" w:hAnsi="Palatino Linotype" w:cs="Palatino Linotype"/>
          <w:color w:val="auto"/>
        </w:rPr>
        <w:t>approval</w:t>
      </w:r>
      <w:r>
        <w:rPr>
          <w:rFonts w:ascii="Palatino Linotype" w:hAnsi="Palatino Linotype" w:cs="Palatino Linotype"/>
          <w:color w:val="auto"/>
        </w:rPr>
        <w:t xml:space="preserve"> as set forth in this resolution, AEC shall</w:t>
      </w:r>
      <w:r w:rsidRPr="00740196">
        <w:rPr>
          <w:rFonts w:ascii="Palatino Linotype" w:hAnsi="Palatino Linotype" w:cs="Palatino Linotype"/>
          <w:color w:val="auto"/>
        </w:rPr>
        <w:t xml:space="preserve"> reimburse some or all of the CASF funds that it has received. </w:t>
      </w:r>
    </w:p>
    <w:p w:rsidR="00C67A2F" w:rsidRPr="00740196" w:rsidRDefault="00C67A2F" w:rsidP="00C67A2F">
      <w:pPr>
        <w:pStyle w:val="Default"/>
        <w:rPr>
          <w:rFonts w:ascii="Palatino Linotype" w:hAnsi="Palatino Linotype" w:cs="Palatino Linotype"/>
          <w:color w:val="auto"/>
        </w:rPr>
      </w:pPr>
    </w:p>
    <w:p w:rsidR="00C67A2F" w:rsidRDefault="00C67A2F" w:rsidP="00C67A2F">
      <w:pPr>
        <w:pStyle w:val="Default"/>
        <w:rPr>
          <w:rFonts w:ascii="Palatino Linotype" w:hAnsi="Palatino Linotype" w:cs="Palatino Linotype"/>
          <w:color w:val="auto"/>
        </w:rPr>
      </w:pPr>
      <w:r>
        <w:rPr>
          <w:rFonts w:ascii="Palatino Linotype" w:hAnsi="Palatino Linotype" w:cs="Palatino Linotype"/>
          <w:color w:val="auto"/>
        </w:rPr>
        <w:t>AEC</w:t>
      </w:r>
      <w:r w:rsidRPr="00740196">
        <w:rPr>
          <w:rFonts w:ascii="Palatino Linotype" w:hAnsi="Palatino Linotype" w:cs="Palatino Linotype"/>
          <w:color w:val="auto"/>
        </w:rPr>
        <w:t xml:space="preserve"> must complete all </w:t>
      </w:r>
      <w:r>
        <w:rPr>
          <w:rFonts w:ascii="Palatino Linotype" w:hAnsi="Palatino Linotype" w:cs="Palatino Linotype"/>
          <w:color w:val="auto"/>
        </w:rPr>
        <w:t>construction covered by the grant</w:t>
      </w:r>
      <w:r w:rsidRPr="00740196">
        <w:rPr>
          <w:rFonts w:ascii="Palatino Linotype" w:hAnsi="Palatino Linotype" w:cs="Palatino Linotype"/>
          <w:color w:val="auto"/>
        </w:rPr>
        <w:t xml:space="preserve"> on or before the termination date. </w:t>
      </w:r>
    </w:p>
    <w:p w:rsidR="00DB328C" w:rsidRDefault="00DB328C" w:rsidP="00C67A2F">
      <w:pPr>
        <w:pStyle w:val="Default"/>
        <w:rPr>
          <w:rFonts w:ascii="Palatino Linotype" w:hAnsi="Palatino Linotype" w:cs="Palatino Linotype"/>
          <w:color w:val="auto"/>
        </w:rPr>
      </w:pPr>
    </w:p>
    <w:p w:rsidR="00C67A2F" w:rsidRPr="00B92B1C" w:rsidRDefault="00C67A2F" w:rsidP="00C67A2F">
      <w:pPr>
        <w:pStyle w:val="Default"/>
        <w:numPr>
          <w:ilvl w:val="0"/>
          <w:numId w:val="11"/>
        </w:numPr>
        <w:rPr>
          <w:rFonts w:ascii="Palatino Linotype" w:hAnsi="Palatino Linotype" w:cs="Palatino Linotype"/>
          <w:color w:val="auto"/>
          <w:u w:val="single"/>
        </w:rPr>
      </w:pPr>
      <w:r w:rsidRPr="00B92B1C">
        <w:rPr>
          <w:rFonts w:ascii="Palatino Linotype" w:hAnsi="Palatino Linotype" w:cs="Palatino Linotype"/>
          <w:color w:val="auto"/>
          <w:u w:val="single"/>
        </w:rPr>
        <w:t xml:space="preserve">Performance Bond </w:t>
      </w:r>
    </w:p>
    <w:p w:rsidR="00C67A2F" w:rsidRPr="00B92B1C" w:rsidRDefault="00C67A2F" w:rsidP="00C67A2F">
      <w:pPr>
        <w:rPr>
          <w:rFonts w:ascii="Palatino Linotype" w:hAnsi="Palatino Linotype" w:cs="Palatino Linotype"/>
          <w:sz w:val="24"/>
          <w:szCs w:val="24"/>
        </w:rPr>
      </w:pPr>
    </w:p>
    <w:p w:rsidR="00C67A2F" w:rsidRDefault="00C67A2F" w:rsidP="00C67A2F">
      <w:pPr>
        <w:rPr>
          <w:rFonts w:ascii="Palatino Linotype" w:hAnsi="Palatino Linotype" w:cs="Palatino Linotype"/>
          <w:sz w:val="24"/>
          <w:szCs w:val="24"/>
        </w:rPr>
      </w:pPr>
      <w:r w:rsidRPr="00B92B1C">
        <w:rPr>
          <w:rFonts w:ascii="Palatino Linotype" w:hAnsi="Palatino Linotype" w:cs="Palatino Linotype"/>
          <w:sz w:val="24"/>
          <w:szCs w:val="24"/>
        </w:rPr>
        <w:t xml:space="preserve">The Commission does not require a </w:t>
      </w:r>
      <w:r>
        <w:rPr>
          <w:rFonts w:ascii="Palatino Linotype" w:hAnsi="Palatino Linotype" w:cs="Palatino Linotype"/>
          <w:sz w:val="24"/>
          <w:szCs w:val="24"/>
        </w:rPr>
        <w:t>p</w:t>
      </w:r>
      <w:r w:rsidRPr="00B92B1C">
        <w:rPr>
          <w:rFonts w:ascii="Palatino Linotype" w:hAnsi="Palatino Linotype" w:cs="Palatino Linotype"/>
          <w:sz w:val="24"/>
          <w:szCs w:val="24"/>
        </w:rPr>
        <w:t xml:space="preserve">erformance </w:t>
      </w:r>
      <w:r>
        <w:rPr>
          <w:rFonts w:ascii="Palatino Linotype" w:hAnsi="Palatino Linotype" w:cs="Palatino Linotype"/>
          <w:sz w:val="24"/>
          <w:szCs w:val="24"/>
        </w:rPr>
        <w:t>b</w:t>
      </w:r>
      <w:r w:rsidRPr="00B92B1C">
        <w:rPr>
          <w:rFonts w:ascii="Palatino Linotype" w:hAnsi="Palatino Linotype" w:cs="Palatino Linotype"/>
          <w:sz w:val="24"/>
          <w:szCs w:val="24"/>
        </w:rPr>
        <w:t xml:space="preserve">ond if the applicant </w:t>
      </w:r>
      <w:r>
        <w:rPr>
          <w:rFonts w:ascii="Palatino Linotype" w:hAnsi="Palatino Linotype" w:cs="Palatino Linotype"/>
          <w:sz w:val="24"/>
          <w:szCs w:val="24"/>
        </w:rPr>
        <w:t xml:space="preserve">is a CPCN/WIR holder and if the applicant </w:t>
      </w:r>
      <w:r w:rsidRPr="00B92B1C">
        <w:rPr>
          <w:rFonts w:ascii="Palatino Linotype" w:hAnsi="Palatino Linotype" w:cs="Palatino Linotype"/>
          <w:sz w:val="24"/>
          <w:szCs w:val="24"/>
        </w:rPr>
        <w:t xml:space="preserve">certifies that the percentage of the total project costs it is providing comes from their capital budget and is not obtained from outside financing.   In its application, </w:t>
      </w:r>
      <w:r>
        <w:rPr>
          <w:rFonts w:ascii="Palatino Linotype" w:hAnsi="Palatino Linotype" w:cs="Palatino Linotype"/>
          <w:sz w:val="24"/>
          <w:szCs w:val="24"/>
        </w:rPr>
        <w:t>AEC</w:t>
      </w:r>
      <w:r w:rsidRPr="00B92B1C">
        <w:rPr>
          <w:rFonts w:ascii="Palatino Linotype" w:hAnsi="Palatino Linotype" w:cs="Palatino Linotype"/>
          <w:sz w:val="24"/>
          <w:szCs w:val="24"/>
        </w:rPr>
        <w:t xml:space="preserve"> certified that the percentage of the total project costs will come from its existing capital budget. </w:t>
      </w:r>
      <w:r>
        <w:rPr>
          <w:rFonts w:ascii="Palatino Linotype" w:hAnsi="Palatino Linotype" w:cs="Palatino Linotype"/>
          <w:sz w:val="24"/>
          <w:szCs w:val="24"/>
        </w:rPr>
        <w:t xml:space="preserve"> </w:t>
      </w:r>
    </w:p>
    <w:p w:rsidR="00C67A2F" w:rsidRDefault="00C67A2F" w:rsidP="00C67A2F">
      <w:pPr>
        <w:rPr>
          <w:rFonts w:ascii="Palatino Linotype" w:hAnsi="Palatino Linotype" w:cs="Palatino Linotype"/>
          <w:sz w:val="24"/>
          <w:szCs w:val="24"/>
        </w:rPr>
      </w:pPr>
    </w:p>
    <w:p w:rsidR="00C67A2F" w:rsidRDefault="00C67A2F" w:rsidP="00C67A2F">
      <w:pPr>
        <w:rPr>
          <w:rFonts w:ascii="Palatino Linotype" w:hAnsi="Palatino Linotype" w:cs="Palatino Linotype"/>
          <w:sz w:val="24"/>
          <w:szCs w:val="24"/>
        </w:rPr>
      </w:pPr>
      <w:r>
        <w:rPr>
          <w:rFonts w:ascii="Palatino Linotype" w:hAnsi="Palatino Linotype" w:cs="Palatino Linotype"/>
          <w:sz w:val="24"/>
          <w:szCs w:val="24"/>
        </w:rPr>
        <w:t xml:space="preserve">On July 17, 2015, AEC also filed an application for a CPCN, which is currently pending before the Commission.  </w:t>
      </w:r>
    </w:p>
    <w:p w:rsidR="00C67A2F" w:rsidRDefault="00C67A2F" w:rsidP="00C67A2F">
      <w:pPr>
        <w:rPr>
          <w:rFonts w:ascii="Palatino Linotype" w:hAnsi="Palatino Linotype" w:cs="Palatino Linotype"/>
          <w:sz w:val="24"/>
          <w:szCs w:val="24"/>
        </w:rPr>
      </w:pPr>
    </w:p>
    <w:p w:rsidR="00C67A2F" w:rsidRPr="003B7E9D" w:rsidRDefault="00C67A2F" w:rsidP="00C67A2F">
      <w:pPr>
        <w:rPr>
          <w:rFonts w:ascii="Palatino Linotype" w:hAnsi="Palatino Linotype" w:cs="Palatino Linotype"/>
          <w:sz w:val="24"/>
          <w:szCs w:val="24"/>
        </w:rPr>
      </w:pPr>
      <w:r>
        <w:rPr>
          <w:rFonts w:ascii="Palatino Linotype" w:hAnsi="Palatino Linotype" w:cs="Palatino Linotype"/>
          <w:sz w:val="24"/>
          <w:szCs w:val="24"/>
        </w:rPr>
        <w:t xml:space="preserve">If the Commission grants the CPCN, </w:t>
      </w:r>
      <w:r w:rsidRPr="00B92B1C">
        <w:rPr>
          <w:rFonts w:ascii="Palatino Linotype" w:hAnsi="Palatino Linotype" w:cs="Palatino Linotype"/>
          <w:sz w:val="24"/>
          <w:szCs w:val="24"/>
        </w:rPr>
        <w:t>a performance bond is not required for this project.</w:t>
      </w:r>
      <w:r>
        <w:rPr>
          <w:rFonts w:ascii="Palatino Linotype" w:hAnsi="Palatino Linotype" w:cs="Palatino Linotype"/>
          <w:sz w:val="24"/>
          <w:szCs w:val="24"/>
        </w:rPr>
        <w:t xml:space="preserve"> However, in the event that the Commission does not award AEC a CPCN, AEC must provide evidence of an executed performance bond equal to the total amount payable under the CASF award at the time of the first payment request.</w:t>
      </w:r>
    </w:p>
    <w:p w:rsidR="00C67A2F" w:rsidRDefault="00C67A2F" w:rsidP="00C67A2F">
      <w:pPr>
        <w:pStyle w:val="Default"/>
        <w:rPr>
          <w:rFonts w:ascii="Palatino Linotype" w:hAnsi="Palatino Linotype" w:cs="Palatino Linotype"/>
          <w:color w:val="FF0000"/>
        </w:rPr>
      </w:pPr>
    </w:p>
    <w:p w:rsidR="00C67A2F" w:rsidRDefault="00C67A2F" w:rsidP="00C67A2F">
      <w:pPr>
        <w:pStyle w:val="Default"/>
        <w:rPr>
          <w:rFonts w:ascii="Palatino Linotype" w:hAnsi="Palatino Linotype" w:cs="Palatino Linotype"/>
          <w:color w:val="FF0000"/>
        </w:rPr>
      </w:pPr>
    </w:p>
    <w:p w:rsidR="00C67A2F" w:rsidRDefault="00C67A2F" w:rsidP="00C67A2F">
      <w:pPr>
        <w:pStyle w:val="Default"/>
        <w:rPr>
          <w:rFonts w:ascii="Palatino Linotype" w:hAnsi="Palatino Linotype" w:cs="Palatino Linotype"/>
          <w:color w:val="FF0000"/>
        </w:rPr>
      </w:pPr>
    </w:p>
    <w:p w:rsidR="00C67A2F" w:rsidRPr="00D217EA" w:rsidRDefault="00C67A2F" w:rsidP="00C67A2F">
      <w:pPr>
        <w:pStyle w:val="Default"/>
        <w:rPr>
          <w:rFonts w:ascii="Palatino Linotype" w:hAnsi="Palatino Linotype" w:cs="Palatino Linotype"/>
          <w:color w:val="FF0000"/>
        </w:rPr>
      </w:pPr>
    </w:p>
    <w:p w:rsidR="00C67A2F" w:rsidRPr="00740196" w:rsidRDefault="00C67A2F" w:rsidP="00C67A2F">
      <w:pPr>
        <w:pStyle w:val="Default"/>
        <w:ind w:firstLine="720"/>
        <w:rPr>
          <w:rFonts w:ascii="Palatino Linotype" w:hAnsi="Palatino Linotype"/>
          <w:color w:val="auto"/>
        </w:rPr>
      </w:pPr>
      <w:r w:rsidRPr="00740196">
        <w:rPr>
          <w:rFonts w:ascii="Palatino Linotype" w:hAnsi="Palatino Linotype" w:cs="Palatino Linotype"/>
          <w:color w:val="auto"/>
        </w:rPr>
        <w:t xml:space="preserve">D. </w:t>
      </w:r>
      <w:r w:rsidRPr="00740196">
        <w:rPr>
          <w:rFonts w:ascii="Palatino Linotype" w:hAnsi="Palatino Linotype" w:cs="Palatino Linotype"/>
          <w:color w:val="auto"/>
          <w:u w:val="single"/>
        </w:rPr>
        <w:t>Price Commitment Period</w:t>
      </w:r>
      <w:r w:rsidRPr="00740196">
        <w:rPr>
          <w:rFonts w:ascii="Palatino Linotype" w:hAnsi="Palatino Linotype" w:cs="Palatino Linotype"/>
          <w:color w:val="auto"/>
        </w:rPr>
        <w:t xml:space="preserve"> </w:t>
      </w:r>
    </w:p>
    <w:p w:rsidR="00C67A2F" w:rsidRPr="00740196" w:rsidRDefault="00C67A2F" w:rsidP="00C67A2F">
      <w:pPr>
        <w:pStyle w:val="Default"/>
        <w:rPr>
          <w:rFonts w:ascii="Palatino Linotype" w:hAnsi="Palatino Linotype"/>
          <w:color w:val="auto"/>
        </w:rPr>
      </w:pPr>
    </w:p>
    <w:p w:rsidR="00C67A2F" w:rsidRDefault="00C67A2F" w:rsidP="00C67A2F">
      <w:pPr>
        <w:pStyle w:val="Default"/>
        <w:rPr>
          <w:rFonts w:ascii="Palatino Linotype" w:hAnsi="Palatino Linotype" w:cs="Palatino Linotype"/>
          <w:color w:val="auto"/>
        </w:rPr>
      </w:pPr>
      <w:r w:rsidRPr="00740196">
        <w:rPr>
          <w:rFonts w:ascii="Palatino Linotype" w:hAnsi="Palatino Linotype" w:cs="Palatino Linotype"/>
          <w:color w:val="auto"/>
        </w:rPr>
        <w:t xml:space="preserve">The minimum required price commitment period for broadband service to all households within the project area is two years. </w:t>
      </w:r>
      <w:r>
        <w:rPr>
          <w:rFonts w:ascii="Palatino Linotype" w:hAnsi="Palatino Linotype" w:cs="Palatino Linotype"/>
          <w:color w:val="auto"/>
        </w:rPr>
        <w:t>AEC</w:t>
      </w:r>
      <w:r w:rsidRPr="00740196">
        <w:rPr>
          <w:rFonts w:ascii="Palatino Linotype" w:hAnsi="Palatino Linotype" w:cs="Palatino Linotype"/>
          <w:color w:val="auto"/>
        </w:rPr>
        <w:t xml:space="preserve"> exceeds the minimum period and guarantees the price of service offered in the project area for four years. </w:t>
      </w:r>
    </w:p>
    <w:p w:rsidR="00C67A2F" w:rsidRDefault="00C67A2F" w:rsidP="00C67A2F">
      <w:pPr>
        <w:pStyle w:val="Default"/>
        <w:rPr>
          <w:rFonts w:ascii="Palatino Linotype" w:hAnsi="Palatino Linotype" w:cs="Palatino Linotype"/>
          <w:color w:val="auto"/>
        </w:rPr>
      </w:pPr>
    </w:p>
    <w:p w:rsidR="00C67A2F" w:rsidRPr="00963289" w:rsidRDefault="00C67A2F" w:rsidP="00C67A2F">
      <w:pPr>
        <w:pStyle w:val="Default"/>
        <w:ind w:firstLine="720"/>
        <w:rPr>
          <w:rFonts w:ascii="Palatino Linotype" w:hAnsi="Palatino Linotype" w:cs="Palatino Linotype"/>
          <w:color w:val="auto"/>
        </w:rPr>
      </w:pPr>
      <w:r w:rsidRPr="00963289">
        <w:rPr>
          <w:rFonts w:ascii="Palatino Linotype" w:hAnsi="Palatino Linotype" w:cs="Palatino Linotype"/>
          <w:color w:val="auto"/>
        </w:rPr>
        <w:t xml:space="preserve">E. </w:t>
      </w:r>
      <w:r w:rsidRPr="00963289">
        <w:rPr>
          <w:rFonts w:ascii="Palatino Linotype" w:hAnsi="Palatino Linotype" w:cs="Palatino Linotype"/>
          <w:color w:val="auto"/>
          <w:u w:val="single"/>
        </w:rPr>
        <w:t>Project Audit</w:t>
      </w:r>
      <w:r w:rsidRPr="00963289">
        <w:rPr>
          <w:rFonts w:ascii="Palatino Linotype" w:hAnsi="Palatino Linotype" w:cs="Palatino Linotype"/>
          <w:color w:val="auto"/>
        </w:rPr>
        <w:t xml:space="preserve"> </w:t>
      </w:r>
    </w:p>
    <w:p w:rsidR="00C67A2F" w:rsidRPr="00963289" w:rsidRDefault="00C67A2F" w:rsidP="00C67A2F">
      <w:pPr>
        <w:pStyle w:val="Default"/>
        <w:rPr>
          <w:rFonts w:ascii="Palatino Linotype" w:hAnsi="Palatino Linotype"/>
          <w:color w:val="auto"/>
        </w:rPr>
      </w:pPr>
    </w:p>
    <w:p w:rsidR="00C67A2F" w:rsidRPr="00963289" w:rsidRDefault="00C67A2F" w:rsidP="00C67A2F">
      <w:pPr>
        <w:pStyle w:val="Default"/>
        <w:rPr>
          <w:rFonts w:ascii="Palatino Linotype" w:hAnsi="Palatino Linotype" w:cs="Palatino Linotype"/>
          <w:color w:val="auto"/>
        </w:rPr>
      </w:pPr>
      <w:r w:rsidRPr="00963289">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p>
    <w:p w:rsidR="00C67A2F" w:rsidRPr="00963289" w:rsidRDefault="00C67A2F" w:rsidP="00C67A2F">
      <w:pPr>
        <w:pStyle w:val="Default"/>
        <w:rPr>
          <w:rFonts w:ascii="Palatino Linotype" w:hAnsi="Palatino Linotype" w:cs="Palatino Linotype"/>
          <w:color w:val="auto"/>
        </w:rPr>
      </w:pPr>
    </w:p>
    <w:p w:rsidR="00C67A2F" w:rsidRPr="00963289" w:rsidRDefault="00C67A2F" w:rsidP="00C67A2F">
      <w:pPr>
        <w:pStyle w:val="Default"/>
        <w:rPr>
          <w:rFonts w:ascii="Palatino Linotype" w:hAnsi="Palatino Linotype"/>
          <w:color w:val="auto"/>
        </w:rPr>
      </w:pPr>
      <w:r w:rsidRPr="00963289">
        <w:rPr>
          <w:rFonts w:ascii="Palatino Linotype" w:hAnsi="Palatino Linotype" w:cs="Palatino Linotype"/>
          <w:color w:val="auto"/>
        </w:rPr>
        <w:t>The recipient’s invoices will be subject to a financial audit by the Commission at any time within three years of completion of the work.</w:t>
      </w:r>
    </w:p>
    <w:p w:rsidR="00C67A2F" w:rsidRPr="00D217EA" w:rsidRDefault="00C67A2F" w:rsidP="00C67A2F">
      <w:pPr>
        <w:pStyle w:val="Default"/>
        <w:rPr>
          <w:rFonts w:ascii="Palatino Linotype" w:hAnsi="Palatino Linotype"/>
          <w:color w:val="FF0000"/>
        </w:rPr>
      </w:pPr>
    </w:p>
    <w:p w:rsidR="00C67A2F" w:rsidRPr="00963289" w:rsidRDefault="00C67A2F" w:rsidP="00C67A2F">
      <w:pPr>
        <w:pStyle w:val="Default"/>
        <w:ind w:firstLine="720"/>
        <w:rPr>
          <w:rFonts w:ascii="Palatino Linotype" w:hAnsi="Palatino Linotype"/>
          <w:color w:val="auto"/>
        </w:rPr>
      </w:pPr>
      <w:r w:rsidRPr="00963289">
        <w:rPr>
          <w:rFonts w:ascii="Palatino Linotype" w:hAnsi="Palatino Linotype" w:cs="Palatino Linotype"/>
          <w:color w:val="auto"/>
        </w:rPr>
        <w:t xml:space="preserve">F. </w:t>
      </w:r>
      <w:r w:rsidRPr="00963289">
        <w:rPr>
          <w:rFonts w:ascii="Palatino Linotype" w:hAnsi="Palatino Linotype" w:cs="Palatino Linotype"/>
          <w:color w:val="auto"/>
          <w:u w:val="single"/>
        </w:rPr>
        <w:t>Providing Voice Service</w:t>
      </w:r>
      <w:r w:rsidRPr="00963289">
        <w:rPr>
          <w:rFonts w:ascii="Palatino Linotype" w:hAnsi="Palatino Linotype" w:cs="Palatino Linotype"/>
          <w:color w:val="auto"/>
        </w:rPr>
        <w:t xml:space="preserve"> </w:t>
      </w:r>
    </w:p>
    <w:p w:rsidR="00C67A2F" w:rsidRPr="00963289" w:rsidRDefault="00C67A2F" w:rsidP="00C67A2F">
      <w:pPr>
        <w:pStyle w:val="Default"/>
        <w:rPr>
          <w:rFonts w:ascii="Palatino Linotype" w:hAnsi="Palatino Linotype"/>
          <w:color w:val="auto"/>
        </w:rPr>
      </w:pPr>
    </w:p>
    <w:p w:rsidR="00C67A2F" w:rsidRPr="00963289" w:rsidRDefault="00C67A2F" w:rsidP="00C67A2F">
      <w:pPr>
        <w:rPr>
          <w:rFonts w:ascii="Palatino Linotype" w:hAnsi="Palatino Linotype" w:cs="Palatino Linotype"/>
          <w:sz w:val="24"/>
          <w:szCs w:val="24"/>
        </w:rPr>
      </w:pPr>
      <w:r w:rsidRPr="00963289">
        <w:rPr>
          <w:rFonts w:ascii="Palatino Linotype" w:hAnsi="Palatino Linotype" w:cs="Palatino Linotype"/>
          <w:sz w:val="24"/>
          <w:szCs w:val="24"/>
        </w:rPr>
        <w:t xml:space="preserve">The proposed project will allow </w:t>
      </w:r>
      <w:r>
        <w:rPr>
          <w:rFonts w:ascii="Palatino Linotype" w:hAnsi="Palatino Linotype" w:cs="Palatino Linotype"/>
          <w:sz w:val="24"/>
          <w:szCs w:val="24"/>
        </w:rPr>
        <w:t>AEC</w:t>
      </w:r>
      <w:r w:rsidRPr="00963289">
        <w:rPr>
          <w:rFonts w:ascii="Palatino Linotype" w:hAnsi="Palatino Linotype" w:cs="Palatino Linotype"/>
          <w:sz w:val="24"/>
          <w:szCs w:val="24"/>
        </w:rPr>
        <w:t xml:space="preserve"> to provide landline voice service via Voice over </w:t>
      </w:r>
      <w:r>
        <w:rPr>
          <w:rFonts w:ascii="Palatino Linotype" w:hAnsi="Palatino Linotype" w:cs="Palatino Linotype"/>
          <w:sz w:val="24"/>
          <w:szCs w:val="24"/>
        </w:rPr>
        <w:t>Internet</w:t>
      </w:r>
      <w:r w:rsidRPr="00963289">
        <w:rPr>
          <w:rFonts w:ascii="Palatino Linotype" w:hAnsi="Palatino Linotype" w:cs="Palatino Linotype"/>
          <w:sz w:val="24"/>
          <w:szCs w:val="24"/>
        </w:rPr>
        <w:t xml:space="preserve"> Protocol (VoIP).</w:t>
      </w:r>
      <w:r>
        <w:rPr>
          <w:rFonts w:ascii="Palatino Linotype" w:hAnsi="Palatino Linotype" w:cs="Palatino Linotype"/>
          <w:sz w:val="24"/>
          <w:szCs w:val="24"/>
        </w:rPr>
        <w:t xml:space="preserve">  AEC</w:t>
      </w:r>
      <w:r w:rsidRPr="00963289">
        <w:rPr>
          <w:rFonts w:ascii="Palatino Linotype" w:hAnsi="Palatino Linotype" w:cs="Palatino Linotype"/>
          <w:sz w:val="24"/>
          <w:szCs w:val="24"/>
        </w:rPr>
        <w:t xml:space="preserve"> commits to adhere to all FCC requirements in regards to E911 service and </w:t>
      </w:r>
      <w:r>
        <w:rPr>
          <w:rFonts w:ascii="Palatino Linotype" w:hAnsi="Palatino Linotype" w:cs="Palatino Linotype"/>
          <w:sz w:val="24"/>
          <w:szCs w:val="24"/>
        </w:rPr>
        <w:t>must</w:t>
      </w:r>
      <w:r w:rsidRPr="00963289">
        <w:rPr>
          <w:rFonts w:ascii="Palatino Linotype" w:hAnsi="Palatino Linotype" w:cs="Palatino Linotype"/>
          <w:sz w:val="24"/>
          <w:szCs w:val="24"/>
        </w:rPr>
        <w:t xml:space="preserve"> provide equipment with battery backup.</w:t>
      </w:r>
    </w:p>
    <w:p w:rsidR="00C67A2F" w:rsidRPr="00D217EA" w:rsidRDefault="00C67A2F" w:rsidP="00C67A2F">
      <w:pPr>
        <w:rPr>
          <w:rFonts w:ascii="Palatino Linotype" w:hAnsi="Palatino Linotype"/>
          <w:color w:val="FF0000"/>
          <w:sz w:val="24"/>
          <w:szCs w:val="24"/>
        </w:rPr>
      </w:pPr>
    </w:p>
    <w:p w:rsidR="00C67A2F" w:rsidRPr="00480179" w:rsidRDefault="00C67A2F" w:rsidP="00C67A2F">
      <w:pPr>
        <w:pStyle w:val="Default"/>
        <w:ind w:firstLine="720"/>
        <w:rPr>
          <w:rFonts w:ascii="Palatino Linotype" w:hAnsi="Palatino Linotype"/>
          <w:color w:val="auto"/>
        </w:rPr>
      </w:pPr>
      <w:r w:rsidRPr="00480179">
        <w:rPr>
          <w:rFonts w:ascii="Palatino Linotype" w:hAnsi="Palatino Linotype" w:cs="Palatino Linotype"/>
          <w:color w:val="auto"/>
        </w:rPr>
        <w:t xml:space="preserve">G. </w:t>
      </w:r>
      <w:r w:rsidRPr="00480179">
        <w:rPr>
          <w:rFonts w:ascii="Palatino Linotype" w:hAnsi="Palatino Linotype" w:cs="Palatino Linotype"/>
          <w:color w:val="auto"/>
          <w:u w:val="single"/>
        </w:rPr>
        <w:t>Reporting</w:t>
      </w:r>
      <w:r w:rsidRPr="00480179">
        <w:rPr>
          <w:rFonts w:ascii="Palatino Linotype" w:hAnsi="Palatino Linotype" w:cs="Palatino Linotype"/>
          <w:color w:val="auto"/>
        </w:rPr>
        <w:t xml:space="preserve"> </w:t>
      </w:r>
    </w:p>
    <w:p w:rsidR="00C67A2F" w:rsidRPr="00480179" w:rsidRDefault="00C67A2F" w:rsidP="00C67A2F">
      <w:pPr>
        <w:pStyle w:val="Default"/>
        <w:rPr>
          <w:rFonts w:ascii="Palatino Linotype" w:hAnsi="Palatino Linotype"/>
          <w:color w:val="auto"/>
        </w:rPr>
      </w:pPr>
    </w:p>
    <w:p w:rsidR="00C67A2F" w:rsidRPr="00480179" w:rsidRDefault="00C67A2F" w:rsidP="00C67A2F">
      <w:pPr>
        <w:pStyle w:val="Default"/>
        <w:rPr>
          <w:rFonts w:ascii="Palatino Linotype" w:hAnsi="Palatino Linotype" w:cs="Palatino Linotype"/>
          <w:color w:val="auto"/>
        </w:rPr>
      </w:pPr>
      <w:r>
        <w:rPr>
          <w:rFonts w:ascii="Palatino Linotype" w:hAnsi="Palatino Linotype" w:cs="Palatino Linotype"/>
          <w:color w:val="auto"/>
        </w:rPr>
        <w:t>All g</w:t>
      </w:r>
      <w:r w:rsidRPr="00480179">
        <w:rPr>
          <w:rFonts w:ascii="Palatino Linotype" w:hAnsi="Palatino Linotype" w:cs="Palatino Linotype"/>
          <w:color w:val="auto"/>
        </w:rPr>
        <w:t xml:space="preserve">rantees must submit quarterly progress reports on the status of the project irrespective of whether grantees request reimbursement or payment. </w:t>
      </w:r>
      <w:r>
        <w:rPr>
          <w:rFonts w:ascii="Palatino Linotype" w:hAnsi="Palatino Linotype" w:cs="Palatino Linotype"/>
          <w:color w:val="auto"/>
        </w:rPr>
        <w:t xml:space="preserve"> </w:t>
      </w:r>
      <w:r w:rsidRPr="00480179">
        <w:rPr>
          <w:rFonts w:ascii="Palatino Linotype" w:hAnsi="Palatino Linotype" w:cs="Palatino Linotype"/>
          <w:color w:val="auto"/>
        </w:rPr>
        <w:t xml:space="preserve">Before full payment of the project, </w:t>
      </w:r>
      <w:r>
        <w:rPr>
          <w:rFonts w:ascii="Palatino Linotype" w:hAnsi="Palatino Linotype" w:cs="Palatino Linotype"/>
          <w:color w:val="auto"/>
        </w:rPr>
        <w:t xml:space="preserve">AEC </w:t>
      </w:r>
      <w:r w:rsidRPr="00480179">
        <w:rPr>
          <w:rFonts w:ascii="Palatino Linotype" w:hAnsi="Palatino Linotype" w:cs="Palatino Linotype"/>
          <w:color w:val="auto"/>
        </w:rPr>
        <w:t xml:space="preserve">must submit a project completion report. </w:t>
      </w:r>
      <w:r>
        <w:rPr>
          <w:rFonts w:ascii="Palatino Linotype" w:hAnsi="Palatino Linotype" w:cs="Palatino Linotype"/>
          <w:color w:val="auto"/>
        </w:rPr>
        <w:t xml:space="preserve"> </w:t>
      </w:r>
      <w:r w:rsidRPr="00480179">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C67A2F" w:rsidRPr="00480179" w:rsidRDefault="00C67A2F" w:rsidP="00C67A2F">
      <w:pPr>
        <w:pStyle w:val="Default"/>
        <w:rPr>
          <w:rFonts w:ascii="Palatino Linotype" w:hAnsi="Palatino Linotype" w:cs="Palatino Linotype"/>
          <w:color w:val="auto"/>
        </w:rPr>
      </w:pPr>
    </w:p>
    <w:p w:rsidR="00C67A2F" w:rsidRPr="00480179" w:rsidRDefault="00C67A2F" w:rsidP="00C67A2F">
      <w:pPr>
        <w:pStyle w:val="Default"/>
        <w:rPr>
          <w:rFonts w:ascii="Palatino Linotype" w:hAnsi="Palatino Linotype" w:cs="Palatino Linotype"/>
          <w:color w:val="auto"/>
        </w:rPr>
      </w:pPr>
      <w:r w:rsidRPr="00480179">
        <w:rPr>
          <w:rFonts w:ascii="Palatino Linotype" w:hAnsi="Palatino Linotype" w:cs="Palatino Linotype"/>
          <w:color w:val="auto"/>
        </w:rPr>
        <w:t xml:space="preserve">Recipients shall also include test results on the download and upload speeds on a CBG and zip code basis in the final completion report. </w:t>
      </w:r>
      <w:r>
        <w:rPr>
          <w:rFonts w:ascii="Palatino Linotype" w:hAnsi="Palatino Linotype" w:cs="Palatino Linotype"/>
          <w:color w:val="auto"/>
        </w:rPr>
        <w:t xml:space="preserve"> AEC </w:t>
      </w:r>
      <w:r w:rsidRPr="00480179">
        <w:rPr>
          <w:rFonts w:ascii="Palatino Linotype" w:hAnsi="Palatino Linotype" w:cs="Palatino Linotype"/>
          <w:color w:val="auto"/>
        </w:rPr>
        <w:t xml:space="preserve">must certify that each progress report is true and correct under penalty of perjury. </w:t>
      </w:r>
    </w:p>
    <w:p w:rsidR="00C67A2F" w:rsidRPr="00D217EA" w:rsidRDefault="00C67A2F" w:rsidP="00C67A2F">
      <w:pPr>
        <w:pStyle w:val="Default"/>
        <w:rPr>
          <w:rFonts w:ascii="Palatino Linotype" w:hAnsi="Palatino Linotype" w:cs="Palatino Linotype"/>
          <w:color w:val="FF0000"/>
        </w:rPr>
      </w:pPr>
    </w:p>
    <w:p w:rsidR="00C67A2F" w:rsidRPr="00497049" w:rsidRDefault="00C67A2F" w:rsidP="00C67A2F">
      <w:pPr>
        <w:pStyle w:val="Default"/>
        <w:ind w:left="720"/>
        <w:rPr>
          <w:rFonts w:ascii="Palatino Linotype" w:hAnsi="Palatino Linotype"/>
          <w:color w:val="auto"/>
        </w:rPr>
      </w:pPr>
      <w:r w:rsidRPr="00497049">
        <w:rPr>
          <w:rFonts w:ascii="Palatino Linotype" w:hAnsi="Palatino Linotype" w:cs="Book Antiqua"/>
          <w:color w:val="auto"/>
        </w:rPr>
        <w:t xml:space="preserve">H. </w:t>
      </w:r>
      <w:r w:rsidRPr="00497049">
        <w:rPr>
          <w:rFonts w:ascii="Palatino Linotype" w:hAnsi="Palatino Linotype" w:cs="Book Antiqua"/>
          <w:color w:val="auto"/>
          <w:u w:val="single"/>
        </w:rPr>
        <w:t>Submission of Form 477</w:t>
      </w:r>
      <w:r w:rsidRPr="00497049">
        <w:rPr>
          <w:rFonts w:ascii="Palatino Linotype" w:hAnsi="Palatino Linotype" w:cs="Book Antiqua"/>
          <w:color w:val="auto"/>
        </w:rPr>
        <w:t xml:space="preserve"> </w:t>
      </w:r>
    </w:p>
    <w:p w:rsidR="00C67A2F" w:rsidRPr="00497049" w:rsidRDefault="00C67A2F" w:rsidP="00C67A2F">
      <w:pPr>
        <w:pStyle w:val="Default"/>
        <w:rPr>
          <w:rFonts w:ascii="Palatino Linotype" w:hAnsi="Palatino Linotype"/>
          <w:color w:val="auto"/>
        </w:rPr>
      </w:pPr>
    </w:p>
    <w:p w:rsidR="00C67A2F" w:rsidRPr="002751A9" w:rsidRDefault="00C67A2F" w:rsidP="00C67A2F">
      <w:pPr>
        <w:pStyle w:val="Default"/>
        <w:rPr>
          <w:rFonts w:ascii="Palatino Linotype" w:hAnsi="Palatino Linotype" w:cs="Palatino Linotype"/>
          <w:color w:val="auto"/>
        </w:rPr>
      </w:pPr>
      <w:r w:rsidRPr="00497049">
        <w:rPr>
          <w:rFonts w:ascii="Palatino Linotype" w:hAnsi="Palatino Linotype" w:cs="Palatino Linotype"/>
          <w:color w:val="auto"/>
        </w:rPr>
        <w:t xml:space="preserve">The FCC currently requires broadband providers to biannually submit the Form 477, which includes speed data. While there is an imperfect match between the data that is reported in the Form 477 and to the CASF, </w:t>
      </w:r>
      <w:r>
        <w:rPr>
          <w:rFonts w:ascii="Palatino Linotype" w:hAnsi="Palatino Linotype" w:cs="Palatino Linotype"/>
          <w:color w:val="auto"/>
        </w:rPr>
        <w:t xml:space="preserve">the </w:t>
      </w:r>
      <w:r w:rsidRPr="00497049">
        <w:rPr>
          <w:rFonts w:ascii="Palatino Linotype" w:hAnsi="Palatino Linotype" w:cs="Palatino Linotype"/>
          <w:color w:val="auto"/>
        </w:rPr>
        <w:t>Form 477 data will be useful in documenting CASF deployment for the service</w:t>
      </w:r>
      <w:r>
        <w:rPr>
          <w:rFonts w:ascii="Palatino Linotype" w:hAnsi="Palatino Linotype" w:cs="Palatino Linotype"/>
          <w:color w:val="auto"/>
        </w:rPr>
        <w:t xml:space="preserve"> providers new service</w:t>
      </w:r>
      <w:r w:rsidRPr="00497049">
        <w:rPr>
          <w:rFonts w:ascii="Palatino Linotype" w:hAnsi="Palatino Linotype" w:cs="Palatino Linotype"/>
          <w:color w:val="auto"/>
        </w:rPr>
        <w:t xml:space="preserve">. </w:t>
      </w:r>
      <w:r>
        <w:rPr>
          <w:rFonts w:ascii="Palatino Linotype" w:hAnsi="Palatino Linotype" w:cs="Palatino Linotype"/>
          <w:color w:val="auto"/>
        </w:rPr>
        <w:t xml:space="preserve"> Pursuant to General Order 66-C, service providers in California must</w:t>
      </w:r>
      <w:r w:rsidRPr="00497049">
        <w:rPr>
          <w:rFonts w:ascii="Palatino Linotype" w:hAnsi="Palatino Linotype" w:cs="Palatino Linotype"/>
          <w:color w:val="auto"/>
        </w:rPr>
        <w:t xml:space="preserve"> submit a copy of their Form 477 data directly to the C</w:t>
      </w:r>
      <w:r>
        <w:rPr>
          <w:rFonts w:ascii="Palatino Linotype" w:hAnsi="Palatino Linotype" w:cs="Palatino Linotype"/>
          <w:color w:val="auto"/>
        </w:rPr>
        <w:t xml:space="preserve">PUC concurrent with their submission of the same data to the </w:t>
      </w:r>
      <w:r w:rsidRPr="00497049">
        <w:rPr>
          <w:rFonts w:ascii="Palatino Linotype" w:hAnsi="Palatino Linotype" w:cs="Palatino Linotype"/>
          <w:color w:val="auto"/>
        </w:rPr>
        <w:t>FCC for a five-year period after completion of the project.</w:t>
      </w:r>
      <w:r w:rsidRPr="00497049">
        <w:rPr>
          <w:rStyle w:val="FootnoteReference"/>
          <w:rFonts w:ascii="Palatino Linotype" w:hAnsi="Palatino Linotype" w:cs="Palatino Linotype"/>
          <w:color w:val="auto"/>
        </w:rPr>
        <w:footnoteReference w:id="17"/>
      </w:r>
    </w:p>
    <w:p w:rsidR="00C67A2F" w:rsidRPr="00D217EA" w:rsidRDefault="00C67A2F" w:rsidP="00C67A2F">
      <w:pPr>
        <w:pStyle w:val="BodyText"/>
        <w:tabs>
          <w:tab w:val="left" w:pos="1170"/>
        </w:tabs>
        <w:ind w:right="630"/>
        <w:rPr>
          <w:rFonts w:ascii="Palatino Linotype" w:hAnsi="Palatino Linotype"/>
          <w:color w:val="FF0000"/>
          <w:szCs w:val="24"/>
        </w:rPr>
      </w:pPr>
    </w:p>
    <w:p w:rsidR="00C67A2F" w:rsidRPr="00B92B1C" w:rsidRDefault="00C67A2F" w:rsidP="00C67A2F">
      <w:pPr>
        <w:pStyle w:val="Default"/>
        <w:numPr>
          <w:ilvl w:val="0"/>
          <w:numId w:val="12"/>
        </w:numPr>
        <w:rPr>
          <w:rFonts w:ascii="Palatino Linotype" w:hAnsi="Palatino Linotype"/>
          <w:color w:val="auto"/>
        </w:rPr>
      </w:pPr>
      <w:r w:rsidRPr="0020641D">
        <w:rPr>
          <w:rFonts w:ascii="Palatino Linotype" w:hAnsi="Palatino Linotype" w:cs="Palatino Linotype"/>
          <w:b/>
          <w:bCs/>
          <w:color w:val="auto"/>
        </w:rPr>
        <w:t>Compliance Requirements</w:t>
      </w:r>
    </w:p>
    <w:p w:rsidR="00C67A2F" w:rsidRPr="0020641D" w:rsidRDefault="00C67A2F" w:rsidP="00C67A2F">
      <w:pPr>
        <w:pStyle w:val="Default"/>
        <w:ind w:left="1080"/>
        <w:rPr>
          <w:rFonts w:ascii="Palatino Linotype" w:hAnsi="Palatino Linotype"/>
          <w:color w:val="auto"/>
        </w:rPr>
      </w:pPr>
    </w:p>
    <w:p w:rsidR="00C67A2F" w:rsidRPr="00497049" w:rsidRDefault="00C67A2F" w:rsidP="00C67A2F">
      <w:pPr>
        <w:autoSpaceDE w:val="0"/>
        <w:autoSpaceDN w:val="0"/>
        <w:adjustRightInd w:val="0"/>
        <w:rPr>
          <w:rFonts w:ascii="Palatino Linotype" w:hAnsi="Palatino Linotype" w:cs="Palatino Linotype"/>
          <w:sz w:val="24"/>
          <w:szCs w:val="24"/>
        </w:rPr>
      </w:pPr>
      <w:r w:rsidRPr="00497049">
        <w:rPr>
          <w:rFonts w:ascii="Palatino Linotype" w:hAnsi="Palatino Linotype" w:cs="Palatino Linotype"/>
          <w:sz w:val="24"/>
          <w:szCs w:val="24"/>
        </w:rPr>
        <w:t xml:space="preserve">Submission of invoices from and payments to </w:t>
      </w:r>
      <w:r>
        <w:rPr>
          <w:rFonts w:ascii="Palatino Linotype" w:hAnsi="Palatino Linotype" w:cs="Palatino Linotype"/>
          <w:sz w:val="24"/>
          <w:szCs w:val="24"/>
        </w:rPr>
        <w:t>AEC</w:t>
      </w:r>
      <w:r w:rsidRPr="00497049">
        <w:rPr>
          <w:rFonts w:ascii="Palatino Linotype" w:hAnsi="Palatino Linotype" w:cs="Palatino Linotype"/>
          <w:sz w:val="24"/>
          <w:szCs w:val="24"/>
        </w:rPr>
        <w:t xml:space="preserve"> shall be made at 25-</w:t>
      </w:r>
      <w:r>
        <w:rPr>
          <w:rFonts w:ascii="Palatino Linotype" w:hAnsi="Palatino Linotype" w:cs="Palatino Linotype"/>
          <w:sz w:val="24"/>
          <w:szCs w:val="24"/>
        </w:rPr>
        <w:t>percent</w:t>
      </w:r>
      <w:r w:rsidRPr="00497049">
        <w:rPr>
          <w:rFonts w:ascii="Palatino Linotype" w:hAnsi="Palatino Linotype" w:cs="Palatino Linotype"/>
          <w:sz w:val="24"/>
          <w:szCs w:val="24"/>
        </w:rPr>
        <w:t xml:space="preserve"> completion intervals, in accordance with Section XI of Appendix 1 of D.12-02-015 and according to the guidelines and supporting documentation required in D.12-02-015. </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497049" w:rsidRDefault="00C67A2F" w:rsidP="00C67A2F">
      <w:pPr>
        <w:pStyle w:val="BodyText"/>
        <w:tabs>
          <w:tab w:val="left" w:pos="1170"/>
        </w:tabs>
        <w:ind w:right="630"/>
        <w:rPr>
          <w:rFonts w:ascii="Palatino Linotype" w:hAnsi="Palatino Linotype"/>
          <w:szCs w:val="24"/>
        </w:rPr>
      </w:pPr>
      <w:r w:rsidRPr="008A67E1">
        <w:rPr>
          <w:rFonts w:ascii="Palatino Linotype" w:hAnsi="Palatino Linotype" w:cs="Palatino Linotype"/>
          <w:szCs w:val="24"/>
        </w:rPr>
        <w:t>Payment to AEC shall follow the process adopted for funds created under P. U. Code §270.  Payments are generally processed by the Commission, including CD and Administrative Services review time, within 20-25 business days.</w:t>
      </w:r>
      <w:r w:rsidRPr="008A67E1">
        <w:rPr>
          <w:rFonts w:ascii="Palatino Linotype" w:hAnsi="Palatino Linotype"/>
          <w:szCs w:val="24"/>
        </w:rPr>
        <w:t xml:space="preserve">  The State Controller’s Office (SCO) requires an additional 14- 21 days to issue payment from the day that requests are received by SCO from </w:t>
      </w:r>
      <w:r w:rsidRPr="008A67E1">
        <w:rPr>
          <w:rFonts w:ascii="Palatino Linotype" w:hAnsi="Palatino Linotype" w:cs="Palatino Linotype"/>
          <w:szCs w:val="24"/>
        </w:rPr>
        <w:t>Administrative Services</w:t>
      </w:r>
      <w:r w:rsidRPr="008A67E1">
        <w:rPr>
          <w:rFonts w:ascii="Palatino Linotype" w:hAnsi="Palatino Linotype"/>
          <w:szCs w:val="24"/>
        </w:rPr>
        <w:t>.</w:t>
      </w:r>
    </w:p>
    <w:p w:rsidR="00C67A2F" w:rsidRPr="00D217EA" w:rsidRDefault="00C67A2F" w:rsidP="00C67A2F">
      <w:pPr>
        <w:pStyle w:val="Heading9"/>
        <w:ind w:right="630"/>
        <w:rPr>
          <w:rFonts w:ascii="Palatino Linotype" w:hAnsi="Palatino Linotype"/>
          <w:color w:val="FF0000"/>
          <w:szCs w:val="24"/>
        </w:rPr>
      </w:pPr>
    </w:p>
    <w:p w:rsidR="00C67A2F" w:rsidRPr="00E34A75" w:rsidRDefault="00C67A2F" w:rsidP="00C67A2F">
      <w:pPr>
        <w:pStyle w:val="Heading9"/>
        <w:numPr>
          <w:ilvl w:val="0"/>
          <w:numId w:val="12"/>
        </w:numPr>
        <w:ind w:right="630"/>
        <w:rPr>
          <w:rFonts w:ascii="Palatino Linotype" w:hAnsi="Palatino Linotype"/>
          <w:szCs w:val="24"/>
        </w:rPr>
      </w:pPr>
      <w:r w:rsidRPr="00E34A75">
        <w:rPr>
          <w:rFonts w:ascii="Palatino Linotype" w:hAnsi="Palatino Linotype"/>
          <w:szCs w:val="24"/>
        </w:rPr>
        <w:t>Comments on Draft Resolution</w:t>
      </w:r>
    </w:p>
    <w:p w:rsidR="00C67A2F" w:rsidRPr="00E34A75" w:rsidRDefault="00C67A2F" w:rsidP="00C67A2F">
      <w:pPr>
        <w:ind w:right="630"/>
        <w:rPr>
          <w:rFonts w:ascii="Palatino Linotype" w:hAnsi="Palatino Linotype"/>
          <w:sz w:val="24"/>
          <w:szCs w:val="24"/>
        </w:rPr>
      </w:pPr>
    </w:p>
    <w:p w:rsidR="00C67A2F" w:rsidRDefault="00C67A2F" w:rsidP="00C67A2F">
      <w:pPr>
        <w:pStyle w:val="BodyText"/>
        <w:tabs>
          <w:tab w:val="clear" w:pos="720"/>
          <w:tab w:val="left" w:pos="1170"/>
        </w:tabs>
        <w:spacing w:after="0"/>
        <w:ind w:right="630"/>
        <w:rPr>
          <w:rFonts w:ascii="Palatino Linotype" w:hAnsi="Palatino Linotype"/>
          <w:szCs w:val="24"/>
        </w:rPr>
      </w:pPr>
      <w:r w:rsidRPr="00E34A75">
        <w:rPr>
          <w:rFonts w:ascii="Palatino Linotype" w:hAnsi="Palatino Linotype"/>
          <w:szCs w:val="24"/>
        </w:rPr>
        <w:t xml:space="preserve">In compliance with Public Utilities Code § 311(g), a notice letter was e-mailed on </w:t>
      </w:r>
      <w:r>
        <w:rPr>
          <w:rFonts w:ascii="Palatino Linotype" w:hAnsi="Palatino Linotype"/>
          <w:szCs w:val="24"/>
        </w:rPr>
        <w:t>MMM DD</w:t>
      </w:r>
      <w:r w:rsidRPr="00E34A75">
        <w:rPr>
          <w:rFonts w:ascii="Palatino Linotype" w:hAnsi="Palatino Linotype"/>
          <w:szCs w:val="24"/>
        </w:rPr>
        <w:t xml:space="preserve">, 2015, informing all parties on the CASF Distribution List of the availability of the draft of this resolution for public comments at the Commission's website at </w:t>
      </w:r>
      <w:r w:rsidRPr="00E34A75">
        <w:rPr>
          <w:rFonts w:ascii="Palatino Linotype" w:hAnsi="Palatino Linotype"/>
          <w:szCs w:val="24"/>
          <w:u w:val="single"/>
        </w:rPr>
        <w:t>http://www.cpuc.ca.gov/PUC/documents/</w:t>
      </w:r>
      <w:r w:rsidRPr="00E34A75">
        <w:rPr>
          <w:rFonts w:ascii="Palatino Linotype" w:hAnsi="Palatino Linotype"/>
          <w:szCs w:val="24"/>
        </w:rPr>
        <w:t xml:space="preserve">. This letter also informed parties that the final conformed Resolution adopted by the Commission will be posted and available at this same website.  </w:t>
      </w:r>
    </w:p>
    <w:p w:rsidR="00095AA7" w:rsidRDefault="00095AA7" w:rsidP="00C67A2F">
      <w:pPr>
        <w:pStyle w:val="BodyText"/>
        <w:tabs>
          <w:tab w:val="clear" w:pos="720"/>
          <w:tab w:val="left" w:pos="1170"/>
        </w:tabs>
        <w:spacing w:after="0"/>
        <w:ind w:right="630"/>
        <w:rPr>
          <w:rFonts w:ascii="Palatino Linotype" w:hAnsi="Palatino Linotype"/>
          <w:szCs w:val="24"/>
        </w:rPr>
      </w:pPr>
    </w:p>
    <w:p w:rsidR="00095AA7" w:rsidRPr="00C84EBF" w:rsidRDefault="00C84EBF" w:rsidP="00C67A2F">
      <w:pPr>
        <w:pStyle w:val="BodyText"/>
        <w:tabs>
          <w:tab w:val="clear" w:pos="720"/>
          <w:tab w:val="left" w:pos="1170"/>
        </w:tabs>
        <w:spacing w:after="0"/>
        <w:ind w:right="630"/>
        <w:rPr>
          <w:rFonts w:ascii="Palatino Linotype" w:hAnsi="Palatino Linotype"/>
          <w:szCs w:val="24"/>
        </w:rPr>
      </w:pPr>
      <w:r w:rsidRPr="00C84EBF">
        <w:rPr>
          <w:rFonts w:ascii="Palatino Linotype" w:hAnsi="Palatino Linotype"/>
          <w:szCs w:val="24"/>
        </w:rPr>
        <w:t xml:space="preserve">On November 27, 2015, staff </w:t>
      </w:r>
      <w:r w:rsidR="00095AA7" w:rsidRPr="00C84EBF">
        <w:rPr>
          <w:rFonts w:ascii="Palatino Linotype" w:hAnsi="Palatino Linotype"/>
          <w:szCs w:val="24"/>
        </w:rPr>
        <w:t xml:space="preserve">received </w:t>
      </w:r>
      <w:r w:rsidR="00856362" w:rsidRPr="00C84EBF">
        <w:rPr>
          <w:rFonts w:ascii="Palatino Linotype" w:hAnsi="Palatino Linotype"/>
          <w:szCs w:val="24"/>
        </w:rPr>
        <w:t>one</w:t>
      </w:r>
      <w:r w:rsidR="00095AA7" w:rsidRPr="00C84EBF">
        <w:rPr>
          <w:rFonts w:ascii="Palatino Linotype" w:hAnsi="Palatino Linotype"/>
          <w:szCs w:val="24"/>
        </w:rPr>
        <w:t xml:space="preserve"> comment </w:t>
      </w:r>
      <w:r w:rsidR="00856362" w:rsidRPr="00C84EBF">
        <w:rPr>
          <w:rFonts w:ascii="Palatino Linotype" w:hAnsi="Palatino Linotype"/>
          <w:szCs w:val="24"/>
        </w:rPr>
        <w:t xml:space="preserve">from a local Anza resident </w:t>
      </w:r>
      <w:r w:rsidR="00095AA7" w:rsidRPr="00C84EBF">
        <w:rPr>
          <w:rFonts w:ascii="Palatino Linotype" w:hAnsi="Palatino Linotype"/>
          <w:szCs w:val="24"/>
        </w:rPr>
        <w:t xml:space="preserve">opposing the project.  The resident </w:t>
      </w:r>
      <w:r w:rsidR="00856362" w:rsidRPr="00C84EBF">
        <w:rPr>
          <w:rFonts w:ascii="Palatino Linotype" w:hAnsi="Palatino Linotype"/>
          <w:szCs w:val="24"/>
        </w:rPr>
        <w:t>stated</w:t>
      </w:r>
      <w:r w:rsidR="00F73A91" w:rsidRPr="00C84EBF">
        <w:rPr>
          <w:rFonts w:ascii="Palatino Linotype" w:hAnsi="Palatino Linotype"/>
          <w:szCs w:val="24"/>
        </w:rPr>
        <w:t xml:space="preserve"> that her</w:t>
      </w:r>
      <w:r w:rsidR="00095AA7" w:rsidRPr="00C84EBF">
        <w:rPr>
          <w:rFonts w:ascii="Palatino Linotype" w:hAnsi="Palatino Linotype"/>
          <w:szCs w:val="24"/>
        </w:rPr>
        <w:t xml:space="preserve"> location may not be serviced by the Connect Anza project in the near term </w:t>
      </w:r>
      <w:r w:rsidR="00F73A91" w:rsidRPr="00C84EBF">
        <w:rPr>
          <w:rFonts w:ascii="Palatino Linotype" w:hAnsi="Palatino Linotype"/>
          <w:szCs w:val="24"/>
        </w:rPr>
        <w:t>because her</w:t>
      </w:r>
      <w:r w:rsidR="00095AA7" w:rsidRPr="00C84EBF">
        <w:rPr>
          <w:rFonts w:ascii="Palatino Linotype" w:hAnsi="Palatino Linotype"/>
          <w:szCs w:val="24"/>
        </w:rPr>
        <w:t xml:space="preserve"> location </w:t>
      </w:r>
      <w:r w:rsidR="00F73A91" w:rsidRPr="00C84EBF">
        <w:rPr>
          <w:rFonts w:ascii="Palatino Linotype" w:hAnsi="Palatino Linotype"/>
          <w:szCs w:val="24"/>
        </w:rPr>
        <w:t xml:space="preserve">is </w:t>
      </w:r>
      <w:r w:rsidR="00856362" w:rsidRPr="00C84EBF">
        <w:rPr>
          <w:rFonts w:ascii="Palatino Linotype" w:hAnsi="Palatino Linotype"/>
          <w:szCs w:val="24"/>
        </w:rPr>
        <w:t xml:space="preserve">located </w:t>
      </w:r>
      <w:r w:rsidR="00F73A91" w:rsidRPr="00C84EBF">
        <w:rPr>
          <w:rFonts w:ascii="Palatino Linotype" w:hAnsi="Palatino Linotype"/>
          <w:szCs w:val="24"/>
        </w:rPr>
        <w:t>on the outskirts</w:t>
      </w:r>
      <w:r w:rsidR="00A42962" w:rsidRPr="00C84EBF">
        <w:rPr>
          <w:rFonts w:ascii="Palatino Linotype" w:hAnsi="Palatino Linotype"/>
          <w:szCs w:val="24"/>
        </w:rPr>
        <w:t xml:space="preserve"> of the project area and not </w:t>
      </w:r>
      <w:r w:rsidR="00F73A91" w:rsidRPr="00C84EBF">
        <w:rPr>
          <w:rFonts w:ascii="Palatino Linotype" w:hAnsi="Palatino Linotype"/>
          <w:szCs w:val="24"/>
        </w:rPr>
        <w:t xml:space="preserve">likely </w:t>
      </w:r>
      <w:r w:rsidR="00A42962" w:rsidRPr="00C84EBF">
        <w:rPr>
          <w:rFonts w:ascii="Palatino Linotype" w:hAnsi="Palatino Linotype"/>
          <w:szCs w:val="24"/>
        </w:rPr>
        <w:t xml:space="preserve">to be given access to the new infrastructure until the end of the project build-out.  </w:t>
      </w:r>
      <w:r w:rsidR="00F73A91" w:rsidRPr="00C84EBF">
        <w:rPr>
          <w:rFonts w:ascii="Palatino Linotype" w:hAnsi="Palatino Linotype"/>
          <w:szCs w:val="24"/>
        </w:rPr>
        <w:t xml:space="preserve">She expressed </w:t>
      </w:r>
      <w:r w:rsidR="00856362" w:rsidRPr="00C84EBF">
        <w:rPr>
          <w:rFonts w:ascii="Palatino Linotype" w:hAnsi="Palatino Linotype"/>
          <w:szCs w:val="24"/>
        </w:rPr>
        <w:t>concern</w:t>
      </w:r>
      <w:r w:rsidR="00F73A91" w:rsidRPr="00C84EBF">
        <w:rPr>
          <w:rFonts w:ascii="Palatino Linotype" w:hAnsi="Palatino Linotype"/>
          <w:szCs w:val="24"/>
        </w:rPr>
        <w:t xml:space="preserve"> that in the interim, e</w:t>
      </w:r>
      <w:r w:rsidR="00A42962" w:rsidRPr="00C84EBF">
        <w:rPr>
          <w:rFonts w:ascii="Palatino Linotype" w:hAnsi="Palatino Linotype"/>
          <w:szCs w:val="24"/>
        </w:rPr>
        <w:t xml:space="preserve">xisting fixed wireless providers </w:t>
      </w:r>
      <w:r w:rsidR="00F73A91" w:rsidRPr="00C84EBF">
        <w:rPr>
          <w:rFonts w:ascii="Palatino Linotype" w:hAnsi="Palatino Linotype"/>
          <w:szCs w:val="24"/>
        </w:rPr>
        <w:t>may abandon her area in the face of the new competition</w:t>
      </w:r>
      <w:r w:rsidR="00A42962" w:rsidRPr="00C84EBF">
        <w:rPr>
          <w:rFonts w:ascii="Palatino Linotype" w:hAnsi="Palatino Linotype"/>
          <w:szCs w:val="24"/>
        </w:rPr>
        <w:t xml:space="preserve">, </w:t>
      </w:r>
      <w:r w:rsidR="00F73A91" w:rsidRPr="00C84EBF">
        <w:rPr>
          <w:rFonts w:ascii="Palatino Linotype" w:hAnsi="Palatino Linotype"/>
          <w:szCs w:val="24"/>
        </w:rPr>
        <w:t>leaving her</w:t>
      </w:r>
      <w:r w:rsidR="00A42962" w:rsidRPr="00C84EBF">
        <w:rPr>
          <w:rFonts w:ascii="Palatino Linotype" w:hAnsi="Palatino Linotype"/>
          <w:szCs w:val="24"/>
        </w:rPr>
        <w:t xml:space="preserve"> without service until the Connect Anza project is near completion.  The resident also </w:t>
      </w:r>
      <w:r w:rsidR="00856362" w:rsidRPr="00C84EBF">
        <w:rPr>
          <w:rFonts w:ascii="Palatino Linotype" w:hAnsi="Palatino Linotype"/>
          <w:szCs w:val="24"/>
        </w:rPr>
        <w:t xml:space="preserve">commented on </w:t>
      </w:r>
      <w:r w:rsidR="00A42962" w:rsidRPr="00C84EBF">
        <w:rPr>
          <w:rFonts w:ascii="Palatino Linotype" w:hAnsi="Palatino Linotype"/>
          <w:szCs w:val="24"/>
        </w:rPr>
        <w:t xml:space="preserve">the Cooperative’s intentions and their eligibility.  </w:t>
      </w:r>
    </w:p>
    <w:p w:rsidR="00A42962" w:rsidRPr="001B1052" w:rsidRDefault="00A42962" w:rsidP="00C67A2F">
      <w:pPr>
        <w:pStyle w:val="BodyText"/>
        <w:tabs>
          <w:tab w:val="clear" w:pos="720"/>
          <w:tab w:val="left" w:pos="1170"/>
        </w:tabs>
        <w:spacing w:after="0"/>
        <w:ind w:right="630"/>
        <w:rPr>
          <w:rFonts w:ascii="Palatino Linotype" w:hAnsi="Palatino Linotype"/>
          <w:color w:val="FF0000"/>
          <w:szCs w:val="24"/>
        </w:rPr>
      </w:pPr>
    </w:p>
    <w:p w:rsidR="00A42962" w:rsidRPr="00167B0E" w:rsidRDefault="00C84EBF" w:rsidP="00C67A2F">
      <w:pPr>
        <w:pStyle w:val="BodyText"/>
        <w:tabs>
          <w:tab w:val="clear" w:pos="720"/>
          <w:tab w:val="left" w:pos="1170"/>
        </w:tabs>
        <w:spacing w:after="0"/>
        <w:ind w:right="630"/>
        <w:rPr>
          <w:rFonts w:ascii="Palatino Linotype" w:hAnsi="Palatino Linotype"/>
          <w:szCs w:val="24"/>
        </w:rPr>
      </w:pPr>
      <w:r>
        <w:rPr>
          <w:rFonts w:ascii="Palatino Linotype" w:hAnsi="Palatino Linotype"/>
          <w:szCs w:val="24"/>
        </w:rPr>
        <w:t>On December 2, 2015</w:t>
      </w:r>
      <w:r w:rsidR="00856362" w:rsidRPr="00C84EBF">
        <w:rPr>
          <w:rFonts w:ascii="Palatino Linotype" w:hAnsi="Palatino Linotype"/>
          <w:szCs w:val="24"/>
        </w:rPr>
        <w:t xml:space="preserve">, </w:t>
      </w:r>
      <w:r w:rsidR="00723AC4" w:rsidRPr="00C84EBF">
        <w:rPr>
          <w:rFonts w:ascii="Palatino Linotype" w:hAnsi="Palatino Linotype"/>
          <w:szCs w:val="24"/>
        </w:rPr>
        <w:t>staff</w:t>
      </w:r>
      <w:r w:rsidR="00856362" w:rsidRPr="00C84EBF">
        <w:rPr>
          <w:rFonts w:ascii="Palatino Linotype" w:hAnsi="Palatino Linotype"/>
          <w:szCs w:val="24"/>
        </w:rPr>
        <w:t xml:space="preserve"> received </w:t>
      </w:r>
      <w:r w:rsidR="00723AC4" w:rsidRPr="00C84EBF">
        <w:rPr>
          <w:rFonts w:ascii="Palatino Linotype" w:hAnsi="Palatino Linotype"/>
          <w:szCs w:val="24"/>
        </w:rPr>
        <w:t xml:space="preserve">reply comments from </w:t>
      </w:r>
      <w:r w:rsidR="0099657C" w:rsidRPr="00C84EBF">
        <w:rPr>
          <w:rFonts w:ascii="Palatino Linotype" w:hAnsi="Palatino Linotype"/>
          <w:szCs w:val="24"/>
        </w:rPr>
        <w:t>AEC</w:t>
      </w:r>
      <w:r w:rsidR="00723AC4" w:rsidRPr="00C84EBF">
        <w:rPr>
          <w:rFonts w:ascii="Palatino Linotype" w:hAnsi="Palatino Linotype"/>
          <w:szCs w:val="24"/>
        </w:rPr>
        <w:t xml:space="preserve"> </w:t>
      </w:r>
      <w:r w:rsidR="0099657C" w:rsidRPr="00C84EBF">
        <w:rPr>
          <w:rFonts w:ascii="Palatino Linotype" w:hAnsi="Palatino Linotype"/>
          <w:szCs w:val="24"/>
        </w:rPr>
        <w:t>stat</w:t>
      </w:r>
      <w:r w:rsidR="00723AC4" w:rsidRPr="00C84EBF">
        <w:rPr>
          <w:rFonts w:ascii="Palatino Linotype" w:hAnsi="Palatino Linotype"/>
          <w:szCs w:val="24"/>
        </w:rPr>
        <w:t>ing</w:t>
      </w:r>
      <w:r w:rsidR="00F73A91" w:rsidRPr="00C84EBF">
        <w:rPr>
          <w:rFonts w:ascii="Palatino Linotype" w:hAnsi="Palatino Linotype"/>
          <w:szCs w:val="24"/>
        </w:rPr>
        <w:t xml:space="preserve"> </w:t>
      </w:r>
      <w:r w:rsidR="0099657C" w:rsidRPr="00C84EBF">
        <w:rPr>
          <w:rFonts w:ascii="Palatino Linotype" w:hAnsi="Palatino Linotype"/>
          <w:szCs w:val="24"/>
        </w:rPr>
        <w:t xml:space="preserve">that their intention is to improve the availability of service, not to drive out competitors.  </w:t>
      </w:r>
      <w:r w:rsidR="00723AC4" w:rsidRPr="00C84EBF">
        <w:rPr>
          <w:rFonts w:ascii="Palatino Linotype" w:hAnsi="Palatino Linotype"/>
          <w:szCs w:val="24"/>
        </w:rPr>
        <w:t>AEC further</w:t>
      </w:r>
      <w:r w:rsidR="0099657C" w:rsidRPr="00C84EBF">
        <w:rPr>
          <w:rFonts w:ascii="Palatino Linotype" w:hAnsi="Palatino Linotype"/>
          <w:szCs w:val="24"/>
        </w:rPr>
        <w:t xml:space="preserve"> stated that they have offered bandwidth to the existing fixed wireless providers at a fair price</w:t>
      </w:r>
      <w:r w:rsidR="00723AC4" w:rsidRPr="00C84EBF">
        <w:rPr>
          <w:rFonts w:ascii="Palatino Linotype" w:hAnsi="Palatino Linotype"/>
          <w:szCs w:val="24"/>
        </w:rPr>
        <w:t>, and</w:t>
      </w:r>
      <w:r w:rsidR="00F73A91" w:rsidRPr="00C84EBF">
        <w:rPr>
          <w:rFonts w:ascii="Palatino Linotype" w:hAnsi="Palatino Linotype"/>
          <w:szCs w:val="24"/>
        </w:rPr>
        <w:t xml:space="preserve"> that they have an aggressive build-out plan that </w:t>
      </w:r>
      <w:r w:rsidR="00F73A91" w:rsidRPr="00167B0E">
        <w:rPr>
          <w:rFonts w:ascii="Palatino Linotype" w:hAnsi="Palatino Linotype"/>
          <w:szCs w:val="24"/>
        </w:rPr>
        <w:t>exceed</w:t>
      </w:r>
      <w:r w:rsidR="00AE1442" w:rsidRPr="00167B0E">
        <w:rPr>
          <w:rFonts w:ascii="Palatino Linotype" w:hAnsi="Palatino Linotype"/>
          <w:szCs w:val="24"/>
        </w:rPr>
        <w:t xml:space="preserve">s Commission requirements. </w:t>
      </w:r>
    </w:p>
    <w:p w:rsidR="00AE1442" w:rsidRPr="00167B0E" w:rsidRDefault="00AE1442" w:rsidP="00C67A2F">
      <w:pPr>
        <w:pStyle w:val="BodyText"/>
        <w:tabs>
          <w:tab w:val="clear" w:pos="720"/>
          <w:tab w:val="left" w:pos="1170"/>
        </w:tabs>
        <w:spacing w:after="0"/>
        <w:ind w:right="630"/>
        <w:rPr>
          <w:rFonts w:ascii="Palatino Linotype" w:hAnsi="Palatino Linotype"/>
          <w:szCs w:val="24"/>
        </w:rPr>
      </w:pPr>
    </w:p>
    <w:p w:rsidR="00C67A2F" w:rsidRPr="00C84EBF" w:rsidRDefault="00167B0E" w:rsidP="00C67A2F">
      <w:pPr>
        <w:pStyle w:val="BodyText"/>
        <w:tabs>
          <w:tab w:val="clear" w:pos="720"/>
          <w:tab w:val="left" w:pos="1170"/>
        </w:tabs>
        <w:spacing w:after="0"/>
        <w:ind w:right="630"/>
        <w:rPr>
          <w:rFonts w:ascii="Palatino Linotype" w:hAnsi="Palatino Linotype"/>
          <w:szCs w:val="24"/>
        </w:rPr>
      </w:pPr>
      <w:r w:rsidRPr="00167B0E">
        <w:rPr>
          <w:rFonts w:ascii="Palatino Linotype" w:hAnsi="Palatino Linotype"/>
          <w:szCs w:val="24"/>
        </w:rPr>
        <w:t>AEC</w:t>
      </w:r>
      <w:r>
        <w:rPr>
          <w:rFonts w:ascii="Palatino Linotype" w:hAnsi="Palatino Linotype"/>
          <w:szCs w:val="24"/>
        </w:rPr>
        <w:t xml:space="preserve"> membership overwhelmingly voted in favor of changing the Cooperative’s Articles of Incorporation so that the Cooperative could provide fiber optic services</w:t>
      </w:r>
      <w:r w:rsidR="00AC54CD">
        <w:rPr>
          <w:rStyle w:val="FootnoteReference"/>
          <w:rFonts w:ascii="Palatino Linotype" w:hAnsi="Palatino Linotype"/>
          <w:szCs w:val="24"/>
        </w:rPr>
        <w:footnoteReference w:id="18"/>
      </w:r>
      <w:r>
        <w:rPr>
          <w:rFonts w:ascii="Palatino Linotype" w:hAnsi="Palatino Linotype"/>
          <w:szCs w:val="24"/>
        </w:rPr>
        <w:t xml:space="preserve">.  Given this show of support, and </w:t>
      </w:r>
      <w:r w:rsidR="0035120A" w:rsidRPr="00C84EBF">
        <w:rPr>
          <w:rFonts w:ascii="Palatino Linotype" w:hAnsi="Palatino Linotype"/>
          <w:szCs w:val="24"/>
        </w:rPr>
        <w:t xml:space="preserve">given the large number of support letters from both local individuals and local institutions, CD </w:t>
      </w:r>
      <w:r w:rsidR="007B5F0C" w:rsidRPr="00C84EBF">
        <w:rPr>
          <w:rFonts w:ascii="Palatino Linotype" w:hAnsi="Palatino Linotype"/>
          <w:szCs w:val="24"/>
        </w:rPr>
        <w:t xml:space="preserve">finds that the Connect Anza project is well-supported by the community and, therefore, continues to support the project as is.  </w:t>
      </w:r>
    </w:p>
    <w:p w:rsidR="007B5F0C" w:rsidRPr="00D217EA" w:rsidRDefault="007B5F0C" w:rsidP="00C67A2F">
      <w:pPr>
        <w:pStyle w:val="BodyText"/>
        <w:tabs>
          <w:tab w:val="clear" w:pos="720"/>
          <w:tab w:val="left" w:pos="1170"/>
        </w:tabs>
        <w:spacing w:after="0"/>
        <w:ind w:right="630"/>
        <w:rPr>
          <w:rFonts w:ascii="Palatino Linotype" w:hAnsi="Palatino Linotype"/>
          <w:color w:val="FF0000"/>
          <w:szCs w:val="24"/>
        </w:rPr>
      </w:pPr>
    </w:p>
    <w:p w:rsidR="00C67A2F" w:rsidRPr="00497049" w:rsidRDefault="00C67A2F" w:rsidP="00C67A2F">
      <w:pPr>
        <w:pStyle w:val="BodyText"/>
        <w:numPr>
          <w:ilvl w:val="0"/>
          <w:numId w:val="12"/>
        </w:numPr>
        <w:tabs>
          <w:tab w:val="clear" w:pos="720"/>
          <w:tab w:val="left" w:pos="1170"/>
        </w:tabs>
        <w:spacing w:after="0"/>
        <w:ind w:right="630"/>
        <w:rPr>
          <w:rFonts w:ascii="Palatino Linotype" w:hAnsi="Palatino Linotype"/>
          <w:b/>
          <w:szCs w:val="24"/>
        </w:rPr>
      </w:pPr>
      <w:r w:rsidRPr="00497049">
        <w:rPr>
          <w:rFonts w:ascii="Palatino Linotype" w:hAnsi="Palatino Linotype"/>
          <w:b/>
          <w:szCs w:val="24"/>
        </w:rPr>
        <w:t xml:space="preserve"> Findings</w:t>
      </w:r>
    </w:p>
    <w:p w:rsidR="00C67A2F" w:rsidRPr="00497049" w:rsidRDefault="00C67A2F" w:rsidP="00C67A2F">
      <w:pPr>
        <w:autoSpaceDE w:val="0"/>
        <w:autoSpaceDN w:val="0"/>
        <w:adjustRightInd w:val="0"/>
        <w:rPr>
          <w:rFonts w:ascii="Palatino Linotype" w:hAnsi="Palatino Linotype" w:cs="Palatino Linotype"/>
          <w:sz w:val="24"/>
          <w:szCs w:val="24"/>
        </w:rPr>
      </w:pPr>
    </w:p>
    <w:p w:rsidR="00C67A2F" w:rsidRPr="00497049" w:rsidRDefault="00C67A2F" w:rsidP="00C67A2F">
      <w:pPr>
        <w:numPr>
          <w:ilvl w:val="0"/>
          <w:numId w:val="13"/>
        </w:numPr>
        <w:rPr>
          <w:rFonts w:ascii="Palatino Linotype" w:hAnsi="Palatino Linotype"/>
          <w:sz w:val="24"/>
          <w:szCs w:val="24"/>
        </w:rPr>
      </w:pPr>
      <w:r>
        <w:rPr>
          <w:rFonts w:ascii="Palatino Linotype" w:hAnsi="Palatino Linotype" w:cs="Palatino Linotype"/>
          <w:sz w:val="24"/>
          <w:szCs w:val="24"/>
        </w:rPr>
        <w:t>AEC</w:t>
      </w:r>
      <w:r w:rsidRPr="00497049">
        <w:rPr>
          <w:rFonts w:ascii="Palatino Linotype" w:hAnsi="Palatino Linotype" w:cs="Palatino Linotype"/>
          <w:sz w:val="24"/>
          <w:szCs w:val="24"/>
        </w:rPr>
        <w:t xml:space="preserve"> filed an application for CASF funding for its </w:t>
      </w:r>
      <w:r>
        <w:rPr>
          <w:rFonts w:ascii="Palatino Linotype" w:hAnsi="Palatino Linotype" w:cs="Palatino Linotype"/>
          <w:sz w:val="24"/>
          <w:szCs w:val="24"/>
        </w:rPr>
        <w:t>Connect Anza</w:t>
      </w:r>
      <w:r w:rsidRPr="00497049">
        <w:rPr>
          <w:rFonts w:ascii="Palatino Linotype" w:hAnsi="Palatino Linotype" w:cs="Palatino Linotype"/>
          <w:sz w:val="24"/>
          <w:szCs w:val="24"/>
        </w:rPr>
        <w:t xml:space="preserve"> Project on July 16, 2015. The proposed project will improve speeds by installing a fiber-to-the-premise system capable of symmetrical </w:t>
      </w:r>
      <w:r>
        <w:rPr>
          <w:rFonts w:ascii="Palatino Linotype" w:hAnsi="Palatino Linotype" w:cs="Palatino Linotype"/>
          <w:sz w:val="24"/>
          <w:szCs w:val="24"/>
        </w:rPr>
        <w:t>50 Mbps</w:t>
      </w:r>
      <w:r w:rsidRPr="00497049">
        <w:rPr>
          <w:rFonts w:ascii="Palatino Linotype" w:hAnsi="Palatino Linotype" w:cs="Palatino Linotype"/>
          <w:sz w:val="24"/>
          <w:szCs w:val="24"/>
        </w:rPr>
        <w:t xml:space="preserve"> download/upload service to </w:t>
      </w:r>
      <w:r>
        <w:rPr>
          <w:rFonts w:ascii="Palatino Linotype" w:hAnsi="Palatino Linotype" w:cs="Palatino Linotype"/>
          <w:sz w:val="24"/>
          <w:szCs w:val="24"/>
        </w:rPr>
        <w:t>upwards of 3,751</w:t>
      </w:r>
      <w:r w:rsidRPr="00497049">
        <w:rPr>
          <w:rFonts w:ascii="Palatino Linotype" w:hAnsi="Palatino Linotype" w:cs="Palatino Linotype"/>
          <w:sz w:val="24"/>
          <w:szCs w:val="24"/>
        </w:rPr>
        <w:t xml:space="preserve"> households in the </w:t>
      </w:r>
      <w:r w:rsidRPr="009C5187">
        <w:rPr>
          <w:rFonts w:ascii="Palatino Linotype" w:hAnsi="Palatino Linotype" w:cs="Palatino Linotype"/>
          <w:sz w:val="24"/>
          <w:szCs w:val="24"/>
        </w:rPr>
        <w:t>unincorporated communities of Anza, Aguanga, Lake Riverside Estates, and Reed Valley in Western Riverside County</w:t>
      </w:r>
      <w:r w:rsidRPr="00497049">
        <w:rPr>
          <w:rFonts w:ascii="Palatino Linotype" w:hAnsi="Palatino Linotype" w:cs="Palatino Linotype"/>
          <w:sz w:val="24"/>
          <w:szCs w:val="24"/>
        </w:rPr>
        <w:t xml:space="preserve">.  </w:t>
      </w:r>
      <w:r w:rsidRPr="00497049">
        <w:rPr>
          <w:rFonts w:ascii="Palatino Linotype" w:hAnsi="Palatino Linotype"/>
          <w:sz w:val="24"/>
          <w:szCs w:val="24"/>
        </w:rPr>
        <w:t xml:space="preserve">This system would provide broadband </w:t>
      </w:r>
      <w:r>
        <w:rPr>
          <w:rFonts w:ascii="Palatino Linotype" w:hAnsi="Palatino Linotype"/>
          <w:sz w:val="24"/>
          <w:szCs w:val="24"/>
        </w:rPr>
        <w:t>Internet</w:t>
      </w:r>
      <w:r w:rsidRPr="00497049">
        <w:rPr>
          <w:rFonts w:ascii="Palatino Linotype" w:hAnsi="Palatino Linotype"/>
          <w:sz w:val="24"/>
          <w:szCs w:val="24"/>
        </w:rPr>
        <w:t xml:space="preserve"> service to an area that is currently underserved.</w:t>
      </w:r>
      <w:r w:rsidRPr="00497049">
        <w:rPr>
          <w:rFonts w:ascii="Palatino Linotype" w:hAnsi="Palatino Linotype" w:cs="Palatino Linotype"/>
          <w:sz w:val="24"/>
          <w:szCs w:val="24"/>
        </w:rPr>
        <w:t xml:space="preserve">  The CBGs impacted by the project are </w:t>
      </w:r>
      <w:r w:rsidRPr="009C5187">
        <w:rPr>
          <w:rFonts w:ascii="Palatino Linotype" w:hAnsi="Palatino Linotype"/>
          <w:sz w:val="24"/>
          <w:szCs w:val="24"/>
        </w:rPr>
        <w:t>060650444021, 060650444022, 060650444</w:t>
      </w:r>
      <w:r>
        <w:rPr>
          <w:rFonts w:ascii="Palatino Linotype" w:hAnsi="Palatino Linotype"/>
          <w:sz w:val="24"/>
          <w:szCs w:val="24"/>
        </w:rPr>
        <w:t>023, 060650444031, 060650444032 and</w:t>
      </w:r>
      <w:r w:rsidRPr="009C5187">
        <w:rPr>
          <w:rFonts w:ascii="Palatino Linotype" w:hAnsi="Palatino Linotype"/>
          <w:sz w:val="24"/>
          <w:szCs w:val="24"/>
        </w:rPr>
        <w:t xml:space="preserve"> 060650444033</w:t>
      </w:r>
      <w:r w:rsidRPr="00497049">
        <w:rPr>
          <w:rFonts w:ascii="Palatino Linotype" w:hAnsi="Palatino Linotype"/>
          <w:sz w:val="24"/>
          <w:szCs w:val="24"/>
        </w:rPr>
        <w:t>.</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E553D0" w:rsidRDefault="00C67A2F" w:rsidP="00C67A2F">
      <w:pPr>
        <w:numPr>
          <w:ilvl w:val="0"/>
          <w:numId w:val="13"/>
        </w:numPr>
        <w:autoSpaceDE w:val="0"/>
        <w:autoSpaceDN w:val="0"/>
        <w:adjustRightInd w:val="0"/>
        <w:rPr>
          <w:rFonts w:ascii="Palatino Linotype" w:hAnsi="Palatino Linotype" w:cs="Palatino Linotype"/>
          <w:sz w:val="24"/>
          <w:szCs w:val="24"/>
        </w:rPr>
      </w:pPr>
      <w:r w:rsidRPr="00E553D0">
        <w:rPr>
          <w:rFonts w:ascii="Palatino Linotype" w:hAnsi="Palatino Linotype" w:cs="Palatino Linotype"/>
          <w:sz w:val="24"/>
          <w:szCs w:val="24"/>
        </w:rPr>
        <w:t xml:space="preserve">CD posted the proposed project area map, CBGs and zip codes by county for the </w:t>
      </w:r>
      <w:r>
        <w:rPr>
          <w:rFonts w:ascii="Palatino Linotype" w:hAnsi="Palatino Linotype" w:cs="Palatino Linotype"/>
          <w:sz w:val="24"/>
          <w:szCs w:val="24"/>
        </w:rPr>
        <w:t>AEC Connect Anza</w:t>
      </w:r>
      <w:r w:rsidRPr="00E553D0">
        <w:rPr>
          <w:rFonts w:ascii="Palatino Linotype" w:hAnsi="Palatino Linotype" w:cs="Palatino Linotype"/>
          <w:sz w:val="24"/>
          <w:szCs w:val="24"/>
        </w:rPr>
        <w:t xml:space="preserve"> Project on the Commission’s CASF webpage under “CASF Application Project Summaries” on </w:t>
      </w:r>
      <w:r w:rsidRPr="00140FE6">
        <w:rPr>
          <w:rFonts w:ascii="Palatino Linotype" w:hAnsi="Palatino Linotype" w:cs="Palatino Linotype"/>
          <w:sz w:val="24"/>
          <w:szCs w:val="24"/>
        </w:rPr>
        <w:t>July 17, 2015</w:t>
      </w:r>
      <w:r w:rsidRPr="00E553D0">
        <w:rPr>
          <w:rFonts w:ascii="Palatino Linotype" w:hAnsi="Palatino Linotype" w:cs="Palatino Linotype"/>
          <w:sz w:val="24"/>
          <w:szCs w:val="24"/>
        </w:rPr>
        <w:t xml:space="preserve">. </w:t>
      </w:r>
      <w:r>
        <w:rPr>
          <w:rFonts w:ascii="Palatino Linotype" w:hAnsi="Palatino Linotype" w:cs="Palatino Linotype"/>
          <w:sz w:val="24"/>
          <w:szCs w:val="24"/>
        </w:rPr>
        <w:t xml:space="preserve"> </w:t>
      </w:r>
      <w:r w:rsidRPr="00E553D0">
        <w:rPr>
          <w:rFonts w:ascii="Palatino Linotype" w:hAnsi="Palatino Linotype" w:cs="Palatino Linotype"/>
          <w:sz w:val="24"/>
          <w:szCs w:val="24"/>
        </w:rPr>
        <w:t xml:space="preserve">CD received no challenges to this project. </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6D3520" w:rsidRDefault="00C67A2F" w:rsidP="00C67A2F">
      <w:pPr>
        <w:numPr>
          <w:ilvl w:val="0"/>
          <w:numId w:val="13"/>
        </w:numPr>
        <w:autoSpaceDE w:val="0"/>
        <w:autoSpaceDN w:val="0"/>
        <w:adjustRightInd w:val="0"/>
        <w:rPr>
          <w:rFonts w:ascii="Palatino Linotype" w:hAnsi="Palatino Linotype" w:cs="Palatino Linotype"/>
          <w:sz w:val="24"/>
          <w:szCs w:val="24"/>
        </w:rPr>
      </w:pPr>
      <w:r w:rsidRPr="006D3520">
        <w:rPr>
          <w:rFonts w:ascii="Palatino Linotype" w:hAnsi="Palatino Linotype" w:cs="Palatino Linotype"/>
          <w:sz w:val="24"/>
          <w:szCs w:val="24"/>
        </w:rPr>
        <w:t xml:space="preserve">CD reviewed and analyzed data submitted for the </w:t>
      </w:r>
      <w:r>
        <w:rPr>
          <w:rFonts w:ascii="Palatino Linotype" w:hAnsi="Palatino Linotype" w:cs="Palatino Linotype"/>
          <w:sz w:val="24"/>
          <w:szCs w:val="24"/>
        </w:rPr>
        <w:t>AEC Connect Anza</w:t>
      </w:r>
      <w:r w:rsidRPr="006D3520">
        <w:rPr>
          <w:rFonts w:ascii="Palatino Linotype" w:hAnsi="Palatino Linotype" w:cs="Palatino Linotype"/>
          <w:sz w:val="24"/>
          <w:szCs w:val="24"/>
        </w:rPr>
        <w:t xml:space="preserve"> Project’s CASF grant application to determine the project’s eligibility for CASF funding. This data included, but was not limited to: descriptions of current and proposed broadband infrastructure; geographic information system (GIS) formatted shapefiles mapping the project areas; assertion that the area is underserved; number of potential subscriber households and average incomes; project construction schedule; project budget; proposed pricing and commitment period for new subscribers; and financial viability of the applicant. </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096BE4" w:rsidRDefault="00C67A2F" w:rsidP="00C67A2F">
      <w:pPr>
        <w:numPr>
          <w:ilvl w:val="0"/>
          <w:numId w:val="13"/>
        </w:numPr>
        <w:autoSpaceDE w:val="0"/>
        <w:autoSpaceDN w:val="0"/>
        <w:adjustRightInd w:val="0"/>
        <w:rPr>
          <w:rFonts w:ascii="Palatino Linotype" w:hAnsi="Palatino Linotype" w:cs="Palatino Linotype"/>
          <w:sz w:val="24"/>
          <w:szCs w:val="24"/>
        </w:rPr>
      </w:pPr>
      <w:r w:rsidRPr="00096BE4">
        <w:rPr>
          <w:rFonts w:ascii="Palatino Linotype" w:hAnsi="Palatino Linotype" w:cs="Palatino Linotype"/>
          <w:sz w:val="24"/>
          <w:szCs w:val="24"/>
        </w:rPr>
        <w:t xml:space="preserve">CD reviewed the submitted shapefiles, which mapped the proposed broadband deployment using United States 2010 Census data and the California Interactive Broadband Availability Maps, with availability data current as of </w:t>
      </w:r>
      <w:r>
        <w:rPr>
          <w:rFonts w:ascii="Palatino Linotype" w:hAnsi="Palatino Linotype" w:cs="Palatino Linotype"/>
          <w:sz w:val="24"/>
          <w:szCs w:val="24"/>
        </w:rPr>
        <w:t>June 30</w:t>
      </w:r>
      <w:r w:rsidRPr="00096BE4">
        <w:rPr>
          <w:rFonts w:ascii="Palatino Linotype" w:hAnsi="Palatino Linotype" w:cs="Palatino Linotype"/>
          <w:sz w:val="24"/>
          <w:szCs w:val="24"/>
        </w:rPr>
        <w:t xml:space="preserve">, 2014. These maps helped to verify the availability and speed of any broadband service, where available. </w:t>
      </w:r>
      <w:r>
        <w:rPr>
          <w:rFonts w:ascii="Palatino Linotype" w:hAnsi="Palatino Linotype" w:cs="Palatino Linotype"/>
          <w:sz w:val="24"/>
          <w:szCs w:val="24"/>
        </w:rPr>
        <w:t xml:space="preserve"> </w:t>
      </w:r>
      <w:r w:rsidRPr="00096BE4">
        <w:rPr>
          <w:rFonts w:ascii="Palatino Linotype" w:hAnsi="Palatino Linotype" w:cs="Palatino Linotype"/>
          <w:sz w:val="24"/>
          <w:szCs w:val="24"/>
        </w:rPr>
        <w:t>The project area was determined to be underserved.</w:t>
      </w:r>
    </w:p>
    <w:p w:rsidR="00C67A2F" w:rsidRPr="00D217EA" w:rsidRDefault="00C67A2F" w:rsidP="00C67A2F">
      <w:pPr>
        <w:autoSpaceDE w:val="0"/>
        <w:autoSpaceDN w:val="0"/>
        <w:adjustRightInd w:val="0"/>
        <w:rPr>
          <w:rFonts w:ascii="Palatino Linotype" w:hAnsi="Palatino Linotype" w:cs="Palatino Linotype"/>
          <w:color w:val="FF0000"/>
          <w:sz w:val="24"/>
          <w:szCs w:val="24"/>
        </w:rPr>
      </w:pPr>
    </w:p>
    <w:p w:rsidR="00C67A2F" w:rsidRPr="00BB76F8" w:rsidRDefault="00C67A2F" w:rsidP="00C67A2F">
      <w:pPr>
        <w:numPr>
          <w:ilvl w:val="0"/>
          <w:numId w:val="13"/>
        </w:numPr>
        <w:autoSpaceDE w:val="0"/>
        <w:autoSpaceDN w:val="0"/>
        <w:adjustRightInd w:val="0"/>
        <w:rPr>
          <w:rFonts w:ascii="Palatino Linotype" w:hAnsi="Palatino Linotype"/>
          <w:sz w:val="24"/>
          <w:szCs w:val="24"/>
        </w:rPr>
      </w:pPr>
      <w:r w:rsidRPr="00BB76F8">
        <w:rPr>
          <w:rFonts w:ascii="Palatino Linotype" w:hAnsi="Palatino Linotype"/>
          <w:sz w:val="24"/>
          <w:szCs w:val="24"/>
        </w:rPr>
        <w:t xml:space="preserve">Based on its review, CD determined that the project qualifies for funding under D. 12-02-015 and recommends Commission approval of CASF funding for </w:t>
      </w:r>
      <w:r>
        <w:rPr>
          <w:rFonts w:ascii="Palatino Linotype" w:hAnsi="Palatino Linotype"/>
          <w:sz w:val="24"/>
          <w:szCs w:val="24"/>
        </w:rPr>
        <w:t>AEC</w:t>
      </w:r>
      <w:r w:rsidRPr="00BB76F8">
        <w:rPr>
          <w:rFonts w:ascii="Palatino Linotype" w:hAnsi="Palatino Linotype"/>
          <w:sz w:val="24"/>
          <w:szCs w:val="24"/>
        </w:rPr>
        <w:t xml:space="preserve">’s </w:t>
      </w:r>
      <w:r>
        <w:rPr>
          <w:rFonts w:ascii="Palatino Linotype" w:hAnsi="Palatino Linotype"/>
          <w:sz w:val="24"/>
          <w:szCs w:val="24"/>
        </w:rPr>
        <w:t>Connect Anza</w:t>
      </w:r>
      <w:r w:rsidRPr="00BB76F8">
        <w:rPr>
          <w:rFonts w:ascii="Palatino Linotype" w:hAnsi="Palatino Linotype"/>
          <w:sz w:val="24"/>
          <w:szCs w:val="24"/>
        </w:rPr>
        <w:t xml:space="preserve"> Project. </w:t>
      </w:r>
    </w:p>
    <w:p w:rsidR="00C67A2F" w:rsidRPr="00D217EA" w:rsidRDefault="00C67A2F" w:rsidP="00C67A2F">
      <w:pPr>
        <w:autoSpaceDE w:val="0"/>
        <w:autoSpaceDN w:val="0"/>
        <w:adjustRightInd w:val="0"/>
        <w:rPr>
          <w:rFonts w:ascii="Palatino Linotype" w:hAnsi="Palatino Linotype"/>
          <w:color w:val="FF0000"/>
          <w:sz w:val="24"/>
          <w:szCs w:val="24"/>
        </w:rPr>
      </w:pPr>
    </w:p>
    <w:p w:rsidR="00C67A2F" w:rsidRPr="00922819" w:rsidRDefault="00C67A2F" w:rsidP="00C67A2F">
      <w:pPr>
        <w:numPr>
          <w:ilvl w:val="0"/>
          <w:numId w:val="13"/>
        </w:numPr>
        <w:autoSpaceDE w:val="0"/>
        <w:autoSpaceDN w:val="0"/>
        <w:adjustRightInd w:val="0"/>
        <w:rPr>
          <w:rFonts w:ascii="Palatino Linotype" w:hAnsi="Palatino Linotype"/>
          <w:sz w:val="24"/>
          <w:szCs w:val="24"/>
        </w:rPr>
      </w:pPr>
      <w:r>
        <w:rPr>
          <w:rFonts w:ascii="Palatino Linotype" w:hAnsi="Palatino Linotype"/>
          <w:sz w:val="24"/>
          <w:szCs w:val="24"/>
        </w:rPr>
        <w:t>AEC</w:t>
      </w:r>
      <w:r w:rsidRPr="00922819">
        <w:rPr>
          <w:rFonts w:ascii="Palatino Linotype" w:hAnsi="Palatino Linotype"/>
          <w:sz w:val="24"/>
          <w:szCs w:val="24"/>
        </w:rPr>
        <w:t xml:space="preserve"> is required to comply with all guidelines, requirements, and conditions associated with the granting of CASF funds as specified in D.12-02-015 and must submit the FCC Form 477, as specified in T-17143. </w:t>
      </w:r>
    </w:p>
    <w:p w:rsidR="00C67A2F" w:rsidRPr="00D217EA" w:rsidRDefault="00C67A2F" w:rsidP="00C67A2F">
      <w:pPr>
        <w:autoSpaceDE w:val="0"/>
        <w:autoSpaceDN w:val="0"/>
        <w:adjustRightInd w:val="0"/>
        <w:rPr>
          <w:rFonts w:ascii="Palatino Linotype" w:hAnsi="Palatino Linotype"/>
          <w:color w:val="FF0000"/>
          <w:sz w:val="24"/>
          <w:szCs w:val="24"/>
        </w:rPr>
      </w:pPr>
    </w:p>
    <w:p w:rsidR="00C67A2F" w:rsidRPr="00922819" w:rsidRDefault="00C67A2F" w:rsidP="00C67A2F">
      <w:pPr>
        <w:numPr>
          <w:ilvl w:val="0"/>
          <w:numId w:val="13"/>
        </w:numPr>
        <w:autoSpaceDE w:val="0"/>
        <w:autoSpaceDN w:val="0"/>
        <w:adjustRightInd w:val="0"/>
        <w:rPr>
          <w:rFonts w:ascii="Palatino Linotype" w:hAnsi="Palatino Linotype"/>
          <w:sz w:val="24"/>
          <w:szCs w:val="24"/>
        </w:rPr>
      </w:pPr>
      <w:r w:rsidRPr="00922819">
        <w:rPr>
          <w:rFonts w:ascii="Palatino Linotype" w:hAnsi="Palatino Linotype"/>
          <w:sz w:val="24"/>
          <w:szCs w:val="24"/>
        </w:rPr>
        <w:t xml:space="preserve">The Commission finds CD’s recommendation to fund </w:t>
      </w:r>
      <w:r>
        <w:rPr>
          <w:rFonts w:ascii="Palatino Linotype" w:hAnsi="Palatino Linotype"/>
          <w:sz w:val="24"/>
          <w:szCs w:val="24"/>
        </w:rPr>
        <w:t>AEC</w:t>
      </w:r>
      <w:r w:rsidRPr="00922819">
        <w:rPr>
          <w:rFonts w:ascii="Palatino Linotype" w:hAnsi="Palatino Linotype"/>
          <w:sz w:val="24"/>
          <w:szCs w:val="24"/>
        </w:rPr>
        <w:t xml:space="preserve">’s project, as summarized in Appendix A, to be reasonable and consistent with Commission orders and, therefore, adopts such recommendation. </w:t>
      </w:r>
    </w:p>
    <w:p w:rsidR="00C67A2F" w:rsidRPr="00D217EA" w:rsidRDefault="00C67A2F" w:rsidP="00C67A2F">
      <w:pPr>
        <w:autoSpaceDE w:val="0"/>
        <w:autoSpaceDN w:val="0"/>
        <w:adjustRightInd w:val="0"/>
        <w:rPr>
          <w:rFonts w:ascii="Palatino Linotype" w:hAnsi="Palatino Linotype"/>
          <w:color w:val="FF0000"/>
          <w:sz w:val="24"/>
          <w:szCs w:val="24"/>
        </w:rPr>
      </w:pPr>
    </w:p>
    <w:p w:rsidR="00C67A2F" w:rsidRDefault="00C67A2F" w:rsidP="00C67A2F">
      <w:pPr>
        <w:numPr>
          <w:ilvl w:val="0"/>
          <w:numId w:val="13"/>
        </w:numPr>
        <w:autoSpaceDE w:val="0"/>
        <w:autoSpaceDN w:val="0"/>
        <w:adjustRightInd w:val="0"/>
        <w:rPr>
          <w:rFonts w:ascii="Palatino Linotype" w:hAnsi="Palatino Linotype"/>
          <w:sz w:val="24"/>
          <w:szCs w:val="24"/>
        </w:rPr>
      </w:pPr>
      <w:r w:rsidRPr="00922819">
        <w:rPr>
          <w:rFonts w:ascii="Palatino Linotype" w:hAnsi="Palatino Linotype"/>
          <w:sz w:val="24"/>
          <w:szCs w:val="24"/>
        </w:rPr>
        <w:t>The Commission has determined that the project is categorically exempt from CEQA review, under Section</w:t>
      </w:r>
      <w:r>
        <w:rPr>
          <w:rFonts w:ascii="Palatino Linotype" w:hAnsi="Palatino Linotype"/>
          <w:sz w:val="24"/>
          <w:szCs w:val="24"/>
        </w:rPr>
        <w:t xml:space="preserve">s 15301, </w:t>
      </w:r>
      <w:r w:rsidRPr="00922819">
        <w:rPr>
          <w:rFonts w:ascii="Palatino Linotype" w:hAnsi="Palatino Linotype"/>
          <w:sz w:val="24"/>
          <w:szCs w:val="24"/>
        </w:rPr>
        <w:t>15303</w:t>
      </w:r>
      <w:r>
        <w:rPr>
          <w:rFonts w:ascii="Palatino Linotype" w:hAnsi="Palatino Linotype"/>
          <w:sz w:val="24"/>
          <w:szCs w:val="24"/>
        </w:rPr>
        <w:t xml:space="preserve"> and 15304</w:t>
      </w:r>
      <w:r w:rsidRPr="00922819">
        <w:rPr>
          <w:rFonts w:ascii="Palatino Linotype" w:hAnsi="Palatino Linotype"/>
          <w:sz w:val="24"/>
          <w:szCs w:val="24"/>
        </w:rPr>
        <w:t xml:space="preserve"> of the CEQA Guidelines because the project involves minor modifications to existing structures and facilities and possibly a minor amount of trenching where the surface will be restored to </w:t>
      </w:r>
      <w:r w:rsidRPr="000A50A8">
        <w:rPr>
          <w:rFonts w:ascii="Palatino Linotype" w:hAnsi="Palatino Linotype"/>
          <w:sz w:val="24"/>
          <w:szCs w:val="24"/>
        </w:rPr>
        <w:t xml:space="preserve">existing conditions. </w:t>
      </w:r>
    </w:p>
    <w:p w:rsidR="00C67A2F" w:rsidRDefault="00C67A2F" w:rsidP="00C67A2F">
      <w:pPr>
        <w:pStyle w:val="ListParagraph"/>
        <w:rPr>
          <w:rFonts w:ascii="Palatino Linotype" w:hAnsi="Palatino Linotype"/>
          <w:sz w:val="24"/>
          <w:szCs w:val="24"/>
        </w:rPr>
      </w:pPr>
    </w:p>
    <w:p w:rsidR="00C67A2F" w:rsidRPr="00901A5F" w:rsidRDefault="00C67A2F" w:rsidP="00C67A2F">
      <w:pPr>
        <w:numPr>
          <w:ilvl w:val="0"/>
          <w:numId w:val="13"/>
        </w:numPr>
        <w:autoSpaceDE w:val="0"/>
        <w:autoSpaceDN w:val="0"/>
        <w:adjustRightInd w:val="0"/>
        <w:rPr>
          <w:rFonts w:ascii="Palatino Linotype" w:hAnsi="Palatino Linotype"/>
          <w:sz w:val="24"/>
          <w:szCs w:val="24"/>
        </w:rPr>
      </w:pPr>
      <w:r w:rsidRPr="00B92B1C">
        <w:rPr>
          <w:rFonts w:ascii="Palatino Linotype" w:hAnsi="Palatino Linotype"/>
          <w:sz w:val="24"/>
          <w:szCs w:val="24"/>
        </w:rPr>
        <w:t xml:space="preserve">AEC </w:t>
      </w:r>
      <w:r>
        <w:rPr>
          <w:rFonts w:ascii="Palatino Linotype" w:hAnsi="Palatino Linotype"/>
          <w:sz w:val="24"/>
          <w:szCs w:val="24"/>
        </w:rPr>
        <w:t xml:space="preserve">will be required to show evidence of a performance bond at time of first payment if its CPCN application is not been granted.  If the CPCN is granted, AEC is </w:t>
      </w:r>
      <w:r w:rsidRPr="00B92B1C">
        <w:rPr>
          <w:rFonts w:ascii="Palatino Linotype" w:hAnsi="Palatino Linotype"/>
          <w:sz w:val="24"/>
          <w:szCs w:val="24"/>
        </w:rPr>
        <w:t xml:space="preserve">not required to post a performance bond </w:t>
      </w:r>
      <w:r w:rsidRPr="00901A5F">
        <w:rPr>
          <w:rFonts w:ascii="Palatino Linotype" w:hAnsi="Palatino Linotype"/>
          <w:sz w:val="24"/>
          <w:szCs w:val="24"/>
        </w:rPr>
        <w:t xml:space="preserve">because </w:t>
      </w:r>
      <w:r>
        <w:rPr>
          <w:rFonts w:ascii="Palatino Linotype" w:hAnsi="Palatino Linotype"/>
          <w:sz w:val="24"/>
          <w:szCs w:val="24"/>
        </w:rPr>
        <w:t>4</w:t>
      </w:r>
      <w:r w:rsidRPr="00901A5F">
        <w:rPr>
          <w:rFonts w:ascii="Palatino Linotype" w:hAnsi="Palatino Linotype"/>
          <w:sz w:val="24"/>
          <w:szCs w:val="24"/>
        </w:rPr>
        <w:t>0% of the</w:t>
      </w:r>
      <w:r w:rsidRPr="00B92B1C">
        <w:rPr>
          <w:rFonts w:ascii="Palatino Linotype" w:hAnsi="Palatino Linotype"/>
          <w:sz w:val="24"/>
          <w:szCs w:val="24"/>
        </w:rPr>
        <w:t xml:space="preserve"> total project cost will be financed through </w:t>
      </w:r>
      <w:r>
        <w:rPr>
          <w:rFonts w:ascii="Palatino Linotype" w:hAnsi="Palatino Linotype"/>
          <w:sz w:val="24"/>
          <w:szCs w:val="24"/>
        </w:rPr>
        <w:t xml:space="preserve">AEC’s </w:t>
      </w:r>
      <w:r w:rsidRPr="00B92B1C">
        <w:rPr>
          <w:rFonts w:ascii="Palatino Linotype" w:hAnsi="Palatino Linotype"/>
          <w:sz w:val="24"/>
          <w:szCs w:val="24"/>
        </w:rPr>
        <w:t>existing capital budget.</w:t>
      </w:r>
    </w:p>
    <w:p w:rsidR="00C67A2F" w:rsidRDefault="00C67A2F" w:rsidP="00C67A2F">
      <w:pPr>
        <w:pStyle w:val="ListParagraph"/>
        <w:rPr>
          <w:rFonts w:ascii="Palatino Linotype" w:hAnsi="Palatino Linotype"/>
          <w:sz w:val="24"/>
          <w:szCs w:val="24"/>
        </w:rPr>
      </w:pPr>
    </w:p>
    <w:p w:rsidR="00C67A2F" w:rsidRDefault="00C67A2F" w:rsidP="00C67A2F">
      <w:pPr>
        <w:numPr>
          <w:ilvl w:val="0"/>
          <w:numId w:val="13"/>
        </w:numPr>
        <w:autoSpaceDE w:val="0"/>
        <w:autoSpaceDN w:val="0"/>
        <w:adjustRightInd w:val="0"/>
        <w:rPr>
          <w:rFonts w:ascii="Palatino Linotype" w:hAnsi="Palatino Linotype"/>
          <w:sz w:val="24"/>
          <w:szCs w:val="24"/>
        </w:rPr>
      </w:pPr>
      <w:r>
        <w:rPr>
          <w:rFonts w:ascii="Palatino Linotype" w:hAnsi="Palatino Linotype"/>
          <w:sz w:val="24"/>
          <w:szCs w:val="24"/>
        </w:rPr>
        <w:t xml:space="preserve">A </w:t>
      </w:r>
      <w:r w:rsidRPr="000A50A8">
        <w:rPr>
          <w:rFonts w:ascii="Palatino Linotype" w:hAnsi="Palatino Linotype"/>
          <w:sz w:val="24"/>
          <w:szCs w:val="24"/>
        </w:rPr>
        <w:t xml:space="preserve">notice letter was e-mailed on </w:t>
      </w:r>
      <w:r>
        <w:rPr>
          <w:rFonts w:ascii="Palatino Linotype" w:hAnsi="Palatino Linotype"/>
          <w:sz w:val="24"/>
          <w:szCs w:val="24"/>
        </w:rPr>
        <w:t>November 13</w:t>
      </w:r>
      <w:r w:rsidRPr="000A50A8">
        <w:rPr>
          <w:rFonts w:ascii="Palatino Linotype" w:hAnsi="Palatino Linotype"/>
          <w:sz w:val="24"/>
          <w:szCs w:val="24"/>
        </w:rPr>
        <w:t xml:space="preserve">, 2015, informing all applicants filing </w:t>
      </w:r>
      <w:r w:rsidRPr="00C409EB">
        <w:rPr>
          <w:rFonts w:ascii="Palatino Linotype" w:hAnsi="Palatino Linotype"/>
          <w:sz w:val="24"/>
          <w:szCs w:val="24"/>
        </w:rPr>
        <w:t xml:space="preserve">for CASF funding, parties on the CASF distribution list of the availability of the draft of this Resolution for public comments at the Commission’s website http://www.cpuc.ca.gov/PUC/documents/. This letter also informed parties that the final confirmed Resolution adopted by the Commission will be posted and available at this same website.  </w:t>
      </w:r>
    </w:p>
    <w:p w:rsidR="0028315D" w:rsidRDefault="0028315D" w:rsidP="0028315D">
      <w:pPr>
        <w:pStyle w:val="ListParagraph"/>
        <w:rPr>
          <w:rFonts w:ascii="Palatino Linotype" w:hAnsi="Palatino Linotype"/>
          <w:sz w:val="24"/>
          <w:szCs w:val="24"/>
        </w:rPr>
      </w:pPr>
    </w:p>
    <w:p w:rsidR="0028315D" w:rsidRPr="00A83D94" w:rsidRDefault="0028315D" w:rsidP="00C67A2F">
      <w:pPr>
        <w:numPr>
          <w:ilvl w:val="0"/>
          <w:numId w:val="13"/>
        </w:numPr>
        <w:autoSpaceDE w:val="0"/>
        <w:autoSpaceDN w:val="0"/>
        <w:adjustRightInd w:val="0"/>
        <w:rPr>
          <w:rFonts w:ascii="Palatino Linotype" w:hAnsi="Palatino Linotype"/>
          <w:sz w:val="24"/>
          <w:szCs w:val="24"/>
        </w:rPr>
      </w:pPr>
      <w:r w:rsidRPr="00A83D94">
        <w:rPr>
          <w:rFonts w:ascii="Palatino Linotype" w:hAnsi="Palatino Linotype"/>
          <w:sz w:val="24"/>
          <w:szCs w:val="24"/>
        </w:rPr>
        <w:t xml:space="preserve">A single comment was received by a local resident opposing the project.  AEC addressed the resident’s concerns in their reply comments.  AEC has showed substantial public support for their proposal; therefore CD continues to support the proposal.  </w:t>
      </w:r>
    </w:p>
    <w:p w:rsidR="00C67A2F" w:rsidRPr="00D217EA" w:rsidRDefault="00C67A2F" w:rsidP="00C67A2F">
      <w:pPr>
        <w:tabs>
          <w:tab w:val="left" w:pos="360"/>
          <w:tab w:val="left" w:pos="9540"/>
        </w:tabs>
        <w:ind w:right="630"/>
        <w:rPr>
          <w:rFonts w:ascii="Palatino Linotype" w:hAnsi="Palatino Linotype"/>
          <w:b/>
          <w:color w:val="FF0000"/>
          <w:sz w:val="24"/>
          <w:szCs w:val="24"/>
        </w:rPr>
      </w:pPr>
    </w:p>
    <w:p w:rsidR="00C67A2F" w:rsidRPr="009D158E" w:rsidRDefault="00C67A2F" w:rsidP="00C67A2F">
      <w:pPr>
        <w:keepNext/>
        <w:keepLines/>
        <w:tabs>
          <w:tab w:val="left" w:pos="360"/>
          <w:tab w:val="left" w:pos="9540"/>
        </w:tabs>
        <w:ind w:left="-86" w:right="630"/>
        <w:rPr>
          <w:rFonts w:ascii="Palatino Linotype" w:hAnsi="Palatino Linotype"/>
          <w:color w:val="000000" w:themeColor="text1"/>
          <w:sz w:val="24"/>
          <w:szCs w:val="24"/>
        </w:rPr>
      </w:pPr>
      <w:r w:rsidRPr="009D158E">
        <w:rPr>
          <w:rFonts w:ascii="Palatino Linotype" w:hAnsi="Palatino Linotype"/>
          <w:b/>
          <w:color w:val="000000" w:themeColor="text1"/>
          <w:sz w:val="24"/>
          <w:szCs w:val="24"/>
        </w:rPr>
        <w:t>THEREFORE, IT IS ORDERED that:</w:t>
      </w:r>
    </w:p>
    <w:p w:rsidR="00C67A2F" w:rsidRPr="009D158E" w:rsidRDefault="00C67A2F" w:rsidP="00C67A2F">
      <w:pPr>
        <w:autoSpaceDE w:val="0"/>
        <w:autoSpaceDN w:val="0"/>
        <w:adjustRightInd w:val="0"/>
        <w:rPr>
          <w:rFonts w:ascii="Palatino Linotype" w:hAnsi="Palatino Linotype" w:cs="Palatino Linotype"/>
          <w:color w:val="000000" w:themeColor="text1"/>
          <w:sz w:val="24"/>
          <w:szCs w:val="24"/>
        </w:rPr>
      </w:pPr>
    </w:p>
    <w:p w:rsidR="00C67A2F" w:rsidRPr="009D158E" w:rsidRDefault="00C67A2F" w:rsidP="00C67A2F">
      <w:pPr>
        <w:numPr>
          <w:ilvl w:val="1"/>
          <w:numId w:val="21"/>
        </w:numPr>
        <w:autoSpaceDE w:val="0"/>
        <w:autoSpaceDN w:val="0"/>
        <w:adjustRightInd w:val="0"/>
        <w:spacing w:after="170"/>
        <w:ind w:left="720"/>
        <w:rPr>
          <w:rFonts w:ascii="Palatino Linotype" w:hAnsi="Palatino Linotype" w:cs="Palatino Linotype"/>
          <w:color w:val="000000" w:themeColor="text1"/>
          <w:sz w:val="24"/>
          <w:szCs w:val="24"/>
        </w:rPr>
      </w:pPr>
      <w:r w:rsidRPr="009D158E">
        <w:rPr>
          <w:rFonts w:ascii="Palatino Linotype" w:hAnsi="Palatino Linotype" w:cs="Palatino Linotype"/>
          <w:color w:val="000000" w:themeColor="text1"/>
          <w:sz w:val="24"/>
          <w:szCs w:val="24"/>
        </w:rPr>
        <w:t xml:space="preserve">The Commission shall award </w:t>
      </w:r>
      <w:r w:rsidRPr="00F02B67">
        <w:rPr>
          <w:rFonts w:ascii="Palatino Linotype" w:hAnsi="Palatino Linotype" w:cs="Palatino Linotype"/>
          <w:color w:val="000000" w:themeColor="text1"/>
          <w:sz w:val="24"/>
          <w:szCs w:val="24"/>
        </w:rPr>
        <w:t>$2,662,450</w:t>
      </w:r>
      <w:r>
        <w:rPr>
          <w:rFonts w:ascii="Palatino Linotype" w:hAnsi="Palatino Linotype" w:cs="Palatino Linotype"/>
          <w:color w:val="000000" w:themeColor="text1"/>
          <w:sz w:val="24"/>
          <w:szCs w:val="24"/>
        </w:rPr>
        <w:t xml:space="preserve"> </w:t>
      </w:r>
      <w:r w:rsidRPr="009D158E">
        <w:rPr>
          <w:rFonts w:ascii="Palatino Linotype" w:hAnsi="Palatino Linotype" w:cs="Palatino Linotype"/>
          <w:color w:val="000000" w:themeColor="text1"/>
          <w:sz w:val="24"/>
          <w:szCs w:val="24"/>
        </w:rPr>
        <w:t xml:space="preserve">to </w:t>
      </w:r>
      <w:r>
        <w:rPr>
          <w:rFonts w:ascii="Palatino Linotype" w:hAnsi="Palatino Linotype" w:cs="Palatino Linotype"/>
          <w:color w:val="000000" w:themeColor="text1"/>
          <w:sz w:val="24"/>
          <w:szCs w:val="24"/>
        </w:rPr>
        <w:t>AEC</w:t>
      </w:r>
      <w:r w:rsidRPr="009D158E">
        <w:rPr>
          <w:rFonts w:ascii="Palatino Linotype" w:hAnsi="Palatino Linotype" w:cs="Palatino Linotype"/>
          <w:color w:val="000000" w:themeColor="text1"/>
          <w:sz w:val="24"/>
          <w:szCs w:val="24"/>
        </w:rPr>
        <w:t xml:space="preserve"> for the </w:t>
      </w:r>
      <w:r>
        <w:rPr>
          <w:rFonts w:ascii="Palatino Linotype" w:hAnsi="Palatino Linotype" w:cs="Palatino Linotype"/>
          <w:color w:val="000000" w:themeColor="text1"/>
          <w:sz w:val="24"/>
          <w:szCs w:val="24"/>
        </w:rPr>
        <w:t>Connect Anza</w:t>
      </w:r>
      <w:r w:rsidRPr="009D158E">
        <w:rPr>
          <w:rFonts w:ascii="Palatino Linotype" w:hAnsi="Palatino Linotype" w:cs="Palatino Linotype"/>
          <w:color w:val="000000" w:themeColor="text1"/>
          <w:sz w:val="24"/>
          <w:szCs w:val="24"/>
        </w:rPr>
        <w:t xml:space="preserve"> Project as described herein and summarized in Appendix A of this Resolution. </w:t>
      </w:r>
    </w:p>
    <w:p w:rsidR="00C67A2F" w:rsidRPr="009D158E" w:rsidRDefault="00C67A2F" w:rsidP="00C67A2F">
      <w:pPr>
        <w:numPr>
          <w:ilvl w:val="1"/>
          <w:numId w:val="21"/>
        </w:numPr>
        <w:autoSpaceDE w:val="0"/>
        <w:autoSpaceDN w:val="0"/>
        <w:adjustRightInd w:val="0"/>
        <w:spacing w:after="170"/>
        <w:ind w:left="720"/>
        <w:rPr>
          <w:rFonts w:ascii="Palatino Linotype" w:hAnsi="Palatino Linotype" w:cs="Palatino Linotype"/>
          <w:color w:val="000000" w:themeColor="text1"/>
          <w:sz w:val="24"/>
          <w:szCs w:val="24"/>
        </w:rPr>
      </w:pPr>
      <w:r w:rsidRPr="009D158E">
        <w:rPr>
          <w:rFonts w:ascii="Palatino Linotype" w:hAnsi="Palatino Linotype" w:cs="Palatino Linotype"/>
          <w:color w:val="000000" w:themeColor="text1"/>
          <w:sz w:val="24"/>
          <w:szCs w:val="24"/>
        </w:rPr>
        <w:t xml:space="preserve">The program fund payment of </w:t>
      </w:r>
      <w:r w:rsidRPr="00F02B67">
        <w:rPr>
          <w:rFonts w:ascii="Palatino Linotype" w:hAnsi="Palatino Linotype" w:cs="Palatino Linotype"/>
          <w:color w:val="000000" w:themeColor="text1"/>
          <w:sz w:val="24"/>
          <w:szCs w:val="24"/>
        </w:rPr>
        <w:t>$2,662,450</w:t>
      </w:r>
      <w:r>
        <w:rPr>
          <w:rFonts w:ascii="Palatino Linotype" w:hAnsi="Palatino Linotype" w:cs="Palatino Linotype"/>
          <w:color w:val="000000" w:themeColor="text1"/>
          <w:sz w:val="24"/>
          <w:szCs w:val="24"/>
        </w:rPr>
        <w:t xml:space="preserve"> </w:t>
      </w:r>
      <w:r w:rsidRPr="009D158E">
        <w:rPr>
          <w:rFonts w:ascii="Palatino Linotype" w:hAnsi="Palatino Linotype" w:cs="Palatino Linotype"/>
          <w:color w:val="000000" w:themeColor="text1"/>
          <w:sz w:val="24"/>
          <w:szCs w:val="24"/>
        </w:rPr>
        <w:t>for this project in underserved areas shall be paid out of the CASF Infrastructure Grant Account in accordance with the guidelines adopted in D.12-02-015, including compliance with CEQA.</w:t>
      </w:r>
    </w:p>
    <w:p w:rsidR="00C67A2F" w:rsidRPr="009D158E" w:rsidRDefault="00C67A2F" w:rsidP="00C67A2F">
      <w:pPr>
        <w:numPr>
          <w:ilvl w:val="1"/>
          <w:numId w:val="21"/>
        </w:numPr>
        <w:autoSpaceDE w:val="0"/>
        <w:autoSpaceDN w:val="0"/>
        <w:adjustRightInd w:val="0"/>
        <w:spacing w:after="170"/>
        <w:ind w:left="720"/>
        <w:rPr>
          <w:rFonts w:ascii="Palatino Linotype" w:hAnsi="Palatino Linotype" w:cs="Palatino Linotype"/>
          <w:color w:val="000000" w:themeColor="text1"/>
          <w:sz w:val="24"/>
          <w:szCs w:val="24"/>
        </w:rPr>
      </w:pPr>
      <w:r w:rsidRPr="009D158E">
        <w:rPr>
          <w:rFonts w:ascii="Palatino Linotype" w:hAnsi="Palatino Linotype" w:cs="Palatino Linotype"/>
          <w:color w:val="000000" w:themeColor="text1"/>
          <w:sz w:val="24"/>
          <w:szCs w:val="24"/>
        </w:rPr>
        <w:t xml:space="preserve">Payments to the CASF recipient shall be in accordance with Section XI of Appendix 1 of D.12-02-015 and in accordance with the process defined in the “Payments to CASF Recipients” section of this Resolution. </w:t>
      </w:r>
    </w:p>
    <w:p w:rsidR="003C1D5B" w:rsidRPr="003C1D5B" w:rsidRDefault="00C67A2F" w:rsidP="003C1D5B">
      <w:pPr>
        <w:numPr>
          <w:ilvl w:val="1"/>
          <w:numId w:val="21"/>
        </w:numPr>
        <w:autoSpaceDE w:val="0"/>
        <w:autoSpaceDN w:val="0"/>
        <w:adjustRightInd w:val="0"/>
        <w:ind w:left="720" w:right="180"/>
        <w:rPr>
          <w:rFonts w:ascii="Palatino Linotype" w:hAnsi="Palatino Linotype"/>
          <w:color w:val="000000" w:themeColor="text1"/>
          <w:sz w:val="24"/>
          <w:szCs w:val="24"/>
        </w:rPr>
      </w:pPr>
      <w:r w:rsidRPr="003876A1">
        <w:rPr>
          <w:rFonts w:ascii="Palatino Linotype" w:hAnsi="Palatino Linotype" w:cs="Palatino Linotype"/>
          <w:color w:val="000000" w:themeColor="text1"/>
          <w:sz w:val="24"/>
          <w:szCs w:val="24"/>
        </w:rPr>
        <w:t xml:space="preserve">The CASF fund recipient, AEC, shall comply with all guidelines, requirements and conditions associated with the CASF funds award as specified in D.12-02-015 and must submit the FCC Form 477 to the Commission, as specified in Resolution T-17143. </w:t>
      </w:r>
    </w:p>
    <w:p w:rsidR="003C1D5B" w:rsidRDefault="003C1D5B" w:rsidP="003C1D5B">
      <w:pPr>
        <w:autoSpaceDE w:val="0"/>
        <w:autoSpaceDN w:val="0"/>
        <w:adjustRightInd w:val="0"/>
        <w:ind w:left="720" w:right="180"/>
        <w:rPr>
          <w:rFonts w:ascii="Palatino Linotype" w:hAnsi="Palatino Linotype" w:cs="Palatino Linotype"/>
          <w:color w:val="000000" w:themeColor="text1"/>
          <w:sz w:val="24"/>
          <w:szCs w:val="24"/>
        </w:rPr>
      </w:pPr>
    </w:p>
    <w:p w:rsidR="003C1D5B" w:rsidRDefault="003C1D5B" w:rsidP="003C1D5B">
      <w:pPr>
        <w:autoSpaceDE w:val="0"/>
        <w:autoSpaceDN w:val="0"/>
        <w:adjustRightInd w:val="0"/>
        <w:ind w:left="720" w:right="180"/>
        <w:rPr>
          <w:rFonts w:ascii="Palatino Linotype" w:hAnsi="Palatino Linotype" w:cs="Palatino Linotype"/>
          <w:color w:val="000000" w:themeColor="text1"/>
          <w:sz w:val="24"/>
          <w:szCs w:val="24"/>
        </w:rPr>
      </w:pPr>
    </w:p>
    <w:p w:rsidR="003C1D5B" w:rsidRDefault="003C1D5B" w:rsidP="003C1D5B">
      <w:pPr>
        <w:autoSpaceDE w:val="0"/>
        <w:autoSpaceDN w:val="0"/>
        <w:adjustRightInd w:val="0"/>
        <w:ind w:left="720" w:right="180"/>
        <w:rPr>
          <w:rFonts w:ascii="Palatino Linotype" w:hAnsi="Palatino Linotype" w:cs="Palatino Linotype"/>
          <w:color w:val="000000" w:themeColor="text1"/>
          <w:sz w:val="24"/>
          <w:szCs w:val="24"/>
        </w:rPr>
      </w:pPr>
    </w:p>
    <w:p w:rsidR="003C1D5B" w:rsidRDefault="003C1D5B" w:rsidP="003C1D5B">
      <w:pPr>
        <w:autoSpaceDE w:val="0"/>
        <w:autoSpaceDN w:val="0"/>
        <w:adjustRightInd w:val="0"/>
        <w:ind w:left="720" w:right="180"/>
        <w:rPr>
          <w:rFonts w:ascii="Palatino Linotype" w:hAnsi="Palatino Linotype" w:cs="Palatino Linotype"/>
          <w:color w:val="000000" w:themeColor="text1"/>
          <w:sz w:val="24"/>
          <w:szCs w:val="24"/>
        </w:rPr>
      </w:pPr>
    </w:p>
    <w:p w:rsidR="003C1D5B" w:rsidRDefault="003C1D5B" w:rsidP="003C1D5B">
      <w:pPr>
        <w:autoSpaceDE w:val="0"/>
        <w:autoSpaceDN w:val="0"/>
        <w:adjustRightInd w:val="0"/>
        <w:ind w:left="720" w:right="180"/>
        <w:rPr>
          <w:rFonts w:ascii="Palatino Linotype" w:hAnsi="Palatino Linotype" w:cs="Palatino Linotype"/>
          <w:color w:val="000000" w:themeColor="text1"/>
          <w:sz w:val="24"/>
          <w:szCs w:val="24"/>
        </w:rPr>
      </w:pPr>
    </w:p>
    <w:p w:rsidR="003C1D5B" w:rsidRDefault="003C1D5B" w:rsidP="003C1D5B">
      <w:pPr>
        <w:autoSpaceDE w:val="0"/>
        <w:autoSpaceDN w:val="0"/>
        <w:adjustRightInd w:val="0"/>
        <w:ind w:left="720" w:right="180"/>
        <w:rPr>
          <w:rFonts w:ascii="Palatino Linotype" w:hAnsi="Palatino Linotype" w:cs="Palatino Linotype"/>
          <w:color w:val="000000" w:themeColor="text1"/>
          <w:sz w:val="24"/>
          <w:szCs w:val="24"/>
        </w:rPr>
      </w:pPr>
    </w:p>
    <w:p w:rsidR="003C1D5B" w:rsidRDefault="003C1D5B" w:rsidP="003C1D5B">
      <w:pPr>
        <w:autoSpaceDE w:val="0"/>
        <w:autoSpaceDN w:val="0"/>
        <w:adjustRightInd w:val="0"/>
        <w:ind w:left="720" w:right="180"/>
        <w:rPr>
          <w:rFonts w:ascii="Palatino Linotype" w:hAnsi="Palatino Linotype"/>
          <w:color w:val="000000" w:themeColor="text1"/>
          <w:sz w:val="24"/>
          <w:szCs w:val="24"/>
        </w:rPr>
      </w:pPr>
    </w:p>
    <w:p w:rsidR="00C67A2F" w:rsidRDefault="00C67A2F" w:rsidP="003876A1">
      <w:pPr>
        <w:keepNext/>
        <w:keepLines/>
        <w:tabs>
          <w:tab w:val="left" w:pos="360"/>
        </w:tabs>
        <w:spacing w:after="120"/>
        <w:ind w:right="630"/>
        <w:rPr>
          <w:rFonts w:ascii="Palatino Linotype" w:hAnsi="Palatino Linotype"/>
          <w:color w:val="000000" w:themeColor="text1"/>
          <w:sz w:val="24"/>
          <w:szCs w:val="24"/>
        </w:rPr>
      </w:pPr>
      <w:r w:rsidRPr="009D158E">
        <w:rPr>
          <w:rFonts w:ascii="Palatino Linotype" w:hAnsi="Palatino Linotype"/>
          <w:color w:val="000000" w:themeColor="text1"/>
          <w:sz w:val="24"/>
          <w:szCs w:val="24"/>
        </w:rPr>
        <w:t>This Resolution is effective today.</w:t>
      </w:r>
    </w:p>
    <w:p w:rsidR="003876A1" w:rsidRDefault="003876A1" w:rsidP="003876A1">
      <w:pPr>
        <w:keepNext/>
        <w:keepLines/>
        <w:tabs>
          <w:tab w:val="left" w:pos="360"/>
        </w:tabs>
        <w:spacing w:after="120"/>
        <w:ind w:right="630"/>
        <w:rPr>
          <w:rFonts w:ascii="Palatino Linotype" w:hAnsi="Palatino Linotype"/>
          <w:color w:val="000000" w:themeColor="text1"/>
          <w:sz w:val="24"/>
          <w:szCs w:val="24"/>
        </w:rPr>
      </w:pPr>
    </w:p>
    <w:p w:rsidR="00C67A2F" w:rsidRDefault="00C67A2F" w:rsidP="00C67A2F">
      <w:pPr>
        <w:keepNext/>
        <w:keepLines/>
        <w:ind w:right="630"/>
        <w:rPr>
          <w:rFonts w:ascii="Palatino Linotype" w:hAnsi="Palatino Linotype"/>
          <w:color w:val="000000" w:themeColor="text1"/>
          <w:sz w:val="24"/>
          <w:szCs w:val="24"/>
        </w:rPr>
      </w:pPr>
      <w:r w:rsidRPr="009D158E">
        <w:rPr>
          <w:rFonts w:ascii="Palatino Linotype" w:hAnsi="Palatino Linotype"/>
          <w:color w:val="000000" w:themeColor="text1"/>
          <w:sz w:val="24"/>
          <w:szCs w:val="24"/>
        </w:rPr>
        <w:t xml:space="preserve">I hereby certify that this Resolution was adopted by the Public Utilities Commission at its regular meeting on </w:t>
      </w:r>
      <w:r>
        <w:rPr>
          <w:rFonts w:ascii="Palatino Linotype" w:hAnsi="Palatino Linotype"/>
          <w:color w:val="000000" w:themeColor="text1"/>
          <w:sz w:val="24"/>
          <w:szCs w:val="24"/>
        </w:rPr>
        <w:t>December 17</w:t>
      </w:r>
      <w:r w:rsidRPr="009D158E">
        <w:rPr>
          <w:rFonts w:ascii="Palatino Linotype" w:hAnsi="Palatino Linotype"/>
          <w:color w:val="000000" w:themeColor="text1"/>
          <w:sz w:val="24"/>
          <w:szCs w:val="24"/>
        </w:rPr>
        <w:t>, 2015. The following Commissioners approved it:</w:t>
      </w:r>
    </w:p>
    <w:p w:rsidR="003876A1" w:rsidRDefault="003876A1" w:rsidP="00C67A2F">
      <w:pPr>
        <w:keepNext/>
        <w:keepLines/>
        <w:ind w:right="630"/>
        <w:rPr>
          <w:rFonts w:ascii="Palatino Linotype" w:hAnsi="Palatino Linotype"/>
          <w:color w:val="000000" w:themeColor="text1"/>
          <w:sz w:val="24"/>
          <w:szCs w:val="24"/>
        </w:rPr>
      </w:pPr>
    </w:p>
    <w:p w:rsidR="003876A1" w:rsidRDefault="003876A1" w:rsidP="00C67A2F">
      <w:pPr>
        <w:keepNext/>
        <w:keepLines/>
        <w:ind w:right="630"/>
        <w:rPr>
          <w:rFonts w:ascii="Palatino Linotype" w:hAnsi="Palatino Linotype"/>
          <w:color w:val="000000" w:themeColor="text1"/>
          <w:sz w:val="24"/>
          <w:szCs w:val="24"/>
        </w:rPr>
      </w:pPr>
    </w:p>
    <w:p w:rsidR="003876A1" w:rsidRDefault="003876A1" w:rsidP="00C67A2F">
      <w:pPr>
        <w:keepNext/>
        <w:keepLines/>
        <w:ind w:right="630"/>
        <w:rPr>
          <w:rFonts w:ascii="Palatino Linotype" w:hAnsi="Palatino Linotype"/>
          <w:color w:val="000000" w:themeColor="text1"/>
          <w:sz w:val="24"/>
          <w:szCs w:val="24"/>
        </w:rPr>
      </w:pPr>
    </w:p>
    <w:p w:rsidR="003876A1" w:rsidRDefault="003876A1" w:rsidP="00C67A2F">
      <w:pPr>
        <w:keepNext/>
        <w:keepLines/>
        <w:ind w:right="630"/>
        <w:rPr>
          <w:rFonts w:ascii="Palatino Linotype" w:hAnsi="Palatino Linotype"/>
          <w:color w:val="000000" w:themeColor="text1"/>
          <w:sz w:val="24"/>
          <w:szCs w:val="24"/>
        </w:rPr>
      </w:pPr>
    </w:p>
    <w:p w:rsidR="003876A1" w:rsidRDefault="003876A1" w:rsidP="00C67A2F">
      <w:pPr>
        <w:keepNext/>
        <w:keepLines/>
        <w:ind w:right="630"/>
        <w:rPr>
          <w:rFonts w:ascii="Palatino Linotype" w:hAnsi="Palatino Linotype"/>
          <w:color w:val="000000" w:themeColor="text1"/>
          <w:sz w:val="24"/>
          <w:szCs w:val="24"/>
        </w:rPr>
      </w:pPr>
    </w:p>
    <w:p w:rsidR="00C67A2F" w:rsidRPr="009D158E" w:rsidRDefault="00C67A2F" w:rsidP="00C67A2F">
      <w:pPr>
        <w:keepNext/>
        <w:keepLines/>
        <w:rPr>
          <w:rFonts w:ascii="Palatino Linotype" w:hAnsi="Palatino Linotype"/>
          <w:color w:val="000000" w:themeColor="text1"/>
          <w:sz w:val="24"/>
          <w:szCs w:val="24"/>
        </w:rPr>
      </w:pPr>
    </w:p>
    <w:tbl>
      <w:tblPr>
        <w:tblW w:w="0" w:type="auto"/>
        <w:tblInd w:w="4788" w:type="dxa"/>
        <w:tblLayout w:type="fixed"/>
        <w:tblLook w:val="0000" w:firstRow="0" w:lastRow="0" w:firstColumn="0" w:lastColumn="0" w:noHBand="0" w:noVBand="0"/>
      </w:tblPr>
      <w:tblGrid>
        <w:gridCol w:w="3870"/>
      </w:tblGrid>
      <w:tr w:rsidR="00C67A2F" w:rsidRPr="009D158E">
        <w:tc>
          <w:tcPr>
            <w:tcW w:w="3870" w:type="dxa"/>
            <w:tcBorders>
              <w:bottom w:val="single" w:sz="6" w:space="0" w:color="auto"/>
            </w:tcBorders>
          </w:tcPr>
          <w:p w:rsidR="00C67A2F" w:rsidRPr="009D158E" w:rsidRDefault="00DB328C" w:rsidP="00723AC4">
            <w:pPr>
              <w:keepNext/>
              <w:keepLines/>
              <w:ind w:right="-648"/>
              <w:rPr>
                <w:rFonts w:ascii="Palatino Linotype" w:hAnsi="Palatino Linotype"/>
                <w:color w:val="000000" w:themeColor="text1"/>
                <w:sz w:val="24"/>
                <w:szCs w:val="24"/>
              </w:rPr>
            </w:pPr>
            <w:r>
              <w:rPr>
                <w:rFonts w:ascii="Palatino Linotype" w:hAnsi="Palatino Linotype"/>
                <w:color w:val="000000" w:themeColor="text1"/>
                <w:sz w:val="24"/>
                <w:szCs w:val="24"/>
              </w:rPr>
              <w:t xml:space="preserve">         /s/ Timothy J. Sullivan</w:t>
            </w:r>
            <w:r w:rsidR="00C67A2F" w:rsidRPr="009D158E">
              <w:rPr>
                <w:rFonts w:ascii="Palatino Linotype" w:hAnsi="Palatino Linotype"/>
                <w:color w:val="000000" w:themeColor="text1"/>
                <w:sz w:val="24"/>
                <w:szCs w:val="24"/>
              </w:rPr>
              <w:t xml:space="preserve">               </w:t>
            </w:r>
          </w:p>
        </w:tc>
      </w:tr>
      <w:tr w:rsidR="00C67A2F" w:rsidRPr="009D158E">
        <w:tc>
          <w:tcPr>
            <w:tcW w:w="3870" w:type="dxa"/>
          </w:tcPr>
          <w:p w:rsidR="00C67A2F" w:rsidRPr="009D158E" w:rsidRDefault="00C67A2F" w:rsidP="00723AC4">
            <w:pPr>
              <w:pStyle w:val="Heading6"/>
              <w:keepLines/>
              <w:jc w:val="center"/>
              <w:rPr>
                <w:rFonts w:ascii="Palatino Linotype" w:hAnsi="Palatino Linotype"/>
                <w:color w:val="000000" w:themeColor="text1"/>
                <w:szCs w:val="24"/>
              </w:rPr>
            </w:pPr>
            <w:r w:rsidRPr="009D158E">
              <w:rPr>
                <w:rFonts w:ascii="Palatino Linotype" w:hAnsi="Palatino Linotype"/>
                <w:color w:val="000000" w:themeColor="text1"/>
                <w:szCs w:val="24"/>
              </w:rPr>
              <w:t>TIMOTHY J. SULLIVAN</w:t>
            </w:r>
          </w:p>
          <w:p w:rsidR="00C67A2F" w:rsidRPr="009D158E" w:rsidRDefault="00C67A2F" w:rsidP="00723AC4">
            <w:pPr>
              <w:pStyle w:val="Heading6"/>
              <w:keepLines/>
              <w:spacing w:before="0"/>
              <w:jc w:val="center"/>
              <w:rPr>
                <w:rFonts w:ascii="Palatino Linotype" w:hAnsi="Palatino Linotype"/>
                <w:color w:val="000000" w:themeColor="text1"/>
                <w:szCs w:val="24"/>
              </w:rPr>
            </w:pPr>
            <w:r w:rsidRPr="009D158E">
              <w:rPr>
                <w:rFonts w:ascii="Palatino Linotype" w:hAnsi="Palatino Linotype"/>
                <w:color w:val="000000" w:themeColor="text1"/>
                <w:szCs w:val="24"/>
              </w:rPr>
              <w:t>Executive Director</w:t>
            </w:r>
          </w:p>
        </w:tc>
      </w:tr>
    </w:tbl>
    <w:p w:rsidR="0028315D" w:rsidRDefault="0028315D" w:rsidP="00C67A2F">
      <w:pPr>
        <w:keepNext/>
        <w:keepLines/>
        <w:jc w:val="right"/>
        <w:rPr>
          <w:rFonts w:ascii="Palatino Linotype" w:hAnsi="Palatino Linotype"/>
          <w:color w:val="FF0000"/>
          <w:sz w:val="24"/>
          <w:szCs w:val="24"/>
        </w:rPr>
        <w:sectPr w:rsidR="0028315D">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475" w:gutter="0"/>
          <w:pgNumType w:start="1"/>
          <w:cols w:space="720"/>
          <w:titlePg/>
          <w:docGrid w:linePitch="272"/>
        </w:sectPr>
      </w:pPr>
    </w:p>
    <w:p w:rsidR="003876A1" w:rsidRDefault="003876A1" w:rsidP="00C67A2F">
      <w:pPr>
        <w:keepNext/>
        <w:keepLines/>
        <w:jc w:val="right"/>
        <w:rPr>
          <w:rFonts w:ascii="Palatino Linotype" w:hAnsi="Palatino Linotype"/>
          <w:color w:val="FF0000"/>
          <w:sz w:val="24"/>
          <w:szCs w:val="24"/>
        </w:rPr>
      </w:pPr>
    </w:p>
    <w:p w:rsidR="00C37254" w:rsidRDefault="00C37254" w:rsidP="00C67A2F">
      <w:pPr>
        <w:keepNext/>
        <w:keepLines/>
        <w:jc w:val="right"/>
        <w:rPr>
          <w:rFonts w:ascii="Palatino Linotype" w:hAnsi="Palatino Linotype"/>
          <w:color w:val="FF0000"/>
          <w:sz w:val="24"/>
          <w:szCs w:val="24"/>
        </w:rPr>
      </w:pPr>
    </w:p>
    <w:tbl>
      <w:tblPr>
        <w:tblW w:w="0" w:type="auto"/>
        <w:tblInd w:w="4788" w:type="dxa"/>
        <w:tblLayout w:type="fixed"/>
        <w:tblLook w:val="0000" w:firstRow="0" w:lastRow="0" w:firstColumn="0" w:lastColumn="0" w:noHBand="0" w:noVBand="0"/>
      </w:tblPr>
      <w:tblGrid>
        <w:gridCol w:w="4050"/>
      </w:tblGrid>
      <w:tr w:rsidR="003876A1" w:rsidTr="00D573D3">
        <w:trPr>
          <w:trHeight w:val="366"/>
        </w:trPr>
        <w:tc>
          <w:tcPr>
            <w:tcW w:w="4050" w:type="dxa"/>
          </w:tcPr>
          <w:p w:rsidR="003876A1" w:rsidRPr="003115FB" w:rsidRDefault="003876A1" w:rsidP="00D573D3">
            <w:pPr>
              <w:tabs>
                <w:tab w:val="left" w:pos="2947"/>
              </w:tabs>
              <w:ind w:left="162" w:hanging="934"/>
              <w:rPr>
                <w:rFonts w:ascii="Palatino" w:hAnsi="Palatino"/>
                <w:sz w:val="24"/>
                <w:szCs w:val="24"/>
              </w:rPr>
            </w:pPr>
            <w:r>
              <w:rPr>
                <w:rFonts w:ascii="Palatino" w:hAnsi="Palatino"/>
                <w:sz w:val="24"/>
                <w:szCs w:val="24"/>
              </w:rPr>
              <w:t xml:space="preserve">                      </w:t>
            </w:r>
            <w:r>
              <w:rPr>
                <w:color w:val="000000"/>
                <w:sz w:val="26"/>
                <w:szCs w:val="26"/>
              </w:rPr>
              <w:t xml:space="preserve">MICHAEL PICKER                        </w:t>
            </w:r>
          </w:p>
          <w:p w:rsidR="003876A1" w:rsidRPr="003115FB" w:rsidRDefault="003876A1" w:rsidP="00D573D3">
            <w:pPr>
              <w:ind w:right="792"/>
              <w:jc w:val="right"/>
              <w:rPr>
                <w:rFonts w:ascii="Palatino" w:hAnsi="Palatino"/>
                <w:sz w:val="24"/>
                <w:szCs w:val="24"/>
              </w:rPr>
            </w:pPr>
            <w:r>
              <w:rPr>
                <w:rFonts w:ascii="Palatino" w:hAnsi="Palatino"/>
                <w:sz w:val="24"/>
                <w:szCs w:val="24"/>
              </w:rPr>
              <w:t xml:space="preserve">                      </w:t>
            </w:r>
            <w:r w:rsidRPr="003115FB">
              <w:rPr>
                <w:rFonts w:ascii="Palatino" w:hAnsi="Palatino"/>
                <w:sz w:val="24"/>
                <w:szCs w:val="24"/>
              </w:rPr>
              <w:t>President</w:t>
            </w:r>
          </w:p>
        </w:tc>
      </w:tr>
      <w:tr w:rsidR="003876A1" w:rsidTr="00D573D3">
        <w:trPr>
          <w:trHeight w:val="178"/>
        </w:trPr>
        <w:tc>
          <w:tcPr>
            <w:tcW w:w="4050" w:type="dxa"/>
          </w:tcPr>
          <w:p w:rsidR="003876A1" w:rsidRPr="003115FB" w:rsidRDefault="003876A1" w:rsidP="00D573D3">
            <w:pPr>
              <w:tabs>
                <w:tab w:val="left" w:pos="327"/>
              </w:tabs>
              <w:jc w:val="center"/>
              <w:rPr>
                <w:rFonts w:ascii="Palatino" w:hAnsi="Palatino"/>
                <w:sz w:val="24"/>
                <w:szCs w:val="24"/>
              </w:rPr>
            </w:pPr>
            <w:r w:rsidRPr="00754D52">
              <w:rPr>
                <w:color w:val="000000"/>
                <w:sz w:val="26"/>
                <w:szCs w:val="26"/>
              </w:rPr>
              <w:t>MICHEL PETER FLORIO</w:t>
            </w:r>
          </w:p>
        </w:tc>
      </w:tr>
      <w:tr w:rsidR="003876A1" w:rsidTr="00D573D3">
        <w:trPr>
          <w:trHeight w:val="178"/>
        </w:trPr>
        <w:tc>
          <w:tcPr>
            <w:tcW w:w="4050" w:type="dxa"/>
          </w:tcPr>
          <w:p w:rsidR="003876A1" w:rsidRPr="003115FB" w:rsidRDefault="003876A1" w:rsidP="00D573D3">
            <w:pPr>
              <w:jc w:val="right"/>
              <w:rPr>
                <w:rFonts w:ascii="Palatino" w:hAnsi="Palatino"/>
                <w:sz w:val="24"/>
                <w:szCs w:val="24"/>
              </w:rPr>
            </w:pPr>
            <w:r>
              <w:rPr>
                <w:rFonts w:ascii="Palatino" w:hAnsi="Palatino"/>
                <w:sz w:val="24"/>
                <w:szCs w:val="24"/>
              </w:rPr>
              <w:t>CATHERINE J.K. SANDOVAL</w:t>
            </w:r>
            <w:r>
              <w:rPr>
                <w:color w:val="000000"/>
                <w:sz w:val="26"/>
                <w:szCs w:val="26"/>
              </w:rPr>
              <w:t xml:space="preserve">  </w:t>
            </w:r>
          </w:p>
        </w:tc>
      </w:tr>
      <w:tr w:rsidR="003876A1" w:rsidTr="00D573D3">
        <w:trPr>
          <w:trHeight w:val="178"/>
        </w:trPr>
        <w:tc>
          <w:tcPr>
            <w:tcW w:w="4050" w:type="dxa"/>
          </w:tcPr>
          <w:p w:rsidR="003876A1" w:rsidRPr="003115FB" w:rsidRDefault="003876A1" w:rsidP="00D573D3">
            <w:pPr>
              <w:rPr>
                <w:rFonts w:ascii="Palatino" w:hAnsi="Palatino"/>
                <w:sz w:val="24"/>
                <w:szCs w:val="24"/>
              </w:rPr>
            </w:pPr>
            <w:r>
              <w:rPr>
                <w:color w:val="000000"/>
                <w:sz w:val="26"/>
                <w:szCs w:val="26"/>
              </w:rPr>
              <w:t xml:space="preserve">        CARLA J. PETERMAN</w:t>
            </w:r>
            <w:r>
              <w:rPr>
                <w:rFonts w:ascii="Palatino" w:hAnsi="Palatino"/>
                <w:sz w:val="24"/>
                <w:szCs w:val="24"/>
              </w:rPr>
              <w:t xml:space="preserve">   </w:t>
            </w:r>
          </w:p>
        </w:tc>
      </w:tr>
      <w:tr w:rsidR="003876A1" w:rsidTr="00D573D3">
        <w:trPr>
          <w:trHeight w:val="187"/>
        </w:trPr>
        <w:tc>
          <w:tcPr>
            <w:tcW w:w="4050" w:type="dxa"/>
          </w:tcPr>
          <w:p w:rsidR="003876A1" w:rsidRPr="00BF731F" w:rsidRDefault="003876A1" w:rsidP="00D573D3">
            <w:pPr>
              <w:ind w:right="-198"/>
              <w:rPr>
                <w:color w:val="000000"/>
                <w:sz w:val="26"/>
                <w:szCs w:val="26"/>
              </w:rPr>
            </w:pPr>
            <w:r>
              <w:rPr>
                <w:color w:val="000000"/>
                <w:sz w:val="26"/>
                <w:szCs w:val="26"/>
              </w:rPr>
              <w:t xml:space="preserve">        LIANE M. RANDOLPH</w:t>
            </w:r>
          </w:p>
        </w:tc>
      </w:tr>
      <w:tr w:rsidR="003876A1" w:rsidTr="00D573D3">
        <w:trPr>
          <w:trHeight w:val="187"/>
        </w:trPr>
        <w:tc>
          <w:tcPr>
            <w:tcW w:w="4050" w:type="dxa"/>
          </w:tcPr>
          <w:p w:rsidR="003876A1" w:rsidRPr="003115FB" w:rsidRDefault="003876A1" w:rsidP="00D573D3">
            <w:pPr>
              <w:jc w:val="right"/>
              <w:rPr>
                <w:rFonts w:ascii="Palatino" w:hAnsi="Palatino"/>
                <w:sz w:val="24"/>
                <w:szCs w:val="24"/>
              </w:rPr>
            </w:pPr>
            <w:r w:rsidRPr="003115FB">
              <w:rPr>
                <w:rFonts w:ascii="Palatino" w:hAnsi="Palatino"/>
                <w:sz w:val="24"/>
                <w:szCs w:val="24"/>
              </w:rPr>
              <w:t xml:space="preserve">                   Commissioners</w:t>
            </w:r>
          </w:p>
        </w:tc>
      </w:tr>
      <w:tr w:rsidR="003876A1" w:rsidRPr="00B540B5" w:rsidTr="00D573D3">
        <w:trPr>
          <w:trHeight w:val="187"/>
        </w:trPr>
        <w:tc>
          <w:tcPr>
            <w:tcW w:w="4050" w:type="dxa"/>
          </w:tcPr>
          <w:p w:rsidR="003876A1" w:rsidRPr="003115FB" w:rsidRDefault="003876A1" w:rsidP="00D573D3">
            <w:pPr>
              <w:ind w:right="72"/>
              <w:jc w:val="right"/>
              <w:rPr>
                <w:rFonts w:ascii="Palatino" w:hAnsi="Palatino"/>
                <w:sz w:val="24"/>
                <w:szCs w:val="24"/>
              </w:rPr>
            </w:pPr>
          </w:p>
        </w:tc>
      </w:tr>
    </w:tbl>
    <w:p w:rsidR="003876A1" w:rsidRPr="00D217EA" w:rsidRDefault="003876A1" w:rsidP="00C67A2F">
      <w:pPr>
        <w:keepNext/>
        <w:keepLines/>
        <w:jc w:val="right"/>
        <w:rPr>
          <w:rFonts w:ascii="Palatino Linotype" w:hAnsi="Palatino Linotype"/>
          <w:color w:val="FF0000"/>
          <w:sz w:val="24"/>
          <w:szCs w:val="24"/>
        </w:rPr>
      </w:pPr>
    </w:p>
    <w:p w:rsidR="00C67A2F" w:rsidRPr="00D217EA" w:rsidRDefault="00C67A2F" w:rsidP="00C67A2F">
      <w:pPr>
        <w:keepNext/>
        <w:keepLines/>
        <w:jc w:val="right"/>
        <w:rPr>
          <w:rFonts w:ascii="Palatino Linotype" w:hAnsi="Palatino Linotype"/>
          <w:color w:val="FF0000"/>
          <w:sz w:val="24"/>
          <w:szCs w:val="24"/>
        </w:rPr>
        <w:sectPr w:rsidR="00C67A2F" w:rsidRPr="00D217EA">
          <w:type w:val="continuous"/>
          <w:pgSz w:w="12240" w:h="15840" w:code="1"/>
          <w:pgMar w:top="1440" w:right="1440" w:bottom="1440" w:left="1440" w:header="720" w:footer="475" w:gutter="0"/>
          <w:pgNumType w:start="1"/>
          <w:cols w:space="720"/>
          <w:titlePg/>
          <w:docGrid w:linePitch="272"/>
        </w:sectPr>
      </w:pPr>
    </w:p>
    <w:p w:rsidR="00C67A2F" w:rsidRPr="00D217EA" w:rsidRDefault="00C67A2F" w:rsidP="00C67A2F">
      <w:pPr>
        <w:keepNext/>
        <w:keepLines/>
        <w:jc w:val="right"/>
        <w:rPr>
          <w:rFonts w:ascii="Palatino Linotype" w:hAnsi="Palatino Linotype"/>
          <w:color w:val="FF0000"/>
          <w:sz w:val="24"/>
          <w:szCs w:val="24"/>
        </w:rPr>
      </w:pPr>
    </w:p>
    <w:p w:rsidR="00C67A2F" w:rsidRPr="00D217EA" w:rsidRDefault="00C67A2F" w:rsidP="00C67A2F">
      <w:pPr>
        <w:keepNext/>
        <w:keepLines/>
        <w:jc w:val="right"/>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pPr>
    </w:p>
    <w:p w:rsidR="00C67A2F" w:rsidRDefault="00C67A2F" w:rsidP="00C67A2F">
      <w:pPr>
        <w:keepNext/>
        <w:keepLines/>
        <w:jc w:val="center"/>
        <w:rPr>
          <w:rFonts w:ascii="Palatino Linotype" w:hAnsi="Palatino Linotype"/>
          <w:color w:val="FF0000"/>
          <w:sz w:val="24"/>
          <w:szCs w:val="24"/>
        </w:rPr>
      </w:pPr>
    </w:p>
    <w:p w:rsidR="003876A1" w:rsidRDefault="003876A1" w:rsidP="00C67A2F">
      <w:pPr>
        <w:keepNext/>
        <w:keepLines/>
        <w:jc w:val="center"/>
        <w:rPr>
          <w:rFonts w:ascii="Palatino Linotype" w:hAnsi="Palatino Linotype"/>
          <w:color w:val="FF0000"/>
          <w:sz w:val="24"/>
          <w:szCs w:val="24"/>
        </w:rPr>
      </w:pPr>
    </w:p>
    <w:p w:rsidR="003876A1" w:rsidRDefault="003876A1" w:rsidP="00C67A2F">
      <w:pPr>
        <w:keepNext/>
        <w:keepLines/>
        <w:jc w:val="center"/>
        <w:rPr>
          <w:rFonts w:ascii="Palatino Linotype" w:hAnsi="Palatino Linotype"/>
          <w:color w:val="FF0000"/>
          <w:sz w:val="24"/>
          <w:szCs w:val="24"/>
        </w:rPr>
      </w:pPr>
    </w:p>
    <w:p w:rsidR="003876A1" w:rsidRDefault="003876A1" w:rsidP="00C67A2F">
      <w:pPr>
        <w:keepNext/>
        <w:keepLines/>
        <w:jc w:val="center"/>
        <w:rPr>
          <w:rFonts w:ascii="Palatino Linotype" w:hAnsi="Palatino Linotype"/>
          <w:color w:val="FF0000"/>
          <w:sz w:val="24"/>
          <w:szCs w:val="24"/>
        </w:rPr>
      </w:pPr>
    </w:p>
    <w:p w:rsidR="003876A1" w:rsidRPr="00D217EA" w:rsidRDefault="003876A1" w:rsidP="00C67A2F">
      <w:pPr>
        <w:keepNext/>
        <w:keepLines/>
        <w:jc w:val="center"/>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8"/>
          <w:szCs w:val="28"/>
        </w:rPr>
      </w:pPr>
      <w:r w:rsidRPr="00D217EA">
        <w:rPr>
          <w:rFonts w:ascii="Palatino Linotype" w:hAnsi="Palatino Linotype"/>
          <w:color w:val="FF0000"/>
          <w:sz w:val="28"/>
          <w:szCs w:val="28"/>
        </w:rPr>
        <w:t xml:space="preserve"> </w:t>
      </w:r>
    </w:p>
    <w:p w:rsidR="00C67A2F" w:rsidRPr="00D02D1B" w:rsidRDefault="00C67A2F" w:rsidP="00C67A2F">
      <w:pPr>
        <w:keepNext/>
        <w:keepLines/>
        <w:jc w:val="center"/>
        <w:rPr>
          <w:rFonts w:ascii="Palatino Linotype" w:hAnsi="Palatino Linotype"/>
          <w:b/>
          <w:sz w:val="24"/>
          <w:szCs w:val="24"/>
        </w:rPr>
      </w:pPr>
      <w:r w:rsidRPr="003876A1">
        <w:rPr>
          <w:rFonts w:ascii="Palatino Linotype" w:hAnsi="Palatino Linotype"/>
          <w:b/>
          <w:sz w:val="32"/>
          <w:szCs w:val="32"/>
        </w:rPr>
        <w:t>APPENDIX</w:t>
      </w:r>
      <w:r w:rsidRPr="00D217EA">
        <w:rPr>
          <w:rFonts w:ascii="Palatino Linotype" w:hAnsi="Palatino Linotype"/>
          <w:color w:val="FF0000"/>
          <w:sz w:val="24"/>
          <w:szCs w:val="24"/>
        </w:rPr>
        <w:br w:type="page"/>
      </w:r>
      <w:r w:rsidRPr="00D02D1B">
        <w:rPr>
          <w:rFonts w:ascii="Palatino Linotype" w:hAnsi="Palatino Linotype"/>
          <w:b/>
          <w:sz w:val="24"/>
          <w:szCs w:val="24"/>
        </w:rPr>
        <w:t>APPENDIX A</w:t>
      </w:r>
    </w:p>
    <w:p w:rsidR="00C67A2F" w:rsidRPr="00D02D1B" w:rsidRDefault="00C67A2F" w:rsidP="00C67A2F">
      <w:pPr>
        <w:keepNext/>
        <w:keepLines/>
        <w:jc w:val="center"/>
        <w:rPr>
          <w:rFonts w:ascii="Palatino Linotype" w:hAnsi="Palatino Linotype"/>
          <w:b/>
          <w:sz w:val="24"/>
          <w:szCs w:val="24"/>
        </w:rPr>
      </w:pPr>
      <w:r w:rsidRPr="00D02D1B">
        <w:rPr>
          <w:rFonts w:ascii="Palatino Linotype" w:hAnsi="Palatino Linotype"/>
          <w:b/>
          <w:sz w:val="24"/>
          <w:szCs w:val="24"/>
        </w:rPr>
        <w:t>Resolution T-</w:t>
      </w:r>
      <w:r>
        <w:rPr>
          <w:rFonts w:ascii="Palatino Linotype" w:hAnsi="Palatino Linotype"/>
          <w:b/>
          <w:sz w:val="24"/>
          <w:szCs w:val="24"/>
        </w:rPr>
        <w:t>17503</w:t>
      </w:r>
    </w:p>
    <w:p w:rsidR="00C67A2F" w:rsidRPr="00D02D1B" w:rsidRDefault="00C67A2F" w:rsidP="00C67A2F">
      <w:pPr>
        <w:keepNext/>
        <w:keepLines/>
        <w:jc w:val="center"/>
        <w:rPr>
          <w:rFonts w:ascii="Palatino Linotype" w:hAnsi="Palatino Linotype"/>
          <w:b/>
          <w:sz w:val="24"/>
          <w:szCs w:val="24"/>
        </w:rPr>
      </w:pPr>
      <w:r>
        <w:rPr>
          <w:rFonts w:ascii="Palatino Linotype" w:hAnsi="Palatino Linotype"/>
          <w:b/>
          <w:sz w:val="24"/>
          <w:szCs w:val="24"/>
        </w:rPr>
        <w:t>Anza Electric Cooperative</w:t>
      </w:r>
      <w:r w:rsidRPr="00D02D1B">
        <w:rPr>
          <w:rFonts w:ascii="Palatino Linotype" w:hAnsi="Palatino Linotype"/>
          <w:b/>
          <w:sz w:val="24"/>
          <w:szCs w:val="24"/>
        </w:rPr>
        <w:t xml:space="preserve">, </w:t>
      </w:r>
      <w:r>
        <w:rPr>
          <w:rFonts w:ascii="Palatino Linotype" w:hAnsi="Palatino Linotype"/>
          <w:b/>
          <w:sz w:val="24"/>
          <w:szCs w:val="24"/>
        </w:rPr>
        <w:t>Connect Anza</w:t>
      </w:r>
      <w:r w:rsidRPr="00D02D1B">
        <w:rPr>
          <w:rFonts w:ascii="Palatino Linotype" w:hAnsi="Palatino Linotype"/>
          <w:b/>
          <w:sz w:val="24"/>
          <w:szCs w:val="24"/>
        </w:rPr>
        <w:t xml:space="preserve"> Project</w:t>
      </w:r>
    </w:p>
    <w:p w:rsidR="00C67A2F" w:rsidRPr="00A931DC" w:rsidRDefault="00C67A2F" w:rsidP="00C67A2F">
      <w:pPr>
        <w:keepNext/>
        <w:keepLines/>
        <w:jc w:val="center"/>
        <w:rPr>
          <w:rFonts w:ascii="Palatino Linotype" w:hAnsi="Palatino Linotype"/>
          <w:b/>
          <w:sz w:val="24"/>
          <w:szCs w:val="24"/>
        </w:rPr>
      </w:pPr>
      <w:r w:rsidRPr="00A931DC">
        <w:rPr>
          <w:rFonts w:ascii="Palatino Linotype" w:hAnsi="Palatino Linotype"/>
          <w:b/>
          <w:sz w:val="24"/>
          <w:szCs w:val="24"/>
        </w:rPr>
        <w:t>CASF Applicant 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858"/>
      </w:tblGrid>
      <w:tr w:rsidR="00C67A2F" w:rsidRPr="00A931DC">
        <w:tc>
          <w:tcPr>
            <w:tcW w:w="2718" w:type="dxa"/>
            <w:shd w:val="clear" w:color="auto" w:fill="BFBFBF"/>
            <w:vAlign w:val="center"/>
          </w:tcPr>
          <w:p w:rsidR="00C67A2F" w:rsidRPr="00A931DC" w:rsidRDefault="00C67A2F" w:rsidP="00723AC4">
            <w:pPr>
              <w:keepNext/>
              <w:keepLines/>
              <w:spacing w:before="120" w:after="120"/>
              <w:jc w:val="center"/>
              <w:rPr>
                <w:rFonts w:ascii="Palatino Linotype" w:hAnsi="Palatino Linotype"/>
                <w:i/>
                <w:sz w:val="24"/>
                <w:szCs w:val="24"/>
              </w:rPr>
            </w:pPr>
            <w:r w:rsidRPr="00A931DC">
              <w:rPr>
                <w:rFonts w:ascii="Palatino Linotype" w:hAnsi="Palatino Linotype"/>
                <w:i/>
                <w:sz w:val="24"/>
                <w:szCs w:val="24"/>
              </w:rPr>
              <w:t>Project Name</w:t>
            </w:r>
          </w:p>
        </w:tc>
        <w:tc>
          <w:tcPr>
            <w:tcW w:w="6858" w:type="dxa"/>
            <w:shd w:val="clear" w:color="auto" w:fill="BFBFBF"/>
            <w:vAlign w:val="center"/>
          </w:tcPr>
          <w:p w:rsidR="00C67A2F" w:rsidRPr="00A931DC" w:rsidRDefault="00C67A2F" w:rsidP="00723AC4">
            <w:pPr>
              <w:keepNext/>
              <w:keepLines/>
              <w:spacing w:before="120" w:after="120"/>
              <w:jc w:val="center"/>
              <w:rPr>
                <w:rFonts w:ascii="Palatino Linotype" w:hAnsi="Palatino Linotype"/>
                <w:b/>
                <w:sz w:val="24"/>
                <w:szCs w:val="24"/>
              </w:rPr>
            </w:pPr>
            <w:r>
              <w:rPr>
                <w:rFonts w:ascii="Palatino Linotype" w:hAnsi="Palatino Linotype"/>
                <w:b/>
                <w:sz w:val="24"/>
                <w:szCs w:val="24"/>
              </w:rPr>
              <w:t>AEC Connect Anza</w:t>
            </w:r>
            <w:r w:rsidRPr="00A931DC">
              <w:rPr>
                <w:rFonts w:ascii="Palatino Linotype" w:hAnsi="Palatino Linotype"/>
                <w:b/>
                <w:sz w:val="24"/>
                <w:szCs w:val="24"/>
              </w:rPr>
              <w:t xml:space="preserve"> Project</w:t>
            </w:r>
          </w:p>
        </w:tc>
      </w:tr>
      <w:tr w:rsidR="00C67A2F" w:rsidRPr="00D217EA">
        <w:tc>
          <w:tcPr>
            <w:tcW w:w="2718" w:type="dxa"/>
            <w:shd w:val="clear" w:color="auto" w:fill="auto"/>
            <w:vAlign w:val="center"/>
          </w:tcPr>
          <w:p w:rsidR="00C67A2F" w:rsidRPr="0094318D" w:rsidRDefault="00C67A2F" w:rsidP="00723AC4">
            <w:pPr>
              <w:keepNext/>
              <w:keepLines/>
              <w:spacing w:before="120" w:after="120"/>
              <w:jc w:val="center"/>
              <w:rPr>
                <w:rFonts w:ascii="Palatino Linotype" w:hAnsi="Palatino Linotype"/>
                <w:i/>
              </w:rPr>
            </w:pPr>
            <w:r w:rsidRPr="0094318D">
              <w:rPr>
                <w:rFonts w:ascii="Palatino Linotype" w:hAnsi="Palatino Linotype"/>
                <w:i/>
              </w:rPr>
              <w:t>Project Plan</w:t>
            </w:r>
          </w:p>
        </w:tc>
        <w:tc>
          <w:tcPr>
            <w:tcW w:w="6858" w:type="dxa"/>
            <w:shd w:val="clear" w:color="auto" w:fill="auto"/>
            <w:vAlign w:val="center"/>
          </w:tcPr>
          <w:p w:rsidR="00C67A2F" w:rsidRPr="0094318D" w:rsidRDefault="00C67A2F" w:rsidP="00723AC4">
            <w:pPr>
              <w:keepNext/>
              <w:keepLines/>
              <w:rPr>
                <w:rFonts w:ascii="Palatino Linotype" w:hAnsi="Palatino Linotype"/>
              </w:rPr>
            </w:pPr>
            <w:r w:rsidRPr="0094318D">
              <w:rPr>
                <w:rFonts w:ascii="Palatino Linotype" w:hAnsi="Palatino Linotype"/>
              </w:rPr>
              <w:t xml:space="preserve">Connect Anza will deploy a fiber optic cable on existing poles and rights of way and establish a network of sufficient capacity to establish high speed, quality </w:t>
            </w:r>
            <w:r>
              <w:rPr>
                <w:rFonts w:ascii="Palatino Linotype" w:hAnsi="Palatino Linotype"/>
              </w:rPr>
              <w:t>Internet</w:t>
            </w:r>
            <w:r w:rsidRPr="0094318D">
              <w:rPr>
                <w:rFonts w:ascii="Palatino Linotype" w:hAnsi="Palatino Linotype"/>
              </w:rPr>
              <w:t xml:space="preserve"> service for Anza Electric Cooperatives (AEC’s)  existing service territory located wholly within western Riverside County.</w:t>
            </w:r>
            <w:r>
              <w:rPr>
                <w:rFonts w:ascii="Palatino Linotype" w:hAnsi="Palatino Linotype"/>
              </w:rPr>
              <w:t xml:space="preserve">  </w:t>
            </w:r>
          </w:p>
        </w:tc>
      </w:tr>
      <w:tr w:rsidR="00C67A2F" w:rsidRPr="00D217EA">
        <w:tc>
          <w:tcPr>
            <w:tcW w:w="2718" w:type="dxa"/>
            <w:shd w:val="clear" w:color="auto" w:fill="auto"/>
            <w:vAlign w:val="center"/>
          </w:tcPr>
          <w:p w:rsidR="00C67A2F" w:rsidRPr="0094318D" w:rsidRDefault="00C67A2F" w:rsidP="00723AC4">
            <w:pPr>
              <w:keepNext/>
              <w:keepLines/>
              <w:jc w:val="center"/>
              <w:rPr>
                <w:rFonts w:ascii="Palatino Linotype" w:hAnsi="Palatino Linotype"/>
                <w:i/>
              </w:rPr>
            </w:pPr>
            <w:r w:rsidRPr="0094318D">
              <w:rPr>
                <w:rFonts w:ascii="Palatino Linotype" w:hAnsi="Palatino Linotype"/>
                <w:i/>
              </w:rPr>
              <w:t>Project Size (in square miles)</w:t>
            </w:r>
          </w:p>
        </w:tc>
        <w:tc>
          <w:tcPr>
            <w:tcW w:w="6858" w:type="dxa"/>
            <w:shd w:val="clear" w:color="auto" w:fill="auto"/>
            <w:vAlign w:val="center"/>
          </w:tcPr>
          <w:p w:rsidR="00C67A2F" w:rsidRPr="0094318D" w:rsidRDefault="00C67A2F" w:rsidP="00723AC4">
            <w:pPr>
              <w:keepNext/>
              <w:keepLines/>
              <w:spacing w:before="120" w:after="120"/>
              <w:jc w:val="center"/>
              <w:rPr>
                <w:rFonts w:ascii="Palatino Linotype" w:hAnsi="Palatino Linotype"/>
              </w:rPr>
            </w:pPr>
            <w:r>
              <w:rPr>
                <w:rFonts w:ascii="Palatino Linotype" w:hAnsi="Palatino Linotype"/>
              </w:rPr>
              <w:t>213</w:t>
            </w:r>
          </w:p>
        </w:tc>
      </w:tr>
      <w:tr w:rsidR="00C67A2F" w:rsidRPr="00D217EA">
        <w:tc>
          <w:tcPr>
            <w:tcW w:w="2718" w:type="dxa"/>
            <w:shd w:val="clear" w:color="auto" w:fill="auto"/>
            <w:vAlign w:val="center"/>
          </w:tcPr>
          <w:p w:rsidR="00C67A2F" w:rsidRPr="0094318D" w:rsidRDefault="00C67A2F" w:rsidP="00723AC4">
            <w:pPr>
              <w:keepNext/>
              <w:keepLines/>
              <w:jc w:val="center"/>
              <w:rPr>
                <w:rFonts w:ascii="Palatino Linotype" w:hAnsi="Palatino Linotype"/>
                <w:i/>
              </w:rPr>
            </w:pPr>
            <w:r w:rsidRPr="0094318D">
              <w:rPr>
                <w:rFonts w:ascii="Palatino Linotype" w:hAnsi="Palatino Linotype"/>
                <w:i/>
              </w:rPr>
              <w:t>Download/Upload speed</w:t>
            </w:r>
          </w:p>
        </w:tc>
        <w:tc>
          <w:tcPr>
            <w:tcW w:w="6858" w:type="dxa"/>
            <w:shd w:val="clear" w:color="auto" w:fill="auto"/>
            <w:vAlign w:val="center"/>
          </w:tcPr>
          <w:p w:rsidR="00C67A2F" w:rsidRPr="0094318D" w:rsidRDefault="00C67A2F" w:rsidP="00723AC4">
            <w:pPr>
              <w:keepNext/>
              <w:keepLines/>
              <w:spacing w:before="120" w:after="120"/>
              <w:jc w:val="center"/>
              <w:rPr>
                <w:rFonts w:ascii="Palatino Linotype" w:hAnsi="Palatino Linotype"/>
              </w:rPr>
            </w:pPr>
            <w:r>
              <w:rPr>
                <w:rFonts w:ascii="Palatino Linotype" w:hAnsi="Palatino Linotype"/>
              </w:rPr>
              <w:t>50 Mbps</w:t>
            </w:r>
            <w:r w:rsidRPr="0094318D">
              <w:rPr>
                <w:rFonts w:ascii="Palatino Linotype" w:hAnsi="Palatino Linotype"/>
              </w:rPr>
              <w:t xml:space="preserve"> / </w:t>
            </w:r>
            <w:r>
              <w:rPr>
                <w:rFonts w:ascii="Palatino Linotype" w:hAnsi="Palatino Linotype"/>
              </w:rPr>
              <w:t>50 Mbps</w:t>
            </w:r>
          </w:p>
        </w:tc>
      </w:tr>
      <w:tr w:rsidR="00C67A2F" w:rsidRPr="00D217EA">
        <w:tc>
          <w:tcPr>
            <w:tcW w:w="2718" w:type="dxa"/>
            <w:shd w:val="clear" w:color="auto" w:fill="auto"/>
            <w:vAlign w:val="center"/>
          </w:tcPr>
          <w:p w:rsidR="00C67A2F" w:rsidRPr="00800D00" w:rsidRDefault="00C67A2F" w:rsidP="00723AC4">
            <w:pPr>
              <w:keepNext/>
              <w:keepLines/>
              <w:spacing w:before="120" w:after="120"/>
              <w:jc w:val="center"/>
              <w:rPr>
                <w:rFonts w:ascii="Palatino Linotype" w:hAnsi="Palatino Linotype"/>
                <w:i/>
              </w:rPr>
            </w:pPr>
            <w:r w:rsidRPr="00800D00">
              <w:rPr>
                <w:rFonts w:ascii="Palatino Linotype" w:hAnsi="Palatino Linotype"/>
                <w:i/>
              </w:rPr>
              <w:t>Location</w:t>
            </w:r>
          </w:p>
        </w:tc>
        <w:tc>
          <w:tcPr>
            <w:tcW w:w="6858" w:type="dxa"/>
            <w:shd w:val="clear" w:color="auto" w:fill="auto"/>
            <w:vAlign w:val="center"/>
          </w:tcPr>
          <w:p w:rsidR="00C67A2F" w:rsidRPr="00800D00" w:rsidRDefault="00C67A2F" w:rsidP="00723AC4">
            <w:pPr>
              <w:keepNext/>
              <w:keepLines/>
              <w:spacing w:before="120" w:after="120"/>
              <w:jc w:val="center"/>
              <w:rPr>
                <w:rFonts w:ascii="Palatino Linotype" w:hAnsi="Palatino Linotype"/>
              </w:rPr>
            </w:pPr>
            <w:r w:rsidRPr="00800D00">
              <w:rPr>
                <w:rFonts w:ascii="Palatino Linotype" w:hAnsi="Palatino Linotype"/>
              </w:rPr>
              <w:t>Riverside County</w:t>
            </w:r>
          </w:p>
        </w:tc>
      </w:tr>
      <w:tr w:rsidR="00C67A2F" w:rsidRPr="00D217EA">
        <w:tc>
          <w:tcPr>
            <w:tcW w:w="2718" w:type="dxa"/>
            <w:shd w:val="clear" w:color="auto" w:fill="auto"/>
            <w:vAlign w:val="center"/>
          </w:tcPr>
          <w:p w:rsidR="00C67A2F" w:rsidRPr="00800D00" w:rsidRDefault="00C67A2F" w:rsidP="00723AC4">
            <w:pPr>
              <w:keepNext/>
              <w:keepLines/>
              <w:jc w:val="center"/>
              <w:rPr>
                <w:rFonts w:ascii="Palatino Linotype" w:hAnsi="Palatino Linotype"/>
                <w:i/>
              </w:rPr>
            </w:pPr>
            <w:r w:rsidRPr="00800D00">
              <w:rPr>
                <w:rFonts w:ascii="Palatino Linotype" w:hAnsi="Palatino Linotype"/>
                <w:i/>
              </w:rPr>
              <w:t>Community Names</w:t>
            </w:r>
          </w:p>
        </w:tc>
        <w:tc>
          <w:tcPr>
            <w:tcW w:w="6858" w:type="dxa"/>
            <w:shd w:val="clear" w:color="auto" w:fill="auto"/>
            <w:vAlign w:val="center"/>
          </w:tcPr>
          <w:p w:rsidR="00C67A2F" w:rsidRPr="00800D00" w:rsidRDefault="00C67A2F" w:rsidP="00723AC4">
            <w:pPr>
              <w:keepNext/>
              <w:keepLines/>
              <w:spacing w:before="120" w:after="120"/>
              <w:jc w:val="center"/>
              <w:rPr>
                <w:rFonts w:ascii="Palatino Linotype" w:hAnsi="Palatino Linotype"/>
              </w:rPr>
            </w:pPr>
            <w:r w:rsidRPr="00800D00">
              <w:rPr>
                <w:rFonts w:ascii="Palatino Linotype" w:hAnsi="Palatino Linotype" w:cs="Palatino Linotype"/>
              </w:rPr>
              <w:t>The unincorporated communities of Anza, Aguanga, Lake Riverside Estates, and Reed Valley</w:t>
            </w:r>
          </w:p>
        </w:tc>
      </w:tr>
      <w:tr w:rsidR="00C67A2F" w:rsidRPr="00D217EA">
        <w:tc>
          <w:tcPr>
            <w:tcW w:w="2718" w:type="dxa"/>
            <w:shd w:val="clear" w:color="auto" w:fill="auto"/>
            <w:vAlign w:val="center"/>
          </w:tcPr>
          <w:p w:rsidR="00C67A2F" w:rsidRPr="00800D00" w:rsidRDefault="00C67A2F" w:rsidP="00723AC4">
            <w:pPr>
              <w:keepNext/>
              <w:keepLines/>
              <w:jc w:val="center"/>
              <w:rPr>
                <w:rFonts w:ascii="Palatino Linotype" w:hAnsi="Palatino Linotype"/>
                <w:i/>
              </w:rPr>
            </w:pPr>
            <w:r w:rsidRPr="00800D00">
              <w:rPr>
                <w:rFonts w:ascii="Palatino Linotype" w:hAnsi="Palatino Linotype"/>
                <w:i/>
              </w:rPr>
              <w:t>Census Block Groups</w:t>
            </w:r>
          </w:p>
        </w:tc>
        <w:tc>
          <w:tcPr>
            <w:tcW w:w="6858" w:type="dxa"/>
            <w:shd w:val="clear" w:color="auto" w:fill="auto"/>
            <w:vAlign w:val="center"/>
          </w:tcPr>
          <w:p w:rsidR="00C67A2F" w:rsidRPr="00800D00" w:rsidRDefault="00C67A2F" w:rsidP="00723AC4">
            <w:pPr>
              <w:jc w:val="center"/>
              <w:rPr>
                <w:rFonts w:ascii="Palatino Linotype" w:hAnsi="Palatino Linotype"/>
              </w:rPr>
            </w:pPr>
            <w:r w:rsidRPr="00800D00">
              <w:rPr>
                <w:rFonts w:ascii="Palatino Linotype" w:hAnsi="Palatino Linotype"/>
              </w:rPr>
              <w:t>060650444021, 060650444022, 060650444023, 060650444031, 060650444032, 060650444033</w:t>
            </w:r>
          </w:p>
        </w:tc>
      </w:tr>
      <w:tr w:rsidR="00C67A2F" w:rsidRPr="00D217EA">
        <w:tc>
          <w:tcPr>
            <w:tcW w:w="2718" w:type="dxa"/>
            <w:shd w:val="clear" w:color="auto" w:fill="auto"/>
            <w:vAlign w:val="center"/>
          </w:tcPr>
          <w:p w:rsidR="00C67A2F" w:rsidRPr="00800D00" w:rsidRDefault="00C67A2F" w:rsidP="00723AC4">
            <w:pPr>
              <w:keepNext/>
              <w:keepLines/>
              <w:jc w:val="center"/>
              <w:rPr>
                <w:rFonts w:ascii="Palatino Linotype" w:hAnsi="Palatino Linotype"/>
                <w:i/>
              </w:rPr>
            </w:pPr>
            <w:r w:rsidRPr="00800D00">
              <w:rPr>
                <w:rFonts w:ascii="Palatino Linotype" w:hAnsi="Palatino Linotype"/>
                <w:i/>
              </w:rPr>
              <w:t>Weighted Median Household Income</w:t>
            </w:r>
          </w:p>
        </w:tc>
        <w:tc>
          <w:tcPr>
            <w:tcW w:w="6858" w:type="dxa"/>
            <w:shd w:val="clear" w:color="auto" w:fill="auto"/>
            <w:vAlign w:val="center"/>
          </w:tcPr>
          <w:p w:rsidR="00C67A2F" w:rsidRPr="00800D00" w:rsidRDefault="00C67A2F" w:rsidP="00723AC4">
            <w:pPr>
              <w:keepNext/>
              <w:keepLines/>
              <w:spacing w:before="120" w:after="120"/>
              <w:jc w:val="center"/>
              <w:rPr>
                <w:rFonts w:ascii="Palatino Linotype" w:hAnsi="Palatino Linotype"/>
              </w:rPr>
            </w:pPr>
            <w:r w:rsidRPr="00800D00">
              <w:rPr>
                <w:rFonts w:ascii="Palatino Linotype" w:hAnsi="Palatino Linotype"/>
              </w:rPr>
              <w:t>$48,038</w:t>
            </w:r>
          </w:p>
        </w:tc>
      </w:tr>
      <w:tr w:rsidR="00C67A2F" w:rsidRPr="00D217EA">
        <w:tc>
          <w:tcPr>
            <w:tcW w:w="2718" w:type="dxa"/>
            <w:shd w:val="clear" w:color="auto" w:fill="auto"/>
            <w:vAlign w:val="center"/>
          </w:tcPr>
          <w:p w:rsidR="00C67A2F" w:rsidRPr="00800D00" w:rsidRDefault="00C67A2F" w:rsidP="00723AC4">
            <w:pPr>
              <w:keepNext/>
              <w:keepLines/>
              <w:jc w:val="center"/>
              <w:rPr>
                <w:rFonts w:ascii="Palatino Linotype" w:hAnsi="Palatino Linotype"/>
                <w:i/>
              </w:rPr>
            </w:pPr>
            <w:r w:rsidRPr="00800D00">
              <w:rPr>
                <w:rFonts w:ascii="Palatino Linotype" w:hAnsi="Palatino Linotype"/>
                <w:i/>
              </w:rPr>
              <w:t>Zip Codes</w:t>
            </w:r>
          </w:p>
        </w:tc>
        <w:tc>
          <w:tcPr>
            <w:tcW w:w="6858" w:type="dxa"/>
            <w:shd w:val="clear" w:color="auto" w:fill="auto"/>
            <w:vAlign w:val="center"/>
          </w:tcPr>
          <w:p w:rsidR="00C67A2F" w:rsidRPr="00800D00" w:rsidRDefault="00C67A2F" w:rsidP="00723AC4">
            <w:pPr>
              <w:keepNext/>
              <w:keepLines/>
              <w:jc w:val="center"/>
              <w:rPr>
                <w:rFonts w:ascii="Palatino Linotype" w:hAnsi="Palatino Linotype"/>
              </w:rPr>
            </w:pPr>
            <w:r w:rsidRPr="00800D00">
              <w:rPr>
                <w:rFonts w:ascii="Palatino Linotype" w:hAnsi="Palatino Linotype"/>
              </w:rPr>
              <w:t>92536, 92539, 92544</w:t>
            </w:r>
          </w:p>
        </w:tc>
      </w:tr>
      <w:tr w:rsidR="00C67A2F" w:rsidRPr="00D217EA">
        <w:tc>
          <w:tcPr>
            <w:tcW w:w="2718" w:type="dxa"/>
            <w:shd w:val="clear" w:color="auto" w:fill="auto"/>
            <w:vAlign w:val="center"/>
          </w:tcPr>
          <w:p w:rsidR="00C67A2F" w:rsidRPr="00800D00" w:rsidRDefault="00C67A2F" w:rsidP="00723AC4">
            <w:pPr>
              <w:keepNext/>
              <w:keepLines/>
              <w:jc w:val="center"/>
              <w:rPr>
                <w:rFonts w:ascii="Palatino Linotype" w:hAnsi="Palatino Linotype"/>
                <w:i/>
              </w:rPr>
            </w:pPr>
            <w:r w:rsidRPr="00800D00">
              <w:rPr>
                <w:rFonts w:ascii="Palatino Linotype" w:hAnsi="Palatino Linotype"/>
                <w:i/>
              </w:rPr>
              <w:t>Estimated potential subscriber size</w:t>
            </w:r>
          </w:p>
        </w:tc>
        <w:tc>
          <w:tcPr>
            <w:tcW w:w="6858" w:type="dxa"/>
            <w:shd w:val="clear" w:color="auto" w:fill="auto"/>
            <w:vAlign w:val="center"/>
          </w:tcPr>
          <w:p w:rsidR="00C67A2F" w:rsidRPr="00800D00" w:rsidRDefault="00C67A2F" w:rsidP="00723AC4">
            <w:pPr>
              <w:keepNext/>
              <w:keepLines/>
              <w:spacing w:before="120" w:after="120"/>
              <w:jc w:val="center"/>
              <w:rPr>
                <w:rFonts w:ascii="Palatino Linotype" w:hAnsi="Palatino Linotype"/>
              </w:rPr>
            </w:pPr>
            <w:r w:rsidRPr="00800D00">
              <w:rPr>
                <w:rFonts w:ascii="Palatino Linotype" w:hAnsi="Palatino Linotype"/>
              </w:rPr>
              <w:t xml:space="preserve">3,751 households </w:t>
            </w:r>
          </w:p>
        </w:tc>
      </w:tr>
      <w:tr w:rsidR="00C67A2F" w:rsidRPr="00D217EA">
        <w:tc>
          <w:tcPr>
            <w:tcW w:w="2718" w:type="dxa"/>
            <w:shd w:val="clear" w:color="auto" w:fill="auto"/>
            <w:vAlign w:val="center"/>
          </w:tcPr>
          <w:p w:rsidR="00C67A2F" w:rsidRPr="00800D00" w:rsidRDefault="00C67A2F" w:rsidP="00723AC4">
            <w:pPr>
              <w:keepNext/>
              <w:keepLines/>
              <w:jc w:val="center"/>
              <w:rPr>
                <w:rFonts w:ascii="Palatino Linotype" w:hAnsi="Palatino Linotype"/>
                <w:i/>
              </w:rPr>
            </w:pPr>
            <w:r w:rsidRPr="00800D00">
              <w:rPr>
                <w:rFonts w:ascii="Palatino Linotype" w:hAnsi="Palatino Linotype"/>
                <w:i/>
              </w:rPr>
              <w:t>Applicant expectations</w:t>
            </w:r>
          </w:p>
        </w:tc>
        <w:tc>
          <w:tcPr>
            <w:tcW w:w="6858" w:type="dxa"/>
            <w:shd w:val="clear" w:color="auto" w:fill="auto"/>
            <w:vAlign w:val="center"/>
          </w:tcPr>
          <w:p w:rsidR="00C67A2F" w:rsidRPr="00800D00" w:rsidRDefault="00C67A2F" w:rsidP="00723AC4">
            <w:pPr>
              <w:keepNext/>
              <w:keepLines/>
              <w:spacing w:before="120" w:after="120"/>
              <w:jc w:val="center"/>
              <w:rPr>
                <w:rFonts w:ascii="Palatino Linotype" w:hAnsi="Palatino Linotype"/>
              </w:rPr>
            </w:pPr>
            <w:r w:rsidRPr="00800D00">
              <w:rPr>
                <w:rFonts w:ascii="Palatino Linotype" w:hAnsi="Palatino Linotype"/>
              </w:rPr>
              <w:t xml:space="preserve">1,500 </w:t>
            </w:r>
            <w:r>
              <w:rPr>
                <w:rFonts w:ascii="Palatino Linotype" w:hAnsi="Palatino Linotype"/>
              </w:rPr>
              <w:t>households</w:t>
            </w:r>
          </w:p>
        </w:tc>
      </w:tr>
      <w:tr w:rsidR="00C67A2F" w:rsidRPr="00D217EA">
        <w:tc>
          <w:tcPr>
            <w:tcW w:w="2718" w:type="dxa"/>
            <w:shd w:val="clear" w:color="auto" w:fill="auto"/>
            <w:vAlign w:val="center"/>
          </w:tcPr>
          <w:p w:rsidR="00C67A2F" w:rsidRPr="00BB3776" w:rsidRDefault="00C67A2F" w:rsidP="00723AC4">
            <w:pPr>
              <w:keepNext/>
              <w:keepLines/>
              <w:jc w:val="center"/>
              <w:rPr>
                <w:rFonts w:ascii="Palatino Linotype" w:hAnsi="Palatino Linotype"/>
                <w:i/>
              </w:rPr>
            </w:pPr>
            <w:r w:rsidRPr="00BB3776">
              <w:rPr>
                <w:rFonts w:ascii="Palatino Linotype" w:hAnsi="Palatino Linotype"/>
                <w:i/>
              </w:rPr>
              <w:t>Pricing Plan</w:t>
            </w:r>
          </w:p>
        </w:tc>
        <w:tc>
          <w:tcPr>
            <w:tcW w:w="6858" w:type="dxa"/>
            <w:shd w:val="clear" w:color="auto" w:fill="auto"/>
            <w:vAlign w:val="center"/>
          </w:tcPr>
          <w:p w:rsidR="00C67A2F" w:rsidRPr="00BB3776" w:rsidRDefault="00C67A2F" w:rsidP="00723AC4">
            <w:pPr>
              <w:keepNext/>
              <w:keepLines/>
              <w:ind w:left="1512"/>
              <w:rPr>
                <w:rFonts w:ascii="Palatino Linotype" w:hAnsi="Palatino Linotype"/>
              </w:rPr>
            </w:pPr>
            <w:r w:rsidRPr="00BB3776">
              <w:rPr>
                <w:rFonts w:ascii="Palatino Linotype" w:hAnsi="Palatino Linotype"/>
              </w:rPr>
              <w:t>Residential Monthly Charge:</w:t>
            </w:r>
          </w:p>
          <w:p w:rsidR="00C67A2F" w:rsidRPr="00BB3776" w:rsidRDefault="00C67A2F" w:rsidP="00723AC4">
            <w:pPr>
              <w:keepNext/>
              <w:keepLines/>
              <w:ind w:left="2160"/>
              <w:rPr>
                <w:rFonts w:ascii="Palatino Linotype" w:hAnsi="Palatino Linotype"/>
              </w:rPr>
            </w:pPr>
            <w:r w:rsidRPr="00BB3776">
              <w:rPr>
                <w:rFonts w:ascii="Palatino Linotype" w:hAnsi="Palatino Linotype"/>
              </w:rPr>
              <w:t>Standalone:  $ 49.99/mo</w:t>
            </w:r>
          </w:p>
          <w:p w:rsidR="00C67A2F" w:rsidRPr="00BB3776" w:rsidRDefault="00C67A2F" w:rsidP="00723AC4">
            <w:pPr>
              <w:keepNext/>
              <w:keepLines/>
              <w:ind w:left="2160"/>
              <w:rPr>
                <w:rFonts w:ascii="Palatino Linotype" w:hAnsi="Palatino Linotype"/>
              </w:rPr>
            </w:pPr>
            <w:r w:rsidRPr="00BB3776">
              <w:rPr>
                <w:rFonts w:ascii="Palatino Linotype" w:hAnsi="Palatino Linotype"/>
              </w:rPr>
              <w:t>With Voice:  $ 69.99/mo</w:t>
            </w:r>
          </w:p>
          <w:p w:rsidR="00C67A2F" w:rsidRPr="00BB3776" w:rsidRDefault="00C67A2F" w:rsidP="00723AC4">
            <w:pPr>
              <w:keepNext/>
              <w:keepLines/>
              <w:ind w:left="1512"/>
              <w:rPr>
                <w:rFonts w:ascii="Palatino Linotype" w:hAnsi="Palatino Linotype"/>
                <w:sz w:val="16"/>
                <w:szCs w:val="16"/>
              </w:rPr>
            </w:pPr>
            <w:r w:rsidRPr="00BB3776">
              <w:rPr>
                <w:rFonts w:ascii="Palatino Linotype" w:hAnsi="Palatino Linotype"/>
                <w:noProof/>
                <w:sz w:val="16"/>
                <w:szCs w:val="16"/>
              </w:rPr>
              <w:drawing>
                <wp:inline distT="0" distB="0" distL="0" distR="0" wp14:anchorId="2D00878B" wp14:editId="085C9A05">
                  <wp:extent cx="1800225" cy="133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14">
                            <a:extLst>
                              <a:ext uri="{28A0092B-C50C-407E-A947-70E740481C1C}">
                                <a14:useLocalDpi xmlns:a14="http://schemas.microsoft.com/office/drawing/2010/main" val="0"/>
                              </a:ext>
                            </a:extLst>
                          </a:blip>
                          <a:stretch>
                            <a:fillRect/>
                          </a:stretch>
                        </pic:blipFill>
                        <pic:spPr>
                          <a:xfrm>
                            <a:off x="0" y="0"/>
                            <a:ext cx="1800225" cy="133350"/>
                          </a:xfrm>
                          <a:prstGeom prst="rect">
                            <a:avLst/>
                          </a:prstGeom>
                        </pic:spPr>
                      </pic:pic>
                    </a:graphicData>
                  </a:graphic>
                </wp:inline>
              </w:drawing>
            </w:r>
          </w:p>
          <w:p w:rsidR="00C67A2F" w:rsidRPr="00BB3776" w:rsidRDefault="00C67A2F" w:rsidP="00723AC4">
            <w:pPr>
              <w:keepNext/>
              <w:keepLines/>
              <w:ind w:left="1512"/>
              <w:rPr>
                <w:rFonts w:ascii="Palatino Linotype" w:hAnsi="Palatino Linotype"/>
              </w:rPr>
            </w:pPr>
            <w:r w:rsidRPr="00BB3776">
              <w:rPr>
                <w:rFonts w:ascii="Palatino Linotype" w:hAnsi="Palatino Linotype"/>
              </w:rPr>
              <w:t>Small Business Charge:</w:t>
            </w:r>
          </w:p>
          <w:p w:rsidR="00C67A2F" w:rsidRPr="00BB3776" w:rsidRDefault="00C67A2F" w:rsidP="00723AC4">
            <w:pPr>
              <w:keepNext/>
              <w:keepLines/>
              <w:ind w:left="2160"/>
              <w:rPr>
                <w:rFonts w:ascii="Palatino Linotype" w:hAnsi="Palatino Linotype"/>
              </w:rPr>
            </w:pPr>
            <w:r w:rsidRPr="00BB3776">
              <w:rPr>
                <w:rFonts w:ascii="Palatino Linotype" w:hAnsi="Palatino Linotype"/>
              </w:rPr>
              <w:t>Standard:  $109.99/mo</w:t>
            </w:r>
          </w:p>
          <w:p w:rsidR="00C67A2F" w:rsidRPr="00BB3776" w:rsidRDefault="00C67A2F" w:rsidP="00723AC4">
            <w:pPr>
              <w:keepNext/>
              <w:keepLines/>
              <w:ind w:left="2160"/>
              <w:rPr>
                <w:rFonts w:ascii="Palatino Linotype" w:hAnsi="Palatino Linotype"/>
              </w:rPr>
            </w:pPr>
            <w:r w:rsidRPr="00BB3776">
              <w:rPr>
                <w:rFonts w:ascii="Palatino Linotype" w:hAnsi="Palatino Linotype"/>
              </w:rPr>
              <w:t>With Voice:  Additional $35 per line</w:t>
            </w:r>
          </w:p>
          <w:p w:rsidR="00C67A2F" w:rsidRPr="00BB3776" w:rsidRDefault="00C67A2F" w:rsidP="00723AC4">
            <w:pPr>
              <w:keepNext/>
              <w:keepLines/>
              <w:ind w:left="1440"/>
              <w:rPr>
                <w:rFonts w:ascii="Palatino Linotype" w:hAnsi="Palatino Linotype"/>
              </w:rPr>
            </w:pPr>
            <w:r w:rsidRPr="00BB3776">
              <w:rPr>
                <w:rFonts w:ascii="Palatino Linotype" w:hAnsi="Palatino Linotype"/>
              </w:rPr>
              <w:t>(no installation or modem fees)</w:t>
            </w:r>
          </w:p>
        </w:tc>
      </w:tr>
      <w:tr w:rsidR="00C67A2F" w:rsidRPr="00D217EA">
        <w:tc>
          <w:tcPr>
            <w:tcW w:w="2718" w:type="dxa"/>
            <w:shd w:val="clear" w:color="auto" w:fill="auto"/>
            <w:vAlign w:val="center"/>
          </w:tcPr>
          <w:p w:rsidR="00C67A2F" w:rsidRPr="00BB3776" w:rsidRDefault="00C67A2F" w:rsidP="00723AC4">
            <w:pPr>
              <w:keepNext/>
              <w:keepLines/>
              <w:jc w:val="center"/>
              <w:rPr>
                <w:rFonts w:ascii="Palatino Linotype" w:hAnsi="Palatino Linotype"/>
                <w:i/>
              </w:rPr>
            </w:pPr>
            <w:r w:rsidRPr="00BB3776">
              <w:rPr>
                <w:rFonts w:ascii="Palatino Linotype" w:hAnsi="Palatino Linotype"/>
                <w:i/>
              </w:rPr>
              <w:t>Deployment Schedule</w:t>
            </w:r>
            <w:r w:rsidRPr="00BB3776">
              <w:rPr>
                <w:rFonts w:ascii="Palatino Linotype" w:hAnsi="Palatino Linotype"/>
                <w:i/>
              </w:rPr>
              <w:br/>
              <w:t>(from Commission approval date)</w:t>
            </w:r>
          </w:p>
        </w:tc>
        <w:tc>
          <w:tcPr>
            <w:tcW w:w="6858" w:type="dxa"/>
            <w:shd w:val="clear" w:color="auto" w:fill="auto"/>
            <w:vAlign w:val="center"/>
          </w:tcPr>
          <w:p w:rsidR="00C67A2F" w:rsidRPr="00BB3776" w:rsidRDefault="00C67A2F" w:rsidP="00723AC4">
            <w:pPr>
              <w:keepNext/>
              <w:keepLines/>
              <w:spacing w:before="120" w:after="120"/>
              <w:jc w:val="center"/>
              <w:rPr>
                <w:rFonts w:ascii="Palatino Linotype" w:hAnsi="Palatino Linotype"/>
              </w:rPr>
            </w:pPr>
            <w:r w:rsidRPr="00BB3776">
              <w:rPr>
                <w:rFonts w:ascii="Palatino Linotype" w:hAnsi="Palatino Linotype"/>
              </w:rPr>
              <w:t>24 months</w:t>
            </w:r>
          </w:p>
        </w:tc>
      </w:tr>
      <w:tr w:rsidR="00C67A2F" w:rsidRPr="00D217EA">
        <w:tc>
          <w:tcPr>
            <w:tcW w:w="2718" w:type="dxa"/>
            <w:shd w:val="clear" w:color="auto" w:fill="auto"/>
            <w:vAlign w:val="center"/>
          </w:tcPr>
          <w:p w:rsidR="00C67A2F" w:rsidRPr="00BB3776" w:rsidRDefault="00C67A2F" w:rsidP="00723AC4">
            <w:pPr>
              <w:keepNext/>
              <w:keepLines/>
              <w:jc w:val="center"/>
              <w:rPr>
                <w:rFonts w:ascii="Palatino Linotype" w:hAnsi="Palatino Linotype"/>
                <w:i/>
              </w:rPr>
            </w:pPr>
            <w:r w:rsidRPr="00BB3776">
              <w:rPr>
                <w:rFonts w:ascii="Palatino Linotype" w:hAnsi="Palatino Linotype"/>
                <w:i/>
              </w:rPr>
              <w:t>Proposed Project Budget (Total)</w:t>
            </w:r>
          </w:p>
        </w:tc>
        <w:tc>
          <w:tcPr>
            <w:tcW w:w="6858" w:type="dxa"/>
            <w:shd w:val="clear" w:color="auto" w:fill="auto"/>
            <w:vAlign w:val="center"/>
          </w:tcPr>
          <w:p w:rsidR="00C67A2F" w:rsidRPr="00BB3776" w:rsidRDefault="00C67A2F" w:rsidP="00723AC4">
            <w:pPr>
              <w:keepNext/>
              <w:keepLines/>
              <w:spacing w:before="120" w:after="120"/>
              <w:jc w:val="center"/>
              <w:rPr>
                <w:rFonts w:ascii="Palatino Linotype" w:hAnsi="Palatino Linotype"/>
              </w:rPr>
            </w:pPr>
            <w:r w:rsidRPr="004A4D0A">
              <w:rPr>
                <w:rFonts w:ascii="Palatino Linotype" w:hAnsi="Palatino Linotype"/>
              </w:rPr>
              <w:t xml:space="preserve"> $4,437,418.02</w:t>
            </w:r>
          </w:p>
        </w:tc>
      </w:tr>
      <w:tr w:rsidR="00C67A2F" w:rsidRPr="00D217EA">
        <w:tc>
          <w:tcPr>
            <w:tcW w:w="2718" w:type="dxa"/>
            <w:shd w:val="clear" w:color="auto" w:fill="auto"/>
            <w:vAlign w:val="center"/>
          </w:tcPr>
          <w:p w:rsidR="00C67A2F" w:rsidRPr="00BB3776" w:rsidRDefault="00C67A2F" w:rsidP="00723AC4">
            <w:pPr>
              <w:keepNext/>
              <w:keepLines/>
              <w:jc w:val="center"/>
              <w:rPr>
                <w:rFonts w:ascii="Palatino Linotype" w:hAnsi="Palatino Linotype"/>
                <w:i/>
              </w:rPr>
            </w:pPr>
            <w:r w:rsidRPr="00BB3776">
              <w:rPr>
                <w:rFonts w:ascii="Palatino Linotype" w:hAnsi="Palatino Linotype"/>
                <w:i/>
              </w:rPr>
              <w:t>Amount of CASF funds requested (60</w:t>
            </w:r>
            <w:r>
              <w:rPr>
                <w:rFonts w:ascii="Palatino Linotype" w:hAnsi="Palatino Linotype"/>
                <w:i/>
              </w:rPr>
              <w:t xml:space="preserve"> percent</w:t>
            </w:r>
            <w:r w:rsidRPr="00BB3776">
              <w:rPr>
                <w:rFonts w:ascii="Palatino Linotype" w:hAnsi="Palatino Linotype"/>
                <w:i/>
              </w:rPr>
              <w:t>)</w:t>
            </w:r>
          </w:p>
        </w:tc>
        <w:tc>
          <w:tcPr>
            <w:tcW w:w="6858" w:type="dxa"/>
            <w:shd w:val="clear" w:color="auto" w:fill="auto"/>
            <w:vAlign w:val="center"/>
          </w:tcPr>
          <w:p w:rsidR="00C67A2F" w:rsidRPr="00BB3776" w:rsidRDefault="00C67A2F" w:rsidP="00723AC4">
            <w:pPr>
              <w:keepNext/>
              <w:keepLines/>
              <w:spacing w:before="120" w:after="120"/>
              <w:jc w:val="center"/>
              <w:rPr>
                <w:rFonts w:ascii="Palatino Linotype" w:hAnsi="Palatino Linotype"/>
              </w:rPr>
            </w:pPr>
            <w:r w:rsidRPr="004A4D0A">
              <w:rPr>
                <w:rFonts w:ascii="Palatino Linotype" w:hAnsi="Palatino Linotype"/>
              </w:rPr>
              <w:t>$2,662,450.81</w:t>
            </w:r>
          </w:p>
        </w:tc>
      </w:tr>
      <w:tr w:rsidR="00C67A2F" w:rsidRPr="00D217EA">
        <w:tc>
          <w:tcPr>
            <w:tcW w:w="2718" w:type="dxa"/>
            <w:shd w:val="clear" w:color="auto" w:fill="auto"/>
            <w:vAlign w:val="center"/>
          </w:tcPr>
          <w:p w:rsidR="00C67A2F" w:rsidRPr="00BB3776" w:rsidRDefault="00C67A2F" w:rsidP="00723AC4">
            <w:pPr>
              <w:keepNext/>
              <w:keepLines/>
              <w:jc w:val="center"/>
              <w:rPr>
                <w:rFonts w:ascii="Palatino Linotype" w:hAnsi="Palatino Linotype"/>
                <w:i/>
              </w:rPr>
            </w:pPr>
            <w:r w:rsidRPr="00BB3776">
              <w:rPr>
                <w:rFonts w:ascii="Palatino Linotype" w:hAnsi="Palatino Linotype"/>
                <w:i/>
              </w:rPr>
              <w:t>Applicant funded (40</w:t>
            </w:r>
            <w:r>
              <w:rPr>
                <w:rFonts w:ascii="Palatino Linotype" w:hAnsi="Palatino Linotype"/>
                <w:i/>
              </w:rPr>
              <w:t xml:space="preserve"> percent</w:t>
            </w:r>
            <w:r w:rsidRPr="00BB3776">
              <w:rPr>
                <w:rFonts w:ascii="Palatino Linotype" w:hAnsi="Palatino Linotype"/>
                <w:i/>
              </w:rPr>
              <w:t>)</w:t>
            </w:r>
          </w:p>
        </w:tc>
        <w:tc>
          <w:tcPr>
            <w:tcW w:w="6858" w:type="dxa"/>
            <w:shd w:val="clear" w:color="auto" w:fill="auto"/>
            <w:vAlign w:val="center"/>
          </w:tcPr>
          <w:p w:rsidR="00C67A2F" w:rsidRPr="00BB3776" w:rsidRDefault="00C67A2F" w:rsidP="00723AC4">
            <w:pPr>
              <w:keepNext/>
              <w:keepLines/>
              <w:spacing w:before="120" w:after="120"/>
              <w:jc w:val="center"/>
              <w:rPr>
                <w:rFonts w:ascii="Palatino Linotype" w:hAnsi="Palatino Linotype"/>
              </w:rPr>
            </w:pPr>
            <w:r w:rsidRPr="004A4D0A">
              <w:rPr>
                <w:rFonts w:ascii="Palatino Linotype" w:hAnsi="Palatino Linotype"/>
              </w:rPr>
              <w:t>$1,774,967.21</w:t>
            </w:r>
          </w:p>
        </w:tc>
      </w:tr>
    </w:tbl>
    <w:p w:rsidR="00C67A2F" w:rsidRPr="00D217EA" w:rsidRDefault="00C67A2F" w:rsidP="00C67A2F">
      <w:pPr>
        <w:keepNext/>
        <w:keepLines/>
        <w:rPr>
          <w:rFonts w:ascii="Palatino Linotype" w:hAnsi="Palatino Linotype"/>
          <w:color w:val="FF0000"/>
          <w:sz w:val="24"/>
          <w:szCs w:val="24"/>
        </w:rPr>
      </w:pPr>
    </w:p>
    <w:p w:rsidR="00C67A2F" w:rsidRPr="00D217EA" w:rsidRDefault="00C67A2F" w:rsidP="00C67A2F">
      <w:pPr>
        <w:keepNext/>
        <w:keepLines/>
        <w:jc w:val="center"/>
        <w:rPr>
          <w:rFonts w:ascii="Palatino Linotype" w:hAnsi="Palatino Linotype"/>
          <w:color w:val="FF0000"/>
          <w:sz w:val="24"/>
          <w:szCs w:val="24"/>
        </w:rPr>
        <w:sectPr w:rsidR="00C67A2F" w:rsidRPr="00D217EA">
          <w:headerReference w:type="default" r:id="rId15"/>
          <w:footerReference w:type="default" r:id="rId16"/>
          <w:headerReference w:type="first" r:id="rId17"/>
          <w:footerReference w:type="first" r:id="rId18"/>
          <w:pgSz w:w="12240" w:h="15840" w:code="1"/>
          <w:pgMar w:top="1440" w:right="1440" w:bottom="1440" w:left="1440" w:header="720" w:footer="475" w:gutter="0"/>
          <w:pgNumType w:start="1"/>
          <w:cols w:space="720"/>
          <w:titlePg/>
          <w:docGrid w:linePitch="272"/>
        </w:sectPr>
      </w:pPr>
    </w:p>
    <w:p w:rsidR="00C67A2F" w:rsidRPr="00B07D9B" w:rsidRDefault="00C67A2F" w:rsidP="00C67A2F">
      <w:pPr>
        <w:keepNext/>
        <w:keepLines/>
        <w:jc w:val="center"/>
        <w:rPr>
          <w:rFonts w:ascii="Palatino Linotype" w:hAnsi="Palatino Linotype"/>
          <w:b/>
          <w:sz w:val="24"/>
          <w:szCs w:val="24"/>
        </w:rPr>
      </w:pPr>
      <w:r w:rsidRPr="00B07D9B">
        <w:rPr>
          <w:rFonts w:ascii="Palatino Linotype" w:hAnsi="Palatino Linotype"/>
          <w:b/>
          <w:sz w:val="24"/>
          <w:szCs w:val="24"/>
        </w:rPr>
        <w:t>Appendix B</w:t>
      </w:r>
    </w:p>
    <w:p w:rsidR="00C67A2F" w:rsidRPr="00B07D9B" w:rsidRDefault="00C67A2F" w:rsidP="00C67A2F">
      <w:pPr>
        <w:keepNext/>
        <w:keepLines/>
        <w:jc w:val="center"/>
        <w:rPr>
          <w:rFonts w:ascii="Palatino Linotype" w:hAnsi="Palatino Linotype"/>
          <w:b/>
          <w:sz w:val="24"/>
          <w:szCs w:val="24"/>
        </w:rPr>
      </w:pPr>
      <w:r w:rsidRPr="00B07D9B">
        <w:rPr>
          <w:rFonts w:ascii="Palatino Linotype" w:hAnsi="Palatino Linotype"/>
          <w:b/>
          <w:sz w:val="24"/>
          <w:szCs w:val="24"/>
        </w:rPr>
        <w:t>Resolution T-17503 AEC Connect Anza</w:t>
      </w:r>
    </w:p>
    <w:p w:rsidR="00C67A2F" w:rsidRPr="00B07D9B" w:rsidRDefault="00C67A2F" w:rsidP="00C67A2F">
      <w:pPr>
        <w:keepNext/>
        <w:keepLines/>
        <w:jc w:val="center"/>
        <w:rPr>
          <w:rFonts w:ascii="Palatino Linotype" w:hAnsi="Palatino Linotype"/>
          <w:b/>
          <w:sz w:val="24"/>
          <w:szCs w:val="24"/>
        </w:rPr>
      </w:pPr>
      <w:r w:rsidRPr="00B07D9B">
        <w:rPr>
          <w:rFonts w:ascii="Palatino Linotype" w:hAnsi="Palatino Linotype"/>
          <w:b/>
          <w:sz w:val="24"/>
          <w:szCs w:val="24"/>
        </w:rPr>
        <w:t>Project location map</w:t>
      </w:r>
    </w:p>
    <w:p w:rsidR="00C67A2F" w:rsidRPr="00620870" w:rsidRDefault="00C67A2F" w:rsidP="00C67A2F">
      <w:pPr>
        <w:keepNext/>
        <w:keepLines/>
        <w:rPr>
          <w:rFonts w:ascii="Palatino Linotype" w:hAnsi="Palatino Linotype"/>
          <w:b/>
          <w:sz w:val="24"/>
          <w:szCs w:val="24"/>
        </w:rPr>
        <w:sectPr w:rsidR="00C67A2F" w:rsidRPr="00620870">
          <w:headerReference w:type="first" r:id="rId19"/>
          <w:footerReference w:type="first" r:id="rId20"/>
          <w:type w:val="continuous"/>
          <w:pgSz w:w="12240" w:h="15840" w:code="1"/>
          <w:pgMar w:top="1440" w:right="1440" w:bottom="1440" w:left="1440" w:header="720" w:footer="475" w:gutter="0"/>
          <w:pgNumType w:start="1"/>
          <w:cols w:space="720"/>
          <w:titlePg/>
          <w:docGrid w:linePitch="272"/>
        </w:sectPr>
      </w:pPr>
      <w:r>
        <w:rPr>
          <w:rFonts w:ascii="Palatino Linotype" w:hAnsi="Palatino Linotype"/>
          <w:b/>
          <w:noProof/>
          <w:color w:val="FF0000"/>
          <w:sz w:val="24"/>
          <w:szCs w:val="24"/>
        </w:rPr>
        <w:drawing>
          <wp:inline distT="0" distB="0" distL="0" distR="0" wp14:anchorId="638D5FF8" wp14:editId="41A7A91A">
            <wp:extent cx="5658515" cy="732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a Electric - Connect Anza Project Location Map 201507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8515" cy="7322820"/>
                    </a:xfrm>
                    <a:prstGeom prst="rect">
                      <a:avLst/>
                    </a:prstGeom>
                  </pic:spPr>
                </pic:pic>
              </a:graphicData>
            </a:graphic>
          </wp:inline>
        </w:drawing>
      </w:r>
    </w:p>
    <w:p w:rsidR="00C67A2F" w:rsidRPr="00D217EA" w:rsidRDefault="00C67A2F" w:rsidP="00C67A2F">
      <w:pPr>
        <w:keepNext/>
        <w:keepLines/>
        <w:jc w:val="center"/>
        <w:rPr>
          <w:rFonts w:ascii="Palatino Linotype" w:hAnsi="Palatino Linotype"/>
          <w:b/>
          <w:color w:val="FF0000"/>
          <w:sz w:val="24"/>
          <w:szCs w:val="24"/>
        </w:rPr>
        <w:sectPr w:rsidR="00C67A2F" w:rsidRPr="00D217EA">
          <w:footerReference w:type="first" r:id="rId22"/>
          <w:type w:val="continuous"/>
          <w:pgSz w:w="12240" w:h="15840" w:code="1"/>
          <w:pgMar w:top="1440" w:right="1440" w:bottom="1440" w:left="1440" w:header="720" w:footer="475" w:gutter="0"/>
          <w:pgNumType w:start="1"/>
          <w:cols w:space="720"/>
          <w:titlePg/>
          <w:docGrid w:linePitch="272"/>
        </w:sectPr>
      </w:pPr>
      <w:r w:rsidRPr="00D217EA">
        <w:rPr>
          <w:rFonts w:ascii="Palatino Linotype" w:hAnsi="Palatino Linotype"/>
          <w:b/>
          <w:color w:val="FF0000"/>
          <w:sz w:val="24"/>
          <w:szCs w:val="24"/>
        </w:rPr>
        <w:br w:type="page"/>
      </w:r>
    </w:p>
    <w:p w:rsidR="00C67A2F" w:rsidRPr="00620870" w:rsidRDefault="00C67A2F" w:rsidP="00C67A2F">
      <w:pPr>
        <w:keepNext/>
        <w:keepLines/>
        <w:jc w:val="center"/>
        <w:rPr>
          <w:rFonts w:ascii="Palatino Linotype" w:hAnsi="Palatino Linotype"/>
          <w:b/>
          <w:sz w:val="24"/>
          <w:szCs w:val="24"/>
        </w:rPr>
      </w:pPr>
      <w:r w:rsidRPr="00620870">
        <w:rPr>
          <w:rFonts w:ascii="Palatino Linotype" w:hAnsi="Palatino Linotype"/>
          <w:b/>
          <w:sz w:val="24"/>
          <w:szCs w:val="24"/>
        </w:rPr>
        <w:t>Appendix C</w:t>
      </w:r>
    </w:p>
    <w:p w:rsidR="00C67A2F" w:rsidRPr="00620870" w:rsidRDefault="00C67A2F" w:rsidP="00C67A2F">
      <w:pPr>
        <w:keepNext/>
        <w:keepLines/>
        <w:jc w:val="center"/>
        <w:rPr>
          <w:rFonts w:ascii="Palatino Linotype" w:hAnsi="Palatino Linotype"/>
          <w:b/>
          <w:sz w:val="24"/>
          <w:szCs w:val="24"/>
        </w:rPr>
      </w:pPr>
      <w:r w:rsidRPr="00620870">
        <w:rPr>
          <w:rFonts w:ascii="Palatino Linotype" w:hAnsi="Palatino Linotype"/>
          <w:b/>
          <w:sz w:val="24"/>
          <w:szCs w:val="24"/>
        </w:rPr>
        <w:t>Resolution T-17503 AEC Connect Anza</w:t>
      </w:r>
    </w:p>
    <w:p w:rsidR="00C67A2F" w:rsidRDefault="00C67A2F" w:rsidP="00C67A2F">
      <w:pPr>
        <w:keepNext/>
        <w:keepLines/>
        <w:jc w:val="center"/>
        <w:rPr>
          <w:rFonts w:ascii="Palatino Linotype" w:hAnsi="Palatino Linotype"/>
          <w:b/>
          <w:sz w:val="24"/>
          <w:szCs w:val="24"/>
        </w:rPr>
      </w:pPr>
      <w:r w:rsidRPr="00620870">
        <w:rPr>
          <w:rFonts w:ascii="Palatino Linotype" w:hAnsi="Palatino Linotype"/>
          <w:b/>
          <w:sz w:val="24"/>
          <w:szCs w:val="24"/>
        </w:rPr>
        <w:t>Existing broadband download speeds</w:t>
      </w:r>
    </w:p>
    <w:p w:rsidR="0028315D" w:rsidRDefault="00C67A2F" w:rsidP="00C67A2F">
      <w:pPr>
        <w:jc w:val="center"/>
        <w:sectPr w:rsidR="0028315D">
          <w:headerReference w:type="first" r:id="rId23"/>
          <w:footerReference w:type="first" r:id="rId24"/>
          <w:type w:val="continuous"/>
          <w:pgSz w:w="12240" w:h="15840" w:code="1"/>
          <w:pgMar w:top="1440" w:right="1440" w:bottom="1440" w:left="1440" w:header="720" w:footer="475" w:gutter="0"/>
          <w:pgNumType w:start="1"/>
          <w:cols w:space="720"/>
          <w:titlePg/>
          <w:docGrid w:linePitch="272"/>
        </w:sectPr>
      </w:pPr>
      <w:r>
        <w:rPr>
          <w:noProof/>
        </w:rPr>
        <w:drawing>
          <wp:inline distT="0" distB="0" distL="0" distR="0" wp14:anchorId="580F1586" wp14:editId="55B98FAB">
            <wp:extent cx="5737860" cy="742550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a Electric - Connect Anza 20150716 (showing street network) 11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0229" cy="7428567"/>
                    </a:xfrm>
                    <a:prstGeom prst="rect">
                      <a:avLst/>
                    </a:prstGeom>
                  </pic:spPr>
                </pic:pic>
              </a:graphicData>
            </a:graphic>
          </wp:inline>
        </w:drawing>
      </w:r>
    </w:p>
    <w:p w:rsidR="00C67A2F" w:rsidRDefault="00C67A2F" w:rsidP="00C67A2F">
      <w:pPr>
        <w:jc w:val="center"/>
        <w:sectPr w:rsidR="00C67A2F">
          <w:type w:val="continuous"/>
          <w:pgSz w:w="12240" w:h="15840" w:code="1"/>
          <w:pgMar w:top="1440" w:right="1440" w:bottom="1440" w:left="1440" w:header="720" w:footer="475" w:gutter="0"/>
          <w:pgNumType w:start="1"/>
          <w:cols w:space="720"/>
          <w:titlePg/>
          <w:docGrid w:linePitch="272"/>
        </w:sectPr>
      </w:pPr>
    </w:p>
    <w:p w:rsidR="00C67A2F" w:rsidRDefault="00C67A2F" w:rsidP="00C67A2F">
      <w:pPr>
        <w:keepNext/>
        <w:keepLines/>
        <w:jc w:val="center"/>
        <w:rPr>
          <w:rFonts w:ascii="Palatino Linotype" w:hAnsi="Palatino Linotype"/>
          <w:b/>
          <w:sz w:val="24"/>
          <w:szCs w:val="24"/>
        </w:rPr>
      </w:pPr>
      <w:r w:rsidRPr="001B72F5">
        <w:rPr>
          <w:rFonts w:ascii="Palatino Linotype" w:hAnsi="Palatino Linotype"/>
          <w:b/>
          <w:sz w:val="24"/>
          <w:szCs w:val="24"/>
        </w:rPr>
        <w:t>Appendix D – Applicant Provided Mobile Speed Tests</w:t>
      </w:r>
    </w:p>
    <w:p w:rsidR="00C67A2F" w:rsidRDefault="00C67A2F" w:rsidP="00C67A2F">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4AC972BB" wp14:editId="2D434115">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ests_0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67A2F" w:rsidRDefault="00C67A2F" w:rsidP="00C67A2F">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0824919B" wp14:editId="7DF2AC0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ests_0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67A2F" w:rsidRDefault="00C67A2F" w:rsidP="00C67A2F">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61BE04F2" wp14:editId="51D09C8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ests_0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67A2F" w:rsidRDefault="00C67A2F" w:rsidP="00C67A2F">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4B125829" wp14:editId="19CD0AAB">
            <wp:extent cx="5941146" cy="1371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ests_004.png"/>
                    <pic:cNvPicPr/>
                  </pic:nvPicPr>
                  <pic:blipFill rotWithShape="1">
                    <a:blip r:embed="rId29" cstate="print">
                      <a:extLst>
                        <a:ext uri="{28A0092B-C50C-407E-A947-70E740481C1C}">
                          <a14:useLocalDpi xmlns:a14="http://schemas.microsoft.com/office/drawing/2010/main" val="0"/>
                        </a:ext>
                      </a:extLst>
                    </a:blip>
                    <a:srcRect b="82160"/>
                    <a:stretch/>
                  </pic:blipFill>
                  <pic:spPr bwMode="auto">
                    <a:xfrm>
                      <a:off x="0" y="0"/>
                      <a:ext cx="5943600" cy="1372167"/>
                    </a:xfrm>
                    <a:prstGeom prst="rect">
                      <a:avLst/>
                    </a:prstGeom>
                    <a:ln>
                      <a:noFill/>
                    </a:ln>
                    <a:extLst>
                      <a:ext uri="{53640926-AAD7-44D8-BBD7-CCE9431645EC}">
                        <a14:shadowObscured xmlns:a14="http://schemas.microsoft.com/office/drawing/2010/main"/>
                      </a:ext>
                    </a:extLst>
                  </pic:spPr>
                </pic:pic>
              </a:graphicData>
            </a:graphic>
          </wp:inline>
        </w:drawing>
      </w:r>
    </w:p>
    <w:p w:rsidR="00C67A2F" w:rsidRDefault="00C67A2F" w:rsidP="00C67A2F">
      <w:pPr>
        <w:keepNext/>
        <w:keepLines/>
        <w:jc w:val="center"/>
        <w:rPr>
          <w:rFonts w:ascii="Palatino Linotype" w:hAnsi="Palatino Linotype"/>
          <w:b/>
          <w:sz w:val="24"/>
          <w:szCs w:val="24"/>
        </w:rPr>
      </w:pPr>
      <w:r>
        <w:rPr>
          <w:rFonts w:ascii="Arial" w:hAnsi="Arial" w:cs="Arial"/>
          <w:noProof/>
          <w:sz w:val="24"/>
          <w:szCs w:val="24"/>
        </w:rPr>
        <w:drawing>
          <wp:inline distT="0" distB="0" distL="0" distR="0" wp14:anchorId="6A1EF991" wp14:editId="41591966">
            <wp:extent cx="5493376" cy="3230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BG's and Speed Tests.jpg"/>
                    <pic:cNvPicPr/>
                  </pic:nvPicPr>
                  <pic:blipFill>
                    <a:blip r:embed="rId30">
                      <a:extLst>
                        <a:ext uri="{28A0092B-C50C-407E-A947-70E740481C1C}">
                          <a14:useLocalDpi xmlns:a14="http://schemas.microsoft.com/office/drawing/2010/main" val="0"/>
                        </a:ext>
                      </a:extLst>
                    </a:blip>
                    <a:stretch>
                      <a:fillRect/>
                    </a:stretch>
                  </pic:blipFill>
                  <pic:spPr>
                    <a:xfrm>
                      <a:off x="0" y="0"/>
                      <a:ext cx="5493376" cy="3230880"/>
                    </a:xfrm>
                    <a:prstGeom prst="rect">
                      <a:avLst/>
                    </a:prstGeom>
                  </pic:spPr>
                </pic:pic>
              </a:graphicData>
            </a:graphic>
          </wp:inline>
        </w:drawing>
      </w:r>
    </w:p>
    <w:p w:rsidR="00C67A2F" w:rsidRDefault="00C67A2F" w:rsidP="00C67A2F">
      <w:pPr>
        <w:keepNext/>
        <w:keepLines/>
        <w:jc w:val="center"/>
        <w:rPr>
          <w:rFonts w:ascii="Palatino Linotype" w:hAnsi="Palatino Linotype"/>
          <w:b/>
          <w:sz w:val="24"/>
          <w:szCs w:val="24"/>
        </w:rPr>
      </w:pPr>
      <w:r>
        <w:rPr>
          <w:rFonts w:ascii="Arial" w:hAnsi="Arial" w:cs="Arial"/>
          <w:noProof/>
          <w:sz w:val="24"/>
          <w:szCs w:val="24"/>
        </w:rPr>
        <w:drawing>
          <wp:inline distT="0" distB="0" distL="0" distR="0" wp14:anchorId="12304336" wp14:editId="608F2A55">
            <wp:extent cx="5227320" cy="30744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0650444021.jpg"/>
                    <pic:cNvPicPr/>
                  </pic:nvPicPr>
                  <pic:blipFill>
                    <a:blip r:embed="rId31">
                      <a:extLst>
                        <a:ext uri="{28A0092B-C50C-407E-A947-70E740481C1C}">
                          <a14:useLocalDpi xmlns:a14="http://schemas.microsoft.com/office/drawing/2010/main" val="0"/>
                        </a:ext>
                      </a:extLst>
                    </a:blip>
                    <a:stretch>
                      <a:fillRect/>
                    </a:stretch>
                  </pic:blipFill>
                  <pic:spPr>
                    <a:xfrm>
                      <a:off x="0" y="0"/>
                      <a:ext cx="5227320" cy="3074401"/>
                    </a:xfrm>
                    <a:prstGeom prst="rect">
                      <a:avLst/>
                    </a:prstGeom>
                  </pic:spPr>
                </pic:pic>
              </a:graphicData>
            </a:graphic>
          </wp:inline>
        </w:drawing>
      </w:r>
    </w:p>
    <w:p w:rsidR="00C67A2F" w:rsidRPr="001B72F5" w:rsidRDefault="00C67A2F" w:rsidP="00C67A2F">
      <w:pPr>
        <w:keepNext/>
        <w:keepLines/>
        <w:jc w:val="center"/>
        <w:rPr>
          <w:rFonts w:ascii="Palatino Linotype" w:hAnsi="Palatino Linotype"/>
          <w:b/>
          <w:sz w:val="24"/>
          <w:szCs w:val="24"/>
        </w:rPr>
      </w:pPr>
    </w:p>
    <w:p w:rsidR="000A2B5F" w:rsidRPr="00C67A2F" w:rsidRDefault="003C1D5B" w:rsidP="003C1D5B">
      <w:pPr>
        <w:jc w:val="center"/>
      </w:pPr>
      <w:r>
        <w:t>End of Appendix</w:t>
      </w:r>
    </w:p>
    <w:sectPr w:rsidR="000A2B5F" w:rsidRPr="00C67A2F" w:rsidSect="0028315D">
      <w:headerReference w:type="default" r:id="rId32"/>
      <w:footerReference w:type="default" r:id="rId33"/>
      <w:footerReference w:type="first" r:id="rId34"/>
      <w:type w:val="continuous"/>
      <w:pgSz w:w="12240" w:h="15840" w:code="1"/>
      <w:pgMar w:top="1440" w:right="1440" w:bottom="1440" w:left="1440" w:header="720" w:footer="47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FB0" w:rsidRDefault="00CB4FB0">
      <w:r>
        <w:separator/>
      </w:r>
    </w:p>
  </w:endnote>
  <w:endnote w:type="continuationSeparator" w:id="0">
    <w:p w:rsidR="00CB4FB0" w:rsidRDefault="00CB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4A4" w:rsidRDefault="000D04A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Default="00723AC4" w:rsidP="00723349">
    <w:pPr>
      <w:pStyle w:val="Footer"/>
      <w:jc w:val="center"/>
      <w:rPr>
        <w:sz w:val="22"/>
        <w:szCs w:val="22"/>
      </w:rPr>
    </w:pPr>
    <w:r w:rsidRPr="00F34BDA">
      <w:rPr>
        <w:sz w:val="22"/>
        <w:szCs w:val="22"/>
      </w:rPr>
      <w:t>Appendix</w:t>
    </w:r>
    <w:r>
      <w:rPr>
        <w:sz w:val="22"/>
        <w:szCs w:val="22"/>
      </w:rPr>
      <w:t xml:space="preserve"> C-1</w:t>
    </w:r>
  </w:p>
  <w:p w:rsidR="00723AC4" w:rsidRPr="00723349" w:rsidRDefault="00723AC4" w:rsidP="007233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Default="00913D1F" w:rsidP="00592763">
    <w:pPr>
      <w:pStyle w:val="Footer"/>
      <w:jc w:val="center"/>
    </w:pPr>
    <w:r>
      <w:fldChar w:fldCharType="begin"/>
    </w:r>
    <w:r>
      <w:instrText xml:space="preserve"> PAGE   \* MERGEFORMAT </w:instrText>
    </w:r>
    <w:r>
      <w:fldChar w:fldCharType="separate"/>
    </w:r>
    <w:r w:rsidR="00434250">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5B" w:rsidRPr="003C1D5B" w:rsidRDefault="003C1D5B">
    <w:pPr>
      <w:pStyle w:val="Footer"/>
      <w:rPr>
        <w:rFonts w:ascii="Tahoma" w:hAnsi="Tahoma" w:cs="Tahoma"/>
      </w:rPr>
    </w:pPr>
    <w:r w:rsidRPr="003C1D5B">
      <w:rPr>
        <w:rFonts w:ascii="Tahoma" w:hAnsi="Tahoma" w:cs="Tahoma"/>
      </w:rPr>
      <w:t xml:space="preserve">156883679 </w:t>
    </w:r>
    <w:r w:rsidR="00434250">
      <w:rPr>
        <w:rFonts w:ascii="Tahoma" w:hAnsi="Tahoma" w:cs="Tahoma"/>
        <w:vanis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6pt">
          <v:imagedata r:id="rId1" o:titl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Pr="00F34BDA" w:rsidRDefault="00723AC4" w:rsidP="00592763">
    <w:pPr>
      <w:pStyle w:val="Footer"/>
      <w:jc w:val="center"/>
      <w:rPr>
        <w:sz w:val="22"/>
        <w:szCs w:val="22"/>
      </w:rPr>
    </w:pPr>
    <w:r w:rsidRPr="00F34BDA">
      <w:rPr>
        <w:sz w:val="22"/>
        <w:szCs w:val="22"/>
      </w:rPr>
      <w:t>Appendix A-1</w:t>
    </w:r>
  </w:p>
  <w:p w:rsidR="00723AC4" w:rsidRPr="00F34BDA" w:rsidRDefault="00723AC4" w:rsidP="00723AC4">
    <w:pPr>
      <w:pStyle w:val="Footer"/>
      <w:tabs>
        <w:tab w:val="center" w:pos="4680"/>
        <w:tab w:val="left" w:pos="5472"/>
      </w:tabs>
      <w:rPr>
        <w:sz w:val="22"/>
        <w:szCs w:val="22"/>
      </w:rPr>
    </w:pPr>
    <w:r>
      <w:rPr>
        <w:sz w:val="22"/>
        <w:szCs w:val="22"/>
      </w:rPr>
      <w:tab/>
    </w:r>
    <w:r>
      <w:rPr>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Pr="00A73563" w:rsidRDefault="00723AC4" w:rsidP="00A735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Default="00723AC4" w:rsidP="00F34BDA">
    <w:pPr>
      <w:pStyle w:val="Footer"/>
      <w:jc w:val="center"/>
      <w:rPr>
        <w:sz w:val="22"/>
        <w:szCs w:val="22"/>
      </w:rPr>
    </w:pPr>
    <w:r w:rsidRPr="00F34BDA">
      <w:rPr>
        <w:sz w:val="22"/>
        <w:szCs w:val="22"/>
      </w:rPr>
      <w:t>Appendix</w:t>
    </w:r>
    <w:r>
      <w:rPr>
        <w:sz w:val="22"/>
        <w:szCs w:val="22"/>
      </w:rPr>
      <w:t xml:space="preserve"> B-1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Default="00723AC4" w:rsidP="00F34BDA">
    <w:pPr>
      <w:pStyle w:val="Footer"/>
      <w:jc w:val="center"/>
      <w:rPr>
        <w:sz w:val="22"/>
        <w:szCs w:val="22"/>
      </w:rPr>
    </w:pPr>
    <w:r w:rsidRPr="00F34BDA">
      <w:rPr>
        <w:sz w:val="22"/>
        <w:szCs w:val="22"/>
      </w:rPr>
      <w:t>Appendix</w:t>
    </w:r>
    <w:r>
      <w:rPr>
        <w:sz w:val="22"/>
        <w:szCs w:val="22"/>
      </w:rPr>
      <w:t xml:space="preserve"> B-1</w:t>
    </w:r>
  </w:p>
  <w:p w:rsidR="00723AC4" w:rsidRPr="00F34BDA" w:rsidRDefault="00723AC4" w:rsidP="00F34BDA">
    <w:pPr>
      <w:pStyle w:val="Footer"/>
      <w:jc w:val="center"/>
      <w:rPr>
        <w:sz w:val="22"/>
        <w:szCs w:val="22"/>
      </w:rPr>
    </w:pPr>
    <w:r w:rsidRPr="00F34BDA">
      <w:rPr>
        <w:sz w:val="22"/>
        <w:szCs w:val="22"/>
      </w:rPr>
      <w:t>(End)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Default="00723AC4" w:rsidP="00723349">
    <w:pPr>
      <w:pStyle w:val="Footer"/>
      <w:jc w:val="center"/>
      <w:rPr>
        <w:sz w:val="22"/>
        <w:szCs w:val="22"/>
      </w:rPr>
    </w:pPr>
    <w:r w:rsidRPr="00F34BDA">
      <w:rPr>
        <w:sz w:val="22"/>
        <w:szCs w:val="22"/>
      </w:rPr>
      <w:t>Appendix</w:t>
    </w:r>
    <w:r>
      <w:rPr>
        <w:sz w:val="22"/>
        <w:szCs w:val="22"/>
      </w:rPr>
      <w:t xml:space="preserve"> C-1</w:t>
    </w:r>
  </w:p>
  <w:p w:rsidR="00723AC4" w:rsidRPr="00723349" w:rsidRDefault="00723AC4" w:rsidP="0072334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Default="00723AC4" w:rsidP="0028315D">
    <w:pPr>
      <w:pStyle w:val="Footer"/>
      <w:jc w:val="center"/>
      <w:rPr>
        <w:noProof/>
      </w:rPr>
    </w:pPr>
    <w:r w:rsidRPr="00F34BDA">
      <w:rPr>
        <w:sz w:val="22"/>
        <w:szCs w:val="22"/>
      </w:rPr>
      <w:t>A</w:t>
    </w:r>
    <w:r>
      <w:rPr>
        <w:sz w:val="22"/>
        <w:szCs w:val="22"/>
      </w:rPr>
      <w:t xml:space="preserve">ppendix </w:t>
    </w:r>
    <w:r>
      <w:t xml:space="preserve">D - </w:t>
    </w:r>
    <w:r w:rsidR="00913D1F">
      <w:fldChar w:fldCharType="begin"/>
    </w:r>
    <w:r w:rsidR="00913D1F">
      <w:instrText xml:space="preserve"> PAGE   \* MERGEFORMAT </w:instrText>
    </w:r>
    <w:r w:rsidR="00913D1F">
      <w:fldChar w:fldCharType="separate"/>
    </w:r>
    <w:r w:rsidR="000D04A4">
      <w:rPr>
        <w:noProof/>
      </w:rPr>
      <w:t>3</w:t>
    </w:r>
    <w:r w:rsidR="00913D1F">
      <w:rPr>
        <w:noProof/>
      </w:rPr>
      <w:fldChar w:fldCharType="end"/>
    </w:r>
  </w:p>
  <w:p w:rsidR="00723AC4" w:rsidRPr="00F34BDA" w:rsidRDefault="00723AC4" w:rsidP="0028315D">
    <w:pPr>
      <w:pStyle w:val="Footer"/>
      <w:jc w:val="center"/>
      <w:rPr>
        <w:sz w:val="22"/>
        <w:szCs w:val="22"/>
      </w:rPr>
    </w:pPr>
    <w:r>
      <w:rPr>
        <w:sz w:val="22"/>
        <w:szCs w:val="22"/>
      </w:rPr>
      <w:tab/>
    </w:r>
    <w:r>
      <w:rPr>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FB0" w:rsidRDefault="00CB4FB0">
      <w:r>
        <w:separator/>
      </w:r>
    </w:p>
  </w:footnote>
  <w:footnote w:type="continuationSeparator" w:id="0">
    <w:p w:rsidR="00CB4FB0" w:rsidRDefault="00CB4FB0">
      <w:r>
        <w:continuationSeparator/>
      </w:r>
    </w:p>
  </w:footnote>
  <w:footnote w:id="1">
    <w:p w:rsidR="00723AC4" w:rsidRPr="006D2637" w:rsidRDefault="00723AC4" w:rsidP="00C67A2F">
      <w:pPr>
        <w:pStyle w:val="FootnoteText"/>
        <w:rPr>
          <w:rFonts w:ascii="Palatino Linotype" w:hAnsi="Palatino Linotype"/>
        </w:rPr>
      </w:pPr>
      <w:r w:rsidRPr="006D2637">
        <w:rPr>
          <w:rStyle w:val="FootnoteReference"/>
          <w:rFonts w:ascii="Palatino Linotype" w:hAnsi="Palatino Linotype"/>
        </w:rPr>
        <w:footnoteRef/>
      </w:r>
      <w:r w:rsidRPr="006D2637">
        <w:rPr>
          <w:rFonts w:ascii="Palatino Linotype" w:hAnsi="Palatino Linotype"/>
        </w:rPr>
        <w:t xml:space="preserve"> </w:t>
      </w:r>
      <w:r w:rsidRPr="006D2637">
        <w:rPr>
          <w:rFonts w:ascii="Palatino Linotype" w:hAnsi="Palatino Linotype"/>
          <w:color w:val="000000"/>
        </w:rPr>
        <w:t>Stats. 2010, c. 317, codified at Public Utilities (P.U.) Code § 281</w:t>
      </w:r>
    </w:p>
  </w:footnote>
  <w:footnote w:id="2">
    <w:p w:rsidR="00723AC4" w:rsidRPr="006D2637" w:rsidRDefault="00723AC4" w:rsidP="00C67A2F">
      <w:pPr>
        <w:pageBreakBefore/>
        <w:autoSpaceDE w:val="0"/>
        <w:autoSpaceDN w:val="0"/>
        <w:adjustRightInd w:val="0"/>
        <w:rPr>
          <w:rFonts w:ascii="Palatino Linotype" w:hAnsi="Palatino Linotype"/>
        </w:rPr>
      </w:pPr>
      <w:r w:rsidRPr="006D2637">
        <w:rPr>
          <w:rStyle w:val="FootnoteReference"/>
          <w:rFonts w:ascii="Palatino Linotype" w:hAnsi="Palatino Linotype"/>
        </w:rPr>
        <w:footnoteRef/>
      </w:r>
      <w:r w:rsidRPr="006D2637">
        <w:rPr>
          <w:rFonts w:ascii="Palatino Linotype" w:hAnsi="Palatino Linotype"/>
        </w:rPr>
        <w:t xml:space="preserve"> </w:t>
      </w:r>
      <w:r w:rsidRPr="006D2637">
        <w:rPr>
          <w:rFonts w:ascii="Palatino Linotype" w:hAnsi="Palatino Linotype"/>
          <w:color w:val="000000"/>
        </w:rPr>
        <w:t xml:space="preserve">P.U. Code § 281(b)(1). </w:t>
      </w:r>
    </w:p>
  </w:footnote>
  <w:footnote w:id="3">
    <w:p w:rsidR="00723AC4" w:rsidRDefault="00723AC4" w:rsidP="00C67A2F">
      <w:pPr>
        <w:pStyle w:val="FootnoteText"/>
      </w:pPr>
      <w:r w:rsidRPr="006D2637">
        <w:rPr>
          <w:rStyle w:val="FootnoteReference"/>
          <w:rFonts w:ascii="Palatino Linotype" w:hAnsi="Palatino Linotype"/>
        </w:rPr>
        <w:footnoteRef/>
      </w:r>
      <w:r w:rsidRPr="006D2637">
        <w:rPr>
          <w:rFonts w:ascii="Palatino Linotype" w:hAnsi="Palatino Linotype"/>
        </w:rPr>
        <w:t xml:space="preserve"> The Commission later issued D.14-02-018 to implement provisions in Senate Bill 740 (Padilla, Stats 2013, Chapter 522), which amended P.U. Code § 281 and expanded eligibility for CASF Infrastructure Grants/Loans to non-telephone corporations.</w:t>
      </w:r>
      <w:r>
        <w:t xml:space="preserve">  </w:t>
      </w:r>
    </w:p>
  </w:footnote>
  <w:footnote w:id="4">
    <w:p w:rsidR="00723AC4" w:rsidRPr="006D2637" w:rsidRDefault="00723AC4" w:rsidP="00C67A2F">
      <w:pPr>
        <w:pStyle w:val="FootnoteText"/>
        <w:rPr>
          <w:rStyle w:val="FootnoteReference"/>
        </w:rPr>
      </w:pPr>
      <w:r w:rsidRPr="006D2637">
        <w:rPr>
          <w:rStyle w:val="FootnoteReference"/>
          <w:rFonts w:ascii="Palatino Linotype" w:hAnsi="Palatino Linotype"/>
        </w:rPr>
        <w:footnoteRef/>
      </w:r>
      <w:r w:rsidRPr="006D2637">
        <w:rPr>
          <w:rStyle w:val="FootnoteReference"/>
          <w:rFonts w:ascii="Palatino Linotype" w:hAnsi="Palatino Linotype"/>
          <w:vertAlign w:val="baseline"/>
        </w:rPr>
        <w:t xml:space="preserve"> CD received an email after the challenge period from an individual who has a small fixed wireless and satellite reseller business in Anza, CA.  He </w:t>
      </w:r>
      <w:r>
        <w:rPr>
          <w:rFonts w:ascii="Palatino Linotype" w:hAnsi="Palatino Linotype"/>
        </w:rPr>
        <w:t xml:space="preserve">did not challenge the project but, instead, </w:t>
      </w:r>
      <w:r w:rsidRPr="006D2637">
        <w:rPr>
          <w:rStyle w:val="FootnoteReference"/>
          <w:rFonts w:ascii="Palatino Linotype" w:hAnsi="Palatino Linotype"/>
          <w:vertAlign w:val="baseline"/>
        </w:rPr>
        <w:t xml:space="preserve">expressed opposition to the fixed wireless portion of the project, noting the presence of the two small local wireless providers (MtPalomar.net and Wireless Internet Pro) who do advertise up to served speeds in some locations.  The two </w:t>
      </w:r>
      <w:r w:rsidRPr="00345CC3">
        <w:rPr>
          <w:rStyle w:val="FootnoteReference"/>
          <w:rFonts w:ascii="Palatino Linotype" w:hAnsi="Palatino Linotype"/>
          <w:vertAlign w:val="baseline"/>
        </w:rPr>
        <w:t>providers do not provide</w:t>
      </w:r>
      <w:r w:rsidRPr="006D2637">
        <w:rPr>
          <w:rStyle w:val="FootnoteReference"/>
          <w:rFonts w:ascii="Palatino Linotype" w:hAnsi="Palatino Linotype"/>
          <w:vertAlign w:val="baseline"/>
        </w:rPr>
        <w:t xml:space="preserve"> data to the Commission and staff has no way of validating their service.   </w:t>
      </w:r>
    </w:p>
  </w:footnote>
  <w:footnote w:id="5">
    <w:p w:rsidR="00723AC4" w:rsidRDefault="00723AC4" w:rsidP="00C67A2F">
      <w:pPr>
        <w:pStyle w:val="FootnoteText"/>
      </w:pPr>
      <w:r w:rsidRPr="006D2637">
        <w:rPr>
          <w:rStyle w:val="FootnoteReference"/>
          <w:rFonts w:ascii="Palatino Linotype" w:hAnsi="Palatino Linotype"/>
        </w:rPr>
        <w:footnoteRef/>
      </w:r>
      <w:r w:rsidRPr="006D2637">
        <w:rPr>
          <w:rStyle w:val="FootnoteReference"/>
          <w:rFonts w:ascii="Palatino Linotype" w:hAnsi="Palatino Linotype"/>
          <w:vertAlign w:val="baseline"/>
        </w:rPr>
        <w:t xml:space="preserve"> AEC is an incorporated non-profit 501(c) (12) electricity (member-owned) cooperative.  </w:t>
      </w:r>
      <w:r>
        <w:rPr>
          <w:rFonts w:ascii="Palatino Linotype" w:hAnsi="Palatino Linotype"/>
        </w:rPr>
        <w:t>According to the AEC website (</w:t>
      </w:r>
      <w:hyperlink r:id="rId1" w:history="1">
        <w:r w:rsidRPr="00265A7D">
          <w:rPr>
            <w:rStyle w:val="Hyperlink"/>
            <w:rFonts w:ascii="Palatino Linotype" w:hAnsi="Palatino Linotype"/>
          </w:rPr>
          <w:t>http://www.anzaelectric.org/content/about-us</w:t>
        </w:r>
      </w:hyperlink>
      <w:r>
        <w:rPr>
          <w:rFonts w:ascii="Palatino Linotype" w:hAnsi="Palatino Linotype"/>
        </w:rPr>
        <w:t xml:space="preserve">), </w:t>
      </w:r>
      <w:r w:rsidRPr="006D2637">
        <w:rPr>
          <w:rStyle w:val="FootnoteReference"/>
          <w:rFonts w:ascii="Palatino Linotype" w:hAnsi="Palatino Linotype"/>
          <w:vertAlign w:val="baseline"/>
        </w:rPr>
        <w:t xml:space="preserve">AEC provides power to </w:t>
      </w:r>
      <w:r w:rsidRPr="00345CC3">
        <w:rPr>
          <w:rStyle w:val="FootnoteReference"/>
          <w:rFonts w:ascii="Palatino Linotype" w:hAnsi="Palatino Linotype"/>
          <w:vertAlign w:val="baseline"/>
        </w:rPr>
        <w:t>3900</w:t>
      </w:r>
      <w:r w:rsidRPr="006D2637">
        <w:rPr>
          <w:rStyle w:val="FootnoteReference"/>
          <w:rFonts w:ascii="Palatino Linotype" w:hAnsi="Palatino Linotype"/>
          <w:vertAlign w:val="baseline"/>
        </w:rPr>
        <w:t xml:space="preserve"> homes, schools, businesses and 20 irrigation loads.</w:t>
      </w:r>
    </w:p>
  </w:footnote>
  <w:footnote w:id="6">
    <w:p w:rsidR="00723AC4" w:rsidRDefault="00723AC4" w:rsidP="00C67A2F">
      <w:pPr>
        <w:pStyle w:val="FootnoteText"/>
      </w:pPr>
      <w:r>
        <w:rPr>
          <w:rStyle w:val="FootnoteReference"/>
        </w:rPr>
        <w:footnoteRef/>
      </w:r>
      <w:r>
        <w:t xml:space="preserve"> The number of trailer homes served and the information that the residents who live in the trailer homes are transient was stated by the applicant.  </w:t>
      </w:r>
    </w:p>
  </w:footnote>
  <w:footnote w:id="7">
    <w:p w:rsidR="00723AC4" w:rsidRDefault="00723AC4" w:rsidP="00C67A2F">
      <w:pPr>
        <w:pStyle w:val="FootnoteText"/>
      </w:pPr>
      <w:r>
        <w:rPr>
          <w:rStyle w:val="FootnoteReference"/>
        </w:rPr>
        <w:footnoteRef/>
      </w:r>
      <w:r>
        <w:t xml:space="preserve"> </w:t>
      </w:r>
      <w:r w:rsidRPr="0020126C">
        <w:rPr>
          <w:rFonts w:ascii="Palatino Linotype" w:hAnsi="Palatino Linotype"/>
        </w:rPr>
        <w:t>The total number of households as recorded in the US 2010 census for census block group areas to be served by the proposed project.</w:t>
      </w:r>
    </w:p>
  </w:footnote>
  <w:footnote w:id="8">
    <w:p w:rsidR="00723AC4" w:rsidRDefault="00723AC4" w:rsidP="00C67A2F">
      <w:pPr>
        <w:pStyle w:val="FootnoteText"/>
      </w:pPr>
      <w:r>
        <w:rPr>
          <w:rStyle w:val="FootnoteReference"/>
        </w:rPr>
        <w:footnoteRef/>
      </w:r>
      <w:r>
        <w:t xml:space="preserve"> Total number of households on the Cahuilla Reservation estimated by the applicant.</w:t>
      </w:r>
    </w:p>
  </w:footnote>
  <w:footnote w:id="9">
    <w:p w:rsidR="00723AC4" w:rsidRPr="00AD1DC7" w:rsidRDefault="00723AC4" w:rsidP="00C67A2F">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w:t>
      </w:r>
      <w:r w:rsidRPr="0020126C">
        <w:rPr>
          <w:rFonts w:ascii="Palatino Linotype" w:hAnsi="Palatino Linotype"/>
        </w:rPr>
        <w:t>Here, CD consulted the latest version of the California Interactive Broadband Availability Map, with data current as of June 30, 2014.</w:t>
      </w:r>
    </w:p>
  </w:footnote>
  <w:footnote w:id="10">
    <w:p w:rsidR="00723AC4" w:rsidRDefault="00723AC4" w:rsidP="00C67A2F">
      <w:pPr>
        <w:pStyle w:val="FootnoteText"/>
      </w:pPr>
      <w:r>
        <w:rPr>
          <w:rStyle w:val="FootnoteReference"/>
        </w:rPr>
        <w:footnoteRef/>
      </w:r>
      <w:r>
        <w:t xml:space="preserve"> </w:t>
      </w:r>
      <w:r w:rsidRPr="006D2637">
        <w:rPr>
          <w:rFonts w:ascii="Palatino Linotype" w:hAnsi="Palatino Linotype"/>
        </w:rPr>
        <w:t>Mobile broadband coverage is based on either the advertised maximum mobile provider speed or the speed interpolated from CPUC mobile speed testing points (using the mean – 1 standard deviation of all speed readings for that point), whichever is least.</w:t>
      </w:r>
      <w:r>
        <w:t xml:space="preserve">  </w:t>
      </w:r>
    </w:p>
  </w:footnote>
  <w:footnote w:id="11">
    <w:p w:rsidR="00723AC4" w:rsidRDefault="00723AC4" w:rsidP="00C67A2F">
      <w:pPr>
        <w:pStyle w:val="FootnoteText"/>
      </w:pPr>
      <w:r>
        <w:rPr>
          <w:rStyle w:val="FootnoteReference"/>
        </w:rPr>
        <w:footnoteRef/>
      </w:r>
      <w:r>
        <w:t xml:space="preserve"> </w:t>
      </w:r>
      <w:r w:rsidRPr="006D2637">
        <w:rPr>
          <w:rFonts w:ascii="Palatino Linotype" w:hAnsi="Palatino Linotype"/>
        </w:rPr>
        <w:t>CalSPEED is the Commission’s mobile application that is used to test mobile broadband speeds.</w:t>
      </w:r>
    </w:p>
  </w:footnote>
  <w:footnote w:id="12">
    <w:p w:rsidR="00723AC4" w:rsidRDefault="00723AC4" w:rsidP="00C67A2F">
      <w:pPr>
        <w:pStyle w:val="FootnoteText"/>
      </w:pPr>
      <w:r>
        <w:rPr>
          <w:rStyle w:val="FootnoteReference"/>
        </w:rPr>
        <w:footnoteRef/>
      </w:r>
      <w:r>
        <w:t xml:space="preserve"> See the CENIC website for a description of their network (</w:t>
      </w:r>
      <w:hyperlink r:id="rId2" w:history="1">
        <w:r w:rsidRPr="00265A7D">
          <w:rPr>
            <w:rStyle w:val="Hyperlink"/>
          </w:rPr>
          <w:t>http://cenic.org/about/about-overview</w:t>
        </w:r>
      </w:hyperlink>
      <w:r>
        <w:t xml:space="preserve">).  </w:t>
      </w:r>
    </w:p>
  </w:footnote>
  <w:footnote w:id="13">
    <w:p w:rsidR="00723AC4" w:rsidRDefault="00723AC4" w:rsidP="00C67A2F">
      <w:pPr>
        <w:pStyle w:val="FootnoteText"/>
      </w:pPr>
      <w:r>
        <w:rPr>
          <w:rStyle w:val="FootnoteReference"/>
        </w:rPr>
        <w:footnoteRef/>
      </w:r>
      <w:r>
        <w:t xml:space="preserve"> </w:t>
      </w:r>
      <w:r w:rsidRPr="006D2637">
        <w:rPr>
          <w:rFonts w:ascii="Palatino Linotype" w:hAnsi="Palatino Linotype"/>
        </w:rPr>
        <w:t>AEC has committed to providing free Internet access for the community hall and community park.</w:t>
      </w:r>
    </w:p>
  </w:footnote>
  <w:footnote w:id="14">
    <w:p w:rsidR="00723AC4" w:rsidRDefault="00723AC4" w:rsidP="00C67A2F">
      <w:pPr>
        <w:pStyle w:val="FootnoteText"/>
      </w:pPr>
      <w:r>
        <w:rPr>
          <w:rStyle w:val="FootnoteReference"/>
        </w:rPr>
        <w:footnoteRef/>
      </w:r>
      <w:r>
        <w:t xml:space="preserve"> </w:t>
      </w:r>
      <w:r w:rsidRPr="006D2637">
        <w:rPr>
          <w:rFonts w:ascii="Palatino Linotype" w:hAnsi="Palatino Linotype"/>
        </w:rPr>
        <w:t>The “take rate” is the percentage of potential subscribers who are offered the service that actually do subscribe to the service.</w:t>
      </w:r>
    </w:p>
  </w:footnote>
  <w:footnote w:id="15">
    <w:p w:rsidR="00723AC4" w:rsidRDefault="00723AC4" w:rsidP="00C67A2F">
      <w:pPr>
        <w:pStyle w:val="FootnoteText"/>
      </w:pPr>
      <w:r>
        <w:rPr>
          <w:rStyle w:val="FootnoteReference"/>
        </w:rPr>
        <w:footnoteRef/>
      </w:r>
      <w:r>
        <w:t xml:space="preserve"> </w:t>
      </w:r>
      <w:r w:rsidRPr="006D2637">
        <w:rPr>
          <w:rFonts w:ascii="Palatino Linotype" w:hAnsi="Palatino Linotype"/>
        </w:rPr>
        <w:t>The Connect Anza broadband project would continue to provide complementary broadband to these organizations and to the other fire stations in the area.</w:t>
      </w:r>
      <w:r w:rsidRPr="00632FDE">
        <w:t xml:space="preserve">  </w:t>
      </w:r>
    </w:p>
  </w:footnote>
  <w:footnote w:id="16">
    <w:p w:rsidR="00723AC4" w:rsidRDefault="00723AC4" w:rsidP="00C67A2F">
      <w:pPr>
        <w:pStyle w:val="FootnoteText"/>
      </w:pPr>
      <w:r>
        <w:rPr>
          <w:rStyle w:val="FootnoteReference"/>
        </w:rPr>
        <w:footnoteRef/>
      </w:r>
      <w:r>
        <w:t xml:space="preserve"> In reference of the cost of fiber projects funded through the CASF grant program, the subsidy provided to the Connect Anza project when compared to the per household subsidy for the other funded fiber projects, is</w:t>
      </w:r>
      <w:r w:rsidRPr="00A37369">
        <w:t>18 percent of the median and 8 percent</w:t>
      </w:r>
      <w:r>
        <w:t xml:space="preserve"> of the mean cost per household.  </w:t>
      </w:r>
    </w:p>
  </w:footnote>
  <w:footnote w:id="17">
    <w:p w:rsidR="00723AC4" w:rsidRPr="00AD1DC7" w:rsidRDefault="00723AC4" w:rsidP="00C67A2F">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7A052E">
        <w:rPr>
          <w:rFonts w:ascii="Palatino Linotype" w:hAnsi="Palatino Linotype" w:cs="Book Antiqua"/>
          <w:i/>
          <w:iCs/>
        </w:rPr>
        <w:t xml:space="preserve">Approval of the California Advanced Services Fund (CASF) Application Requirements and Scoring Criteria for Awarding CASF Funds </w:t>
      </w:r>
      <w:r w:rsidRPr="007A052E">
        <w:rPr>
          <w:rFonts w:ascii="Palatino Linotype" w:hAnsi="Palatino Linotype" w:cs="Book Antiqua"/>
        </w:rPr>
        <w:t>(2008) Cal. P.U.C. Res. No. T-17143 at 4.</w:t>
      </w:r>
    </w:p>
  </w:footnote>
  <w:footnote w:id="18">
    <w:p w:rsidR="00AC54CD" w:rsidRDefault="00AC54CD">
      <w:pPr>
        <w:pStyle w:val="FootnoteText"/>
      </w:pPr>
      <w:r>
        <w:rPr>
          <w:rStyle w:val="FootnoteReference"/>
        </w:rPr>
        <w:footnoteRef/>
      </w:r>
      <w:r>
        <w:t xml:space="preserve"> </w:t>
      </w:r>
      <w:r w:rsidR="00E577EA">
        <w:t>AEC provided documentation that showed that 91.3 percent of voting members voted for the change in the bylaws (948 for, 86 against and 4 abstaining)</w:t>
      </w:r>
      <w:r w:rsidR="00EF32C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4A4" w:rsidRDefault="000D04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Pr="00EA49DC" w:rsidRDefault="00723AC4">
    <w:pPr>
      <w:pStyle w:val="Header"/>
      <w:rPr>
        <w:sz w:val="22"/>
        <w:szCs w:val="22"/>
      </w:rPr>
    </w:pPr>
    <w:r w:rsidRPr="00EA49DC">
      <w:rPr>
        <w:sz w:val="22"/>
        <w:szCs w:val="22"/>
      </w:rPr>
      <w:t>Resolution T-17</w:t>
    </w:r>
    <w:r>
      <w:rPr>
        <w:sz w:val="22"/>
        <w:szCs w:val="22"/>
      </w:rPr>
      <w:t>503</w:t>
    </w:r>
    <w:r w:rsidRPr="00EA49DC">
      <w:rPr>
        <w:sz w:val="22"/>
        <w:szCs w:val="22"/>
      </w:rPr>
      <w:tab/>
    </w:r>
  </w:p>
  <w:p w:rsidR="00723AC4" w:rsidRPr="00EA49DC" w:rsidRDefault="00723AC4">
    <w:pPr>
      <w:pStyle w:val="Header"/>
      <w:rPr>
        <w:sz w:val="22"/>
        <w:szCs w:val="22"/>
      </w:rPr>
    </w:pPr>
    <w:r>
      <w:rPr>
        <w:sz w:val="22"/>
        <w:szCs w:val="22"/>
      </w:rPr>
      <w:t>CD/WG1</w:t>
    </w:r>
    <w:r w:rsidRPr="00EA49DC">
      <w:rPr>
        <w:sz w:val="22"/>
        <w:szCs w:val="22"/>
      </w:rPr>
      <w:tab/>
    </w:r>
    <w:r w:rsidRPr="00EA49DC">
      <w:rPr>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Default="00723AC4" w:rsidP="00E979B8">
    <w:pPr>
      <w:pStyle w:val="Header"/>
      <w:tabs>
        <w:tab w:val="left" w:pos="6495"/>
      </w:tabs>
      <w:rPr>
        <w:sz w:val="22"/>
        <w:szCs w:val="22"/>
      </w:rPr>
    </w:pPr>
    <w:r w:rsidRPr="00EA49DC">
      <w:rPr>
        <w:sz w:val="22"/>
        <w:szCs w:val="22"/>
      </w:rPr>
      <w:t>Resolution T-</w:t>
    </w:r>
    <w:r>
      <w:rPr>
        <w:sz w:val="22"/>
        <w:szCs w:val="22"/>
      </w:rPr>
      <w:t>17503</w:t>
    </w:r>
    <w:r w:rsidRPr="00EA49DC">
      <w:rPr>
        <w:sz w:val="22"/>
        <w:szCs w:val="22"/>
      </w:rPr>
      <w:tab/>
    </w:r>
    <w:r w:rsidR="003876A1">
      <w:rPr>
        <w:sz w:val="22"/>
        <w:szCs w:val="22"/>
      </w:rPr>
      <w:t xml:space="preserve">                                                                            </w:t>
    </w:r>
    <w:r>
      <w:rPr>
        <w:sz w:val="22"/>
        <w:szCs w:val="22"/>
      </w:rPr>
      <w:t xml:space="preserve"> </w:t>
    </w:r>
    <w:r w:rsidR="003876A1">
      <w:rPr>
        <w:sz w:val="22"/>
        <w:szCs w:val="22"/>
      </w:rPr>
      <w:t>Date of Issuance: December 21, 2015</w:t>
    </w:r>
  </w:p>
  <w:p w:rsidR="00723AC4" w:rsidRPr="00EA49DC" w:rsidRDefault="00723AC4" w:rsidP="00592763">
    <w:pPr>
      <w:pStyle w:val="Header"/>
      <w:rPr>
        <w:sz w:val="22"/>
        <w:szCs w:val="22"/>
      </w:rPr>
    </w:pPr>
    <w:r w:rsidRPr="00EA49DC">
      <w:rPr>
        <w:sz w:val="22"/>
        <w:szCs w:val="22"/>
      </w:rPr>
      <w:t>CD/</w:t>
    </w:r>
    <w:r>
      <w:rPr>
        <w:sz w:val="22"/>
        <w:szCs w:val="22"/>
      </w:rPr>
      <w:t>WG1</w:t>
    </w:r>
    <w:r>
      <w:rPr>
        <w:sz w:val="22"/>
        <w:szCs w:val="22"/>
      </w:rPr>
      <w:tab/>
      <w:t xml:space="preserve">                                                                   </w:t>
    </w:r>
    <w:r w:rsidR="0052236F">
      <w:rPr>
        <w:sz w:val="22"/>
        <w:szCs w:val="22"/>
      </w:rPr>
      <w:t xml:space="preserve">                                           </w:t>
    </w:r>
  </w:p>
  <w:p w:rsidR="00723AC4" w:rsidRDefault="00723A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AC4" w:rsidRPr="00EA49DC" w:rsidRDefault="00723AC4">
    <w:pPr>
      <w:pStyle w:val="Header"/>
      <w:rPr>
        <w:sz w:val="22"/>
        <w:szCs w:val="22"/>
      </w:rPr>
    </w:pPr>
    <w:r w:rsidRPr="00EA49DC">
      <w:rPr>
        <w:sz w:val="22"/>
        <w:szCs w:val="22"/>
      </w:rPr>
      <w:t>Resolution T-17</w:t>
    </w:r>
    <w:r>
      <w:rPr>
        <w:sz w:val="22"/>
        <w:szCs w:val="22"/>
      </w:rPr>
      <w:t>503</w:t>
    </w:r>
    <w:r w:rsidRPr="00EA49DC">
      <w:rPr>
        <w:sz w:val="22"/>
        <w:szCs w:val="22"/>
      </w:rPr>
      <w:tab/>
    </w:r>
    <w:r w:rsidRPr="00EA49DC">
      <w:rPr>
        <w:sz w:val="22"/>
        <w:szCs w:val="22"/>
      </w:rPr>
      <w:tab/>
    </w:r>
  </w:p>
  <w:p w:rsidR="00723AC4" w:rsidRPr="00EA49DC" w:rsidRDefault="00723AC4">
    <w:pPr>
      <w:pStyle w:val="Header"/>
      <w:rPr>
        <w:sz w:val="22"/>
        <w:szCs w:val="22"/>
      </w:rPr>
    </w:pPr>
    <w:r>
      <w:rPr>
        <w:sz w:val="22"/>
        <w:szCs w:val="22"/>
      </w:rPr>
      <w:t>CD/WG1</w:t>
    </w:r>
    <w:r w:rsidRPr="00EA49DC">
      <w:rPr>
        <w:sz w:val="22"/>
        <w:szCs w:val="22"/>
      </w:rPr>
      <w:tab/>
    </w:r>
    <w:r w:rsidRPr="00EA49DC">
      <w:rPr>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6A1" w:rsidRPr="00EA49DC" w:rsidRDefault="003876A1" w:rsidP="003876A1">
    <w:pPr>
      <w:pStyle w:val="Header"/>
      <w:rPr>
        <w:sz w:val="22"/>
        <w:szCs w:val="22"/>
      </w:rPr>
    </w:pPr>
    <w:r w:rsidRPr="00EA49DC">
      <w:rPr>
        <w:sz w:val="22"/>
        <w:szCs w:val="22"/>
      </w:rPr>
      <w:t>Resolution T-17</w:t>
    </w:r>
    <w:r>
      <w:rPr>
        <w:sz w:val="22"/>
        <w:szCs w:val="22"/>
      </w:rPr>
      <w:t>503</w:t>
    </w:r>
    <w:r w:rsidRPr="00EA49DC">
      <w:rPr>
        <w:sz w:val="22"/>
        <w:szCs w:val="22"/>
      </w:rPr>
      <w:tab/>
    </w:r>
  </w:p>
  <w:p w:rsidR="00723AC4" w:rsidRPr="00EA49DC" w:rsidRDefault="003876A1" w:rsidP="003876A1">
    <w:pPr>
      <w:pStyle w:val="Header"/>
      <w:rPr>
        <w:sz w:val="22"/>
        <w:szCs w:val="22"/>
      </w:rPr>
    </w:pPr>
    <w:r>
      <w:rPr>
        <w:sz w:val="22"/>
        <w:szCs w:val="22"/>
      </w:rPr>
      <w:t>CD/WG1</w:t>
    </w:r>
    <w:r w:rsidR="00723AC4">
      <w:rPr>
        <w:sz w:val="22"/>
        <w:szCs w:val="22"/>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C73" w:rsidRPr="00EA49DC" w:rsidRDefault="003E1C73" w:rsidP="003E1C73">
    <w:pPr>
      <w:pStyle w:val="Header"/>
      <w:rPr>
        <w:sz w:val="22"/>
        <w:szCs w:val="22"/>
      </w:rPr>
    </w:pPr>
    <w:r w:rsidRPr="00EA49DC">
      <w:rPr>
        <w:sz w:val="22"/>
        <w:szCs w:val="22"/>
      </w:rPr>
      <w:t>Resolution T-17</w:t>
    </w:r>
    <w:r>
      <w:rPr>
        <w:sz w:val="22"/>
        <w:szCs w:val="22"/>
      </w:rPr>
      <w:t>503</w:t>
    </w:r>
    <w:r w:rsidRPr="00EA49DC">
      <w:rPr>
        <w:sz w:val="22"/>
        <w:szCs w:val="22"/>
      </w:rPr>
      <w:tab/>
    </w:r>
    <w:r w:rsidRPr="00EA49DC">
      <w:rPr>
        <w:sz w:val="22"/>
        <w:szCs w:val="22"/>
      </w:rPr>
      <w:tab/>
    </w:r>
  </w:p>
  <w:p w:rsidR="003E1C73" w:rsidRPr="00EA49DC" w:rsidRDefault="003E1C73" w:rsidP="003E1C73">
    <w:pPr>
      <w:pStyle w:val="Header"/>
      <w:rPr>
        <w:sz w:val="22"/>
        <w:szCs w:val="22"/>
      </w:rPr>
    </w:pPr>
    <w:r>
      <w:rPr>
        <w:sz w:val="22"/>
        <w:szCs w:val="22"/>
      </w:rPr>
      <w:t>CD/WG1</w:t>
    </w:r>
    <w:r>
      <w:rPr>
        <w:sz w:val="22"/>
        <w:szCs w:val="22"/>
      </w:rPr>
      <w:tab/>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C73" w:rsidRPr="00EA49DC" w:rsidRDefault="003E1C73" w:rsidP="003E1C73">
    <w:pPr>
      <w:pStyle w:val="Header"/>
      <w:rPr>
        <w:sz w:val="22"/>
        <w:szCs w:val="22"/>
      </w:rPr>
    </w:pPr>
    <w:r w:rsidRPr="00EA49DC">
      <w:rPr>
        <w:sz w:val="22"/>
        <w:szCs w:val="22"/>
      </w:rPr>
      <w:t>Resolution T-17</w:t>
    </w:r>
    <w:r>
      <w:rPr>
        <w:sz w:val="22"/>
        <w:szCs w:val="22"/>
      </w:rPr>
      <w:t>503</w:t>
    </w:r>
    <w:r w:rsidRPr="00EA49DC">
      <w:rPr>
        <w:sz w:val="22"/>
        <w:szCs w:val="22"/>
      </w:rPr>
      <w:tab/>
    </w:r>
    <w:r w:rsidRPr="00EA49DC">
      <w:rPr>
        <w:sz w:val="22"/>
        <w:szCs w:val="22"/>
      </w:rPr>
      <w:tab/>
    </w:r>
  </w:p>
  <w:p w:rsidR="003E1C73" w:rsidRPr="00EA49DC" w:rsidRDefault="003E1C73" w:rsidP="003E1C73">
    <w:pPr>
      <w:pStyle w:val="Header"/>
      <w:rPr>
        <w:sz w:val="22"/>
        <w:szCs w:val="22"/>
      </w:rPr>
    </w:pPr>
    <w:r>
      <w:rPr>
        <w:sz w:val="22"/>
        <w:szCs w:val="22"/>
      </w:rPr>
      <w:t>CD/WG1</w:t>
    </w:r>
    <w:r>
      <w:rPr>
        <w:sz w:val="22"/>
        <w:szCs w:val="22"/>
      </w:rP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C73" w:rsidRPr="00EA49DC" w:rsidRDefault="003E1C73">
    <w:pPr>
      <w:pStyle w:val="Header"/>
      <w:rPr>
        <w:sz w:val="22"/>
        <w:szCs w:val="22"/>
      </w:rPr>
    </w:pPr>
    <w:r w:rsidRPr="00EA49DC">
      <w:rPr>
        <w:sz w:val="22"/>
        <w:szCs w:val="22"/>
      </w:rPr>
      <w:t>Resolution T-17</w:t>
    </w:r>
    <w:r>
      <w:rPr>
        <w:sz w:val="22"/>
        <w:szCs w:val="22"/>
      </w:rPr>
      <w:t>503</w:t>
    </w:r>
    <w:r w:rsidRPr="00EA49DC">
      <w:rPr>
        <w:sz w:val="22"/>
        <w:szCs w:val="22"/>
      </w:rPr>
      <w:tab/>
    </w:r>
    <w:r w:rsidRPr="00EA49DC">
      <w:rPr>
        <w:sz w:val="22"/>
        <w:szCs w:val="22"/>
      </w:rPr>
      <w:tab/>
    </w:r>
  </w:p>
  <w:p w:rsidR="003E1C73" w:rsidRPr="00EA49DC" w:rsidRDefault="003E1C73">
    <w:pPr>
      <w:pStyle w:val="Header"/>
      <w:rPr>
        <w:sz w:val="22"/>
        <w:szCs w:val="22"/>
      </w:rPr>
    </w:pPr>
    <w:r>
      <w:rPr>
        <w:sz w:val="22"/>
        <w:szCs w:val="22"/>
      </w:rPr>
      <w:t>CD/WG1</w:t>
    </w:r>
    <w:r w:rsidRPr="00EA49DC">
      <w:rPr>
        <w:sz w:val="22"/>
        <w:szCs w:val="22"/>
      </w:rPr>
      <w:tab/>
    </w:r>
    <w:r w:rsidRPr="00EA49DC">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416154"/>
    <w:multiLevelType w:val="hybridMultilevel"/>
    <w:tmpl w:val="53D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057A0F"/>
    <w:multiLevelType w:val="hybridMultilevel"/>
    <w:tmpl w:val="267CB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3427D"/>
    <w:multiLevelType w:val="hybridMultilevel"/>
    <w:tmpl w:val="1C483F7A"/>
    <w:lvl w:ilvl="0" w:tplc="A4B6789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073A79"/>
    <w:multiLevelType w:val="hybridMultilevel"/>
    <w:tmpl w:val="757A6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55889"/>
    <w:multiLevelType w:val="hybridMultilevel"/>
    <w:tmpl w:val="FC782A7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4D3213"/>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F7588"/>
    <w:multiLevelType w:val="hybridMultilevel"/>
    <w:tmpl w:val="75363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B3484B"/>
    <w:multiLevelType w:val="hybridMultilevel"/>
    <w:tmpl w:val="526C4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3583F96"/>
    <w:multiLevelType w:val="hybridMultilevel"/>
    <w:tmpl w:val="21B6CC7C"/>
    <w:lvl w:ilvl="0" w:tplc="DC368988">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1A5E9B"/>
    <w:multiLevelType w:val="hybridMultilevel"/>
    <w:tmpl w:val="438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4B30B5"/>
    <w:multiLevelType w:val="hybridMultilevel"/>
    <w:tmpl w:val="0B84434E"/>
    <w:lvl w:ilvl="0" w:tplc="BB926898">
      <w:start w:val="8"/>
      <w:numFmt w:val="upperLetter"/>
      <w:lvlText w:val="%1."/>
      <w:lvlJc w:val="left"/>
      <w:pPr>
        <w:ind w:left="1080" w:hanging="360"/>
      </w:pPr>
      <w:rPr>
        <w:rFonts w:cs="Palatino Linotype"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B431041"/>
    <w:multiLevelType w:val="hybridMultilevel"/>
    <w:tmpl w:val="714CF158"/>
    <w:lvl w:ilvl="0" w:tplc="8C4259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5A026B"/>
    <w:multiLevelType w:val="hybridMultilevel"/>
    <w:tmpl w:val="C95E9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0303A5"/>
    <w:multiLevelType w:val="hybridMultilevel"/>
    <w:tmpl w:val="8D546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C71505"/>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C46083"/>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9C15ECE"/>
    <w:multiLevelType w:val="hybridMultilevel"/>
    <w:tmpl w:val="6F360576"/>
    <w:lvl w:ilvl="0" w:tplc="FBF0E81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711E0B"/>
    <w:multiLevelType w:val="hybridMultilevel"/>
    <w:tmpl w:val="A9D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9"/>
  </w:num>
  <w:num w:numId="5">
    <w:abstractNumId w:val="18"/>
  </w:num>
  <w:num w:numId="6">
    <w:abstractNumId w:val="13"/>
  </w:num>
  <w:num w:numId="7">
    <w:abstractNumId w:val="5"/>
  </w:num>
  <w:num w:numId="8">
    <w:abstractNumId w:val="4"/>
  </w:num>
  <w:num w:numId="9">
    <w:abstractNumId w:val="7"/>
  </w:num>
  <w:num w:numId="10">
    <w:abstractNumId w:val="12"/>
  </w:num>
  <w:num w:numId="11">
    <w:abstractNumId w:val="16"/>
  </w:num>
  <w:num w:numId="12">
    <w:abstractNumId w:val="17"/>
  </w:num>
  <w:num w:numId="13">
    <w:abstractNumId w:val="19"/>
  </w:num>
  <w:num w:numId="14">
    <w:abstractNumId w:val="2"/>
  </w:num>
  <w:num w:numId="15">
    <w:abstractNumId w:val="1"/>
  </w:num>
  <w:num w:numId="16">
    <w:abstractNumId w:val="15"/>
  </w:num>
  <w:num w:numId="17">
    <w:abstractNumId w:val="11"/>
  </w:num>
  <w:num w:numId="18">
    <w:abstractNumId w:val="1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removePersonalInformation/>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56B8"/>
    <w:rsid w:val="00007795"/>
    <w:rsid w:val="000077D4"/>
    <w:rsid w:val="00012D8C"/>
    <w:rsid w:val="00021C6D"/>
    <w:rsid w:val="00026F1B"/>
    <w:rsid w:val="00027221"/>
    <w:rsid w:val="00032EB4"/>
    <w:rsid w:val="00033B03"/>
    <w:rsid w:val="000344BA"/>
    <w:rsid w:val="00035247"/>
    <w:rsid w:val="0003549E"/>
    <w:rsid w:val="00035E3D"/>
    <w:rsid w:val="000423BB"/>
    <w:rsid w:val="00056173"/>
    <w:rsid w:val="0006447A"/>
    <w:rsid w:val="00066D9A"/>
    <w:rsid w:val="00066FBA"/>
    <w:rsid w:val="000676FB"/>
    <w:rsid w:val="00071950"/>
    <w:rsid w:val="000747DA"/>
    <w:rsid w:val="000818C8"/>
    <w:rsid w:val="000940A1"/>
    <w:rsid w:val="00095AA7"/>
    <w:rsid w:val="00096BE4"/>
    <w:rsid w:val="000A1EC4"/>
    <w:rsid w:val="000A25BA"/>
    <w:rsid w:val="000A2B5F"/>
    <w:rsid w:val="000A50A8"/>
    <w:rsid w:val="000A7158"/>
    <w:rsid w:val="000B05A7"/>
    <w:rsid w:val="000B43F4"/>
    <w:rsid w:val="000B57EB"/>
    <w:rsid w:val="000B6641"/>
    <w:rsid w:val="000C5B2D"/>
    <w:rsid w:val="000D04A4"/>
    <w:rsid w:val="000D0644"/>
    <w:rsid w:val="000D2C3E"/>
    <w:rsid w:val="000D38AC"/>
    <w:rsid w:val="000E3679"/>
    <w:rsid w:val="000E743E"/>
    <w:rsid w:val="000F0A05"/>
    <w:rsid w:val="000F3497"/>
    <w:rsid w:val="000F5D25"/>
    <w:rsid w:val="001008FF"/>
    <w:rsid w:val="00103221"/>
    <w:rsid w:val="001035C9"/>
    <w:rsid w:val="00107966"/>
    <w:rsid w:val="00111355"/>
    <w:rsid w:val="001153DA"/>
    <w:rsid w:val="00117155"/>
    <w:rsid w:val="00117FB2"/>
    <w:rsid w:val="00120667"/>
    <w:rsid w:val="00140FE6"/>
    <w:rsid w:val="001512B2"/>
    <w:rsid w:val="001543ED"/>
    <w:rsid w:val="00155630"/>
    <w:rsid w:val="00155EC7"/>
    <w:rsid w:val="00157A94"/>
    <w:rsid w:val="0016605B"/>
    <w:rsid w:val="00167B0E"/>
    <w:rsid w:val="00167CBC"/>
    <w:rsid w:val="00173348"/>
    <w:rsid w:val="00182CC1"/>
    <w:rsid w:val="00186186"/>
    <w:rsid w:val="00187F3E"/>
    <w:rsid w:val="001920CB"/>
    <w:rsid w:val="001967B5"/>
    <w:rsid w:val="001A0A84"/>
    <w:rsid w:val="001A125B"/>
    <w:rsid w:val="001A2B69"/>
    <w:rsid w:val="001A6008"/>
    <w:rsid w:val="001A6627"/>
    <w:rsid w:val="001B1052"/>
    <w:rsid w:val="001B435F"/>
    <w:rsid w:val="001B5FF6"/>
    <w:rsid w:val="001B690B"/>
    <w:rsid w:val="001C022B"/>
    <w:rsid w:val="001C0CF5"/>
    <w:rsid w:val="001C141B"/>
    <w:rsid w:val="001C5731"/>
    <w:rsid w:val="001D16F4"/>
    <w:rsid w:val="001D265F"/>
    <w:rsid w:val="001D2C66"/>
    <w:rsid w:val="001D2E83"/>
    <w:rsid w:val="001D3722"/>
    <w:rsid w:val="001D54E3"/>
    <w:rsid w:val="001D69BA"/>
    <w:rsid w:val="001E1B36"/>
    <w:rsid w:val="001E452A"/>
    <w:rsid w:val="001E5178"/>
    <w:rsid w:val="001F252A"/>
    <w:rsid w:val="001F2C13"/>
    <w:rsid w:val="001F58AD"/>
    <w:rsid w:val="001F7E75"/>
    <w:rsid w:val="0020126C"/>
    <w:rsid w:val="00201D00"/>
    <w:rsid w:val="00204269"/>
    <w:rsid w:val="0020641D"/>
    <w:rsid w:val="00211063"/>
    <w:rsid w:val="002118FB"/>
    <w:rsid w:val="00211DF4"/>
    <w:rsid w:val="0021340B"/>
    <w:rsid w:val="00217A33"/>
    <w:rsid w:val="00220E9F"/>
    <w:rsid w:val="002219B7"/>
    <w:rsid w:val="00223BD4"/>
    <w:rsid w:val="00230A3D"/>
    <w:rsid w:val="00231370"/>
    <w:rsid w:val="00235411"/>
    <w:rsid w:val="00236BDB"/>
    <w:rsid w:val="0023742C"/>
    <w:rsid w:val="00237CA6"/>
    <w:rsid w:val="002425CC"/>
    <w:rsid w:val="002444AC"/>
    <w:rsid w:val="002510E0"/>
    <w:rsid w:val="00252025"/>
    <w:rsid w:val="00252758"/>
    <w:rsid w:val="00252A6F"/>
    <w:rsid w:val="0025383C"/>
    <w:rsid w:val="00261003"/>
    <w:rsid w:val="00263B3F"/>
    <w:rsid w:val="00270607"/>
    <w:rsid w:val="00272CEA"/>
    <w:rsid w:val="002751A9"/>
    <w:rsid w:val="0028315D"/>
    <w:rsid w:val="00295E2F"/>
    <w:rsid w:val="00297F08"/>
    <w:rsid w:val="002A1B3E"/>
    <w:rsid w:val="002A5409"/>
    <w:rsid w:val="002B17EF"/>
    <w:rsid w:val="002B3A7C"/>
    <w:rsid w:val="002B4A61"/>
    <w:rsid w:val="002B5D36"/>
    <w:rsid w:val="002C1228"/>
    <w:rsid w:val="002C51D6"/>
    <w:rsid w:val="002C5D67"/>
    <w:rsid w:val="002D2289"/>
    <w:rsid w:val="002D3F8F"/>
    <w:rsid w:val="002D6253"/>
    <w:rsid w:val="002D708C"/>
    <w:rsid w:val="002F24EA"/>
    <w:rsid w:val="002F7C86"/>
    <w:rsid w:val="00304A4C"/>
    <w:rsid w:val="00313167"/>
    <w:rsid w:val="003136D5"/>
    <w:rsid w:val="00320BF1"/>
    <w:rsid w:val="003219A5"/>
    <w:rsid w:val="00330AA7"/>
    <w:rsid w:val="00332726"/>
    <w:rsid w:val="00337723"/>
    <w:rsid w:val="00340ED0"/>
    <w:rsid w:val="00344B0A"/>
    <w:rsid w:val="00345EB1"/>
    <w:rsid w:val="0034650B"/>
    <w:rsid w:val="003473AE"/>
    <w:rsid w:val="0035120A"/>
    <w:rsid w:val="003513A9"/>
    <w:rsid w:val="00355B02"/>
    <w:rsid w:val="00360BDD"/>
    <w:rsid w:val="003613C1"/>
    <w:rsid w:val="00366D96"/>
    <w:rsid w:val="003676AB"/>
    <w:rsid w:val="00371CA5"/>
    <w:rsid w:val="003765C3"/>
    <w:rsid w:val="00377B54"/>
    <w:rsid w:val="00386BEC"/>
    <w:rsid w:val="003876A1"/>
    <w:rsid w:val="00397767"/>
    <w:rsid w:val="003A5381"/>
    <w:rsid w:val="003A79ED"/>
    <w:rsid w:val="003B46D1"/>
    <w:rsid w:val="003B6B2F"/>
    <w:rsid w:val="003C1D5B"/>
    <w:rsid w:val="003C1F8C"/>
    <w:rsid w:val="003C28EB"/>
    <w:rsid w:val="003C44BA"/>
    <w:rsid w:val="003C573A"/>
    <w:rsid w:val="003C6E47"/>
    <w:rsid w:val="003D050C"/>
    <w:rsid w:val="003D324A"/>
    <w:rsid w:val="003D5FBB"/>
    <w:rsid w:val="003D6605"/>
    <w:rsid w:val="003E1C73"/>
    <w:rsid w:val="003E32C3"/>
    <w:rsid w:val="003E3872"/>
    <w:rsid w:val="003E4F74"/>
    <w:rsid w:val="003F0490"/>
    <w:rsid w:val="003F310C"/>
    <w:rsid w:val="003F6C20"/>
    <w:rsid w:val="00402971"/>
    <w:rsid w:val="00414A8D"/>
    <w:rsid w:val="00421F53"/>
    <w:rsid w:val="0042307C"/>
    <w:rsid w:val="0042362A"/>
    <w:rsid w:val="00423E1F"/>
    <w:rsid w:val="00425CF4"/>
    <w:rsid w:val="0042756F"/>
    <w:rsid w:val="00427D18"/>
    <w:rsid w:val="00427E63"/>
    <w:rsid w:val="00427E9E"/>
    <w:rsid w:val="00434250"/>
    <w:rsid w:val="00442AAF"/>
    <w:rsid w:val="0044523D"/>
    <w:rsid w:val="004459AE"/>
    <w:rsid w:val="004506C4"/>
    <w:rsid w:val="00453404"/>
    <w:rsid w:val="00454E8D"/>
    <w:rsid w:val="00456C66"/>
    <w:rsid w:val="00462D4E"/>
    <w:rsid w:val="00470412"/>
    <w:rsid w:val="004772C8"/>
    <w:rsid w:val="00477942"/>
    <w:rsid w:val="00480179"/>
    <w:rsid w:val="004823A1"/>
    <w:rsid w:val="0048439A"/>
    <w:rsid w:val="004876A4"/>
    <w:rsid w:val="0049091E"/>
    <w:rsid w:val="0049199E"/>
    <w:rsid w:val="00494748"/>
    <w:rsid w:val="00497049"/>
    <w:rsid w:val="004A4D0A"/>
    <w:rsid w:val="004A509B"/>
    <w:rsid w:val="004A5686"/>
    <w:rsid w:val="004B35D4"/>
    <w:rsid w:val="004B448B"/>
    <w:rsid w:val="004C28B2"/>
    <w:rsid w:val="004C2F05"/>
    <w:rsid w:val="004C3BD8"/>
    <w:rsid w:val="004D569C"/>
    <w:rsid w:val="004E026D"/>
    <w:rsid w:val="004E43CD"/>
    <w:rsid w:val="004E662D"/>
    <w:rsid w:val="004F438E"/>
    <w:rsid w:val="004F518E"/>
    <w:rsid w:val="004F6583"/>
    <w:rsid w:val="004F7C58"/>
    <w:rsid w:val="00502087"/>
    <w:rsid w:val="00512B80"/>
    <w:rsid w:val="0051580F"/>
    <w:rsid w:val="00515B5A"/>
    <w:rsid w:val="00516993"/>
    <w:rsid w:val="00516FEA"/>
    <w:rsid w:val="0052236F"/>
    <w:rsid w:val="0052319A"/>
    <w:rsid w:val="00523829"/>
    <w:rsid w:val="0053058F"/>
    <w:rsid w:val="005345D0"/>
    <w:rsid w:val="00535264"/>
    <w:rsid w:val="00535C10"/>
    <w:rsid w:val="005368F5"/>
    <w:rsid w:val="005372D1"/>
    <w:rsid w:val="005405BB"/>
    <w:rsid w:val="00540971"/>
    <w:rsid w:val="00554695"/>
    <w:rsid w:val="005558A2"/>
    <w:rsid w:val="00556C5B"/>
    <w:rsid w:val="00566A26"/>
    <w:rsid w:val="00570D65"/>
    <w:rsid w:val="00574BC5"/>
    <w:rsid w:val="00575535"/>
    <w:rsid w:val="005756DD"/>
    <w:rsid w:val="005812AD"/>
    <w:rsid w:val="00581DFC"/>
    <w:rsid w:val="00585BA8"/>
    <w:rsid w:val="00586051"/>
    <w:rsid w:val="005873E0"/>
    <w:rsid w:val="00592763"/>
    <w:rsid w:val="00593E81"/>
    <w:rsid w:val="005969FE"/>
    <w:rsid w:val="005A507D"/>
    <w:rsid w:val="005A7BC4"/>
    <w:rsid w:val="005B13C7"/>
    <w:rsid w:val="005B1EE9"/>
    <w:rsid w:val="005B4A1A"/>
    <w:rsid w:val="005C1FD4"/>
    <w:rsid w:val="005C65A1"/>
    <w:rsid w:val="005C72CF"/>
    <w:rsid w:val="005D21CD"/>
    <w:rsid w:val="005D3B11"/>
    <w:rsid w:val="005E2ABC"/>
    <w:rsid w:val="005E503B"/>
    <w:rsid w:val="005E5B9C"/>
    <w:rsid w:val="005F1431"/>
    <w:rsid w:val="005F2B08"/>
    <w:rsid w:val="005F33BC"/>
    <w:rsid w:val="005F4984"/>
    <w:rsid w:val="006012FE"/>
    <w:rsid w:val="006013D3"/>
    <w:rsid w:val="00604748"/>
    <w:rsid w:val="006077D9"/>
    <w:rsid w:val="00620870"/>
    <w:rsid w:val="00625192"/>
    <w:rsid w:val="0062685A"/>
    <w:rsid w:val="00631053"/>
    <w:rsid w:val="00631133"/>
    <w:rsid w:val="00632FDE"/>
    <w:rsid w:val="00641790"/>
    <w:rsid w:val="00643A14"/>
    <w:rsid w:val="00645F26"/>
    <w:rsid w:val="00647665"/>
    <w:rsid w:val="006636E7"/>
    <w:rsid w:val="00664467"/>
    <w:rsid w:val="00667DE0"/>
    <w:rsid w:val="006730D5"/>
    <w:rsid w:val="0067417D"/>
    <w:rsid w:val="00675FF8"/>
    <w:rsid w:val="0068281C"/>
    <w:rsid w:val="00691EB5"/>
    <w:rsid w:val="00692D2D"/>
    <w:rsid w:val="0069317D"/>
    <w:rsid w:val="006B0611"/>
    <w:rsid w:val="006B26FE"/>
    <w:rsid w:val="006B4B14"/>
    <w:rsid w:val="006B74DA"/>
    <w:rsid w:val="006C4A80"/>
    <w:rsid w:val="006C4E92"/>
    <w:rsid w:val="006D2637"/>
    <w:rsid w:val="006D267B"/>
    <w:rsid w:val="006D3431"/>
    <w:rsid w:val="006D3520"/>
    <w:rsid w:val="006D6EB7"/>
    <w:rsid w:val="006E335B"/>
    <w:rsid w:val="006E4CDB"/>
    <w:rsid w:val="006E54FC"/>
    <w:rsid w:val="006E6406"/>
    <w:rsid w:val="006E7AD5"/>
    <w:rsid w:val="006F387E"/>
    <w:rsid w:val="006F4A8B"/>
    <w:rsid w:val="0070228F"/>
    <w:rsid w:val="00704DF9"/>
    <w:rsid w:val="0070609A"/>
    <w:rsid w:val="007114F4"/>
    <w:rsid w:val="00711B9A"/>
    <w:rsid w:val="00713293"/>
    <w:rsid w:val="00713CF9"/>
    <w:rsid w:val="00717331"/>
    <w:rsid w:val="0072095B"/>
    <w:rsid w:val="00721D14"/>
    <w:rsid w:val="00723349"/>
    <w:rsid w:val="00723AC4"/>
    <w:rsid w:val="00740196"/>
    <w:rsid w:val="007401C9"/>
    <w:rsid w:val="007417AD"/>
    <w:rsid w:val="00741C91"/>
    <w:rsid w:val="00744E72"/>
    <w:rsid w:val="00745BE7"/>
    <w:rsid w:val="0075019F"/>
    <w:rsid w:val="00750CC0"/>
    <w:rsid w:val="00751418"/>
    <w:rsid w:val="00752AD5"/>
    <w:rsid w:val="00754027"/>
    <w:rsid w:val="00754BF0"/>
    <w:rsid w:val="00763F08"/>
    <w:rsid w:val="00767A2F"/>
    <w:rsid w:val="00770144"/>
    <w:rsid w:val="00772B01"/>
    <w:rsid w:val="00782383"/>
    <w:rsid w:val="0078513B"/>
    <w:rsid w:val="00787250"/>
    <w:rsid w:val="00792161"/>
    <w:rsid w:val="00793D10"/>
    <w:rsid w:val="007961A3"/>
    <w:rsid w:val="007A052E"/>
    <w:rsid w:val="007A196C"/>
    <w:rsid w:val="007A6B33"/>
    <w:rsid w:val="007B228E"/>
    <w:rsid w:val="007B5F0C"/>
    <w:rsid w:val="007C2891"/>
    <w:rsid w:val="007C3B96"/>
    <w:rsid w:val="007D2BDE"/>
    <w:rsid w:val="007D796B"/>
    <w:rsid w:val="007E24D6"/>
    <w:rsid w:val="007F1736"/>
    <w:rsid w:val="007F5B32"/>
    <w:rsid w:val="00800D00"/>
    <w:rsid w:val="0080458D"/>
    <w:rsid w:val="00805E4C"/>
    <w:rsid w:val="00811B40"/>
    <w:rsid w:val="00824EE1"/>
    <w:rsid w:val="008250DA"/>
    <w:rsid w:val="0084040E"/>
    <w:rsid w:val="0084100A"/>
    <w:rsid w:val="008421D9"/>
    <w:rsid w:val="00845B0E"/>
    <w:rsid w:val="00846975"/>
    <w:rsid w:val="008501D4"/>
    <w:rsid w:val="00850602"/>
    <w:rsid w:val="008544CF"/>
    <w:rsid w:val="00855611"/>
    <w:rsid w:val="00855776"/>
    <w:rsid w:val="00856362"/>
    <w:rsid w:val="00860252"/>
    <w:rsid w:val="00860AEC"/>
    <w:rsid w:val="00861F64"/>
    <w:rsid w:val="00862069"/>
    <w:rsid w:val="00863077"/>
    <w:rsid w:val="0086588D"/>
    <w:rsid w:val="008715F1"/>
    <w:rsid w:val="00872C3F"/>
    <w:rsid w:val="008803D3"/>
    <w:rsid w:val="00894099"/>
    <w:rsid w:val="00896BC9"/>
    <w:rsid w:val="008A0F60"/>
    <w:rsid w:val="008A11FC"/>
    <w:rsid w:val="008A14ED"/>
    <w:rsid w:val="008A618B"/>
    <w:rsid w:val="008A734C"/>
    <w:rsid w:val="008A74C4"/>
    <w:rsid w:val="008B1E29"/>
    <w:rsid w:val="008B6588"/>
    <w:rsid w:val="008B682D"/>
    <w:rsid w:val="008C33A2"/>
    <w:rsid w:val="008C5647"/>
    <w:rsid w:val="008D4A0E"/>
    <w:rsid w:val="008D4F0D"/>
    <w:rsid w:val="008E0F42"/>
    <w:rsid w:val="008E27A2"/>
    <w:rsid w:val="008E49B3"/>
    <w:rsid w:val="008E5097"/>
    <w:rsid w:val="008E5315"/>
    <w:rsid w:val="008E7A28"/>
    <w:rsid w:val="008F0DED"/>
    <w:rsid w:val="008F36F9"/>
    <w:rsid w:val="008F54B6"/>
    <w:rsid w:val="009029CA"/>
    <w:rsid w:val="00905047"/>
    <w:rsid w:val="009055CE"/>
    <w:rsid w:val="00905A8F"/>
    <w:rsid w:val="009077DE"/>
    <w:rsid w:val="00913D1F"/>
    <w:rsid w:val="0091668F"/>
    <w:rsid w:val="00916872"/>
    <w:rsid w:val="00920AD0"/>
    <w:rsid w:val="00922564"/>
    <w:rsid w:val="00922819"/>
    <w:rsid w:val="0092399D"/>
    <w:rsid w:val="00927555"/>
    <w:rsid w:val="00930B47"/>
    <w:rsid w:val="0093343C"/>
    <w:rsid w:val="00936B5B"/>
    <w:rsid w:val="00937A27"/>
    <w:rsid w:val="00942470"/>
    <w:rsid w:val="009424B8"/>
    <w:rsid w:val="0094318D"/>
    <w:rsid w:val="009437F2"/>
    <w:rsid w:val="009463AC"/>
    <w:rsid w:val="009468C4"/>
    <w:rsid w:val="009562AE"/>
    <w:rsid w:val="00963289"/>
    <w:rsid w:val="00970E0E"/>
    <w:rsid w:val="009745FC"/>
    <w:rsid w:val="009930B3"/>
    <w:rsid w:val="00993AFB"/>
    <w:rsid w:val="0099657C"/>
    <w:rsid w:val="009B054C"/>
    <w:rsid w:val="009B179F"/>
    <w:rsid w:val="009B557F"/>
    <w:rsid w:val="009C5187"/>
    <w:rsid w:val="009C68AB"/>
    <w:rsid w:val="009D158E"/>
    <w:rsid w:val="009D5211"/>
    <w:rsid w:val="009D6758"/>
    <w:rsid w:val="009D7A97"/>
    <w:rsid w:val="009E0017"/>
    <w:rsid w:val="009E7634"/>
    <w:rsid w:val="009E7E97"/>
    <w:rsid w:val="009F097D"/>
    <w:rsid w:val="009F2D4D"/>
    <w:rsid w:val="00A010DB"/>
    <w:rsid w:val="00A13B77"/>
    <w:rsid w:val="00A14374"/>
    <w:rsid w:val="00A2099C"/>
    <w:rsid w:val="00A21D87"/>
    <w:rsid w:val="00A24ED4"/>
    <w:rsid w:val="00A277E5"/>
    <w:rsid w:val="00A27DF3"/>
    <w:rsid w:val="00A3025B"/>
    <w:rsid w:val="00A303A2"/>
    <w:rsid w:val="00A32DC7"/>
    <w:rsid w:val="00A34469"/>
    <w:rsid w:val="00A348EA"/>
    <w:rsid w:val="00A42962"/>
    <w:rsid w:val="00A42AC0"/>
    <w:rsid w:val="00A4326F"/>
    <w:rsid w:val="00A43F3D"/>
    <w:rsid w:val="00A447B1"/>
    <w:rsid w:val="00A45F30"/>
    <w:rsid w:val="00A624BB"/>
    <w:rsid w:val="00A65216"/>
    <w:rsid w:val="00A65992"/>
    <w:rsid w:val="00A71EBC"/>
    <w:rsid w:val="00A724BF"/>
    <w:rsid w:val="00A73563"/>
    <w:rsid w:val="00A75369"/>
    <w:rsid w:val="00A758F4"/>
    <w:rsid w:val="00A7750F"/>
    <w:rsid w:val="00A81434"/>
    <w:rsid w:val="00A829C8"/>
    <w:rsid w:val="00A83D94"/>
    <w:rsid w:val="00A84442"/>
    <w:rsid w:val="00A91A64"/>
    <w:rsid w:val="00A931DC"/>
    <w:rsid w:val="00A9377F"/>
    <w:rsid w:val="00AA1226"/>
    <w:rsid w:val="00AA743A"/>
    <w:rsid w:val="00AB11DD"/>
    <w:rsid w:val="00AC245F"/>
    <w:rsid w:val="00AC3A0C"/>
    <w:rsid w:val="00AC54CD"/>
    <w:rsid w:val="00AC6B88"/>
    <w:rsid w:val="00AC79EA"/>
    <w:rsid w:val="00AD0D39"/>
    <w:rsid w:val="00AD16D5"/>
    <w:rsid w:val="00AD1DC7"/>
    <w:rsid w:val="00AD2523"/>
    <w:rsid w:val="00AD37AA"/>
    <w:rsid w:val="00AD5072"/>
    <w:rsid w:val="00AD5887"/>
    <w:rsid w:val="00AD6860"/>
    <w:rsid w:val="00AE1442"/>
    <w:rsid w:val="00AF62C4"/>
    <w:rsid w:val="00B00FCC"/>
    <w:rsid w:val="00B016F0"/>
    <w:rsid w:val="00B02AEA"/>
    <w:rsid w:val="00B0674E"/>
    <w:rsid w:val="00B07D9B"/>
    <w:rsid w:val="00B1070C"/>
    <w:rsid w:val="00B119FF"/>
    <w:rsid w:val="00B12980"/>
    <w:rsid w:val="00B13DF1"/>
    <w:rsid w:val="00B14495"/>
    <w:rsid w:val="00B24C4A"/>
    <w:rsid w:val="00B3058F"/>
    <w:rsid w:val="00B30B2B"/>
    <w:rsid w:val="00B32060"/>
    <w:rsid w:val="00B33145"/>
    <w:rsid w:val="00B36C30"/>
    <w:rsid w:val="00B40FB1"/>
    <w:rsid w:val="00B503C9"/>
    <w:rsid w:val="00B60517"/>
    <w:rsid w:val="00B613CA"/>
    <w:rsid w:val="00B62072"/>
    <w:rsid w:val="00B643AD"/>
    <w:rsid w:val="00B64D76"/>
    <w:rsid w:val="00B70694"/>
    <w:rsid w:val="00B72B59"/>
    <w:rsid w:val="00B759DB"/>
    <w:rsid w:val="00B75D78"/>
    <w:rsid w:val="00B77EDF"/>
    <w:rsid w:val="00B80359"/>
    <w:rsid w:val="00B8184B"/>
    <w:rsid w:val="00B83235"/>
    <w:rsid w:val="00B87160"/>
    <w:rsid w:val="00B92A93"/>
    <w:rsid w:val="00B92B1C"/>
    <w:rsid w:val="00B965C4"/>
    <w:rsid w:val="00B96E0F"/>
    <w:rsid w:val="00BA3898"/>
    <w:rsid w:val="00BA52B6"/>
    <w:rsid w:val="00BB1FDD"/>
    <w:rsid w:val="00BB3776"/>
    <w:rsid w:val="00BB3DBF"/>
    <w:rsid w:val="00BB5DEB"/>
    <w:rsid w:val="00BB76F8"/>
    <w:rsid w:val="00BC2A3C"/>
    <w:rsid w:val="00BC340E"/>
    <w:rsid w:val="00BC4C5F"/>
    <w:rsid w:val="00BC7F92"/>
    <w:rsid w:val="00BD385E"/>
    <w:rsid w:val="00BE3854"/>
    <w:rsid w:val="00BE3DD4"/>
    <w:rsid w:val="00BF11C8"/>
    <w:rsid w:val="00BF5956"/>
    <w:rsid w:val="00BF671E"/>
    <w:rsid w:val="00BF7573"/>
    <w:rsid w:val="00BF7A8C"/>
    <w:rsid w:val="00C00E82"/>
    <w:rsid w:val="00C048A1"/>
    <w:rsid w:val="00C04AB4"/>
    <w:rsid w:val="00C10059"/>
    <w:rsid w:val="00C12515"/>
    <w:rsid w:val="00C1267F"/>
    <w:rsid w:val="00C16DB0"/>
    <w:rsid w:val="00C17E00"/>
    <w:rsid w:val="00C21655"/>
    <w:rsid w:val="00C2166D"/>
    <w:rsid w:val="00C21E21"/>
    <w:rsid w:val="00C269F4"/>
    <w:rsid w:val="00C31C25"/>
    <w:rsid w:val="00C320A5"/>
    <w:rsid w:val="00C336E1"/>
    <w:rsid w:val="00C37254"/>
    <w:rsid w:val="00C409EB"/>
    <w:rsid w:val="00C44641"/>
    <w:rsid w:val="00C46211"/>
    <w:rsid w:val="00C5303A"/>
    <w:rsid w:val="00C5720C"/>
    <w:rsid w:val="00C57C29"/>
    <w:rsid w:val="00C62F5C"/>
    <w:rsid w:val="00C67A2F"/>
    <w:rsid w:val="00C7230D"/>
    <w:rsid w:val="00C74A6B"/>
    <w:rsid w:val="00C84EBF"/>
    <w:rsid w:val="00C853EA"/>
    <w:rsid w:val="00C924A7"/>
    <w:rsid w:val="00C95CDA"/>
    <w:rsid w:val="00CA118C"/>
    <w:rsid w:val="00CA186B"/>
    <w:rsid w:val="00CA3763"/>
    <w:rsid w:val="00CA537F"/>
    <w:rsid w:val="00CA5A9D"/>
    <w:rsid w:val="00CA5E11"/>
    <w:rsid w:val="00CB0C39"/>
    <w:rsid w:val="00CB257C"/>
    <w:rsid w:val="00CB45AF"/>
    <w:rsid w:val="00CB464B"/>
    <w:rsid w:val="00CB4972"/>
    <w:rsid w:val="00CB4FB0"/>
    <w:rsid w:val="00CB53F0"/>
    <w:rsid w:val="00CB66DA"/>
    <w:rsid w:val="00CB7EF3"/>
    <w:rsid w:val="00CC0F30"/>
    <w:rsid w:val="00CC2282"/>
    <w:rsid w:val="00CC2A9B"/>
    <w:rsid w:val="00CC6FC8"/>
    <w:rsid w:val="00CD4C26"/>
    <w:rsid w:val="00CD7048"/>
    <w:rsid w:val="00CD7AB8"/>
    <w:rsid w:val="00CE4A0A"/>
    <w:rsid w:val="00CE533F"/>
    <w:rsid w:val="00CE7EC3"/>
    <w:rsid w:val="00CF02EB"/>
    <w:rsid w:val="00CF19A5"/>
    <w:rsid w:val="00CF462E"/>
    <w:rsid w:val="00CF5274"/>
    <w:rsid w:val="00CF624D"/>
    <w:rsid w:val="00D01C91"/>
    <w:rsid w:val="00D02D1B"/>
    <w:rsid w:val="00D10D46"/>
    <w:rsid w:val="00D1104B"/>
    <w:rsid w:val="00D15586"/>
    <w:rsid w:val="00D167BD"/>
    <w:rsid w:val="00D217EA"/>
    <w:rsid w:val="00D225EB"/>
    <w:rsid w:val="00D22AD4"/>
    <w:rsid w:val="00D22EBF"/>
    <w:rsid w:val="00D27E5D"/>
    <w:rsid w:val="00D3150A"/>
    <w:rsid w:val="00D345B3"/>
    <w:rsid w:val="00D3742F"/>
    <w:rsid w:val="00D3755C"/>
    <w:rsid w:val="00D37569"/>
    <w:rsid w:val="00D375B8"/>
    <w:rsid w:val="00D40C45"/>
    <w:rsid w:val="00D43440"/>
    <w:rsid w:val="00D476E0"/>
    <w:rsid w:val="00D65E84"/>
    <w:rsid w:val="00D672DF"/>
    <w:rsid w:val="00D700DE"/>
    <w:rsid w:val="00D7576D"/>
    <w:rsid w:val="00D8031F"/>
    <w:rsid w:val="00D8704F"/>
    <w:rsid w:val="00D9110F"/>
    <w:rsid w:val="00D97373"/>
    <w:rsid w:val="00DA2F90"/>
    <w:rsid w:val="00DA38F2"/>
    <w:rsid w:val="00DA494C"/>
    <w:rsid w:val="00DA6649"/>
    <w:rsid w:val="00DA799C"/>
    <w:rsid w:val="00DB2993"/>
    <w:rsid w:val="00DB328C"/>
    <w:rsid w:val="00DF5A5F"/>
    <w:rsid w:val="00E014B1"/>
    <w:rsid w:val="00E0460E"/>
    <w:rsid w:val="00E12D6C"/>
    <w:rsid w:val="00E130AC"/>
    <w:rsid w:val="00E17951"/>
    <w:rsid w:val="00E2263F"/>
    <w:rsid w:val="00E22F72"/>
    <w:rsid w:val="00E232BE"/>
    <w:rsid w:val="00E26E77"/>
    <w:rsid w:val="00E270DA"/>
    <w:rsid w:val="00E34A75"/>
    <w:rsid w:val="00E34B73"/>
    <w:rsid w:val="00E34FFB"/>
    <w:rsid w:val="00E35C51"/>
    <w:rsid w:val="00E41466"/>
    <w:rsid w:val="00E41CC2"/>
    <w:rsid w:val="00E43743"/>
    <w:rsid w:val="00E47997"/>
    <w:rsid w:val="00E51406"/>
    <w:rsid w:val="00E553D0"/>
    <w:rsid w:val="00E577EA"/>
    <w:rsid w:val="00E63955"/>
    <w:rsid w:val="00E727B3"/>
    <w:rsid w:val="00E731ED"/>
    <w:rsid w:val="00E731FC"/>
    <w:rsid w:val="00E86D04"/>
    <w:rsid w:val="00E86DB1"/>
    <w:rsid w:val="00E87F10"/>
    <w:rsid w:val="00E93D62"/>
    <w:rsid w:val="00E94E7F"/>
    <w:rsid w:val="00E979B8"/>
    <w:rsid w:val="00EA6BF0"/>
    <w:rsid w:val="00EB2E08"/>
    <w:rsid w:val="00EB2EEE"/>
    <w:rsid w:val="00EB4D5D"/>
    <w:rsid w:val="00EC2523"/>
    <w:rsid w:val="00EC5073"/>
    <w:rsid w:val="00EC6D98"/>
    <w:rsid w:val="00ED0B16"/>
    <w:rsid w:val="00ED4925"/>
    <w:rsid w:val="00ED5B34"/>
    <w:rsid w:val="00EE38A7"/>
    <w:rsid w:val="00EF0B8E"/>
    <w:rsid w:val="00EF32C4"/>
    <w:rsid w:val="00EF3A2F"/>
    <w:rsid w:val="00EF4090"/>
    <w:rsid w:val="00EF76E1"/>
    <w:rsid w:val="00F01AD8"/>
    <w:rsid w:val="00F02B67"/>
    <w:rsid w:val="00F05DA4"/>
    <w:rsid w:val="00F05DEC"/>
    <w:rsid w:val="00F0759C"/>
    <w:rsid w:val="00F1374F"/>
    <w:rsid w:val="00F15884"/>
    <w:rsid w:val="00F224BF"/>
    <w:rsid w:val="00F22FD0"/>
    <w:rsid w:val="00F24372"/>
    <w:rsid w:val="00F25F94"/>
    <w:rsid w:val="00F26104"/>
    <w:rsid w:val="00F33B71"/>
    <w:rsid w:val="00F34BDA"/>
    <w:rsid w:val="00F3565D"/>
    <w:rsid w:val="00F42DEB"/>
    <w:rsid w:val="00F45478"/>
    <w:rsid w:val="00F455B1"/>
    <w:rsid w:val="00F5621A"/>
    <w:rsid w:val="00F647CB"/>
    <w:rsid w:val="00F73A91"/>
    <w:rsid w:val="00F751CF"/>
    <w:rsid w:val="00F77106"/>
    <w:rsid w:val="00F774E7"/>
    <w:rsid w:val="00F82269"/>
    <w:rsid w:val="00F879A1"/>
    <w:rsid w:val="00F9031D"/>
    <w:rsid w:val="00F96A84"/>
    <w:rsid w:val="00F96B96"/>
    <w:rsid w:val="00FA2537"/>
    <w:rsid w:val="00FB0926"/>
    <w:rsid w:val="00FB3823"/>
    <w:rsid w:val="00FB442C"/>
    <w:rsid w:val="00FC6ED3"/>
    <w:rsid w:val="00FC7913"/>
    <w:rsid w:val="00FD1302"/>
    <w:rsid w:val="00FD16E6"/>
    <w:rsid w:val="00FD637B"/>
    <w:rsid w:val="00FD70BA"/>
    <w:rsid w:val="00FE1CD5"/>
    <w:rsid w:val="00FE7697"/>
    <w:rsid w:val="00FF0C35"/>
    <w:rsid w:val="00FF2E44"/>
    <w:rsid w:val="00FF348F"/>
    <w:rsid w:val="00FF59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style>
  <w:style w:type="character" w:styleId="FootnoteReference">
    <w:name w:val="footnote reference"/>
    <w:aliases w:val="o"/>
    <w:uiPriority w:val="99"/>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rsid w:val="00F02B67"/>
  </w:style>
  <w:style w:type="paragraph" w:styleId="Revision">
    <w:name w:val="Revision"/>
    <w:hidden/>
    <w:uiPriority w:val="99"/>
    <w:semiHidden/>
    <w:rsid w:val="004506C4"/>
  </w:style>
  <w:style w:type="paragraph" w:styleId="EndnoteText">
    <w:name w:val="endnote text"/>
    <w:basedOn w:val="Normal"/>
    <w:link w:val="EndnoteTextChar"/>
    <w:rsid w:val="00AC54CD"/>
  </w:style>
  <w:style w:type="character" w:customStyle="1" w:styleId="EndnoteTextChar">
    <w:name w:val="Endnote Text Char"/>
    <w:basedOn w:val="DefaultParagraphFont"/>
    <w:link w:val="EndnoteText"/>
    <w:rsid w:val="00AC54CD"/>
  </w:style>
  <w:style w:type="character" w:styleId="EndnoteReference">
    <w:name w:val="endnote reference"/>
    <w:basedOn w:val="DefaultParagraphFont"/>
    <w:rsid w:val="00AC54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style>
  <w:style w:type="character" w:styleId="FootnoteReference">
    <w:name w:val="footnote reference"/>
    <w:aliases w:val="o"/>
    <w:uiPriority w:val="99"/>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rsid w:val="00F02B67"/>
  </w:style>
  <w:style w:type="paragraph" w:styleId="Revision">
    <w:name w:val="Revision"/>
    <w:hidden/>
    <w:uiPriority w:val="99"/>
    <w:semiHidden/>
    <w:rsid w:val="004506C4"/>
  </w:style>
  <w:style w:type="paragraph" w:styleId="EndnoteText">
    <w:name w:val="endnote text"/>
    <w:basedOn w:val="Normal"/>
    <w:link w:val="EndnoteTextChar"/>
    <w:rsid w:val="00AC54CD"/>
  </w:style>
  <w:style w:type="character" w:customStyle="1" w:styleId="EndnoteTextChar">
    <w:name w:val="Endnote Text Char"/>
    <w:basedOn w:val="DefaultParagraphFont"/>
    <w:link w:val="EndnoteText"/>
    <w:rsid w:val="00AC54CD"/>
  </w:style>
  <w:style w:type="character" w:styleId="EndnoteReference">
    <w:name w:val="endnote reference"/>
    <w:basedOn w:val="DefaultParagraphFont"/>
    <w:rsid w:val="00AC54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40077444">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38340116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8268738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2" Type="http://schemas.openxmlformats.org/officeDocument/2006/relationships/hyperlink" Target="http://cenic.org/about/about-overview" TargetMode="External"/><Relationship Id="rId1" Type="http://schemas.openxmlformats.org/officeDocument/2006/relationships/hyperlink" Target="http://www.anzaelectric.org/content/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5332</Words>
  <Characters>29551</Characters>
  <Application>Microsoft Office Word</Application>
  <DocSecurity>0</DocSecurity>
  <Lines>714</Lines>
  <Paragraphs>195</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35050</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2011-06-16T20:30:00Z</cp:lastPrinted>
  <dcterms:created xsi:type="dcterms:W3CDTF">2015-12-21T23:25:00Z</dcterms:created>
  <dcterms:modified xsi:type="dcterms:W3CDTF">2015-12-21T23:25:00Z</dcterms:modified>
  <cp:category> </cp:category>
  <cp:contentStatus> </cp:contentStatus>
</cp:coreProperties>
</file>