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Pr="00FC34AF" w:rsidRDefault="00CF17DE">
      <w:pPr>
        <w:pStyle w:val="titlebar"/>
        <w:rPr>
          <w:szCs w:val="26"/>
        </w:rPr>
      </w:pPr>
      <w:bookmarkStart w:id="0" w:name="_GoBack"/>
      <w:bookmarkEnd w:id="0"/>
      <w:r w:rsidRPr="00FC34AF">
        <w:rPr>
          <w:szCs w:val="26"/>
        </w:rPr>
        <w:t>PUBLIC UTILITIES COMMISSION OF THE STATE OF CALIFORNIA</w:t>
      </w:r>
    </w:p>
    <w:p w:rsidR="00CF17DE" w:rsidRDefault="00CF17DE">
      <w:pPr>
        <w:suppressAutoHyphens/>
        <w:rPr>
          <w:szCs w:val="26"/>
        </w:rPr>
      </w:pPr>
    </w:p>
    <w:p w:rsidR="00B90B1B" w:rsidRDefault="00B90B1B" w:rsidP="00332B1C">
      <w:pPr>
        <w:suppressAutoHyphens/>
        <w:rPr>
          <w:b/>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  </w:t>
      </w:r>
      <w:r w:rsidR="00872AC6" w:rsidRPr="00872AC6">
        <w:rPr>
          <w:b/>
          <w:szCs w:val="26"/>
        </w:rPr>
        <w:t>Agenda ID</w:t>
      </w:r>
      <w:r w:rsidR="00872AC6">
        <w:rPr>
          <w:b/>
          <w:szCs w:val="26"/>
        </w:rPr>
        <w:t xml:space="preserve"> </w:t>
      </w:r>
      <w:r>
        <w:rPr>
          <w:b/>
          <w:szCs w:val="26"/>
        </w:rPr>
        <w:t>14775</w:t>
      </w:r>
    </w:p>
    <w:p w:rsidR="004B63D8" w:rsidRDefault="00593807" w:rsidP="00332B1C">
      <w:pPr>
        <w:suppressAutoHyphens/>
        <w:rPr>
          <w:b/>
          <w:szCs w:val="26"/>
        </w:rPr>
      </w:pPr>
      <w:r w:rsidRPr="00FC34AF">
        <w:rPr>
          <w:b/>
          <w:szCs w:val="26"/>
        </w:rPr>
        <w:t>ENERGY DIVISION</w:t>
      </w:r>
      <w:r w:rsidRPr="00FC34AF">
        <w:rPr>
          <w:b/>
          <w:szCs w:val="26"/>
        </w:rPr>
        <w:tab/>
      </w:r>
      <w:r w:rsidRPr="00FC34AF">
        <w:rPr>
          <w:b/>
          <w:szCs w:val="26"/>
        </w:rPr>
        <w:tab/>
      </w:r>
      <w:r w:rsidRPr="00FC34AF">
        <w:rPr>
          <w:b/>
          <w:szCs w:val="26"/>
        </w:rPr>
        <w:tab/>
      </w:r>
      <w:r w:rsidRPr="00FC34AF">
        <w:rPr>
          <w:b/>
          <w:szCs w:val="26"/>
        </w:rPr>
        <w:tab/>
      </w:r>
      <w:r w:rsidRPr="00FC34AF">
        <w:rPr>
          <w:b/>
          <w:szCs w:val="26"/>
        </w:rPr>
        <w:tab/>
      </w:r>
      <w:r w:rsidR="004B63D8">
        <w:rPr>
          <w:b/>
          <w:szCs w:val="26"/>
        </w:rPr>
        <w:t xml:space="preserve">      </w:t>
      </w:r>
      <w:r w:rsidR="00B616AA" w:rsidRPr="00FC34AF">
        <w:rPr>
          <w:b/>
          <w:szCs w:val="26"/>
        </w:rPr>
        <w:t xml:space="preserve">        R</w:t>
      </w:r>
      <w:r w:rsidR="00CF17DE" w:rsidRPr="00FC34AF">
        <w:rPr>
          <w:b/>
          <w:szCs w:val="26"/>
        </w:rPr>
        <w:t>ESOLUTION</w:t>
      </w:r>
      <w:r w:rsidR="00FC34AF">
        <w:rPr>
          <w:b/>
          <w:szCs w:val="26"/>
        </w:rPr>
        <w:t xml:space="preserve"> </w:t>
      </w:r>
      <w:r w:rsidR="00CF17DE" w:rsidRPr="00FC34AF">
        <w:rPr>
          <w:b/>
          <w:szCs w:val="26"/>
        </w:rPr>
        <w:t>G-</w:t>
      </w:r>
      <w:r w:rsidR="00E830DA">
        <w:rPr>
          <w:b/>
          <w:szCs w:val="26"/>
        </w:rPr>
        <w:t>3517</w:t>
      </w:r>
    </w:p>
    <w:p w:rsidR="00CF17DE" w:rsidRPr="00FC34AF" w:rsidRDefault="00B616AA" w:rsidP="00B616AA">
      <w:pPr>
        <w:jc w:val="both"/>
        <w:rPr>
          <w:b/>
          <w:szCs w:val="26"/>
        </w:rPr>
      </w:pPr>
      <w:r w:rsidRPr="00FC34AF">
        <w:rPr>
          <w:b/>
          <w:szCs w:val="26"/>
        </w:rPr>
        <w:tab/>
      </w:r>
      <w:r w:rsidRPr="00FC34AF">
        <w:rPr>
          <w:b/>
          <w:szCs w:val="26"/>
        </w:rPr>
        <w:tab/>
      </w:r>
      <w:r w:rsidRPr="00FC34AF">
        <w:rPr>
          <w:b/>
          <w:szCs w:val="26"/>
        </w:rPr>
        <w:tab/>
      </w:r>
      <w:r w:rsidRPr="00FC34AF">
        <w:rPr>
          <w:b/>
          <w:szCs w:val="26"/>
        </w:rPr>
        <w:tab/>
      </w:r>
      <w:r w:rsidRPr="00FC34AF">
        <w:rPr>
          <w:b/>
          <w:szCs w:val="26"/>
        </w:rPr>
        <w:tab/>
      </w:r>
      <w:r w:rsidRPr="00FC34AF">
        <w:rPr>
          <w:b/>
          <w:szCs w:val="26"/>
        </w:rPr>
        <w:tab/>
      </w:r>
      <w:r w:rsidRPr="00FC34AF">
        <w:rPr>
          <w:b/>
          <w:szCs w:val="26"/>
        </w:rPr>
        <w:tab/>
      </w:r>
      <w:r w:rsidRPr="00FC34AF">
        <w:rPr>
          <w:b/>
          <w:szCs w:val="26"/>
        </w:rPr>
        <w:tab/>
      </w:r>
      <w:r w:rsidR="0009258E" w:rsidRPr="00FC34AF">
        <w:rPr>
          <w:b/>
          <w:szCs w:val="26"/>
        </w:rPr>
        <w:t xml:space="preserve"> </w:t>
      </w:r>
      <w:r w:rsidR="004B63D8">
        <w:rPr>
          <w:b/>
          <w:szCs w:val="26"/>
        </w:rPr>
        <w:tab/>
        <w:t xml:space="preserve">      </w:t>
      </w:r>
      <w:r w:rsidR="0009258E" w:rsidRPr="00FC34AF">
        <w:rPr>
          <w:b/>
          <w:szCs w:val="26"/>
        </w:rPr>
        <w:t xml:space="preserve">    </w:t>
      </w:r>
      <w:r w:rsidR="004B5498">
        <w:rPr>
          <w:b/>
          <w:szCs w:val="26"/>
        </w:rPr>
        <w:t xml:space="preserve">  </w:t>
      </w:r>
      <w:r w:rsidR="0009258E" w:rsidRPr="00FC34AF">
        <w:rPr>
          <w:b/>
          <w:szCs w:val="26"/>
        </w:rPr>
        <w:t xml:space="preserve">    </w:t>
      </w:r>
      <w:r w:rsidR="004B63D8">
        <w:rPr>
          <w:b/>
          <w:szCs w:val="26"/>
        </w:rPr>
        <w:t xml:space="preserve">    </w:t>
      </w:r>
      <w:r w:rsidR="00230263" w:rsidRPr="00FC34AF">
        <w:rPr>
          <w:b/>
          <w:szCs w:val="26"/>
        </w:rPr>
        <w:t xml:space="preserve"> </w:t>
      </w:r>
      <w:r w:rsidR="006332B6">
        <w:rPr>
          <w:b/>
          <w:szCs w:val="26"/>
        </w:rPr>
        <w:t>May 12</w:t>
      </w:r>
      <w:r w:rsidR="00287000">
        <w:rPr>
          <w:b/>
          <w:szCs w:val="26"/>
        </w:rPr>
        <w:t>,</w:t>
      </w:r>
      <w:r w:rsidR="00690AE6">
        <w:rPr>
          <w:b/>
          <w:szCs w:val="26"/>
        </w:rPr>
        <w:t xml:space="preserve"> </w:t>
      </w:r>
      <w:r w:rsidR="00332B1C">
        <w:rPr>
          <w:b/>
          <w:szCs w:val="26"/>
        </w:rPr>
        <w:t>2016</w:t>
      </w:r>
    </w:p>
    <w:p w:rsidR="009150D2" w:rsidRPr="00FC34AF" w:rsidRDefault="009150D2" w:rsidP="00B616AA">
      <w:pPr>
        <w:pStyle w:val="mainex"/>
        <w:jc w:val="both"/>
        <w:rPr>
          <w:szCs w:val="26"/>
          <w:u w:val="single"/>
        </w:rPr>
      </w:pPr>
      <w:bookmarkStart w:id="1" w:name="_Ref404993683"/>
    </w:p>
    <w:p w:rsidR="00CF17DE" w:rsidRPr="00FC34AF" w:rsidRDefault="00CF17DE">
      <w:pPr>
        <w:pStyle w:val="mainex"/>
        <w:rPr>
          <w:szCs w:val="26"/>
          <w:u w:val="single"/>
        </w:rPr>
      </w:pPr>
      <w:r w:rsidRPr="00FC34AF">
        <w:rPr>
          <w:szCs w:val="26"/>
          <w:u w:val="single"/>
        </w:rPr>
        <w:t>RESOLUTION</w:t>
      </w:r>
    </w:p>
    <w:p w:rsidR="00CF17DE" w:rsidRDefault="00CF17DE"/>
    <w:p w:rsidR="000B483E" w:rsidRPr="009F0C94" w:rsidRDefault="00CF17DE">
      <w:pPr>
        <w:pStyle w:val="Res-Caption"/>
      </w:pPr>
      <w:r w:rsidRPr="009F0C94">
        <w:t>Resolution G</w:t>
      </w:r>
      <w:r w:rsidR="008B58DD" w:rsidRPr="009F0C94">
        <w:t>-</w:t>
      </w:r>
      <w:r w:rsidR="00B030DA">
        <w:t>3517</w:t>
      </w:r>
      <w:r w:rsidR="002E197B" w:rsidRPr="009F0C94">
        <w:t>. Southern Californi</w:t>
      </w:r>
      <w:r w:rsidR="000B483E" w:rsidRPr="009F0C94">
        <w:t>a Gas Company (SoCalGas</w:t>
      </w:r>
      <w:r w:rsidR="00D97536" w:rsidRPr="009F0C94">
        <w:t>)</w:t>
      </w:r>
      <w:r w:rsidR="000B483E" w:rsidRPr="009F0C94">
        <w:t xml:space="preserve"> request for</w:t>
      </w:r>
      <w:r w:rsidR="00173E7A" w:rsidRPr="009F0C94">
        <w:t xml:space="preserve"> recovery of the Transmission Integrity Management Program (TIMP) Balancing Account </w:t>
      </w:r>
      <w:r w:rsidR="00063E6C">
        <w:t>b</w:t>
      </w:r>
      <w:r w:rsidR="00173E7A" w:rsidRPr="009F0C94">
        <w:t xml:space="preserve">alance </w:t>
      </w:r>
      <w:r w:rsidR="00332B1C">
        <w:t>for the year ending 2014</w:t>
      </w:r>
      <w:r w:rsidR="00D97536" w:rsidRPr="009F0C94">
        <w:t>.</w:t>
      </w:r>
    </w:p>
    <w:p w:rsidR="000B483E" w:rsidRPr="009F0C94" w:rsidRDefault="000B483E">
      <w:pPr>
        <w:pStyle w:val="Res-Caption"/>
      </w:pPr>
    </w:p>
    <w:p w:rsidR="004844EE" w:rsidRPr="009F0C94" w:rsidRDefault="004844EE" w:rsidP="004844EE">
      <w:pPr>
        <w:pStyle w:val="Res-Caption"/>
      </w:pPr>
      <w:r w:rsidRPr="009F0C94">
        <w:t>P</w:t>
      </w:r>
      <w:r w:rsidR="009F0C94" w:rsidRPr="009F0C94">
        <w:t>ROPOSED OUTCOME</w:t>
      </w:r>
      <w:r w:rsidRPr="009F0C94">
        <w:t>:</w:t>
      </w:r>
    </w:p>
    <w:p w:rsidR="00CF17DE" w:rsidRDefault="002E197B" w:rsidP="004B63D8">
      <w:pPr>
        <w:pStyle w:val="Res-Caption"/>
        <w:numPr>
          <w:ilvl w:val="0"/>
          <w:numId w:val="11"/>
        </w:numPr>
        <w:spacing w:after="120"/>
      </w:pPr>
      <w:r w:rsidRPr="009F0C94">
        <w:t>SoCalGas</w:t>
      </w:r>
      <w:r w:rsidR="00607A03" w:rsidRPr="009F0C94">
        <w:t>'</w:t>
      </w:r>
      <w:r w:rsidR="001F2624" w:rsidRPr="009F0C94">
        <w:t xml:space="preserve"> </w:t>
      </w:r>
      <w:r w:rsidR="00607A03" w:rsidRPr="009F0C94">
        <w:t>request</w:t>
      </w:r>
      <w:r w:rsidR="001F2624" w:rsidRPr="009F0C94">
        <w:t xml:space="preserve"> </w:t>
      </w:r>
      <w:r w:rsidR="00211065" w:rsidRPr="009F0C94">
        <w:t>to recover</w:t>
      </w:r>
      <w:r w:rsidR="00173E7A" w:rsidRPr="009F0C94">
        <w:t xml:space="preserve"> its T</w:t>
      </w:r>
      <w:r w:rsidR="00332B1C">
        <w:t>IMP Balancing Account Balance for the year ending 2014 is approved</w:t>
      </w:r>
      <w:r w:rsidR="00D138DB">
        <w:t xml:space="preserve"> with minor adjustments</w:t>
      </w:r>
      <w:r w:rsidR="00607A03" w:rsidRPr="009F0C94">
        <w:t>.</w:t>
      </w:r>
    </w:p>
    <w:p w:rsidR="00211065" w:rsidRPr="009F0C94" w:rsidRDefault="00211065" w:rsidP="00607A03">
      <w:pPr>
        <w:pStyle w:val="Res-Caption"/>
      </w:pPr>
    </w:p>
    <w:p w:rsidR="00211065" w:rsidRPr="009F0C94" w:rsidRDefault="00211065" w:rsidP="00211065">
      <w:pPr>
        <w:pStyle w:val="Res-Caption"/>
      </w:pPr>
      <w:r w:rsidRPr="009F0C94">
        <w:t>S</w:t>
      </w:r>
      <w:r w:rsidR="009F0C94" w:rsidRPr="009F0C94">
        <w:t>AFETY CONSIDERATIONS</w:t>
      </w:r>
      <w:r w:rsidRPr="009F0C94">
        <w:t xml:space="preserve">: </w:t>
      </w:r>
    </w:p>
    <w:p w:rsidR="00211065" w:rsidRPr="009F0C94" w:rsidRDefault="00211065" w:rsidP="009F0C94">
      <w:pPr>
        <w:pStyle w:val="Res-Caption"/>
        <w:numPr>
          <w:ilvl w:val="0"/>
          <w:numId w:val="11"/>
        </w:numPr>
      </w:pPr>
      <w:r w:rsidRPr="009F0C94">
        <w:t xml:space="preserve">SoCalGas’ TIMP Balancing Account records pipeline integrity-related </w:t>
      </w:r>
      <w:r w:rsidR="00063E6C">
        <w:t>costs</w:t>
      </w:r>
      <w:r w:rsidRPr="009F0C94">
        <w:t xml:space="preserve"> associated with </w:t>
      </w:r>
      <w:r w:rsidR="00D223CB" w:rsidRPr="009F0C94">
        <w:t>federal regulatory requirements set forth in 49 CFR 192 Subpart O adopted following the passage of the Pipeline Safety Improvement Act of 2002.</w:t>
      </w:r>
    </w:p>
    <w:p w:rsidR="00211065" w:rsidRPr="009F0C94" w:rsidRDefault="00211065" w:rsidP="00607A03">
      <w:pPr>
        <w:pStyle w:val="Res-Caption"/>
      </w:pPr>
    </w:p>
    <w:p w:rsidR="009F0C94" w:rsidRDefault="009F0C94">
      <w:pPr>
        <w:pStyle w:val="Res-Caption"/>
      </w:pPr>
      <w:r>
        <w:t>ESTIMATED COST</w:t>
      </w:r>
      <w:r w:rsidR="008B58DD" w:rsidRPr="009F0C94">
        <w:t xml:space="preserve">: </w:t>
      </w:r>
    </w:p>
    <w:p w:rsidR="00CF17DE" w:rsidRPr="009F0C94" w:rsidRDefault="00E95598" w:rsidP="009F0C94">
      <w:pPr>
        <w:pStyle w:val="Res-Caption"/>
        <w:numPr>
          <w:ilvl w:val="0"/>
          <w:numId w:val="11"/>
        </w:numPr>
      </w:pPr>
      <w:r>
        <w:t xml:space="preserve">Approximately </w:t>
      </w:r>
      <w:r w:rsidR="00332B1C">
        <w:t>$19 million</w:t>
      </w:r>
      <w:r w:rsidR="004B5498">
        <w:t>.</w:t>
      </w:r>
    </w:p>
    <w:p w:rsidR="002E197B" w:rsidRPr="009F0C94" w:rsidRDefault="002E197B">
      <w:pPr>
        <w:pStyle w:val="Res-Caption"/>
      </w:pPr>
    </w:p>
    <w:p w:rsidR="00CF17DE" w:rsidRPr="009F0C94" w:rsidRDefault="00CF17DE">
      <w:pPr>
        <w:pStyle w:val="Res-Caption"/>
      </w:pPr>
      <w:r w:rsidRPr="009F0C94">
        <w:t xml:space="preserve">By Advice Letter </w:t>
      </w:r>
      <w:r w:rsidR="00332B1C">
        <w:t>4819</w:t>
      </w:r>
      <w:r w:rsidR="004B5498">
        <w:t>,</w:t>
      </w:r>
      <w:r w:rsidR="00173E7A" w:rsidRPr="009F0C94">
        <w:t xml:space="preserve"> filed </w:t>
      </w:r>
      <w:r w:rsidR="00332B1C">
        <w:t>June 19, 201</w:t>
      </w:r>
      <w:r w:rsidR="00D14B7A">
        <w:t>5</w:t>
      </w:r>
      <w:r w:rsidRPr="009F0C94">
        <w:t>.</w:t>
      </w:r>
    </w:p>
    <w:p w:rsidR="00CF17DE" w:rsidRDefault="00CF17DE">
      <w:pPr>
        <w:jc w:val="center"/>
        <w:rPr>
          <w:b/>
        </w:rPr>
      </w:pPr>
      <w:r w:rsidRPr="00230263">
        <w:rPr>
          <w:b/>
        </w:rPr>
        <w:t>__________________________________________________________</w:t>
      </w:r>
    </w:p>
    <w:p w:rsidR="00A43FB9" w:rsidRPr="00230263" w:rsidRDefault="00A43FB9">
      <w:pPr>
        <w:jc w:val="center"/>
        <w:rPr>
          <w:b/>
        </w:rPr>
      </w:pPr>
    </w:p>
    <w:p w:rsidR="00CF17DE" w:rsidRDefault="00CF17DE" w:rsidP="004B63D8">
      <w:pPr>
        <w:pStyle w:val="Heading1"/>
        <w:spacing w:before="0"/>
      </w:pPr>
      <w:r>
        <w:t>Summary</w:t>
      </w:r>
      <w:bookmarkEnd w:id="1"/>
    </w:p>
    <w:p w:rsidR="00E95598" w:rsidRDefault="00835487" w:rsidP="00D45BBB">
      <w:pPr>
        <w:rPr>
          <w:b/>
        </w:rPr>
      </w:pPr>
      <w:r>
        <w:rPr>
          <w:b/>
        </w:rPr>
        <w:t>Decision (</w:t>
      </w:r>
      <w:r w:rsidR="00974E4E" w:rsidRPr="00B43268">
        <w:rPr>
          <w:b/>
        </w:rPr>
        <w:t>D.</w:t>
      </w:r>
      <w:r>
        <w:rPr>
          <w:b/>
        </w:rPr>
        <w:t xml:space="preserve">) </w:t>
      </w:r>
      <w:r w:rsidR="00974E4E" w:rsidRPr="00B43268">
        <w:rPr>
          <w:b/>
        </w:rPr>
        <w:t>13-05-010 authorized SoCalGas to establish a two-way balancing account to recover actual O</w:t>
      </w:r>
      <w:r w:rsidR="00D138DB">
        <w:rPr>
          <w:b/>
        </w:rPr>
        <w:t xml:space="preserve">perations </w:t>
      </w:r>
      <w:r w:rsidR="00974E4E" w:rsidRPr="00B43268">
        <w:rPr>
          <w:b/>
        </w:rPr>
        <w:t>&amp;</w:t>
      </w:r>
      <w:r w:rsidR="00D138DB">
        <w:rPr>
          <w:b/>
        </w:rPr>
        <w:t xml:space="preserve"> </w:t>
      </w:r>
      <w:r w:rsidR="00974E4E" w:rsidRPr="00B43268">
        <w:rPr>
          <w:b/>
        </w:rPr>
        <w:t>M</w:t>
      </w:r>
      <w:r w:rsidR="00D138DB">
        <w:rPr>
          <w:b/>
        </w:rPr>
        <w:t>aintenance</w:t>
      </w:r>
      <w:r w:rsidR="00974E4E" w:rsidRPr="00B43268">
        <w:rPr>
          <w:b/>
        </w:rPr>
        <w:t xml:space="preserve"> </w:t>
      </w:r>
      <w:r w:rsidR="00684023">
        <w:rPr>
          <w:b/>
        </w:rPr>
        <w:t xml:space="preserve">(O&amp;M) </w:t>
      </w:r>
      <w:r w:rsidR="00974E4E" w:rsidRPr="00B43268">
        <w:rPr>
          <w:b/>
        </w:rPr>
        <w:t xml:space="preserve">expenses and </w:t>
      </w:r>
      <w:r w:rsidR="0031317F">
        <w:rPr>
          <w:b/>
        </w:rPr>
        <w:t>C</w:t>
      </w:r>
      <w:r w:rsidR="00974E4E" w:rsidRPr="00B43268">
        <w:rPr>
          <w:b/>
        </w:rPr>
        <w:t xml:space="preserve">apital </w:t>
      </w:r>
      <w:r w:rsidR="0031317F">
        <w:rPr>
          <w:b/>
        </w:rPr>
        <w:t>E</w:t>
      </w:r>
      <w:r w:rsidR="00974E4E" w:rsidRPr="00B43268">
        <w:rPr>
          <w:b/>
        </w:rPr>
        <w:t xml:space="preserve">xpenditures </w:t>
      </w:r>
      <w:r>
        <w:rPr>
          <w:b/>
        </w:rPr>
        <w:t>for</w:t>
      </w:r>
      <w:r w:rsidR="00974E4E" w:rsidRPr="00B43268">
        <w:rPr>
          <w:b/>
        </w:rPr>
        <w:t xml:space="preserve"> compliance with the Transmission Integrity Management Program (TIMP). SoCalGas filed </w:t>
      </w:r>
      <w:r w:rsidR="00AE2F09">
        <w:rPr>
          <w:b/>
        </w:rPr>
        <w:t>A</w:t>
      </w:r>
      <w:r w:rsidR="00974E4E" w:rsidRPr="00B43268">
        <w:rPr>
          <w:b/>
        </w:rPr>
        <w:t xml:space="preserve">dvice </w:t>
      </w:r>
      <w:r w:rsidR="00AE2F09">
        <w:rPr>
          <w:b/>
        </w:rPr>
        <w:t>L</w:t>
      </w:r>
      <w:r w:rsidR="00974E4E" w:rsidRPr="00B43268">
        <w:rPr>
          <w:b/>
        </w:rPr>
        <w:t xml:space="preserve">etter </w:t>
      </w:r>
      <w:r>
        <w:rPr>
          <w:b/>
        </w:rPr>
        <w:t xml:space="preserve">(AL) </w:t>
      </w:r>
      <w:r w:rsidR="0083138C">
        <w:rPr>
          <w:b/>
        </w:rPr>
        <w:t>4819</w:t>
      </w:r>
      <w:r w:rsidR="00974E4E" w:rsidRPr="00B43268">
        <w:rPr>
          <w:b/>
        </w:rPr>
        <w:t xml:space="preserve"> requesting </w:t>
      </w:r>
      <w:r w:rsidR="00DD280C" w:rsidRPr="007A6C37">
        <w:rPr>
          <w:b/>
        </w:rPr>
        <w:t>recover</w:t>
      </w:r>
      <w:r w:rsidR="00F2477E" w:rsidRPr="007A6C37">
        <w:rPr>
          <w:b/>
        </w:rPr>
        <w:t>y of</w:t>
      </w:r>
      <w:r w:rsidR="00DD280C" w:rsidRPr="007A6C37">
        <w:rPr>
          <w:b/>
        </w:rPr>
        <w:t xml:space="preserve"> </w:t>
      </w:r>
      <w:r w:rsidR="0083138C">
        <w:rPr>
          <w:b/>
        </w:rPr>
        <w:t>approximately $19 million</w:t>
      </w:r>
      <w:r w:rsidR="00DD280C" w:rsidRPr="007A6C37">
        <w:rPr>
          <w:b/>
        </w:rPr>
        <w:t xml:space="preserve"> </w:t>
      </w:r>
      <w:r w:rsidR="00974E4E" w:rsidRPr="007A6C37">
        <w:rPr>
          <w:b/>
        </w:rPr>
        <w:t xml:space="preserve">for costs </w:t>
      </w:r>
      <w:r w:rsidR="0083138C">
        <w:rPr>
          <w:b/>
        </w:rPr>
        <w:t>recorded during</w:t>
      </w:r>
      <w:r w:rsidR="00DD280C" w:rsidRPr="007A6C37">
        <w:rPr>
          <w:b/>
        </w:rPr>
        <w:t xml:space="preserve"> </w:t>
      </w:r>
      <w:r w:rsidR="0031317F">
        <w:rPr>
          <w:b/>
        </w:rPr>
        <w:t>y</w:t>
      </w:r>
      <w:r w:rsidR="00DD280C" w:rsidRPr="007A6C37">
        <w:rPr>
          <w:b/>
        </w:rPr>
        <w:t>ear</w:t>
      </w:r>
      <w:r w:rsidR="0083138C">
        <w:rPr>
          <w:b/>
        </w:rPr>
        <w:t xml:space="preserve"> 2014</w:t>
      </w:r>
      <w:r w:rsidR="00DD280C" w:rsidRPr="007A6C37">
        <w:rPr>
          <w:b/>
        </w:rPr>
        <w:t xml:space="preserve"> in the TIMP Balancing Account</w:t>
      </w:r>
      <w:r w:rsidR="00DD280C" w:rsidRPr="005B2909">
        <w:rPr>
          <w:b/>
        </w:rPr>
        <w:t xml:space="preserve">.  </w:t>
      </w:r>
    </w:p>
    <w:p w:rsidR="00E95598" w:rsidRDefault="00E95598" w:rsidP="00D45BBB">
      <w:pPr>
        <w:rPr>
          <w:b/>
        </w:rPr>
      </w:pPr>
    </w:p>
    <w:p w:rsidR="0011080E" w:rsidRDefault="00D4230F" w:rsidP="00D45BBB">
      <w:pPr>
        <w:rPr>
          <w:b/>
        </w:rPr>
      </w:pPr>
      <w:r w:rsidRPr="007A6C37">
        <w:rPr>
          <w:b/>
        </w:rPr>
        <w:lastRenderedPageBreak/>
        <w:t>This amount is in addition to the $</w:t>
      </w:r>
      <w:r w:rsidR="0082501F">
        <w:rPr>
          <w:b/>
        </w:rPr>
        <w:t>31</w:t>
      </w:r>
      <w:r w:rsidRPr="007A6C37">
        <w:rPr>
          <w:b/>
        </w:rPr>
        <w:t xml:space="preserve"> million</w:t>
      </w:r>
      <w:r w:rsidR="00835487">
        <w:rPr>
          <w:rStyle w:val="FootnoteReference"/>
          <w:b/>
        </w:rPr>
        <w:footnoteReference w:id="2"/>
      </w:r>
      <w:r w:rsidRPr="007A6C37">
        <w:rPr>
          <w:b/>
        </w:rPr>
        <w:t xml:space="preserve"> that the</w:t>
      </w:r>
      <w:r>
        <w:rPr>
          <w:b/>
        </w:rPr>
        <w:t xml:space="preserve"> Commission authorized SoCalGas to collect in D.13-05-010.  The additional costs are primarily the result of additional requirements by P</w:t>
      </w:r>
      <w:r w:rsidR="00E95585">
        <w:rPr>
          <w:b/>
        </w:rPr>
        <w:t>ipeline Hazard Materials Safety Administration (P</w:t>
      </w:r>
      <w:r>
        <w:rPr>
          <w:b/>
        </w:rPr>
        <w:t>HMSA</w:t>
      </w:r>
      <w:r w:rsidR="00E95585">
        <w:rPr>
          <w:b/>
        </w:rPr>
        <w:t>)</w:t>
      </w:r>
      <w:r>
        <w:rPr>
          <w:b/>
        </w:rPr>
        <w:t xml:space="preserve"> that were adopted </w:t>
      </w:r>
      <w:r w:rsidR="00FC34AF">
        <w:rPr>
          <w:b/>
        </w:rPr>
        <w:t>after SoCalGas</w:t>
      </w:r>
      <w:r>
        <w:rPr>
          <w:b/>
        </w:rPr>
        <w:t xml:space="preserve"> had prepared its cost estimates in 2010</w:t>
      </w:r>
      <w:r w:rsidR="00BC08A0">
        <w:rPr>
          <w:b/>
        </w:rPr>
        <w:t xml:space="preserve"> for its Test Year 2012 General Rate Case (GRC)</w:t>
      </w:r>
      <w:r w:rsidRPr="0088440E">
        <w:rPr>
          <w:b/>
        </w:rPr>
        <w:t xml:space="preserve">. </w:t>
      </w:r>
      <w:r w:rsidR="00DF78C1">
        <w:rPr>
          <w:b/>
        </w:rPr>
        <w:t xml:space="preserve"> SoCalGas’ request to recover its TI</w:t>
      </w:r>
      <w:r w:rsidR="00126A2F">
        <w:rPr>
          <w:b/>
        </w:rPr>
        <w:t xml:space="preserve">MP Balancing Account </w:t>
      </w:r>
      <w:r w:rsidR="006332B6">
        <w:rPr>
          <w:b/>
        </w:rPr>
        <w:t>b</w:t>
      </w:r>
      <w:r w:rsidR="00126A2F">
        <w:rPr>
          <w:b/>
        </w:rPr>
        <w:t xml:space="preserve">alance recorded for the year 2014 </w:t>
      </w:r>
      <w:r w:rsidR="00DF78C1">
        <w:rPr>
          <w:b/>
        </w:rPr>
        <w:t>is approved</w:t>
      </w:r>
      <w:r w:rsidR="002353AC">
        <w:rPr>
          <w:b/>
        </w:rPr>
        <w:t xml:space="preserve"> with </w:t>
      </w:r>
      <w:r w:rsidR="00E830DA">
        <w:rPr>
          <w:b/>
        </w:rPr>
        <w:t>a minor adjustment</w:t>
      </w:r>
      <w:r w:rsidR="00DF78C1">
        <w:rPr>
          <w:b/>
        </w:rPr>
        <w:t>.</w:t>
      </w:r>
      <w:r w:rsidR="0011080E">
        <w:rPr>
          <w:b/>
        </w:rPr>
        <w:t xml:space="preserve">  </w:t>
      </w:r>
    </w:p>
    <w:p w:rsidR="0011080E" w:rsidRDefault="0011080E" w:rsidP="00D45BBB">
      <w:pPr>
        <w:rPr>
          <w:b/>
        </w:rPr>
      </w:pPr>
    </w:p>
    <w:p w:rsidR="00B76AD9" w:rsidRDefault="0011080E" w:rsidP="00D45BBB">
      <w:pPr>
        <w:rPr>
          <w:b/>
        </w:rPr>
      </w:pPr>
      <w:r>
        <w:rPr>
          <w:b/>
        </w:rPr>
        <w:t xml:space="preserve">Expenses for Employee Benefits/Recognition should be removed from the TIMP Balancing Account.  These costs should be included as an Administrative and General expense in the </w:t>
      </w:r>
      <w:r w:rsidR="000712D3">
        <w:rPr>
          <w:b/>
        </w:rPr>
        <w:t xml:space="preserve">GRC </w:t>
      </w:r>
      <w:r>
        <w:rPr>
          <w:b/>
        </w:rPr>
        <w:t xml:space="preserve">and </w:t>
      </w:r>
      <w:r w:rsidR="006332B6">
        <w:rPr>
          <w:b/>
        </w:rPr>
        <w:t>are</w:t>
      </w:r>
      <w:r>
        <w:rPr>
          <w:b/>
        </w:rPr>
        <w:t xml:space="preserve"> inappropriately applied to the TIMP Balancing Account. </w:t>
      </w:r>
      <w:r w:rsidR="00DF78C1">
        <w:rPr>
          <w:b/>
        </w:rPr>
        <w:t xml:space="preserve"> </w:t>
      </w:r>
    </w:p>
    <w:p w:rsidR="00C0220A" w:rsidRDefault="00C0220A" w:rsidP="00D45BBB">
      <w:pPr>
        <w:rPr>
          <w:b/>
        </w:rPr>
      </w:pPr>
    </w:p>
    <w:p w:rsidR="00C0220A" w:rsidRDefault="00E57507" w:rsidP="00D45BBB">
      <w:pPr>
        <w:rPr>
          <w:b/>
        </w:rPr>
      </w:pPr>
      <w:r>
        <w:rPr>
          <w:b/>
        </w:rPr>
        <w:t xml:space="preserve">The TIMP Balancing Account amount will be amortized in gas transportation rates based on a functionalized allocation of transmission-related costs as developed in SoCalGas’ most recent Triennial Cost Allocation Proceeding and pursuant to Resolution G-3499.  </w:t>
      </w:r>
    </w:p>
    <w:p w:rsidR="00D45BBB" w:rsidRPr="00FA1C35" w:rsidRDefault="00D45BBB" w:rsidP="00D45BBB">
      <w:pPr>
        <w:rPr>
          <w:b/>
        </w:rPr>
      </w:pPr>
    </w:p>
    <w:p w:rsidR="00CF17DE" w:rsidRDefault="00CF17DE">
      <w:pPr>
        <w:pStyle w:val="Heading1"/>
      </w:pPr>
      <w:r>
        <w:t>Background</w:t>
      </w:r>
    </w:p>
    <w:p w:rsidR="00BE060E" w:rsidRDefault="00883C36" w:rsidP="00223B4E">
      <w:r w:rsidRPr="0088440E">
        <w:rPr>
          <w:b/>
        </w:rPr>
        <w:t>The SoCalGas</w:t>
      </w:r>
      <w:r w:rsidR="00A8448A" w:rsidRPr="0088440E">
        <w:rPr>
          <w:b/>
        </w:rPr>
        <w:t xml:space="preserve"> </w:t>
      </w:r>
      <w:r w:rsidR="00286CAD" w:rsidRPr="0088440E">
        <w:rPr>
          <w:b/>
        </w:rPr>
        <w:t xml:space="preserve">Transmission Integrity Management Program </w:t>
      </w:r>
      <w:r w:rsidR="0088440E">
        <w:rPr>
          <w:b/>
        </w:rPr>
        <w:t>(</w:t>
      </w:r>
      <w:r w:rsidR="00A8448A" w:rsidRPr="0088440E">
        <w:rPr>
          <w:b/>
        </w:rPr>
        <w:t>TIMP</w:t>
      </w:r>
      <w:r w:rsidR="0088440E">
        <w:rPr>
          <w:b/>
        </w:rPr>
        <w:t>)</w:t>
      </w:r>
      <w:r w:rsidR="00A8448A" w:rsidRPr="0088440E">
        <w:rPr>
          <w:b/>
        </w:rPr>
        <w:t xml:space="preserve"> was established as a result of the Pipeline Safety Improvement Act of 2002 and the enactment of 49 CFR Part 192 Subpart O</w:t>
      </w:r>
      <w:r w:rsidRPr="0088440E">
        <w:rPr>
          <w:b/>
        </w:rPr>
        <w:t xml:space="preserve"> (Subpart O)</w:t>
      </w:r>
      <w:r w:rsidR="00A8448A" w:rsidRPr="0088440E">
        <w:rPr>
          <w:b/>
        </w:rPr>
        <w:t>.</w:t>
      </w:r>
      <w:r w:rsidR="00A8448A">
        <w:t xml:space="preserve">  </w:t>
      </w:r>
    </w:p>
    <w:p w:rsidR="00BE060E" w:rsidRDefault="00BE060E" w:rsidP="00223B4E"/>
    <w:p w:rsidR="001926EE" w:rsidRDefault="00A8448A" w:rsidP="00223B4E">
      <w:r>
        <w:t xml:space="preserve">Pursuant to Subpart O, operators of gas transmission pipelines are required to identify the threats to their pipelines in High Consequence Areas, analyze the risk posed by these threats, collect information about the physical condition of their pipelines, and take actions to address applicable threats and integrity concerns before pipeline failures occur. </w:t>
      </w:r>
      <w:r w:rsidR="006C0C24">
        <w:t xml:space="preserve"> </w:t>
      </w:r>
    </w:p>
    <w:p w:rsidR="001926EE" w:rsidRDefault="001926EE" w:rsidP="00223B4E"/>
    <w:p w:rsidR="00AF2567" w:rsidRDefault="006C0C24" w:rsidP="002E3D3E">
      <w:r>
        <w:t xml:space="preserve">Since the </w:t>
      </w:r>
      <w:r w:rsidR="00762346">
        <w:t xml:space="preserve">Pacific Gas and Electric Company (PG&amp;E) </w:t>
      </w:r>
      <w:r>
        <w:t xml:space="preserve">pipeline rupture in </w:t>
      </w:r>
      <w:r w:rsidR="004B63D8">
        <w:br/>
      </w:r>
      <w:r>
        <w:t>San Bruno</w:t>
      </w:r>
      <w:r w:rsidR="00762346">
        <w:t xml:space="preserve"> in September 2010</w:t>
      </w:r>
      <w:r>
        <w:t>, regulations such as “The Pipeline Safety, Regulatory Certainty, and Job Creation Act of 2011” have led the Pipeline and Hazard</w:t>
      </w:r>
      <w:r w:rsidR="006332B6">
        <w:t>ous</w:t>
      </w:r>
      <w:r>
        <w:t xml:space="preserve"> Materials Safety Administration (PHMSA) to change its reporting </w:t>
      </w:r>
      <w:r>
        <w:lastRenderedPageBreak/>
        <w:t>requirements and review existing transmission integrity requirement</w:t>
      </w:r>
      <w:r w:rsidR="005B7869">
        <w:t>s</w:t>
      </w:r>
      <w:r>
        <w:t xml:space="preserve"> to identify areas for improvement. </w:t>
      </w:r>
      <w:r w:rsidR="00883C36">
        <w:t xml:space="preserve">  </w:t>
      </w:r>
    </w:p>
    <w:p w:rsidR="006C0C24" w:rsidRDefault="006C0C24" w:rsidP="00223B4E"/>
    <w:p w:rsidR="00BE060E" w:rsidRDefault="006C0C24" w:rsidP="00223B4E">
      <w:r>
        <w:t>In its 2012 GRC</w:t>
      </w:r>
      <w:r w:rsidR="00757429">
        <w:t xml:space="preserve"> proceeding</w:t>
      </w:r>
      <w:r w:rsidR="007955D9">
        <w:t>,</w:t>
      </w:r>
      <w:r w:rsidR="00757429">
        <w:t xml:space="preserve"> Application (A.) 10-12-005</w:t>
      </w:r>
      <w:r>
        <w:t xml:space="preserve">, </w:t>
      </w:r>
      <w:r w:rsidR="00835487">
        <w:t>t</w:t>
      </w:r>
      <w:r w:rsidR="004252CC">
        <w:t xml:space="preserve">he Commission </w:t>
      </w:r>
      <w:r w:rsidR="00835487">
        <w:t>authorized $28.6 million</w:t>
      </w:r>
      <w:r w:rsidR="008D77A9">
        <w:rPr>
          <w:rStyle w:val="FootnoteReference"/>
        </w:rPr>
        <w:footnoteReference w:id="3"/>
      </w:r>
      <w:r w:rsidR="00835487">
        <w:t xml:space="preserve"> for TIMP-related O&amp;M expenses, a reduction of </w:t>
      </w:r>
      <w:r w:rsidR="004B5498">
        <w:br/>
      </w:r>
      <w:r w:rsidR="004252CC">
        <w:t>$4.3 million or 13%</w:t>
      </w:r>
      <w:r w:rsidR="004E7B95">
        <w:t xml:space="preserve"> to SoCalGas</w:t>
      </w:r>
      <w:r w:rsidR="006332B6">
        <w:t>’</w:t>
      </w:r>
      <w:r w:rsidR="004E7B95">
        <w:t xml:space="preserve"> requested forecast</w:t>
      </w:r>
      <w:r w:rsidR="004252CC">
        <w:t xml:space="preserve">. </w:t>
      </w:r>
      <w:r w:rsidR="00835487">
        <w:t xml:space="preserve"> </w:t>
      </w:r>
      <w:r w:rsidR="004252CC">
        <w:t xml:space="preserve">However, </w:t>
      </w:r>
      <w:r w:rsidR="004252CC" w:rsidRPr="004252CC">
        <w:t>i</w:t>
      </w:r>
      <w:r w:rsidR="00286CAD" w:rsidRPr="004252CC">
        <w:t xml:space="preserve">n </w:t>
      </w:r>
      <w:r w:rsidR="00F81117" w:rsidRPr="004252CC">
        <w:t>Ordering Paragraph 19 of D.13-05-010,</w:t>
      </w:r>
      <w:r w:rsidR="00286CAD" w:rsidRPr="004252CC">
        <w:t xml:space="preserve"> the Commission </w:t>
      </w:r>
      <w:r w:rsidR="00FC34AF" w:rsidRPr="004252CC">
        <w:t>authorized SoCalGas</w:t>
      </w:r>
      <w:r w:rsidR="00F81117" w:rsidRPr="004252CC">
        <w:t xml:space="preserve"> to establish a two-way balancing account to recover </w:t>
      </w:r>
      <w:r w:rsidR="00A81479" w:rsidRPr="004252CC">
        <w:t xml:space="preserve">actual TIMP </w:t>
      </w:r>
      <w:r w:rsidR="00BD0814" w:rsidRPr="004252CC">
        <w:t>compliance O</w:t>
      </w:r>
      <w:r w:rsidR="00F81117" w:rsidRPr="004252CC">
        <w:t xml:space="preserve">&amp;M </w:t>
      </w:r>
      <w:r w:rsidR="00A81479" w:rsidRPr="004252CC">
        <w:t>expenses</w:t>
      </w:r>
      <w:r w:rsidR="00F81117" w:rsidRPr="004252CC">
        <w:t xml:space="preserve"> and capital expenditures</w:t>
      </w:r>
      <w:r w:rsidR="005B7869" w:rsidRPr="0088440E">
        <w:rPr>
          <w:b/>
        </w:rPr>
        <w:t>.</w:t>
      </w:r>
      <w:r w:rsidR="00F81117">
        <w:t xml:space="preserve"> </w:t>
      </w:r>
      <w:r w:rsidR="00BD0814">
        <w:t xml:space="preserve"> </w:t>
      </w:r>
      <w:r w:rsidR="00364413">
        <w:t xml:space="preserve">  </w:t>
      </w:r>
    </w:p>
    <w:p w:rsidR="00BE060E" w:rsidRDefault="00BE060E" w:rsidP="00223B4E"/>
    <w:p w:rsidR="006C0C24" w:rsidRDefault="008126CE" w:rsidP="00223B4E">
      <w:r>
        <w:t>D.13-05-010 allowed TIMP year-end balances in the two-way balancing a</w:t>
      </w:r>
      <w:r w:rsidR="008F1E41">
        <w:t>c</w:t>
      </w:r>
      <w:r>
        <w:t xml:space="preserve">count to be carried forward into the following year to ensure that SoCalGas had sufficient funds to carry out all the necessary TIMP-related work to ensure that its gas transmission system remains safe and reliable.  </w:t>
      </w:r>
      <w:r w:rsidR="00F81117">
        <w:t xml:space="preserve">  </w:t>
      </w:r>
      <w:r w:rsidR="008A5BC3">
        <w:t xml:space="preserve">The TIMP balancing account is effective for the four-year GRC cycle ending December 31, 2015, or the effective date of SoCalGas’ next GRC.  </w:t>
      </w:r>
    </w:p>
    <w:p w:rsidR="000806FD" w:rsidRDefault="000806FD" w:rsidP="00223B4E"/>
    <w:p w:rsidR="00364413" w:rsidRDefault="00A81479" w:rsidP="00223B4E">
      <w:r>
        <w:t xml:space="preserve">The TIMP Balancing Account was established in SoCalGas' tariff via </w:t>
      </w:r>
      <w:r w:rsidR="004B63D8">
        <w:br/>
      </w:r>
      <w:r>
        <w:t xml:space="preserve">Advice Letter </w:t>
      </w:r>
      <w:r w:rsidR="00522D9A">
        <w:t xml:space="preserve">(AL) </w:t>
      </w:r>
      <w:r>
        <w:t xml:space="preserve">4507.  </w:t>
      </w:r>
      <w:r w:rsidR="00364413">
        <w:t xml:space="preserve">For 2012 and 2013, the TIMP Balancing account was under collected by about $29 million (or 48% above the authorized revenue requirement of $59.9 million for the combined 2012-2013 period).  On </w:t>
      </w:r>
      <w:r w:rsidR="004B5498">
        <w:br/>
      </w:r>
      <w:r w:rsidR="00364413">
        <w:t xml:space="preserve">June 11, 2015, the Commission issued Resolution G-3499, approving </w:t>
      </w:r>
      <w:r w:rsidR="004B5498">
        <w:br/>
      </w:r>
      <w:r w:rsidR="00364413">
        <w:t xml:space="preserve">Advice Letter 4632 and authorized SoCalGas to recover the </w:t>
      </w:r>
      <w:r w:rsidR="008126CE">
        <w:t>accumulated</w:t>
      </w:r>
      <w:r w:rsidR="00364413">
        <w:t xml:space="preserve"> balance recorded in the TIMP Balancing Account through December 31, 2013.  </w:t>
      </w:r>
    </w:p>
    <w:p w:rsidR="00E6185A" w:rsidRDefault="00E6185A" w:rsidP="00223B4E"/>
    <w:p w:rsidR="00E6185A" w:rsidRDefault="00E6185A" w:rsidP="00E6185A">
      <w:r w:rsidRPr="00FC34AF">
        <w:t xml:space="preserve">SoCalGas states that there are three primary reasons why the TIMP Balancing Account had a </w:t>
      </w:r>
      <w:r w:rsidR="004F72F5" w:rsidRPr="00FC34AF">
        <w:t>substantial balance</w:t>
      </w:r>
      <w:r w:rsidRPr="00FC34AF">
        <w:t xml:space="preserve"> </w:t>
      </w:r>
      <w:r w:rsidR="004F72F5">
        <w:t xml:space="preserve">accumulated </w:t>
      </w:r>
      <w:r w:rsidR="008F1E41">
        <w:t>from</w:t>
      </w:r>
      <w:r w:rsidRPr="00FC34AF">
        <w:t xml:space="preserve"> 201</w:t>
      </w:r>
      <w:r>
        <w:t>4</w:t>
      </w:r>
      <w:r w:rsidRPr="00FC34AF">
        <w:t>.  First, the amount authorized by the Commission was below SoCalGas'</w:t>
      </w:r>
      <w:r>
        <w:t xml:space="preserve"> forecast.  This accounts for $4</w:t>
      </w:r>
      <w:r w:rsidRPr="00FC34AF">
        <w:t>.</w:t>
      </w:r>
      <w:r>
        <w:t>5</w:t>
      </w:r>
      <w:r w:rsidRPr="00FC34AF">
        <w:t xml:space="preserve"> million of the </w:t>
      </w:r>
      <w:r w:rsidR="004E7B95">
        <w:t>excess TIMP costs</w:t>
      </w:r>
      <w:r w:rsidRPr="00FC34AF">
        <w:t>.</w:t>
      </w:r>
      <w:r w:rsidR="009567D4">
        <w:rPr>
          <w:rStyle w:val="FootnoteReference"/>
        </w:rPr>
        <w:footnoteReference w:id="4"/>
      </w:r>
      <w:r w:rsidRPr="00FC34AF">
        <w:t xml:space="preserve">  Second, SoCalGas "did not foresee conditions that ultimately led to increased TIMP-related costs."  </w:t>
      </w:r>
      <w:r>
        <w:t xml:space="preserve">These unanticipated circumstances </w:t>
      </w:r>
      <w:r w:rsidRPr="00FC34AF">
        <w:t>account for $</w:t>
      </w:r>
      <w:r>
        <w:t>8</w:t>
      </w:r>
      <w:r w:rsidRPr="00FC34AF">
        <w:t xml:space="preserve"> million of the </w:t>
      </w:r>
      <w:r w:rsidR="004E7B95">
        <w:t>costs</w:t>
      </w:r>
      <w:r w:rsidRPr="00FC34AF">
        <w:t>.  And third, "as a result of how capital expenditures are recovered and balanced," SoCalGas has recovered $</w:t>
      </w:r>
      <w:r>
        <w:t>6.6</w:t>
      </w:r>
      <w:r w:rsidRPr="00FC34AF">
        <w:t xml:space="preserve"> million less than the amount needed to fully recover the revenue requirement associated with capital expenditures. </w:t>
      </w:r>
    </w:p>
    <w:p w:rsidR="00BE61C6" w:rsidRDefault="00BE61C6" w:rsidP="00E6185A"/>
    <w:p w:rsidR="00BE61C6" w:rsidRPr="00FC34AF" w:rsidRDefault="00BE61C6" w:rsidP="00E6185A">
      <w:r>
        <w:t xml:space="preserve">On June 11, 2015, the Commission approved Resolution G-3499 which found that changes in pipeline safety regulation occurred after SoCalGas prepared its </w:t>
      </w:r>
      <w:r w:rsidR="004B5498">
        <w:br/>
      </w:r>
      <w:r>
        <w:t>2012 GRC Application 10-12-005 and as a result, led to higher actual TIMP cost</w:t>
      </w:r>
      <w:r w:rsidR="00E665CC">
        <w:t>s</w:t>
      </w:r>
      <w:r>
        <w:t xml:space="preserve"> than initially forecasted.</w:t>
      </w:r>
      <w:r>
        <w:rPr>
          <w:rStyle w:val="FootnoteReference"/>
        </w:rPr>
        <w:footnoteReference w:id="5"/>
      </w:r>
      <w:r w:rsidR="00E95585">
        <w:t xml:space="preserve">  Resolution G-3499 </w:t>
      </w:r>
      <w:r w:rsidR="00084928">
        <w:t xml:space="preserve">determined </w:t>
      </w:r>
      <w:r w:rsidR="00E95585">
        <w:t>that new PHMSA regulations and Senate Bill 879 required SoCalGas to undertake activities in addition to what SoCalGas had forecasted at the time it was preparing for its 2012 General Rate Case (A.10-12-005).</w:t>
      </w:r>
    </w:p>
    <w:p w:rsidR="00E6185A" w:rsidRPr="00FC34AF" w:rsidRDefault="00E6185A" w:rsidP="00E6185A"/>
    <w:p w:rsidR="00492410" w:rsidRPr="00B74279" w:rsidRDefault="00804C1D" w:rsidP="00223B4E">
      <w:r>
        <w:t>Also p</w:t>
      </w:r>
      <w:r w:rsidR="00364413">
        <w:t>ursuant to Resolution G-3499, SoCalGas</w:t>
      </w:r>
      <w:r w:rsidR="00522D9A">
        <w:t xml:space="preserve"> </w:t>
      </w:r>
      <w:r w:rsidR="00492410">
        <w:t xml:space="preserve">proposes to amortize the </w:t>
      </w:r>
      <w:r w:rsidR="004B5498">
        <w:br/>
      </w:r>
      <w:r w:rsidR="00492410">
        <w:t xml:space="preserve">TIMP </w:t>
      </w:r>
      <w:r w:rsidR="00364413">
        <w:t>B</w:t>
      </w:r>
      <w:r w:rsidR="00492410">
        <w:t xml:space="preserve">alancing </w:t>
      </w:r>
      <w:r w:rsidR="00364413">
        <w:t>A</w:t>
      </w:r>
      <w:r w:rsidR="00492410">
        <w:t xml:space="preserve">ccount amount in gas transportation rates </w:t>
      </w:r>
      <w:r w:rsidR="00364413">
        <w:t xml:space="preserve">on a functionalized allocation of transmission-related costs as developed in SoCalGas’ most recent Triennial Cost Allocation Proceeding (TCAP).  The revenue requirements and rate impacts are described in Attachment B of Advice Letter 4819. </w:t>
      </w:r>
      <w:r w:rsidR="00492410">
        <w:t xml:space="preserve"> </w:t>
      </w:r>
    </w:p>
    <w:p w:rsidR="002051C7" w:rsidRDefault="002051C7" w:rsidP="00581388">
      <w:pPr>
        <w:rPr>
          <w:b/>
        </w:rPr>
      </w:pPr>
    </w:p>
    <w:p w:rsidR="00CF17DE" w:rsidRDefault="00CF17DE">
      <w:pPr>
        <w:pStyle w:val="Heading1"/>
      </w:pPr>
      <w:r>
        <w:t xml:space="preserve">Notice </w:t>
      </w:r>
    </w:p>
    <w:p w:rsidR="00CF17DE" w:rsidRDefault="00CF17DE">
      <w:r>
        <w:t xml:space="preserve">Notice of AL </w:t>
      </w:r>
      <w:r w:rsidR="00364413">
        <w:t>4819</w:t>
      </w:r>
      <w:r>
        <w:t xml:space="preserve"> was made by publication in the Commission’s Daily Calendar.  </w:t>
      </w:r>
      <w:r w:rsidR="000A2968">
        <w:t>SoCalGas</w:t>
      </w:r>
      <w:r>
        <w:t xml:space="preserve"> states that a copy of the Advice Letter was mailed and distributed in accordance with Section </w:t>
      </w:r>
      <w:r w:rsidR="00D6551A">
        <w:t>3.14</w:t>
      </w:r>
      <w:r>
        <w:t xml:space="preserve"> of General Order 96-</w:t>
      </w:r>
      <w:r w:rsidR="00297BE7">
        <w:t>B</w:t>
      </w:r>
      <w:r>
        <w:t xml:space="preserve">. </w:t>
      </w:r>
    </w:p>
    <w:p w:rsidR="00CF17DE" w:rsidRDefault="00CF17DE"/>
    <w:p w:rsidR="00CF17DE" w:rsidRDefault="00CF17DE">
      <w:pPr>
        <w:pStyle w:val="Heading1"/>
      </w:pPr>
      <w:r>
        <w:t>Protests</w:t>
      </w:r>
    </w:p>
    <w:p w:rsidR="003947F6" w:rsidRDefault="00E1038A" w:rsidP="00E1038A">
      <w:r w:rsidRPr="00E1038A">
        <w:t xml:space="preserve">SoCalGas </w:t>
      </w:r>
      <w:r w:rsidR="00F3340D" w:rsidRPr="00E1038A">
        <w:t xml:space="preserve">Advice Letter </w:t>
      </w:r>
      <w:r w:rsidR="0041784A" w:rsidRPr="00E1038A">
        <w:t xml:space="preserve">(AL) </w:t>
      </w:r>
      <w:r w:rsidRPr="00E1038A">
        <w:t>4819 was not protested</w:t>
      </w:r>
      <w:r>
        <w:rPr>
          <w:b/>
        </w:rPr>
        <w:t xml:space="preserve">.  </w:t>
      </w:r>
      <w:r w:rsidR="00F3340D" w:rsidRPr="004B625D">
        <w:rPr>
          <w:b/>
        </w:rPr>
        <w:t xml:space="preserve"> </w:t>
      </w:r>
    </w:p>
    <w:p w:rsidR="00CF17DE" w:rsidRDefault="00CF17DE"/>
    <w:p w:rsidR="00CF17DE" w:rsidRDefault="00CF17DE">
      <w:pPr>
        <w:pStyle w:val="Heading1"/>
      </w:pPr>
      <w:r>
        <w:t>Discussion</w:t>
      </w:r>
    </w:p>
    <w:p w:rsidR="00BE060E" w:rsidRDefault="00B36246" w:rsidP="009B4BE5">
      <w:pPr>
        <w:rPr>
          <w:b/>
        </w:rPr>
      </w:pPr>
      <w:r>
        <w:rPr>
          <w:b/>
        </w:rPr>
        <w:t xml:space="preserve">The </w:t>
      </w:r>
      <w:r w:rsidR="009B4BE5" w:rsidRPr="009B4BE5">
        <w:rPr>
          <w:b/>
        </w:rPr>
        <w:t xml:space="preserve">Energy Division reviewed </w:t>
      </w:r>
      <w:r w:rsidR="00684023">
        <w:rPr>
          <w:b/>
        </w:rPr>
        <w:t>2014</w:t>
      </w:r>
      <w:r>
        <w:rPr>
          <w:b/>
        </w:rPr>
        <w:t xml:space="preserve"> costs recorded in the TIMP Balancing Account</w:t>
      </w:r>
      <w:r w:rsidR="003229EF">
        <w:rPr>
          <w:b/>
        </w:rPr>
        <w:t xml:space="preserve"> and also examined some invoices </w:t>
      </w:r>
      <w:r>
        <w:rPr>
          <w:b/>
        </w:rPr>
        <w:t xml:space="preserve">on a selective, sampling basis.  </w:t>
      </w:r>
      <w:r w:rsidR="00E9239B">
        <w:rPr>
          <w:b/>
        </w:rPr>
        <w:t xml:space="preserve">Energy Division conducted an invoice level review of </w:t>
      </w:r>
      <w:r w:rsidR="007D4035">
        <w:rPr>
          <w:b/>
        </w:rPr>
        <w:t>random</w:t>
      </w:r>
      <w:r w:rsidR="00E9239B">
        <w:rPr>
          <w:b/>
        </w:rPr>
        <w:t xml:space="preserve"> costs for verification using selective sampling.  </w:t>
      </w:r>
      <w:r w:rsidR="007D4035">
        <w:rPr>
          <w:b/>
        </w:rPr>
        <w:t xml:space="preserve">Based on the information </w:t>
      </w:r>
      <w:r w:rsidR="008F1E41">
        <w:rPr>
          <w:b/>
        </w:rPr>
        <w:t>provided</w:t>
      </w:r>
      <w:r w:rsidR="007D4035">
        <w:rPr>
          <w:b/>
        </w:rPr>
        <w:t xml:space="preserve"> and a</w:t>
      </w:r>
      <w:r>
        <w:rPr>
          <w:b/>
        </w:rPr>
        <w:t xml:space="preserve">side from </w:t>
      </w:r>
      <w:r w:rsidR="00E9239B">
        <w:rPr>
          <w:b/>
        </w:rPr>
        <w:t xml:space="preserve">a </w:t>
      </w:r>
      <w:r>
        <w:rPr>
          <w:b/>
        </w:rPr>
        <w:t xml:space="preserve">minor cost item, the Energy Division found that the costs </w:t>
      </w:r>
      <w:r w:rsidR="007955D9">
        <w:rPr>
          <w:b/>
        </w:rPr>
        <w:t>reviewed</w:t>
      </w:r>
      <w:r>
        <w:rPr>
          <w:b/>
        </w:rPr>
        <w:t xml:space="preserve"> </w:t>
      </w:r>
      <w:r w:rsidR="007D4035">
        <w:rPr>
          <w:b/>
        </w:rPr>
        <w:t>were</w:t>
      </w:r>
      <w:r>
        <w:rPr>
          <w:b/>
        </w:rPr>
        <w:t xml:space="preserve"> approp</w:t>
      </w:r>
      <w:r w:rsidR="00D1157B">
        <w:rPr>
          <w:b/>
        </w:rPr>
        <w:t>riately recorded and incurred</w:t>
      </w:r>
      <w:r w:rsidR="0081470B">
        <w:rPr>
          <w:b/>
        </w:rPr>
        <w:t>, and should be approved</w:t>
      </w:r>
      <w:r w:rsidR="00D1157B">
        <w:rPr>
          <w:b/>
        </w:rPr>
        <w:t xml:space="preserve">.  </w:t>
      </w:r>
    </w:p>
    <w:p w:rsidR="00212B24" w:rsidRPr="00212B24" w:rsidRDefault="008A7FEE" w:rsidP="00212B24">
      <w:pPr>
        <w:rPr>
          <w:szCs w:val="26"/>
        </w:rPr>
      </w:pPr>
      <w:r w:rsidRPr="00AE2F09">
        <w:rPr>
          <w:szCs w:val="26"/>
        </w:rPr>
        <w:t xml:space="preserve">In response to Energy Division staff data requests, </w:t>
      </w:r>
      <w:r w:rsidR="009D4AAD" w:rsidRPr="00AE2F09">
        <w:rPr>
          <w:szCs w:val="26"/>
        </w:rPr>
        <w:t>SoCalGas provided Energy Division with supporti</w:t>
      </w:r>
      <w:r>
        <w:rPr>
          <w:szCs w:val="26"/>
        </w:rPr>
        <w:t>ng</w:t>
      </w:r>
      <w:r w:rsidR="009D4AAD" w:rsidRPr="00AE2F09">
        <w:rPr>
          <w:szCs w:val="26"/>
        </w:rPr>
        <w:t xml:space="preserve"> information </w:t>
      </w:r>
      <w:r w:rsidR="00813F98" w:rsidRPr="00AE2F09">
        <w:rPr>
          <w:szCs w:val="26"/>
        </w:rPr>
        <w:t xml:space="preserve">extending to the invoice level </w:t>
      </w:r>
      <w:r w:rsidR="009D4AAD" w:rsidRPr="00AE2F09">
        <w:rPr>
          <w:szCs w:val="26"/>
        </w:rPr>
        <w:t xml:space="preserve">to </w:t>
      </w:r>
      <w:r w:rsidR="00A04F45" w:rsidRPr="00AE2F09">
        <w:rPr>
          <w:szCs w:val="26"/>
        </w:rPr>
        <w:t xml:space="preserve">demonstrate </w:t>
      </w:r>
      <w:r w:rsidR="009D4AAD" w:rsidRPr="00AE2F09">
        <w:rPr>
          <w:szCs w:val="26"/>
        </w:rPr>
        <w:t>that the</w:t>
      </w:r>
      <w:r w:rsidR="00A04F45" w:rsidRPr="00AE2F09">
        <w:rPr>
          <w:szCs w:val="26"/>
        </w:rPr>
        <w:t xml:space="preserve"> reviewed</w:t>
      </w:r>
      <w:r w:rsidR="009D4AAD" w:rsidRPr="00AE2F09">
        <w:rPr>
          <w:szCs w:val="26"/>
        </w:rPr>
        <w:t xml:space="preserve"> costs and expenditures were </w:t>
      </w:r>
      <w:r w:rsidR="00A04F45" w:rsidRPr="00AE2F09">
        <w:rPr>
          <w:szCs w:val="26"/>
        </w:rPr>
        <w:t>appropriately</w:t>
      </w:r>
      <w:r w:rsidR="009D4AAD" w:rsidRPr="00AE2F09">
        <w:rPr>
          <w:szCs w:val="26"/>
        </w:rPr>
        <w:t xml:space="preserve"> incurred </w:t>
      </w:r>
      <w:r w:rsidR="00A04F45" w:rsidRPr="00AE2F09">
        <w:rPr>
          <w:szCs w:val="26"/>
        </w:rPr>
        <w:t>TIMP-</w:t>
      </w:r>
      <w:r w:rsidR="004B4BD9" w:rsidRPr="00AE2F09">
        <w:rPr>
          <w:szCs w:val="26"/>
        </w:rPr>
        <w:t>related expenditures</w:t>
      </w:r>
      <w:r w:rsidR="009D4AAD" w:rsidRPr="00AE2F09">
        <w:rPr>
          <w:szCs w:val="26"/>
        </w:rPr>
        <w:t>.</w:t>
      </w:r>
      <w:r w:rsidR="00212B24" w:rsidRPr="00212B24">
        <w:rPr>
          <w:b/>
          <w:szCs w:val="26"/>
        </w:rPr>
        <w:t xml:space="preserve"> </w:t>
      </w:r>
      <w:r w:rsidR="00212B24" w:rsidRPr="00212B24">
        <w:rPr>
          <w:szCs w:val="26"/>
        </w:rPr>
        <w:t xml:space="preserve">SoCalGas also provided several examples where forecasted costs and expenditures associated with a specific project encountered additional assessments and remediation causing actual costs to be higher than initially forecasted.   </w:t>
      </w:r>
    </w:p>
    <w:p w:rsidR="003947F6" w:rsidRDefault="003947F6" w:rsidP="0040295F">
      <w:pPr>
        <w:rPr>
          <w:szCs w:val="26"/>
        </w:rPr>
      </w:pPr>
    </w:p>
    <w:p w:rsidR="00212B24" w:rsidRDefault="00212B24" w:rsidP="00212B24">
      <w:pPr>
        <w:rPr>
          <w:szCs w:val="26"/>
        </w:rPr>
      </w:pPr>
      <w:r>
        <w:rPr>
          <w:szCs w:val="26"/>
        </w:rPr>
        <w:t xml:space="preserve">Cost overruns were generally caused by additional work required during construction after the initial inspection and estimate was forecasted, such as additional permitting and environmental work required by other regulatory agencies, accidental equipment failures, additional pipeline anomalies and additional cleaning runs of pipelines.  </w:t>
      </w:r>
    </w:p>
    <w:p w:rsidR="00212B24" w:rsidRDefault="00212B24" w:rsidP="0040295F">
      <w:pPr>
        <w:rPr>
          <w:szCs w:val="26"/>
        </w:rPr>
      </w:pPr>
    </w:p>
    <w:p w:rsidR="009150E3" w:rsidRDefault="008A7FEE" w:rsidP="0040295F">
      <w:pPr>
        <w:rPr>
          <w:szCs w:val="26"/>
        </w:rPr>
      </w:pPr>
      <w:r w:rsidRPr="00B509C0">
        <w:rPr>
          <w:szCs w:val="26"/>
        </w:rPr>
        <w:t xml:space="preserve">For verification at the invoice level, </w:t>
      </w:r>
      <w:r w:rsidR="003A0688" w:rsidRPr="00B509C0">
        <w:rPr>
          <w:szCs w:val="26"/>
        </w:rPr>
        <w:t xml:space="preserve">Energy Division </w:t>
      </w:r>
      <w:r w:rsidR="004B4BD9" w:rsidRPr="00B509C0">
        <w:rPr>
          <w:szCs w:val="26"/>
        </w:rPr>
        <w:t>staff examined TIMP</w:t>
      </w:r>
      <w:r w:rsidR="003A0688" w:rsidRPr="00B509C0">
        <w:rPr>
          <w:szCs w:val="26"/>
        </w:rPr>
        <w:t xml:space="preserve"> O&amp;M </w:t>
      </w:r>
      <w:r w:rsidR="00A04F45" w:rsidRPr="00B509C0">
        <w:rPr>
          <w:szCs w:val="26"/>
        </w:rPr>
        <w:t>expenses</w:t>
      </w:r>
      <w:r w:rsidR="003A0688" w:rsidRPr="00B509C0">
        <w:rPr>
          <w:szCs w:val="26"/>
        </w:rPr>
        <w:t xml:space="preserve"> and capital expenditures </w:t>
      </w:r>
      <w:r w:rsidRPr="00B509C0">
        <w:rPr>
          <w:szCs w:val="26"/>
        </w:rPr>
        <w:t xml:space="preserve">selecting three sample </w:t>
      </w:r>
      <w:r w:rsidR="003A0688" w:rsidRPr="00B509C0">
        <w:rPr>
          <w:szCs w:val="26"/>
        </w:rPr>
        <w:t>m</w:t>
      </w:r>
      <w:r w:rsidR="00E9239B" w:rsidRPr="00B509C0">
        <w:rPr>
          <w:szCs w:val="26"/>
        </w:rPr>
        <w:t>onths</w:t>
      </w:r>
      <w:r w:rsidR="009150E3" w:rsidRPr="00B509C0">
        <w:rPr>
          <w:szCs w:val="26"/>
        </w:rPr>
        <w:t xml:space="preserve">:  </w:t>
      </w:r>
      <w:r w:rsidR="00E9239B" w:rsidRPr="00B509C0">
        <w:rPr>
          <w:szCs w:val="26"/>
        </w:rPr>
        <w:t>April 2014</w:t>
      </w:r>
      <w:r w:rsidR="009150E3" w:rsidRPr="00B509C0">
        <w:rPr>
          <w:szCs w:val="26"/>
        </w:rPr>
        <w:t xml:space="preserve">, </w:t>
      </w:r>
      <w:r w:rsidR="00E9239B" w:rsidRPr="00B509C0">
        <w:rPr>
          <w:szCs w:val="26"/>
        </w:rPr>
        <w:t>October 2014 and</w:t>
      </w:r>
      <w:r w:rsidR="009150E3" w:rsidRPr="00B509C0">
        <w:rPr>
          <w:szCs w:val="26"/>
        </w:rPr>
        <w:t xml:space="preserve"> December 201</w:t>
      </w:r>
      <w:r w:rsidR="00E9239B" w:rsidRPr="00B509C0">
        <w:rPr>
          <w:szCs w:val="26"/>
        </w:rPr>
        <w:t>4</w:t>
      </w:r>
      <w:r w:rsidR="009150E3" w:rsidRPr="00B509C0">
        <w:rPr>
          <w:szCs w:val="26"/>
        </w:rPr>
        <w:t xml:space="preserve">. </w:t>
      </w:r>
      <w:r w:rsidR="003A0688" w:rsidRPr="00B509C0">
        <w:rPr>
          <w:szCs w:val="26"/>
        </w:rPr>
        <w:t xml:space="preserve"> </w:t>
      </w:r>
      <w:r w:rsidR="00E9239B" w:rsidRPr="00B509C0">
        <w:rPr>
          <w:szCs w:val="26"/>
        </w:rPr>
        <w:t xml:space="preserve">In addition, staff examined O&amp;M and capital expenditures for </w:t>
      </w:r>
      <w:r w:rsidR="00CF5668" w:rsidRPr="00B509C0">
        <w:rPr>
          <w:szCs w:val="26"/>
        </w:rPr>
        <w:t>two</w:t>
      </w:r>
      <w:r w:rsidR="00E9239B" w:rsidRPr="00B509C0">
        <w:rPr>
          <w:szCs w:val="26"/>
        </w:rPr>
        <w:t xml:space="preserve"> specific projects where SoCalGas </w:t>
      </w:r>
      <w:r w:rsidR="00605E14" w:rsidRPr="00B509C0">
        <w:rPr>
          <w:szCs w:val="26"/>
        </w:rPr>
        <w:t>stated that the actual TIMP costs exceeded the initial forecast.</w:t>
      </w:r>
      <w:r w:rsidR="00605E14">
        <w:rPr>
          <w:szCs w:val="26"/>
        </w:rPr>
        <w:t xml:space="preserve">  </w:t>
      </w:r>
    </w:p>
    <w:p w:rsidR="00E9239B" w:rsidRDefault="00E9239B" w:rsidP="0040295F">
      <w:pPr>
        <w:rPr>
          <w:szCs w:val="26"/>
        </w:rPr>
      </w:pPr>
    </w:p>
    <w:p w:rsidR="00091768" w:rsidRDefault="00C265E5" w:rsidP="0040295F">
      <w:pPr>
        <w:rPr>
          <w:szCs w:val="26"/>
        </w:rPr>
      </w:pPr>
      <w:r>
        <w:rPr>
          <w:szCs w:val="26"/>
        </w:rPr>
        <w:t>Of the several hundred entries in the utility ledger</w:t>
      </w:r>
      <w:r w:rsidR="005B5209">
        <w:rPr>
          <w:szCs w:val="26"/>
        </w:rPr>
        <w:t xml:space="preserve"> recorded during those months</w:t>
      </w:r>
      <w:r w:rsidR="00CF5668">
        <w:rPr>
          <w:szCs w:val="26"/>
        </w:rPr>
        <w:t xml:space="preserve"> and for the two projects</w:t>
      </w:r>
      <w:r>
        <w:rPr>
          <w:szCs w:val="26"/>
        </w:rPr>
        <w:t>, s</w:t>
      </w:r>
      <w:r w:rsidR="003A0688">
        <w:rPr>
          <w:szCs w:val="26"/>
        </w:rPr>
        <w:t xml:space="preserve">taff </w:t>
      </w:r>
      <w:r w:rsidR="009150E3">
        <w:rPr>
          <w:szCs w:val="26"/>
        </w:rPr>
        <w:t xml:space="preserve">selectively </w:t>
      </w:r>
      <w:r w:rsidR="00B5528E">
        <w:rPr>
          <w:szCs w:val="26"/>
        </w:rPr>
        <w:t xml:space="preserve">identified </w:t>
      </w:r>
      <w:r w:rsidR="00A21836">
        <w:rPr>
          <w:szCs w:val="26"/>
        </w:rPr>
        <w:t>a number of</w:t>
      </w:r>
      <w:r w:rsidR="00B5528E">
        <w:rPr>
          <w:szCs w:val="26"/>
        </w:rPr>
        <w:t xml:space="preserve"> </w:t>
      </w:r>
      <w:r w:rsidR="00A21836">
        <w:rPr>
          <w:szCs w:val="26"/>
        </w:rPr>
        <w:t>line items</w:t>
      </w:r>
      <w:r w:rsidR="003A0688">
        <w:rPr>
          <w:szCs w:val="26"/>
        </w:rPr>
        <w:t xml:space="preserve"> </w:t>
      </w:r>
      <w:r w:rsidR="00B5528E">
        <w:rPr>
          <w:szCs w:val="26"/>
        </w:rPr>
        <w:t xml:space="preserve">based on anomalies in the description or the amount logged.  </w:t>
      </w:r>
      <w:r w:rsidR="00F77614">
        <w:rPr>
          <w:szCs w:val="26"/>
        </w:rPr>
        <w:t xml:space="preserve">Each ledger item in turn contained several cost elements.  Of these cost elements, staff again selectively identified a number of cost elements to request invoices from the utility.  SoCalGas provided over fifty invoices associated with the cost elements.  Staff review included both O&amp;M expenses and capital expenditures.  </w:t>
      </w:r>
      <w:r w:rsidR="003A0688">
        <w:rPr>
          <w:szCs w:val="26"/>
        </w:rPr>
        <w:t xml:space="preserve">  </w:t>
      </w:r>
    </w:p>
    <w:p w:rsidR="00091768" w:rsidRDefault="00091768" w:rsidP="0040295F">
      <w:pPr>
        <w:rPr>
          <w:szCs w:val="26"/>
        </w:rPr>
      </w:pPr>
    </w:p>
    <w:p w:rsidR="00E6757B" w:rsidRDefault="007D4035" w:rsidP="0040295F">
      <w:pPr>
        <w:rPr>
          <w:szCs w:val="26"/>
        </w:rPr>
      </w:pPr>
      <w:r>
        <w:rPr>
          <w:szCs w:val="26"/>
        </w:rPr>
        <w:t xml:space="preserve">Based on the information provided by SoCalGas, </w:t>
      </w:r>
      <w:r w:rsidR="0098406C">
        <w:rPr>
          <w:szCs w:val="26"/>
        </w:rPr>
        <w:t xml:space="preserve">Energy Division staff found that the </w:t>
      </w:r>
      <w:r w:rsidR="0043339E">
        <w:rPr>
          <w:szCs w:val="26"/>
        </w:rPr>
        <w:t xml:space="preserve">majority of </w:t>
      </w:r>
      <w:r w:rsidR="0098406C">
        <w:rPr>
          <w:szCs w:val="26"/>
        </w:rPr>
        <w:t xml:space="preserve">expenses and </w:t>
      </w:r>
      <w:r w:rsidR="008F1E41">
        <w:rPr>
          <w:szCs w:val="26"/>
        </w:rPr>
        <w:t>expenditures examined</w:t>
      </w:r>
      <w:r w:rsidR="0098406C">
        <w:rPr>
          <w:szCs w:val="26"/>
        </w:rPr>
        <w:t xml:space="preserve"> </w:t>
      </w:r>
      <w:r>
        <w:rPr>
          <w:szCs w:val="26"/>
        </w:rPr>
        <w:t>were</w:t>
      </w:r>
      <w:r w:rsidR="0098406C">
        <w:rPr>
          <w:szCs w:val="26"/>
        </w:rPr>
        <w:t xml:space="preserve"> appropriately recorded to the TIMP Balancing Account </w:t>
      </w:r>
      <w:r w:rsidR="004F72F5">
        <w:rPr>
          <w:szCs w:val="26"/>
        </w:rPr>
        <w:t>and reasonably</w:t>
      </w:r>
      <w:r w:rsidR="0098406C">
        <w:rPr>
          <w:szCs w:val="26"/>
        </w:rPr>
        <w:t xml:space="preserve"> incurred.  </w:t>
      </w:r>
    </w:p>
    <w:p w:rsidR="00E6757B" w:rsidRDefault="00E6757B" w:rsidP="0040295F">
      <w:pPr>
        <w:rPr>
          <w:szCs w:val="26"/>
        </w:rPr>
      </w:pPr>
    </w:p>
    <w:p w:rsidR="006E773A" w:rsidRDefault="00CF5668" w:rsidP="0040295F">
      <w:pPr>
        <w:rPr>
          <w:szCs w:val="26"/>
        </w:rPr>
      </w:pPr>
      <w:r>
        <w:rPr>
          <w:szCs w:val="26"/>
        </w:rPr>
        <w:t>However</w:t>
      </w:r>
      <w:r w:rsidR="001025D0">
        <w:rPr>
          <w:szCs w:val="26"/>
        </w:rPr>
        <w:t xml:space="preserve">, SoCalGas included an entry for an Employee Benefits/Recognition event in the TIMP Balancing Account.  Though the specific amount of the invoice was minimal, this expense is more appropriately allocated to </w:t>
      </w:r>
      <w:r w:rsidR="006E773A">
        <w:rPr>
          <w:szCs w:val="26"/>
        </w:rPr>
        <w:t xml:space="preserve">SoCalGas’ Administrative and General Accounts such as Compensation.  In SoCalGas’ </w:t>
      </w:r>
      <w:r w:rsidR="004B5498">
        <w:rPr>
          <w:szCs w:val="26"/>
        </w:rPr>
        <w:br/>
      </w:r>
      <w:r w:rsidR="006E773A">
        <w:rPr>
          <w:szCs w:val="26"/>
        </w:rPr>
        <w:t>2012 GRC</w:t>
      </w:r>
      <w:r w:rsidR="00500316">
        <w:rPr>
          <w:szCs w:val="26"/>
        </w:rPr>
        <w:t xml:space="preserve"> A.10-12-006</w:t>
      </w:r>
      <w:r w:rsidR="006E773A">
        <w:rPr>
          <w:szCs w:val="26"/>
        </w:rPr>
        <w:t xml:space="preserve">, the Compensation testimony included an Employee Recognition program.  </w:t>
      </w:r>
    </w:p>
    <w:p w:rsidR="007955D9" w:rsidRDefault="007955D9" w:rsidP="0040295F">
      <w:pPr>
        <w:rPr>
          <w:szCs w:val="26"/>
        </w:rPr>
      </w:pPr>
    </w:p>
    <w:p w:rsidR="007955D9" w:rsidRPr="006E773A" w:rsidRDefault="006E773A" w:rsidP="0040295F">
      <w:pPr>
        <w:rPr>
          <w:b/>
          <w:szCs w:val="26"/>
        </w:rPr>
      </w:pPr>
      <w:r w:rsidRPr="006E773A">
        <w:rPr>
          <w:b/>
          <w:szCs w:val="26"/>
        </w:rPr>
        <w:t xml:space="preserve">Therefore, SoCalGas should remove all costs for Employee Benefits/Recognition from the TIMP Balancing account.  SoCalGas shall submit a supplement advice letter to AL 4819 to set forth the revised TIMP Balancing Account </w:t>
      </w:r>
      <w:r w:rsidR="006332B6" w:rsidRPr="006E773A">
        <w:rPr>
          <w:b/>
          <w:szCs w:val="26"/>
        </w:rPr>
        <w:t>balance without</w:t>
      </w:r>
      <w:r w:rsidRPr="006E773A">
        <w:rPr>
          <w:b/>
          <w:szCs w:val="26"/>
        </w:rPr>
        <w:t xml:space="preserve"> these costs.  </w:t>
      </w:r>
    </w:p>
    <w:p w:rsidR="007955D9" w:rsidRDefault="007955D9" w:rsidP="0040295F">
      <w:pPr>
        <w:rPr>
          <w:szCs w:val="26"/>
        </w:rPr>
      </w:pPr>
    </w:p>
    <w:p w:rsidR="00C8100F" w:rsidRDefault="00C8100F" w:rsidP="0040295F">
      <w:pPr>
        <w:rPr>
          <w:szCs w:val="26"/>
        </w:rPr>
      </w:pPr>
      <w:r>
        <w:rPr>
          <w:szCs w:val="26"/>
        </w:rPr>
        <w:t>SoCalGas proposes to amortize the under-collection beginning August 1, 2016 upon completion of the amortization of the 2013 under collected balance on a functionalized allocation of transmission-related costs.</w:t>
      </w:r>
      <w:r w:rsidR="0093199E">
        <w:rPr>
          <w:rStyle w:val="FootnoteReference"/>
          <w:szCs w:val="26"/>
        </w:rPr>
        <w:footnoteReference w:id="6"/>
      </w:r>
      <w:r>
        <w:rPr>
          <w:szCs w:val="26"/>
        </w:rPr>
        <w:t xml:space="preserve">  </w:t>
      </w:r>
    </w:p>
    <w:p w:rsidR="00C8100F" w:rsidRDefault="00C8100F" w:rsidP="0040295F">
      <w:pPr>
        <w:rPr>
          <w:szCs w:val="26"/>
        </w:rPr>
      </w:pPr>
    </w:p>
    <w:p w:rsidR="00441180" w:rsidRPr="00C8100F" w:rsidRDefault="00441180" w:rsidP="0040295F">
      <w:pPr>
        <w:rPr>
          <w:b/>
          <w:szCs w:val="26"/>
        </w:rPr>
      </w:pPr>
      <w:r w:rsidRPr="00C8100F">
        <w:rPr>
          <w:b/>
          <w:szCs w:val="26"/>
        </w:rPr>
        <w:t xml:space="preserve">The functionalized allocation of the TIMP </w:t>
      </w:r>
      <w:r w:rsidR="00B509C0">
        <w:rPr>
          <w:b/>
          <w:szCs w:val="26"/>
        </w:rPr>
        <w:t>balance</w:t>
      </w:r>
      <w:r w:rsidRPr="00C8100F">
        <w:rPr>
          <w:b/>
          <w:szCs w:val="26"/>
        </w:rPr>
        <w:t xml:space="preserve"> is consistent with </w:t>
      </w:r>
      <w:r w:rsidR="004B5498">
        <w:rPr>
          <w:b/>
          <w:szCs w:val="26"/>
        </w:rPr>
        <w:br/>
      </w:r>
      <w:r w:rsidRPr="00C8100F">
        <w:rPr>
          <w:b/>
          <w:szCs w:val="26"/>
        </w:rPr>
        <w:t xml:space="preserve">D.14-06-007 and D.12-12-030.   </w:t>
      </w:r>
    </w:p>
    <w:p w:rsidR="00441180" w:rsidRPr="00144E8F" w:rsidRDefault="00441180" w:rsidP="0040295F">
      <w:pPr>
        <w:rPr>
          <w:szCs w:val="26"/>
        </w:rPr>
      </w:pPr>
    </w:p>
    <w:p w:rsidR="00CF17DE" w:rsidRDefault="00CF17DE">
      <w:pPr>
        <w:pStyle w:val="Heading1"/>
      </w:pPr>
      <w:r>
        <w:t>Comments</w:t>
      </w:r>
    </w:p>
    <w:p w:rsidR="00B27306" w:rsidRPr="00861F47" w:rsidRDefault="00B27306" w:rsidP="00B27306">
      <w:r w:rsidRPr="00861F47">
        <w:t xml:space="preserve">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all parties in the proceeding.  </w:t>
      </w:r>
    </w:p>
    <w:p w:rsidR="00B27306" w:rsidRPr="00861F47" w:rsidRDefault="00B27306" w:rsidP="00B27306"/>
    <w:p w:rsidR="00B27306" w:rsidRDefault="00B27306" w:rsidP="00B27306">
      <w:r w:rsidRPr="00861F47">
        <w:t>The 30-day comment period for the draft of this resolution was neither waived nor reduced.  Accordingly, this draft resolution was mailed to parties for comments</w:t>
      </w:r>
      <w:r>
        <w:t>.</w:t>
      </w:r>
    </w:p>
    <w:p w:rsidR="00B27306" w:rsidRDefault="00B27306" w:rsidP="00B27306"/>
    <w:p w:rsidR="00CF17DE" w:rsidRDefault="00CF17DE">
      <w:pPr>
        <w:pStyle w:val="Heading1"/>
      </w:pPr>
      <w:r>
        <w:t>Findings</w:t>
      </w:r>
    </w:p>
    <w:p w:rsidR="00B4453F" w:rsidRDefault="00323963" w:rsidP="00F03C25">
      <w:pPr>
        <w:numPr>
          <w:ilvl w:val="0"/>
          <w:numId w:val="4"/>
        </w:numPr>
        <w:spacing w:after="120"/>
      </w:pPr>
      <w:r>
        <w:t xml:space="preserve">SoCalGas </w:t>
      </w:r>
      <w:r w:rsidR="00D73A2C">
        <w:t xml:space="preserve">filed AL </w:t>
      </w:r>
      <w:r w:rsidR="00084928">
        <w:t>4819</w:t>
      </w:r>
      <w:r w:rsidR="00D73A2C">
        <w:t xml:space="preserve"> on </w:t>
      </w:r>
      <w:r w:rsidR="00084928">
        <w:t>June 19, 2015</w:t>
      </w:r>
      <w:r w:rsidR="00D73A2C">
        <w:t xml:space="preserve"> to request recovery of </w:t>
      </w:r>
      <w:r w:rsidR="004F72F5">
        <w:t>the TIMP</w:t>
      </w:r>
      <w:r w:rsidR="00D73A2C">
        <w:t xml:space="preserve"> Balancing Account </w:t>
      </w:r>
      <w:r w:rsidR="00EA18C7">
        <w:t xml:space="preserve">balance of </w:t>
      </w:r>
      <w:r w:rsidR="00084928">
        <w:t xml:space="preserve">approximately $19 </w:t>
      </w:r>
      <w:r w:rsidR="00EA18C7">
        <w:t xml:space="preserve">million </w:t>
      </w:r>
      <w:r w:rsidR="00D73A2C">
        <w:t>f</w:t>
      </w:r>
      <w:r w:rsidR="008F1E41">
        <w:t>rom</w:t>
      </w:r>
      <w:r w:rsidR="00D73A2C">
        <w:t xml:space="preserve"> </w:t>
      </w:r>
      <w:r w:rsidR="00084928">
        <w:t xml:space="preserve">the </w:t>
      </w:r>
      <w:r w:rsidR="00D73A2C">
        <w:t>year</w:t>
      </w:r>
      <w:r w:rsidR="00084928">
        <w:t xml:space="preserve"> 2014</w:t>
      </w:r>
      <w:r w:rsidR="00D73A2C">
        <w:t xml:space="preserve">. </w:t>
      </w:r>
      <w:r>
        <w:t xml:space="preserve">  </w:t>
      </w:r>
    </w:p>
    <w:p w:rsidR="00044547" w:rsidRDefault="00D73A2C" w:rsidP="00F03C25">
      <w:pPr>
        <w:numPr>
          <w:ilvl w:val="0"/>
          <w:numId w:val="4"/>
        </w:numPr>
        <w:spacing w:after="120"/>
      </w:pPr>
      <w:r>
        <w:t xml:space="preserve">The costs included in the TIMP Balancing Account are </w:t>
      </w:r>
      <w:r w:rsidR="00EA18C7">
        <w:t xml:space="preserve">incurred </w:t>
      </w:r>
      <w:r>
        <w:t>in response to the mandated federal pipeline safety regulations including, but not lim</w:t>
      </w:r>
      <w:r w:rsidR="00F0383D">
        <w:t>ited</w:t>
      </w:r>
      <w:r>
        <w:t xml:space="preserve"> to requirements associated with Subpart O, Gas Transmission Pipeline Integrity Management</w:t>
      </w:r>
      <w:r w:rsidR="00044547">
        <w:t>.</w:t>
      </w:r>
    </w:p>
    <w:p w:rsidR="00D73A2C" w:rsidRDefault="00D73A2C" w:rsidP="00F03C25">
      <w:pPr>
        <w:numPr>
          <w:ilvl w:val="0"/>
          <w:numId w:val="4"/>
        </w:numPr>
        <w:spacing w:after="120"/>
      </w:pPr>
      <w:r>
        <w:t xml:space="preserve">The TIMP Balancing Account was authorized by Commission </w:t>
      </w:r>
      <w:r w:rsidR="00F03C25">
        <w:br/>
      </w:r>
      <w:r>
        <w:t xml:space="preserve">Decision 13-05-010. </w:t>
      </w:r>
    </w:p>
    <w:p w:rsidR="00323963" w:rsidRDefault="00D73A2C" w:rsidP="00F03C25">
      <w:pPr>
        <w:numPr>
          <w:ilvl w:val="0"/>
          <w:numId w:val="4"/>
        </w:numPr>
        <w:spacing w:after="120"/>
      </w:pPr>
      <w:r>
        <w:t xml:space="preserve">Ordering Paragraph 19 of D.13-05-010 authorized SoCalGas to establish a two-way balancing account to recover the </w:t>
      </w:r>
      <w:r w:rsidR="00EA18C7">
        <w:t xml:space="preserve">TIMP </w:t>
      </w:r>
      <w:r>
        <w:t xml:space="preserve">O&amp;M costs and capital expenditures of complying with </w:t>
      </w:r>
      <w:r w:rsidR="00EA18C7">
        <w:t>Subpart O</w:t>
      </w:r>
      <w:r w:rsidR="00F03C25">
        <w:t xml:space="preserve">. </w:t>
      </w:r>
    </w:p>
    <w:p w:rsidR="00F97CC2" w:rsidRDefault="000E5947" w:rsidP="00F03C25">
      <w:pPr>
        <w:numPr>
          <w:ilvl w:val="0"/>
          <w:numId w:val="4"/>
        </w:numPr>
        <w:spacing w:after="120"/>
      </w:pPr>
      <w:r>
        <w:t xml:space="preserve">D.13-05-010 states that any costs in excess of the authorized TIMP O&amp;M costs and capital expenditures will be subject to recovery through a Tier 3 </w:t>
      </w:r>
      <w:r w:rsidR="00F03C25">
        <w:br/>
      </w:r>
      <w:r>
        <w:t xml:space="preserve">Advice Letter process.  </w:t>
      </w:r>
    </w:p>
    <w:p w:rsidR="00576D19" w:rsidRDefault="00576D19" w:rsidP="00F03C25">
      <w:pPr>
        <w:numPr>
          <w:ilvl w:val="0"/>
          <w:numId w:val="4"/>
        </w:numPr>
        <w:spacing w:after="120"/>
      </w:pPr>
      <w:r>
        <w:t>SoCalGas</w:t>
      </w:r>
      <w:r w:rsidR="009451E9">
        <w:t>’</w:t>
      </w:r>
      <w:r>
        <w:t xml:space="preserve"> 2012 </w:t>
      </w:r>
      <w:r w:rsidR="00EA18C7">
        <w:t>GRC A</w:t>
      </w:r>
      <w:r>
        <w:t xml:space="preserve">pplication </w:t>
      </w:r>
      <w:r w:rsidR="00EA18C7">
        <w:t xml:space="preserve">10-12-005 </w:t>
      </w:r>
      <w:r>
        <w:t xml:space="preserve">was prepared prior to </w:t>
      </w:r>
      <w:r w:rsidR="00EA18C7">
        <w:t xml:space="preserve">certain </w:t>
      </w:r>
      <w:r>
        <w:t>changes in reporting requirements by PHMSA</w:t>
      </w:r>
      <w:r w:rsidR="00FE4B68">
        <w:t>.</w:t>
      </w:r>
    </w:p>
    <w:p w:rsidR="00FE4B68" w:rsidRDefault="00576D19" w:rsidP="00F03C25">
      <w:pPr>
        <w:numPr>
          <w:ilvl w:val="0"/>
          <w:numId w:val="4"/>
        </w:numPr>
        <w:spacing w:after="120"/>
      </w:pPr>
      <w:r>
        <w:t xml:space="preserve">Changes in pipeline safety regulation increased SoCalGas’ actual </w:t>
      </w:r>
      <w:r w:rsidR="00EA18C7">
        <w:t xml:space="preserve">TIMP </w:t>
      </w:r>
      <w:r>
        <w:t>costs and expenditures</w:t>
      </w:r>
      <w:r w:rsidR="00EA18C7">
        <w:t xml:space="preserve">, and were </w:t>
      </w:r>
      <w:r w:rsidR="009451E9">
        <w:t>among</w:t>
      </w:r>
      <w:r w:rsidR="00EA18C7">
        <w:t xml:space="preserve"> the reasons why TIMP costs were </w:t>
      </w:r>
      <w:r>
        <w:t>higher than initially forecasted.</w:t>
      </w:r>
      <w:r w:rsidR="007F2EB8">
        <w:t xml:space="preserve"> </w:t>
      </w:r>
    </w:p>
    <w:p w:rsidR="00F97CC2" w:rsidRDefault="00F0383D" w:rsidP="00F03C25">
      <w:pPr>
        <w:numPr>
          <w:ilvl w:val="0"/>
          <w:numId w:val="4"/>
        </w:numPr>
        <w:spacing w:after="120"/>
      </w:pPr>
      <w:r>
        <w:t xml:space="preserve">Energy Division </w:t>
      </w:r>
      <w:r w:rsidR="00EA18C7">
        <w:t>conducted a</w:t>
      </w:r>
      <w:r w:rsidR="00BE060E">
        <w:t xml:space="preserve">n invoice level review </w:t>
      </w:r>
      <w:r w:rsidR="00EA18C7">
        <w:t xml:space="preserve">based on a </w:t>
      </w:r>
      <w:r w:rsidR="00A91864">
        <w:t>sampling of</w:t>
      </w:r>
      <w:r>
        <w:t xml:space="preserve"> the TIMP O&amp;M costs and capital expenditures included in the TIMP Balancing Account requested in AL </w:t>
      </w:r>
      <w:r w:rsidR="00084928">
        <w:t>4819</w:t>
      </w:r>
      <w:r>
        <w:t xml:space="preserve">. </w:t>
      </w:r>
      <w:r w:rsidR="00F97CC2">
        <w:t xml:space="preserve">  </w:t>
      </w:r>
    </w:p>
    <w:p w:rsidR="00CE0F76" w:rsidRDefault="00CE0F76" w:rsidP="00F03C25">
      <w:pPr>
        <w:numPr>
          <w:ilvl w:val="0"/>
          <w:numId w:val="4"/>
        </w:numPr>
        <w:spacing w:after="120"/>
      </w:pPr>
      <w:r>
        <w:t xml:space="preserve">Costs for Employee Benefits/Recognition should not be recorded </w:t>
      </w:r>
      <w:r w:rsidR="00E705BE">
        <w:t xml:space="preserve">or recovered </w:t>
      </w:r>
      <w:r>
        <w:t>in the TIMP Balancing Account.</w:t>
      </w:r>
    </w:p>
    <w:p w:rsidR="00EA18C7" w:rsidRDefault="00CE0F76" w:rsidP="00F03C25">
      <w:pPr>
        <w:numPr>
          <w:ilvl w:val="0"/>
          <w:numId w:val="4"/>
        </w:numPr>
        <w:spacing w:after="120"/>
      </w:pPr>
      <w:r>
        <w:t xml:space="preserve">Minus any entries for Employee Benefits/Recognition, </w:t>
      </w:r>
      <w:r w:rsidR="00A50148">
        <w:t>SoCalGas</w:t>
      </w:r>
      <w:r w:rsidR="00EA18C7">
        <w:t xml:space="preserve"> should be allowed to recover the </w:t>
      </w:r>
      <w:r w:rsidR="00084928">
        <w:t xml:space="preserve">2014 </w:t>
      </w:r>
      <w:r w:rsidR="00A50148">
        <w:t>TIMP Ba</w:t>
      </w:r>
      <w:r w:rsidR="00084928">
        <w:t>lancing Account under-</w:t>
      </w:r>
      <w:r>
        <w:t>collection</w:t>
      </w:r>
      <w:r w:rsidR="00DD1CDE">
        <w:t xml:space="preserve">. </w:t>
      </w:r>
    </w:p>
    <w:p w:rsidR="00441180" w:rsidRDefault="00441180" w:rsidP="00F03C25">
      <w:pPr>
        <w:numPr>
          <w:ilvl w:val="0"/>
          <w:numId w:val="4"/>
        </w:numPr>
        <w:spacing w:after="120"/>
      </w:pPr>
      <w:r>
        <w:t xml:space="preserve">SoCalGas should use a functionalized method to allocate the TIMP Balancing Account </w:t>
      </w:r>
      <w:r w:rsidR="007D4035">
        <w:t>2014 balance</w:t>
      </w:r>
      <w:r>
        <w:t xml:space="preserve">. </w:t>
      </w:r>
    </w:p>
    <w:p w:rsidR="009746BE" w:rsidRDefault="009746BE" w:rsidP="00FC34AF">
      <w:pPr>
        <w:ind w:left="420"/>
      </w:pPr>
    </w:p>
    <w:p w:rsidR="00CF17DE" w:rsidRDefault="00CF17DE" w:rsidP="00F03C25">
      <w:pPr>
        <w:pStyle w:val="Heading1"/>
        <w:spacing w:after="120"/>
      </w:pPr>
      <w:r>
        <w:t>Therefore it is ordered that:</w:t>
      </w:r>
    </w:p>
    <w:p w:rsidR="00CF17DE" w:rsidRDefault="00CF17DE">
      <w:pPr>
        <w:rPr>
          <w:b/>
        </w:rPr>
      </w:pPr>
    </w:p>
    <w:p w:rsidR="00CF17DE" w:rsidRDefault="00957700" w:rsidP="00F03C25">
      <w:pPr>
        <w:numPr>
          <w:ilvl w:val="0"/>
          <w:numId w:val="5"/>
        </w:numPr>
        <w:spacing w:after="120"/>
        <w:rPr>
          <w:snapToGrid w:val="0"/>
        </w:rPr>
      </w:pPr>
      <w:r>
        <w:rPr>
          <w:snapToGrid w:val="0"/>
        </w:rPr>
        <w:t>So</w:t>
      </w:r>
      <w:r w:rsidR="00DF4BA9">
        <w:rPr>
          <w:snapToGrid w:val="0"/>
        </w:rPr>
        <w:t xml:space="preserve">uthern California Gas Company </w:t>
      </w:r>
      <w:r w:rsidR="00800E7C">
        <w:rPr>
          <w:snapToGrid w:val="0"/>
        </w:rPr>
        <w:t xml:space="preserve">request </w:t>
      </w:r>
      <w:r w:rsidR="003405C8">
        <w:rPr>
          <w:snapToGrid w:val="0"/>
        </w:rPr>
        <w:t>to recover its Transmission Integrity Management Program</w:t>
      </w:r>
      <w:r w:rsidR="00AB24F5">
        <w:rPr>
          <w:snapToGrid w:val="0"/>
        </w:rPr>
        <w:t xml:space="preserve"> Balancing Account Balance </w:t>
      </w:r>
      <w:r w:rsidR="000F6067">
        <w:rPr>
          <w:snapToGrid w:val="0"/>
        </w:rPr>
        <w:t>f</w:t>
      </w:r>
      <w:r w:rsidR="00AB24F5">
        <w:rPr>
          <w:snapToGrid w:val="0"/>
        </w:rPr>
        <w:t>or Year 201</w:t>
      </w:r>
      <w:r w:rsidR="000F6067">
        <w:rPr>
          <w:snapToGrid w:val="0"/>
        </w:rPr>
        <w:t>4</w:t>
      </w:r>
      <w:r w:rsidR="00AB24F5">
        <w:rPr>
          <w:snapToGrid w:val="0"/>
        </w:rPr>
        <w:t xml:space="preserve"> </w:t>
      </w:r>
      <w:r w:rsidR="00800E7C">
        <w:rPr>
          <w:snapToGrid w:val="0"/>
        </w:rPr>
        <w:t>is approved</w:t>
      </w:r>
      <w:r w:rsidR="00EA18C7">
        <w:rPr>
          <w:snapToGrid w:val="0"/>
        </w:rPr>
        <w:t xml:space="preserve">, </w:t>
      </w:r>
      <w:r w:rsidR="000F6067">
        <w:rPr>
          <w:snapToGrid w:val="0"/>
        </w:rPr>
        <w:t>subject to the removal of any Employee Benefits/Recognition costs.</w:t>
      </w:r>
    </w:p>
    <w:p w:rsidR="00EA18C7" w:rsidRDefault="00EA18C7" w:rsidP="00F03C25">
      <w:pPr>
        <w:numPr>
          <w:ilvl w:val="0"/>
          <w:numId w:val="5"/>
        </w:numPr>
        <w:spacing w:after="120"/>
        <w:rPr>
          <w:snapToGrid w:val="0"/>
        </w:rPr>
      </w:pPr>
      <w:r>
        <w:rPr>
          <w:snapToGrid w:val="0"/>
        </w:rPr>
        <w:t xml:space="preserve">Southern California Gas Company is authorized to recover from </w:t>
      </w:r>
      <w:r w:rsidR="004F72F5">
        <w:rPr>
          <w:snapToGrid w:val="0"/>
        </w:rPr>
        <w:t>ratepayers approximately</w:t>
      </w:r>
      <w:r w:rsidR="000F6067">
        <w:rPr>
          <w:snapToGrid w:val="0"/>
        </w:rPr>
        <w:t xml:space="preserve"> $19 million</w:t>
      </w:r>
      <w:r w:rsidR="009746BE">
        <w:rPr>
          <w:snapToGrid w:val="0"/>
        </w:rPr>
        <w:t xml:space="preserve"> over the twelve month period beginning </w:t>
      </w:r>
      <w:r w:rsidR="004B5498">
        <w:rPr>
          <w:snapToGrid w:val="0"/>
        </w:rPr>
        <w:br/>
      </w:r>
      <w:r w:rsidR="000F6067">
        <w:rPr>
          <w:snapToGrid w:val="0"/>
        </w:rPr>
        <w:t>August 1, 2016 following</w:t>
      </w:r>
      <w:r w:rsidR="009746BE">
        <w:rPr>
          <w:snapToGrid w:val="0"/>
        </w:rPr>
        <w:t xml:space="preserve"> the approval of </w:t>
      </w:r>
      <w:r w:rsidR="000D1B8A">
        <w:rPr>
          <w:snapToGrid w:val="0"/>
        </w:rPr>
        <w:t xml:space="preserve">the supplemental advice letter required by </w:t>
      </w:r>
      <w:r w:rsidR="009746BE">
        <w:rPr>
          <w:snapToGrid w:val="0"/>
        </w:rPr>
        <w:t>this resolution</w:t>
      </w:r>
      <w:r w:rsidR="000D1B8A">
        <w:rPr>
          <w:snapToGrid w:val="0"/>
        </w:rPr>
        <w:t xml:space="preserve"> in Ordering Paragraph 3</w:t>
      </w:r>
      <w:r>
        <w:rPr>
          <w:snapToGrid w:val="0"/>
        </w:rPr>
        <w:t>.</w:t>
      </w:r>
    </w:p>
    <w:p w:rsidR="00513047" w:rsidRDefault="00513047" w:rsidP="00F03C25">
      <w:pPr>
        <w:numPr>
          <w:ilvl w:val="0"/>
          <w:numId w:val="5"/>
        </w:numPr>
        <w:spacing w:after="120"/>
        <w:rPr>
          <w:snapToGrid w:val="0"/>
        </w:rPr>
      </w:pPr>
      <w:r>
        <w:rPr>
          <w:snapToGrid w:val="0"/>
        </w:rPr>
        <w:t xml:space="preserve">Within </w:t>
      </w:r>
      <w:r w:rsidR="00B64473">
        <w:rPr>
          <w:snapToGrid w:val="0"/>
        </w:rPr>
        <w:t>2</w:t>
      </w:r>
      <w:r>
        <w:rPr>
          <w:snapToGrid w:val="0"/>
        </w:rPr>
        <w:t xml:space="preserve">0 days of </w:t>
      </w:r>
      <w:r w:rsidR="000D1B8A">
        <w:rPr>
          <w:snapToGrid w:val="0"/>
        </w:rPr>
        <w:t xml:space="preserve">the </w:t>
      </w:r>
      <w:r w:rsidR="006332B6">
        <w:rPr>
          <w:snapToGrid w:val="0"/>
        </w:rPr>
        <w:t xml:space="preserve">effective </w:t>
      </w:r>
      <w:r w:rsidR="000D1B8A">
        <w:rPr>
          <w:snapToGrid w:val="0"/>
        </w:rPr>
        <w:t xml:space="preserve">date of </w:t>
      </w:r>
      <w:r>
        <w:rPr>
          <w:snapToGrid w:val="0"/>
        </w:rPr>
        <w:t xml:space="preserve">this resolution, Southern California Gas Company shall file a </w:t>
      </w:r>
      <w:r w:rsidR="00B64473">
        <w:rPr>
          <w:snapToGrid w:val="0"/>
        </w:rPr>
        <w:t xml:space="preserve">supplemental </w:t>
      </w:r>
      <w:r>
        <w:rPr>
          <w:snapToGrid w:val="0"/>
        </w:rPr>
        <w:t xml:space="preserve">Tier </w:t>
      </w:r>
      <w:r w:rsidR="00B64473">
        <w:rPr>
          <w:snapToGrid w:val="0"/>
        </w:rPr>
        <w:t>2</w:t>
      </w:r>
      <w:r>
        <w:rPr>
          <w:snapToGrid w:val="0"/>
        </w:rPr>
        <w:t xml:space="preserve"> Advice Letter </w:t>
      </w:r>
      <w:r w:rsidR="00B64473">
        <w:rPr>
          <w:snapToGrid w:val="0"/>
        </w:rPr>
        <w:t>to set</w:t>
      </w:r>
      <w:r w:rsidR="006E3ACB">
        <w:rPr>
          <w:snapToGrid w:val="0"/>
        </w:rPr>
        <w:t xml:space="preserve"> forth gas rates to recover the revised </w:t>
      </w:r>
      <w:r w:rsidR="00B64473">
        <w:rPr>
          <w:snapToGrid w:val="0"/>
        </w:rPr>
        <w:t>Transmission Integrity Management Program Bal</w:t>
      </w:r>
      <w:r w:rsidR="000F6067">
        <w:rPr>
          <w:snapToGrid w:val="0"/>
        </w:rPr>
        <w:t xml:space="preserve">ancing Account </w:t>
      </w:r>
      <w:r w:rsidR="007D4035">
        <w:rPr>
          <w:snapToGrid w:val="0"/>
        </w:rPr>
        <w:t>2014 balance</w:t>
      </w:r>
      <w:r w:rsidR="000F6067">
        <w:rPr>
          <w:snapToGrid w:val="0"/>
        </w:rPr>
        <w:t xml:space="preserve">, minus any costs </w:t>
      </w:r>
      <w:r w:rsidR="006E3ACB">
        <w:rPr>
          <w:snapToGrid w:val="0"/>
        </w:rPr>
        <w:t>relating to Employee Benefits/Recognition</w:t>
      </w:r>
      <w:r>
        <w:rPr>
          <w:snapToGrid w:val="0"/>
        </w:rPr>
        <w:t xml:space="preserve">. </w:t>
      </w:r>
    </w:p>
    <w:p w:rsidR="009746BE" w:rsidRDefault="002A5D73" w:rsidP="00F03C25">
      <w:pPr>
        <w:numPr>
          <w:ilvl w:val="0"/>
          <w:numId w:val="5"/>
        </w:numPr>
        <w:spacing w:after="120"/>
        <w:rPr>
          <w:snapToGrid w:val="0"/>
        </w:rPr>
      </w:pPr>
      <w:r>
        <w:rPr>
          <w:snapToGrid w:val="0"/>
        </w:rPr>
        <w:t>With</w:t>
      </w:r>
      <w:r w:rsidR="000D1B8A">
        <w:rPr>
          <w:snapToGrid w:val="0"/>
        </w:rPr>
        <w:t>in</w:t>
      </w:r>
      <w:r>
        <w:rPr>
          <w:snapToGrid w:val="0"/>
        </w:rPr>
        <w:t xml:space="preserve"> 20 days of </w:t>
      </w:r>
      <w:r w:rsidR="000D1B8A">
        <w:rPr>
          <w:snapToGrid w:val="0"/>
        </w:rPr>
        <w:t xml:space="preserve">the </w:t>
      </w:r>
      <w:r w:rsidR="006332B6">
        <w:rPr>
          <w:snapToGrid w:val="0"/>
        </w:rPr>
        <w:t xml:space="preserve">effective </w:t>
      </w:r>
      <w:r w:rsidR="000D1B8A">
        <w:rPr>
          <w:snapToGrid w:val="0"/>
        </w:rPr>
        <w:t xml:space="preserve">date of </w:t>
      </w:r>
      <w:r>
        <w:rPr>
          <w:snapToGrid w:val="0"/>
        </w:rPr>
        <w:t>this resolution</w:t>
      </w:r>
      <w:r w:rsidR="009746BE">
        <w:rPr>
          <w:snapToGrid w:val="0"/>
        </w:rPr>
        <w:t xml:space="preserve">, San Diego Gas &amp; Electric Company shall file a Tier 2 Advice Letter to set forth gas rates to recover </w:t>
      </w:r>
      <w:r>
        <w:rPr>
          <w:snapToGrid w:val="0"/>
        </w:rPr>
        <w:t>its</w:t>
      </w:r>
      <w:r w:rsidR="009746BE">
        <w:rPr>
          <w:snapToGrid w:val="0"/>
        </w:rPr>
        <w:t xml:space="preserve"> allocation of the authorized Transmission Integrity Management Program Balancing Account Balance </w:t>
      </w:r>
      <w:r>
        <w:rPr>
          <w:snapToGrid w:val="0"/>
        </w:rPr>
        <w:t>over the twelve m</w:t>
      </w:r>
      <w:r w:rsidR="006E3ACB">
        <w:rPr>
          <w:snapToGrid w:val="0"/>
        </w:rPr>
        <w:t>onth period beginning August 1, 2016 following app</w:t>
      </w:r>
      <w:r>
        <w:rPr>
          <w:snapToGrid w:val="0"/>
        </w:rPr>
        <w:t xml:space="preserve">roval </w:t>
      </w:r>
      <w:r w:rsidR="000D1B8A">
        <w:rPr>
          <w:snapToGrid w:val="0"/>
        </w:rPr>
        <w:t xml:space="preserve">of the supplemental advice letter required by </w:t>
      </w:r>
      <w:r>
        <w:rPr>
          <w:snapToGrid w:val="0"/>
        </w:rPr>
        <w:t>this resolution</w:t>
      </w:r>
      <w:r w:rsidR="000D1B8A">
        <w:rPr>
          <w:snapToGrid w:val="0"/>
        </w:rPr>
        <w:t xml:space="preserve"> in Ordering Paragraph 3</w:t>
      </w:r>
      <w:r>
        <w:rPr>
          <w:snapToGrid w:val="0"/>
        </w:rPr>
        <w:t>.</w:t>
      </w:r>
      <w:r w:rsidR="009746BE">
        <w:rPr>
          <w:snapToGrid w:val="0"/>
        </w:rPr>
        <w:t xml:space="preserve"> </w:t>
      </w:r>
    </w:p>
    <w:p w:rsidR="009746BE" w:rsidRDefault="00B509C0" w:rsidP="00F03C25">
      <w:pPr>
        <w:numPr>
          <w:ilvl w:val="0"/>
          <w:numId w:val="5"/>
        </w:numPr>
        <w:spacing w:after="120"/>
        <w:rPr>
          <w:snapToGrid w:val="0"/>
        </w:rPr>
      </w:pPr>
      <w:r>
        <w:rPr>
          <w:snapToGrid w:val="0"/>
        </w:rPr>
        <w:t xml:space="preserve">At the conclusion of the twelve month recovery period, </w:t>
      </w:r>
      <w:r w:rsidR="009746BE">
        <w:rPr>
          <w:snapToGrid w:val="0"/>
        </w:rPr>
        <w:t xml:space="preserve">Southern California Gas Company and San Diego Gas &amp; Electric shall each file a Tier 1 Advice Letter to remove the authorized Transmission Integrity Management Program Balancing Account </w:t>
      </w:r>
      <w:r w:rsidR="006332B6">
        <w:rPr>
          <w:snapToGrid w:val="0"/>
        </w:rPr>
        <w:t>b</w:t>
      </w:r>
      <w:r w:rsidR="009746BE">
        <w:rPr>
          <w:snapToGrid w:val="0"/>
        </w:rPr>
        <w:t xml:space="preserve">alance.  </w:t>
      </w:r>
    </w:p>
    <w:p w:rsidR="004B5498" w:rsidRDefault="004B5498" w:rsidP="004B5498">
      <w:pPr>
        <w:spacing w:after="120"/>
        <w:ind w:left="360"/>
        <w:rPr>
          <w:snapToGrid w:val="0"/>
        </w:rPr>
      </w:pPr>
    </w:p>
    <w:p w:rsidR="00CF17DE" w:rsidRDefault="00CF17DE">
      <w:pPr>
        <w:tabs>
          <w:tab w:val="left" w:pos="720"/>
          <w:tab w:val="left" w:pos="1296"/>
          <w:tab w:val="left" w:pos="2016"/>
          <w:tab w:val="left" w:pos="2736"/>
          <w:tab w:val="left" w:pos="3456"/>
          <w:tab w:val="left" w:pos="4176"/>
          <w:tab w:val="left" w:pos="5760"/>
        </w:tabs>
      </w:pPr>
      <w:r>
        <w:t>This Resolution is effective today.</w:t>
      </w:r>
    </w:p>
    <w:p w:rsidR="00CF17DE" w:rsidRDefault="00CF17DE">
      <w:pPr>
        <w:tabs>
          <w:tab w:val="left" w:pos="720"/>
          <w:tab w:val="left" w:pos="1296"/>
          <w:tab w:val="left" w:pos="2016"/>
          <w:tab w:val="left" w:pos="2736"/>
          <w:tab w:val="left" w:pos="3456"/>
          <w:tab w:val="left" w:pos="4176"/>
          <w:tab w:val="left" w:pos="5760"/>
        </w:tabs>
      </w:pPr>
    </w:p>
    <w:p w:rsidR="00CF17DE" w:rsidRDefault="00CF17DE">
      <w:pPr>
        <w:rPr>
          <w:snapToGrid w:val="0"/>
        </w:rPr>
      </w:pPr>
      <w:r>
        <w:rPr>
          <w:snapToGrid w:val="0"/>
        </w:rPr>
        <w:t>I certify that the foregoing resolution was duly introduced, passed and adopted at a conference of the Public Utilities Commission of the State of California held on</w:t>
      </w:r>
      <w:r w:rsidR="00287000">
        <w:rPr>
          <w:snapToGrid w:val="0"/>
        </w:rPr>
        <w:t xml:space="preserve"> </w:t>
      </w:r>
      <w:r w:rsidR="004B5498">
        <w:rPr>
          <w:snapToGrid w:val="0"/>
        </w:rPr>
        <w:t>May 12</w:t>
      </w:r>
      <w:r w:rsidR="00FE5BA5">
        <w:rPr>
          <w:snapToGrid w:val="0"/>
        </w:rPr>
        <w:t>, 20</w:t>
      </w:r>
      <w:r w:rsidR="00800E7C">
        <w:rPr>
          <w:snapToGrid w:val="0"/>
        </w:rPr>
        <w:t>1</w:t>
      </w:r>
      <w:r w:rsidR="002127C1">
        <w:rPr>
          <w:snapToGrid w:val="0"/>
        </w:rPr>
        <w:t>6</w:t>
      </w:r>
      <w:r w:rsidR="00F03C25">
        <w:rPr>
          <w:snapToGrid w:val="0"/>
        </w:rPr>
        <w:t>;</w:t>
      </w:r>
      <w:r>
        <w:rPr>
          <w:snapToGrid w:val="0"/>
        </w:rPr>
        <w:t xml:space="preserve"> the following Commissioners voting favorably thereon:</w:t>
      </w: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F03C25" w:rsidRDefault="00F03C25">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r>
        <w:tab/>
      </w:r>
      <w:r>
        <w:tab/>
      </w:r>
      <w:r>
        <w:tab/>
      </w:r>
      <w:r>
        <w:tab/>
      </w:r>
      <w:r>
        <w:tab/>
      </w:r>
      <w:r>
        <w:tab/>
        <w:t xml:space="preserve"> _______________</w:t>
      </w:r>
      <w:r w:rsidR="00F03C25">
        <w:t>_________</w:t>
      </w:r>
    </w:p>
    <w:p w:rsidR="00CF17DE" w:rsidRDefault="00CF17DE">
      <w:r>
        <w:tab/>
      </w:r>
      <w:r>
        <w:tab/>
      </w:r>
      <w:r>
        <w:tab/>
      </w:r>
      <w:r>
        <w:tab/>
      </w:r>
      <w:r>
        <w:tab/>
      </w:r>
      <w:r>
        <w:tab/>
      </w:r>
      <w:r>
        <w:tab/>
      </w:r>
      <w:r>
        <w:tab/>
      </w:r>
      <w:r w:rsidR="00A14F5D">
        <w:t>TIMOTHY J. SULLIVAN</w:t>
      </w:r>
    </w:p>
    <w:p w:rsidR="00CF17DE" w:rsidRDefault="00CF17DE">
      <w:r>
        <w:tab/>
      </w:r>
      <w:r>
        <w:tab/>
      </w:r>
      <w:r>
        <w:tab/>
      </w:r>
      <w:r>
        <w:tab/>
      </w:r>
      <w:r>
        <w:tab/>
      </w:r>
      <w:r>
        <w:tab/>
      </w:r>
      <w:r>
        <w:tab/>
      </w:r>
      <w:r>
        <w:tab/>
        <w:t xml:space="preserve"> Executive Director</w:t>
      </w:r>
    </w:p>
    <w:sectPr w:rsidR="00CF17DE" w:rsidSect="009F0C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D20" w:rsidRDefault="00E24D20">
      <w:r>
        <w:separator/>
      </w:r>
    </w:p>
  </w:endnote>
  <w:endnote w:type="continuationSeparator" w:id="0">
    <w:p w:rsidR="00E24D20" w:rsidRDefault="00E2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DC" w:rsidRDefault="00374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56" w:rsidRDefault="00116CC8">
    <w:pPr>
      <w:pStyle w:val="Footer"/>
    </w:pPr>
    <w:r>
      <w:rPr>
        <w:rStyle w:val="PageNumber"/>
      </w:rPr>
      <w:fldChar w:fldCharType="begin"/>
    </w:r>
    <w:r w:rsidR="002C0356">
      <w:rPr>
        <w:rStyle w:val="PageNumber"/>
      </w:rPr>
      <w:instrText xml:space="preserve"> PAGE </w:instrText>
    </w:r>
    <w:r>
      <w:rPr>
        <w:rStyle w:val="PageNumber"/>
      </w:rPr>
      <w:fldChar w:fldCharType="separate"/>
    </w:r>
    <w:r w:rsidR="00753787">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56" w:rsidRDefault="00397939" w:rsidP="00757D66">
    <w:pPr>
      <w:pStyle w:val="Footer"/>
      <w:tabs>
        <w:tab w:val="clear" w:pos="4320"/>
        <w:tab w:val="center" w:pos="4680"/>
      </w:tabs>
      <w:jc w:val="both"/>
    </w:pPr>
    <w:r>
      <w:rPr>
        <w:rFonts w:ascii="Tahoma" w:hAnsi="Tahoma" w:cs="Tahoma"/>
        <w:sz w:val="17"/>
        <w:szCs w:val="17"/>
      </w:rPr>
      <w:t>159709069</w:t>
    </w:r>
    <w:r w:rsidR="00757D66">
      <w:rPr>
        <w:rFonts w:ascii="Tahoma" w:hAnsi="Tahoma" w:cs="Tahoma"/>
        <w:sz w:val="17"/>
        <w:szCs w:val="17"/>
      </w:rPr>
      <w:tab/>
    </w:r>
    <w:r w:rsidR="00116CC8">
      <w:rPr>
        <w:rStyle w:val="PageNumber"/>
      </w:rPr>
      <w:fldChar w:fldCharType="begin"/>
    </w:r>
    <w:r w:rsidR="002C0356">
      <w:rPr>
        <w:rStyle w:val="PageNumber"/>
      </w:rPr>
      <w:instrText xml:space="preserve"> PAGE </w:instrText>
    </w:r>
    <w:r w:rsidR="00116CC8">
      <w:rPr>
        <w:rStyle w:val="PageNumber"/>
      </w:rPr>
      <w:fldChar w:fldCharType="separate"/>
    </w:r>
    <w:r w:rsidR="00753787">
      <w:rPr>
        <w:rStyle w:val="PageNumber"/>
        <w:noProof/>
      </w:rPr>
      <w:t>1</w:t>
    </w:r>
    <w:r w:rsidR="00116CC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D20" w:rsidRDefault="00E24D20">
      <w:r>
        <w:separator/>
      </w:r>
    </w:p>
  </w:footnote>
  <w:footnote w:type="continuationSeparator" w:id="0">
    <w:p w:rsidR="00E24D20" w:rsidRDefault="00E24D20">
      <w:r>
        <w:continuationSeparator/>
      </w:r>
    </w:p>
  </w:footnote>
  <w:footnote w:type="continuationNotice" w:id="1">
    <w:p w:rsidR="00E24D20" w:rsidRDefault="00E24D20">
      <w:pPr>
        <w:rPr>
          <w:sz w:val="22"/>
        </w:rPr>
      </w:pPr>
    </w:p>
    <w:p w:rsidR="00E24D20" w:rsidRDefault="00E24D20">
      <w:pPr>
        <w:jc w:val="right"/>
        <w:rPr>
          <w:sz w:val="22"/>
        </w:rPr>
      </w:pPr>
      <w:r>
        <w:rPr>
          <w:i/>
          <w:sz w:val="22"/>
        </w:rPr>
        <w:t>Footnote continued on next page</w:t>
      </w:r>
    </w:p>
  </w:footnote>
  <w:footnote w:id="2">
    <w:p w:rsidR="00835487" w:rsidRDefault="00835487" w:rsidP="004B5498">
      <w:pPr>
        <w:pStyle w:val="FootnoteText"/>
        <w:spacing w:after="120"/>
      </w:pPr>
      <w:r>
        <w:rPr>
          <w:rStyle w:val="FootnoteReference"/>
        </w:rPr>
        <w:footnoteRef/>
      </w:r>
      <w:r>
        <w:t xml:space="preserve"> Based on the authorized attrition rate of 2.65% in 2013 and 2.75% in 2014.</w:t>
      </w:r>
    </w:p>
  </w:footnote>
  <w:footnote w:id="3">
    <w:p w:rsidR="008D77A9" w:rsidRDefault="008D77A9" w:rsidP="004B5498">
      <w:pPr>
        <w:pStyle w:val="FootnoteText"/>
        <w:spacing w:after="120"/>
      </w:pPr>
      <w:r>
        <w:rPr>
          <w:rStyle w:val="FootnoteReference"/>
        </w:rPr>
        <w:footnoteRef/>
      </w:r>
      <w:r>
        <w:t xml:space="preserve"> D.13-05-010, $20.76 million for non-shared O&amp;M costs, $5.7 million for shared </w:t>
      </w:r>
      <w:r w:rsidR="004B5498">
        <w:br/>
      </w:r>
      <w:r>
        <w:t>O&amp;M costs.</w:t>
      </w:r>
    </w:p>
  </w:footnote>
  <w:footnote w:id="4">
    <w:p w:rsidR="009567D4" w:rsidRDefault="009567D4" w:rsidP="004B5498">
      <w:pPr>
        <w:pStyle w:val="FootnoteText"/>
        <w:spacing w:after="120"/>
      </w:pPr>
      <w:r>
        <w:rPr>
          <w:rStyle w:val="FootnoteReference"/>
        </w:rPr>
        <w:footnoteRef/>
      </w:r>
      <w:r>
        <w:t xml:space="preserve"> The $4.3 million reduction from the 2012 GRC decision carries over into 2014 as </w:t>
      </w:r>
      <w:r w:rsidR="004B5498">
        <w:br/>
      </w:r>
      <w:r>
        <w:t xml:space="preserve">$4.5 million based on the authorized attrition rate of 2.65% in 2013 and 2.75% in 2014.  </w:t>
      </w:r>
    </w:p>
  </w:footnote>
  <w:footnote w:id="5">
    <w:p w:rsidR="00BE61C6" w:rsidRDefault="00BE61C6" w:rsidP="004B5498">
      <w:pPr>
        <w:pStyle w:val="FootnoteText"/>
        <w:spacing w:after="120"/>
      </w:pPr>
      <w:r>
        <w:rPr>
          <w:rStyle w:val="FootnoteReference"/>
        </w:rPr>
        <w:footnoteRef/>
      </w:r>
      <w:r>
        <w:t xml:space="preserve"> Resolution G-3499, Findings 7 and 8.</w:t>
      </w:r>
    </w:p>
  </w:footnote>
  <w:footnote w:id="6">
    <w:p w:rsidR="0093199E" w:rsidRDefault="0093199E" w:rsidP="0093199E">
      <w:pPr>
        <w:pStyle w:val="FootnoteText"/>
        <w:spacing w:after="120"/>
      </w:pPr>
      <w:r>
        <w:rPr>
          <w:rStyle w:val="FootnoteReference"/>
        </w:rPr>
        <w:footnoteRef/>
      </w:r>
      <w:r>
        <w:t xml:space="preserve"> SoCalGas and San Diego Gas &amp; Electric Company (SDG&amp;E) have an integrated transmission system and rate recovery mechanism.  SDG&amp;E will also incorporate their share of costs in rates effective August 1,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DC" w:rsidRDefault="00374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56" w:rsidRPr="004B63D8" w:rsidRDefault="002C0356">
    <w:pPr>
      <w:pStyle w:val="Header"/>
      <w:tabs>
        <w:tab w:val="clear" w:pos="4320"/>
        <w:tab w:val="clear" w:pos="8640"/>
        <w:tab w:val="center" w:pos="4680"/>
        <w:tab w:val="right" w:pos="9180"/>
      </w:tabs>
      <w:rPr>
        <w:szCs w:val="26"/>
      </w:rPr>
    </w:pPr>
    <w:r w:rsidRPr="004B63D8">
      <w:rPr>
        <w:szCs w:val="26"/>
      </w:rPr>
      <w:t>Resolution G-</w:t>
    </w:r>
    <w:r w:rsidR="00E830DA">
      <w:rPr>
        <w:szCs w:val="26"/>
      </w:rPr>
      <w:t>3517</w:t>
    </w:r>
    <w:r w:rsidR="004B5498">
      <w:rPr>
        <w:szCs w:val="26"/>
      </w:rPr>
      <w:tab/>
    </w:r>
    <w:r w:rsidRPr="004B63D8">
      <w:rPr>
        <w:szCs w:val="26"/>
      </w:rPr>
      <w:t>DRAFT</w:t>
    </w:r>
    <w:r w:rsidRPr="004B63D8">
      <w:rPr>
        <w:szCs w:val="26"/>
      </w:rPr>
      <w:tab/>
    </w:r>
    <w:r w:rsidR="006332B6">
      <w:rPr>
        <w:szCs w:val="26"/>
      </w:rPr>
      <w:t>May 12</w:t>
    </w:r>
    <w:r w:rsidR="005B01ED" w:rsidRPr="004B63D8">
      <w:rPr>
        <w:szCs w:val="26"/>
      </w:rPr>
      <w:t>, 201</w:t>
    </w:r>
    <w:r w:rsidR="000E35F4">
      <w:rPr>
        <w:szCs w:val="26"/>
      </w:rPr>
      <w:t>6</w:t>
    </w:r>
  </w:p>
  <w:p w:rsidR="002C0356" w:rsidRPr="004B63D8" w:rsidRDefault="004B63D8">
    <w:pPr>
      <w:pStyle w:val="Header"/>
      <w:tabs>
        <w:tab w:val="clear" w:pos="4320"/>
        <w:tab w:val="clear" w:pos="8640"/>
        <w:tab w:val="center" w:pos="4680"/>
        <w:tab w:val="right" w:pos="9180"/>
      </w:tabs>
      <w:rPr>
        <w:szCs w:val="26"/>
      </w:rPr>
    </w:pPr>
    <w:r w:rsidRPr="004B63D8">
      <w:rPr>
        <w:szCs w:val="26"/>
      </w:rPr>
      <w:t xml:space="preserve">SoCalGas </w:t>
    </w:r>
    <w:r w:rsidR="002C0356" w:rsidRPr="004B63D8">
      <w:rPr>
        <w:szCs w:val="26"/>
      </w:rPr>
      <w:t xml:space="preserve">AL </w:t>
    </w:r>
    <w:r w:rsidR="000E35F4">
      <w:rPr>
        <w:szCs w:val="26"/>
      </w:rPr>
      <w:t>4819</w:t>
    </w:r>
    <w:r w:rsidR="002C0356" w:rsidRPr="004B63D8">
      <w:rPr>
        <w:szCs w:val="26"/>
      </w:rPr>
      <w:t>/</w:t>
    </w:r>
    <w:r w:rsidR="004B5498">
      <w:rPr>
        <w:szCs w:val="26"/>
      </w:rPr>
      <w:t>BEG</w:t>
    </w:r>
  </w:p>
  <w:p w:rsidR="002C0356" w:rsidRPr="004B63D8" w:rsidRDefault="002C0356">
    <w:pPr>
      <w:pStyle w:val="Header"/>
      <w:tabs>
        <w:tab w:val="clear" w:pos="4320"/>
        <w:tab w:val="clear" w:pos="8640"/>
        <w:tab w:val="center" w:pos="4680"/>
        <w:tab w:val="right" w:pos="9180"/>
      </w:tabs>
      <w:rPr>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356" w:rsidRPr="004B63D8" w:rsidRDefault="004B63D8" w:rsidP="00B6588D">
    <w:pPr>
      <w:pStyle w:val="Header"/>
      <w:jc w:val="center"/>
      <w:rPr>
        <w:rFonts w:ascii="Helvetica" w:hAnsi="Helvetica"/>
        <w:sz w:val="28"/>
      </w:rP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nsid w:val="0BDB7819"/>
    <w:multiLevelType w:val="singleLevel"/>
    <w:tmpl w:val="0409000F"/>
    <w:lvl w:ilvl="0">
      <w:start w:val="1"/>
      <w:numFmt w:val="decimal"/>
      <w:lvlText w:val="%1."/>
      <w:lvlJc w:val="left"/>
      <w:pPr>
        <w:tabs>
          <w:tab w:val="num" w:pos="360"/>
        </w:tabs>
        <w:ind w:left="360" w:hanging="360"/>
      </w:pPr>
    </w:lvl>
  </w:abstractNum>
  <w:abstractNum w:abstractNumId="2">
    <w:nsid w:val="14232C7E"/>
    <w:multiLevelType w:val="hybridMultilevel"/>
    <w:tmpl w:val="0636B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480B1D"/>
    <w:multiLevelType w:val="multilevel"/>
    <w:tmpl w:val="C98CB7D4"/>
    <w:lvl w:ilvl="0">
      <w:start w:val="1"/>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45244AA8"/>
    <w:multiLevelType w:val="hybridMultilevel"/>
    <w:tmpl w:val="A9CA5000"/>
    <w:lvl w:ilvl="0" w:tplc="121056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8135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97C5BB0"/>
    <w:multiLevelType w:val="hybridMultilevel"/>
    <w:tmpl w:val="766468DC"/>
    <w:lvl w:ilvl="0" w:tplc="121056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C93638F"/>
    <w:multiLevelType w:val="hybridMultilevel"/>
    <w:tmpl w:val="67EA0FA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nsid w:val="781E58C1"/>
    <w:multiLevelType w:val="multilevel"/>
    <w:tmpl w:val="C98CB7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0"/>
  </w:num>
  <w:num w:numId="2">
    <w:abstractNumId w:val="4"/>
  </w:num>
  <w:num w:numId="3">
    <w:abstractNumId w:val="3"/>
  </w:num>
  <w:num w:numId="4">
    <w:abstractNumId w:val="9"/>
  </w:num>
  <w:num w:numId="5">
    <w:abstractNumId w:val="1"/>
  </w:num>
  <w:num w:numId="6">
    <w:abstractNumId w:val="10"/>
  </w:num>
  <w:num w:numId="7">
    <w:abstractNumId w:val="6"/>
  </w:num>
  <w:num w:numId="8">
    <w:abstractNumId w:val="8"/>
  </w:num>
  <w:num w:numId="9">
    <w:abstractNumId w:val="7"/>
  </w:num>
  <w:num w:numId="10">
    <w:abstractNumId w:val="5"/>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3A"/>
    <w:rsid w:val="00001700"/>
    <w:rsid w:val="00005A7B"/>
    <w:rsid w:val="000063E5"/>
    <w:rsid w:val="0001095F"/>
    <w:rsid w:val="00012122"/>
    <w:rsid w:val="000157E8"/>
    <w:rsid w:val="00016CF2"/>
    <w:rsid w:val="00020836"/>
    <w:rsid w:val="00027918"/>
    <w:rsid w:val="000319EE"/>
    <w:rsid w:val="000336BA"/>
    <w:rsid w:val="00033B05"/>
    <w:rsid w:val="00035CFF"/>
    <w:rsid w:val="00036A2B"/>
    <w:rsid w:val="00041165"/>
    <w:rsid w:val="00041592"/>
    <w:rsid w:val="00044183"/>
    <w:rsid w:val="00044547"/>
    <w:rsid w:val="000459BA"/>
    <w:rsid w:val="00046296"/>
    <w:rsid w:val="00047F70"/>
    <w:rsid w:val="00050D4A"/>
    <w:rsid w:val="00052E5A"/>
    <w:rsid w:val="000635BC"/>
    <w:rsid w:val="00063E6C"/>
    <w:rsid w:val="0006459D"/>
    <w:rsid w:val="0006490B"/>
    <w:rsid w:val="000704D4"/>
    <w:rsid w:val="000712D3"/>
    <w:rsid w:val="00073918"/>
    <w:rsid w:val="00073FAD"/>
    <w:rsid w:val="00076928"/>
    <w:rsid w:val="000806FD"/>
    <w:rsid w:val="00083DE0"/>
    <w:rsid w:val="00084928"/>
    <w:rsid w:val="00091768"/>
    <w:rsid w:val="0009258E"/>
    <w:rsid w:val="00095824"/>
    <w:rsid w:val="00095978"/>
    <w:rsid w:val="000A2968"/>
    <w:rsid w:val="000A4B57"/>
    <w:rsid w:val="000B22DC"/>
    <w:rsid w:val="000B25FD"/>
    <w:rsid w:val="000B2BBF"/>
    <w:rsid w:val="000B483E"/>
    <w:rsid w:val="000B4A18"/>
    <w:rsid w:val="000B5D11"/>
    <w:rsid w:val="000C1390"/>
    <w:rsid w:val="000C342E"/>
    <w:rsid w:val="000C405C"/>
    <w:rsid w:val="000C42ED"/>
    <w:rsid w:val="000D1B8A"/>
    <w:rsid w:val="000E35F4"/>
    <w:rsid w:val="000E5947"/>
    <w:rsid w:val="000E672C"/>
    <w:rsid w:val="000F6067"/>
    <w:rsid w:val="001025D0"/>
    <w:rsid w:val="0010490E"/>
    <w:rsid w:val="00106354"/>
    <w:rsid w:val="0011080E"/>
    <w:rsid w:val="00111978"/>
    <w:rsid w:val="00116CC8"/>
    <w:rsid w:val="00117F9F"/>
    <w:rsid w:val="00126A2F"/>
    <w:rsid w:val="00127917"/>
    <w:rsid w:val="00134B78"/>
    <w:rsid w:val="001432FA"/>
    <w:rsid w:val="00144E8F"/>
    <w:rsid w:val="00146935"/>
    <w:rsid w:val="00147EF8"/>
    <w:rsid w:val="0015034A"/>
    <w:rsid w:val="00153B20"/>
    <w:rsid w:val="00163348"/>
    <w:rsid w:val="0016505A"/>
    <w:rsid w:val="00165DBE"/>
    <w:rsid w:val="001718B9"/>
    <w:rsid w:val="00173E7A"/>
    <w:rsid w:val="0018013A"/>
    <w:rsid w:val="00184989"/>
    <w:rsid w:val="001866B7"/>
    <w:rsid w:val="001875B9"/>
    <w:rsid w:val="0019126E"/>
    <w:rsid w:val="001926EE"/>
    <w:rsid w:val="00192FE8"/>
    <w:rsid w:val="001932E2"/>
    <w:rsid w:val="001936F7"/>
    <w:rsid w:val="001972FC"/>
    <w:rsid w:val="00197E60"/>
    <w:rsid w:val="001A6649"/>
    <w:rsid w:val="001C216C"/>
    <w:rsid w:val="001C4501"/>
    <w:rsid w:val="001C45B0"/>
    <w:rsid w:val="001C70EE"/>
    <w:rsid w:val="001D330B"/>
    <w:rsid w:val="001D407B"/>
    <w:rsid w:val="001D4537"/>
    <w:rsid w:val="001D6195"/>
    <w:rsid w:val="001D6674"/>
    <w:rsid w:val="001E5DE8"/>
    <w:rsid w:val="001E671F"/>
    <w:rsid w:val="001F2624"/>
    <w:rsid w:val="001F7AC5"/>
    <w:rsid w:val="002011EB"/>
    <w:rsid w:val="002051C7"/>
    <w:rsid w:val="00211065"/>
    <w:rsid w:val="002127C1"/>
    <w:rsid w:val="00212B24"/>
    <w:rsid w:val="00214A0D"/>
    <w:rsid w:val="002150AB"/>
    <w:rsid w:val="00215755"/>
    <w:rsid w:val="002161FD"/>
    <w:rsid w:val="00221A48"/>
    <w:rsid w:val="00222BBF"/>
    <w:rsid w:val="00223B4E"/>
    <w:rsid w:val="00230263"/>
    <w:rsid w:val="00231350"/>
    <w:rsid w:val="00231C6B"/>
    <w:rsid w:val="002353AC"/>
    <w:rsid w:val="00236655"/>
    <w:rsid w:val="002410D6"/>
    <w:rsid w:val="0025070A"/>
    <w:rsid w:val="00267433"/>
    <w:rsid w:val="0027131F"/>
    <w:rsid w:val="0027413C"/>
    <w:rsid w:val="002837EB"/>
    <w:rsid w:val="00286CAD"/>
    <w:rsid w:val="00287000"/>
    <w:rsid w:val="00293F63"/>
    <w:rsid w:val="00295D74"/>
    <w:rsid w:val="00297BE7"/>
    <w:rsid w:val="002A232C"/>
    <w:rsid w:val="002A442E"/>
    <w:rsid w:val="002A5D73"/>
    <w:rsid w:val="002B337C"/>
    <w:rsid w:val="002B3514"/>
    <w:rsid w:val="002B5DF0"/>
    <w:rsid w:val="002C0356"/>
    <w:rsid w:val="002C6767"/>
    <w:rsid w:val="002D3311"/>
    <w:rsid w:val="002D6EB2"/>
    <w:rsid w:val="002E197B"/>
    <w:rsid w:val="002E3D3E"/>
    <w:rsid w:val="002E5CBC"/>
    <w:rsid w:val="002F0468"/>
    <w:rsid w:val="002F648F"/>
    <w:rsid w:val="0030272A"/>
    <w:rsid w:val="0031317F"/>
    <w:rsid w:val="003229EF"/>
    <w:rsid w:val="00323079"/>
    <w:rsid w:val="00323963"/>
    <w:rsid w:val="00330638"/>
    <w:rsid w:val="00330C18"/>
    <w:rsid w:val="00332736"/>
    <w:rsid w:val="00332B1C"/>
    <w:rsid w:val="00333051"/>
    <w:rsid w:val="003405C8"/>
    <w:rsid w:val="00341083"/>
    <w:rsid w:val="00345B08"/>
    <w:rsid w:val="00351398"/>
    <w:rsid w:val="003601B6"/>
    <w:rsid w:val="00364413"/>
    <w:rsid w:val="003659A8"/>
    <w:rsid w:val="00371456"/>
    <w:rsid w:val="003745DC"/>
    <w:rsid w:val="00377161"/>
    <w:rsid w:val="003806F2"/>
    <w:rsid w:val="003826E8"/>
    <w:rsid w:val="00382A4F"/>
    <w:rsid w:val="00384F09"/>
    <w:rsid w:val="00385846"/>
    <w:rsid w:val="00391CA7"/>
    <w:rsid w:val="0039335F"/>
    <w:rsid w:val="003947F6"/>
    <w:rsid w:val="003952B6"/>
    <w:rsid w:val="003972BD"/>
    <w:rsid w:val="00397939"/>
    <w:rsid w:val="003A0688"/>
    <w:rsid w:val="003A2989"/>
    <w:rsid w:val="003A3099"/>
    <w:rsid w:val="003A5BA8"/>
    <w:rsid w:val="003A6509"/>
    <w:rsid w:val="003A7E74"/>
    <w:rsid w:val="003B045D"/>
    <w:rsid w:val="003B4F18"/>
    <w:rsid w:val="003C3F95"/>
    <w:rsid w:val="003C5554"/>
    <w:rsid w:val="003F15A2"/>
    <w:rsid w:val="003F2690"/>
    <w:rsid w:val="003F5100"/>
    <w:rsid w:val="0040126C"/>
    <w:rsid w:val="0040295F"/>
    <w:rsid w:val="0040573D"/>
    <w:rsid w:val="00406AE0"/>
    <w:rsid w:val="00410A2B"/>
    <w:rsid w:val="00413F16"/>
    <w:rsid w:val="00416CFF"/>
    <w:rsid w:val="0041784A"/>
    <w:rsid w:val="00420B48"/>
    <w:rsid w:val="00424BCD"/>
    <w:rsid w:val="004252CC"/>
    <w:rsid w:val="00426A6B"/>
    <w:rsid w:val="00426AB4"/>
    <w:rsid w:val="0043339E"/>
    <w:rsid w:val="0043756A"/>
    <w:rsid w:val="00437705"/>
    <w:rsid w:val="00437A88"/>
    <w:rsid w:val="00440AB7"/>
    <w:rsid w:val="00441180"/>
    <w:rsid w:val="00454E97"/>
    <w:rsid w:val="00455341"/>
    <w:rsid w:val="00466FC6"/>
    <w:rsid w:val="0047266E"/>
    <w:rsid w:val="00480F09"/>
    <w:rsid w:val="00481476"/>
    <w:rsid w:val="00483EB2"/>
    <w:rsid w:val="004844EE"/>
    <w:rsid w:val="00485B47"/>
    <w:rsid w:val="004900A4"/>
    <w:rsid w:val="004905D3"/>
    <w:rsid w:val="00492410"/>
    <w:rsid w:val="00492AAD"/>
    <w:rsid w:val="004A16BA"/>
    <w:rsid w:val="004A1F56"/>
    <w:rsid w:val="004A7A3F"/>
    <w:rsid w:val="004B280F"/>
    <w:rsid w:val="004B3232"/>
    <w:rsid w:val="004B4BD9"/>
    <w:rsid w:val="004B5498"/>
    <w:rsid w:val="004B625D"/>
    <w:rsid w:val="004B63D8"/>
    <w:rsid w:val="004B7653"/>
    <w:rsid w:val="004E06FF"/>
    <w:rsid w:val="004E1662"/>
    <w:rsid w:val="004E76EE"/>
    <w:rsid w:val="004E77F3"/>
    <w:rsid w:val="004E7B95"/>
    <w:rsid w:val="004F32A5"/>
    <w:rsid w:val="004F72F5"/>
    <w:rsid w:val="00500316"/>
    <w:rsid w:val="00513047"/>
    <w:rsid w:val="00520CC7"/>
    <w:rsid w:val="005227A2"/>
    <w:rsid w:val="00522D9A"/>
    <w:rsid w:val="0052517C"/>
    <w:rsid w:val="00533A0D"/>
    <w:rsid w:val="0054086E"/>
    <w:rsid w:val="00543ADB"/>
    <w:rsid w:val="00546E34"/>
    <w:rsid w:val="00547662"/>
    <w:rsid w:val="005503FB"/>
    <w:rsid w:val="005516AA"/>
    <w:rsid w:val="00552326"/>
    <w:rsid w:val="00552A1D"/>
    <w:rsid w:val="005674F2"/>
    <w:rsid w:val="00576D19"/>
    <w:rsid w:val="00581388"/>
    <w:rsid w:val="005859DE"/>
    <w:rsid w:val="00586566"/>
    <w:rsid w:val="00587040"/>
    <w:rsid w:val="00590A4D"/>
    <w:rsid w:val="005915BD"/>
    <w:rsid w:val="00592400"/>
    <w:rsid w:val="00593807"/>
    <w:rsid w:val="00593D73"/>
    <w:rsid w:val="00597CA8"/>
    <w:rsid w:val="005A5424"/>
    <w:rsid w:val="005B01ED"/>
    <w:rsid w:val="005B2909"/>
    <w:rsid w:val="005B5209"/>
    <w:rsid w:val="005B7869"/>
    <w:rsid w:val="005C0025"/>
    <w:rsid w:val="005C4BC7"/>
    <w:rsid w:val="005D38A6"/>
    <w:rsid w:val="005E5517"/>
    <w:rsid w:val="005E73D9"/>
    <w:rsid w:val="005F1086"/>
    <w:rsid w:val="005F13F5"/>
    <w:rsid w:val="005F43FE"/>
    <w:rsid w:val="005F6C74"/>
    <w:rsid w:val="005F6CE3"/>
    <w:rsid w:val="00605E14"/>
    <w:rsid w:val="00607A03"/>
    <w:rsid w:val="00612AC7"/>
    <w:rsid w:val="00616BBA"/>
    <w:rsid w:val="006305AC"/>
    <w:rsid w:val="006332B6"/>
    <w:rsid w:val="00645095"/>
    <w:rsid w:val="00646486"/>
    <w:rsid w:val="00657A05"/>
    <w:rsid w:val="006601C5"/>
    <w:rsid w:val="0066040F"/>
    <w:rsid w:val="006625FA"/>
    <w:rsid w:val="00667639"/>
    <w:rsid w:val="00670514"/>
    <w:rsid w:val="0067227C"/>
    <w:rsid w:val="00674FD3"/>
    <w:rsid w:val="0068384A"/>
    <w:rsid w:val="00684023"/>
    <w:rsid w:val="0068767E"/>
    <w:rsid w:val="006877B3"/>
    <w:rsid w:val="00690AE6"/>
    <w:rsid w:val="006966E5"/>
    <w:rsid w:val="006971E8"/>
    <w:rsid w:val="0069736E"/>
    <w:rsid w:val="006A5510"/>
    <w:rsid w:val="006A5563"/>
    <w:rsid w:val="006B0638"/>
    <w:rsid w:val="006C0C24"/>
    <w:rsid w:val="006C39F8"/>
    <w:rsid w:val="006D21F7"/>
    <w:rsid w:val="006D3A7F"/>
    <w:rsid w:val="006D513A"/>
    <w:rsid w:val="006E35A0"/>
    <w:rsid w:val="006E3ACB"/>
    <w:rsid w:val="006E4E31"/>
    <w:rsid w:val="006E5201"/>
    <w:rsid w:val="006E5C23"/>
    <w:rsid w:val="006E773A"/>
    <w:rsid w:val="006F37AF"/>
    <w:rsid w:val="006F4112"/>
    <w:rsid w:val="006F5FB8"/>
    <w:rsid w:val="006F734C"/>
    <w:rsid w:val="006F7854"/>
    <w:rsid w:val="0070071B"/>
    <w:rsid w:val="0070439E"/>
    <w:rsid w:val="00713B16"/>
    <w:rsid w:val="007142CB"/>
    <w:rsid w:val="007146A9"/>
    <w:rsid w:val="00733ACE"/>
    <w:rsid w:val="00736E0C"/>
    <w:rsid w:val="007434D9"/>
    <w:rsid w:val="00745376"/>
    <w:rsid w:val="00753787"/>
    <w:rsid w:val="00755861"/>
    <w:rsid w:val="0075615C"/>
    <w:rsid w:val="00757429"/>
    <w:rsid w:val="00757D66"/>
    <w:rsid w:val="00762321"/>
    <w:rsid w:val="00762346"/>
    <w:rsid w:val="00762CDE"/>
    <w:rsid w:val="00763966"/>
    <w:rsid w:val="00781E82"/>
    <w:rsid w:val="00794D28"/>
    <w:rsid w:val="007955D9"/>
    <w:rsid w:val="007A281A"/>
    <w:rsid w:val="007A309E"/>
    <w:rsid w:val="007A6266"/>
    <w:rsid w:val="007A6BF1"/>
    <w:rsid w:val="007A6C37"/>
    <w:rsid w:val="007A7C1E"/>
    <w:rsid w:val="007B009E"/>
    <w:rsid w:val="007B53CD"/>
    <w:rsid w:val="007B7F23"/>
    <w:rsid w:val="007C273F"/>
    <w:rsid w:val="007D118C"/>
    <w:rsid w:val="007D4035"/>
    <w:rsid w:val="007E1D64"/>
    <w:rsid w:val="007F2EB8"/>
    <w:rsid w:val="007F50C0"/>
    <w:rsid w:val="007F748C"/>
    <w:rsid w:val="00800E7C"/>
    <w:rsid w:val="00804C1D"/>
    <w:rsid w:val="0081046A"/>
    <w:rsid w:val="008126CE"/>
    <w:rsid w:val="00813F98"/>
    <w:rsid w:val="0081470B"/>
    <w:rsid w:val="008206B9"/>
    <w:rsid w:val="0082501F"/>
    <w:rsid w:val="0083138C"/>
    <w:rsid w:val="00833901"/>
    <w:rsid w:val="00835487"/>
    <w:rsid w:val="008354EE"/>
    <w:rsid w:val="008430EC"/>
    <w:rsid w:val="00846C5C"/>
    <w:rsid w:val="008506C2"/>
    <w:rsid w:val="008523F4"/>
    <w:rsid w:val="00852E90"/>
    <w:rsid w:val="00855C0C"/>
    <w:rsid w:val="00857889"/>
    <w:rsid w:val="00861F47"/>
    <w:rsid w:val="00864BB1"/>
    <w:rsid w:val="00872AC6"/>
    <w:rsid w:val="00876084"/>
    <w:rsid w:val="00883C36"/>
    <w:rsid w:val="0088440E"/>
    <w:rsid w:val="00885479"/>
    <w:rsid w:val="00885CEA"/>
    <w:rsid w:val="00886911"/>
    <w:rsid w:val="00887308"/>
    <w:rsid w:val="008901FC"/>
    <w:rsid w:val="00892ED2"/>
    <w:rsid w:val="00896CC4"/>
    <w:rsid w:val="008A2563"/>
    <w:rsid w:val="008A3B5B"/>
    <w:rsid w:val="008A4E99"/>
    <w:rsid w:val="008A5BC3"/>
    <w:rsid w:val="008A7669"/>
    <w:rsid w:val="008A7FEE"/>
    <w:rsid w:val="008B086E"/>
    <w:rsid w:val="008B58DD"/>
    <w:rsid w:val="008B7105"/>
    <w:rsid w:val="008C7453"/>
    <w:rsid w:val="008D0A20"/>
    <w:rsid w:val="008D1A52"/>
    <w:rsid w:val="008D46FB"/>
    <w:rsid w:val="008D77A9"/>
    <w:rsid w:val="008F00BC"/>
    <w:rsid w:val="008F1E41"/>
    <w:rsid w:val="008F65CF"/>
    <w:rsid w:val="008F789C"/>
    <w:rsid w:val="009051DA"/>
    <w:rsid w:val="00913E78"/>
    <w:rsid w:val="009150D2"/>
    <w:rsid w:val="009150E3"/>
    <w:rsid w:val="00916CE7"/>
    <w:rsid w:val="00920D6C"/>
    <w:rsid w:val="009216AA"/>
    <w:rsid w:val="00923E47"/>
    <w:rsid w:val="0093199E"/>
    <w:rsid w:val="009327D0"/>
    <w:rsid w:val="009359A9"/>
    <w:rsid w:val="00940F1F"/>
    <w:rsid w:val="009411B9"/>
    <w:rsid w:val="009451E9"/>
    <w:rsid w:val="009466D6"/>
    <w:rsid w:val="00950432"/>
    <w:rsid w:val="00951CEB"/>
    <w:rsid w:val="00954EA3"/>
    <w:rsid w:val="009567D4"/>
    <w:rsid w:val="00957700"/>
    <w:rsid w:val="00965C90"/>
    <w:rsid w:val="00966922"/>
    <w:rsid w:val="00966B22"/>
    <w:rsid w:val="009729EA"/>
    <w:rsid w:val="009746BE"/>
    <w:rsid w:val="00974E4E"/>
    <w:rsid w:val="00975C76"/>
    <w:rsid w:val="0098406C"/>
    <w:rsid w:val="00991888"/>
    <w:rsid w:val="00992C47"/>
    <w:rsid w:val="00996E91"/>
    <w:rsid w:val="009A2448"/>
    <w:rsid w:val="009A4DB7"/>
    <w:rsid w:val="009B0A88"/>
    <w:rsid w:val="009B3502"/>
    <w:rsid w:val="009B488F"/>
    <w:rsid w:val="009B4BE5"/>
    <w:rsid w:val="009B4F30"/>
    <w:rsid w:val="009C69B1"/>
    <w:rsid w:val="009D1438"/>
    <w:rsid w:val="009D412C"/>
    <w:rsid w:val="009D4AAD"/>
    <w:rsid w:val="009D5978"/>
    <w:rsid w:val="009D69DA"/>
    <w:rsid w:val="009D6FFD"/>
    <w:rsid w:val="009E2628"/>
    <w:rsid w:val="009E63F0"/>
    <w:rsid w:val="009E7D24"/>
    <w:rsid w:val="009F0C94"/>
    <w:rsid w:val="009F0D91"/>
    <w:rsid w:val="009F1059"/>
    <w:rsid w:val="009F17BC"/>
    <w:rsid w:val="009F3263"/>
    <w:rsid w:val="00A0259A"/>
    <w:rsid w:val="00A03313"/>
    <w:rsid w:val="00A04F45"/>
    <w:rsid w:val="00A065AB"/>
    <w:rsid w:val="00A111B0"/>
    <w:rsid w:val="00A119B1"/>
    <w:rsid w:val="00A14F5D"/>
    <w:rsid w:val="00A21836"/>
    <w:rsid w:val="00A218B6"/>
    <w:rsid w:val="00A42224"/>
    <w:rsid w:val="00A43FB9"/>
    <w:rsid w:val="00A46C66"/>
    <w:rsid w:val="00A50148"/>
    <w:rsid w:val="00A51221"/>
    <w:rsid w:val="00A522B6"/>
    <w:rsid w:val="00A55EDE"/>
    <w:rsid w:val="00A6083F"/>
    <w:rsid w:val="00A62B84"/>
    <w:rsid w:val="00A659A2"/>
    <w:rsid w:val="00A7351B"/>
    <w:rsid w:val="00A73560"/>
    <w:rsid w:val="00A748FF"/>
    <w:rsid w:val="00A805E6"/>
    <w:rsid w:val="00A81479"/>
    <w:rsid w:val="00A82257"/>
    <w:rsid w:val="00A838D6"/>
    <w:rsid w:val="00A840FB"/>
    <w:rsid w:val="00A8448A"/>
    <w:rsid w:val="00A9085C"/>
    <w:rsid w:val="00A91864"/>
    <w:rsid w:val="00A92DD1"/>
    <w:rsid w:val="00A93BF8"/>
    <w:rsid w:val="00A97A92"/>
    <w:rsid w:val="00AA5BF6"/>
    <w:rsid w:val="00AB24F5"/>
    <w:rsid w:val="00AB4E60"/>
    <w:rsid w:val="00AC189A"/>
    <w:rsid w:val="00AC7708"/>
    <w:rsid w:val="00AD2904"/>
    <w:rsid w:val="00AD4C81"/>
    <w:rsid w:val="00AD5B3C"/>
    <w:rsid w:val="00AE19D3"/>
    <w:rsid w:val="00AE2F09"/>
    <w:rsid w:val="00AE6CB3"/>
    <w:rsid w:val="00AE7911"/>
    <w:rsid w:val="00AF0504"/>
    <w:rsid w:val="00AF2567"/>
    <w:rsid w:val="00B030DA"/>
    <w:rsid w:val="00B05203"/>
    <w:rsid w:val="00B265C6"/>
    <w:rsid w:val="00B27306"/>
    <w:rsid w:val="00B27F46"/>
    <w:rsid w:val="00B31C90"/>
    <w:rsid w:val="00B339A7"/>
    <w:rsid w:val="00B36246"/>
    <w:rsid w:val="00B37C4C"/>
    <w:rsid w:val="00B40DB5"/>
    <w:rsid w:val="00B43268"/>
    <w:rsid w:val="00B44248"/>
    <w:rsid w:val="00B4453F"/>
    <w:rsid w:val="00B509C0"/>
    <w:rsid w:val="00B5528E"/>
    <w:rsid w:val="00B616AA"/>
    <w:rsid w:val="00B625B9"/>
    <w:rsid w:val="00B64473"/>
    <w:rsid w:val="00B6588D"/>
    <w:rsid w:val="00B7090C"/>
    <w:rsid w:val="00B71478"/>
    <w:rsid w:val="00B71A46"/>
    <w:rsid w:val="00B74279"/>
    <w:rsid w:val="00B74AFC"/>
    <w:rsid w:val="00B76AD9"/>
    <w:rsid w:val="00B77FAA"/>
    <w:rsid w:val="00B810FD"/>
    <w:rsid w:val="00B90B1B"/>
    <w:rsid w:val="00BA16FE"/>
    <w:rsid w:val="00BB0208"/>
    <w:rsid w:val="00BB123E"/>
    <w:rsid w:val="00BB3F03"/>
    <w:rsid w:val="00BB5FC0"/>
    <w:rsid w:val="00BB6CD2"/>
    <w:rsid w:val="00BC0419"/>
    <w:rsid w:val="00BC08A0"/>
    <w:rsid w:val="00BC6DA4"/>
    <w:rsid w:val="00BD0814"/>
    <w:rsid w:val="00BE060E"/>
    <w:rsid w:val="00BE5FB6"/>
    <w:rsid w:val="00BE61C6"/>
    <w:rsid w:val="00BE6CE0"/>
    <w:rsid w:val="00BE7D6F"/>
    <w:rsid w:val="00BF500E"/>
    <w:rsid w:val="00BF7700"/>
    <w:rsid w:val="00C00093"/>
    <w:rsid w:val="00C0220A"/>
    <w:rsid w:val="00C21B26"/>
    <w:rsid w:val="00C265E5"/>
    <w:rsid w:val="00C55F0A"/>
    <w:rsid w:val="00C62725"/>
    <w:rsid w:val="00C74E0E"/>
    <w:rsid w:val="00C76FCD"/>
    <w:rsid w:val="00C802BF"/>
    <w:rsid w:val="00C8100F"/>
    <w:rsid w:val="00C8637C"/>
    <w:rsid w:val="00C901B4"/>
    <w:rsid w:val="00C94E09"/>
    <w:rsid w:val="00C959F0"/>
    <w:rsid w:val="00CB665A"/>
    <w:rsid w:val="00CC1C8B"/>
    <w:rsid w:val="00CC5DFC"/>
    <w:rsid w:val="00CE0F76"/>
    <w:rsid w:val="00CE62DA"/>
    <w:rsid w:val="00CE77C8"/>
    <w:rsid w:val="00CF17DE"/>
    <w:rsid w:val="00CF5668"/>
    <w:rsid w:val="00D03617"/>
    <w:rsid w:val="00D042E0"/>
    <w:rsid w:val="00D05B75"/>
    <w:rsid w:val="00D1157B"/>
    <w:rsid w:val="00D138DB"/>
    <w:rsid w:val="00D14B7A"/>
    <w:rsid w:val="00D15C36"/>
    <w:rsid w:val="00D223CB"/>
    <w:rsid w:val="00D23ECA"/>
    <w:rsid w:val="00D26458"/>
    <w:rsid w:val="00D354B2"/>
    <w:rsid w:val="00D406C9"/>
    <w:rsid w:val="00D4230F"/>
    <w:rsid w:val="00D43823"/>
    <w:rsid w:val="00D4389F"/>
    <w:rsid w:val="00D45BBB"/>
    <w:rsid w:val="00D47A3B"/>
    <w:rsid w:val="00D557CD"/>
    <w:rsid w:val="00D557FB"/>
    <w:rsid w:val="00D56212"/>
    <w:rsid w:val="00D56DAD"/>
    <w:rsid w:val="00D56DC1"/>
    <w:rsid w:val="00D613B2"/>
    <w:rsid w:val="00D62618"/>
    <w:rsid w:val="00D63F1B"/>
    <w:rsid w:val="00D6551A"/>
    <w:rsid w:val="00D73666"/>
    <w:rsid w:val="00D73A2C"/>
    <w:rsid w:val="00D75979"/>
    <w:rsid w:val="00D75BA4"/>
    <w:rsid w:val="00D77747"/>
    <w:rsid w:val="00D8277D"/>
    <w:rsid w:val="00D84FA0"/>
    <w:rsid w:val="00D850EE"/>
    <w:rsid w:val="00D87DF5"/>
    <w:rsid w:val="00D92FFD"/>
    <w:rsid w:val="00D97536"/>
    <w:rsid w:val="00DA16E3"/>
    <w:rsid w:val="00DB0E23"/>
    <w:rsid w:val="00DB5D89"/>
    <w:rsid w:val="00DB6E11"/>
    <w:rsid w:val="00DB6F2C"/>
    <w:rsid w:val="00DC133A"/>
    <w:rsid w:val="00DC1DB6"/>
    <w:rsid w:val="00DD01A1"/>
    <w:rsid w:val="00DD0C3E"/>
    <w:rsid w:val="00DD1CDE"/>
    <w:rsid w:val="00DD280C"/>
    <w:rsid w:val="00DD3306"/>
    <w:rsid w:val="00DD382F"/>
    <w:rsid w:val="00DD53C7"/>
    <w:rsid w:val="00DD6217"/>
    <w:rsid w:val="00DE0706"/>
    <w:rsid w:val="00DE209A"/>
    <w:rsid w:val="00DE42B8"/>
    <w:rsid w:val="00DF081F"/>
    <w:rsid w:val="00DF4BA9"/>
    <w:rsid w:val="00DF4D9E"/>
    <w:rsid w:val="00DF78C1"/>
    <w:rsid w:val="00E048E0"/>
    <w:rsid w:val="00E05510"/>
    <w:rsid w:val="00E1038A"/>
    <w:rsid w:val="00E24D20"/>
    <w:rsid w:val="00E539E1"/>
    <w:rsid w:val="00E57462"/>
    <w:rsid w:val="00E57507"/>
    <w:rsid w:val="00E57ECE"/>
    <w:rsid w:val="00E6185A"/>
    <w:rsid w:val="00E61EA3"/>
    <w:rsid w:val="00E62004"/>
    <w:rsid w:val="00E63728"/>
    <w:rsid w:val="00E651AB"/>
    <w:rsid w:val="00E665CC"/>
    <w:rsid w:val="00E6757B"/>
    <w:rsid w:val="00E705BE"/>
    <w:rsid w:val="00E755B9"/>
    <w:rsid w:val="00E76C40"/>
    <w:rsid w:val="00E830DA"/>
    <w:rsid w:val="00E9239B"/>
    <w:rsid w:val="00E95585"/>
    <w:rsid w:val="00E95598"/>
    <w:rsid w:val="00EA1220"/>
    <w:rsid w:val="00EA18C7"/>
    <w:rsid w:val="00EA4013"/>
    <w:rsid w:val="00EC175D"/>
    <w:rsid w:val="00EC61E0"/>
    <w:rsid w:val="00EC6F3E"/>
    <w:rsid w:val="00EE033F"/>
    <w:rsid w:val="00EE7A71"/>
    <w:rsid w:val="00EF141A"/>
    <w:rsid w:val="00F00C04"/>
    <w:rsid w:val="00F0264C"/>
    <w:rsid w:val="00F0383D"/>
    <w:rsid w:val="00F03C25"/>
    <w:rsid w:val="00F07D1B"/>
    <w:rsid w:val="00F111AA"/>
    <w:rsid w:val="00F20D19"/>
    <w:rsid w:val="00F23F5B"/>
    <w:rsid w:val="00F2477E"/>
    <w:rsid w:val="00F25065"/>
    <w:rsid w:val="00F27898"/>
    <w:rsid w:val="00F31B78"/>
    <w:rsid w:val="00F31F09"/>
    <w:rsid w:val="00F3340D"/>
    <w:rsid w:val="00F418CC"/>
    <w:rsid w:val="00F561EC"/>
    <w:rsid w:val="00F62A97"/>
    <w:rsid w:val="00F6573A"/>
    <w:rsid w:val="00F70ED1"/>
    <w:rsid w:val="00F71525"/>
    <w:rsid w:val="00F75FC9"/>
    <w:rsid w:val="00F77614"/>
    <w:rsid w:val="00F80C4F"/>
    <w:rsid w:val="00F81117"/>
    <w:rsid w:val="00F83EF3"/>
    <w:rsid w:val="00F84070"/>
    <w:rsid w:val="00F87D42"/>
    <w:rsid w:val="00F935A8"/>
    <w:rsid w:val="00F973B9"/>
    <w:rsid w:val="00F97CC2"/>
    <w:rsid w:val="00FA1C35"/>
    <w:rsid w:val="00FA63DB"/>
    <w:rsid w:val="00FB5B60"/>
    <w:rsid w:val="00FB63B8"/>
    <w:rsid w:val="00FC34AF"/>
    <w:rsid w:val="00FC4EC7"/>
    <w:rsid w:val="00FC65B2"/>
    <w:rsid w:val="00FD0E93"/>
    <w:rsid w:val="00FD5F12"/>
    <w:rsid w:val="00FE14B0"/>
    <w:rsid w:val="00FE4B68"/>
    <w:rsid w:val="00FE5BA5"/>
    <w:rsid w:val="00FF18D4"/>
    <w:rsid w:val="00FF3107"/>
    <w:rsid w:val="00FF3A84"/>
    <w:rsid w:val="00FF3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592"/>
    <w:rPr>
      <w:rFonts w:ascii="Palatino" w:hAnsi="Palatino"/>
      <w:sz w:val="26"/>
    </w:rPr>
  </w:style>
  <w:style w:type="paragraph" w:styleId="Heading1">
    <w:name w:val="heading 1"/>
    <w:basedOn w:val="Normal"/>
    <w:next w:val="standard"/>
    <w:qFormat/>
    <w:rsid w:val="00DC1DB6"/>
    <w:pPr>
      <w:keepNext/>
      <w:spacing w:before="120" w:after="240"/>
      <w:outlineLvl w:val="0"/>
    </w:pPr>
    <w:rPr>
      <w:rFonts w:ascii="Helvetica" w:hAnsi="Helvetica"/>
      <w:b/>
      <w:caps/>
      <w:kern w:val="28"/>
      <w:u w:val="single"/>
    </w:rPr>
  </w:style>
  <w:style w:type="paragraph" w:styleId="Heading2">
    <w:name w:val="heading 2"/>
    <w:basedOn w:val="Normal"/>
    <w:next w:val="sub1"/>
    <w:qFormat/>
    <w:rsid w:val="00DC1DB6"/>
    <w:pPr>
      <w:keepNext/>
      <w:numPr>
        <w:ilvl w:val="1"/>
        <w:numId w:val="3"/>
      </w:numPr>
      <w:spacing w:before="120" w:after="120"/>
      <w:outlineLvl w:val="1"/>
    </w:pPr>
    <w:rPr>
      <w:rFonts w:ascii="Helvetica" w:hAnsi="Helvetica"/>
      <w:b/>
      <w:i/>
    </w:rPr>
  </w:style>
  <w:style w:type="paragraph" w:styleId="Heading3">
    <w:name w:val="heading 3"/>
    <w:basedOn w:val="Normal"/>
    <w:next w:val="sub2"/>
    <w:qFormat/>
    <w:rsid w:val="00DC1DB6"/>
    <w:pPr>
      <w:keepNext/>
      <w:spacing w:before="120" w:after="120"/>
      <w:ind w:firstLine="2160"/>
      <w:outlineLvl w:val="2"/>
    </w:pPr>
    <w:rPr>
      <w:rFonts w:ascii="Helvetica" w:hAnsi="Helvetica"/>
      <w:b/>
    </w:rPr>
  </w:style>
  <w:style w:type="paragraph" w:styleId="Heading4">
    <w:name w:val="heading 4"/>
    <w:basedOn w:val="Normal"/>
    <w:next w:val="sub3"/>
    <w:qFormat/>
    <w:rsid w:val="00DC1DB6"/>
    <w:pPr>
      <w:keepNext/>
      <w:spacing w:before="120" w:after="120"/>
      <w:ind w:firstLine="2880"/>
      <w:outlineLvl w:val="3"/>
    </w:pPr>
    <w:rPr>
      <w:rFonts w:ascii="Helvetica" w:hAnsi="Helvetica"/>
      <w:b/>
      <w:i/>
    </w:rPr>
  </w:style>
  <w:style w:type="paragraph" w:styleId="Heading5">
    <w:name w:val="heading 5"/>
    <w:basedOn w:val="Normal"/>
    <w:next w:val="sub4"/>
    <w:qFormat/>
    <w:rsid w:val="00DC1DB6"/>
    <w:pPr>
      <w:spacing w:before="120" w:after="120"/>
      <w:ind w:firstLine="3600"/>
      <w:outlineLvl w:val="4"/>
    </w:pPr>
    <w:rPr>
      <w:rFonts w:ascii="Helvetica" w:hAnsi="Helvetica"/>
      <w:b/>
    </w:rPr>
  </w:style>
  <w:style w:type="paragraph" w:styleId="Heading6">
    <w:name w:val="heading 6"/>
    <w:basedOn w:val="Normal"/>
    <w:next w:val="Normal"/>
    <w:qFormat/>
    <w:rsid w:val="00DC1DB6"/>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B086E"/>
    <w:pPr>
      <w:spacing w:after="240"/>
    </w:pPr>
    <w:rPr>
      <w:sz w:val="24"/>
    </w:rPr>
  </w:style>
  <w:style w:type="paragraph" w:styleId="EndnoteText">
    <w:name w:val="endnote text"/>
    <w:basedOn w:val="Normal"/>
    <w:semiHidden/>
    <w:rsid w:val="00DC1DB6"/>
    <w:rPr>
      <w:sz w:val="20"/>
    </w:rPr>
  </w:style>
  <w:style w:type="paragraph" w:customStyle="1" w:styleId="standard">
    <w:name w:val="standard"/>
    <w:basedOn w:val="Normal"/>
    <w:rsid w:val="00DC1DB6"/>
    <w:pPr>
      <w:spacing w:line="360" w:lineRule="auto"/>
      <w:ind w:firstLine="720"/>
    </w:pPr>
  </w:style>
  <w:style w:type="paragraph" w:styleId="Subtitle">
    <w:name w:val="Subtitle"/>
    <w:basedOn w:val="Normal"/>
    <w:qFormat/>
    <w:rsid w:val="00DC1DB6"/>
    <w:pPr>
      <w:spacing w:after="60"/>
      <w:jc w:val="center"/>
    </w:pPr>
    <w:rPr>
      <w:rFonts w:ascii="Arial" w:hAnsi="Arial"/>
    </w:rPr>
  </w:style>
  <w:style w:type="paragraph" w:customStyle="1" w:styleId="Quote1">
    <w:name w:val="Quote1"/>
    <w:basedOn w:val="standard"/>
    <w:next w:val="standard"/>
    <w:rsid w:val="00DC1DB6"/>
    <w:pPr>
      <w:spacing w:before="120" w:after="240" w:line="240" w:lineRule="auto"/>
      <w:ind w:left="720" w:right="720" w:firstLine="0"/>
    </w:pPr>
  </w:style>
  <w:style w:type="paragraph" w:customStyle="1" w:styleId="Style1">
    <w:name w:val="Style1"/>
    <w:basedOn w:val="1ListIndent"/>
    <w:rsid w:val="00DC1DB6"/>
    <w:pPr>
      <w:numPr>
        <w:numId w:val="0"/>
      </w:numPr>
    </w:pPr>
  </w:style>
  <w:style w:type="paragraph" w:styleId="TOC4">
    <w:name w:val="toc 4"/>
    <w:basedOn w:val="Normal"/>
    <w:next w:val="Normal"/>
    <w:semiHidden/>
    <w:rsid w:val="00DC1DB6"/>
    <w:pPr>
      <w:tabs>
        <w:tab w:val="right" w:leader="dot" w:pos="9360"/>
      </w:tabs>
      <w:ind w:left="720"/>
    </w:pPr>
  </w:style>
  <w:style w:type="paragraph" w:customStyle="1" w:styleId="main">
    <w:name w:val="main"/>
    <w:basedOn w:val="Normal"/>
    <w:rsid w:val="00DC1DB6"/>
    <w:pPr>
      <w:jc w:val="center"/>
    </w:pPr>
    <w:rPr>
      <w:rFonts w:ascii="Helvetica" w:hAnsi="Helvetica"/>
      <w:b/>
    </w:rPr>
  </w:style>
  <w:style w:type="paragraph" w:customStyle="1" w:styleId="mainex">
    <w:name w:val="mainex"/>
    <w:basedOn w:val="main"/>
    <w:rsid w:val="00DC1DB6"/>
    <w:pPr>
      <w:keepNext/>
    </w:pPr>
    <w:rPr>
      <w:spacing w:val="120"/>
    </w:rPr>
  </w:style>
  <w:style w:type="paragraph" w:customStyle="1" w:styleId="num1">
    <w:name w:val="num1"/>
    <w:basedOn w:val="Normal"/>
    <w:rsid w:val="00DC1DB6"/>
    <w:pPr>
      <w:tabs>
        <w:tab w:val="left" w:pos="-720"/>
      </w:tabs>
      <w:suppressAutoHyphens/>
      <w:spacing w:after="240"/>
    </w:pPr>
  </w:style>
  <w:style w:type="paragraph" w:styleId="Header">
    <w:name w:val="header"/>
    <w:basedOn w:val="Normal"/>
    <w:rsid w:val="00DC1DB6"/>
    <w:pPr>
      <w:widowControl w:val="0"/>
      <w:tabs>
        <w:tab w:val="center" w:pos="4320"/>
        <w:tab w:val="right" w:pos="8640"/>
      </w:tabs>
    </w:pPr>
  </w:style>
  <w:style w:type="paragraph" w:customStyle="1" w:styleId="num2">
    <w:name w:val="num2"/>
    <w:basedOn w:val="num1"/>
    <w:rsid w:val="00DC1DB6"/>
    <w:pPr>
      <w:ind w:firstLine="270"/>
    </w:pPr>
  </w:style>
  <w:style w:type="paragraph" w:styleId="Footer">
    <w:name w:val="footer"/>
    <w:basedOn w:val="Normal"/>
    <w:rsid w:val="00DC1DB6"/>
    <w:pPr>
      <w:tabs>
        <w:tab w:val="center" w:pos="4320"/>
        <w:tab w:val="right" w:pos="8640"/>
      </w:tabs>
      <w:jc w:val="center"/>
    </w:pPr>
  </w:style>
  <w:style w:type="paragraph" w:customStyle="1" w:styleId="sub1">
    <w:name w:val="sub1"/>
    <w:basedOn w:val="Normal"/>
    <w:rsid w:val="00DC1DB6"/>
    <w:pPr>
      <w:spacing w:line="360" w:lineRule="auto"/>
      <w:ind w:firstLine="1440"/>
    </w:pPr>
  </w:style>
  <w:style w:type="paragraph" w:customStyle="1" w:styleId="titlebar">
    <w:name w:val="title bar"/>
    <w:basedOn w:val="main"/>
    <w:rsid w:val="00DC1DB6"/>
    <w:pPr>
      <w:keepNext/>
      <w:suppressAutoHyphens/>
    </w:pPr>
  </w:style>
  <w:style w:type="character" w:styleId="PageNumber">
    <w:name w:val="page number"/>
    <w:basedOn w:val="DefaultParagraphFont"/>
    <w:rsid w:val="00DC1DB6"/>
  </w:style>
  <w:style w:type="paragraph" w:customStyle="1" w:styleId="sub2">
    <w:name w:val="sub2"/>
    <w:basedOn w:val="Normal"/>
    <w:rsid w:val="00DC1DB6"/>
    <w:pPr>
      <w:spacing w:line="360" w:lineRule="auto"/>
      <w:ind w:firstLine="2160"/>
    </w:pPr>
  </w:style>
  <w:style w:type="paragraph" w:customStyle="1" w:styleId="sub3">
    <w:name w:val="sub3"/>
    <w:basedOn w:val="Normal"/>
    <w:rsid w:val="00DC1DB6"/>
    <w:pPr>
      <w:spacing w:line="360" w:lineRule="auto"/>
      <w:ind w:firstLine="2880"/>
    </w:pPr>
  </w:style>
  <w:style w:type="paragraph" w:customStyle="1" w:styleId="sub4">
    <w:name w:val="sub4"/>
    <w:basedOn w:val="Normal"/>
    <w:rsid w:val="00DC1DB6"/>
    <w:pPr>
      <w:ind w:firstLine="3600"/>
    </w:pPr>
  </w:style>
  <w:style w:type="paragraph" w:customStyle="1" w:styleId="dummy">
    <w:name w:val="dummy"/>
    <w:basedOn w:val="Heading1"/>
    <w:rsid w:val="00DC1DB6"/>
    <w:pPr>
      <w:outlineLvl w:val="9"/>
    </w:pPr>
  </w:style>
  <w:style w:type="paragraph" w:customStyle="1" w:styleId="AListIndent">
    <w:name w:val="A. List Indent"/>
    <w:basedOn w:val="1ListIndent"/>
    <w:rsid w:val="00DC1DB6"/>
    <w:pPr>
      <w:numPr>
        <w:numId w:val="1"/>
      </w:numPr>
      <w:ind w:left="1440" w:hanging="720"/>
    </w:pPr>
  </w:style>
  <w:style w:type="character" w:styleId="EndnoteReference">
    <w:name w:val="endnote reference"/>
    <w:basedOn w:val="DefaultParagraphFont"/>
    <w:semiHidden/>
    <w:rsid w:val="00DC1DB6"/>
    <w:rPr>
      <w:vertAlign w:val="superscript"/>
    </w:rPr>
  </w:style>
  <w:style w:type="paragraph" w:customStyle="1" w:styleId="1ListIndent">
    <w:name w:val="1. List Indent"/>
    <w:basedOn w:val="num2"/>
    <w:rsid w:val="00DC1DB6"/>
    <w:pPr>
      <w:numPr>
        <w:numId w:val="2"/>
      </w:numPr>
      <w:ind w:left="1080"/>
    </w:pPr>
  </w:style>
  <w:style w:type="character" w:styleId="FootnoteReference">
    <w:name w:val="footnote reference"/>
    <w:basedOn w:val="DefaultParagraphFont"/>
    <w:semiHidden/>
    <w:rsid w:val="00DC1DB6"/>
    <w:rPr>
      <w:vertAlign w:val="superscript"/>
    </w:rPr>
  </w:style>
  <w:style w:type="paragraph" w:styleId="List">
    <w:name w:val="List"/>
    <w:basedOn w:val="Normal"/>
    <w:rsid w:val="00DC1DB6"/>
    <w:pPr>
      <w:ind w:left="360" w:hanging="360"/>
    </w:pPr>
    <w:rPr>
      <w:rFonts w:ascii="Times New Roman" w:hAnsi="Times New Roman"/>
      <w:sz w:val="24"/>
    </w:rPr>
  </w:style>
  <w:style w:type="paragraph" w:customStyle="1" w:styleId="Res-Caption">
    <w:name w:val="Res-Caption"/>
    <w:basedOn w:val="Normal"/>
    <w:rsid w:val="00DC1DB6"/>
    <w:pPr>
      <w:ind w:left="720" w:right="720"/>
    </w:pPr>
  </w:style>
  <w:style w:type="paragraph" w:customStyle="1" w:styleId="Res-TitleResolution">
    <w:name w:val="Res-Title (Resolution)"/>
    <w:basedOn w:val="main"/>
    <w:rsid w:val="00DC1DB6"/>
  </w:style>
  <w:style w:type="paragraph" w:customStyle="1" w:styleId="ALs">
    <w:name w:val="ALs"/>
    <w:basedOn w:val="Normal"/>
    <w:rsid w:val="00DC1DB6"/>
    <w:rPr>
      <w:rFonts w:ascii="Times New Roman" w:hAnsi="Times New Roman"/>
      <w:sz w:val="24"/>
    </w:rPr>
  </w:style>
  <w:style w:type="table" w:styleId="TableGrid">
    <w:name w:val="Table Grid"/>
    <w:basedOn w:val="TableNormal"/>
    <w:rsid w:val="00424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7A6BF1"/>
  </w:style>
  <w:style w:type="paragraph" w:customStyle="1" w:styleId="Style3">
    <w:name w:val="Style3"/>
    <w:basedOn w:val="Normal"/>
    <w:rsid w:val="008B086E"/>
  </w:style>
  <w:style w:type="paragraph" w:styleId="BalloonText">
    <w:name w:val="Balloon Text"/>
    <w:basedOn w:val="Normal"/>
    <w:semiHidden/>
    <w:rsid w:val="001972FC"/>
    <w:rPr>
      <w:rFonts w:ascii="Tahoma" w:hAnsi="Tahoma" w:cs="Tahoma"/>
      <w:sz w:val="16"/>
      <w:szCs w:val="16"/>
    </w:rPr>
  </w:style>
  <w:style w:type="paragraph" w:styleId="ListParagraph">
    <w:name w:val="List Paragraph"/>
    <w:basedOn w:val="Normal"/>
    <w:uiPriority w:val="34"/>
    <w:qFormat/>
    <w:rsid w:val="005A5424"/>
    <w:pPr>
      <w:ind w:left="720"/>
      <w:contextualSpacing/>
    </w:pPr>
  </w:style>
  <w:style w:type="character" w:customStyle="1" w:styleId="apple-converted-space">
    <w:name w:val="apple-converted-space"/>
    <w:basedOn w:val="DefaultParagraphFont"/>
    <w:rsid w:val="00437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592"/>
    <w:rPr>
      <w:rFonts w:ascii="Palatino" w:hAnsi="Palatino"/>
      <w:sz w:val="26"/>
    </w:rPr>
  </w:style>
  <w:style w:type="paragraph" w:styleId="Heading1">
    <w:name w:val="heading 1"/>
    <w:basedOn w:val="Normal"/>
    <w:next w:val="standard"/>
    <w:qFormat/>
    <w:rsid w:val="00DC1DB6"/>
    <w:pPr>
      <w:keepNext/>
      <w:spacing w:before="120" w:after="240"/>
      <w:outlineLvl w:val="0"/>
    </w:pPr>
    <w:rPr>
      <w:rFonts w:ascii="Helvetica" w:hAnsi="Helvetica"/>
      <w:b/>
      <w:caps/>
      <w:kern w:val="28"/>
      <w:u w:val="single"/>
    </w:rPr>
  </w:style>
  <w:style w:type="paragraph" w:styleId="Heading2">
    <w:name w:val="heading 2"/>
    <w:basedOn w:val="Normal"/>
    <w:next w:val="sub1"/>
    <w:qFormat/>
    <w:rsid w:val="00DC1DB6"/>
    <w:pPr>
      <w:keepNext/>
      <w:numPr>
        <w:ilvl w:val="1"/>
        <w:numId w:val="3"/>
      </w:numPr>
      <w:spacing w:before="120" w:after="120"/>
      <w:outlineLvl w:val="1"/>
    </w:pPr>
    <w:rPr>
      <w:rFonts w:ascii="Helvetica" w:hAnsi="Helvetica"/>
      <w:b/>
      <w:i/>
    </w:rPr>
  </w:style>
  <w:style w:type="paragraph" w:styleId="Heading3">
    <w:name w:val="heading 3"/>
    <w:basedOn w:val="Normal"/>
    <w:next w:val="sub2"/>
    <w:qFormat/>
    <w:rsid w:val="00DC1DB6"/>
    <w:pPr>
      <w:keepNext/>
      <w:spacing w:before="120" w:after="120"/>
      <w:ind w:firstLine="2160"/>
      <w:outlineLvl w:val="2"/>
    </w:pPr>
    <w:rPr>
      <w:rFonts w:ascii="Helvetica" w:hAnsi="Helvetica"/>
      <w:b/>
    </w:rPr>
  </w:style>
  <w:style w:type="paragraph" w:styleId="Heading4">
    <w:name w:val="heading 4"/>
    <w:basedOn w:val="Normal"/>
    <w:next w:val="sub3"/>
    <w:qFormat/>
    <w:rsid w:val="00DC1DB6"/>
    <w:pPr>
      <w:keepNext/>
      <w:spacing w:before="120" w:after="120"/>
      <w:ind w:firstLine="2880"/>
      <w:outlineLvl w:val="3"/>
    </w:pPr>
    <w:rPr>
      <w:rFonts w:ascii="Helvetica" w:hAnsi="Helvetica"/>
      <w:b/>
      <w:i/>
    </w:rPr>
  </w:style>
  <w:style w:type="paragraph" w:styleId="Heading5">
    <w:name w:val="heading 5"/>
    <w:basedOn w:val="Normal"/>
    <w:next w:val="sub4"/>
    <w:qFormat/>
    <w:rsid w:val="00DC1DB6"/>
    <w:pPr>
      <w:spacing w:before="120" w:after="120"/>
      <w:ind w:firstLine="3600"/>
      <w:outlineLvl w:val="4"/>
    </w:pPr>
    <w:rPr>
      <w:rFonts w:ascii="Helvetica" w:hAnsi="Helvetica"/>
      <w:b/>
    </w:rPr>
  </w:style>
  <w:style w:type="paragraph" w:styleId="Heading6">
    <w:name w:val="heading 6"/>
    <w:basedOn w:val="Normal"/>
    <w:next w:val="Normal"/>
    <w:qFormat/>
    <w:rsid w:val="00DC1DB6"/>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B086E"/>
    <w:pPr>
      <w:spacing w:after="240"/>
    </w:pPr>
    <w:rPr>
      <w:sz w:val="24"/>
    </w:rPr>
  </w:style>
  <w:style w:type="paragraph" w:styleId="EndnoteText">
    <w:name w:val="endnote text"/>
    <w:basedOn w:val="Normal"/>
    <w:semiHidden/>
    <w:rsid w:val="00DC1DB6"/>
    <w:rPr>
      <w:sz w:val="20"/>
    </w:rPr>
  </w:style>
  <w:style w:type="paragraph" w:customStyle="1" w:styleId="standard">
    <w:name w:val="standard"/>
    <w:basedOn w:val="Normal"/>
    <w:rsid w:val="00DC1DB6"/>
    <w:pPr>
      <w:spacing w:line="360" w:lineRule="auto"/>
      <w:ind w:firstLine="720"/>
    </w:pPr>
  </w:style>
  <w:style w:type="paragraph" w:styleId="Subtitle">
    <w:name w:val="Subtitle"/>
    <w:basedOn w:val="Normal"/>
    <w:qFormat/>
    <w:rsid w:val="00DC1DB6"/>
    <w:pPr>
      <w:spacing w:after="60"/>
      <w:jc w:val="center"/>
    </w:pPr>
    <w:rPr>
      <w:rFonts w:ascii="Arial" w:hAnsi="Arial"/>
    </w:rPr>
  </w:style>
  <w:style w:type="paragraph" w:customStyle="1" w:styleId="Quote1">
    <w:name w:val="Quote1"/>
    <w:basedOn w:val="standard"/>
    <w:next w:val="standard"/>
    <w:rsid w:val="00DC1DB6"/>
    <w:pPr>
      <w:spacing w:before="120" w:after="240" w:line="240" w:lineRule="auto"/>
      <w:ind w:left="720" w:right="720" w:firstLine="0"/>
    </w:pPr>
  </w:style>
  <w:style w:type="paragraph" w:customStyle="1" w:styleId="Style1">
    <w:name w:val="Style1"/>
    <w:basedOn w:val="1ListIndent"/>
    <w:rsid w:val="00DC1DB6"/>
    <w:pPr>
      <w:numPr>
        <w:numId w:val="0"/>
      </w:numPr>
    </w:pPr>
  </w:style>
  <w:style w:type="paragraph" w:styleId="TOC4">
    <w:name w:val="toc 4"/>
    <w:basedOn w:val="Normal"/>
    <w:next w:val="Normal"/>
    <w:semiHidden/>
    <w:rsid w:val="00DC1DB6"/>
    <w:pPr>
      <w:tabs>
        <w:tab w:val="right" w:leader="dot" w:pos="9360"/>
      </w:tabs>
      <w:ind w:left="720"/>
    </w:pPr>
  </w:style>
  <w:style w:type="paragraph" w:customStyle="1" w:styleId="main">
    <w:name w:val="main"/>
    <w:basedOn w:val="Normal"/>
    <w:rsid w:val="00DC1DB6"/>
    <w:pPr>
      <w:jc w:val="center"/>
    </w:pPr>
    <w:rPr>
      <w:rFonts w:ascii="Helvetica" w:hAnsi="Helvetica"/>
      <w:b/>
    </w:rPr>
  </w:style>
  <w:style w:type="paragraph" w:customStyle="1" w:styleId="mainex">
    <w:name w:val="mainex"/>
    <w:basedOn w:val="main"/>
    <w:rsid w:val="00DC1DB6"/>
    <w:pPr>
      <w:keepNext/>
    </w:pPr>
    <w:rPr>
      <w:spacing w:val="120"/>
    </w:rPr>
  </w:style>
  <w:style w:type="paragraph" w:customStyle="1" w:styleId="num1">
    <w:name w:val="num1"/>
    <w:basedOn w:val="Normal"/>
    <w:rsid w:val="00DC1DB6"/>
    <w:pPr>
      <w:tabs>
        <w:tab w:val="left" w:pos="-720"/>
      </w:tabs>
      <w:suppressAutoHyphens/>
      <w:spacing w:after="240"/>
    </w:pPr>
  </w:style>
  <w:style w:type="paragraph" w:styleId="Header">
    <w:name w:val="header"/>
    <w:basedOn w:val="Normal"/>
    <w:rsid w:val="00DC1DB6"/>
    <w:pPr>
      <w:widowControl w:val="0"/>
      <w:tabs>
        <w:tab w:val="center" w:pos="4320"/>
        <w:tab w:val="right" w:pos="8640"/>
      </w:tabs>
    </w:pPr>
  </w:style>
  <w:style w:type="paragraph" w:customStyle="1" w:styleId="num2">
    <w:name w:val="num2"/>
    <w:basedOn w:val="num1"/>
    <w:rsid w:val="00DC1DB6"/>
    <w:pPr>
      <w:ind w:firstLine="270"/>
    </w:pPr>
  </w:style>
  <w:style w:type="paragraph" w:styleId="Footer">
    <w:name w:val="footer"/>
    <w:basedOn w:val="Normal"/>
    <w:rsid w:val="00DC1DB6"/>
    <w:pPr>
      <w:tabs>
        <w:tab w:val="center" w:pos="4320"/>
        <w:tab w:val="right" w:pos="8640"/>
      </w:tabs>
      <w:jc w:val="center"/>
    </w:pPr>
  </w:style>
  <w:style w:type="paragraph" w:customStyle="1" w:styleId="sub1">
    <w:name w:val="sub1"/>
    <w:basedOn w:val="Normal"/>
    <w:rsid w:val="00DC1DB6"/>
    <w:pPr>
      <w:spacing w:line="360" w:lineRule="auto"/>
      <w:ind w:firstLine="1440"/>
    </w:pPr>
  </w:style>
  <w:style w:type="paragraph" w:customStyle="1" w:styleId="titlebar">
    <w:name w:val="title bar"/>
    <w:basedOn w:val="main"/>
    <w:rsid w:val="00DC1DB6"/>
    <w:pPr>
      <w:keepNext/>
      <w:suppressAutoHyphens/>
    </w:pPr>
  </w:style>
  <w:style w:type="character" w:styleId="PageNumber">
    <w:name w:val="page number"/>
    <w:basedOn w:val="DefaultParagraphFont"/>
    <w:rsid w:val="00DC1DB6"/>
  </w:style>
  <w:style w:type="paragraph" w:customStyle="1" w:styleId="sub2">
    <w:name w:val="sub2"/>
    <w:basedOn w:val="Normal"/>
    <w:rsid w:val="00DC1DB6"/>
    <w:pPr>
      <w:spacing w:line="360" w:lineRule="auto"/>
      <w:ind w:firstLine="2160"/>
    </w:pPr>
  </w:style>
  <w:style w:type="paragraph" w:customStyle="1" w:styleId="sub3">
    <w:name w:val="sub3"/>
    <w:basedOn w:val="Normal"/>
    <w:rsid w:val="00DC1DB6"/>
    <w:pPr>
      <w:spacing w:line="360" w:lineRule="auto"/>
      <w:ind w:firstLine="2880"/>
    </w:pPr>
  </w:style>
  <w:style w:type="paragraph" w:customStyle="1" w:styleId="sub4">
    <w:name w:val="sub4"/>
    <w:basedOn w:val="Normal"/>
    <w:rsid w:val="00DC1DB6"/>
    <w:pPr>
      <w:ind w:firstLine="3600"/>
    </w:pPr>
  </w:style>
  <w:style w:type="paragraph" w:customStyle="1" w:styleId="dummy">
    <w:name w:val="dummy"/>
    <w:basedOn w:val="Heading1"/>
    <w:rsid w:val="00DC1DB6"/>
    <w:pPr>
      <w:outlineLvl w:val="9"/>
    </w:pPr>
  </w:style>
  <w:style w:type="paragraph" w:customStyle="1" w:styleId="AListIndent">
    <w:name w:val="A. List Indent"/>
    <w:basedOn w:val="1ListIndent"/>
    <w:rsid w:val="00DC1DB6"/>
    <w:pPr>
      <w:numPr>
        <w:numId w:val="1"/>
      </w:numPr>
      <w:ind w:left="1440" w:hanging="720"/>
    </w:pPr>
  </w:style>
  <w:style w:type="character" w:styleId="EndnoteReference">
    <w:name w:val="endnote reference"/>
    <w:basedOn w:val="DefaultParagraphFont"/>
    <w:semiHidden/>
    <w:rsid w:val="00DC1DB6"/>
    <w:rPr>
      <w:vertAlign w:val="superscript"/>
    </w:rPr>
  </w:style>
  <w:style w:type="paragraph" w:customStyle="1" w:styleId="1ListIndent">
    <w:name w:val="1. List Indent"/>
    <w:basedOn w:val="num2"/>
    <w:rsid w:val="00DC1DB6"/>
    <w:pPr>
      <w:numPr>
        <w:numId w:val="2"/>
      </w:numPr>
      <w:ind w:left="1080"/>
    </w:pPr>
  </w:style>
  <w:style w:type="character" w:styleId="FootnoteReference">
    <w:name w:val="footnote reference"/>
    <w:basedOn w:val="DefaultParagraphFont"/>
    <w:semiHidden/>
    <w:rsid w:val="00DC1DB6"/>
    <w:rPr>
      <w:vertAlign w:val="superscript"/>
    </w:rPr>
  </w:style>
  <w:style w:type="paragraph" w:styleId="List">
    <w:name w:val="List"/>
    <w:basedOn w:val="Normal"/>
    <w:rsid w:val="00DC1DB6"/>
    <w:pPr>
      <w:ind w:left="360" w:hanging="360"/>
    </w:pPr>
    <w:rPr>
      <w:rFonts w:ascii="Times New Roman" w:hAnsi="Times New Roman"/>
      <w:sz w:val="24"/>
    </w:rPr>
  </w:style>
  <w:style w:type="paragraph" w:customStyle="1" w:styleId="Res-Caption">
    <w:name w:val="Res-Caption"/>
    <w:basedOn w:val="Normal"/>
    <w:rsid w:val="00DC1DB6"/>
    <w:pPr>
      <w:ind w:left="720" w:right="720"/>
    </w:pPr>
  </w:style>
  <w:style w:type="paragraph" w:customStyle="1" w:styleId="Res-TitleResolution">
    <w:name w:val="Res-Title (Resolution)"/>
    <w:basedOn w:val="main"/>
    <w:rsid w:val="00DC1DB6"/>
  </w:style>
  <w:style w:type="paragraph" w:customStyle="1" w:styleId="ALs">
    <w:name w:val="ALs"/>
    <w:basedOn w:val="Normal"/>
    <w:rsid w:val="00DC1DB6"/>
    <w:rPr>
      <w:rFonts w:ascii="Times New Roman" w:hAnsi="Times New Roman"/>
      <w:sz w:val="24"/>
    </w:rPr>
  </w:style>
  <w:style w:type="table" w:styleId="TableGrid">
    <w:name w:val="Table Grid"/>
    <w:basedOn w:val="TableNormal"/>
    <w:rsid w:val="00424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7A6BF1"/>
  </w:style>
  <w:style w:type="paragraph" w:customStyle="1" w:styleId="Style3">
    <w:name w:val="Style3"/>
    <w:basedOn w:val="Normal"/>
    <w:rsid w:val="008B086E"/>
  </w:style>
  <w:style w:type="paragraph" w:styleId="BalloonText">
    <w:name w:val="Balloon Text"/>
    <w:basedOn w:val="Normal"/>
    <w:semiHidden/>
    <w:rsid w:val="001972FC"/>
    <w:rPr>
      <w:rFonts w:ascii="Tahoma" w:hAnsi="Tahoma" w:cs="Tahoma"/>
      <w:sz w:val="16"/>
      <w:szCs w:val="16"/>
    </w:rPr>
  </w:style>
  <w:style w:type="paragraph" w:styleId="ListParagraph">
    <w:name w:val="List Paragraph"/>
    <w:basedOn w:val="Normal"/>
    <w:uiPriority w:val="34"/>
    <w:qFormat/>
    <w:rsid w:val="005A5424"/>
    <w:pPr>
      <w:ind w:left="720"/>
      <w:contextualSpacing/>
    </w:pPr>
  </w:style>
  <w:style w:type="character" w:customStyle="1" w:styleId="apple-converted-space">
    <w:name w:val="apple-converted-space"/>
    <w:basedOn w:val="DefaultParagraphFont"/>
    <w:rsid w:val="00437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1993</Words>
  <Characters>11681</Characters>
  <Application>Microsoft Office Word</Application>
  <DocSecurity>0</DocSecurity>
  <Lines>264</Lines>
  <Paragraphs>70</Paragraphs>
  <ScaleCrop>false</ScaleCrop>
  <HeadingPairs>
    <vt:vector size="2" baseType="variant">
      <vt:variant>
        <vt:lpstr>Title</vt:lpstr>
      </vt:variant>
      <vt:variant>
        <vt:i4>1</vt:i4>
      </vt:variant>
    </vt:vector>
  </HeadingPairs>
  <TitlesOfParts>
    <vt:vector size="1" baseType="lpstr">
      <vt:lpstr>Resolution Template</vt:lpstr>
    </vt:vector>
  </TitlesOfParts>
  <Manager/>
  <Company/>
  <LinksUpToDate>false</LinksUpToDate>
  <CharactersWithSpaces>13810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2016-02-08T19:43:00Z</cp:lastPrinted>
  <dcterms:created xsi:type="dcterms:W3CDTF">2016-03-30T16:46:00Z</dcterms:created>
  <dcterms:modified xsi:type="dcterms:W3CDTF">2016-03-30T16:46:00Z</dcterms:modified>
  <cp:category> </cp:category>
  <cp:contentStatus> </cp:contentStatus>
</cp:coreProperties>
</file>