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71613" w14:textId="77777777" w:rsidR="00CF17DE" w:rsidRPr="00215936" w:rsidRDefault="00CF17DE">
      <w:pPr>
        <w:pStyle w:val="titlebar"/>
        <w:rPr>
          <w:rFonts w:ascii="Palatino" w:hAnsi="Palatino"/>
          <w:sz w:val="24"/>
        </w:rPr>
      </w:pPr>
      <w:bookmarkStart w:id="0" w:name="_GoBack"/>
      <w:bookmarkEnd w:id="0"/>
      <w:r w:rsidRPr="00215936">
        <w:rPr>
          <w:rFonts w:ascii="Palatino" w:hAnsi="Palatino"/>
          <w:sz w:val="24"/>
        </w:rPr>
        <w:t>PUBLIC UTILITIES COMMISSION OF THE STATE OF CALIFORNIA</w:t>
      </w:r>
    </w:p>
    <w:p w14:paraId="1EA69432" w14:textId="77777777" w:rsidR="00CF17DE" w:rsidRPr="00215936" w:rsidRDefault="00CF17DE">
      <w:pPr>
        <w:suppressAutoHyphens/>
      </w:pPr>
    </w:p>
    <w:p w14:paraId="005DEB20" w14:textId="72507825" w:rsidR="00D94B6F" w:rsidRDefault="00593807" w:rsidP="00D94B6F">
      <w:pPr>
        <w:ind w:left="5760" w:hanging="5760"/>
        <w:rPr>
          <w:b/>
          <w:sz w:val="24"/>
        </w:rPr>
      </w:pPr>
      <w:r w:rsidRPr="00215936">
        <w:rPr>
          <w:b/>
          <w:sz w:val="24"/>
        </w:rPr>
        <w:t>ENERGY DIVISION</w:t>
      </w:r>
      <w:r w:rsidRPr="00215936">
        <w:rPr>
          <w:b/>
          <w:sz w:val="24"/>
        </w:rPr>
        <w:tab/>
      </w:r>
      <w:r w:rsidRPr="00215936">
        <w:rPr>
          <w:b/>
          <w:sz w:val="24"/>
        </w:rPr>
        <w:tab/>
      </w:r>
      <w:r w:rsidR="00D94B6F">
        <w:rPr>
          <w:b/>
          <w:sz w:val="24"/>
        </w:rPr>
        <w:t xml:space="preserve">     </w:t>
      </w:r>
      <w:r w:rsidR="00A307AD" w:rsidRPr="00215936">
        <w:rPr>
          <w:b/>
          <w:caps/>
          <w:sz w:val="24"/>
        </w:rPr>
        <w:t xml:space="preserve">Agenda </w:t>
      </w:r>
      <w:r w:rsidR="00A307AD" w:rsidRPr="00215936">
        <w:rPr>
          <w:b/>
          <w:sz w:val="24"/>
        </w:rPr>
        <w:t>ID</w:t>
      </w:r>
      <w:r w:rsidR="00733997">
        <w:rPr>
          <w:b/>
          <w:sz w:val="24"/>
        </w:rPr>
        <w:t xml:space="preserve"> </w:t>
      </w:r>
      <w:r w:rsidR="00D94B6F">
        <w:rPr>
          <w:b/>
          <w:sz w:val="24"/>
        </w:rPr>
        <w:t>#1469</w:t>
      </w:r>
      <w:r w:rsidR="007250C0">
        <w:rPr>
          <w:b/>
          <w:sz w:val="24"/>
        </w:rPr>
        <w:t>4</w:t>
      </w:r>
    </w:p>
    <w:p w14:paraId="77900BF7" w14:textId="2E11DC27" w:rsidR="00CF17DE" w:rsidRPr="00215936" w:rsidRDefault="00332CA5" w:rsidP="00D94B6F">
      <w:pPr>
        <w:ind w:left="5760"/>
        <w:rPr>
          <w:b/>
          <w:sz w:val="24"/>
        </w:rPr>
      </w:pPr>
      <w:r w:rsidRPr="00215936">
        <w:rPr>
          <w:b/>
          <w:sz w:val="24"/>
        </w:rPr>
        <w:t>RESOLUTION E-47</w:t>
      </w:r>
      <w:r w:rsidR="004A1EBB">
        <w:rPr>
          <w:b/>
          <w:sz w:val="24"/>
        </w:rPr>
        <w:t>59</w:t>
      </w:r>
      <w:r w:rsidR="000D7C15">
        <w:rPr>
          <w:b/>
          <w:sz w:val="24"/>
        </w:rPr>
        <w:t xml:space="preserve"> (Rev. 1)</w:t>
      </w:r>
    </w:p>
    <w:p w14:paraId="6C27FFB5" w14:textId="789E5D2E" w:rsidR="00CF17DE" w:rsidRPr="00215936" w:rsidRDefault="003765D5">
      <w:pPr>
        <w:tabs>
          <w:tab w:val="right" w:pos="8910"/>
        </w:tabs>
        <w:ind w:left="1440" w:firstLine="720"/>
        <w:rPr>
          <w:b/>
          <w:sz w:val="24"/>
        </w:rPr>
      </w:pPr>
      <w:r w:rsidRPr="00215936">
        <w:rPr>
          <w:b/>
          <w:sz w:val="24"/>
        </w:rPr>
        <w:t xml:space="preserve">                                                                         </w:t>
      </w:r>
      <w:r w:rsidR="00733997">
        <w:rPr>
          <w:b/>
          <w:sz w:val="24"/>
        </w:rPr>
        <w:t xml:space="preserve">  </w:t>
      </w:r>
      <w:r w:rsidRPr="00215936">
        <w:rPr>
          <w:b/>
          <w:sz w:val="24"/>
        </w:rPr>
        <w:t xml:space="preserve"> </w:t>
      </w:r>
      <w:r w:rsidR="00D94B6F">
        <w:rPr>
          <w:b/>
          <w:sz w:val="24"/>
        </w:rPr>
        <w:t xml:space="preserve">             </w:t>
      </w:r>
      <w:r w:rsidR="00690876">
        <w:rPr>
          <w:b/>
          <w:sz w:val="24"/>
        </w:rPr>
        <w:t xml:space="preserve">April </w:t>
      </w:r>
      <w:r w:rsidR="00015AF4">
        <w:rPr>
          <w:b/>
          <w:sz w:val="24"/>
        </w:rPr>
        <w:t>21</w:t>
      </w:r>
      <w:r w:rsidR="003E7F73" w:rsidRPr="00215936">
        <w:rPr>
          <w:b/>
          <w:sz w:val="24"/>
        </w:rPr>
        <w:t>, 2016</w:t>
      </w:r>
    </w:p>
    <w:p w14:paraId="5589C20E" w14:textId="77777777" w:rsidR="00CF17DE" w:rsidRPr="00215936" w:rsidRDefault="00CF17DE">
      <w:pPr>
        <w:tabs>
          <w:tab w:val="right" w:pos="8910"/>
        </w:tabs>
        <w:ind w:left="1440" w:firstLine="720"/>
        <w:rPr>
          <w:b/>
          <w:sz w:val="24"/>
        </w:rPr>
      </w:pPr>
    </w:p>
    <w:p w14:paraId="20E6844E" w14:textId="406C8B0F" w:rsidR="00433AC0" w:rsidRPr="00215936" w:rsidRDefault="00677AC3" w:rsidP="00E2707C">
      <w:pPr>
        <w:pStyle w:val="mainex"/>
        <w:rPr>
          <w:rFonts w:ascii="Palatino" w:hAnsi="Palatino"/>
          <w:u w:val="single"/>
        </w:rPr>
      </w:pPr>
      <w:bookmarkStart w:id="1" w:name="_Ref404993683"/>
      <w:r>
        <w:rPr>
          <w:rFonts w:ascii="Palatino" w:hAnsi="Palatino"/>
          <w:u w:val="single"/>
        </w:rPr>
        <w:t>REDACTED</w:t>
      </w:r>
    </w:p>
    <w:p w14:paraId="466E696B" w14:textId="77777777" w:rsidR="00CF17DE" w:rsidRPr="00215936" w:rsidRDefault="00CF17DE">
      <w:pPr>
        <w:pStyle w:val="mainex"/>
        <w:rPr>
          <w:rFonts w:ascii="Palatino" w:hAnsi="Palatino"/>
          <w:u w:val="single"/>
        </w:rPr>
      </w:pPr>
      <w:r w:rsidRPr="00215936">
        <w:rPr>
          <w:rFonts w:ascii="Palatino" w:hAnsi="Palatino"/>
          <w:u w:val="single"/>
        </w:rPr>
        <w:t>RESOLUTION</w:t>
      </w:r>
    </w:p>
    <w:p w14:paraId="14CF19D9" w14:textId="77777777" w:rsidR="00CF17DE" w:rsidRPr="00215936" w:rsidRDefault="00CF17DE"/>
    <w:p w14:paraId="681F437D" w14:textId="3880C41C" w:rsidR="00B927B5" w:rsidRPr="00215936" w:rsidRDefault="00B927B5" w:rsidP="00B927B5">
      <w:pPr>
        <w:pStyle w:val="Res-Caption"/>
      </w:pPr>
      <w:r w:rsidRPr="00215936">
        <w:t>Resolution E-</w:t>
      </w:r>
      <w:r w:rsidR="004A1EBB" w:rsidRPr="00215936">
        <w:t>47</w:t>
      </w:r>
      <w:r w:rsidR="004A1EBB">
        <w:t>59</w:t>
      </w:r>
      <w:r w:rsidRPr="00215936">
        <w:t xml:space="preserve">.  </w:t>
      </w:r>
      <w:r w:rsidR="004A1EBB" w:rsidRPr="00FA528F">
        <w:t xml:space="preserve">Grants Southern California Edison Company’s request for approval of </w:t>
      </w:r>
      <w:r w:rsidR="008F4BE3">
        <w:t>two</w:t>
      </w:r>
      <w:r w:rsidR="004A1EBB" w:rsidRPr="00FA528F">
        <w:t xml:space="preserve"> </w:t>
      </w:r>
      <w:r w:rsidR="008F4BE3">
        <w:t xml:space="preserve">bilateral contracts for </w:t>
      </w:r>
      <w:r w:rsidR="00BA7869">
        <w:t xml:space="preserve">a purchase and a </w:t>
      </w:r>
      <w:r w:rsidR="008F4BE3">
        <w:t xml:space="preserve">sale of renewables portfolio standard </w:t>
      </w:r>
      <w:r w:rsidR="009B502A">
        <w:t>eligible</w:t>
      </w:r>
      <w:r w:rsidR="004A1EBB">
        <w:t xml:space="preserve"> energy</w:t>
      </w:r>
      <w:r w:rsidR="004A1EBB" w:rsidRPr="00FA528F">
        <w:t>.</w:t>
      </w:r>
    </w:p>
    <w:p w14:paraId="126D1251" w14:textId="77777777" w:rsidR="00801D70" w:rsidRPr="00215936" w:rsidRDefault="00801D70">
      <w:pPr>
        <w:pStyle w:val="Res-Caption"/>
      </w:pPr>
    </w:p>
    <w:p w14:paraId="7D646339" w14:textId="77777777" w:rsidR="00801D70" w:rsidRPr="00215936" w:rsidRDefault="00801D70">
      <w:pPr>
        <w:pStyle w:val="Res-Caption"/>
      </w:pPr>
      <w:r w:rsidRPr="00215936">
        <w:t>PROPOSED OUTCOME</w:t>
      </w:r>
    </w:p>
    <w:p w14:paraId="0F3F6B96" w14:textId="0C8F67FB" w:rsidR="00142FB8" w:rsidRPr="00215936" w:rsidRDefault="004A1EBB" w:rsidP="00142FB8">
      <w:pPr>
        <w:pStyle w:val="Res-Caption"/>
        <w:numPr>
          <w:ilvl w:val="0"/>
          <w:numId w:val="7"/>
        </w:numPr>
      </w:pPr>
      <w:r w:rsidRPr="00FA528F">
        <w:rPr>
          <w:rFonts w:ascii="Palatino Linotype" w:hAnsi="Palatino Linotype"/>
        </w:rPr>
        <w:t xml:space="preserve">Approves cost recovery for </w:t>
      </w:r>
      <w:r w:rsidR="00FA0202">
        <w:rPr>
          <w:rFonts w:ascii="Palatino Linotype" w:hAnsi="Palatino Linotype"/>
        </w:rPr>
        <w:t>a</w:t>
      </w:r>
      <w:r w:rsidRPr="00FA528F">
        <w:rPr>
          <w:rFonts w:ascii="Palatino Linotype" w:hAnsi="Palatino Linotype"/>
        </w:rPr>
        <w:t xml:space="preserve"> </w:t>
      </w:r>
      <w:r>
        <w:rPr>
          <w:rFonts w:ascii="Palatino Linotype" w:hAnsi="Palatino Linotype"/>
        </w:rPr>
        <w:t xml:space="preserve">bilateral </w:t>
      </w:r>
      <w:r w:rsidRPr="00FA528F">
        <w:rPr>
          <w:rFonts w:ascii="Palatino Linotype" w:hAnsi="Palatino Linotype"/>
        </w:rPr>
        <w:t xml:space="preserve">long-term renewable energy power purchase agreement between Southern California Edison Company (SCE) and </w:t>
      </w:r>
      <w:r>
        <w:rPr>
          <w:rFonts w:ascii="Palatino Linotype" w:hAnsi="Palatino Linotype"/>
        </w:rPr>
        <w:t>Voyager Wind I, LLC (Voyager</w:t>
      </w:r>
      <w:r w:rsidR="00504407">
        <w:rPr>
          <w:rFonts w:ascii="Palatino Linotype" w:hAnsi="Palatino Linotype"/>
        </w:rPr>
        <w:t xml:space="preserve"> PPA</w:t>
      </w:r>
      <w:r>
        <w:rPr>
          <w:rFonts w:ascii="Palatino Linotype" w:hAnsi="Palatino Linotype"/>
        </w:rPr>
        <w:t>)</w:t>
      </w:r>
      <w:r w:rsidR="00FA0202">
        <w:rPr>
          <w:rFonts w:ascii="Palatino Linotype" w:hAnsi="Palatino Linotype"/>
        </w:rPr>
        <w:t xml:space="preserve"> and a</w:t>
      </w:r>
      <w:r>
        <w:rPr>
          <w:rFonts w:ascii="Palatino Linotype" w:hAnsi="Palatino Linotype"/>
        </w:rPr>
        <w:t xml:space="preserve"> bilateral contract for resale of bundled renewable energy</w:t>
      </w:r>
      <w:r w:rsidR="002D0629">
        <w:rPr>
          <w:rFonts w:ascii="Palatino Linotype" w:hAnsi="Palatino Linotype"/>
        </w:rPr>
        <w:t xml:space="preserve"> and associated Renewable Energy Credits (RECs)</w:t>
      </w:r>
      <w:r>
        <w:rPr>
          <w:rFonts w:ascii="Palatino Linotype" w:hAnsi="Palatino Linotype"/>
        </w:rPr>
        <w:t xml:space="preserve"> from SCE’s portfolio of renewable resources between SCE and TGP Energy Management, LLC (TGP Sale Agreement). </w:t>
      </w:r>
      <w:r w:rsidRPr="00FA528F">
        <w:rPr>
          <w:rFonts w:ascii="Palatino Linotype" w:hAnsi="Palatino Linotype"/>
        </w:rPr>
        <w:t xml:space="preserve"> The </w:t>
      </w:r>
      <w:r>
        <w:rPr>
          <w:rFonts w:ascii="Palatino Linotype" w:hAnsi="Palatino Linotype"/>
        </w:rPr>
        <w:t xml:space="preserve">Voyager </w:t>
      </w:r>
      <w:r w:rsidR="00504407">
        <w:rPr>
          <w:rFonts w:ascii="Palatino Linotype" w:hAnsi="Palatino Linotype"/>
        </w:rPr>
        <w:t>PPA</w:t>
      </w:r>
      <w:r>
        <w:rPr>
          <w:rFonts w:ascii="Palatino Linotype" w:hAnsi="Palatino Linotype"/>
        </w:rPr>
        <w:t xml:space="preserve"> and</w:t>
      </w:r>
      <w:r w:rsidR="00504407">
        <w:rPr>
          <w:rFonts w:ascii="Palatino Linotype" w:hAnsi="Palatino Linotype"/>
        </w:rPr>
        <w:t xml:space="preserve"> the</w:t>
      </w:r>
      <w:r>
        <w:rPr>
          <w:rFonts w:ascii="Palatino Linotype" w:hAnsi="Palatino Linotype"/>
        </w:rPr>
        <w:t xml:space="preserve"> TGP Sale Agreement are</w:t>
      </w:r>
      <w:r w:rsidRPr="00FA528F">
        <w:rPr>
          <w:rFonts w:ascii="Palatino Linotype" w:hAnsi="Palatino Linotype"/>
        </w:rPr>
        <w:t xml:space="preserve"> approved without modification.</w:t>
      </w:r>
    </w:p>
    <w:p w14:paraId="0F0EFFEF" w14:textId="77777777" w:rsidR="00F51F8B" w:rsidRPr="00215936" w:rsidRDefault="00F51F8B">
      <w:pPr>
        <w:pStyle w:val="Res-Caption"/>
      </w:pPr>
    </w:p>
    <w:p w14:paraId="4D7D2E45" w14:textId="77777777" w:rsidR="00F51F8B" w:rsidRPr="00215936" w:rsidRDefault="00F51F8B">
      <w:pPr>
        <w:pStyle w:val="Res-Caption"/>
      </w:pPr>
      <w:r w:rsidRPr="00215936">
        <w:t>SAFETY CONSIDERATIONS:</w:t>
      </w:r>
    </w:p>
    <w:p w14:paraId="7623B929" w14:textId="095AF088" w:rsidR="00801D70" w:rsidRPr="00215936" w:rsidRDefault="00A277DE" w:rsidP="00B72B33">
      <w:pPr>
        <w:pStyle w:val="Res-Caption"/>
        <w:numPr>
          <w:ilvl w:val="0"/>
          <w:numId w:val="7"/>
        </w:numPr>
      </w:pPr>
      <w:r>
        <w:rPr>
          <w:rFonts w:ascii="Palatino Linotype" w:hAnsi="Palatino Linotype"/>
        </w:rPr>
        <w:t xml:space="preserve">Based on the information before us, the </w:t>
      </w:r>
      <w:r w:rsidR="00E03B53">
        <w:rPr>
          <w:rFonts w:ascii="Palatino Linotype" w:hAnsi="Palatino Linotype"/>
        </w:rPr>
        <w:t>Voyager PPA</w:t>
      </w:r>
      <w:r>
        <w:rPr>
          <w:rFonts w:ascii="Palatino Linotype" w:hAnsi="Palatino Linotype"/>
        </w:rPr>
        <w:t xml:space="preserve"> does not appear to result in any adverse safety impacts on </w:t>
      </w:r>
      <w:r w:rsidR="002E4707">
        <w:rPr>
          <w:rFonts w:ascii="Palatino Linotype" w:hAnsi="Palatino Linotype"/>
        </w:rPr>
        <w:t xml:space="preserve">the </w:t>
      </w:r>
      <w:r>
        <w:rPr>
          <w:rFonts w:ascii="Palatino Linotype" w:hAnsi="Palatino Linotype"/>
        </w:rPr>
        <w:t>facilities or operations of SCE.</w:t>
      </w:r>
      <w:r w:rsidR="00035406">
        <w:rPr>
          <w:rFonts w:ascii="Palatino Linotype" w:hAnsi="Palatino Linotype"/>
        </w:rPr>
        <w:t xml:space="preserve">  The TGP Sale Agreement will not alter existing agreements or any facility operations.  Therefore, there are</w:t>
      </w:r>
      <w:r w:rsidR="00550B9A">
        <w:rPr>
          <w:rFonts w:ascii="Palatino Linotype" w:hAnsi="Palatino Linotype"/>
        </w:rPr>
        <w:t xml:space="preserve"> no incremental safety implications associated with approval of this agreement beyond the status quo.</w:t>
      </w:r>
    </w:p>
    <w:p w14:paraId="45C54422" w14:textId="77777777" w:rsidR="00A84571" w:rsidRDefault="00A84571">
      <w:pPr>
        <w:pStyle w:val="Res-Caption"/>
      </w:pPr>
    </w:p>
    <w:p w14:paraId="53834AF6" w14:textId="77777777" w:rsidR="00801D70" w:rsidRPr="00215936" w:rsidRDefault="00801D70">
      <w:pPr>
        <w:pStyle w:val="Res-Caption"/>
      </w:pPr>
      <w:r w:rsidRPr="00215936">
        <w:t xml:space="preserve">ESTIMATED COST:  </w:t>
      </w:r>
    </w:p>
    <w:p w14:paraId="6EDF9CF3" w14:textId="45B74DC6" w:rsidR="00142FB8" w:rsidRPr="00215936" w:rsidRDefault="004A1EBB" w:rsidP="00142FB8">
      <w:pPr>
        <w:pStyle w:val="Res-Caption"/>
        <w:numPr>
          <w:ilvl w:val="0"/>
          <w:numId w:val="8"/>
        </w:numPr>
      </w:pPr>
      <w:r w:rsidRPr="00232B14">
        <w:t xml:space="preserve">Actual costs of the </w:t>
      </w:r>
      <w:r>
        <w:t xml:space="preserve">Voyager </w:t>
      </w:r>
      <w:r w:rsidR="00504407">
        <w:t>PPA</w:t>
      </w:r>
      <w:r w:rsidRPr="00232B14">
        <w:t xml:space="preserve"> </w:t>
      </w:r>
      <w:r>
        <w:t xml:space="preserve">and the TGP Sale Agreement </w:t>
      </w:r>
      <w:r w:rsidRPr="00232B14">
        <w:t>are confidential at this time.</w:t>
      </w:r>
    </w:p>
    <w:p w14:paraId="13951176" w14:textId="77777777" w:rsidR="00CF17DE" w:rsidRPr="00215936" w:rsidRDefault="00CF17DE">
      <w:pPr>
        <w:pStyle w:val="Res-Caption"/>
      </w:pPr>
    </w:p>
    <w:p w14:paraId="58CBA705" w14:textId="2C4A8DB2" w:rsidR="00CF17DE" w:rsidRPr="00215936" w:rsidRDefault="00CF17DE">
      <w:pPr>
        <w:pStyle w:val="Res-Caption"/>
      </w:pPr>
      <w:r w:rsidRPr="00215936">
        <w:t xml:space="preserve">By Advice Letter </w:t>
      </w:r>
      <w:r w:rsidR="00AD56C2" w:rsidRPr="00215936">
        <w:t>3</w:t>
      </w:r>
      <w:r w:rsidR="004A1EBB">
        <w:t>330</w:t>
      </w:r>
      <w:r w:rsidR="00433AC0" w:rsidRPr="00215936">
        <w:t>-E</w:t>
      </w:r>
      <w:r w:rsidR="00D475F7" w:rsidRPr="00215936">
        <w:t xml:space="preserve"> f</w:t>
      </w:r>
      <w:r w:rsidRPr="00215936">
        <w:t xml:space="preserve">iled on </w:t>
      </w:r>
      <w:r w:rsidR="004A1EBB">
        <w:t>December 21</w:t>
      </w:r>
      <w:r w:rsidR="00AD56C2" w:rsidRPr="00215936">
        <w:t>, 2015</w:t>
      </w:r>
      <w:r w:rsidR="000D7C15">
        <w:t xml:space="preserve"> and Advice Letter 3330-E-A filed on April 1, 2016</w:t>
      </w:r>
      <w:r w:rsidR="00BF51BE">
        <w:t>.</w:t>
      </w:r>
      <w:r w:rsidRPr="00215936">
        <w:t xml:space="preserve"> </w:t>
      </w:r>
    </w:p>
    <w:p w14:paraId="17D34BC7" w14:textId="77777777" w:rsidR="00CF17DE" w:rsidRPr="00215936" w:rsidRDefault="00CF17DE">
      <w:pPr>
        <w:jc w:val="center"/>
      </w:pPr>
      <w:r w:rsidRPr="00215936">
        <w:lastRenderedPageBreak/>
        <w:t>__________________________________________________________</w:t>
      </w:r>
    </w:p>
    <w:p w14:paraId="200EC66B" w14:textId="77777777" w:rsidR="00CF17DE" w:rsidRPr="00215936" w:rsidRDefault="00CF17DE">
      <w:pPr>
        <w:rPr>
          <w:b/>
        </w:rPr>
      </w:pPr>
    </w:p>
    <w:p w14:paraId="71DEC864" w14:textId="2E322C37" w:rsidR="00CF17DE" w:rsidRPr="00215936" w:rsidRDefault="00CF17DE">
      <w:pPr>
        <w:pStyle w:val="Heading1"/>
        <w:rPr>
          <w:rFonts w:ascii="Palatino" w:hAnsi="Palatino"/>
        </w:rPr>
      </w:pPr>
      <w:r w:rsidRPr="00215936">
        <w:rPr>
          <w:rFonts w:ascii="Palatino" w:hAnsi="Palatino"/>
        </w:rPr>
        <w:t>Summary</w:t>
      </w:r>
      <w:bookmarkEnd w:id="1"/>
    </w:p>
    <w:p w14:paraId="0ABA9626" w14:textId="4625368D" w:rsidR="00CF17DE" w:rsidRPr="00215936" w:rsidRDefault="00D475F7" w:rsidP="00872F83">
      <w:pPr>
        <w:spacing w:after="120"/>
        <w:rPr>
          <w:b/>
        </w:rPr>
      </w:pPr>
      <w:r w:rsidRPr="00215936">
        <w:rPr>
          <w:b/>
        </w:rPr>
        <w:t>Southern California Edison Company’s (SCE</w:t>
      </w:r>
      <w:r w:rsidR="000B533C">
        <w:rPr>
          <w:b/>
        </w:rPr>
        <w:t>’s</w:t>
      </w:r>
      <w:r w:rsidRPr="00215936">
        <w:rPr>
          <w:b/>
        </w:rPr>
        <w:t xml:space="preserve">) </w:t>
      </w:r>
      <w:r w:rsidR="000B533C">
        <w:rPr>
          <w:b/>
        </w:rPr>
        <w:t xml:space="preserve">bilateral </w:t>
      </w:r>
      <w:r w:rsidRPr="00215936">
        <w:rPr>
          <w:b/>
        </w:rPr>
        <w:t xml:space="preserve">renewable energy power purchase </w:t>
      </w:r>
      <w:r w:rsidRPr="00815C6D">
        <w:rPr>
          <w:b/>
        </w:rPr>
        <w:t xml:space="preserve">agreement with </w:t>
      </w:r>
      <w:r w:rsidR="000B533C" w:rsidRPr="00815C6D">
        <w:rPr>
          <w:b/>
        </w:rPr>
        <w:t>Voyager</w:t>
      </w:r>
      <w:r w:rsidRPr="00815C6D">
        <w:rPr>
          <w:b/>
        </w:rPr>
        <w:t xml:space="preserve"> </w:t>
      </w:r>
      <w:r w:rsidR="000B533C" w:rsidRPr="00815C6D">
        <w:rPr>
          <w:b/>
        </w:rPr>
        <w:t xml:space="preserve">Wind I, LLC </w:t>
      </w:r>
      <w:r w:rsidRPr="00815C6D">
        <w:rPr>
          <w:b/>
        </w:rPr>
        <w:t>(</w:t>
      </w:r>
      <w:r w:rsidR="000B533C" w:rsidRPr="00815C6D">
        <w:rPr>
          <w:b/>
        </w:rPr>
        <w:t>Voyager</w:t>
      </w:r>
      <w:r w:rsidR="00504407">
        <w:rPr>
          <w:b/>
        </w:rPr>
        <w:t>)</w:t>
      </w:r>
      <w:r w:rsidRPr="00815C6D">
        <w:rPr>
          <w:b/>
        </w:rPr>
        <w:t xml:space="preserve"> </w:t>
      </w:r>
      <w:r w:rsidR="000B533C" w:rsidRPr="00815C6D">
        <w:rPr>
          <w:b/>
        </w:rPr>
        <w:t xml:space="preserve">and </w:t>
      </w:r>
      <w:r w:rsidR="00815C6D" w:rsidRPr="00877335">
        <w:rPr>
          <w:rFonts w:ascii="Palatino Linotype" w:hAnsi="Palatino Linotype"/>
          <w:b/>
        </w:rPr>
        <w:t>bilateral contract for resale of bundled renewable energy with TGP Energy Management</w:t>
      </w:r>
      <w:r w:rsidR="00504407">
        <w:rPr>
          <w:rFonts w:ascii="Palatino Linotype" w:hAnsi="Palatino Linotype"/>
          <w:b/>
        </w:rPr>
        <w:t>, LLC</w:t>
      </w:r>
      <w:r w:rsidR="00815C6D" w:rsidRPr="00877335">
        <w:rPr>
          <w:rFonts w:ascii="Palatino Linotype" w:hAnsi="Palatino Linotype"/>
          <w:b/>
        </w:rPr>
        <w:t xml:space="preserve"> </w:t>
      </w:r>
      <w:r w:rsidR="00504407">
        <w:rPr>
          <w:rFonts w:ascii="Palatino Linotype" w:hAnsi="Palatino Linotype"/>
          <w:b/>
        </w:rPr>
        <w:t xml:space="preserve">(TGP) </w:t>
      </w:r>
      <w:r w:rsidRPr="00815C6D">
        <w:rPr>
          <w:b/>
        </w:rPr>
        <w:t>compl</w:t>
      </w:r>
      <w:r w:rsidR="000B533C" w:rsidRPr="00815C6D">
        <w:rPr>
          <w:b/>
        </w:rPr>
        <w:t>y</w:t>
      </w:r>
      <w:r w:rsidRPr="00215936">
        <w:rPr>
          <w:b/>
        </w:rPr>
        <w:t xml:space="preserve"> with the Renewables Portfolio Standard (RPS) procurement guidelines and </w:t>
      </w:r>
      <w:r w:rsidR="00815C6D">
        <w:rPr>
          <w:b/>
        </w:rPr>
        <w:t>are</w:t>
      </w:r>
      <w:r w:rsidR="00815C6D" w:rsidRPr="00215936">
        <w:rPr>
          <w:b/>
        </w:rPr>
        <w:t xml:space="preserve"> </w:t>
      </w:r>
      <w:r w:rsidRPr="00215936">
        <w:rPr>
          <w:b/>
        </w:rPr>
        <w:t>approved without modification</w:t>
      </w:r>
    </w:p>
    <w:p w14:paraId="331EDFFC" w14:textId="550617BA" w:rsidR="00D475F7" w:rsidRPr="00215936" w:rsidRDefault="00D475F7" w:rsidP="009A7ADA">
      <w:r w:rsidRPr="00215936">
        <w:t>SCE filed Advice Letter</w:t>
      </w:r>
      <w:r w:rsidR="000D7C15">
        <w:t>s</w:t>
      </w:r>
      <w:r w:rsidRPr="00215936">
        <w:t xml:space="preserve"> </w:t>
      </w:r>
      <w:r w:rsidR="000562EE">
        <w:t>3330</w:t>
      </w:r>
      <w:r w:rsidRPr="00215936">
        <w:t xml:space="preserve">-E </w:t>
      </w:r>
      <w:r w:rsidR="006C24C9" w:rsidRPr="00215936">
        <w:t>(</w:t>
      </w:r>
      <w:r w:rsidR="009A7ADA">
        <w:t xml:space="preserve">Voyager and TGP </w:t>
      </w:r>
      <w:r w:rsidR="006C24C9" w:rsidRPr="00215936">
        <w:t xml:space="preserve">AL) </w:t>
      </w:r>
      <w:r w:rsidRPr="00215936">
        <w:t xml:space="preserve">on </w:t>
      </w:r>
      <w:r w:rsidR="000562EE">
        <w:t>December 21</w:t>
      </w:r>
      <w:r w:rsidR="008F1BC6" w:rsidRPr="00215936">
        <w:t>, 2015</w:t>
      </w:r>
      <w:r w:rsidR="000D7C15">
        <w:t xml:space="preserve"> and 3330-E-A on April 1, 2016</w:t>
      </w:r>
      <w:r w:rsidRPr="00215936">
        <w:t xml:space="preserve">, requesting California Public Utilities Commission (Commission) review and approval of a </w:t>
      </w:r>
      <w:r w:rsidR="008F1BC6" w:rsidRPr="00215936">
        <w:t>15</w:t>
      </w:r>
      <w:r w:rsidRPr="00215936">
        <w:t xml:space="preserve">-year </w:t>
      </w:r>
      <w:r w:rsidR="00A83A74">
        <w:t xml:space="preserve">bilateral </w:t>
      </w:r>
      <w:r w:rsidRPr="00215936">
        <w:t>renewable energy PPA</w:t>
      </w:r>
      <w:r w:rsidR="0044574D" w:rsidRPr="00215936">
        <w:t xml:space="preserve"> with </w:t>
      </w:r>
      <w:r w:rsidR="00A83A74">
        <w:t>Voyager</w:t>
      </w:r>
      <w:r w:rsidR="00A83A74" w:rsidRPr="00215936">
        <w:t xml:space="preserve"> </w:t>
      </w:r>
      <w:r w:rsidR="0098545B" w:rsidRPr="00215936">
        <w:t>(</w:t>
      </w:r>
      <w:r w:rsidR="00A83A74">
        <w:t>Voyager</w:t>
      </w:r>
      <w:r w:rsidR="00A83A74" w:rsidRPr="00215936">
        <w:t xml:space="preserve"> </w:t>
      </w:r>
      <w:r w:rsidR="007607FC" w:rsidRPr="00215936">
        <w:t>PPA</w:t>
      </w:r>
      <w:r w:rsidR="00C309E3" w:rsidRPr="00215936">
        <w:t>)</w:t>
      </w:r>
      <w:r w:rsidR="00A83A74">
        <w:t xml:space="preserve">.  </w:t>
      </w:r>
      <w:r w:rsidR="00323189" w:rsidRPr="00215936">
        <w:t xml:space="preserve">The </w:t>
      </w:r>
      <w:r w:rsidR="00A83A74">
        <w:t xml:space="preserve">Voyager </w:t>
      </w:r>
      <w:r w:rsidR="00323189" w:rsidRPr="00215936">
        <w:t xml:space="preserve">PPA </w:t>
      </w:r>
      <w:r w:rsidR="00A83A74">
        <w:t xml:space="preserve">originated </w:t>
      </w:r>
      <w:r w:rsidR="003B5494">
        <w:t>from</w:t>
      </w:r>
      <w:r w:rsidR="00A83A74">
        <w:t xml:space="preserve">, </w:t>
      </w:r>
      <w:r w:rsidR="002D0629">
        <w:t>and</w:t>
      </w:r>
      <w:r w:rsidR="00A83A74">
        <w:t xml:space="preserve"> </w:t>
      </w:r>
      <w:r w:rsidR="00627CE9">
        <w:t xml:space="preserve">was </w:t>
      </w:r>
      <w:r w:rsidR="00A83A74">
        <w:t>executed after the</w:t>
      </w:r>
      <w:r w:rsidR="00A83A74" w:rsidRPr="00215936">
        <w:t xml:space="preserve"> </w:t>
      </w:r>
      <w:r w:rsidR="00323189" w:rsidRPr="00215936">
        <w:t>SCE’s 2014 RPS solicitation</w:t>
      </w:r>
      <w:r w:rsidR="002D0629">
        <w:t xml:space="preserve"> closed</w:t>
      </w:r>
      <w:r w:rsidR="00323189" w:rsidRPr="00215936">
        <w:t xml:space="preserve">.  Pursuant to the </w:t>
      </w:r>
      <w:r w:rsidR="005274D1">
        <w:t xml:space="preserve">Voyager </w:t>
      </w:r>
      <w:r w:rsidR="00323189" w:rsidRPr="00215936">
        <w:t xml:space="preserve">PPA, RPS-eligible generation will be purchased from the proposed </w:t>
      </w:r>
      <w:r w:rsidR="005274D1">
        <w:t>Voyager</w:t>
      </w:r>
      <w:r w:rsidR="005274D1" w:rsidRPr="00215936">
        <w:t xml:space="preserve"> </w:t>
      </w:r>
      <w:r w:rsidR="008F1BC6" w:rsidRPr="00215936">
        <w:t>Wind</w:t>
      </w:r>
      <w:r w:rsidR="00323189" w:rsidRPr="00215936">
        <w:t xml:space="preserve"> facility.</w:t>
      </w:r>
      <w:r w:rsidR="0044574D" w:rsidRPr="00215936">
        <w:t xml:space="preserve">  The </w:t>
      </w:r>
      <w:r w:rsidR="005274D1">
        <w:t>Voyager</w:t>
      </w:r>
      <w:r w:rsidR="005274D1" w:rsidRPr="00215936">
        <w:t xml:space="preserve"> </w:t>
      </w:r>
      <w:r w:rsidR="008F1BC6" w:rsidRPr="00215936">
        <w:t>Wind</w:t>
      </w:r>
      <w:r w:rsidR="00323189" w:rsidRPr="00215936">
        <w:t xml:space="preserve"> facility </w:t>
      </w:r>
      <w:r w:rsidR="00042353">
        <w:t>will</w:t>
      </w:r>
      <w:r w:rsidR="00323189" w:rsidRPr="00215936">
        <w:t xml:space="preserve"> be</w:t>
      </w:r>
      <w:r w:rsidR="0044574D" w:rsidRPr="00215936">
        <w:t xml:space="preserve"> </w:t>
      </w:r>
      <w:r w:rsidR="006F7224" w:rsidRPr="00215936">
        <w:t xml:space="preserve">located </w:t>
      </w:r>
      <w:r w:rsidR="00627CE9">
        <w:t xml:space="preserve">in Kern County, </w:t>
      </w:r>
      <w:r w:rsidR="00627CE9" w:rsidRPr="00215936">
        <w:t xml:space="preserve">California </w:t>
      </w:r>
      <w:r w:rsidR="002C1916">
        <w:t>on two separate sites</w:t>
      </w:r>
      <w:r w:rsidR="002C1916" w:rsidRPr="00C37084">
        <w:t xml:space="preserve"> </w:t>
      </w:r>
      <w:r w:rsidR="002C1916">
        <w:t>between Mojave and Tehachapi</w:t>
      </w:r>
      <w:r w:rsidR="00BA5775">
        <w:t xml:space="preserve"> and </w:t>
      </w:r>
      <w:r w:rsidR="0066681D" w:rsidRPr="00215936">
        <w:t>ha</w:t>
      </w:r>
      <w:r w:rsidR="005274D1">
        <w:t xml:space="preserve">s </w:t>
      </w:r>
      <w:r w:rsidR="00872F83" w:rsidRPr="00215936">
        <w:t xml:space="preserve">a capacity of approximately </w:t>
      </w:r>
      <w:r w:rsidR="008F1BC6" w:rsidRPr="00215936">
        <w:t>132</w:t>
      </w:r>
      <w:r w:rsidR="00B11E14" w:rsidRPr="00215936">
        <w:t xml:space="preserve"> </w:t>
      </w:r>
      <w:r w:rsidR="00872F83" w:rsidRPr="00215936">
        <w:t>megawatts (MW).</w:t>
      </w:r>
      <w:r w:rsidR="00BA19ED">
        <w:t xml:space="preserve">  It will interconnect to SCE’s 220 kV Windhub Substation on the Te</w:t>
      </w:r>
      <w:r w:rsidR="003B5494">
        <w:t>hachapi Renewable Transmissio</w:t>
      </w:r>
      <w:r w:rsidR="00F048C7">
        <w:t xml:space="preserve">n Project (TRTP) </w:t>
      </w:r>
      <w:r w:rsidR="003B5494">
        <w:t xml:space="preserve">within the California Independent System Operator (CAISO) balancing </w:t>
      </w:r>
      <w:r w:rsidR="00F048C7">
        <w:t xml:space="preserve">authority </w:t>
      </w:r>
      <w:r w:rsidR="003B5494">
        <w:t>area.</w:t>
      </w:r>
    </w:p>
    <w:p w14:paraId="42839885" w14:textId="77777777" w:rsidR="00872F83" w:rsidRDefault="00872F83"/>
    <w:p w14:paraId="10D19E59" w14:textId="58F36E18" w:rsidR="00B77766" w:rsidRDefault="00B77766">
      <w:r>
        <w:t>In th</w:t>
      </w:r>
      <w:r w:rsidR="00627CE9">
        <w:t xml:space="preserve">e Voyager and TGP </w:t>
      </w:r>
      <w:r w:rsidR="00627CE9" w:rsidRPr="00215936">
        <w:t>AL</w:t>
      </w:r>
      <w:r>
        <w:t>, SCE also requests approval of a bilateral contract for resale of bundled renewable energy and green attributes from SCE’s portfolio of renewable resources with TGP (TGP Sale Agreement)</w:t>
      </w:r>
      <w:r w:rsidRPr="00215936">
        <w:t>.</w:t>
      </w:r>
      <w:r>
        <w:t xml:space="preserve">  Purs</w:t>
      </w:r>
      <w:r w:rsidR="00EB4C1A">
        <w:t xml:space="preserve">uant to the TGP Sale Agreement, SCE will sell 404 GWh of </w:t>
      </w:r>
      <w:r w:rsidR="00334012">
        <w:t xml:space="preserve">Portfolio Content </w:t>
      </w:r>
      <w:r w:rsidR="00EB4C1A">
        <w:t>Category</w:t>
      </w:r>
      <w:r w:rsidR="00334012">
        <w:t xml:space="preserve"> (PCC) </w:t>
      </w:r>
      <w:r w:rsidR="00EB4C1A">
        <w:t xml:space="preserve">1 energy and </w:t>
      </w:r>
      <w:r w:rsidR="00334012">
        <w:t xml:space="preserve">associated </w:t>
      </w:r>
      <w:r w:rsidR="00EB4C1A">
        <w:t>Renewable Energy Credits (RECs) to TGP in 2016.  The energy and RECs will come from a portfolio of CEC-certified renewable projects that are already commercially operational</w:t>
      </w:r>
      <w:r w:rsidR="00F15A69">
        <w:t>.</w:t>
      </w:r>
    </w:p>
    <w:p w14:paraId="54A31E63" w14:textId="77777777" w:rsidR="00B77766" w:rsidRPr="00215936" w:rsidRDefault="00B77766"/>
    <w:p w14:paraId="4D7EF537" w14:textId="23BE6470" w:rsidR="00CF17DE" w:rsidRPr="00215936" w:rsidRDefault="00CF17DE">
      <w:r w:rsidRPr="00215936">
        <w:t xml:space="preserve">This </w:t>
      </w:r>
      <w:r w:rsidR="00627CE9">
        <w:t>R</w:t>
      </w:r>
      <w:r w:rsidRPr="00215936">
        <w:t>esolution</w:t>
      </w:r>
      <w:r w:rsidR="00872F83" w:rsidRPr="00215936">
        <w:t xml:space="preserve"> approves the </w:t>
      </w:r>
      <w:r w:rsidR="00F048C7">
        <w:t>Voyager</w:t>
      </w:r>
      <w:r w:rsidR="00872F83" w:rsidRPr="00215936">
        <w:t xml:space="preserve"> PPA</w:t>
      </w:r>
      <w:r w:rsidR="001101E6">
        <w:t xml:space="preserve"> and TGP Sale Agreement</w:t>
      </w:r>
      <w:r w:rsidR="00872F83" w:rsidRPr="00215936">
        <w:t xml:space="preserve">.  SCE’s execution of </w:t>
      </w:r>
      <w:r w:rsidR="0015405F">
        <w:t xml:space="preserve">both </w:t>
      </w:r>
      <w:r w:rsidR="007E2F0A">
        <w:t>agreements</w:t>
      </w:r>
      <w:r w:rsidR="001101E6">
        <w:t xml:space="preserve"> </w:t>
      </w:r>
      <w:r w:rsidR="00872F83" w:rsidRPr="00215936">
        <w:t xml:space="preserve">is consistent with SCE’s </w:t>
      </w:r>
      <w:r w:rsidR="00B11E14" w:rsidRPr="00215936">
        <w:t xml:space="preserve">2014 </w:t>
      </w:r>
      <w:r w:rsidR="00872F83" w:rsidRPr="00215936">
        <w:t>RPS Procurement Plan (RPS Plan), which the Commission approv</w:t>
      </w:r>
      <w:r w:rsidR="00AA6AE7" w:rsidRPr="00215936">
        <w:t xml:space="preserve">ed in Decision (D.) </w:t>
      </w:r>
      <w:r w:rsidR="00B11E14" w:rsidRPr="00215936">
        <w:t>14-11-042</w:t>
      </w:r>
      <w:r w:rsidR="00B754C2" w:rsidRPr="00215936">
        <w:t>.</w:t>
      </w:r>
      <w:r w:rsidR="00B754C2">
        <w:t xml:space="preserve"> </w:t>
      </w:r>
      <w:r w:rsidR="00B754C2" w:rsidRPr="00215936">
        <w:t>In</w:t>
      </w:r>
      <w:r w:rsidR="00872F83" w:rsidRPr="00215936">
        <w:t xml:space="preserve"> addition, RPS deliveries pursuant to the </w:t>
      </w:r>
      <w:r w:rsidR="00F048C7">
        <w:t>Voyager</w:t>
      </w:r>
      <w:r w:rsidR="00872F83" w:rsidRPr="00215936">
        <w:t xml:space="preserve"> PPA are reasonably priced and the related </w:t>
      </w:r>
      <w:r w:rsidR="007E2F0A">
        <w:t xml:space="preserve">PPA </w:t>
      </w:r>
      <w:r w:rsidR="00872F83" w:rsidRPr="00215936">
        <w:t>costs</w:t>
      </w:r>
      <w:r w:rsidR="0020772A">
        <w:t xml:space="preserve"> </w:t>
      </w:r>
      <w:r w:rsidR="00872F83" w:rsidRPr="00215936">
        <w:t xml:space="preserve">to SCE are fully recoverable in rates over the life of the </w:t>
      </w:r>
      <w:r w:rsidR="00F048C7">
        <w:t>Voyager</w:t>
      </w:r>
      <w:r w:rsidR="00872F83" w:rsidRPr="00215936">
        <w:t xml:space="preserve"> PPA, subject to Commission review of SCE’s administration of the PPA.</w:t>
      </w:r>
      <w:r w:rsidR="001101E6">
        <w:t xml:space="preserve">  </w:t>
      </w:r>
      <w:r w:rsidR="007E2F0A">
        <w:t xml:space="preserve">The sales from SCE to TGP are also reasonably priced and payments received by SCE pursuant to the </w:t>
      </w:r>
      <w:r w:rsidR="009C1FE5">
        <w:t xml:space="preserve">TGP </w:t>
      </w:r>
      <w:r w:rsidR="007E2F0A">
        <w:t xml:space="preserve">Sale Agreement shall be credited to SCE’s ratepayers </w:t>
      </w:r>
      <w:r w:rsidR="007E2F0A">
        <w:lastRenderedPageBreak/>
        <w:t>through SCE’s Energy Resource Recovery Account (ERRA) over the term of the agreement.</w:t>
      </w:r>
    </w:p>
    <w:p w14:paraId="1A922316" w14:textId="77777777" w:rsidR="00872F83" w:rsidRPr="00215936" w:rsidRDefault="00872F83"/>
    <w:p w14:paraId="7358D03E" w14:textId="3AA2E1E7" w:rsidR="00872F83" w:rsidRPr="00215936" w:rsidRDefault="00872F83">
      <w:r w:rsidRPr="00215936">
        <w:t>The following table</w:t>
      </w:r>
      <w:r w:rsidR="001B2721">
        <w:t>s</w:t>
      </w:r>
      <w:r w:rsidRPr="00215936">
        <w:t xml:space="preserve"> provide a summary of the </w:t>
      </w:r>
      <w:r w:rsidR="00F048C7">
        <w:t>Voyager</w:t>
      </w:r>
      <w:r w:rsidRPr="00215936">
        <w:t xml:space="preserve"> PPA</w:t>
      </w:r>
      <w:r w:rsidR="001101E6">
        <w:t xml:space="preserve"> and TGP Sale Agreement</w:t>
      </w:r>
      <w:r w:rsidRPr="00215936">
        <w:t>:</w:t>
      </w:r>
    </w:p>
    <w:p w14:paraId="3139BEC7" w14:textId="77777777" w:rsidR="00872F83" w:rsidRPr="00215936" w:rsidRDefault="00872F83"/>
    <w:p w14:paraId="4DF21454" w14:textId="15C12C11" w:rsidR="00B8334D" w:rsidRPr="00215936" w:rsidRDefault="00660095" w:rsidP="008F1BC6">
      <w:pPr>
        <w:pStyle w:val="Caption"/>
        <w:keepNext/>
        <w:spacing w:after="120"/>
        <w:rPr>
          <w:color w:val="auto"/>
          <w:sz w:val="26"/>
          <w:szCs w:val="26"/>
        </w:rPr>
      </w:pPr>
      <w:r w:rsidRPr="00215936">
        <w:rPr>
          <w:color w:val="auto"/>
          <w:sz w:val="26"/>
          <w:szCs w:val="26"/>
        </w:rPr>
        <w:t xml:space="preserve">Table </w:t>
      </w:r>
      <w:r w:rsidRPr="00215936">
        <w:rPr>
          <w:color w:val="auto"/>
          <w:sz w:val="26"/>
          <w:szCs w:val="26"/>
        </w:rPr>
        <w:fldChar w:fldCharType="begin"/>
      </w:r>
      <w:r w:rsidRPr="00215936">
        <w:rPr>
          <w:color w:val="auto"/>
          <w:sz w:val="26"/>
          <w:szCs w:val="26"/>
        </w:rPr>
        <w:instrText xml:space="preserve"> SEQ Table \* ARABIC </w:instrText>
      </w:r>
      <w:r w:rsidRPr="00215936">
        <w:rPr>
          <w:color w:val="auto"/>
          <w:sz w:val="26"/>
          <w:szCs w:val="26"/>
        </w:rPr>
        <w:fldChar w:fldCharType="separate"/>
      </w:r>
      <w:r w:rsidR="00794A86">
        <w:rPr>
          <w:noProof/>
          <w:color w:val="auto"/>
          <w:sz w:val="26"/>
          <w:szCs w:val="26"/>
        </w:rPr>
        <w:t>1</w:t>
      </w:r>
      <w:r w:rsidRPr="00215936">
        <w:rPr>
          <w:color w:val="auto"/>
          <w:sz w:val="26"/>
          <w:szCs w:val="26"/>
        </w:rPr>
        <w:fldChar w:fldCharType="end"/>
      </w:r>
      <w:r w:rsidR="00FE53FE" w:rsidRPr="00215936">
        <w:rPr>
          <w:color w:val="auto"/>
          <w:sz w:val="26"/>
          <w:szCs w:val="26"/>
        </w:rPr>
        <w:t xml:space="preserve">: Summary of </w:t>
      </w:r>
      <w:r w:rsidR="00F048C7">
        <w:rPr>
          <w:color w:val="auto"/>
          <w:sz w:val="26"/>
          <w:szCs w:val="26"/>
        </w:rPr>
        <w:t>Voyager</w:t>
      </w:r>
      <w:r w:rsidR="00D32038" w:rsidRPr="00215936">
        <w:rPr>
          <w:color w:val="auto"/>
          <w:sz w:val="26"/>
          <w:szCs w:val="26"/>
        </w:rPr>
        <w:t xml:space="preserve"> PPA</w:t>
      </w: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476"/>
        <w:gridCol w:w="1134"/>
        <w:gridCol w:w="1260"/>
        <w:gridCol w:w="2250"/>
        <w:gridCol w:w="1620"/>
        <w:gridCol w:w="1620"/>
      </w:tblGrid>
      <w:tr w:rsidR="00872F83" w:rsidRPr="00215936" w14:paraId="6A5652AF" w14:textId="77777777" w:rsidTr="003266A6">
        <w:trPr>
          <w:trHeight w:val="697"/>
          <w:jc w:val="center"/>
        </w:trPr>
        <w:tc>
          <w:tcPr>
            <w:tcW w:w="1368" w:type="dxa"/>
            <w:shd w:val="clear" w:color="auto" w:fill="D9D9D9" w:themeFill="background1" w:themeFillShade="D9"/>
            <w:vAlign w:val="bottom"/>
          </w:tcPr>
          <w:p w14:paraId="58F01170" w14:textId="77777777" w:rsidR="00872F83" w:rsidRPr="00215936" w:rsidRDefault="00872F83" w:rsidP="009263E6">
            <w:pPr>
              <w:keepLines/>
              <w:jc w:val="center"/>
              <w:rPr>
                <w:b/>
                <w:sz w:val="22"/>
                <w:szCs w:val="22"/>
              </w:rPr>
            </w:pPr>
            <w:r w:rsidRPr="00215936">
              <w:rPr>
                <w:b/>
                <w:sz w:val="22"/>
                <w:szCs w:val="22"/>
              </w:rPr>
              <w:t>Seller</w:t>
            </w:r>
          </w:p>
        </w:tc>
        <w:tc>
          <w:tcPr>
            <w:tcW w:w="1476" w:type="dxa"/>
            <w:shd w:val="clear" w:color="auto" w:fill="D9D9D9" w:themeFill="background1" w:themeFillShade="D9"/>
            <w:vAlign w:val="bottom"/>
          </w:tcPr>
          <w:p w14:paraId="0CD9C963" w14:textId="77777777" w:rsidR="00872F83" w:rsidRPr="00215936" w:rsidRDefault="00872F83" w:rsidP="009263E6">
            <w:pPr>
              <w:keepLines/>
              <w:jc w:val="center"/>
              <w:rPr>
                <w:b/>
                <w:sz w:val="22"/>
                <w:szCs w:val="22"/>
              </w:rPr>
            </w:pPr>
            <w:r w:rsidRPr="00215936">
              <w:rPr>
                <w:b/>
                <w:sz w:val="22"/>
                <w:szCs w:val="22"/>
              </w:rPr>
              <w:t>Generation</w:t>
            </w:r>
            <w:r w:rsidRPr="00215936">
              <w:rPr>
                <w:b/>
                <w:sz w:val="22"/>
                <w:szCs w:val="22"/>
              </w:rPr>
              <w:br/>
              <w:t>Type</w:t>
            </w:r>
          </w:p>
        </w:tc>
        <w:tc>
          <w:tcPr>
            <w:tcW w:w="1134" w:type="dxa"/>
            <w:shd w:val="clear" w:color="auto" w:fill="D9D9D9" w:themeFill="background1" w:themeFillShade="D9"/>
            <w:vAlign w:val="bottom"/>
          </w:tcPr>
          <w:p w14:paraId="1A0F8A52" w14:textId="77777777" w:rsidR="00872F83" w:rsidRPr="00215936" w:rsidRDefault="00872F83" w:rsidP="009263E6">
            <w:pPr>
              <w:jc w:val="center"/>
              <w:rPr>
                <w:b/>
                <w:sz w:val="22"/>
                <w:szCs w:val="22"/>
              </w:rPr>
            </w:pPr>
            <w:r w:rsidRPr="00215936">
              <w:rPr>
                <w:b/>
                <w:sz w:val="22"/>
                <w:szCs w:val="22"/>
              </w:rPr>
              <w:t>Size</w:t>
            </w:r>
          </w:p>
          <w:p w14:paraId="613A3DD5" w14:textId="77777777" w:rsidR="00872F83" w:rsidRPr="00215936" w:rsidRDefault="00872F83" w:rsidP="009263E6">
            <w:pPr>
              <w:jc w:val="center"/>
              <w:rPr>
                <w:b/>
                <w:sz w:val="22"/>
                <w:szCs w:val="22"/>
              </w:rPr>
            </w:pPr>
            <w:r w:rsidRPr="00215936">
              <w:rPr>
                <w:b/>
                <w:sz w:val="22"/>
                <w:szCs w:val="22"/>
              </w:rPr>
              <w:t>(MW)</w:t>
            </w:r>
          </w:p>
        </w:tc>
        <w:tc>
          <w:tcPr>
            <w:tcW w:w="1260" w:type="dxa"/>
            <w:shd w:val="clear" w:color="auto" w:fill="D9D9D9" w:themeFill="background1" w:themeFillShade="D9"/>
            <w:vAlign w:val="bottom"/>
          </w:tcPr>
          <w:p w14:paraId="1263109D" w14:textId="77777777" w:rsidR="00872F83" w:rsidRPr="00215936" w:rsidRDefault="00872F83" w:rsidP="009263E6">
            <w:pPr>
              <w:jc w:val="center"/>
              <w:rPr>
                <w:b/>
                <w:sz w:val="22"/>
                <w:szCs w:val="22"/>
              </w:rPr>
            </w:pPr>
            <w:r w:rsidRPr="00215936">
              <w:rPr>
                <w:b/>
                <w:sz w:val="22"/>
                <w:szCs w:val="22"/>
              </w:rPr>
              <w:t>Estimated Average Energy</w:t>
            </w:r>
          </w:p>
          <w:p w14:paraId="7D8110A7" w14:textId="77777777" w:rsidR="00872F83" w:rsidRPr="00215936" w:rsidRDefault="00872F83" w:rsidP="009263E6">
            <w:pPr>
              <w:jc w:val="center"/>
              <w:rPr>
                <w:b/>
                <w:sz w:val="22"/>
                <w:szCs w:val="22"/>
              </w:rPr>
            </w:pPr>
            <w:r w:rsidRPr="00215936">
              <w:rPr>
                <w:b/>
                <w:sz w:val="22"/>
                <w:szCs w:val="22"/>
              </w:rPr>
              <w:t>(GWh/Yr)</w:t>
            </w:r>
          </w:p>
        </w:tc>
        <w:tc>
          <w:tcPr>
            <w:tcW w:w="2250" w:type="dxa"/>
            <w:shd w:val="clear" w:color="auto" w:fill="D9D9D9" w:themeFill="background1" w:themeFillShade="D9"/>
            <w:vAlign w:val="bottom"/>
          </w:tcPr>
          <w:p w14:paraId="5B68CAA8" w14:textId="77777777" w:rsidR="00872F83" w:rsidRPr="00215936" w:rsidRDefault="00872F83" w:rsidP="009263E6">
            <w:pPr>
              <w:jc w:val="center"/>
              <w:rPr>
                <w:b/>
                <w:sz w:val="22"/>
                <w:szCs w:val="22"/>
              </w:rPr>
            </w:pPr>
            <w:r w:rsidRPr="00215936">
              <w:rPr>
                <w:b/>
                <w:sz w:val="22"/>
                <w:szCs w:val="22"/>
              </w:rPr>
              <w:t>Forecasted Commercial Operation Date</w:t>
            </w:r>
          </w:p>
        </w:tc>
        <w:tc>
          <w:tcPr>
            <w:tcW w:w="1620" w:type="dxa"/>
            <w:shd w:val="clear" w:color="auto" w:fill="D9D9D9" w:themeFill="background1" w:themeFillShade="D9"/>
            <w:vAlign w:val="bottom"/>
          </w:tcPr>
          <w:p w14:paraId="5E336FC3" w14:textId="77777777" w:rsidR="00872F83" w:rsidRPr="00215936" w:rsidRDefault="00872F83" w:rsidP="009263E6">
            <w:pPr>
              <w:jc w:val="center"/>
              <w:rPr>
                <w:b/>
                <w:sz w:val="22"/>
                <w:szCs w:val="22"/>
              </w:rPr>
            </w:pPr>
            <w:r w:rsidRPr="00215936">
              <w:rPr>
                <w:b/>
                <w:sz w:val="22"/>
                <w:szCs w:val="22"/>
              </w:rPr>
              <w:t>Term of Agreement</w:t>
            </w:r>
          </w:p>
          <w:p w14:paraId="765378C8" w14:textId="77777777" w:rsidR="00872F83" w:rsidRPr="00215936" w:rsidRDefault="00872F83" w:rsidP="009263E6">
            <w:pPr>
              <w:jc w:val="center"/>
              <w:rPr>
                <w:b/>
                <w:sz w:val="22"/>
                <w:szCs w:val="22"/>
              </w:rPr>
            </w:pPr>
            <w:r w:rsidRPr="00215936">
              <w:rPr>
                <w:b/>
                <w:sz w:val="22"/>
                <w:szCs w:val="22"/>
              </w:rPr>
              <w:t>(Years)</w:t>
            </w:r>
          </w:p>
        </w:tc>
        <w:tc>
          <w:tcPr>
            <w:tcW w:w="1620" w:type="dxa"/>
            <w:shd w:val="clear" w:color="auto" w:fill="D9D9D9" w:themeFill="background1" w:themeFillShade="D9"/>
            <w:vAlign w:val="bottom"/>
          </w:tcPr>
          <w:p w14:paraId="7B4D94E7" w14:textId="77777777" w:rsidR="00872F83" w:rsidRPr="00215936" w:rsidRDefault="00872F83" w:rsidP="009263E6">
            <w:pPr>
              <w:jc w:val="center"/>
              <w:rPr>
                <w:b/>
                <w:sz w:val="22"/>
                <w:szCs w:val="22"/>
              </w:rPr>
            </w:pPr>
            <w:r w:rsidRPr="00215936">
              <w:rPr>
                <w:b/>
                <w:sz w:val="22"/>
                <w:szCs w:val="22"/>
              </w:rPr>
              <w:t>Location</w:t>
            </w:r>
          </w:p>
        </w:tc>
      </w:tr>
      <w:tr w:rsidR="00872F83" w:rsidRPr="00215936" w14:paraId="5E76E2B5" w14:textId="77777777" w:rsidTr="00872F83">
        <w:trPr>
          <w:trHeight w:val="517"/>
          <w:jc w:val="center"/>
        </w:trPr>
        <w:tc>
          <w:tcPr>
            <w:tcW w:w="1368" w:type="dxa"/>
            <w:shd w:val="clear" w:color="auto" w:fill="auto"/>
            <w:vAlign w:val="center"/>
          </w:tcPr>
          <w:p w14:paraId="0CAEEBA7" w14:textId="2EC45727" w:rsidR="00872F83" w:rsidRPr="00215936" w:rsidRDefault="00F048C7" w:rsidP="00A9422A">
            <w:pPr>
              <w:tabs>
                <w:tab w:val="left" w:pos="5040"/>
                <w:tab w:val="left" w:pos="7020"/>
              </w:tabs>
              <w:jc w:val="center"/>
              <w:rPr>
                <w:sz w:val="22"/>
                <w:szCs w:val="22"/>
              </w:rPr>
            </w:pPr>
            <w:r>
              <w:rPr>
                <w:sz w:val="22"/>
                <w:szCs w:val="22"/>
              </w:rPr>
              <w:t>Voyager</w:t>
            </w:r>
            <w:r w:rsidR="008F1BC6" w:rsidRPr="00215936">
              <w:rPr>
                <w:sz w:val="22"/>
                <w:szCs w:val="22"/>
              </w:rPr>
              <w:t xml:space="preserve"> Wind</w:t>
            </w:r>
            <w:r w:rsidR="001662BA">
              <w:rPr>
                <w:sz w:val="22"/>
                <w:szCs w:val="22"/>
              </w:rPr>
              <w:t xml:space="preserve"> I</w:t>
            </w:r>
            <w:r w:rsidR="008F1BC6" w:rsidRPr="00215936">
              <w:rPr>
                <w:sz w:val="22"/>
                <w:szCs w:val="22"/>
              </w:rPr>
              <w:t>, LLC</w:t>
            </w:r>
          </w:p>
        </w:tc>
        <w:tc>
          <w:tcPr>
            <w:tcW w:w="1476" w:type="dxa"/>
            <w:shd w:val="clear" w:color="auto" w:fill="auto"/>
            <w:vAlign w:val="center"/>
          </w:tcPr>
          <w:p w14:paraId="2D93249C" w14:textId="7CAD02E7" w:rsidR="00872F83" w:rsidRPr="00215936" w:rsidRDefault="008F1BC6" w:rsidP="00A9422A">
            <w:pPr>
              <w:keepLines/>
              <w:jc w:val="center"/>
              <w:rPr>
                <w:sz w:val="22"/>
                <w:szCs w:val="22"/>
              </w:rPr>
            </w:pPr>
            <w:r w:rsidRPr="00215936">
              <w:rPr>
                <w:sz w:val="22"/>
                <w:szCs w:val="22"/>
              </w:rPr>
              <w:t>Wind</w:t>
            </w:r>
          </w:p>
        </w:tc>
        <w:tc>
          <w:tcPr>
            <w:tcW w:w="1134" w:type="dxa"/>
            <w:shd w:val="clear" w:color="auto" w:fill="auto"/>
            <w:vAlign w:val="center"/>
          </w:tcPr>
          <w:p w14:paraId="00F03E55" w14:textId="13310D06" w:rsidR="00872F83" w:rsidRPr="00215936" w:rsidRDefault="008F1BC6" w:rsidP="009263E6">
            <w:pPr>
              <w:jc w:val="center"/>
              <w:rPr>
                <w:sz w:val="22"/>
                <w:szCs w:val="22"/>
              </w:rPr>
            </w:pPr>
            <w:r w:rsidRPr="00215936">
              <w:rPr>
                <w:sz w:val="22"/>
                <w:szCs w:val="22"/>
              </w:rPr>
              <w:t>132</w:t>
            </w:r>
          </w:p>
        </w:tc>
        <w:tc>
          <w:tcPr>
            <w:tcW w:w="1260" w:type="dxa"/>
            <w:shd w:val="clear" w:color="auto" w:fill="auto"/>
            <w:vAlign w:val="center"/>
          </w:tcPr>
          <w:p w14:paraId="1B93E533" w14:textId="0A8249EB" w:rsidR="00872F83" w:rsidRPr="00215936" w:rsidRDefault="00A75673" w:rsidP="009263E6">
            <w:pPr>
              <w:jc w:val="center"/>
              <w:rPr>
                <w:sz w:val="22"/>
                <w:szCs w:val="22"/>
              </w:rPr>
            </w:pPr>
            <w:r>
              <w:rPr>
                <w:sz w:val="22"/>
                <w:szCs w:val="22"/>
              </w:rPr>
              <w:t>438</w:t>
            </w:r>
          </w:p>
        </w:tc>
        <w:tc>
          <w:tcPr>
            <w:tcW w:w="2250" w:type="dxa"/>
            <w:shd w:val="clear" w:color="auto" w:fill="auto"/>
            <w:vAlign w:val="center"/>
          </w:tcPr>
          <w:p w14:paraId="13CC905A" w14:textId="47A8D847" w:rsidR="00872F83" w:rsidRPr="00215936" w:rsidRDefault="001662BA">
            <w:pPr>
              <w:jc w:val="center"/>
              <w:rPr>
                <w:sz w:val="22"/>
                <w:szCs w:val="22"/>
              </w:rPr>
            </w:pPr>
            <w:r>
              <w:rPr>
                <w:sz w:val="22"/>
                <w:szCs w:val="22"/>
              </w:rPr>
              <w:t>January</w:t>
            </w:r>
            <w:r w:rsidRPr="00215936">
              <w:rPr>
                <w:sz w:val="22"/>
                <w:szCs w:val="22"/>
              </w:rPr>
              <w:t xml:space="preserve"> </w:t>
            </w:r>
            <w:r w:rsidR="00872F83" w:rsidRPr="00215936">
              <w:rPr>
                <w:sz w:val="22"/>
                <w:szCs w:val="22"/>
              </w:rPr>
              <w:t xml:space="preserve">1, </w:t>
            </w:r>
            <w:r w:rsidR="00AA2212" w:rsidRPr="00215936">
              <w:rPr>
                <w:sz w:val="22"/>
                <w:szCs w:val="22"/>
              </w:rPr>
              <w:t>201</w:t>
            </w:r>
            <w:r>
              <w:rPr>
                <w:sz w:val="22"/>
                <w:szCs w:val="22"/>
              </w:rPr>
              <w:t>9</w:t>
            </w:r>
          </w:p>
        </w:tc>
        <w:tc>
          <w:tcPr>
            <w:tcW w:w="1620" w:type="dxa"/>
            <w:shd w:val="clear" w:color="auto" w:fill="auto"/>
            <w:vAlign w:val="center"/>
          </w:tcPr>
          <w:p w14:paraId="29CA7BDD" w14:textId="15B3F236" w:rsidR="00872F83" w:rsidRPr="00215936" w:rsidRDefault="008F1BC6" w:rsidP="009263E6">
            <w:pPr>
              <w:jc w:val="center"/>
              <w:rPr>
                <w:sz w:val="22"/>
                <w:szCs w:val="22"/>
              </w:rPr>
            </w:pPr>
            <w:r w:rsidRPr="00215936">
              <w:rPr>
                <w:sz w:val="22"/>
                <w:szCs w:val="22"/>
              </w:rPr>
              <w:t>15</w:t>
            </w:r>
          </w:p>
        </w:tc>
        <w:tc>
          <w:tcPr>
            <w:tcW w:w="1620" w:type="dxa"/>
            <w:vAlign w:val="center"/>
          </w:tcPr>
          <w:p w14:paraId="57FEA117" w14:textId="337DF376" w:rsidR="00872F83" w:rsidRPr="00215936" w:rsidRDefault="001662BA" w:rsidP="00323189">
            <w:pPr>
              <w:jc w:val="center"/>
              <w:rPr>
                <w:sz w:val="22"/>
                <w:szCs w:val="22"/>
              </w:rPr>
            </w:pPr>
            <w:r>
              <w:rPr>
                <w:sz w:val="22"/>
                <w:szCs w:val="22"/>
              </w:rPr>
              <w:t>Kern</w:t>
            </w:r>
            <w:r w:rsidR="008F1BC6" w:rsidRPr="00215936">
              <w:rPr>
                <w:sz w:val="22"/>
                <w:szCs w:val="22"/>
              </w:rPr>
              <w:t xml:space="preserve"> County</w:t>
            </w:r>
            <w:r w:rsidR="00AA2212" w:rsidRPr="00215936">
              <w:rPr>
                <w:sz w:val="22"/>
                <w:szCs w:val="22"/>
              </w:rPr>
              <w:t xml:space="preserve">, </w:t>
            </w:r>
            <w:r w:rsidR="00323189" w:rsidRPr="00215936">
              <w:rPr>
                <w:sz w:val="22"/>
                <w:szCs w:val="22"/>
              </w:rPr>
              <w:t>CA</w:t>
            </w:r>
          </w:p>
        </w:tc>
      </w:tr>
    </w:tbl>
    <w:p w14:paraId="11E418C4" w14:textId="77777777" w:rsidR="00872F83" w:rsidRDefault="00872F83"/>
    <w:p w14:paraId="67573348" w14:textId="4D05B742" w:rsidR="001B2721" w:rsidRPr="00215936" w:rsidRDefault="005E02BA" w:rsidP="001B2721">
      <w:pPr>
        <w:pStyle w:val="Caption"/>
        <w:keepNext/>
        <w:spacing w:after="120"/>
        <w:rPr>
          <w:color w:val="auto"/>
          <w:sz w:val="26"/>
          <w:szCs w:val="26"/>
        </w:rPr>
      </w:pPr>
      <w:r w:rsidRPr="00215936">
        <w:rPr>
          <w:color w:val="auto"/>
          <w:sz w:val="26"/>
          <w:szCs w:val="26"/>
        </w:rPr>
        <w:t xml:space="preserve">Table </w:t>
      </w:r>
      <w:r>
        <w:rPr>
          <w:color w:val="auto"/>
          <w:sz w:val="26"/>
          <w:szCs w:val="26"/>
        </w:rPr>
        <w:t>2</w:t>
      </w:r>
      <w:r w:rsidRPr="00215936">
        <w:rPr>
          <w:color w:val="auto"/>
          <w:sz w:val="26"/>
          <w:szCs w:val="26"/>
        </w:rPr>
        <w:t xml:space="preserve">: Summary of </w:t>
      </w:r>
      <w:r w:rsidR="001B2721">
        <w:rPr>
          <w:color w:val="auto"/>
          <w:sz w:val="26"/>
          <w:szCs w:val="26"/>
        </w:rPr>
        <w:t>TGP Sale Agreement</w:t>
      </w:r>
    </w:p>
    <w:tbl>
      <w:tblPr>
        <w:tblW w:w="10645" w:type="dxa"/>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3"/>
        <w:gridCol w:w="1530"/>
        <w:gridCol w:w="1620"/>
        <w:gridCol w:w="1170"/>
        <w:gridCol w:w="3510"/>
        <w:gridCol w:w="1542"/>
      </w:tblGrid>
      <w:tr w:rsidR="00BA7869" w:rsidRPr="00215936" w14:paraId="690110B3" w14:textId="77777777" w:rsidTr="00BA7869">
        <w:trPr>
          <w:trHeight w:val="697"/>
          <w:jc w:val="center"/>
        </w:trPr>
        <w:tc>
          <w:tcPr>
            <w:tcW w:w="1273" w:type="dxa"/>
            <w:shd w:val="clear" w:color="auto" w:fill="D9D9D9" w:themeFill="background1" w:themeFillShade="D9"/>
            <w:vAlign w:val="bottom"/>
          </w:tcPr>
          <w:p w14:paraId="05AFA4F8" w14:textId="6F543810" w:rsidR="00675E1D" w:rsidRPr="00215936" w:rsidRDefault="00675E1D" w:rsidP="001662BA">
            <w:pPr>
              <w:keepLines/>
              <w:jc w:val="center"/>
              <w:rPr>
                <w:b/>
                <w:sz w:val="22"/>
                <w:szCs w:val="22"/>
              </w:rPr>
            </w:pPr>
            <w:r w:rsidRPr="00215936">
              <w:rPr>
                <w:b/>
                <w:sz w:val="22"/>
                <w:szCs w:val="22"/>
              </w:rPr>
              <w:t>Seller</w:t>
            </w:r>
          </w:p>
        </w:tc>
        <w:tc>
          <w:tcPr>
            <w:tcW w:w="1530" w:type="dxa"/>
            <w:shd w:val="clear" w:color="auto" w:fill="D9D9D9" w:themeFill="background1" w:themeFillShade="D9"/>
            <w:vAlign w:val="bottom"/>
          </w:tcPr>
          <w:p w14:paraId="2C8ADA6E" w14:textId="0CF7BCE5" w:rsidR="00675E1D" w:rsidRPr="00215936" w:rsidRDefault="00675E1D" w:rsidP="001B2721">
            <w:pPr>
              <w:keepLines/>
              <w:jc w:val="center"/>
              <w:rPr>
                <w:b/>
                <w:sz w:val="22"/>
                <w:szCs w:val="22"/>
              </w:rPr>
            </w:pPr>
            <w:r>
              <w:rPr>
                <w:b/>
                <w:sz w:val="22"/>
                <w:szCs w:val="22"/>
              </w:rPr>
              <w:t>Buyer</w:t>
            </w:r>
          </w:p>
        </w:tc>
        <w:tc>
          <w:tcPr>
            <w:tcW w:w="1620" w:type="dxa"/>
            <w:tcBorders>
              <w:bottom w:val="single" w:sz="4" w:space="0" w:color="auto"/>
            </w:tcBorders>
            <w:shd w:val="clear" w:color="auto" w:fill="D9D9D9" w:themeFill="background1" w:themeFillShade="D9"/>
            <w:vAlign w:val="bottom"/>
          </w:tcPr>
          <w:p w14:paraId="3E58662E" w14:textId="17165311" w:rsidR="00675E1D" w:rsidRPr="00215936" w:rsidRDefault="00675E1D" w:rsidP="001B2721">
            <w:pPr>
              <w:keepLines/>
              <w:jc w:val="center"/>
              <w:rPr>
                <w:b/>
                <w:sz w:val="22"/>
                <w:szCs w:val="22"/>
              </w:rPr>
            </w:pPr>
            <w:r w:rsidRPr="00215936">
              <w:rPr>
                <w:b/>
                <w:sz w:val="22"/>
                <w:szCs w:val="22"/>
              </w:rPr>
              <w:t>Generation</w:t>
            </w:r>
            <w:r w:rsidRPr="00215936">
              <w:rPr>
                <w:b/>
                <w:sz w:val="22"/>
                <w:szCs w:val="22"/>
              </w:rPr>
              <w:br/>
              <w:t>Type</w:t>
            </w:r>
          </w:p>
        </w:tc>
        <w:tc>
          <w:tcPr>
            <w:tcW w:w="1170" w:type="dxa"/>
            <w:shd w:val="clear" w:color="auto" w:fill="D9D9D9" w:themeFill="background1" w:themeFillShade="D9"/>
            <w:vAlign w:val="bottom"/>
          </w:tcPr>
          <w:p w14:paraId="49D792D8" w14:textId="77777777" w:rsidR="00675E1D" w:rsidRPr="00215936" w:rsidRDefault="00675E1D" w:rsidP="00FA0202">
            <w:pPr>
              <w:jc w:val="center"/>
              <w:rPr>
                <w:b/>
                <w:sz w:val="22"/>
                <w:szCs w:val="22"/>
              </w:rPr>
            </w:pPr>
            <w:r>
              <w:rPr>
                <w:b/>
                <w:sz w:val="22"/>
                <w:szCs w:val="22"/>
              </w:rPr>
              <w:t>Contract Quantity</w:t>
            </w:r>
          </w:p>
          <w:p w14:paraId="57FAE4CE" w14:textId="3AFBE31D" w:rsidR="00675E1D" w:rsidRPr="00215936" w:rsidRDefault="00675E1D" w:rsidP="001662BA">
            <w:pPr>
              <w:jc w:val="center"/>
              <w:rPr>
                <w:b/>
                <w:sz w:val="22"/>
                <w:szCs w:val="22"/>
              </w:rPr>
            </w:pPr>
            <w:r>
              <w:rPr>
                <w:b/>
                <w:sz w:val="22"/>
                <w:szCs w:val="22"/>
              </w:rPr>
              <w:t>(GWh</w:t>
            </w:r>
            <w:r w:rsidRPr="00215936">
              <w:rPr>
                <w:b/>
                <w:sz w:val="22"/>
                <w:szCs w:val="22"/>
              </w:rPr>
              <w:t>)</w:t>
            </w:r>
          </w:p>
        </w:tc>
        <w:tc>
          <w:tcPr>
            <w:tcW w:w="3510" w:type="dxa"/>
            <w:shd w:val="clear" w:color="auto" w:fill="D9D9D9" w:themeFill="background1" w:themeFillShade="D9"/>
            <w:vAlign w:val="bottom"/>
          </w:tcPr>
          <w:p w14:paraId="4F289764" w14:textId="6C449451" w:rsidR="00675E1D" w:rsidRPr="00215936" w:rsidRDefault="00675E1D" w:rsidP="001662BA">
            <w:pPr>
              <w:jc w:val="center"/>
              <w:rPr>
                <w:b/>
                <w:sz w:val="22"/>
                <w:szCs w:val="22"/>
              </w:rPr>
            </w:pPr>
            <w:r>
              <w:rPr>
                <w:b/>
                <w:sz w:val="22"/>
                <w:szCs w:val="22"/>
              </w:rPr>
              <w:t>Delivery Period</w:t>
            </w:r>
          </w:p>
        </w:tc>
        <w:tc>
          <w:tcPr>
            <w:tcW w:w="1542" w:type="dxa"/>
            <w:shd w:val="clear" w:color="auto" w:fill="D9D9D9" w:themeFill="background1" w:themeFillShade="D9"/>
            <w:vAlign w:val="bottom"/>
          </w:tcPr>
          <w:p w14:paraId="7616EFF9" w14:textId="1DFADDE4" w:rsidR="00675E1D" w:rsidRPr="00215936" w:rsidRDefault="00675E1D" w:rsidP="001662BA">
            <w:pPr>
              <w:jc w:val="center"/>
              <w:rPr>
                <w:b/>
                <w:sz w:val="22"/>
                <w:szCs w:val="22"/>
              </w:rPr>
            </w:pPr>
            <w:r w:rsidRPr="00215936">
              <w:rPr>
                <w:b/>
                <w:sz w:val="22"/>
                <w:szCs w:val="22"/>
              </w:rPr>
              <w:t>Location</w:t>
            </w:r>
          </w:p>
        </w:tc>
      </w:tr>
      <w:tr w:rsidR="00675E1D" w:rsidRPr="00215936" w14:paraId="36CAC5DD" w14:textId="77777777" w:rsidTr="00BA7869">
        <w:trPr>
          <w:trHeight w:val="517"/>
          <w:jc w:val="center"/>
        </w:trPr>
        <w:tc>
          <w:tcPr>
            <w:tcW w:w="1273" w:type="dxa"/>
            <w:shd w:val="clear" w:color="auto" w:fill="auto"/>
            <w:vAlign w:val="center"/>
          </w:tcPr>
          <w:p w14:paraId="68EA9CC9" w14:textId="3C1F2E0C" w:rsidR="00675E1D" w:rsidRPr="00215936" w:rsidRDefault="00675E1D" w:rsidP="001662BA">
            <w:pPr>
              <w:tabs>
                <w:tab w:val="left" w:pos="5040"/>
                <w:tab w:val="left" w:pos="7020"/>
              </w:tabs>
              <w:jc w:val="center"/>
              <w:rPr>
                <w:sz w:val="22"/>
                <w:szCs w:val="22"/>
              </w:rPr>
            </w:pPr>
            <w:r>
              <w:rPr>
                <w:sz w:val="22"/>
                <w:szCs w:val="22"/>
              </w:rPr>
              <w:t>SCE</w:t>
            </w:r>
          </w:p>
        </w:tc>
        <w:tc>
          <w:tcPr>
            <w:tcW w:w="1530" w:type="dxa"/>
            <w:vAlign w:val="center"/>
          </w:tcPr>
          <w:p w14:paraId="6FD06782" w14:textId="451862A1" w:rsidR="00675E1D" w:rsidRPr="00215936" w:rsidRDefault="00675E1D" w:rsidP="001B2721">
            <w:pPr>
              <w:keepLines/>
              <w:jc w:val="center"/>
              <w:rPr>
                <w:sz w:val="22"/>
                <w:szCs w:val="22"/>
              </w:rPr>
            </w:pPr>
            <w:r>
              <w:rPr>
                <w:sz w:val="22"/>
                <w:szCs w:val="22"/>
              </w:rPr>
              <w:t>TGP Energy Management</w:t>
            </w:r>
          </w:p>
        </w:tc>
        <w:tc>
          <w:tcPr>
            <w:tcW w:w="1620" w:type="dxa"/>
            <w:tcBorders>
              <w:top w:val="single" w:sz="4" w:space="0" w:color="auto"/>
            </w:tcBorders>
            <w:shd w:val="clear" w:color="auto" w:fill="auto"/>
            <w:vAlign w:val="center"/>
          </w:tcPr>
          <w:p w14:paraId="0B8DAB3B" w14:textId="1336615F" w:rsidR="00675E1D" w:rsidRPr="00215936" w:rsidRDefault="00675E1D" w:rsidP="001662BA">
            <w:pPr>
              <w:keepLines/>
              <w:jc w:val="center"/>
              <w:rPr>
                <w:sz w:val="22"/>
                <w:szCs w:val="22"/>
              </w:rPr>
            </w:pPr>
            <w:r>
              <w:rPr>
                <w:sz w:val="22"/>
                <w:szCs w:val="22"/>
              </w:rPr>
              <w:t>Wind, Geothermal, &amp; Biogas</w:t>
            </w:r>
            <w:r w:rsidRPr="00215936" w:rsidDel="001B2721">
              <w:rPr>
                <w:sz w:val="22"/>
                <w:szCs w:val="22"/>
              </w:rPr>
              <w:t xml:space="preserve"> </w:t>
            </w:r>
          </w:p>
        </w:tc>
        <w:tc>
          <w:tcPr>
            <w:tcW w:w="1170" w:type="dxa"/>
            <w:shd w:val="clear" w:color="auto" w:fill="auto"/>
            <w:vAlign w:val="center"/>
          </w:tcPr>
          <w:p w14:paraId="64469250" w14:textId="28423947" w:rsidR="00675E1D" w:rsidRPr="00215936" w:rsidRDefault="00675E1D" w:rsidP="001662BA">
            <w:pPr>
              <w:jc w:val="center"/>
              <w:rPr>
                <w:sz w:val="22"/>
                <w:szCs w:val="22"/>
              </w:rPr>
            </w:pPr>
            <w:r>
              <w:rPr>
                <w:sz w:val="22"/>
                <w:szCs w:val="22"/>
              </w:rPr>
              <w:t>404</w:t>
            </w:r>
          </w:p>
        </w:tc>
        <w:tc>
          <w:tcPr>
            <w:tcW w:w="3510" w:type="dxa"/>
            <w:shd w:val="clear" w:color="auto" w:fill="auto"/>
            <w:vAlign w:val="center"/>
          </w:tcPr>
          <w:p w14:paraId="0267F523" w14:textId="600825CB" w:rsidR="00675E1D" w:rsidRPr="00215936" w:rsidRDefault="00675E1D">
            <w:pPr>
              <w:jc w:val="center"/>
              <w:rPr>
                <w:sz w:val="22"/>
                <w:szCs w:val="22"/>
              </w:rPr>
            </w:pPr>
            <w:r>
              <w:rPr>
                <w:sz w:val="22"/>
                <w:szCs w:val="22"/>
              </w:rPr>
              <w:t>10</w:t>
            </w:r>
            <w:r w:rsidRPr="00877335">
              <w:rPr>
                <w:sz w:val="22"/>
                <w:szCs w:val="22"/>
                <w:vertAlign w:val="superscript"/>
              </w:rPr>
              <w:t>th</w:t>
            </w:r>
            <w:r>
              <w:rPr>
                <w:sz w:val="22"/>
                <w:szCs w:val="22"/>
              </w:rPr>
              <w:t xml:space="preserve"> business day after Commission Approval until the earlier of: i) delivery of Contract Quantity and ii) December </w:t>
            </w:r>
            <w:r w:rsidRPr="00334012">
              <w:rPr>
                <w:sz w:val="22"/>
                <w:szCs w:val="22"/>
              </w:rPr>
              <w:t>31</w:t>
            </w:r>
            <w:r>
              <w:rPr>
                <w:sz w:val="22"/>
                <w:szCs w:val="22"/>
              </w:rPr>
              <w:t>, 2016</w:t>
            </w:r>
          </w:p>
        </w:tc>
        <w:tc>
          <w:tcPr>
            <w:tcW w:w="1542" w:type="dxa"/>
            <w:vAlign w:val="center"/>
          </w:tcPr>
          <w:p w14:paraId="080B5BBB" w14:textId="6E2243E2" w:rsidR="00675E1D" w:rsidRPr="00215936" w:rsidRDefault="00675E1D" w:rsidP="001662BA">
            <w:pPr>
              <w:jc w:val="center"/>
              <w:rPr>
                <w:sz w:val="22"/>
                <w:szCs w:val="22"/>
              </w:rPr>
            </w:pPr>
            <w:r>
              <w:rPr>
                <w:sz w:val="22"/>
                <w:szCs w:val="22"/>
              </w:rPr>
              <w:t>Various</w:t>
            </w:r>
          </w:p>
        </w:tc>
      </w:tr>
    </w:tbl>
    <w:p w14:paraId="73119C8C" w14:textId="77777777" w:rsidR="001662BA" w:rsidRPr="00215936" w:rsidRDefault="001662BA"/>
    <w:p w14:paraId="13C1B1AD" w14:textId="0E5D8143" w:rsidR="00CF17DE" w:rsidRPr="00215936" w:rsidRDefault="00CF17DE" w:rsidP="00383589">
      <w:pPr>
        <w:pStyle w:val="Heading1"/>
        <w:keepNext w:val="0"/>
        <w:widowControl w:val="0"/>
        <w:rPr>
          <w:rFonts w:ascii="Palatino" w:hAnsi="Palatino"/>
        </w:rPr>
      </w:pPr>
      <w:r w:rsidRPr="00215936">
        <w:rPr>
          <w:rFonts w:ascii="Palatino" w:hAnsi="Palatino"/>
        </w:rPr>
        <w:t>Background</w:t>
      </w:r>
    </w:p>
    <w:p w14:paraId="08C9FBB7" w14:textId="77777777" w:rsidR="008E5E29" w:rsidRPr="00215936" w:rsidRDefault="008E5E29" w:rsidP="007C1004">
      <w:pPr>
        <w:widowControl w:val="0"/>
        <w:spacing w:after="120"/>
        <w:rPr>
          <w:b/>
        </w:rPr>
      </w:pPr>
      <w:r w:rsidRPr="00215936">
        <w:rPr>
          <w:b/>
        </w:rPr>
        <w:t>Overview of the Renewables Portfolio Standard (RPS) Program</w:t>
      </w:r>
    </w:p>
    <w:p w14:paraId="47CA41FE" w14:textId="37146E85" w:rsidR="008E5E29" w:rsidRPr="00215936" w:rsidRDefault="008E5E29" w:rsidP="00383589">
      <w:pPr>
        <w:widowControl w:val="0"/>
      </w:pPr>
      <w:r w:rsidRPr="00215936">
        <w:t>The California RPS program was established by Senate Bill (SB) 1078, and has been subsequently modified by SB 107, SB 1036, and SB 2 (1X)</w:t>
      </w:r>
      <w:r w:rsidR="008A34BB">
        <w:t xml:space="preserve"> and SB 350</w:t>
      </w:r>
      <w:r w:rsidRPr="00215936">
        <w:t>.</w:t>
      </w:r>
      <w:r w:rsidRPr="00215936">
        <w:rPr>
          <w:vertAlign w:val="superscript"/>
        </w:rPr>
        <w:footnoteReference w:id="2"/>
      </w:r>
      <w:r w:rsidRPr="00215936">
        <w:t xml:space="preserve">  The RPS program is codified in Public Utilities Code Sections 399.11-399.31.</w:t>
      </w:r>
      <w:r w:rsidRPr="00215936">
        <w:rPr>
          <w:vertAlign w:val="superscript"/>
        </w:rPr>
        <w:footnoteReference w:id="3"/>
      </w:r>
      <w:r w:rsidRPr="00215936">
        <w:t xml:space="preserve">  </w:t>
      </w:r>
      <w:r w:rsidR="008A34BB">
        <w:t>T</w:t>
      </w:r>
      <w:r w:rsidRPr="00215936">
        <w:t xml:space="preserve">he RPS </w:t>
      </w:r>
      <w:r w:rsidRPr="00215936">
        <w:lastRenderedPageBreak/>
        <w:t xml:space="preserve">program requires each retail seller to procure eligible renewable energy resources so that the amount of electricity generated from eligible renewable resources </w:t>
      </w:r>
      <w:r w:rsidR="009A7666" w:rsidRPr="00215936">
        <w:t>is</w:t>
      </w:r>
      <w:r w:rsidR="009A7666" w:rsidRPr="00215936" w:rsidDel="009A7666">
        <w:t xml:space="preserve"> </w:t>
      </w:r>
      <w:r w:rsidRPr="00215936">
        <w:t xml:space="preserve">an amount that equals an average of 20 percent of the total electricity sold to retail customers in California for compliance period 2011-2013; 25 percent of retail sales by </w:t>
      </w:r>
      <w:r w:rsidR="00D94B6F">
        <w:br/>
      </w:r>
      <w:r w:rsidRPr="00215936">
        <w:t>December 31, 2016; 33 percent of retail sales by December 31, 2020</w:t>
      </w:r>
      <w:r w:rsidR="001A65CA">
        <w:t xml:space="preserve"> and corresponding increases </w:t>
      </w:r>
      <w:r w:rsidR="00B72B33">
        <w:t>up to</w:t>
      </w:r>
      <w:r w:rsidR="00E15FA1" w:rsidRPr="00215936">
        <w:t xml:space="preserve"> 50% by December 31, 2030.</w:t>
      </w:r>
      <w:r w:rsidR="001A65CA" w:rsidRPr="001A65CA">
        <w:rPr>
          <w:vertAlign w:val="superscript"/>
        </w:rPr>
        <w:t xml:space="preserve"> </w:t>
      </w:r>
      <w:r w:rsidR="001A65CA" w:rsidRPr="00215936">
        <w:rPr>
          <w:vertAlign w:val="superscript"/>
        </w:rPr>
        <w:footnoteReference w:id="4"/>
      </w:r>
    </w:p>
    <w:p w14:paraId="3552950D" w14:textId="77777777" w:rsidR="008E5E29" w:rsidRPr="00215936" w:rsidRDefault="008E5E29" w:rsidP="008E5E29">
      <w:r w:rsidRPr="00215936">
        <w:t xml:space="preserve"> </w:t>
      </w:r>
    </w:p>
    <w:p w14:paraId="3C2CDD27" w14:textId="4B6103E9" w:rsidR="008E5E29" w:rsidRPr="00215936" w:rsidRDefault="008E5E29" w:rsidP="008E5E29">
      <w:r w:rsidRPr="00215936">
        <w:t xml:space="preserve">Additional background information about the Commission’s RPS Program, including links to relevant laws and Commission decisions, is available at </w:t>
      </w:r>
      <w:hyperlink r:id="rId8" w:history="1">
        <w:r w:rsidRPr="00215936">
          <w:rPr>
            <w:rStyle w:val="Hyperlink"/>
            <w:bCs/>
          </w:rPr>
          <w:t>http://www.cpuc.ca.gov/PUC/energy/Renewables/overview.htm</w:t>
        </w:r>
      </w:hyperlink>
      <w:r w:rsidRPr="00215936">
        <w:t xml:space="preserve"> and </w:t>
      </w:r>
      <w:hyperlink r:id="rId9" w:history="1">
        <w:r w:rsidRPr="00215936">
          <w:rPr>
            <w:rStyle w:val="Hyperlink"/>
            <w:bCs/>
          </w:rPr>
          <w:t>http://www.cpuc.ca.gov/PUC/energy/Renewables/decisions.htm</w:t>
        </w:r>
      </w:hyperlink>
      <w:r w:rsidRPr="00215936">
        <w:t>.</w:t>
      </w:r>
    </w:p>
    <w:p w14:paraId="78B1CCE1" w14:textId="77777777" w:rsidR="00CF17DE" w:rsidRPr="00215936" w:rsidRDefault="00CF17DE">
      <w:pPr>
        <w:pStyle w:val="Heading1"/>
        <w:rPr>
          <w:rFonts w:ascii="Palatino" w:hAnsi="Palatino"/>
        </w:rPr>
      </w:pPr>
      <w:r w:rsidRPr="00215936">
        <w:rPr>
          <w:rFonts w:ascii="Palatino" w:hAnsi="Palatino"/>
        </w:rPr>
        <w:t xml:space="preserve">Notice </w:t>
      </w:r>
    </w:p>
    <w:p w14:paraId="2D84E1B1" w14:textId="15EB4958" w:rsidR="00DE5C6D" w:rsidRPr="00215936" w:rsidRDefault="00DE5C6D" w:rsidP="009A7ADA">
      <w:r w:rsidRPr="00215936">
        <w:t xml:space="preserve">Notice of the </w:t>
      </w:r>
      <w:r w:rsidR="009A7ADA">
        <w:t>Voyager and TGP AL</w:t>
      </w:r>
      <w:r w:rsidRPr="00215936">
        <w:t xml:space="preserve"> was made by publication in the Commission’s Daily Calendar.  SCE states that a copy of the </w:t>
      </w:r>
      <w:r w:rsidR="009A7ADA">
        <w:t>Voyager and TGP AL</w:t>
      </w:r>
      <w:r w:rsidRPr="00215936">
        <w:t xml:space="preserve"> was mailed and distributed to the R.</w:t>
      </w:r>
      <w:r w:rsidR="00AA2212" w:rsidRPr="00215936">
        <w:t>15-02-020</w:t>
      </w:r>
      <w:r w:rsidRPr="00215936">
        <w:t xml:space="preserve"> service list and GO 96-B service lists in accordance with Section 4 of General Order 96-B. </w:t>
      </w:r>
    </w:p>
    <w:p w14:paraId="580DC301" w14:textId="023E5D10" w:rsidR="00CF17DE" w:rsidRPr="00215936" w:rsidRDefault="00CF17DE"/>
    <w:p w14:paraId="29D146AE" w14:textId="5B7F61C3" w:rsidR="00CF17DE" w:rsidRPr="00215936" w:rsidRDefault="001B3C28">
      <w:pPr>
        <w:pStyle w:val="Heading1"/>
        <w:rPr>
          <w:rFonts w:ascii="Palatino" w:hAnsi="Palatino"/>
        </w:rPr>
      </w:pPr>
      <w:r w:rsidRPr="00215936">
        <w:rPr>
          <w:rFonts w:ascii="Palatino" w:hAnsi="Palatino"/>
        </w:rPr>
        <w:t>Protest</w:t>
      </w:r>
    </w:p>
    <w:p w14:paraId="3FCF7CBF" w14:textId="2CA29D7E" w:rsidR="00B543C1" w:rsidRDefault="00004B1A">
      <w:r>
        <w:t>The</w:t>
      </w:r>
      <w:r w:rsidRPr="00215936">
        <w:t xml:space="preserve"> </w:t>
      </w:r>
      <w:r w:rsidR="009A7ADA">
        <w:t>Voyager and TGP AL</w:t>
      </w:r>
      <w:r w:rsidR="0073538D" w:rsidRPr="00215936">
        <w:t xml:space="preserve"> was</w:t>
      </w:r>
      <w:r w:rsidR="004D30AF">
        <w:t xml:space="preserve"> not protested</w:t>
      </w:r>
      <w:r w:rsidR="00AF6B95" w:rsidRPr="00215936">
        <w:t>.</w:t>
      </w:r>
    </w:p>
    <w:p w14:paraId="0E7C73B2" w14:textId="77777777" w:rsidR="00004B1A" w:rsidRPr="00215936" w:rsidRDefault="00004B1A"/>
    <w:p w14:paraId="203806B6" w14:textId="77777777" w:rsidR="00CF17DE" w:rsidRPr="00215936" w:rsidRDefault="00CF17DE">
      <w:pPr>
        <w:pStyle w:val="Heading1"/>
        <w:rPr>
          <w:rFonts w:ascii="Palatino" w:hAnsi="Palatino"/>
        </w:rPr>
      </w:pPr>
      <w:r w:rsidRPr="00215936">
        <w:rPr>
          <w:rFonts w:ascii="Palatino" w:hAnsi="Palatino"/>
        </w:rPr>
        <w:t>Discussion</w:t>
      </w:r>
    </w:p>
    <w:p w14:paraId="2066359B" w14:textId="6523ADD0" w:rsidR="00CF17DE" w:rsidRPr="00215936" w:rsidRDefault="006005DC" w:rsidP="006005DC">
      <w:pPr>
        <w:spacing w:after="120"/>
        <w:rPr>
          <w:b/>
        </w:rPr>
      </w:pPr>
      <w:r w:rsidRPr="00215936">
        <w:rPr>
          <w:b/>
        </w:rPr>
        <w:t xml:space="preserve">SCE requests approval of a </w:t>
      </w:r>
      <w:r w:rsidR="00C17544">
        <w:rPr>
          <w:b/>
        </w:rPr>
        <w:t xml:space="preserve">bilateral </w:t>
      </w:r>
      <w:r w:rsidRPr="00215936">
        <w:rPr>
          <w:b/>
        </w:rPr>
        <w:t>renewable energy power purchase agreem</w:t>
      </w:r>
      <w:r w:rsidR="001173CF" w:rsidRPr="00215936">
        <w:rPr>
          <w:b/>
        </w:rPr>
        <w:t xml:space="preserve">ent </w:t>
      </w:r>
      <w:r w:rsidR="00323189" w:rsidRPr="00215936">
        <w:rPr>
          <w:b/>
        </w:rPr>
        <w:t xml:space="preserve">(PPA) </w:t>
      </w:r>
      <w:r w:rsidR="001173CF" w:rsidRPr="00215936">
        <w:rPr>
          <w:b/>
        </w:rPr>
        <w:t xml:space="preserve">with </w:t>
      </w:r>
      <w:r w:rsidR="00F048C7">
        <w:rPr>
          <w:b/>
        </w:rPr>
        <w:t>Voyager</w:t>
      </w:r>
      <w:r w:rsidR="00C17544">
        <w:rPr>
          <w:b/>
        </w:rPr>
        <w:t xml:space="preserve"> and</w:t>
      </w:r>
      <w:r w:rsidR="00C17544" w:rsidRPr="00815C6D">
        <w:rPr>
          <w:b/>
        </w:rPr>
        <w:t xml:space="preserve"> </w:t>
      </w:r>
      <w:r w:rsidR="00C17544">
        <w:rPr>
          <w:b/>
        </w:rPr>
        <w:t xml:space="preserve">a </w:t>
      </w:r>
      <w:r w:rsidR="00C17544" w:rsidRPr="00744F9F">
        <w:rPr>
          <w:rFonts w:ascii="Palatino Linotype" w:hAnsi="Palatino Linotype"/>
          <w:b/>
        </w:rPr>
        <w:t xml:space="preserve">bilateral contract for resale of bundled renewable energy </w:t>
      </w:r>
      <w:r w:rsidR="000A6B6D">
        <w:rPr>
          <w:rFonts w:ascii="Palatino Linotype" w:hAnsi="Palatino Linotype"/>
          <w:b/>
        </w:rPr>
        <w:t xml:space="preserve">and associated RECs </w:t>
      </w:r>
      <w:r w:rsidR="00C17544" w:rsidRPr="00744F9F">
        <w:rPr>
          <w:rFonts w:ascii="Palatino Linotype" w:hAnsi="Palatino Linotype"/>
          <w:b/>
        </w:rPr>
        <w:t>with TGP</w:t>
      </w:r>
    </w:p>
    <w:p w14:paraId="0C234BB6" w14:textId="24BB6FAF" w:rsidR="00D87ECE" w:rsidRDefault="006005DC" w:rsidP="009A7ADA">
      <w:r w:rsidRPr="00215936">
        <w:t xml:space="preserve">SCE </w:t>
      </w:r>
      <w:r w:rsidR="00885593" w:rsidRPr="00215936">
        <w:t xml:space="preserve">filed </w:t>
      </w:r>
      <w:r w:rsidR="00C309E3" w:rsidRPr="00215936">
        <w:t xml:space="preserve">the </w:t>
      </w:r>
      <w:r w:rsidR="009A7ADA">
        <w:t>Voyager and TGP AL</w:t>
      </w:r>
      <w:r w:rsidR="00932954">
        <w:t xml:space="preserve"> and AL 3330-E-A</w:t>
      </w:r>
      <w:r w:rsidR="00885593" w:rsidRPr="00215936" w:rsidDel="00C309E3">
        <w:t xml:space="preserve"> </w:t>
      </w:r>
      <w:r w:rsidR="00885593" w:rsidRPr="00215936">
        <w:t>requesting</w:t>
      </w:r>
      <w:r w:rsidRPr="00215936">
        <w:t xml:space="preserve"> </w:t>
      </w:r>
      <w:r w:rsidR="001173CF" w:rsidRPr="00215936">
        <w:t xml:space="preserve">Commission </w:t>
      </w:r>
      <w:r w:rsidRPr="00215936">
        <w:t xml:space="preserve">approval of </w:t>
      </w:r>
      <w:r w:rsidR="00637D2C">
        <w:t xml:space="preserve">the </w:t>
      </w:r>
      <w:r w:rsidR="00F048C7">
        <w:t>Voyager</w:t>
      </w:r>
      <w:r w:rsidR="009C4E6A" w:rsidRPr="00215936">
        <w:t xml:space="preserve"> </w:t>
      </w:r>
      <w:r w:rsidR="001173CF" w:rsidRPr="00215936">
        <w:t>PPA</w:t>
      </w:r>
      <w:r w:rsidR="00996270">
        <w:t xml:space="preserve"> and TGP Sale Agreement</w:t>
      </w:r>
      <w:r w:rsidRPr="00215936">
        <w:t xml:space="preserve">.  </w:t>
      </w:r>
      <w:r w:rsidR="00D87ECE" w:rsidRPr="00215936">
        <w:t xml:space="preserve">The </w:t>
      </w:r>
      <w:r w:rsidR="00B72B33">
        <w:t xml:space="preserve">proposed </w:t>
      </w:r>
      <w:r w:rsidR="00F048C7">
        <w:t>Voyager</w:t>
      </w:r>
      <w:r w:rsidR="00637D2C" w:rsidRPr="00215936">
        <w:t xml:space="preserve"> Wind facility</w:t>
      </w:r>
      <w:r w:rsidR="00637D2C" w:rsidRPr="00215936" w:rsidDel="00637D2C">
        <w:t xml:space="preserve"> </w:t>
      </w:r>
      <w:r w:rsidR="00323189" w:rsidRPr="00215936">
        <w:t>will be</w:t>
      </w:r>
      <w:r w:rsidR="00D87ECE" w:rsidRPr="00215936">
        <w:t xml:space="preserve"> </w:t>
      </w:r>
      <w:r w:rsidR="00690C03" w:rsidRPr="00215936">
        <w:t>located</w:t>
      </w:r>
      <w:r w:rsidR="00D87ECE" w:rsidRPr="00215936">
        <w:t xml:space="preserve"> </w:t>
      </w:r>
      <w:r w:rsidR="00823555">
        <w:t>in Kern County</w:t>
      </w:r>
      <w:r w:rsidR="00C37084">
        <w:t>,</w:t>
      </w:r>
      <w:r w:rsidR="00823555">
        <w:t xml:space="preserve"> </w:t>
      </w:r>
      <w:r w:rsidR="00C37084" w:rsidRPr="00215936">
        <w:t xml:space="preserve">California </w:t>
      </w:r>
      <w:r w:rsidR="00823555">
        <w:t>on two separate sites</w:t>
      </w:r>
      <w:r w:rsidR="00C37084" w:rsidRPr="00C37084">
        <w:t xml:space="preserve"> </w:t>
      </w:r>
      <w:r w:rsidR="00C37084">
        <w:t>between Mojave and Tehachapi</w:t>
      </w:r>
      <w:r w:rsidR="003B0B46" w:rsidRPr="00215936">
        <w:t>.</w:t>
      </w:r>
      <w:r w:rsidR="004D31F5" w:rsidRPr="00215936">
        <w:t xml:space="preserve">  </w:t>
      </w:r>
      <w:r w:rsidR="00F048C7">
        <w:t>Voyager</w:t>
      </w:r>
      <w:r w:rsidR="00323189" w:rsidRPr="00215936">
        <w:t xml:space="preserve"> </w:t>
      </w:r>
      <w:r w:rsidR="009D5317">
        <w:t>Wind</w:t>
      </w:r>
      <w:r w:rsidR="00823555">
        <w:t xml:space="preserve"> I</w:t>
      </w:r>
      <w:r w:rsidR="004D375D">
        <w:t>, LLC</w:t>
      </w:r>
      <w:r w:rsidR="009D5317">
        <w:t xml:space="preserve"> </w:t>
      </w:r>
      <w:r w:rsidR="000A6B6D">
        <w:t xml:space="preserve">and TGP Energy </w:t>
      </w:r>
      <w:r w:rsidR="000A6B6D">
        <w:lastRenderedPageBreak/>
        <w:t>Management, LLC are</w:t>
      </w:r>
      <w:r w:rsidR="001A3146" w:rsidRPr="00215936">
        <w:t xml:space="preserve"> a</w:t>
      </w:r>
      <w:r w:rsidR="00D87ECE" w:rsidRPr="00215936">
        <w:t xml:space="preserve"> </w:t>
      </w:r>
      <w:r w:rsidR="003B0B46" w:rsidRPr="00215936">
        <w:t xml:space="preserve">wholly owned </w:t>
      </w:r>
      <w:r w:rsidR="00323189" w:rsidRPr="00215936">
        <w:t xml:space="preserve">subsidiary of </w:t>
      </w:r>
      <w:r w:rsidR="00823555">
        <w:t>Terra-gen, LLC</w:t>
      </w:r>
      <w:r w:rsidR="00320322" w:rsidRPr="00215936">
        <w:t xml:space="preserve">, which will develop the proposed </w:t>
      </w:r>
      <w:r w:rsidR="007C74F5">
        <w:t>facility</w:t>
      </w:r>
      <w:r w:rsidR="00320322" w:rsidRPr="00215936">
        <w:t xml:space="preserve">. </w:t>
      </w:r>
      <w:r w:rsidR="00323189" w:rsidRPr="00215936">
        <w:t xml:space="preserve"> </w:t>
      </w:r>
      <w:r w:rsidR="003B7D01" w:rsidRPr="00215936">
        <w:t xml:space="preserve">Pursuant to the </w:t>
      </w:r>
      <w:r w:rsidR="00F048C7">
        <w:t>Voyager</w:t>
      </w:r>
      <w:r w:rsidR="003B7D01" w:rsidRPr="00215936">
        <w:t xml:space="preserve"> PPA, </w:t>
      </w:r>
      <w:r w:rsidR="00FD2C3F" w:rsidRPr="00215936">
        <w:t xml:space="preserve">the renewable energy from the facility will be delivered to </w:t>
      </w:r>
      <w:r w:rsidR="00823555">
        <w:t>SCE’s 220 kV Windhub</w:t>
      </w:r>
      <w:r w:rsidR="00823555" w:rsidRPr="00215936">
        <w:t xml:space="preserve"> </w:t>
      </w:r>
      <w:r w:rsidR="00FD2C3F" w:rsidRPr="00215936">
        <w:t xml:space="preserve">Substation, and </w:t>
      </w:r>
      <w:r w:rsidR="003B7D01" w:rsidRPr="00215936">
        <w:t xml:space="preserve">SCE is to begin purchasing </w:t>
      </w:r>
      <w:r w:rsidR="00FD2C3F" w:rsidRPr="00215936">
        <w:t xml:space="preserve">the </w:t>
      </w:r>
      <w:r w:rsidR="003B7D01" w:rsidRPr="00215936">
        <w:t xml:space="preserve">generation from </w:t>
      </w:r>
      <w:r w:rsidR="00F048C7">
        <w:t>Voyager</w:t>
      </w:r>
      <w:r w:rsidR="003B7D01" w:rsidRPr="00215936">
        <w:t xml:space="preserve"> beginning </w:t>
      </w:r>
      <w:r w:rsidR="00823555">
        <w:t>January</w:t>
      </w:r>
      <w:r w:rsidR="00823555" w:rsidRPr="00215936">
        <w:t xml:space="preserve"> </w:t>
      </w:r>
      <w:r w:rsidR="003B7D01" w:rsidRPr="00215936">
        <w:t xml:space="preserve">1, </w:t>
      </w:r>
      <w:r w:rsidR="009E227C" w:rsidRPr="00215936">
        <w:t>201</w:t>
      </w:r>
      <w:r w:rsidR="00823555">
        <w:t>9</w:t>
      </w:r>
      <w:r w:rsidR="003B7D01" w:rsidRPr="00215936">
        <w:t xml:space="preserve">.  </w:t>
      </w:r>
      <w:r w:rsidR="008A2059" w:rsidRPr="00215936">
        <w:t xml:space="preserve">The expected annual generation </w:t>
      </w:r>
      <w:r w:rsidR="00BA2911" w:rsidRPr="00215936">
        <w:t xml:space="preserve">to be purchased </w:t>
      </w:r>
      <w:r w:rsidR="0066681D" w:rsidRPr="00215936">
        <w:t xml:space="preserve">from the </w:t>
      </w:r>
      <w:r w:rsidR="007C74F5">
        <w:t>facility</w:t>
      </w:r>
      <w:r w:rsidR="0066681D" w:rsidRPr="00215936">
        <w:t xml:space="preserve"> is </w:t>
      </w:r>
      <w:r w:rsidR="00823555">
        <w:t>438</w:t>
      </w:r>
      <w:r w:rsidR="00823555" w:rsidRPr="00215936">
        <w:t xml:space="preserve"> </w:t>
      </w:r>
      <w:r w:rsidR="00885593" w:rsidRPr="00215936">
        <w:t>Gigawatt</w:t>
      </w:r>
      <w:r w:rsidR="008A2059" w:rsidRPr="00215936">
        <w:t>-hours (GWh).</w:t>
      </w:r>
      <w:r w:rsidR="003B7D01" w:rsidRPr="00215936">
        <w:t xml:space="preserve">  This generation could count towards SCE’s RPS requirements in Compliance Period 2017-2020</w:t>
      </w:r>
      <w:r w:rsidR="00320322" w:rsidRPr="00215936">
        <w:t xml:space="preserve"> and subsequent </w:t>
      </w:r>
      <w:r w:rsidR="001A65CA" w:rsidRPr="00215936">
        <w:t>Compliance Period</w:t>
      </w:r>
      <w:r w:rsidR="00B72B33">
        <w:t>s</w:t>
      </w:r>
      <w:r w:rsidR="001A65CA">
        <w:t xml:space="preserve"> through the end of the PPA</w:t>
      </w:r>
      <w:r w:rsidR="003B7D01" w:rsidRPr="00215936">
        <w:t>.</w:t>
      </w:r>
    </w:p>
    <w:p w14:paraId="4F9EC69F" w14:textId="77777777" w:rsidR="009932CE" w:rsidRDefault="009932CE" w:rsidP="009A7ADA"/>
    <w:p w14:paraId="1936A199" w14:textId="7B48194A" w:rsidR="009932CE" w:rsidRPr="00215936" w:rsidRDefault="00363374" w:rsidP="009A7ADA">
      <w:r>
        <w:t>Pursuant to the TGP Sale Agreement, SCE will sell</w:t>
      </w:r>
      <w:r w:rsidR="00B77766">
        <w:t xml:space="preserve"> </w:t>
      </w:r>
      <w:r w:rsidR="00061BD8">
        <w:t>404 GWh</w:t>
      </w:r>
      <w:r w:rsidR="00B77766">
        <w:t xml:space="preserve"> </w:t>
      </w:r>
      <w:r>
        <w:t xml:space="preserve">of </w:t>
      </w:r>
      <w:r w:rsidR="00FB7C34">
        <w:t>PCC</w:t>
      </w:r>
      <w:r>
        <w:t xml:space="preserve"> 1 energy and </w:t>
      </w:r>
      <w:r w:rsidR="00FB7C34">
        <w:t xml:space="preserve">associated </w:t>
      </w:r>
      <w:r>
        <w:t xml:space="preserve">RECs to TGP in 2016.  The energy and RECs will come from a portfolio of CEC-certified </w:t>
      </w:r>
      <w:r w:rsidR="0067457A">
        <w:t xml:space="preserve">renewable </w:t>
      </w:r>
      <w:r>
        <w:t>projects</w:t>
      </w:r>
      <w:r w:rsidR="00516EE6">
        <w:rPr>
          <w:rStyle w:val="FootnoteReference"/>
        </w:rPr>
        <w:footnoteReference w:id="5"/>
      </w:r>
      <w:r>
        <w:t xml:space="preserve"> that are already commercially operational.</w:t>
      </w:r>
      <w:r w:rsidR="00516EE6" w:rsidDel="00516EE6">
        <w:rPr>
          <w:rStyle w:val="CommentReference"/>
        </w:rPr>
        <w:t xml:space="preserve"> </w:t>
      </w:r>
    </w:p>
    <w:p w14:paraId="7221577C" w14:textId="77777777" w:rsidR="003B7D01" w:rsidRPr="00215936" w:rsidRDefault="003B7D01" w:rsidP="003B7D01">
      <w:pPr>
        <w:spacing w:after="120"/>
        <w:rPr>
          <w:b/>
        </w:rPr>
      </w:pPr>
      <w:r w:rsidRPr="00215936">
        <w:rPr>
          <w:b/>
        </w:rPr>
        <w:t>SCE requests that the Commission issue a resolution that:</w:t>
      </w:r>
    </w:p>
    <w:p w14:paraId="04261BCC" w14:textId="4EBC4FE8" w:rsidR="003B7D01" w:rsidRPr="00215936" w:rsidRDefault="003B7D01" w:rsidP="003B7D01">
      <w:pPr>
        <w:pStyle w:val="ListParagraph"/>
        <w:numPr>
          <w:ilvl w:val="0"/>
          <w:numId w:val="9"/>
        </w:numPr>
        <w:spacing w:after="120"/>
        <w:contextualSpacing w:val="0"/>
      </w:pPr>
      <w:r w:rsidRPr="00215936">
        <w:t xml:space="preserve">Approves the </w:t>
      </w:r>
      <w:r w:rsidR="00F048C7">
        <w:t>Voyager</w:t>
      </w:r>
      <w:r w:rsidR="00103D2C" w:rsidRPr="00215936">
        <w:t xml:space="preserve"> </w:t>
      </w:r>
      <w:r w:rsidRPr="00215936">
        <w:t>PPA</w:t>
      </w:r>
      <w:r w:rsidR="00823555">
        <w:t xml:space="preserve"> and TGP Sale Agreement</w:t>
      </w:r>
      <w:r w:rsidRPr="00215936">
        <w:t xml:space="preserve"> in </w:t>
      </w:r>
      <w:r w:rsidR="00823555">
        <w:t>their</w:t>
      </w:r>
      <w:r w:rsidRPr="00215936">
        <w:t xml:space="preserve"> entirety;</w:t>
      </w:r>
    </w:p>
    <w:p w14:paraId="45051C61" w14:textId="5535ACFC" w:rsidR="003B7D01" w:rsidRPr="00215936" w:rsidRDefault="003B7D01" w:rsidP="003B7D01">
      <w:pPr>
        <w:pStyle w:val="ListParagraph"/>
        <w:numPr>
          <w:ilvl w:val="0"/>
          <w:numId w:val="9"/>
        </w:numPr>
        <w:spacing w:after="120"/>
        <w:contextualSpacing w:val="0"/>
      </w:pPr>
      <w:r w:rsidRPr="00215936">
        <w:t xml:space="preserve">Finds that the </w:t>
      </w:r>
      <w:r w:rsidR="00F048C7">
        <w:t>Voyager</w:t>
      </w:r>
      <w:r w:rsidRPr="00215936">
        <w:t xml:space="preserve"> PPA </w:t>
      </w:r>
      <w:r w:rsidR="00823555">
        <w:t>and TGP Sale Agreement are</w:t>
      </w:r>
      <w:r w:rsidR="00823555" w:rsidRPr="00215936">
        <w:t xml:space="preserve"> </w:t>
      </w:r>
      <w:r w:rsidRPr="00215936">
        <w:t>consistent with SCE’s 201</w:t>
      </w:r>
      <w:r w:rsidR="003C423A" w:rsidRPr="00215936">
        <w:t>4</w:t>
      </w:r>
      <w:r w:rsidRPr="00215936">
        <w:t xml:space="preserve"> RPS Procurement Plan</w:t>
      </w:r>
      <w:r w:rsidR="00C309E3" w:rsidRPr="00215936">
        <w:t>;</w:t>
      </w:r>
    </w:p>
    <w:p w14:paraId="701E82B6" w14:textId="073A2CDF" w:rsidR="003B7D01" w:rsidRDefault="003B7D01" w:rsidP="003B7D01">
      <w:pPr>
        <w:pStyle w:val="ListParagraph"/>
        <w:numPr>
          <w:ilvl w:val="0"/>
          <w:numId w:val="9"/>
        </w:numPr>
        <w:spacing w:after="120"/>
        <w:contextualSpacing w:val="0"/>
      </w:pPr>
      <w:r w:rsidRPr="00215936">
        <w:t xml:space="preserve">Finds that the </w:t>
      </w:r>
      <w:r w:rsidR="00F048C7">
        <w:t>Voyager</w:t>
      </w:r>
      <w:r w:rsidRPr="00215936">
        <w:t xml:space="preserve"> PPA is compliant with the Emissions Performance Standard</w:t>
      </w:r>
      <w:r w:rsidR="00C309E3" w:rsidRPr="00215936">
        <w:t>;</w:t>
      </w:r>
    </w:p>
    <w:p w14:paraId="1096BD8E" w14:textId="01F2A14B" w:rsidR="00B37215" w:rsidRPr="00215936" w:rsidRDefault="00B37215" w:rsidP="003B7D01">
      <w:pPr>
        <w:pStyle w:val="ListParagraph"/>
        <w:numPr>
          <w:ilvl w:val="0"/>
          <w:numId w:val="9"/>
        </w:numPr>
        <w:spacing w:after="120"/>
        <w:contextualSpacing w:val="0"/>
      </w:pPr>
      <w:r>
        <w:t>Finds that the Emission Performance Standard is not applicable to the TGP Sale Agreement;</w:t>
      </w:r>
    </w:p>
    <w:p w14:paraId="54227045" w14:textId="5DD81B03" w:rsidR="00B37215" w:rsidRDefault="003B7D01" w:rsidP="003B7D01">
      <w:pPr>
        <w:pStyle w:val="ListParagraph"/>
        <w:numPr>
          <w:ilvl w:val="0"/>
          <w:numId w:val="9"/>
        </w:numPr>
        <w:spacing w:after="120"/>
        <w:contextualSpacing w:val="0"/>
      </w:pPr>
      <w:r w:rsidRPr="00215936">
        <w:t xml:space="preserve">Finds that any procurement pursuant to the </w:t>
      </w:r>
      <w:r w:rsidR="00F048C7">
        <w:t>Voyager</w:t>
      </w:r>
      <w:r w:rsidRPr="00215936">
        <w:t xml:space="preserve"> </w:t>
      </w:r>
      <w:r w:rsidR="00C80E97" w:rsidRPr="00215936">
        <w:t>PPA</w:t>
      </w:r>
      <w:r w:rsidR="00370978" w:rsidRPr="00215936">
        <w:t xml:space="preserve"> </w:t>
      </w:r>
      <w:r w:rsidRPr="00215936">
        <w:t>is procurement from an eligible renewable energy resource for purposes of determining SCE’s compliance with any obligation that it may have to procure eligible renewable energy resources pursuant to the California Renewables Portfolio Standard (</w:t>
      </w:r>
      <w:r w:rsidR="0082187B" w:rsidRPr="00215936">
        <w:t>Section</w:t>
      </w:r>
      <w:r w:rsidR="007607FC" w:rsidRPr="00215936">
        <w:t>s</w:t>
      </w:r>
      <w:r w:rsidR="0082187B" w:rsidRPr="00215936">
        <w:t xml:space="preserve"> </w:t>
      </w:r>
      <w:r w:rsidRPr="00215936">
        <w:t>399.11</w:t>
      </w:r>
      <w:r w:rsidR="001A65CA">
        <w:t>,</w:t>
      </w:r>
      <w:r w:rsidRPr="00215936">
        <w:t xml:space="preserve"> et seq.), Decision 03-06-071, or other applicable law; </w:t>
      </w:r>
    </w:p>
    <w:p w14:paraId="70599375" w14:textId="27F56F89" w:rsidR="00B37215" w:rsidRDefault="003B7D01" w:rsidP="001C41D7">
      <w:pPr>
        <w:pStyle w:val="ListParagraph"/>
        <w:numPr>
          <w:ilvl w:val="0"/>
          <w:numId w:val="9"/>
        </w:numPr>
        <w:spacing w:after="120"/>
        <w:contextualSpacing w:val="0"/>
      </w:pPr>
      <w:r w:rsidRPr="00215936">
        <w:t xml:space="preserve">Finds that the </w:t>
      </w:r>
      <w:r w:rsidR="00F048C7">
        <w:t>Voyager</w:t>
      </w:r>
      <w:r w:rsidRPr="00215936">
        <w:t xml:space="preserve"> PPA</w:t>
      </w:r>
      <w:r w:rsidR="00B37215">
        <w:t xml:space="preserve"> and the TGP Sale Agreement</w:t>
      </w:r>
      <w:r w:rsidRPr="00215936">
        <w:t xml:space="preserve">, and SCE’s entry into it, </w:t>
      </w:r>
      <w:r w:rsidR="00F701FB">
        <w:t>are</w:t>
      </w:r>
      <w:r w:rsidRPr="00215936">
        <w:t xml:space="preserve"> reasonable and prudent for all purposes, including, but not limited to, recovery in rates of payments made pursuant to the </w:t>
      </w:r>
      <w:r w:rsidR="00F048C7">
        <w:t>Voyager</w:t>
      </w:r>
      <w:r w:rsidRPr="00215936">
        <w:t xml:space="preserve"> </w:t>
      </w:r>
      <w:r w:rsidRPr="00215936">
        <w:lastRenderedPageBreak/>
        <w:t xml:space="preserve">PPA, subject only to further review with respect to the reasonableness of SCE’s administration of the </w:t>
      </w:r>
      <w:r w:rsidR="00F048C7">
        <w:t>Voyager</w:t>
      </w:r>
      <w:r w:rsidRPr="00215936">
        <w:t xml:space="preserve"> PPA</w:t>
      </w:r>
      <w:r w:rsidR="00B37215">
        <w:t>;</w:t>
      </w:r>
    </w:p>
    <w:p w14:paraId="7DFE67B0" w14:textId="6909CE95" w:rsidR="003B7D01" w:rsidRDefault="00B37215" w:rsidP="001C41D7">
      <w:pPr>
        <w:pStyle w:val="ListParagraph"/>
        <w:numPr>
          <w:ilvl w:val="0"/>
          <w:numId w:val="9"/>
        </w:numPr>
        <w:spacing w:after="120"/>
        <w:contextualSpacing w:val="0"/>
      </w:pPr>
      <w:r>
        <w:t>Finds that payments received by SCE pursuant to the TGP Sale Agreement shall be credited to SCE’s customers through SCE’s Energy Resource Recovery Account over the term of the TGP Sale Agreement, subject to Commission review of SCE’s administration of the TGP Sale Agreement</w:t>
      </w:r>
      <w:r w:rsidR="003B7D01" w:rsidRPr="00215936">
        <w:t>.</w:t>
      </w:r>
    </w:p>
    <w:p w14:paraId="38470E3C" w14:textId="46F339D4" w:rsidR="00B37215" w:rsidRPr="00215936" w:rsidRDefault="00B37215" w:rsidP="001C41D7">
      <w:pPr>
        <w:pStyle w:val="ListParagraph"/>
        <w:numPr>
          <w:ilvl w:val="0"/>
          <w:numId w:val="9"/>
        </w:numPr>
        <w:spacing w:after="120"/>
      </w:pPr>
      <w:r>
        <w:t>Any other and further relief as the Commission finds just and reasonable.</w:t>
      </w:r>
    </w:p>
    <w:p w14:paraId="23DCD568" w14:textId="77777777" w:rsidR="00B9772F" w:rsidRPr="00215936" w:rsidRDefault="00B9772F" w:rsidP="00B9772F">
      <w:pPr>
        <w:pStyle w:val="ListParagraph"/>
      </w:pPr>
    </w:p>
    <w:p w14:paraId="69F3C408" w14:textId="4C4C2D9F" w:rsidR="00D51E27" w:rsidRPr="00215936" w:rsidRDefault="00D51E27" w:rsidP="00D51E27">
      <w:pPr>
        <w:keepNext/>
        <w:keepLines/>
        <w:spacing w:after="120"/>
        <w:rPr>
          <w:b/>
          <w:bCs/>
          <w:szCs w:val="26"/>
        </w:rPr>
      </w:pPr>
      <w:r w:rsidRPr="00215936">
        <w:rPr>
          <w:b/>
          <w:bCs/>
          <w:szCs w:val="26"/>
        </w:rPr>
        <w:t xml:space="preserve">Energy Division Evaluated the </w:t>
      </w:r>
      <w:r w:rsidR="00F048C7">
        <w:rPr>
          <w:b/>
        </w:rPr>
        <w:t>Voyager</w:t>
      </w:r>
      <w:r w:rsidRPr="00215936">
        <w:rPr>
          <w:b/>
          <w:bCs/>
          <w:szCs w:val="26"/>
        </w:rPr>
        <w:t xml:space="preserve"> PPA</w:t>
      </w:r>
      <w:r w:rsidR="005A147A">
        <w:rPr>
          <w:b/>
          <w:bCs/>
          <w:szCs w:val="26"/>
        </w:rPr>
        <w:t xml:space="preserve"> </w:t>
      </w:r>
      <w:r w:rsidR="0001174F">
        <w:rPr>
          <w:b/>
          <w:bCs/>
          <w:szCs w:val="26"/>
        </w:rPr>
        <w:t xml:space="preserve">and the TGP Sale Agreement </w:t>
      </w:r>
      <w:r w:rsidRPr="00215936">
        <w:rPr>
          <w:b/>
          <w:bCs/>
          <w:szCs w:val="26"/>
        </w:rPr>
        <w:t>based on the following criteria</w:t>
      </w:r>
      <w:r w:rsidR="00A11DD7">
        <w:rPr>
          <w:b/>
          <w:bCs/>
          <w:szCs w:val="26"/>
        </w:rPr>
        <w:t>, respectively</w:t>
      </w:r>
      <w:r w:rsidRPr="00215936">
        <w:rPr>
          <w:b/>
          <w:bCs/>
          <w:szCs w:val="26"/>
        </w:rPr>
        <w:t>:</w:t>
      </w:r>
    </w:p>
    <w:p w14:paraId="1F1EDE3D" w14:textId="363C2AC7" w:rsidR="00ED3E9F" w:rsidRPr="00215936" w:rsidRDefault="00D51E27" w:rsidP="00D51E27">
      <w:pPr>
        <w:keepLines/>
        <w:numPr>
          <w:ilvl w:val="0"/>
          <w:numId w:val="10"/>
        </w:numPr>
        <w:spacing w:after="120"/>
        <w:rPr>
          <w:bCs/>
          <w:szCs w:val="26"/>
        </w:rPr>
      </w:pPr>
      <w:r w:rsidRPr="00215936">
        <w:rPr>
          <w:bCs/>
          <w:szCs w:val="26"/>
        </w:rPr>
        <w:t xml:space="preserve">Consistency with </w:t>
      </w:r>
      <w:r w:rsidR="00ED3E9F" w:rsidRPr="00215936">
        <w:rPr>
          <w:bCs/>
          <w:szCs w:val="26"/>
        </w:rPr>
        <w:t>the RPS policies and requirements:</w:t>
      </w:r>
    </w:p>
    <w:p w14:paraId="67749C18" w14:textId="3A546C06" w:rsidR="0001174F" w:rsidRDefault="0001174F" w:rsidP="00ED3E9F">
      <w:pPr>
        <w:keepLines/>
        <w:numPr>
          <w:ilvl w:val="1"/>
          <w:numId w:val="10"/>
        </w:numPr>
        <w:spacing w:after="120"/>
        <w:rPr>
          <w:bCs/>
          <w:szCs w:val="26"/>
        </w:rPr>
      </w:pPr>
      <w:r>
        <w:rPr>
          <w:bCs/>
          <w:szCs w:val="26"/>
        </w:rPr>
        <w:t>Bilateral contracting guidelines</w:t>
      </w:r>
    </w:p>
    <w:p w14:paraId="558C2714" w14:textId="3D51AE9A" w:rsidR="00ED3E9F" w:rsidRPr="00215936" w:rsidRDefault="00D51E27" w:rsidP="00ED3E9F">
      <w:pPr>
        <w:keepLines/>
        <w:numPr>
          <w:ilvl w:val="1"/>
          <w:numId w:val="10"/>
        </w:numPr>
        <w:spacing w:after="120"/>
        <w:rPr>
          <w:bCs/>
          <w:szCs w:val="26"/>
        </w:rPr>
      </w:pPr>
      <w:r w:rsidRPr="00215936">
        <w:rPr>
          <w:bCs/>
          <w:szCs w:val="26"/>
        </w:rPr>
        <w:t>SCE’s 201</w:t>
      </w:r>
      <w:r w:rsidR="00D53C83" w:rsidRPr="00215936">
        <w:rPr>
          <w:bCs/>
          <w:szCs w:val="26"/>
        </w:rPr>
        <w:t>4</w:t>
      </w:r>
      <w:r w:rsidRPr="00215936">
        <w:rPr>
          <w:bCs/>
          <w:szCs w:val="26"/>
        </w:rPr>
        <w:t xml:space="preserve"> RPS Procurement Plan</w:t>
      </w:r>
      <w:r w:rsidR="00D43F5C" w:rsidRPr="00215936">
        <w:rPr>
          <w:bCs/>
          <w:szCs w:val="26"/>
        </w:rPr>
        <w:t xml:space="preserve"> and RPS Procurement Need</w:t>
      </w:r>
    </w:p>
    <w:p w14:paraId="4774DA34" w14:textId="19203AC5" w:rsidR="00ED3E9F" w:rsidRPr="00215936" w:rsidRDefault="00333295" w:rsidP="00ED3E9F">
      <w:pPr>
        <w:keepLines/>
        <w:numPr>
          <w:ilvl w:val="1"/>
          <w:numId w:val="10"/>
        </w:numPr>
        <w:spacing w:after="120"/>
        <w:rPr>
          <w:bCs/>
          <w:szCs w:val="26"/>
        </w:rPr>
      </w:pPr>
      <w:r w:rsidRPr="00215936">
        <w:t>SC</w:t>
      </w:r>
      <w:r w:rsidR="00D51E27" w:rsidRPr="00215936">
        <w:t xml:space="preserve">E’s </w:t>
      </w:r>
      <w:r w:rsidR="002D6843" w:rsidRPr="00215936">
        <w:t>Le</w:t>
      </w:r>
      <w:r w:rsidR="00D51E27" w:rsidRPr="00215936">
        <w:t>ast-</w:t>
      </w:r>
      <w:r w:rsidR="002D6843" w:rsidRPr="00215936">
        <w:t>C</w:t>
      </w:r>
      <w:r w:rsidR="00D51E27" w:rsidRPr="00215936">
        <w:t>ost</w:t>
      </w:r>
      <w:r w:rsidR="002D6843" w:rsidRPr="00215936">
        <w:t>, B</w:t>
      </w:r>
      <w:r w:rsidR="00D51E27" w:rsidRPr="00215936">
        <w:t>est-</w:t>
      </w:r>
      <w:r w:rsidR="002D6843" w:rsidRPr="00215936">
        <w:t>F</w:t>
      </w:r>
      <w:r w:rsidR="00D51E27" w:rsidRPr="00215936">
        <w:t xml:space="preserve">it </w:t>
      </w:r>
      <w:r w:rsidR="002D6843" w:rsidRPr="00215936">
        <w:t>(LCBF) methodology</w:t>
      </w:r>
    </w:p>
    <w:p w14:paraId="610195E3" w14:textId="77777777" w:rsidR="00ED3E9F" w:rsidRPr="00215936" w:rsidRDefault="00D51E27" w:rsidP="00ED3E9F">
      <w:pPr>
        <w:keepLines/>
        <w:numPr>
          <w:ilvl w:val="1"/>
          <w:numId w:val="10"/>
        </w:numPr>
        <w:spacing w:after="120"/>
        <w:rPr>
          <w:bCs/>
          <w:szCs w:val="26"/>
        </w:rPr>
      </w:pPr>
      <w:r w:rsidRPr="00215936">
        <w:rPr>
          <w:bCs/>
          <w:szCs w:val="26"/>
        </w:rPr>
        <w:t>RP</w:t>
      </w:r>
      <w:r w:rsidR="00ED3E9F" w:rsidRPr="00215936">
        <w:rPr>
          <w:bCs/>
          <w:szCs w:val="26"/>
        </w:rPr>
        <w:t>S Standard Terms and Conditions</w:t>
      </w:r>
    </w:p>
    <w:p w14:paraId="77330483" w14:textId="2D11A50F" w:rsidR="00ED3E9F" w:rsidRPr="00215936" w:rsidRDefault="00D51E27" w:rsidP="00ED3E9F">
      <w:pPr>
        <w:keepLines/>
        <w:numPr>
          <w:ilvl w:val="1"/>
          <w:numId w:val="10"/>
        </w:numPr>
        <w:spacing w:after="120"/>
        <w:rPr>
          <w:bCs/>
          <w:szCs w:val="26"/>
        </w:rPr>
      </w:pPr>
      <w:r w:rsidRPr="00215936">
        <w:rPr>
          <w:bCs/>
          <w:szCs w:val="26"/>
        </w:rPr>
        <w:t xml:space="preserve">Portfolio </w:t>
      </w:r>
      <w:r w:rsidR="00ED3E9F" w:rsidRPr="00215936">
        <w:rPr>
          <w:bCs/>
          <w:szCs w:val="26"/>
        </w:rPr>
        <w:t>Content Categories Requirements</w:t>
      </w:r>
    </w:p>
    <w:p w14:paraId="15E01A06" w14:textId="2F7228DD" w:rsidR="00ED3E9F" w:rsidRPr="00215936" w:rsidRDefault="00ED3E9F" w:rsidP="00ED3E9F">
      <w:pPr>
        <w:keepLines/>
        <w:numPr>
          <w:ilvl w:val="1"/>
          <w:numId w:val="10"/>
        </w:numPr>
        <w:spacing w:after="120"/>
        <w:rPr>
          <w:bCs/>
          <w:szCs w:val="26"/>
        </w:rPr>
      </w:pPr>
      <w:r w:rsidRPr="00215936">
        <w:rPr>
          <w:rFonts w:cs="Arial"/>
          <w:bCs/>
          <w:szCs w:val="26"/>
        </w:rPr>
        <w:t>T</w:t>
      </w:r>
      <w:r w:rsidR="002D1D2C" w:rsidRPr="00215936">
        <w:rPr>
          <w:rFonts w:cs="Arial"/>
          <w:bCs/>
          <w:szCs w:val="26"/>
        </w:rPr>
        <w:t>he Lon</w:t>
      </w:r>
      <w:r w:rsidRPr="00215936">
        <w:rPr>
          <w:rFonts w:cs="Arial"/>
          <w:bCs/>
          <w:szCs w:val="26"/>
        </w:rPr>
        <w:t>g-Term Contracting Requirement</w:t>
      </w:r>
    </w:p>
    <w:p w14:paraId="1DB4121E" w14:textId="217F130B" w:rsidR="00ED3E9F" w:rsidRPr="00215936" w:rsidRDefault="00D51E27" w:rsidP="00ED3E9F">
      <w:pPr>
        <w:keepLines/>
        <w:numPr>
          <w:ilvl w:val="1"/>
          <w:numId w:val="10"/>
        </w:numPr>
        <w:spacing w:after="120"/>
        <w:rPr>
          <w:bCs/>
          <w:szCs w:val="26"/>
        </w:rPr>
      </w:pPr>
      <w:r w:rsidRPr="00215936">
        <w:t>Independent Evaluator</w:t>
      </w:r>
      <w:r w:rsidR="003A2B5C">
        <w:t xml:space="preserve"> (IE)</w:t>
      </w:r>
      <w:r w:rsidRPr="00215936">
        <w:t xml:space="preserve"> review</w:t>
      </w:r>
      <w:r w:rsidR="009C4E6A" w:rsidRPr="00215936">
        <w:t xml:space="preserve"> </w:t>
      </w:r>
      <w:r w:rsidR="0001174F">
        <w:t>R</w:t>
      </w:r>
      <w:r w:rsidR="0001174F" w:rsidRPr="00215936">
        <w:t>equirements</w:t>
      </w:r>
    </w:p>
    <w:p w14:paraId="13B75263" w14:textId="0101E7D1" w:rsidR="00D51E27" w:rsidRPr="00215936" w:rsidRDefault="00D51E27" w:rsidP="00ED3E9F">
      <w:pPr>
        <w:keepLines/>
        <w:numPr>
          <w:ilvl w:val="1"/>
          <w:numId w:val="10"/>
        </w:numPr>
        <w:spacing w:after="120"/>
        <w:rPr>
          <w:bCs/>
          <w:szCs w:val="26"/>
        </w:rPr>
      </w:pPr>
      <w:r w:rsidRPr="00215936">
        <w:rPr>
          <w:bCs/>
          <w:szCs w:val="26"/>
        </w:rPr>
        <w:t xml:space="preserve">Procurement Review Group </w:t>
      </w:r>
      <w:r w:rsidR="003A2B5C">
        <w:rPr>
          <w:bCs/>
          <w:szCs w:val="26"/>
        </w:rPr>
        <w:t xml:space="preserve">(PRG) </w:t>
      </w:r>
      <w:r w:rsidR="00BA2911" w:rsidRPr="00215936">
        <w:rPr>
          <w:bCs/>
          <w:szCs w:val="26"/>
        </w:rPr>
        <w:t>Requirements</w:t>
      </w:r>
    </w:p>
    <w:p w14:paraId="37AD147D" w14:textId="5AFF17A3" w:rsidR="00ED3E9F" w:rsidRPr="00215936" w:rsidRDefault="00ED3E9F" w:rsidP="00D51E27">
      <w:pPr>
        <w:numPr>
          <w:ilvl w:val="0"/>
          <w:numId w:val="10"/>
        </w:numPr>
        <w:spacing w:after="120"/>
        <w:rPr>
          <w:bCs/>
          <w:szCs w:val="26"/>
        </w:rPr>
      </w:pPr>
      <w:r w:rsidRPr="00215936">
        <w:rPr>
          <w:szCs w:val="26"/>
        </w:rPr>
        <w:t xml:space="preserve">Net Market Value and </w:t>
      </w:r>
      <w:r w:rsidR="00BB6E54">
        <w:rPr>
          <w:szCs w:val="26"/>
        </w:rPr>
        <w:t>Price</w:t>
      </w:r>
      <w:r w:rsidR="00BB6E54" w:rsidRPr="00215936">
        <w:rPr>
          <w:szCs w:val="26"/>
        </w:rPr>
        <w:t xml:space="preserve"> </w:t>
      </w:r>
      <w:r w:rsidRPr="00215936">
        <w:rPr>
          <w:szCs w:val="26"/>
        </w:rPr>
        <w:t>R</w:t>
      </w:r>
      <w:r w:rsidR="0092632E" w:rsidRPr="00215936">
        <w:rPr>
          <w:szCs w:val="26"/>
        </w:rPr>
        <w:t>easonableness</w:t>
      </w:r>
    </w:p>
    <w:p w14:paraId="7AE06A71" w14:textId="2D49753F" w:rsidR="00D51E27" w:rsidRPr="00215936" w:rsidRDefault="002D1D2C" w:rsidP="00D51E27">
      <w:pPr>
        <w:numPr>
          <w:ilvl w:val="0"/>
          <w:numId w:val="10"/>
        </w:numPr>
        <w:spacing w:after="120"/>
        <w:rPr>
          <w:bCs/>
          <w:szCs w:val="26"/>
        </w:rPr>
      </w:pPr>
      <w:r w:rsidRPr="00215936">
        <w:t>Compliance with the Interim Greenhouse Gas</w:t>
      </w:r>
      <w:r w:rsidR="00ED3E9F" w:rsidRPr="00215936">
        <w:t xml:space="preserve"> Emissions Performance Standard</w:t>
      </w:r>
    </w:p>
    <w:p w14:paraId="0E606006" w14:textId="713C4FAD" w:rsidR="00CF17DE" w:rsidRDefault="001F16AF" w:rsidP="00D51E27">
      <w:pPr>
        <w:keepLines/>
        <w:numPr>
          <w:ilvl w:val="0"/>
          <w:numId w:val="10"/>
        </w:numPr>
        <w:rPr>
          <w:bCs/>
          <w:szCs w:val="26"/>
        </w:rPr>
      </w:pPr>
      <w:r>
        <w:rPr>
          <w:bCs/>
          <w:szCs w:val="26"/>
        </w:rPr>
        <w:t>Contract</w:t>
      </w:r>
      <w:r w:rsidRPr="00215936">
        <w:rPr>
          <w:bCs/>
          <w:szCs w:val="26"/>
        </w:rPr>
        <w:t xml:space="preserve"> </w:t>
      </w:r>
      <w:r w:rsidR="00D51E27" w:rsidRPr="00215936">
        <w:rPr>
          <w:bCs/>
          <w:szCs w:val="26"/>
        </w:rPr>
        <w:t xml:space="preserve">Viability </w:t>
      </w:r>
      <w:r w:rsidR="00D51E27" w:rsidRPr="00215936">
        <w:rPr>
          <w:szCs w:val="26"/>
        </w:rPr>
        <w:t>Assessment</w:t>
      </w:r>
      <w:r w:rsidR="00D51E27" w:rsidRPr="00215936">
        <w:rPr>
          <w:bCs/>
          <w:szCs w:val="26"/>
        </w:rPr>
        <w:t xml:space="preserve"> and </w:t>
      </w:r>
      <w:r w:rsidR="00446479" w:rsidRPr="00215936">
        <w:rPr>
          <w:bCs/>
          <w:szCs w:val="26"/>
        </w:rPr>
        <w:t xml:space="preserve">Project </w:t>
      </w:r>
      <w:r w:rsidR="00ED3E9F" w:rsidRPr="00215936">
        <w:rPr>
          <w:bCs/>
          <w:szCs w:val="26"/>
        </w:rPr>
        <w:t>Development Status</w:t>
      </w:r>
    </w:p>
    <w:p w14:paraId="45FDE2E2" w14:textId="37F5CCC5" w:rsidR="004E2FB4" w:rsidRPr="00215936" w:rsidRDefault="004E2FB4" w:rsidP="00D51E27">
      <w:pPr>
        <w:keepLines/>
        <w:numPr>
          <w:ilvl w:val="0"/>
          <w:numId w:val="10"/>
        </w:numPr>
        <w:rPr>
          <w:bCs/>
          <w:szCs w:val="26"/>
        </w:rPr>
      </w:pPr>
      <w:r>
        <w:rPr>
          <w:bCs/>
          <w:szCs w:val="26"/>
        </w:rPr>
        <w:t>Safety considerations</w:t>
      </w:r>
    </w:p>
    <w:p w14:paraId="22507A1B" w14:textId="525E18E0" w:rsidR="00D51E27" w:rsidRPr="00215936" w:rsidRDefault="00D51E27" w:rsidP="00D51E27">
      <w:pPr>
        <w:pStyle w:val="BodyText"/>
        <w:rPr>
          <w:b w:val="0"/>
          <w:u w:val="single"/>
        </w:rPr>
      </w:pPr>
    </w:p>
    <w:p w14:paraId="0368617D" w14:textId="19432863" w:rsidR="009547A0" w:rsidRPr="00215936" w:rsidRDefault="009547A0" w:rsidP="009547A0">
      <w:pPr>
        <w:pStyle w:val="BodyText"/>
        <w:keepNext/>
        <w:spacing w:after="120"/>
      </w:pPr>
      <w:r w:rsidRPr="00215936">
        <w:t xml:space="preserve">Consistency with </w:t>
      </w:r>
      <w:r>
        <w:t>Bilateral Contracting Guidelines</w:t>
      </w:r>
    </w:p>
    <w:p w14:paraId="2BA435A9" w14:textId="5A677FA2" w:rsidR="00F130DD" w:rsidRDefault="009547A0" w:rsidP="00516EE6">
      <w:pPr>
        <w:pStyle w:val="BodyText"/>
        <w:spacing w:after="120"/>
        <w:rPr>
          <w:b w:val="0"/>
        </w:rPr>
      </w:pPr>
      <w:r>
        <w:rPr>
          <w:b w:val="0"/>
        </w:rPr>
        <w:t>The Voyager PPA and the TGP Sale Agreement are considered bilateral contracts because they were not the result of a solicitation.  In the Voyager and TGP AL</w:t>
      </w:r>
      <w:r w:rsidR="003A2B5C">
        <w:rPr>
          <w:b w:val="0"/>
        </w:rPr>
        <w:t xml:space="preserve">, </w:t>
      </w:r>
      <w:r>
        <w:rPr>
          <w:b w:val="0"/>
        </w:rPr>
        <w:t xml:space="preserve">SCE asserts that </w:t>
      </w:r>
      <w:r w:rsidR="002E64CE">
        <w:rPr>
          <w:b w:val="0"/>
        </w:rPr>
        <w:t xml:space="preserve">both </w:t>
      </w:r>
      <w:r w:rsidR="00184733">
        <w:rPr>
          <w:b w:val="0"/>
        </w:rPr>
        <w:t>agreement</w:t>
      </w:r>
      <w:r w:rsidR="002E64CE">
        <w:rPr>
          <w:b w:val="0"/>
        </w:rPr>
        <w:t xml:space="preserve">s </w:t>
      </w:r>
      <w:r>
        <w:rPr>
          <w:b w:val="0"/>
        </w:rPr>
        <w:t xml:space="preserve">comply with the Commission’s bilateral </w:t>
      </w:r>
      <w:r>
        <w:rPr>
          <w:b w:val="0"/>
        </w:rPr>
        <w:lastRenderedPageBreak/>
        <w:t>contracting requirements</w:t>
      </w:r>
      <w:r w:rsidR="003A2B5C">
        <w:rPr>
          <w:b w:val="0"/>
        </w:rPr>
        <w:t>.</w:t>
      </w:r>
      <w:r>
        <w:rPr>
          <w:rStyle w:val="FootnoteReference"/>
          <w:b w:val="0"/>
        </w:rPr>
        <w:footnoteReference w:id="6"/>
      </w:r>
      <w:r w:rsidR="003A2B5C">
        <w:rPr>
          <w:b w:val="0"/>
        </w:rPr>
        <w:t xml:space="preserve">  Specifically, </w:t>
      </w:r>
      <w:r w:rsidR="00876495">
        <w:rPr>
          <w:b w:val="0"/>
        </w:rPr>
        <w:t>SCE</w:t>
      </w:r>
      <w:r w:rsidR="003A2B5C">
        <w:rPr>
          <w:b w:val="0"/>
        </w:rPr>
        <w:t xml:space="preserve"> adhered to the bilateral contracting rules because the Voyager PPA and the TGP Sale Agreement are longer than one month in duration</w:t>
      </w:r>
      <w:r w:rsidR="00E22C48">
        <w:rPr>
          <w:b w:val="0"/>
        </w:rPr>
        <w:t>;</w:t>
      </w:r>
      <w:r w:rsidR="003A2B5C">
        <w:rPr>
          <w:b w:val="0"/>
        </w:rPr>
        <w:t xml:space="preserve"> both contracts were filed by advice letter </w:t>
      </w:r>
      <w:r w:rsidR="00E22C48">
        <w:rPr>
          <w:b w:val="0"/>
        </w:rPr>
        <w:t>and</w:t>
      </w:r>
      <w:r w:rsidR="003A2B5C">
        <w:rPr>
          <w:b w:val="0"/>
        </w:rPr>
        <w:t xml:space="preserve"> reviewed by SCE’s PRG; negotiation</w:t>
      </w:r>
      <w:r w:rsidR="00F466EC">
        <w:rPr>
          <w:b w:val="0"/>
        </w:rPr>
        <w:t>s</w:t>
      </w:r>
      <w:r w:rsidR="003A2B5C">
        <w:rPr>
          <w:b w:val="0"/>
        </w:rPr>
        <w:t xml:space="preserve"> were overseen by an IE</w:t>
      </w:r>
      <w:r w:rsidR="00EC6ABF">
        <w:rPr>
          <w:b w:val="0"/>
        </w:rPr>
        <w:t>; and both contracts are reasonably priced, as discussed in more detail below.</w:t>
      </w:r>
    </w:p>
    <w:p w14:paraId="49715025" w14:textId="3BB494DD" w:rsidR="00F130DD" w:rsidRDefault="00F130DD" w:rsidP="00516EE6">
      <w:pPr>
        <w:pStyle w:val="BodyText"/>
        <w:rPr>
          <w:b w:val="0"/>
          <w:u w:val="single"/>
        </w:rPr>
      </w:pPr>
      <w:r w:rsidRPr="00516EE6">
        <w:rPr>
          <w:b w:val="0"/>
          <w:u w:val="single"/>
        </w:rPr>
        <w:t xml:space="preserve">The </w:t>
      </w:r>
      <w:r w:rsidR="005D3BD7" w:rsidRPr="00516EE6">
        <w:rPr>
          <w:b w:val="0"/>
          <w:u w:val="single"/>
        </w:rPr>
        <w:t xml:space="preserve">Voyager PPA and TGP Sale Agreement </w:t>
      </w:r>
      <w:r w:rsidR="005D3BD7" w:rsidRPr="00744F9F">
        <w:rPr>
          <w:b w:val="0"/>
          <w:u w:val="single"/>
        </w:rPr>
        <w:t>are</w:t>
      </w:r>
      <w:r w:rsidR="005D3BD7" w:rsidRPr="005D3BD7">
        <w:rPr>
          <w:b w:val="0"/>
          <w:u w:val="single"/>
        </w:rPr>
        <w:t xml:space="preserve"> </w:t>
      </w:r>
      <w:r w:rsidRPr="00516EE6">
        <w:rPr>
          <w:b w:val="0"/>
          <w:u w:val="single"/>
        </w:rPr>
        <w:t>consistent with the Commission’s bilateral contracting guidelines established in D.06-10-019 and D.09-06-050.</w:t>
      </w:r>
      <w:r w:rsidR="003A2B5C" w:rsidRPr="00516EE6">
        <w:rPr>
          <w:b w:val="0"/>
          <w:u w:val="single"/>
        </w:rPr>
        <w:t xml:space="preserve"> </w:t>
      </w:r>
    </w:p>
    <w:p w14:paraId="16D387C3" w14:textId="77777777" w:rsidR="003B389B" w:rsidRPr="00516EE6" w:rsidRDefault="003B389B" w:rsidP="00516EE6">
      <w:pPr>
        <w:pStyle w:val="BodyText"/>
        <w:rPr>
          <w:b w:val="0"/>
          <w:u w:val="single"/>
        </w:rPr>
      </w:pPr>
    </w:p>
    <w:p w14:paraId="046932EE" w14:textId="557A9F52" w:rsidR="00D51E27" w:rsidRPr="00215936" w:rsidRDefault="00D51E27" w:rsidP="00460B98">
      <w:pPr>
        <w:pStyle w:val="BodyText"/>
        <w:keepNext/>
        <w:spacing w:after="120"/>
      </w:pPr>
      <w:r w:rsidRPr="00215936">
        <w:t xml:space="preserve">Consistency with SCE’s </w:t>
      </w:r>
      <w:r w:rsidR="00B22695" w:rsidRPr="00215936">
        <w:t xml:space="preserve">2014 </w:t>
      </w:r>
      <w:r w:rsidRPr="00215936">
        <w:t>RPS Procurement Plan</w:t>
      </w:r>
    </w:p>
    <w:p w14:paraId="52D39520" w14:textId="19BFC4E5" w:rsidR="00C87496" w:rsidRPr="00215936" w:rsidRDefault="00985DD5" w:rsidP="00460B98">
      <w:r w:rsidRPr="00215936">
        <w:t xml:space="preserve">In </w:t>
      </w:r>
      <w:r w:rsidR="00790DA4" w:rsidRPr="00215936">
        <w:t>it</w:t>
      </w:r>
      <w:r w:rsidRPr="00215936">
        <w:t xml:space="preserve">s </w:t>
      </w:r>
      <w:r w:rsidR="00B22695" w:rsidRPr="00215936">
        <w:t xml:space="preserve">2014 </w:t>
      </w:r>
      <w:r w:rsidR="00D51E27" w:rsidRPr="00215936">
        <w:t>RPS Procurement Plan (</w:t>
      </w:r>
      <w:r w:rsidR="00B22695" w:rsidRPr="00215936">
        <w:t xml:space="preserve">2014 </w:t>
      </w:r>
      <w:r w:rsidR="00D51E27" w:rsidRPr="00215936">
        <w:t xml:space="preserve">RPS Plan) </w:t>
      </w:r>
      <w:r w:rsidRPr="00215936">
        <w:t xml:space="preserve">SCE </w:t>
      </w:r>
      <w:r w:rsidR="00630C57" w:rsidRPr="00215936">
        <w:t>provided an assessment of supply and demand to determine the optimal mix of renewable generation resources</w:t>
      </w:r>
      <w:r w:rsidR="00D32038" w:rsidRPr="00215936">
        <w:t>,</w:t>
      </w:r>
      <w:r w:rsidR="00630C57" w:rsidRPr="00215936">
        <w:t xml:space="preserve"> description of potential RPS compliance delays</w:t>
      </w:r>
      <w:r w:rsidR="00D32038" w:rsidRPr="00215936">
        <w:t>,</w:t>
      </w:r>
      <w:r w:rsidR="00630C57" w:rsidRPr="00215936">
        <w:t xml:space="preserve"> status update of projects within its RPS portfolio</w:t>
      </w:r>
      <w:r w:rsidR="00D32038" w:rsidRPr="00215936">
        <w:t>,</w:t>
      </w:r>
      <w:r w:rsidR="00630C57" w:rsidRPr="00215936">
        <w:t xml:space="preserve"> and an assessment of project failure and delay risk within its RPS portfolio.</w:t>
      </w:r>
      <w:r w:rsidR="00333295" w:rsidRPr="00215936">
        <w:rPr>
          <w:rStyle w:val="FootnoteReference"/>
        </w:rPr>
        <w:footnoteReference w:id="7"/>
      </w:r>
      <w:r w:rsidR="00630C57" w:rsidRPr="00215936">
        <w:t xml:space="preserve"> </w:t>
      </w:r>
      <w:r w:rsidR="00C87496" w:rsidRPr="00215936">
        <w:t xml:space="preserve"> Specifically, SCE explained that its assessment for determining need is based </w:t>
      </w:r>
      <w:r w:rsidR="0066681D" w:rsidRPr="00215936">
        <w:t xml:space="preserve">on </w:t>
      </w:r>
      <w:r w:rsidR="008437F8" w:rsidRPr="00215936">
        <w:t xml:space="preserve">a forecast of </w:t>
      </w:r>
      <w:r w:rsidR="00C87496" w:rsidRPr="00215936">
        <w:t>bundled retail sales, performance and vari</w:t>
      </w:r>
      <w:r w:rsidR="001F20AC" w:rsidRPr="00215936">
        <w:t xml:space="preserve">ability of existing generation, </w:t>
      </w:r>
      <w:r w:rsidR="008437F8" w:rsidRPr="00215936">
        <w:t xml:space="preserve">the </w:t>
      </w:r>
      <w:r w:rsidR="00C87496" w:rsidRPr="00215936">
        <w:t>likelihood of new generation achieving commercial operation, expected commercial on-line dates</w:t>
      </w:r>
      <w:r w:rsidR="008437F8" w:rsidRPr="00215936">
        <w:t xml:space="preserve"> of facilities under contract</w:t>
      </w:r>
      <w:r w:rsidR="00C87496" w:rsidRPr="00215936">
        <w:t xml:space="preserve">, technology mix, expected curtailment, and the impact of pre-approved procurement programs, among other factors. </w:t>
      </w:r>
      <w:r w:rsidR="00B44C6B" w:rsidRPr="00215936">
        <w:t xml:space="preserve"> </w:t>
      </w:r>
      <w:r w:rsidR="00C87496" w:rsidRPr="00215936">
        <w:t xml:space="preserve">Based on that assessment, SCE stated that it </w:t>
      </w:r>
      <w:r w:rsidR="002D6843" w:rsidRPr="00215936">
        <w:t>does not have a short-term RPS procurement need, but it does have</w:t>
      </w:r>
      <w:r w:rsidR="00C87496" w:rsidRPr="00215936">
        <w:t xml:space="preserve"> a </w:t>
      </w:r>
      <w:r w:rsidR="002D6843" w:rsidRPr="00215936">
        <w:t xml:space="preserve">long-term </w:t>
      </w:r>
      <w:r w:rsidR="00C87496" w:rsidRPr="00215936">
        <w:t>RPS procurement need</w:t>
      </w:r>
      <w:r w:rsidR="001F1C0F">
        <w:t xml:space="preserve"> for renewable energy in the 2017-2020 Compliance Period</w:t>
      </w:r>
      <w:r w:rsidR="00C87496" w:rsidRPr="00215936">
        <w:t>.</w:t>
      </w:r>
    </w:p>
    <w:p w14:paraId="1A0CBD1A" w14:textId="77777777" w:rsidR="00C87496" w:rsidRPr="00215936" w:rsidRDefault="00C87496" w:rsidP="00D51E27">
      <w:pPr>
        <w:pStyle w:val="BodyText"/>
        <w:rPr>
          <w:b w:val="0"/>
        </w:rPr>
      </w:pPr>
    </w:p>
    <w:p w14:paraId="1DB0C5DB" w14:textId="66103311" w:rsidR="00674ED0" w:rsidRDefault="00711C5A" w:rsidP="00D51E27">
      <w:pPr>
        <w:pStyle w:val="BodyText"/>
        <w:rPr>
          <w:b w:val="0"/>
        </w:rPr>
      </w:pPr>
      <w:r>
        <w:rPr>
          <w:b w:val="0"/>
        </w:rPr>
        <w:t>Specifically</w:t>
      </w:r>
      <w:r w:rsidR="008437F8" w:rsidRPr="00215936">
        <w:rPr>
          <w:b w:val="0"/>
        </w:rPr>
        <w:t xml:space="preserve">, </w:t>
      </w:r>
      <w:r w:rsidR="00630C57" w:rsidRPr="00215936">
        <w:rPr>
          <w:b w:val="0"/>
        </w:rPr>
        <w:t xml:space="preserve">SCE </w:t>
      </w:r>
      <w:r w:rsidR="0082187B" w:rsidRPr="00215936">
        <w:rPr>
          <w:b w:val="0"/>
        </w:rPr>
        <w:t xml:space="preserve">stated </w:t>
      </w:r>
      <w:r>
        <w:rPr>
          <w:b w:val="0"/>
        </w:rPr>
        <w:t xml:space="preserve">in </w:t>
      </w:r>
      <w:r w:rsidR="0082187B" w:rsidRPr="00215936">
        <w:rPr>
          <w:b w:val="0"/>
        </w:rPr>
        <w:t>its</w:t>
      </w:r>
      <w:r>
        <w:rPr>
          <w:b w:val="0"/>
        </w:rPr>
        <w:t xml:space="preserve"> 2014 RPS Plan the</w:t>
      </w:r>
      <w:r w:rsidR="0082187B" w:rsidRPr="00215936">
        <w:rPr>
          <w:b w:val="0"/>
        </w:rPr>
        <w:t xml:space="preserve"> intention</w:t>
      </w:r>
      <w:r w:rsidR="00985DD5" w:rsidRPr="00215936">
        <w:rPr>
          <w:b w:val="0"/>
        </w:rPr>
        <w:t xml:space="preserve"> to procure </w:t>
      </w:r>
      <w:r w:rsidR="0082187B" w:rsidRPr="00215936">
        <w:rPr>
          <w:b w:val="0"/>
        </w:rPr>
        <w:t xml:space="preserve">additional </w:t>
      </w:r>
      <w:r w:rsidR="00985DD5" w:rsidRPr="00215936">
        <w:rPr>
          <w:b w:val="0"/>
        </w:rPr>
        <w:t xml:space="preserve">RPS-eligible resources in order to satisfy its RPS requirements.  </w:t>
      </w:r>
      <w:r w:rsidR="00F466EC">
        <w:rPr>
          <w:b w:val="0"/>
        </w:rPr>
        <w:t>The plan</w:t>
      </w:r>
      <w:r w:rsidR="00985DD5" w:rsidRPr="00215936">
        <w:rPr>
          <w:b w:val="0"/>
        </w:rPr>
        <w:t xml:space="preserve"> called for the issuance of a competitive solicitation for the purchase of RPS-eligible energy </w:t>
      </w:r>
      <w:r w:rsidR="00630C57" w:rsidRPr="00215936">
        <w:rPr>
          <w:b w:val="0"/>
        </w:rPr>
        <w:t xml:space="preserve">with deliveries </w:t>
      </w:r>
      <w:r w:rsidR="00985DD5" w:rsidRPr="00215936">
        <w:rPr>
          <w:b w:val="0"/>
        </w:rPr>
        <w:t>beginning on or after January 1, 2016</w:t>
      </w:r>
      <w:r w:rsidR="00630C57" w:rsidRPr="00215936">
        <w:rPr>
          <w:b w:val="0"/>
        </w:rPr>
        <w:t xml:space="preserve">.  In addition, SCE sought offers that would qualify as Portfolio Content Category 1 </w:t>
      </w:r>
      <w:r w:rsidR="003C3A48" w:rsidRPr="00215936">
        <w:rPr>
          <w:b w:val="0"/>
        </w:rPr>
        <w:t>or 3</w:t>
      </w:r>
      <w:r w:rsidR="00222A06" w:rsidRPr="00215936">
        <w:rPr>
          <w:b w:val="0"/>
        </w:rPr>
        <w:t>,</w:t>
      </w:r>
      <w:r w:rsidR="003C3A48" w:rsidRPr="00215936">
        <w:rPr>
          <w:b w:val="0"/>
        </w:rPr>
        <w:t xml:space="preserve"> </w:t>
      </w:r>
      <w:r w:rsidR="00630C57" w:rsidRPr="00215936">
        <w:rPr>
          <w:b w:val="0"/>
        </w:rPr>
        <w:t>be for at least 10 years in length</w:t>
      </w:r>
      <w:r w:rsidR="00222A06" w:rsidRPr="00215936">
        <w:rPr>
          <w:b w:val="0"/>
        </w:rPr>
        <w:t>, and have a contract capacity of 500 kW or greater</w:t>
      </w:r>
      <w:r w:rsidR="00630C57" w:rsidRPr="00215936">
        <w:rPr>
          <w:b w:val="0"/>
        </w:rPr>
        <w:t>.</w:t>
      </w:r>
    </w:p>
    <w:p w14:paraId="099C7CEB" w14:textId="77777777" w:rsidR="00674ED0" w:rsidRDefault="00674ED0" w:rsidP="00D51E27">
      <w:pPr>
        <w:pStyle w:val="BodyText"/>
        <w:rPr>
          <w:b w:val="0"/>
        </w:rPr>
      </w:pPr>
    </w:p>
    <w:p w14:paraId="75BF4511" w14:textId="5690F243" w:rsidR="00D51E27" w:rsidRPr="00215936" w:rsidRDefault="00674ED0" w:rsidP="00D51E27">
      <w:pPr>
        <w:pStyle w:val="BodyText"/>
        <w:rPr>
          <w:b w:val="0"/>
        </w:rPr>
      </w:pPr>
      <w:r>
        <w:rPr>
          <w:b w:val="0"/>
        </w:rPr>
        <w:lastRenderedPageBreak/>
        <w:t xml:space="preserve">Additionally, SCE’s 2014 RPS Plan provides that SCE may engage in bilateral </w:t>
      </w:r>
      <w:r w:rsidR="007F3975">
        <w:rPr>
          <w:b w:val="0"/>
        </w:rPr>
        <w:t>negotiations</w:t>
      </w:r>
      <w:r>
        <w:rPr>
          <w:b w:val="0"/>
        </w:rPr>
        <w:t xml:space="preserve"> for renewable energy as part of its overall procurement strategy.</w:t>
      </w:r>
      <w:r w:rsidR="007F3975">
        <w:rPr>
          <w:rStyle w:val="FootnoteReference"/>
          <w:b w:val="0"/>
        </w:rPr>
        <w:footnoteReference w:id="8"/>
      </w:r>
      <w:r w:rsidR="007F3975" w:rsidRPr="00215936">
        <w:rPr>
          <w:b w:val="0"/>
        </w:rPr>
        <w:t xml:space="preserve"> </w:t>
      </w:r>
      <w:r w:rsidR="007F3975">
        <w:rPr>
          <w:b w:val="0"/>
        </w:rPr>
        <w:t xml:space="preserve"> It also provides that SCE may conduct a future solicitation or negotiate </w:t>
      </w:r>
      <w:r w:rsidR="004569EB">
        <w:rPr>
          <w:b w:val="0"/>
        </w:rPr>
        <w:t>bilaterally</w:t>
      </w:r>
      <w:r w:rsidR="007F3975">
        <w:rPr>
          <w:b w:val="0"/>
        </w:rPr>
        <w:t xml:space="preserve"> to sell bundled renewable energy, unbundled RECs, or other renewable products to maximize value to its customers and optimize its portfolio.</w:t>
      </w:r>
      <w:r w:rsidR="007F3975">
        <w:rPr>
          <w:rStyle w:val="FootnoteReference"/>
          <w:b w:val="0"/>
        </w:rPr>
        <w:footnoteReference w:id="9"/>
      </w:r>
    </w:p>
    <w:p w14:paraId="7AF141C3" w14:textId="3F5964AD" w:rsidR="001F1C0F" w:rsidRDefault="001F1C0F" w:rsidP="00D51E27">
      <w:pPr>
        <w:pStyle w:val="BodyText"/>
        <w:rPr>
          <w:b w:val="0"/>
        </w:rPr>
      </w:pPr>
      <w:r>
        <w:rPr>
          <w:b w:val="0"/>
        </w:rPr>
        <w:t>Since the filing of its final 2014 RPS Plan, SCE updated its forecasted Renewa</w:t>
      </w:r>
      <w:r w:rsidR="004569EB">
        <w:rPr>
          <w:b w:val="0"/>
        </w:rPr>
        <w:t>ble Net Short (RNS) calculation</w:t>
      </w:r>
      <w:r>
        <w:rPr>
          <w:b w:val="0"/>
        </w:rPr>
        <w:t xml:space="preserve"> with more current information (including contracts executed after the filing of the plan).  B</w:t>
      </w:r>
      <w:r w:rsidR="008F4BFD">
        <w:rPr>
          <w:b w:val="0"/>
        </w:rPr>
        <w:t>ased on its analysis of the updated RNS, which includes the Contract Qu</w:t>
      </w:r>
      <w:r w:rsidR="00023FC6">
        <w:rPr>
          <w:b w:val="0"/>
        </w:rPr>
        <w:t>antity</w:t>
      </w:r>
      <w:r w:rsidR="008F4BFD">
        <w:rPr>
          <w:b w:val="0"/>
        </w:rPr>
        <w:t xml:space="preserve"> under the TGP Sale Agreement, SCE project</w:t>
      </w:r>
      <w:r w:rsidR="0020230E">
        <w:rPr>
          <w:b w:val="0"/>
        </w:rPr>
        <w:t>ed</w:t>
      </w:r>
      <w:r w:rsidR="008F4BFD">
        <w:rPr>
          <w:b w:val="0"/>
        </w:rPr>
        <w:t xml:space="preserve"> a long RPS position during </w:t>
      </w:r>
      <w:r w:rsidR="00A0163D">
        <w:rPr>
          <w:b w:val="0"/>
        </w:rPr>
        <w:t>the 2014-2016 Compliance Period and a long-term renewable procurement need.</w:t>
      </w:r>
    </w:p>
    <w:p w14:paraId="790300C2" w14:textId="77777777" w:rsidR="001F1C0F" w:rsidRDefault="001F1C0F" w:rsidP="00D51E27">
      <w:pPr>
        <w:pStyle w:val="BodyText"/>
        <w:rPr>
          <w:b w:val="0"/>
        </w:rPr>
      </w:pPr>
    </w:p>
    <w:p w14:paraId="5F4BEA94" w14:textId="049699D0" w:rsidR="00D51E27" w:rsidRPr="00215936" w:rsidRDefault="00D51E27" w:rsidP="00D51E27">
      <w:pPr>
        <w:pStyle w:val="BodyText"/>
        <w:rPr>
          <w:b w:val="0"/>
        </w:rPr>
      </w:pPr>
      <w:r w:rsidRPr="00215936">
        <w:rPr>
          <w:b w:val="0"/>
        </w:rPr>
        <w:t xml:space="preserve">Based on SCE’s RPS portfolio needs described in its </w:t>
      </w:r>
      <w:r w:rsidR="008D0EDA" w:rsidRPr="00215936">
        <w:rPr>
          <w:b w:val="0"/>
        </w:rPr>
        <w:t xml:space="preserve">2014 </w:t>
      </w:r>
      <w:r w:rsidRPr="00215936">
        <w:rPr>
          <w:b w:val="0"/>
        </w:rPr>
        <w:t xml:space="preserve">RPS </w:t>
      </w:r>
      <w:r w:rsidR="00D13BF4" w:rsidRPr="00215936">
        <w:rPr>
          <w:b w:val="0"/>
        </w:rPr>
        <w:t>Plan</w:t>
      </w:r>
      <w:r w:rsidR="001F1C0F">
        <w:rPr>
          <w:b w:val="0"/>
        </w:rPr>
        <w:t xml:space="preserve"> and</w:t>
      </w:r>
      <w:r w:rsidR="008F4BFD">
        <w:rPr>
          <w:b w:val="0"/>
        </w:rPr>
        <w:t xml:space="preserve"> the</w:t>
      </w:r>
      <w:r w:rsidR="001F1C0F">
        <w:rPr>
          <w:b w:val="0"/>
        </w:rPr>
        <w:t xml:space="preserve"> updated RNS</w:t>
      </w:r>
      <w:r w:rsidR="00D13BF4" w:rsidRPr="00215936">
        <w:rPr>
          <w:b w:val="0"/>
        </w:rPr>
        <w:t xml:space="preserve">, the </w:t>
      </w:r>
      <w:r w:rsidR="00F048C7">
        <w:rPr>
          <w:b w:val="0"/>
        </w:rPr>
        <w:t>Voyager</w:t>
      </w:r>
      <w:r w:rsidR="00D13BF4" w:rsidRPr="00215936">
        <w:rPr>
          <w:b w:val="0"/>
        </w:rPr>
        <w:t xml:space="preserve"> PPA</w:t>
      </w:r>
      <w:r w:rsidRPr="00215936">
        <w:rPr>
          <w:b w:val="0"/>
        </w:rPr>
        <w:t xml:space="preserve"> </w:t>
      </w:r>
      <w:r w:rsidR="008F4BFD">
        <w:rPr>
          <w:b w:val="0"/>
        </w:rPr>
        <w:t>and the TGP Sale Agreement are</w:t>
      </w:r>
      <w:r w:rsidR="008F4BFD" w:rsidRPr="00215936">
        <w:rPr>
          <w:b w:val="0"/>
        </w:rPr>
        <w:t xml:space="preserve"> </w:t>
      </w:r>
      <w:r w:rsidRPr="00215936">
        <w:rPr>
          <w:b w:val="0"/>
        </w:rPr>
        <w:t xml:space="preserve">consistent with SCE’s </w:t>
      </w:r>
      <w:r w:rsidR="008D0EDA" w:rsidRPr="00215936">
        <w:rPr>
          <w:b w:val="0"/>
        </w:rPr>
        <w:t xml:space="preserve">2014 </w:t>
      </w:r>
      <w:r w:rsidRPr="00215936">
        <w:rPr>
          <w:b w:val="0"/>
        </w:rPr>
        <w:t xml:space="preserve">RPS Plan. </w:t>
      </w:r>
      <w:r w:rsidR="007D3973">
        <w:rPr>
          <w:b w:val="0"/>
        </w:rPr>
        <w:t xml:space="preserve"> The TGP Sale Agreement is for sale of excess bundled RPS-eligible energy and the green attributes in 2016, which</w:t>
      </w:r>
      <w:r w:rsidR="007D3973" w:rsidRPr="00AB05DE">
        <w:rPr>
          <w:b w:val="0"/>
        </w:rPr>
        <w:t xml:space="preserve"> </w:t>
      </w:r>
      <w:r w:rsidR="007D3973">
        <w:rPr>
          <w:b w:val="0"/>
        </w:rPr>
        <w:t xml:space="preserve">is consistent with SCE’s portfolio optimization objectives and provides value to SCE’s ratepayers.  </w:t>
      </w:r>
      <w:r w:rsidR="007D3973" w:rsidRPr="00AB05DE">
        <w:rPr>
          <w:b w:val="0"/>
        </w:rPr>
        <w:t>The</w:t>
      </w:r>
      <w:r w:rsidR="007D3973">
        <w:rPr>
          <w:b w:val="0"/>
        </w:rPr>
        <w:t xml:space="preserve"> excess generation sold </w:t>
      </w:r>
      <w:r w:rsidR="007D3973" w:rsidRPr="00AB05DE">
        <w:rPr>
          <w:b w:val="0"/>
        </w:rPr>
        <w:t>under the TGP Sale Agreement would only fulfil SCE’s RPS procurement need for a single year if it was banked.</w:t>
      </w:r>
      <w:r w:rsidR="007D3973">
        <w:rPr>
          <w:b w:val="0"/>
        </w:rPr>
        <w:t xml:space="preserve">  </w:t>
      </w:r>
      <w:r w:rsidRPr="00215936">
        <w:rPr>
          <w:b w:val="0"/>
        </w:rPr>
        <w:t xml:space="preserve">The </w:t>
      </w:r>
      <w:r w:rsidR="00F048C7">
        <w:rPr>
          <w:b w:val="0"/>
        </w:rPr>
        <w:t>Voyager</w:t>
      </w:r>
      <w:r w:rsidR="00D13BF4" w:rsidRPr="00215936">
        <w:rPr>
          <w:b w:val="0"/>
        </w:rPr>
        <w:t xml:space="preserve"> PPA</w:t>
      </w:r>
      <w:r w:rsidRPr="00215936">
        <w:rPr>
          <w:b w:val="0"/>
        </w:rPr>
        <w:t xml:space="preserve"> </w:t>
      </w:r>
      <w:r w:rsidR="00D13BF4" w:rsidRPr="00215936">
        <w:rPr>
          <w:b w:val="0"/>
        </w:rPr>
        <w:t>is for generation from a proposed renewable energy</w:t>
      </w:r>
      <w:r w:rsidR="001E37D3" w:rsidRPr="00215936">
        <w:rPr>
          <w:b w:val="0"/>
        </w:rPr>
        <w:t xml:space="preserve"> resource</w:t>
      </w:r>
      <w:r w:rsidR="002677BA" w:rsidRPr="00215936">
        <w:rPr>
          <w:rStyle w:val="FootnoteReference"/>
          <w:b w:val="0"/>
        </w:rPr>
        <w:footnoteReference w:id="10"/>
      </w:r>
      <w:r w:rsidR="00D13BF4" w:rsidRPr="00215936">
        <w:rPr>
          <w:b w:val="0"/>
        </w:rPr>
        <w:t xml:space="preserve"> with deliveries to begin on </w:t>
      </w:r>
      <w:r w:rsidR="008F4BFD">
        <w:rPr>
          <w:b w:val="0"/>
        </w:rPr>
        <w:t>January 1</w:t>
      </w:r>
      <w:r w:rsidR="008863D3" w:rsidRPr="00215936">
        <w:rPr>
          <w:b w:val="0"/>
        </w:rPr>
        <w:t>, 201</w:t>
      </w:r>
      <w:r w:rsidR="008F4BFD">
        <w:rPr>
          <w:b w:val="0"/>
        </w:rPr>
        <w:t>9</w:t>
      </w:r>
      <w:r w:rsidR="008D0EDA" w:rsidRPr="00215936">
        <w:rPr>
          <w:b w:val="0"/>
        </w:rPr>
        <w:t xml:space="preserve"> </w:t>
      </w:r>
      <w:r w:rsidR="00D13BF4" w:rsidRPr="00215936">
        <w:rPr>
          <w:b w:val="0"/>
        </w:rPr>
        <w:t xml:space="preserve">and continuing </w:t>
      </w:r>
      <w:r w:rsidRPr="00215936">
        <w:rPr>
          <w:b w:val="0"/>
        </w:rPr>
        <w:t xml:space="preserve">for </w:t>
      </w:r>
      <w:r w:rsidR="008863D3" w:rsidRPr="00215936">
        <w:rPr>
          <w:b w:val="0"/>
        </w:rPr>
        <w:t>15</w:t>
      </w:r>
      <w:r w:rsidR="00D13BF4" w:rsidRPr="00215936">
        <w:rPr>
          <w:b w:val="0"/>
        </w:rPr>
        <w:t xml:space="preserve"> years</w:t>
      </w:r>
      <w:r w:rsidR="00C34AF5">
        <w:rPr>
          <w:b w:val="0"/>
        </w:rPr>
        <w:t xml:space="preserve">, </w:t>
      </w:r>
      <w:r w:rsidR="00C34AF5" w:rsidRPr="00AB05DE">
        <w:rPr>
          <w:b w:val="0"/>
        </w:rPr>
        <w:t>wh</w:t>
      </w:r>
      <w:r w:rsidR="007D3973">
        <w:rPr>
          <w:b w:val="0"/>
        </w:rPr>
        <w:t>ich will fulfil SCE’s long-term renewable</w:t>
      </w:r>
      <w:r w:rsidR="00C34AF5" w:rsidRPr="00AB05DE">
        <w:rPr>
          <w:b w:val="0"/>
        </w:rPr>
        <w:t xml:space="preserve"> procurement needs</w:t>
      </w:r>
      <w:r w:rsidR="007D3973">
        <w:rPr>
          <w:b w:val="0"/>
        </w:rPr>
        <w:t xml:space="preserve"> in multiple years</w:t>
      </w:r>
      <w:r w:rsidRPr="00215936">
        <w:rPr>
          <w:b w:val="0"/>
        </w:rPr>
        <w:t xml:space="preserve">.  See Confidential Appendix A for details on SCE’s </w:t>
      </w:r>
      <w:r w:rsidR="008F4BFD">
        <w:rPr>
          <w:b w:val="0"/>
        </w:rPr>
        <w:t xml:space="preserve">updated </w:t>
      </w:r>
      <w:r w:rsidR="00E9441C" w:rsidRPr="00215936">
        <w:rPr>
          <w:b w:val="0"/>
        </w:rPr>
        <w:t>f</w:t>
      </w:r>
      <w:r w:rsidR="00610B5C" w:rsidRPr="00215936">
        <w:rPr>
          <w:b w:val="0"/>
        </w:rPr>
        <w:t>orecasted RPS procurement needs</w:t>
      </w:r>
      <w:r w:rsidRPr="00215936">
        <w:rPr>
          <w:b w:val="0"/>
        </w:rPr>
        <w:t>.</w:t>
      </w:r>
    </w:p>
    <w:p w14:paraId="7E730DB9" w14:textId="77777777" w:rsidR="00D51E27" w:rsidRPr="00215936" w:rsidRDefault="00D51E27" w:rsidP="00D51E27"/>
    <w:p w14:paraId="1EE269DF" w14:textId="6EBB64C0" w:rsidR="00D51E27" w:rsidRPr="00215936" w:rsidRDefault="00D51E27" w:rsidP="00D51E27">
      <w:pPr>
        <w:rPr>
          <w:u w:val="single"/>
        </w:rPr>
      </w:pPr>
      <w:r w:rsidRPr="00215936">
        <w:rPr>
          <w:u w:val="single"/>
        </w:rPr>
        <w:t xml:space="preserve">The </w:t>
      </w:r>
      <w:r w:rsidR="00F048C7">
        <w:rPr>
          <w:u w:val="single"/>
        </w:rPr>
        <w:t>Voyager</w:t>
      </w:r>
      <w:r w:rsidR="00D13BF4" w:rsidRPr="00215936">
        <w:rPr>
          <w:u w:val="single"/>
        </w:rPr>
        <w:t xml:space="preserve"> PPA</w:t>
      </w:r>
      <w:r w:rsidRPr="00215936">
        <w:rPr>
          <w:u w:val="single"/>
        </w:rPr>
        <w:t xml:space="preserve"> </w:t>
      </w:r>
      <w:r w:rsidR="008F4BFD">
        <w:rPr>
          <w:u w:val="single"/>
        </w:rPr>
        <w:t>and TGP Sale Agreement are</w:t>
      </w:r>
      <w:r w:rsidR="008F4BFD" w:rsidRPr="00215936">
        <w:rPr>
          <w:u w:val="single"/>
        </w:rPr>
        <w:t xml:space="preserve"> </w:t>
      </w:r>
      <w:r w:rsidRPr="00215936">
        <w:rPr>
          <w:u w:val="single"/>
        </w:rPr>
        <w:t xml:space="preserve">consistent with SCE’s </w:t>
      </w:r>
      <w:r w:rsidR="008D0EDA" w:rsidRPr="00215936">
        <w:rPr>
          <w:u w:val="single"/>
        </w:rPr>
        <w:t xml:space="preserve">2014 </w:t>
      </w:r>
      <w:r w:rsidRPr="00215936">
        <w:rPr>
          <w:u w:val="single"/>
        </w:rPr>
        <w:t>RPS Procurement Plan, approved by D.</w:t>
      </w:r>
      <w:r w:rsidR="008D0EDA" w:rsidRPr="00215936">
        <w:rPr>
          <w:u w:val="single"/>
        </w:rPr>
        <w:t>14-11-042</w:t>
      </w:r>
      <w:r w:rsidRPr="00215936">
        <w:rPr>
          <w:u w:val="single"/>
        </w:rPr>
        <w:t>.</w:t>
      </w:r>
    </w:p>
    <w:p w14:paraId="6F0446A2" w14:textId="77777777" w:rsidR="00D51E27" w:rsidRPr="00215936" w:rsidRDefault="00D51E27" w:rsidP="00D51E27">
      <w:pPr>
        <w:rPr>
          <w:bCs/>
          <w:szCs w:val="26"/>
        </w:rPr>
      </w:pPr>
    </w:p>
    <w:p w14:paraId="12169EA7" w14:textId="38D7BB0A" w:rsidR="00D43F5C" w:rsidRPr="00215936" w:rsidRDefault="00C14B76" w:rsidP="00D43F5C">
      <w:pPr>
        <w:spacing w:after="120"/>
        <w:rPr>
          <w:b/>
        </w:rPr>
      </w:pPr>
      <w:r w:rsidRPr="00215936">
        <w:rPr>
          <w:b/>
        </w:rPr>
        <w:t>Consistency with SC</w:t>
      </w:r>
      <w:r w:rsidR="00D43F5C" w:rsidRPr="00215936">
        <w:rPr>
          <w:b/>
        </w:rPr>
        <w:t xml:space="preserve">E’s </w:t>
      </w:r>
      <w:r w:rsidR="00C80E97" w:rsidRPr="00215936">
        <w:rPr>
          <w:b/>
        </w:rPr>
        <w:t>L</w:t>
      </w:r>
      <w:r w:rsidR="00D43F5C" w:rsidRPr="00215936">
        <w:rPr>
          <w:b/>
        </w:rPr>
        <w:t>east-</w:t>
      </w:r>
      <w:r w:rsidR="00D33666" w:rsidRPr="00215936">
        <w:rPr>
          <w:b/>
        </w:rPr>
        <w:t>C</w:t>
      </w:r>
      <w:r w:rsidR="00D43F5C" w:rsidRPr="00215936">
        <w:rPr>
          <w:b/>
        </w:rPr>
        <w:t>ost</w:t>
      </w:r>
      <w:r w:rsidR="00D33666" w:rsidRPr="00215936">
        <w:rPr>
          <w:b/>
        </w:rPr>
        <w:t xml:space="preserve"> and</w:t>
      </w:r>
      <w:r w:rsidR="00D43F5C" w:rsidRPr="00215936">
        <w:rPr>
          <w:b/>
        </w:rPr>
        <w:t xml:space="preserve"> </w:t>
      </w:r>
      <w:r w:rsidR="00C80E97" w:rsidRPr="00215936">
        <w:rPr>
          <w:b/>
        </w:rPr>
        <w:t>B</w:t>
      </w:r>
      <w:r w:rsidR="00D43F5C" w:rsidRPr="00215936">
        <w:rPr>
          <w:b/>
        </w:rPr>
        <w:t>est-</w:t>
      </w:r>
      <w:r w:rsidR="00D33666" w:rsidRPr="00215936">
        <w:rPr>
          <w:b/>
        </w:rPr>
        <w:t>F</w:t>
      </w:r>
      <w:r w:rsidR="00D43F5C" w:rsidRPr="00215936">
        <w:rPr>
          <w:b/>
        </w:rPr>
        <w:t xml:space="preserve">it (LCBF) </w:t>
      </w:r>
      <w:r w:rsidR="00C80E97" w:rsidRPr="00215936">
        <w:rPr>
          <w:b/>
        </w:rPr>
        <w:t>M</w:t>
      </w:r>
      <w:r w:rsidR="00D43F5C" w:rsidRPr="00215936">
        <w:rPr>
          <w:b/>
        </w:rPr>
        <w:t>ethodology</w:t>
      </w:r>
    </w:p>
    <w:p w14:paraId="7775EDCC" w14:textId="77777777" w:rsidR="00C80E97" w:rsidRPr="00215936" w:rsidRDefault="00C80E97" w:rsidP="00F3527A">
      <w:pPr>
        <w:rPr>
          <w:bCs/>
        </w:rPr>
      </w:pPr>
      <w:r w:rsidRPr="00215936">
        <w:lastRenderedPageBreak/>
        <w:t>In D.04-07-029 and D.12-11-016, the Commission</w:t>
      </w:r>
      <w:r w:rsidRPr="00215936">
        <w:rPr>
          <w:bCs/>
        </w:rPr>
        <w:t xml:space="preserve"> directs the utilities to use certain criteria in their LCBF selection of renewable resources.</w:t>
      </w:r>
      <w:r w:rsidRPr="00215936">
        <w:rPr>
          <w:vertAlign w:val="superscript"/>
        </w:rPr>
        <w:footnoteReference w:id="11"/>
      </w:r>
      <w:r w:rsidRPr="00215936">
        <w:rPr>
          <w:bCs/>
        </w:rPr>
        <w:t xml:space="preserve">  The decisions provide guidance regarding the process by which the utility ranks bids in order to select or “shortlist” the bids with which it will commence negotiations.</w:t>
      </w:r>
    </w:p>
    <w:p w14:paraId="55B8AB8A" w14:textId="39E5A9A1" w:rsidR="00C80E97" w:rsidRPr="00215936" w:rsidRDefault="00C80E97" w:rsidP="00F3527A">
      <w:r w:rsidRPr="00215936">
        <w:rPr>
          <w:bCs/>
        </w:rPr>
        <w:t>As described</w:t>
      </w:r>
      <w:r w:rsidRPr="00215936">
        <w:t xml:space="preserve"> in its </w:t>
      </w:r>
      <w:r w:rsidR="0074652C" w:rsidRPr="00215936">
        <w:t xml:space="preserve">2014 </w:t>
      </w:r>
      <w:r w:rsidRPr="00215936">
        <w:t>RPS Plan,</w:t>
      </w:r>
      <w:r w:rsidRPr="00215936">
        <w:rPr>
          <w:rStyle w:val="FootnoteReference"/>
        </w:rPr>
        <w:footnoteReference w:id="12"/>
      </w:r>
      <w:r w:rsidRPr="00215936">
        <w:t xml:space="preserve"> SCE’s LCBF bid evaluation includes a quantitative analysis and qualitative criteria.  SCE’s quantitative analysis is based on </w:t>
      </w:r>
      <w:r w:rsidR="00870810" w:rsidRPr="00215936">
        <w:t xml:space="preserve">a </w:t>
      </w:r>
      <w:r w:rsidRPr="00215936">
        <w:t xml:space="preserve">market valuation that calculates </w:t>
      </w:r>
      <w:r w:rsidR="00E2682D" w:rsidRPr="00215936">
        <w:t xml:space="preserve">the </w:t>
      </w:r>
      <w:r w:rsidRPr="00215936">
        <w:t>net market value</w:t>
      </w:r>
      <w:r w:rsidR="0078769C" w:rsidRPr="00215936">
        <w:t xml:space="preserve"> of a bid</w:t>
      </w:r>
      <w:r w:rsidRPr="00215936">
        <w:t xml:space="preserve">, which is the net of a project’s levelized </w:t>
      </w:r>
      <w:r w:rsidR="00BA6340" w:rsidRPr="00215936">
        <w:t xml:space="preserve">benefits and </w:t>
      </w:r>
      <w:r w:rsidRPr="00215936">
        <w:t xml:space="preserve">costs.  </w:t>
      </w:r>
      <w:r w:rsidR="00610B5C" w:rsidRPr="00215936">
        <w:t xml:space="preserve">SCE’s quantitative analysis or market valuation includes evaluation of price, transmission costs, </w:t>
      </w:r>
      <w:r w:rsidR="00870810" w:rsidRPr="00215936">
        <w:t xml:space="preserve">integration cost, </w:t>
      </w:r>
      <w:r w:rsidR="00610B5C" w:rsidRPr="00215936">
        <w:t>congestion costs, debt equivalence costs, as well as, energy, resource adequacy, and congestion benefits</w:t>
      </w:r>
      <w:r w:rsidRPr="00215936">
        <w:t xml:space="preserve">.  SCE ranks all conforming bids and creates a preliminary </w:t>
      </w:r>
      <w:r w:rsidR="00D32038" w:rsidRPr="00215936">
        <w:t>shortlist</w:t>
      </w:r>
      <w:r w:rsidRPr="00215936" w:rsidDel="001A1747">
        <w:t xml:space="preserve"> </w:t>
      </w:r>
      <w:r w:rsidRPr="00215936">
        <w:t>based on the net market value results.</w:t>
      </w:r>
    </w:p>
    <w:p w14:paraId="28AE6489" w14:textId="77777777" w:rsidR="00F3527A" w:rsidRPr="00215936" w:rsidRDefault="00F3527A" w:rsidP="00F3527A"/>
    <w:p w14:paraId="34B91262" w14:textId="36937EF1" w:rsidR="00F3527A" w:rsidRPr="00215936" w:rsidRDefault="00C80E97" w:rsidP="00F3527A">
      <w:r w:rsidRPr="00215936">
        <w:t xml:space="preserve">In addition to the quantitative ranking of bids, SCE evaluates the qualitative attributes of proposals with </w:t>
      </w:r>
      <w:r w:rsidR="00610B5C" w:rsidRPr="00215936">
        <w:t>the best</w:t>
      </w:r>
      <w:r w:rsidRPr="00215936">
        <w:t xml:space="preserve"> net market value</w:t>
      </w:r>
      <w:r w:rsidR="00610B5C" w:rsidRPr="00215936">
        <w:t>s</w:t>
      </w:r>
      <w:r w:rsidRPr="00215936">
        <w:t xml:space="preserve">.  SCE assesses factors such as location, project viability, portfolio fit, resource diversity, </w:t>
      </w:r>
      <w:r w:rsidR="00870810" w:rsidRPr="00215936">
        <w:t xml:space="preserve">contract term length, </w:t>
      </w:r>
      <w:r w:rsidRPr="00215936">
        <w:t>counterparty concentration</w:t>
      </w:r>
      <w:r w:rsidR="003C3A48" w:rsidRPr="00215936">
        <w:t>,</w:t>
      </w:r>
      <w:r w:rsidRPr="00215936">
        <w:t xml:space="preserve"> and other attributes to eliminate or add projects to the final </w:t>
      </w:r>
      <w:r w:rsidR="00D32038" w:rsidRPr="00215936">
        <w:t>shortlist</w:t>
      </w:r>
      <w:r w:rsidRPr="00215936">
        <w:t>.</w:t>
      </w:r>
    </w:p>
    <w:p w14:paraId="57758337" w14:textId="77777777" w:rsidR="00B92A31" w:rsidRPr="00215936" w:rsidRDefault="00B92A31" w:rsidP="00F3527A"/>
    <w:p w14:paraId="3162ECF5" w14:textId="41D0D06D" w:rsidR="00F3527A" w:rsidRPr="00215936" w:rsidRDefault="00A9518A" w:rsidP="009A7ADA">
      <w:pPr>
        <w:rPr>
          <w:bCs/>
        </w:rPr>
      </w:pPr>
      <w:r w:rsidRPr="00215936">
        <w:t>I</w:t>
      </w:r>
      <w:r w:rsidRPr="00215936">
        <w:rPr>
          <w:bCs/>
        </w:rPr>
        <w:t xml:space="preserve">n the </w:t>
      </w:r>
      <w:r w:rsidR="009A7ADA">
        <w:rPr>
          <w:bCs/>
        </w:rPr>
        <w:t>Voyager and TGP AL</w:t>
      </w:r>
      <w:r w:rsidRPr="00215936">
        <w:rPr>
          <w:bCs/>
        </w:rPr>
        <w:t xml:space="preserve">, SCE explains that </w:t>
      </w:r>
      <w:r w:rsidR="00CF5C5A">
        <w:t xml:space="preserve">although it was negotiated bilaterally, </w:t>
      </w:r>
      <w:r w:rsidRPr="00215936">
        <w:rPr>
          <w:bCs/>
        </w:rPr>
        <w:t>t</w:t>
      </w:r>
      <w:r w:rsidRPr="00215936">
        <w:t xml:space="preserve">he </w:t>
      </w:r>
      <w:r w:rsidR="00F048C7">
        <w:t>Voyager</w:t>
      </w:r>
      <w:r w:rsidR="00870810" w:rsidRPr="00215936">
        <w:t xml:space="preserve"> </w:t>
      </w:r>
      <w:r w:rsidRPr="00215936">
        <w:t xml:space="preserve">PPA is </w:t>
      </w:r>
      <w:r w:rsidRPr="00215936">
        <w:rPr>
          <w:bCs/>
        </w:rPr>
        <w:t xml:space="preserve">evaluated consistent with its </w:t>
      </w:r>
      <w:r w:rsidR="0074652C" w:rsidRPr="00215936">
        <w:rPr>
          <w:bCs/>
        </w:rPr>
        <w:t xml:space="preserve">2014 </w:t>
      </w:r>
      <w:r w:rsidRPr="00215936">
        <w:rPr>
          <w:bCs/>
        </w:rPr>
        <w:t>LCBF methodology.</w:t>
      </w:r>
      <w:r w:rsidRPr="00215936">
        <w:rPr>
          <w:rStyle w:val="FootnoteReference"/>
        </w:rPr>
        <w:footnoteReference w:id="13"/>
      </w:r>
      <w:r w:rsidR="004A03DE">
        <w:rPr>
          <w:bCs/>
        </w:rPr>
        <w:t xml:space="preserve">  </w:t>
      </w:r>
    </w:p>
    <w:p w14:paraId="70EF4716" w14:textId="77777777" w:rsidR="008863D3" w:rsidRPr="00215936" w:rsidRDefault="008863D3" w:rsidP="00F3527A">
      <w:pPr>
        <w:rPr>
          <w:bCs/>
        </w:rPr>
      </w:pPr>
    </w:p>
    <w:p w14:paraId="0A0C25DB" w14:textId="51F28950" w:rsidR="00A9518A" w:rsidRPr="00215936" w:rsidRDefault="00A9518A" w:rsidP="00F3527A">
      <w:pPr>
        <w:rPr>
          <w:bCs/>
        </w:rPr>
      </w:pPr>
      <w:r w:rsidRPr="00215936">
        <w:rPr>
          <w:bCs/>
        </w:rPr>
        <w:t xml:space="preserve">See the “Net Market Value and Cost Reasonableness” section of this resolution </w:t>
      </w:r>
      <w:r w:rsidR="00C36D87" w:rsidRPr="00215936">
        <w:rPr>
          <w:bCs/>
        </w:rPr>
        <w:t xml:space="preserve">for a discussion of how </w:t>
      </w:r>
      <w:r w:rsidR="004A03DE" w:rsidRPr="00215936">
        <w:rPr>
          <w:bCs/>
        </w:rPr>
        <w:t>the</w:t>
      </w:r>
      <w:r w:rsidR="004A03DE">
        <w:rPr>
          <w:bCs/>
        </w:rPr>
        <w:t xml:space="preserve"> Voyager </w:t>
      </w:r>
      <w:r w:rsidR="00C36D87" w:rsidRPr="00215936">
        <w:rPr>
          <w:bCs/>
        </w:rPr>
        <w:t>PPA</w:t>
      </w:r>
      <w:r w:rsidRPr="00215936">
        <w:rPr>
          <w:bCs/>
        </w:rPr>
        <w:t xml:space="preserve"> compare</w:t>
      </w:r>
      <w:r w:rsidR="00C36D87" w:rsidRPr="00215936">
        <w:rPr>
          <w:bCs/>
        </w:rPr>
        <w:t>s</w:t>
      </w:r>
      <w:r w:rsidRPr="00215936">
        <w:rPr>
          <w:bCs/>
        </w:rPr>
        <w:t xml:space="preserve"> to other offers from SCE’s </w:t>
      </w:r>
      <w:r w:rsidR="0074652C" w:rsidRPr="00215936">
        <w:rPr>
          <w:bCs/>
        </w:rPr>
        <w:t xml:space="preserve">2014 </w:t>
      </w:r>
      <w:r w:rsidRPr="00215936">
        <w:rPr>
          <w:bCs/>
        </w:rPr>
        <w:t xml:space="preserve">RPS solicitation and comparable RPS contracts executed by SCE in the 12 months prior to </w:t>
      </w:r>
      <w:r w:rsidR="00870810" w:rsidRPr="00215936">
        <w:rPr>
          <w:bCs/>
        </w:rPr>
        <w:t xml:space="preserve">the </w:t>
      </w:r>
      <w:r w:rsidRPr="00215936">
        <w:rPr>
          <w:bCs/>
        </w:rPr>
        <w:t>PPA execution.</w:t>
      </w:r>
      <w:r w:rsidR="003861F7" w:rsidRPr="003861F7">
        <w:rPr>
          <w:bCs/>
        </w:rPr>
        <w:t xml:space="preserve"> </w:t>
      </w:r>
      <w:r w:rsidR="003861F7">
        <w:rPr>
          <w:bCs/>
        </w:rPr>
        <w:t xml:space="preserve"> The TGP Sale Agreement is consistent with SCE’s portfolio optimization objectives and the sale value is favorable when compared to the market prices for PCC 1 product.</w:t>
      </w:r>
    </w:p>
    <w:p w14:paraId="0F14F5BD" w14:textId="77777777" w:rsidR="00A9518A" w:rsidRPr="00215936" w:rsidRDefault="00A9518A" w:rsidP="00F3527A">
      <w:pPr>
        <w:rPr>
          <w:bCs/>
        </w:rPr>
      </w:pPr>
    </w:p>
    <w:p w14:paraId="715D618B" w14:textId="6014B9D4" w:rsidR="00683F82" w:rsidRPr="00215936" w:rsidRDefault="00683F82" w:rsidP="00F3527A">
      <w:pPr>
        <w:rPr>
          <w:u w:val="single"/>
        </w:rPr>
      </w:pPr>
      <w:r w:rsidRPr="00215936">
        <w:rPr>
          <w:u w:val="single"/>
        </w:rPr>
        <w:lastRenderedPageBreak/>
        <w:t xml:space="preserve">The </w:t>
      </w:r>
      <w:r w:rsidR="00F048C7">
        <w:rPr>
          <w:u w:val="single"/>
        </w:rPr>
        <w:t>Voyager</w:t>
      </w:r>
      <w:r w:rsidR="00825B66" w:rsidRPr="00215936">
        <w:rPr>
          <w:u w:val="single"/>
        </w:rPr>
        <w:t xml:space="preserve"> </w:t>
      </w:r>
      <w:r w:rsidRPr="00215936">
        <w:rPr>
          <w:u w:val="single"/>
        </w:rPr>
        <w:t xml:space="preserve">PPA </w:t>
      </w:r>
      <w:r w:rsidR="003222CC">
        <w:rPr>
          <w:u w:val="single"/>
        </w:rPr>
        <w:t>was</w:t>
      </w:r>
      <w:r w:rsidR="008712F0" w:rsidRPr="00215936">
        <w:rPr>
          <w:u w:val="single"/>
        </w:rPr>
        <w:t xml:space="preserve"> </w:t>
      </w:r>
      <w:r w:rsidRPr="00215936">
        <w:rPr>
          <w:u w:val="single"/>
        </w:rPr>
        <w:t>evaluated consistent with the LCBF methodology described in S</w:t>
      </w:r>
      <w:r w:rsidR="00333295" w:rsidRPr="00215936">
        <w:rPr>
          <w:u w:val="single"/>
        </w:rPr>
        <w:t>C</w:t>
      </w:r>
      <w:r w:rsidRPr="00215936">
        <w:rPr>
          <w:u w:val="single"/>
        </w:rPr>
        <w:t xml:space="preserve">E’s </w:t>
      </w:r>
      <w:r w:rsidR="0074652C" w:rsidRPr="00215936">
        <w:rPr>
          <w:u w:val="single"/>
        </w:rPr>
        <w:t xml:space="preserve">2014 </w:t>
      </w:r>
      <w:r w:rsidRPr="00215936">
        <w:rPr>
          <w:u w:val="single"/>
        </w:rPr>
        <w:t>RPS Procurement Plan.</w:t>
      </w:r>
    </w:p>
    <w:p w14:paraId="26740CAE" w14:textId="77777777" w:rsidR="00D51E27" w:rsidRPr="00215936" w:rsidRDefault="00D51E27" w:rsidP="00D51E27"/>
    <w:p w14:paraId="7FE3C98A" w14:textId="77777777" w:rsidR="00333295" w:rsidRPr="00215936" w:rsidRDefault="00333295" w:rsidP="00446479">
      <w:pPr>
        <w:keepNext/>
        <w:spacing w:after="120"/>
        <w:rPr>
          <w:b/>
          <w:bCs/>
        </w:rPr>
      </w:pPr>
      <w:r w:rsidRPr="00215936">
        <w:rPr>
          <w:b/>
          <w:bCs/>
        </w:rPr>
        <w:t>Consistency with RPS Standard Terms and Conditions</w:t>
      </w:r>
      <w:r w:rsidR="0016511C" w:rsidRPr="00215936">
        <w:rPr>
          <w:b/>
          <w:bCs/>
        </w:rPr>
        <w:t xml:space="preserve"> (STCs)</w:t>
      </w:r>
    </w:p>
    <w:p w14:paraId="60B7BD39" w14:textId="7F11EF20" w:rsidR="004A3BCD" w:rsidRPr="00215936" w:rsidRDefault="004A3BCD" w:rsidP="004A3BCD">
      <w:r w:rsidRPr="00215936">
        <w:t xml:space="preserve">The Commission adopted a set of standard terms and conditions (STCs) required in RPS contracts, five of which are considered “non-modifiable.”  The STCs were compiled in D.08-04-009 and subsequently amended in D.08-08-028.   More recently, the Commission further refined some of the STCs in D.10-03-021, as modified by </w:t>
      </w:r>
      <w:r w:rsidR="005B705D">
        <w:br/>
      </w:r>
      <w:r w:rsidRPr="00215936">
        <w:t>D.11-01-025</w:t>
      </w:r>
      <w:r w:rsidR="002C589D" w:rsidRPr="00215936">
        <w:t>,</w:t>
      </w:r>
      <w:r w:rsidR="00043C06" w:rsidRPr="00215936">
        <w:t xml:space="preserve"> </w:t>
      </w:r>
      <w:r w:rsidRPr="00215936">
        <w:t>D.13-11-024</w:t>
      </w:r>
      <w:r w:rsidR="00043C06" w:rsidRPr="00215936">
        <w:t>, and D.14-11-042</w:t>
      </w:r>
      <w:r w:rsidRPr="00215936">
        <w:t xml:space="preserve">.  </w:t>
      </w:r>
    </w:p>
    <w:p w14:paraId="03E32AEC" w14:textId="77777777" w:rsidR="004A3BCD" w:rsidRPr="00215936" w:rsidRDefault="004A3BCD" w:rsidP="004A3BCD"/>
    <w:p w14:paraId="3CF252D6" w14:textId="4F16EEA0" w:rsidR="00333295" w:rsidRPr="00215936" w:rsidRDefault="004A3BCD" w:rsidP="004A3BCD">
      <w:pPr>
        <w:rPr>
          <w:u w:val="single"/>
        </w:rPr>
      </w:pPr>
      <w:r w:rsidRPr="00215936">
        <w:rPr>
          <w:u w:val="single"/>
        </w:rPr>
        <w:t xml:space="preserve">The </w:t>
      </w:r>
      <w:r w:rsidR="00F048C7">
        <w:rPr>
          <w:u w:val="single"/>
        </w:rPr>
        <w:t>Voyager</w:t>
      </w:r>
      <w:r w:rsidRPr="00215936">
        <w:rPr>
          <w:u w:val="single"/>
        </w:rPr>
        <w:t xml:space="preserve"> PPA </w:t>
      </w:r>
      <w:r w:rsidR="00F643A3">
        <w:rPr>
          <w:u w:val="single"/>
        </w:rPr>
        <w:t xml:space="preserve">and TGP Sale Agreement </w:t>
      </w:r>
      <w:r w:rsidRPr="00215936">
        <w:rPr>
          <w:u w:val="single"/>
        </w:rPr>
        <w:t>include the Commission adopted RPS “non-modifiable” standard terms and conditions, as set forth in D.08-04-009, D.08-08-028, D.10-03-021, as modified by D.11-01-025</w:t>
      </w:r>
      <w:r w:rsidR="002C589D" w:rsidRPr="00215936">
        <w:rPr>
          <w:u w:val="single"/>
        </w:rPr>
        <w:t>, D.13-11-024</w:t>
      </w:r>
      <w:r w:rsidR="0008711F" w:rsidRPr="00215936">
        <w:rPr>
          <w:u w:val="single"/>
        </w:rPr>
        <w:t>, and D.14-11-042</w:t>
      </w:r>
      <w:r w:rsidRPr="00215936">
        <w:rPr>
          <w:u w:val="single"/>
        </w:rPr>
        <w:t>.</w:t>
      </w:r>
    </w:p>
    <w:p w14:paraId="6508B02D" w14:textId="77777777" w:rsidR="00FD2C3F" w:rsidRPr="00215936" w:rsidRDefault="00FD2C3F" w:rsidP="009B3D06">
      <w:pPr>
        <w:pStyle w:val="BodyText"/>
        <w:widowControl w:val="0"/>
        <w:spacing w:after="120"/>
      </w:pPr>
    </w:p>
    <w:p w14:paraId="1370AED2" w14:textId="0B0F3B8E" w:rsidR="000C26AA" w:rsidRPr="00215936" w:rsidRDefault="000C26AA" w:rsidP="009B3D06">
      <w:pPr>
        <w:pStyle w:val="BodyText"/>
        <w:widowControl w:val="0"/>
        <w:spacing w:after="120"/>
      </w:pPr>
      <w:r w:rsidRPr="00215936">
        <w:t>Consistency with Portfolio Content Categories</w:t>
      </w:r>
      <w:r w:rsidR="008B645F">
        <w:t xml:space="preserve"> and Resale</w:t>
      </w:r>
    </w:p>
    <w:p w14:paraId="5240C2F0" w14:textId="7E3FBB36" w:rsidR="000C26AA" w:rsidRPr="00BF62C7" w:rsidRDefault="00BF62C7" w:rsidP="00BF62C7">
      <w:r w:rsidRPr="00BF62C7">
        <w:t xml:space="preserve">In D.11-12-052, the Commission defined and implemented portfolio content categories for the RPS program and authorized the Director </w:t>
      </w:r>
      <w:r w:rsidR="00E149DA">
        <w:t xml:space="preserve">of </w:t>
      </w:r>
      <w:r w:rsidRPr="00BF62C7">
        <w:t>the Energy Division to require the investor-owned utilities to provide information regarding the proposed contract’s portfolio content category classification in each advice letter seeking Commission-approval of an RPS contract.  The purpose of the information is to allow the Commission to evaluate the claimed portfolio content category of the proposed RPS PPA and the risks and value to ratepayers if the proposed PPA ultimately results in renewable energy credits in another, less preferred, portfolio content category.</w:t>
      </w:r>
      <w:r w:rsidR="00372F64">
        <w:t xml:space="preserve">  D.11-12-052 also adopted a set of conditions for allowing resale of a part of or all of a </w:t>
      </w:r>
      <w:r w:rsidR="00F6299B">
        <w:t>contract for RPS procurement</w:t>
      </w:r>
      <w:r w:rsidR="00372F64">
        <w:t>.</w:t>
      </w:r>
    </w:p>
    <w:p w14:paraId="0F7A92B3" w14:textId="77777777" w:rsidR="00BF62C7" w:rsidRPr="00215936" w:rsidRDefault="00BF62C7" w:rsidP="009B3D06">
      <w:pPr>
        <w:pStyle w:val="BodyText"/>
        <w:widowControl w:val="0"/>
        <w:rPr>
          <w:b w:val="0"/>
          <w:bCs/>
        </w:rPr>
      </w:pPr>
    </w:p>
    <w:p w14:paraId="4C591CC7" w14:textId="3FA4631E" w:rsidR="00372F64" w:rsidRDefault="000C26AA" w:rsidP="009A7ADA">
      <w:pPr>
        <w:pStyle w:val="BodyText"/>
        <w:widowControl w:val="0"/>
        <w:rPr>
          <w:b w:val="0"/>
          <w:szCs w:val="26"/>
        </w:rPr>
      </w:pPr>
      <w:r w:rsidRPr="00215936">
        <w:rPr>
          <w:b w:val="0"/>
          <w:szCs w:val="26"/>
        </w:rPr>
        <w:t>SCE</w:t>
      </w:r>
      <w:r w:rsidR="00F240BD" w:rsidRPr="00215936">
        <w:rPr>
          <w:b w:val="0"/>
          <w:szCs w:val="26"/>
        </w:rPr>
        <w:t xml:space="preserve"> </w:t>
      </w:r>
      <w:r w:rsidRPr="00215936">
        <w:rPr>
          <w:b w:val="0"/>
          <w:szCs w:val="26"/>
        </w:rPr>
        <w:t xml:space="preserve">claims </w:t>
      </w:r>
      <w:r w:rsidR="00F240BD" w:rsidRPr="00215936">
        <w:rPr>
          <w:b w:val="0"/>
          <w:szCs w:val="26"/>
        </w:rPr>
        <w:t xml:space="preserve">in </w:t>
      </w:r>
      <w:r w:rsidR="00F240BD" w:rsidRPr="00215936">
        <w:rPr>
          <w:b w:val="0"/>
        </w:rPr>
        <w:t xml:space="preserve">the </w:t>
      </w:r>
      <w:r w:rsidR="009A7ADA">
        <w:rPr>
          <w:b w:val="0"/>
        </w:rPr>
        <w:t>Voyager and TGP AL</w:t>
      </w:r>
      <w:r w:rsidR="00F240BD" w:rsidRPr="00215936">
        <w:rPr>
          <w:b w:val="0"/>
          <w:szCs w:val="26"/>
        </w:rPr>
        <w:t xml:space="preserve"> </w:t>
      </w:r>
      <w:r w:rsidRPr="00215936">
        <w:rPr>
          <w:b w:val="0"/>
          <w:szCs w:val="26"/>
        </w:rPr>
        <w:t>that the procurement pursuant to the PPA</w:t>
      </w:r>
      <w:r w:rsidR="00AE5176">
        <w:rPr>
          <w:b w:val="0"/>
          <w:szCs w:val="26"/>
        </w:rPr>
        <w:t>s</w:t>
      </w:r>
      <w:r w:rsidRPr="00215936">
        <w:rPr>
          <w:b w:val="0"/>
          <w:szCs w:val="26"/>
        </w:rPr>
        <w:t xml:space="preserve"> will be classified as Portfolio Content Category 1.</w:t>
      </w:r>
      <w:r w:rsidR="005666CB" w:rsidRPr="00215936">
        <w:rPr>
          <w:rStyle w:val="FootnoteReference"/>
          <w:b w:val="0"/>
          <w:szCs w:val="26"/>
        </w:rPr>
        <w:footnoteReference w:id="14"/>
      </w:r>
      <w:r w:rsidRPr="00215936">
        <w:rPr>
          <w:b w:val="0"/>
          <w:szCs w:val="26"/>
        </w:rPr>
        <w:t xml:space="preserve">  To support its claim, SCE asserts that the </w:t>
      </w:r>
      <w:r w:rsidR="00F048C7">
        <w:rPr>
          <w:b w:val="0"/>
          <w:szCs w:val="26"/>
        </w:rPr>
        <w:t>Voyager</w:t>
      </w:r>
      <w:r w:rsidRPr="00215936">
        <w:rPr>
          <w:b w:val="0"/>
          <w:szCs w:val="26"/>
        </w:rPr>
        <w:t xml:space="preserve"> facility </w:t>
      </w:r>
      <w:r w:rsidR="00222A06" w:rsidRPr="00215936">
        <w:rPr>
          <w:b w:val="0"/>
          <w:szCs w:val="26"/>
        </w:rPr>
        <w:t xml:space="preserve">will have its first point of interconnection within the </w:t>
      </w:r>
      <w:r w:rsidR="00B51A21" w:rsidRPr="00215936">
        <w:rPr>
          <w:b w:val="0"/>
          <w:szCs w:val="26"/>
        </w:rPr>
        <w:t>California Independent System Operator (</w:t>
      </w:r>
      <w:r w:rsidR="00222A06" w:rsidRPr="00215936">
        <w:rPr>
          <w:b w:val="0"/>
          <w:szCs w:val="26"/>
        </w:rPr>
        <w:t>CAISO</w:t>
      </w:r>
      <w:r w:rsidR="00B51A21" w:rsidRPr="00215936">
        <w:rPr>
          <w:b w:val="0"/>
          <w:szCs w:val="26"/>
        </w:rPr>
        <w:t xml:space="preserve">) balancing authority </w:t>
      </w:r>
      <w:r w:rsidR="00B51A21" w:rsidRPr="00215936">
        <w:rPr>
          <w:b w:val="0"/>
          <w:szCs w:val="26"/>
        </w:rPr>
        <w:lastRenderedPageBreak/>
        <w:t>area</w:t>
      </w:r>
      <w:r w:rsidRPr="00215936">
        <w:rPr>
          <w:b w:val="0"/>
          <w:szCs w:val="26"/>
        </w:rPr>
        <w:t xml:space="preserve">, </w:t>
      </w:r>
      <w:r w:rsidR="00222A06" w:rsidRPr="00215936">
        <w:rPr>
          <w:b w:val="0"/>
          <w:szCs w:val="26"/>
        </w:rPr>
        <w:t xml:space="preserve">obtain and maintain certification as an </w:t>
      </w:r>
      <w:r w:rsidR="004A193B" w:rsidRPr="00215936">
        <w:rPr>
          <w:b w:val="0"/>
          <w:szCs w:val="26"/>
        </w:rPr>
        <w:t xml:space="preserve">eligible renewable energy </w:t>
      </w:r>
      <w:r w:rsidRPr="00215936">
        <w:rPr>
          <w:b w:val="0"/>
          <w:szCs w:val="26"/>
        </w:rPr>
        <w:t>resource</w:t>
      </w:r>
      <w:r w:rsidR="004A193B" w:rsidRPr="00215936">
        <w:rPr>
          <w:b w:val="0"/>
          <w:szCs w:val="26"/>
        </w:rPr>
        <w:t>, and perform all actions necessary to transfer the RECs to SCE</w:t>
      </w:r>
      <w:r w:rsidR="00794B4D" w:rsidRPr="00215936">
        <w:rPr>
          <w:b w:val="0"/>
          <w:szCs w:val="26"/>
        </w:rPr>
        <w:t xml:space="preserve">.  </w:t>
      </w:r>
      <w:r w:rsidR="004A193B" w:rsidRPr="00215936">
        <w:rPr>
          <w:b w:val="0"/>
          <w:szCs w:val="26"/>
        </w:rPr>
        <w:t>Additionally, p</w:t>
      </w:r>
      <w:r w:rsidR="006B1AD9" w:rsidRPr="00215936">
        <w:rPr>
          <w:b w:val="0"/>
          <w:szCs w:val="26"/>
        </w:rPr>
        <w:t xml:space="preserve">ursuant to the </w:t>
      </w:r>
      <w:r w:rsidR="00F048C7">
        <w:rPr>
          <w:b w:val="0"/>
          <w:szCs w:val="26"/>
        </w:rPr>
        <w:t>Voyager</w:t>
      </w:r>
      <w:r w:rsidR="006B1AD9" w:rsidRPr="00215936">
        <w:rPr>
          <w:b w:val="0"/>
          <w:szCs w:val="26"/>
        </w:rPr>
        <w:t xml:space="preserve"> PPA</w:t>
      </w:r>
      <w:r w:rsidR="00794B4D" w:rsidRPr="00215936">
        <w:rPr>
          <w:b w:val="0"/>
          <w:szCs w:val="26"/>
        </w:rPr>
        <w:t>,</w:t>
      </w:r>
      <w:r w:rsidR="006B1AD9" w:rsidRPr="00215936">
        <w:rPr>
          <w:b w:val="0"/>
          <w:szCs w:val="26"/>
        </w:rPr>
        <w:t xml:space="preserve"> the RECs associated with the electricity from </w:t>
      </w:r>
      <w:r w:rsidR="00F048C7">
        <w:rPr>
          <w:b w:val="0"/>
          <w:szCs w:val="26"/>
        </w:rPr>
        <w:t>Voyager</w:t>
      </w:r>
      <w:r w:rsidR="006B1AD9" w:rsidRPr="00215936">
        <w:rPr>
          <w:b w:val="0"/>
          <w:szCs w:val="26"/>
        </w:rPr>
        <w:t xml:space="preserve"> will </w:t>
      </w:r>
      <w:r w:rsidR="00C309E3" w:rsidRPr="00215936">
        <w:rPr>
          <w:b w:val="0"/>
          <w:szCs w:val="26"/>
        </w:rPr>
        <w:t xml:space="preserve">be </w:t>
      </w:r>
      <w:r w:rsidR="006B1AD9" w:rsidRPr="00215936">
        <w:rPr>
          <w:b w:val="0"/>
          <w:szCs w:val="26"/>
        </w:rPr>
        <w:t>delivered to SCE and not unbundled</w:t>
      </w:r>
      <w:r w:rsidR="00941FAD" w:rsidRPr="00215936">
        <w:rPr>
          <w:b w:val="0"/>
          <w:szCs w:val="26"/>
        </w:rPr>
        <w:t xml:space="preserve"> or transferred to another owner</w:t>
      </w:r>
      <w:r w:rsidR="004A7FF1">
        <w:rPr>
          <w:b w:val="0"/>
          <w:szCs w:val="26"/>
        </w:rPr>
        <w:t>.</w:t>
      </w:r>
      <w:r w:rsidR="00520B87">
        <w:rPr>
          <w:b w:val="0"/>
          <w:szCs w:val="26"/>
        </w:rPr>
        <w:t xml:space="preserve">  SCE also claims that the TGP Sale Agreement satisfies the resale condition of D.11-12-052.</w:t>
      </w:r>
      <w:r w:rsidR="0051219E">
        <w:rPr>
          <w:b w:val="0"/>
          <w:szCs w:val="26"/>
        </w:rPr>
        <w:t xml:space="preserve">  Specifically, SCE procures PCC 1 product and resell </w:t>
      </w:r>
      <w:r w:rsidR="008E6033">
        <w:rPr>
          <w:b w:val="0"/>
          <w:szCs w:val="26"/>
        </w:rPr>
        <w:t>the</w:t>
      </w:r>
      <w:r w:rsidR="0051219E">
        <w:rPr>
          <w:b w:val="0"/>
          <w:szCs w:val="26"/>
        </w:rPr>
        <w:t xml:space="preserve"> product to TGP as PCC 1 product pursuant to the TGP Sale Agreement.  To support its claim, SCE states that the product being sold will be from RPS-certified facilities that have a first point of interconnection to the CAISO balancing authority area.</w:t>
      </w:r>
    </w:p>
    <w:p w14:paraId="345B8EC7" w14:textId="77777777" w:rsidR="00372F64" w:rsidRPr="00215936" w:rsidRDefault="00372F64" w:rsidP="009A7ADA">
      <w:pPr>
        <w:pStyle w:val="BodyText"/>
        <w:widowControl w:val="0"/>
        <w:rPr>
          <w:b w:val="0"/>
        </w:rPr>
      </w:pPr>
    </w:p>
    <w:p w14:paraId="6B304A38" w14:textId="207B5EA7" w:rsidR="000C26AA" w:rsidRPr="00215936" w:rsidRDefault="003A62B7" w:rsidP="009A7ADA">
      <w:pPr>
        <w:pStyle w:val="BodyText"/>
        <w:rPr>
          <w:b w:val="0"/>
          <w:u w:val="single"/>
        </w:rPr>
      </w:pPr>
      <w:r w:rsidRPr="003A62B7">
        <w:rPr>
          <w:b w:val="0"/>
          <w:u w:val="single"/>
        </w:rPr>
        <w:t>Consistent with D.11-12-052, SCE provided information in the Voyager and TGP AL regarding the expected portfolio content category classification of the renewable energy credits procure</w:t>
      </w:r>
      <w:r>
        <w:rPr>
          <w:b w:val="0"/>
          <w:u w:val="single"/>
        </w:rPr>
        <w:t>d pursuant to the Voyager PPA</w:t>
      </w:r>
      <w:r w:rsidR="004352E0">
        <w:rPr>
          <w:b w:val="0"/>
          <w:u w:val="single"/>
        </w:rPr>
        <w:t xml:space="preserve"> and TGP Sale Agreement</w:t>
      </w:r>
      <w:r>
        <w:rPr>
          <w:b w:val="0"/>
          <w:u w:val="single"/>
        </w:rPr>
        <w:t>.</w:t>
      </w:r>
    </w:p>
    <w:p w14:paraId="369C2C66" w14:textId="77777777" w:rsidR="000C26AA" w:rsidRPr="00215936" w:rsidRDefault="000C26AA" w:rsidP="000C26AA">
      <w:pPr>
        <w:pStyle w:val="BodyText"/>
        <w:rPr>
          <w:b w:val="0"/>
        </w:rPr>
      </w:pPr>
    </w:p>
    <w:p w14:paraId="206007D1" w14:textId="48440183" w:rsidR="000C26AA" w:rsidRPr="00215936" w:rsidRDefault="003A62B7" w:rsidP="000C26AA">
      <w:pPr>
        <w:pStyle w:val="BodyText"/>
        <w:rPr>
          <w:b w:val="0"/>
        </w:rPr>
      </w:pPr>
      <w:r w:rsidRPr="003A62B7">
        <w:rPr>
          <w:b w:val="0"/>
        </w:rPr>
        <w:t xml:space="preserve">In this resolution, </w:t>
      </w:r>
      <w:r w:rsidR="005006E2">
        <w:rPr>
          <w:b w:val="0"/>
        </w:rPr>
        <w:t xml:space="preserve">however, </w:t>
      </w:r>
      <w:r w:rsidRPr="003A62B7">
        <w:rPr>
          <w:b w:val="0"/>
        </w:rPr>
        <w:t xml:space="preserve">the Commission makes no determination regarding the Voyager PPA </w:t>
      </w:r>
      <w:r w:rsidR="0020635F">
        <w:rPr>
          <w:b w:val="0"/>
        </w:rPr>
        <w:t>or</w:t>
      </w:r>
      <w:r w:rsidR="00D2150E">
        <w:rPr>
          <w:b w:val="0"/>
        </w:rPr>
        <w:t xml:space="preserve"> the TGP Sale Agreement’s </w:t>
      </w:r>
      <w:r w:rsidRPr="003A62B7">
        <w:rPr>
          <w:b w:val="0"/>
        </w:rPr>
        <w:t>portfolio content category classification</w:t>
      </w:r>
      <w:r w:rsidR="005006E2">
        <w:rPr>
          <w:b w:val="0"/>
        </w:rPr>
        <w:t xml:space="preserve"> or if resale conditions are met</w:t>
      </w:r>
      <w:r w:rsidRPr="003A62B7">
        <w:rPr>
          <w:b w:val="0"/>
        </w:rPr>
        <w:t xml:space="preserve">.  The RPS contract evaluation process is separate from the RPS compliance and portfolio content category classification process, which require consideration of several factors based on various showings in a compliance filing.  Thus, making a portfolio content category classification determination in this resolution regarding the procurement considered herein is not appropriate.  SCE should incorporate the procurement resulting from the approved </w:t>
      </w:r>
      <w:r w:rsidR="00763F4C" w:rsidRPr="003A62B7">
        <w:rPr>
          <w:b w:val="0"/>
        </w:rPr>
        <w:t xml:space="preserve">Voyager </w:t>
      </w:r>
      <w:r w:rsidRPr="003A62B7">
        <w:rPr>
          <w:b w:val="0"/>
        </w:rPr>
        <w:t>PPA and all applicable supporting documentation to demonstrate portfolio content category classification in the appropriate compliance showing consistent with all applicable RPS program rules.</w:t>
      </w:r>
    </w:p>
    <w:p w14:paraId="1F18B0B3" w14:textId="77777777" w:rsidR="002D1D2C" w:rsidRPr="00215936" w:rsidRDefault="002D1D2C" w:rsidP="008F39A2">
      <w:pPr>
        <w:pStyle w:val="BodyText"/>
        <w:widowControl w:val="0"/>
        <w:spacing w:before="240" w:after="120" w:line="23" w:lineRule="atLeast"/>
        <w:rPr>
          <w:bCs/>
        </w:rPr>
      </w:pPr>
      <w:r w:rsidRPr="00215936">
        <w:rPr>
          <w:bCs/>
        </w:rPr>
        <w:t xml:space="preserve">Consistency with Long-Term Contracting Requirement </w:t>
      </w:r>
    </w:p>
    <w:p w14:paraId="113F795B" w14:textId="77777777" w:rsidR="002D1D2C" w:rsidRPr="00215936" w:rsidRDefault="002D1D2C" w:rsidP="008F39A2">
      <w:pPr>
        <w:pStyle w:val="BodyText"/>
        <w:widowControl w:val="0"/>
        <w:spacing w:line="23" w:lineRule="atLeast"/>
        <w:rPr>
          <w:b w:val="0"/>
        </w:rPr>
      </w:pPr>
      <w:r w:rsidRPr="00215936">
        <w:rPr>
          <w:b w:val="0"/>
        </w:rPr>
        <w:t>In D.12-06-038, the Commission established a long-term contracting requirement that must be met in order for retail sellers to count RPS procurement from contracts less than 10 years in duration for compliance with the RPS program.</w:t>
      </w:r>
      <w:r w:rsidRPr="00215936">
        <w:rPr>
          <w:b w:val="0"/>
          <w:vertAlign w:val="superscript"/>
        </w:rPr>
        <w:footnoteReference w:id="15"/>
      </w:r>
      <w:r w:rsidRPr="00215936">
        <w:rPr>
          <w:b w:val="0"/>
        </w:rPr>
        <w:t xml:space="preserve">  </w:t>
      </w:r>
      <w:r w:rsidRPr="00215936">
        <w:rPr>
          <w:b w:val="0"/>
        </w:rPr>
        <w:lastRenderedPageBreak/>
        <w:t xml:space="preserve">In order for the procurement from any short-term contract(s) signed after </w:t>
      </w:r>
      <w:r w:rsidRPr="00215936">
        <w:rPr>
          <w:b w:val="0"/>
        </w:rPr>
        <w:br/>
        <w:t>June 1, 2010, to count for RPS compliance, the retail seller must execute long-term contract(s) in the same compliance period in which the short-term contract(s) is signed.  The volume of expected generation in the long-term contract(s) must be sufficient to cover the volume of generation from the short-term contract(s).</w:t>
      </w:r>
      <w:r w:rsidRPr="00215936">
        <w:rPr>
          <w:rStyle w:val="FootnoteReference"/>
          <w:b w:val="0"/>
        </w:rPr>
        <w:footnoteReference w:id="16"/>
      </w:r>
    </w:p>
    <w:p w14:paraId="4B1F3F9F" w14:textId="77777777" w:rsidR="002D1D2C" w:rsidRPr="00215936" w:rsidRDefault="002D1D2C" w:rsidP="002D1D2C">
      <w:pPr>
        <w:spacing w:line="23" w:lineRule="atLeast"/>
        <w:rPr>
          <w:u w:val="single"/>
        </w:rPr>
      </w:pPr>
    </w:p>
    <w:p w14:paraId="4FC4AD19" w14:textId="643DA800" w:rsidR="005E7606" w:rsidRPr="00215936" w:rsidRDefault="002D1D2C" w:rsidP="002D1D2C">
      <w:pPr>
        <w:spacing w:line="23" w:lineRule="atLeast"/>
      </w:pPr>
      <w:r w:rsidRPr="00215936">
        <w:t xml:space="preserve">The </w:t>
      </w:r>
      <w:r w:rsidR="00F048C7">
        <w:t>Voyager</w:t>
      </w:r>
      <w:r w:rsidR="00B156B4" w:rsidRPr="00215936">
        <w:t xml:space="preserve"> PPA is for a </w:t>
      </w:r>
      <w:r w:rsidR="008863D3" w:rsidRPr="00215936">
        <w:t>15</w:t>
      </w:r>
      <w:r w:rsidR="00B156B4" w:rsidRPr="00215936">
        <w:t>-</w:t>
      </w:r>
      <w:r w:rsidRPr="00215936">
        <w:t xml:space="preserve">year term and was executed during Compliance Period </w:t>
      </w:r>
      <w:r w:rsidR="00932954" w:rsidRPr="00215936">
        <w:t>201</w:t>
      </w:r>
      <w:r w:rsidR="00932954">
        <w:t>4</w:t>
      </w:r>
      <w:r w:rsidRPr="00215936">
        <w:t>-</w:t>
      </w:r>
      <w:r w:rsidR="00932954" w:rsidRPr="00215936">
        <w:t>20</w:t>
      </w:r>
      <w:r w:rsidR="00932954">
        <w:t>16</w:t>
      </w:r>
      <w:r w:rsidRPr="00215936">
        <w:t>.</w:t>
      </w:r>
      <w:r w:rsidR="005E7606">
        <w:t xml:space="preserve">  </w:t>
      </w:r>
    </w:p>
    <w:p w14:paraId="76A63BD2" w14:textId="77777777" w:rsidR="002D1D2C" w:rsidRPr="00215936" w:rsidRDefault="002D1D2C" w:rsidP="002D1D2C">
      <w:pPr>
        <w:spacing w:line="23" w:lineRule="atLeast"/>
        <w:rPr>
          <w:u w:val="single"/>
        </w:rPr>
      </w:pPr>
    </w:p>
    <w:p w14:paraId="6251ED09" w14:textId="37BAC490" w:rsidR="002D1D2C" w:rsidRDefault="002D1D2C" w:rsidP="002D1D2C">
      <w:pPr>
        <w:spacing w:line="23" w:lineRule="atLeast"/>
      </w:pPr>
      <w:r w:rsidRPr="00215936">
        <w:rPr>
          <w:u w:val="single"/>
        </w:rPr>
        <w:t xml:space="preserve">Because the </w:t>
      </w:r>
      <w:r w:rsidR="00F048C7">
        <w:rPr>
          <w:u w:val="single"/>
        </w:rPr>
        <w:t>Voyager</w:t>
      </w:r>
      <w:r w:rsidRPr="00215936">
        <w:rPr>
          <w:u w:val="single"/>
        </w:rPr>
        <w:t xml:space="preserve"> PPA is greater than 10 years in length, the </w:t>
      </w:r>
      <w:r w:rsidR="00C66E5B" w:rsidRPr="00215936">
        <w:rPr>
          <w:u w:val="single"/>
        </w:rPr>
        <w:t xml:space="preserve">long-term contracting requirement does not apply to SCE’s procurement </w:t>
      </w:r>
      <w:r w:rsidR="004A193B" w:rsidRPr="00215936">
        <w:rPr>
          <w:u w:val="single"/>
        </w:rPr>
        <w:t>pursuant to</w:t>
      </w:r>
      <w:r w:rsidR="00C66E5B" w:rsidRPr="00215936">
        <w:rPr>
          <w:u w:val="single"/>
        </w:rPr>
        <w:t xml:space="preserve"> the </w:t>
      </w:r>
      <w:r w:rsidR="00F048C7">
        <w:rPr>
          <w:u w:val="single"/>
        </w:rPr>
        <w:t>Voyager</w:t>
      </w:r>
      <w:r w:rsidR="00C66E5B" w:rsidRPr="00215936">
        <w:rPr>
          <w:u w:val="single"/>
        </w:rPr>
        <w:t xml:space="preserve"> </w:t>
      </w:r>
      <w:r w:rsidRPr="00215936">
        <w:rPr>
          <w:u w:val="single"/>
        </w:rPr>
        <w:t>PPA</w:t>
      </w:r>
      <w:r w:rsidR="00696758" w:rsidRPr="00215936">
        <w:rPr>
          <w:u w:val="single"/>
        </w:rPr>
        <w:t>,</w:t>
      </w:r>
      <w:r w:rsidRPr="00215936">
        <w:rPr>
          <w:u w:val="single"/>
        </w:rPr>
        <w:t xml:space="preserve"> </w:t>
      </w:r>
      <w:r w:rsidR="00C66E5B" w:rsidRPr="00215936">
        <w:rPr>
          <w:u w:val="single"/>
        </w:rPr>
        <w:t xml:space="preserve">and the </w:t>
      </w:r>
      <w:r w:rsidR="00F048C7">
        <w:rPr>
          <w:u w:val="single"/>
        </w:rPr>
        <w:t>Voyager</w:t>
      </w:r>
      <w:r w:rsidR="00C66E5B" w:rsidRPr="00215936">
        <w:rPr>
          <w:u w:val="single"/>
        </w:rPr>
        <w:t xml:space="preserve"> PPA will contribute to SCE</w:t>
      </w:r>
      <w:r w:rsidRPr="00215936">
        <w:rPr>
          <w:u w:val="single"/>
        </w:rPr>
        <w:t>’s long-term contacting requirement established in D.12-06-038</w:t>
      </w:r>
      <w:r w:rsidR="00C66E5B" w:rsidRPr="00215936">
        <w:rPr>
          <w:u w:val="single"/>
        </w:rPr>
        <w:t xml:space="preserve"> for Compliance Period </w:t>
      </w:r>
      <w:r w:rsidR="00932954" w:rsidRPr="00215936">
        <w:rPr>
          <w:u w:val="single"/>
        </w:rPr>
        <w:t>20</w:t>
      </w:r>
      <w:r w:rsidR="00932954">
        <w:rPr>
          <w:u w:val="single"/>
        </w:rPr>
        <w:t>14</w:t>
      </w:r>
      <w:r w:rsidR="00C66E5B" w:rsidRPr="00215936">
        <w:rPr>
          <w:u w:val="single"/>
        </w:rPr>
        <w:t>-</w:t>
      </w:r>
      <w:r w:rsidR="00932954" w:rsidRPr="00215936">
        <w:rPr>
          <w:u w:val="single"/>
        </w:rPr>
        <w:t>20</w:t>
      </w:r>
      <w:r w:rsidR="00932954">
        <w:rPr>
          <w:u w:val="single"/>
        </w:rPr>
        <w:t>16</w:t>
      </w:r>
      <w:r w:rsidRPr="00215936">
        <w:t>.</w:t>
      </w:r>
      <w:r w:rsidR="00690876">
        <w:br/>
      </w:r>
    </w:p>
    <w:p w14:paraId="225C6FA5" w14:textId="4F33C656" w:rsidR="005E7606" w:rsidRPr="005E7606" w:rsidRDefault="005E7606" w:rsidP="002D1D2C">
      <w:pPr>
        <w:spacing w:line="23" w:lineRule="atLeast"/>
        <w:rPr>
          <w:u w:val="single"/>
        </w:rPr>
      </w:pPr>
      <w:r w:rsidRPr="005E7606">
        <w:rPr>
          <w:u w:val="single"/>
        </w:rPr>
        <w:t>The long-term contract also does not apply to sales agreements, thus it is not applicable to the TGP Sale Agreement.</w:t>
      </w:r>
    </w:p>
    <w:p w14:paraId="7BFF54F2" w14:textId="77777777" w:rsidR="00C66E5B" w:rsidRPr="00215936" w:rsidRDefault="00C66E5B" w:rsidP="002D1D2C">
      <w:pPr>
        <w:spacing w:line="23" w:lineRule="atLeast"/>
      </w:pPr>
    </w:p>
    <w:p w14:paraId="0D6AD096" w14:textId="77777777" w:rsidR="00941FAD" w:rsidRPr="00215936" w:rsidRDefault="00941FAD" w:rsidP="00941FAD">
      <w:pPr>
        <w:pStyle w:val="BodyText"/>
        <w:keepNext/>
        <w:spacing w:after="120"/>
        <w:rPr>
          <w:b w:val="0"/>
          <w:color w:val="FF0000"/>
          <w:szCs w:val="26"/>
        </w:rPr>
      </w:pPr>
      <w:r w:rsidRPr="00215936">
        <w:t xml:space="preserve">Independent Evaluator Review </w:t>
      </w:r>
    </w:p>
    <w:p w14:paraId="55D0C9F5" w14:textId="27ED8598" w:rsidR="00941FAD" w:rsidRPr="00215936" w:rsidRDefault="00941FAD" w:rsidP="009A7ADA">
      <w:pPr>
        <w:autoSpaceDE w:val="0"/>
        <w:autoSpaceDN w:val="0"/>
        <w:adjustRightInd w:val="0"/>
        <w:rPr>
          <w:bCs/>
        </w:rPr>
      </w:pPr>
      <w:r w:rsidRPr="00215936">
        <w:rPr>
          <w:bCs/>
        </w:rPr>
        <w:t xml:space="preserve">SCE retained </w:t>
      </w:r>
      <w:r w:rsidR="008572C6" w:rsidRPr="00215936">
        <w:rPr>
          <w:bCs/>
        </w:rPr>
        <w:t xml:space="preserve">Merrimack Energy Group, Inc. as the </w:t>
      </w:r>
      <w:r w:rsidRPr="00215936">
        <w:rPr>
          <w:bCs/>
        </w:rPr>
        <w:t xml:space="preserve">independent evaluator (IE) to oversee its </w:t>
      </w:r>
      <w:r w:rsidR="00C33EE6" w:rsidRPr="00215936">
        <w:rPr>
          <w:bCs/>
        </w:rPr>
        <w:t xml:space="preserve">2014 </w:t>
      </w:r>
      <w:r w:rsidRPr="00215936">
        <w:rPr>
          <w:bCs/>
        </w:rPr>
        <w:t>RPS solicitation.  In addition</w:t>
      </w:r>
      <w:r w:rsidR="008572C6" w:rsidRPr="00215936">
        <w:rPr>
          <w:bCs/>
        </w:rPr>
        <w:t xml:space="preserve">, Merrimack oversaw the </w:t>
      </w:r>
      <w:r w:rsidRPr="00215936">
        <w:rPr>
          <w:bCs/>
        </w:rPr>
        <w:t xml:space="preserve">negotiations with </w:t>
      </w:r>
      <w:r w:rsidR="00F048C7">
        <w:rPr>
          <w:bCs/>
        </w:rPr>
        <w:t>Voyager</w:t>
      </w:r>
      <w:r w:rsidR="00B622AB">
        <w:rPr>
          <w:bCs/>
        </w:rPr>
        <w:t xml:space="preserve"> and TGP</w:t>
      </w:r>
      <w:r w:rsidRPr="00215936">
        <w:rPr>
          <w:bCs/>
        </w:rPr>
        <w:t xml:space="preserve"> </w:t>
      </w:r>
      <w:r w:rsidR="008572C6" w:rsidRPr="00215936">
        <w:rPr>
          <w:bCs/>
        </w:rPr>
        <w:t>and</w:t>
      </w:r>
      <w:r w:rsidRPr="00215936">
        <w:rPr>
          <w:bCs/>
        </w:rPr>
        <w:t xml:space="preserve"> evaluate</w:t>
      </w:r>
      <w:r w:rsidR="008572C6" w:rsidRPr="00215936">
        <w:rPr>
          <w:bCs/>
        </w:rPr>
        <w:t>d</w:t>
      </w:r>
      <w:r w:rsidRPr="00215936">
        <w:rPr>
          <w:bCs/>
        </w:rPr>
        <w:t xml:space="preserve"> the overall merits of the </w:t>
      </w:r>
      <w:r w:rsidR="00F048C7">
        <w:rPr>
          <w:bCs/>
        </w:rPr>
        <w:t>Voyager</w:t>
      </w:r>
      <w:r w:rsidR="008572C6" w:rsidRPr="00215936">
        <w:rPr>
          <w:bCs/>
        </w:rPr>
        <w:t xml:space="preserve"> </w:t>
      </w:r>
      <w:r w:rsidRPr="00215936">
        <w:rPr>
          <w:bCs/>
        </w:rPr>
        <w:t>PPA</w:t>
      </w:r>
      <w:r w:rsidR="00B622AB">
        <w:rPr>
          <w:bCs/>
        </w:rPr>
        <w:t xml:space="preserve"> and TGP Sale Agreement</w:t>
      </w:r>
      <w:r w:rsidRPr="00215936">
        <w:rPr>
          <w:bCs/>
        </w:rPr>
        <w:t xml:space="preserve">.  </w:t>
      </w:r>
      <w:r w:rsidR="00AC463A" w:rsidRPr="00215936">
        <w:t xml:space="preserve">The </w:t>
      </w:r>
      <w:r w:rsidR="009A7ADA">
        <w:t>Voyager and TGP AL</w:t>
      </w:r>
      <w:r w:rsidR="00AC463A" w:rsidRPr="00215936" w:rsidDel="00AC463A">
        <w:rPr>
          <w:bCs/>
        </w:rPr>
        <w:t xml:space="preserve"> </w:t>
      </w:r>
      <w:r w:rsidRPr="00215936">
        <w:rPr>
          <w:bCs/>
        </w:rPr>
        <w:t xml:space="preserve">included a public and confidential version of the </w:t>
      </w:r>
      <w:r w:rsidR="003052BA" w:rsidRPr="00215936">
        <w:rPr>
          <w:bCs/>
        </w:rPr>
        <w:t>IE</w:t>
      </w:r>
      <w:r w:rsidRPr="00215936">
        <w:rPr>
          <w:bCs/>
        </w:rPr>
        <w:t xml:space="preserve">’s report.  </w:t>
      </w:r>
    </w:p>
    <w:p w14:paraId="45E09013" w14:textId="77777777" w:rsidR="00B9772F" w:rsidRPr="00215936" w:rsidRDefault="00B9772F" w:rsidP="00B9772F">
      <w:pPr>
        <w:autoSpaceDE w:val="0"/>
        <w:autoSpaceDN w:val="0"/>
        <w:adjustRightInd w:val="0"/>
        <w:rPr>
          <w:bCs/>
        </w:rPr>
      </w:pPr>
    </w:p>
    <w:p w14:paraId="5303FB19" w14:textId="7F2B0B4E" w:rsidR="00941FAD" w:rsidRPr="00215936" w:rsidRDefault="00F240BD" w:rsidP="00B9772F">
      <w:pPr>
        <w:autoSpaceDE w:val="0"/>
        <w:autoSpaceDN w:val="0"/>
        <w:adjustRightInd w:val="0"/>
        <w:rPr>
          <w:bCs/>
        </w:rPr>
      </w:pPr>
      <w:r w:rsidRPr="00215936">
        <w:rPr>
          <w:bCs/>
        </w:rPr>
        <w:t>T</w:t>
      </w:r>
      <w:r w:rsidR="00941FAD" w:rsidRPr="00215936">
        <w:rPr>
          <w:bCs/>
        </w:rPr>
        <w:t>he IE</w:t>
      </w:r>
      <w:r w:rsidRPr="00215936">
        <w:rPr>
          <w:bCs/>
        </w:rPr>
        <w:t xml:space="preserve"> states in its report that </w:t>
      </w:r>
      <w:r w:rsidR="00B622AB">
        <w:rPr>
          <w:bCs/>
        </w:rPr>
        <w:t xml:space="preserve">overall </w:t>
      </w:r>
      <w:r w:rsidR="00941FAD" w:rsidRPr="00215936">
        <w:rPr>
          <w:bCs/>
        </w:rPr>
        <w:t xml:space="preserve">the </w:t>
      </w:r>
      <w:r w:rsidR="00F048C7">
        <w:rPr>
          <w:bCs/>
        </w:rPr>
        <w:t>Voyager</w:t>
      </w:r>
      <w:r w:rsidR="00DF4B15" w:rsidRPr="00215936">
        <w:rPr>
          <w:bCs/>
        </w:rPr>
        <w:t xml:space="preserve"> </w:t>
      </w:r>
      <w:r w:rsidR="003B63DF" w:rsidRPr="00215936">
        <w:rPr>
          <w:bCs/>
        </w:rPr>
        <w:t xml:space="preserve">PPA </w:t>
      </w:r>
      <w:r w:rsidR="00B622AB">
        <w:rPr>
          <w:bCs/>
        </w:rPr>
        <w:t>and TGP Sale Agreement</w:t>
      </w:r>
      <w:r w:rsidR="00941FAD" w:rsidRPr="00215936">
        <w:rPr>
          <w:bCs/>
        </w:rPr>
        <w:t xml:space="preserve"> </w:t>
      </w:r>
      <w:r w:rsidR="00B622AB">
        <w:rPr>
          <w:bCs/>
        </w:rPr>
        <w:t xml:space="preserve">merit the Commission approval because both agreements were </w:t>
      </w:r>
      <w:r w:rsidR="003B63DF" w:rsidRPr="00215936">
        <w:rPr>
          <w:bCs/>
        </w:rPr>
        <w:t xml:space="preserve">reasonably </w:t>
      </w:r>
      <w:r w:rsidR="004874FD" w:rsidRPr="00215936">
        <w:rPr>
          <w:bCs/>
        </w:rPr>
        <w:t>negotiated with contract terms that</w:t>
      </w:r>
      <w:r w:rsidR="00B110CB">
        <w:rPr>
          <w:bCs/>
        </w:rPr>
        <w:t>,</w:t>
      </w:r>
      <w:r w:rsidR="004874FD" w:rsidRPr="00215936">
        <w:rPr>
          <w:bCs/>
        </w:rPr>
        <w:t xml:space="preserve"> </w:t>
      </w:r>
      <w:r w:rsidR="00C60556" w:rsidRPr="00215936">
        <w:rPr>
          <w:bCs/>
        </w:rPr>
        <w:t xml:space="preserve">when </w:t>
      </w:r>
      <w:r w:rsidR="004874FD" w:rsidRPr="00215936">
        <w:rPr>
          <w:bCs/>
        </w:rPr>
        <w:t>taken as a whole</w:t>
      </w:r>
      <w:r w:rsidR="00B110CB">
        <w:rPr>
          <w:bCs/>
        </w:rPr>
        <w:t>,</w:t>
      </w:r>
      <w:r w:rsidR="004874FD" w:rsidRPr="00215936">
        <w:rPr>
          <w:bCs/>
        </w:rPr>
        <w:t xml:space="preserve"> appropriately protect</w:t>
      </w:r>
      <w:r w:rsidR="00941FAD" w:rsidRPr="00215936">
        <w:rPr>
          <w:bCs/>
        </w:rPr>
        <w:t xml:space="preserve"> </w:t>
      </w:r>
      <w:r w:rsidR="004874FD" w:rsidRPr="00215936">
        <w:rPr>
          <w:bCs/>
        </w:rPr>
        <w:t xml:space="preserve">the interests of </w:t>
      </w:r>
      <w:r w:rsidR="00941FAD" w:rsidRPr="00215936">
        <w:rPr>
          <w:bCs/>
        </w:rPr>
        <w:t>S</w:t>
      </w:r>
      <w:r w:rsidR="008572C6" w:rsidRPr="00215936">
        <w:rPr>
          <w:bCs/>
        </w:rPr>
        <w:t>C</w:t>
      </w:r>
      <w:r w:rsidR="00941FAD" w:rsidRPr="00215936">
        <w:rPr>
          <w:bCs/>
        </w:rPr>
        <w:t xml:space="preserve">E’s ratepayers.  </w:t>
      </w:r>
      <w:r w:rsidR="00B622AB">
        <w:rPr>
          <w:bCs/>
        </w:rPr>
        <w:t xml:space="preserve">Specifically, the Voyager </w:t>
      </w:r>
      <w:r w:rsidR="00A116D7">
        <w:rPr>
          <w:bCs/>
        </w:rPr>
        <w:t>P</w:t>
      </w:r>
      <w:r w:rsidR="00982975">
        <w:rPr>
          <w:bCs/>
        </w:rPr>
        <w:t>roject is</w:t>
      </w:r>
      <w:r w:rsidR="009C3B9F">
        <w:rPr>
          <w:bCs/>
        </w:rPr>
        <w:t xml:space="preserve"> </w:t>
      </w:r>
      <w:r w:rsidR="00982975">
        <w:rPr>
          <w:bCs/>
        </w:rPr>
        <w:t xml:space="preserve">reasonably </w:t>
      </w:r>
      <w:r w:rsidR="009C3B9F">
        <w:rPr>
          <w:bCs/>
        </w:rPr>
        <w:t xml:space="preserve">priced in terms of its NMV and </w:t>
      </w:r>
      <w:r w:rsidR="00982975">
        <w:rPr>
          <w:bCs/>
        </w:rPr>
        <w:t>mature in terms of its development status</w:t>
      </w:r>
      <w:r w:rsidR="009C3B9F">
        <w:rPr>
          <w:bCs/>
        </w:rPr>
        <w:t xml:space="preserve">.  </w:t>
      </w:r>
      <w:r w:rsidR="00F3380B">
        <w:rPr>
          <w:bCs/>
        </w:rPr>
        <w:t>It is</w:t>
      </w:r>
      <w:r w:rsidR="00982975">
        <w:rPr>
          <w:bCs/>
        </w:rPr>
        <w:t xml:space="preserve"> developed by Terra-gen, which has significant experience in </w:t>
      </w:r>
      <w:r w:rsidR="00982975">
        <w:rPr>
          <w:bCs/>
        </w:rPr>
        <w:lastRenderedPageBreak/>
        <w:t>developing and operating renewable wind, geothermal, and solar projects.</w:t>
      </w:r>
      <w:r w:rsidR="0080655F">
        <w:rPr>
          <w:bCs/>
        </w:rPr>
        <w:t xml:space="preserve">  The payment received from the TGP Sale Agreement to SCE provides additional benefits to SCE’s customers. </w:t>
      </w:r>
      <w:r w:rsidR="00941FAD" w:rsidRPr="00215936">
        <w:rPr>
          <w:bCs/>
        </w:rPr>
        <w:t xml:space="preserve">  </w:t>
      </w:r>
    </w:p>
    <w:p w14:paraId="5AC4D1E3" w14:textId="77777777" w:rsidR="00B9772F" w:rsidRPr="00215936" w:rsidRDefault="00B9772F" w:rsidP="00B9772F">
      <w:pPr>
        <w:pStyle w:val="BodyText"/>
        <w:rPr>
          <w:rFonts w:cs="Arial"/>
          <w:b w:val="0"/>
          <w:szCs w:val="26"/>
          <w:u w:val="single"/>
        </w:rPr>
      </w:pPr>
    </w:p>
    <w:p w14:paraId="4BB4C935" w14:textId="315DBEE6" w:rsidR="00941FAD" w:rsidRPr="00215936" w:rsidRDefault="00941FAD" w:rsidP="00B9772F">
      <w:pPr>
        <w:pStyle w:val="BodyText"/>
        <w:rPr>
          <w:rFonts w:cs="Arial"/>
          <w:b w:val="0"/>
          <w:szCs w:val="26"/>
          <w:u w:val="single"/>
        </w:rPr>
      </w:pPr>
      <w:r w:rsidRPr="00215936">
        <w:rPr>
          <w:rFonts w:cs="Arial"/>
          <w:b w:val="0"/>
          <w:szCs w:val="26"/>
          <w:u w:val="single"/>
        </w:rPr>
        <w:t>Consistent with D.06-05-039, an independent evaluator oversaw SCE’s</w:t>
      </w:r>
      <w:r w:rsidR="00442C5F" w:rsidRPr="00215936">
        <w:rPr>
          <w:rFonts w:cs="Arial"/>
          <w:b w:val="0"/>
          <w:szCs w:val="26"/>
          <w:u w:val="single"/>
        </w:rPr>
        <w:t xml:space="preserve"> </w:t>
      </w:r>
      <w:r w:rsidR="00C33EE6" w:rsidRPr="00215936">
        <w:rPr>
          <w:rFonts w:cs="Arial"/>
          <w:b w:val="0"/>
          <w:szCs w:val="26"/>
          <w:u w:val="single"/>
        </w:rPr>
        <w:t xml:space="preserve">2014 </w:t>
      </w:r>
      <w:r w:rsidR="00442C5F" w:rsidRPr="00215936">
        <w:rPr>
          <w:rFonts w:cs="Arial"/>
          <w:b w:val="0"/>
          <w:szCs w:val="26"/>
          <w:u w:val="single"/>
        </w:rPr>
        <w:t>RPS solicitation and</w:t>
      </w:r>
      <w:r w:rsidRPr="00215936">
        <w:rPr>
          <w:rFonts w:cs="Arial"/>
          <w:b w:val="0"/>
          <w:szCs w:val="26"/>
          <w:u w:val="single"/>
        </w:rPr>
        <w:t xml:space="preserve"> negotiations with </w:t>
      </w:r>
      <w:r w:rsidR="00F048C7">
        <w:rPr>
          <w:rFonts w:cs="Arial"/>
          <w:b w:val="0"/>
          <w:szCs w:val="26"/>
          <w:u w:val="single"/>
        </w:rPr>
        <w:t>Voyager</w:t>
      </w:r>
      <w:r w:rsidR="00EC722E">
        <w:rPr>
          <w:rFonts w:cs="Arial"/>
          <w:b w:val="0"/>
          <w:szCs w:val="26"/>
          <w:u w:val="single"/>
        </w:rPr>
        <w:t xml:space="preserve"> and TGP</w:t>
      </w:r>
      <w:r w:rsidRPr="00215936">
        <w:rPr>
          <w:rFonts w:cs="Arial"/>
          <w:b w:val="0"/>
          <w:szCs w:val="26"/>
          <w:u w:val="single"/>
        </w:rPr>
        <w:t xml:space="preserve">.  </w:t>
      </w:r>
    </w:p>
    <w:p w14:paraId="7197C4A0" w14:textId="77777777" w:rsidR="000C26AA" w:rsidRPr="00215936" w:rsidRDefault="000C26AA" w:rsidP="004A3BCD"/>
    <w:p w14:paraId="665F2E2D" w14:textId="0D8F4662" w:rsidR="002D1D2C" w:rsidRPr="00215936" w:rsidRDefault="002D1D2C" w:rsidP="002D1D2C">
      <w:pPr>
        <w:pStyle w:val="BodyText"/>
        <w:spacing w:after="120" w:line="23" w:lineRule="atLeast"/>
        <w:rPr>
          <w:bCs/>
        </w:rPr>
      </w:pPr>
      <w:r w:rsidRPr="00215936">
        <w:rPr>
          <w:bCs/>
        </w:rPr>
        <w:t xml:space="preserve">Procurement Review Group </w:t>
      </w:r>
      <w:r w:rsidR="003052BA" w:rsidRPr="00215936">
        <w:rPr>
          <w:bCs/>
        </w:rPr>
        <w:t>(PRG)</w:t>
      </w:r>
      <w:r w:rsidR="003724A5" w:rsidRPr="00215936">
        <w:rPr>
          <w:bCs/>
        </w:rPr>
        <w:t xml:space="preserve"> Participation Requirement</w:t>
      </w:r>
    </w:p>
    <w:p w14:paraId="6C7B5E85" w14:textId="5B62C28B" w:rsidR="002D1D2C" w:rsidRPr="00215936" w:rsidRDefault="002D1D2C" w:rsidP="002D1D2C">
      <w:pPr>
        <w:pStyle w:val="BodyText"/>
        <w:spacing w:after="240" w:line="23" w:lineRule="atLeast"/>
        <w:rPr>
          <w:b w:val="0"/>
        </w:rPr>
      </w:pPr>
      <w:r w:rsidRPr="00215936">
        <w:rPr>
          <w:b w:val="0"/>
        </w:rPr>
        <w:t xml:space="preserve">The PRG was initially established in D.02-08-071 to review and assess the details of the </w:t>
      </w:r>
      <w:r w:rsidR="003B63DF" w:rsidRPr="00215936">
        <w:rPr>
          <w:b w:val="0"/>
        </w:rPr>
        <w:t>investor owned utilities’ (</w:t>
      </w:r>
      <w:r w:rsidRPr="00215936">
        <w:rPr>
          <w:b w:val="0"/>
        </w:rPr>
        <w:t>IOU’s</w:t>
      </w:r>
      <w:r w:rsidR="003B63DF" w:rsidRPr="00215936">
        <w:rPr>
          <w:b w:val="0"/>
        </w:rPr>
        <w:t>)</w:t>
      </w:r>
      <w:r w:rsidRPr="00215936">
        <w:rPr>
          <w:b w:val="0"/>
        </w:rPr>
        <w:t xml:space="preserve"> overall procurement strategy, solicitations, specific proposed procurement contracts and other procurement processes prior to submitting filings to the Commission as a mechanism for procurement review by non-market participants.</w:t>
      </w:r>
    </w:p>
    <w:p w14:paraId="05FCA570" w14:textId="31B06396" w:rsidR="00035330" w:rsidRPr="00215936" w:rsidRDefault="00035330" w:rsidP="009A7ADA">
      <w:pPr>
        <w:pStyle w:val="BodyText"/>
        <w:spacing w:after="240" w:line="23" w:lineRule="atLeast"/>
        <w:rPr>
          <w:b w:val="0"/>
        </w:rPr>
      </w:pPr>
      <w:r w:rsidRPr="00215936">
        <w:rPr>
          <w:b w:val="0"/>
        </w:rPr>
        <w:t xml:space="preserve">Participants in SCE’s PRG include representatives from the Office of Ratepayer Advocates, California Department of Water Resources, Union of Concerned Scientists, </w:t>
      </w:r>
      <w:r w:rsidR="00622B95" w:rsidRPr="00215936">
        <w:rPr>
          <w:b w:val="0"/>
        </w:rPr>
        <w:t xml:space="preserve">Sierra Club, </w:t>
      </w:r>
      <w:r w:rsidRPr="00215936">
        <w:rPr>
          <w:b w:val="0"/>
        </w:rPr>
        <w:t xml:space="preserve">The Utility Reform Network, and the California Utility Employees. In the </w:t>
      </w:r>
      <w:r w:rsidR="009A7ADA">
        <w:rPr>
          <w:b w:val="0"/>
        </w:rPr>
        <w:t>Voyager and TGP AL</w:t>
      </w:r>
      <w:r w:rsidRPr="00215936">
        <w:rPr>
          <w:b w:val="0"/>
        </w:rPr>
        <w:t xml:space="preserve">, SCE asserts that the proposed execution </w:t>
      </w:r>
      <w:r w:rsidR="00890942" w:rsidRPr="00215936">
        <w:rPr>
          <w:b w:val="0"/>
        </w:rPr>
        <w:t xml:space="preserve">of </w:t>
      </w:r>
      <w:r w:rsidR="00D67195">
        <w:rPr>
          <w:b w:val="0"/>
        </w:rPr>
        <w:t xml:space="preserve">the </w:t>
      </w:r>
      <w:r w:rsidR="00F048C7">
        <w:rPr>
          <w:b w:val="0"/>
        </w:rPr>
        <w:t>Voyager</w:t>
      </w:r>
      <w:r w:rsidRPr="00215936">
        <w:rPr>
          <w:b w:val="0"/>
        </w:rPr>
        <w:t xml:space="preserve"> PPA</w:t>
      </w:r>
      <w:r w:rsidR="0080655F">
        <w:rPr>
          <w:b w:val="0"/>
        </w:rPr>
        <w:t xml:space="preserve"> and TGP Sale Agreement</w:t>
      </w:r>
      <w:r w:rsidRPr="00215936">
        <w:rPr>
          <w:b w:val="0"/>
        </w:rPr>
        <w:t xml:space="preserve"> </w:t>
      </w:r>
      <w:r w:rsidR="0080655F">
        <w:rPr>
          <w:b w:val="0"/>
        </w:rPr>
        <w:t>were</w:t>
      </w:r>
      <w:r w:rsidR="0080655F" w:rsidRPr="00215936">
        <w:rPr>
          <w:b w:val="0"/>
        </w:rPr>
        <w:t xml:space="preserve"> </w:t>
      </w:r>
      <w:r w:rsidRPr="00215936">
        <w:rPr>
          <w:b w:val="0"/>
        </w:rPr>
        <w:t xml:space="preserve">presented to its PRG at the </w:t>
      </w:r>
      <w:r w:rsidR="0080655F">
        <w:rPr>
          <w:b w:val="0"/>
        </w:rPr>
        <w:t>November 4</w:t>
      </w:r>
      <w:r w:rsidRPr="00215936">
        <w:rPr>
          <w:b w:val="0"/>
        </w:rPr>
        <w:t>, 2015 meeting.</w:t>
      </w:r>
      <w:r w:rsidR="00622B95" w:rsidRPr="00215936">
        <w:rPr>
          <w:rStyle w:val="FootnoteReference"/>
          <w:b w:val="0"/>
        </w:rPr>
        <w:footnoteReference w:id="17"/>
      </w:r>
      <w:r w:rsidRPr="00215936">
        <w:rPr>
          <w:b w:val="0"/>
        </w:rPr>
        <w:t xml:space="preserve">  </w:t>
      </w:r>
    </w:p>
    <w:p w14:paraId="39248CBA" w14:textId="56E92C62" w:rsidR="002D1D2C" w:rsidRPr="00215936" w:rsidRDefault="003052BA" w:rsidP="00F3527A">
      <w:pPr>
        <w:spacing w:line="23" w:lineRule="atLeast"/>
        <w:rPr>
          <w:szCs w:val="26"/>
          <w:u w:val="single"/>
        </w:rPr>
      </w:pPr>
      <w:r w:rsidRPr="00215936">
        <w:rPr>
          <w:szCs w:val="26"/>
          <w:u w:val="single"/>
        </w:rPr>
        <w:t>Consistent with</w:t>
      </w:r>
      <w:r w:rsidR="002D1D2C" w:rsidRPr="00215936">
        <w:rPr>
          <w:szCs w:val="26"/>
          <w:u w:val="single"/>
        </w:rPr>
        <w:t xml:space="preserve"> D.02-08-071, SCE’s Procurement Review Group participated in the review of the </w:t>
      </w:r>
      <w:r w:rsidR="00F048C7">
        <w:rPr>
          <w:szCs w:val="26"/>
          <w:u w:val="single"/>
        </w:rPr>
        <w:t>Voyager</w:t>
      </w:r>
      <w:r w:rsidR="002D1D2C" w:rsidRPr="00215936">
        <w:rPr>
          <w:szCs w:val="26"/>
          <w:u w:val="single"/>
        </w:rPr>
        <w:t xml:space="preserve"> PPA.</w:t>
      </w:r>
    </w:p>
    <w:p w14:paraId="07D72D63" w14:textId="77777777" w:rsidR="00F3527A" w:rsidRPr="00215936" w:rsidRDefault="00F3527A" w:rsidP="00F3527A">
      <w:pPr>
        <w:spacing w:line="23" w:lineRule="atLeast"/>
        <w:rPr>
          <w:szCs w:val="26"/>
          <w:u w:val="single"/>
        </w:rPr>
      </w:pPr>
    </w:p>
    <w:p w14:paraId="0A39DB6E" w14:textId="4A58A2F6" w:rsidR="00035330" w:rsidRPr="00215936" w:rsidRDefault="00035330" w:rsidP="00035330">
      <w:pPr>
        <w:keepNext/>
        <w:spacing w:after="120"/>
        <w:rPr>
          <w:b/>
          <w:szCs w:val="26"/>
        </w:rPr>
      </w:pPr>
      <w:r w:rsidRPr="00215936">
        <w:rPr>
          <w:b/>
          <w:szCs w:val="26"/>
        </w:rPr>
        <w:t xml:space="preserve">Net Market Value and </w:t>
      </w:r>
      <w:r w:rsidR="00AA09CC">
        <w:rPr>
          <w:b/>
          <w:szCs w:val="26"/>
        </w:rPr>
        <w:t>Price</w:t>
      </w:r>
      <w:r w:rsidR="00AA09CC" w:rsidRPr="00215936">
        <w:rPr>
          <w:b/>
          <w:szCs w:val="26"/>
        </w:rPr>
        <w:t xml:space="preserve"> </w:t>
      </w:r>
      <w:r w:rsidRPr="00215936">
        <w:rPr>
          <w:b/>
          <w:szCs w:val="26"/>
        </w:rPr>
        <w:t>Reasonableness</w:t>
      </w:r>
    </w:p>
    <w:p w14:paraId="68A3AE1A" w14:textId="3AED897B" w:rsidR="00035330" w:rsidRPr="00215936" w:rsidRDefault="00035330" w:rsidP="009A7ADA">
      <w:r w:rsidRPr="00215936">
        <w:t xml:space="preserve">The Commission’s reasonableness review for RPS PPAs includes a comparison of the proposed PPA’s net market value and price relative to other RPS offers received in recent RPS solicitations.  Additionally, the Commission compares the PPA’s net market value </w:t>
      </w:r>
      <w:r w:rsidRPr="00215936">
        <w:rPr>
          <w:bCs/>
        </w:rPr>
        <w:t xml:space="preserve">to comparable contracts executed by the </w:t>
      </w:r>
      <w:r w:rsidR="00622B95" w:rsidRPr="00215936">
        <w:rPr>
          <w:bCs/>
        </w:rPr>
        <w:t xml:space="preserve">IOU </w:t>
      </w:r>
      <w:r w:rsidRPr="00215936">
        <w:rPr>
          <w:bCs/>
        </w:rPr>
        <w:t>in the 12 months prior to the proposed PPA’s execution date</w:t>
      </w:r>
      <w:r w:rsidRPr="00215936">
        <w:t xml:space="preserve">.  Using this methodology and the confidential analysis provided by SCE in the </w:t>
      </w:r>
      <w:r w:rsidR="009A7ADA">
        <w:t>Voyager and TGP AL</w:t>
      </w:r>
      <w:r w:rsidRPr="00215936">
        <w:t xml:space="preserve">, the Commission finds that the net market value of the </w:t>
      </w:r>
      <w:r w:rsidR="00F048C7">
        <w:t>Voyager</w:t>
      </w:r>
      <w:r w:rsidRPr="00215936">
        <w:t xml:space="preserve"> PPA is competitive to other RPS offers received by SCE and that the costs of the </w:t>
      </w:r>
      <w:r w:rsidR="00F048C7">
        <w:t>Voyager</w:t>
      </w:r>
      <w:r w:rsidRPr="00215936">
        <w:t xml:space="preserve"> PPA are reasonable.  </w:t>
      </w:r>
      <w:r w:rsidR="004470A8">
        <w:t xml:space="preserve">However, SCE has not recently executed any other RPS sale </w:t>
      </w:r>
      <w:r w:rsidR="004470A8">
        <w:lastRenderedPageBreak/>
        <w:t xml:space="preserve">agreements.  Thus, the Commission compared the </w:t>
      </w:r>
      <w:r w:rsidR="00AA09CC">
        <w:t>TGP Sale A</w:t>
      </w:r>
      <w:r w:rsidR="004470A8">
        <w:t xml:space="preserve">greement’s price to </w:t>
      </w:r>
      <w:r w:rsidR="00516EE6">
        <w:t xml:space="preserve">California REC </w:t>
      </w:r>
      <w:r w:rsidR="004470A8">
        <w:t xml:space="preserve">market data and considered ratepayer value of the contract.  Based on this analysis and the confidential analysis provided in the Voyager and TGP AL, we </w:t>
      </w:r>
      <w:r w:rsidR="00727269">
        <w:t>find</w:t>
      </w:r>
      <w:r w:rsidR="004470A8">
        <w:t xml:space="preserve"> that </w:t>
      </w:r>
      <w:r w:rsidR="00AA09CC">
        <w:t xml:space="preserve">the TGP Sale Agreement’s price is reasonable.  We note, however, that this analysis differs from the Commission’s established rules for price reasonableness and that </w:t>
      </w:r>
      <w:r w:rsidR="00AA09CC" w:rsidRPr="00516EE6">
        <w:rPr>
          <w:u w:val="single"/>
        </w:rPr>
        <w:t xml:space="preserve">the analysis of the TGP Sale Agreement’s </w:t>
      </w:r>
      <w:r w:rsidR="00BB6E54" w:rsidRPr="00516EE6">
        <w:rPr>
          <w:u w:val="single"/>
        </w:rPr>
        <w:t>Price</w:t>
      </w:r>
      <w:r w:rsidR="00AA09CC" w:rsidRPr="00516EE6">
        <w:rPr>
          <w:u w:val="single"/>
        </w:rPr>
        <w:t xml:space="preserve"> reasonableness </w:t>
      </w:r>
      <w:r w:rsidR="00D57873" w:rsidRPr="00516EE6">
        <w:rPr>
          <w:u w:val="single"/>
        </w:rPr>
        <w:t>here is not precedential</w:t>
      </w:r>
      <w:r w:rsidR="00CE6357">
        <w:rPr>
          <w:u w:val="single"/>
        </w:rPr>
        <w:t xml:space="preserve">.  </w:t>
      </w:r>
      <w:r w:rsidR="00CE6357" w:rsidRPr="00225AF1">
        <w:rPr>
          <w:u w:val="single"/>
        </w:rPr>
        <w:t>The Commission has found that competitive processes maximize customer value.</w:t>
      </w:r>
      <w:r w:rsidR="009A7713">
        <w:rPr>
          <w:bCs/>
        </w:rPr>
        <w:t xml:space="preserve">  </w:t>
      </w:r>
      <w:r w:rsidRPr="00215936">
        <w:t>See Confidential Appendix A for a detailed discussion of the analysis</w:t>
      </w:r>
      <w:r w:rsidRPr="00215936">
        <w:rPr>
          <w:bCs/>
        </w:rPr>
        <w:t>.</w:t>
      </w:r>
    </w:p>
    <w:p w14:paraId="6A5AFC8D" w14:textId="77777777" w:rsidR="00035330" w:rsidRPr="00215936" w:rsidRDefault="00035330" w:rsidP="00035330">
      <w:pPr>
        <w:rPr>
          <w:u w:val="single"/>
        </w:rPr>
      </w:pPr>
    </w:p>
    <w:p w14:paraId="3F9796A6" w14:textId="1C012261" w:rsidR="00035330" w:rsidRPr="00215936" w:rsidRDefault="00035330" w:rsidP="00035330">
      <w:pPr>
        <w:rPr>
          <w:u w:val="single"/>
        </w:rPr>
      </w:pPr>
      <w:r w:rsidRPr="00215936">
        <w:rPr>
          <w:u w:val="single"/>
        </w:rPr>
        <w:t xml:space="preserve">The </w:t>
      </w:r>
      <w:r w:rsidR="00F048C7">
        <w:rPr>
          <w:u w:val="single"/>
        </w:rPr>
        <w:t>Voyager</w:t>
      </w:r>
      <w:r w:rsidRPr="00215936">
        <w:rPr>
          <w:u w:val="single"/>
        </w:rPr>
        <w:t xml:space="preserve"> PPA compares reasonably from a net market value and cost basis relative to RPS offers received in SCE’s 2014 RPS solicitation</w:t>
      </w:r>
      <w:r w:rsidRPr="00215936">
        <w:rPr>
          <w:bCs/>
          <w:u w:val="single"/>
        </w:rPr>
        <w:t xml:space="preserve"> and comparable contracts executed by SCE in the 12 months prior to executing the </w:t>
      </w:r>
      <w:r w:rsidR="00F048C7">
        <w:rPr>
          <w:bCs/>
          <w:u w:val="single"/>
        </w:rPr>
        <w:t>Voyager</w:t>
      </w:r>
      <w:r w:rsidRPr="00215936">
        <w:rPr>
          <w:bCs/>
          <w:u w:val="single"/>
        </w:rPr>
        <w:t xml:space="preserve"> PPA</w:t>
      </w:r>
      <w:r w:rsidRPr="00215936">
        <w:rPr>
          <w:u w:val="single"/>
        </w:rPr>
        <w:t xml:space="preserve">.  </w:t>
      </w:r>
    </w:p>
    <w:p w14:paraId="357B2796" w14:textId="77777777" w:rsidR="00035330" w:rsidRPr="00215936" w:rsidRDefault="00035330" w:rsidP="00035330">
      <w:pPr>
        <w:rPr>
          <w:u w:val="single"/>
        </w:rPr>
      </w:pPr>
    </w:p>
    <w:p w14:paraId="3762369D" w14:textId="7290B4D5" w:rsidR="00F3527A" w:rsidRDefault="00035330" w:rsidP="00F3527A">
      <w:pPr>
        <w:rPr>
          <w:u w:val="single"/>
        </w:rPr>
      </w:pPr>
      <w:r w:rsidRPr="00215936">
        <w:rPr>
          <w:u w:val="single"/>
        </w:rPr>
        <w:t xml:space="preserve">Payments made by SCE under the </w:t>
      </w:r>
      <w:r w:rsidR="00F048C7">
        <w:rPr>
          <w:bCs/>
          <w:u w:val="single"/>
        </w:rPr>
        <w:t>Voyager</w:t>
      </w:r>
      <w:r w:rsidRPr="00215936">
        <w:rPr>
          <w:bCs/>
          <w:u w:val="single"/>
        </w:rPr>
        <w:t xml:space="preserve"> </w:t>
      </w:r>
      <w:r w:rsidRPr="00215936">
        <w:rPr>
          <w:u w:val="single"/>
        </w:rPr>
        <w:t>PPA are fully recoverable in rates over the life of the PPA, subject to Commission review of SCE’s administration of the PPA and any other conditions contained herein or required by law.</w:t>
      </w:r>
    </w:p>
    <w:p w14:paraId="3C58B807" w14:textId="77777777" w:rsidR="001965F5" w:rsidRDefault="001965F5" w:rsidP="00F3527A">
      <w:pPr>
        <w:rPr>
          <w:u w:val="single"/>
        </w:rPr>
      </w:pPr>
    </w:p>
    <w:p w14:paraId="3298ACC6" w14:textId="3BC30B86" w:rsidR="001965F5" w:rsidRDefault="001965F5" w:rsidP="00F3527A">
      <w:pPr>
        <w:rPr>
          <w:u w:val="single"/>
        </w:rPr>
      </w:pPr>
      <w:r>
        <w:rPr>
          <w:u w:val="single"/>
        </w:rPr>
        <w:t xml:space="preserve">Payments received from TGP to SCE under the TGP Sale Agreement </w:t>
      </w:r>
      <w:r w:rsidR="004A1ED6">
        <w:rPr>
          <w:u w:val="single"/>
        </w:rPr>
        <w:t>shall be credited to SCE’s ratepayers through SCE’s ERRA over the term of the TGP Sale Agreement, subject to Commission review of SCE’s administration of the TGP Sale Agreement.</w:t>
      </w:r>
    </w:p>
    <w:p w14:paraId="33DB89CD" w14:textId="77777777" w:rsidR="0092632E" w:rsidRDefault="0092632E" w:rsidP="00F3527A">
      <w:pPr>
        <w:rPr>
          <w:u w:val="single"/>
        </w:rPr>
      </w:pPr>
    </w:p>
    <w:p w14:paraId="08424DE0" w14:textId="38BB459B" w:rsidR="0092632E" w:rsidRPr="00215936" w:rsidRDefault="0092632E" w:rsidP="00F3527A">
      <w:pPr>
        <w:rPr>
          <w:bCs/>
        </w:rPr>
      </w:pPr>
      <w:r>
        <w:rPr>
          <w:u w:val="single"/>
        </w:rPr>
        <w:t>SCE is required to demonstrate in its ERRA review proceedings that its least-cost dispatch processes, operations, and related spot market transactions comply with all applicable Standards of Conduct (SOC) (including SOC No. 4 concerning least-cost dispatch obligations).  SCE shall record the transaction authorized in this Resolution in its ERRA Balancing Accounts, and this transaction shall be subject to the Commission’s ERRA review processes.</w:t>
      </w:r>
    </w:p>
    <w:p w14:paraId="4A378EBE" w14:textId="77777777" w:rsidR="002D1D2C" w:rsidRPr="00215936" w:rsidRDefault="002D1D2C" w:rsidP="00F3527A">
      <w:pPr>
        <w:pStyle w:val="BodyText"/>
        <w:keepNext/>
        <w:spacing w:before="240" w:after="120" w:line="23" w:lineRule="atLeast"/>
        <w:rPr>
          <w:bCs/>
        </w:rPr>
      </w:pPr>
      <w:r w:rsidRPr="00215936">
        <w:rPr>
          <w:bCs/>
        </w:rPr>
        <w:lastRenderedPageBreak/>
        <w:t>Compliance with the Interim Greenhouse Gas Emissions Performance Standard</w:t>
      </w:r>
      <w:r w:rsidR="003052BA" w:rsidRPr="00215936">
        <w:rPr>
          <w:bCs/>
        </w:rPr>
        <w:t xml:space="preserve"> (EPS)</w:t>
      </w:r>
    </w:p>
    <w:p w14:paraId="506BDA53" w14:textId="6244E382" w:rsidR="00460B98" w:rsidRPr="00215936" w:rsidRDefault="00C21B3D" w:rsidP="00F3527A">
      <w:pPr>
        <w:pStyle w:val="BodyText"/>
        <w:spacing w:line="23" w:lineRule="atLeast"/>
        <w:rPr>
          <w:b w:val="0"/>
          <w:szCs w:val="26"/>
        </w:rPr>
      </w:pPr>
      <w:r w:rsidRPr="00215936">
        <w:rPr>
          <w:b w:val="0"/>
        </w:rPr>
        <w:t xml:space="preserve">Sections </w:t>
      </w:r>
      <w:r w:rsidR="002D1D2C" w:rsidRPr="00215936">
        <w:rPr>
          <w:b w:val="0"/>
        </w:rPr>
        <w:t xml:space="preserve">8340 and 8341 require that the Commission consider emissions costs associated with new long-term (five years or greater) baseload power contracts </w:t>
      </w:r>
      <w:r w:rsidR="002D1D2C" w:rsidRPr="00215936">
        <w:rPr>
          <w:b w:val="0"/>
          <w:szCs w:val="26"/>
        </w:rPr>
        <w:t>procured on behalf of California ratepayers.</w:t>
      </w:r>
      <w:r w:rsidR="002D1D2C" w:rsidRPr="00215936">
        <w:rPr>
          <w:rStyle w:val="FootnoteReference"/>
          <w:b w:val="0"/>
        </w:rPr>
        <w:footnoteReference w:id="18"/>
      </w:r>
    </w:p>
    <w:p w14:paraId="54A3910C" w14:textId="77777777" w:rsidR="002D1D2C" w:rsidRPr="00215936" w:rsidRDefault="002D1D2C" w:rsidP="00F3527A">
      <w:pPr>
        <w:pStyle w:val="BodyText"/>
        <w:spacing w:line="23" w:lineRule="atLeast"/>
        <w:rPr>
          <w:b w:val="0"/>
        </w:rPr>
      </w:pPr>
      <w:r w:rsidRPr="00215936">
        <w:rPr>
          <w:b w:val="0"/>
        </w:rPr>
        <w:t xml:space="preserve"> </w:t>
      </w:r>
    </w:p>
    <w:p w14:paraId="22004C9B" w14:textId="77777777" w:rsidR="002D1D2C" w:rsidRPr="00215936" w:rsidRDefault="002D1D2C" w:rsidP="00F3527A">
      <w:pPr>
        <w:pStyle w:val="BodyText"/>
        <w:spacing w:line="23" w:lineRule="atLeast"/>
        <w:rPr>
          <w:b w:val="0"/>
        </w:rPr>
      </w:pPr>
      <w:r w:rsidRPr="00215936">
        <w:rPr>
          <w:b w:val="0"/>
        </w:rPr>
        <w:t>D.07-01-039 adopted an interim EPS that establishes an emission rate for obligated facilities at levels no greater than the greenhouse gas emissions of a combined-cycle gas turbine power plant. Generating facilities using certain renewable resources are deemed compliant with the EPS.</w:t>
      </w:r>
      <w:r w:rsidRPr="00215936">
        <w:rPr>
          <w:rStyle w:val="FootnoteReference"/>
          <w:b w:val="0"/>
        </w:rPr>
        <w:footnoteReference w:id="19"/>
      </w:r>
    </w:p>
    <w:p w14:paraId="0087A896" w14:textId="77777777" w:rsidR="00460B98" w:rsidRPr="00215936" w:rsidRDefault="00460B98" w:rsidP="00F3527A">
      <w:pPr>
        <w:pStyle w:val="BodyText"/>
        <w:spacing w:line="23" w:lineRule="atLeast"/>
        <w:rPr>
          <w:b w:val="0"/>
        </w:rPr>
      </w:pPr>
    </w:p>
    <w:p w14:paraId="6F5B2089" w14:textId="036A16B1" w:rsidR="002D1D2C" w:rsidRDefault="002D1D2C" w:rsidP="00F3527A">
      <w:pPr>
        <w:pStyle w:val="BodyText"/>
        <w:spacing w:line="23" w:lineRule="atLeast"/>
        <w:rPr>
          <w:b w:val="0"/>
          <w:u w:val="single"/>
        </w:rPr>
      </w:pPr>
      <w:r w:rsidRPr="00215936">
        <w:rPr>
          <w:b w:val="0"/>
          <w:u w:val="single"/>
        </w:rPr>
        <w:t xml:space="preserve">The </w:t>
      </w:r>
      <w:r w:rsidR="00F048C7">
        <w:rPr>
          <w:b w:val="0"/>
          <w:u w:val="single"/>
        </w:rPr>
        <w:t>Voyager</w:t>
      </w:r>
      <w:r w:rsidRPr="00215936">
        <w:rPr>
          <w:b w:val="0"/>
          <w:u w:val="single"/>
        </w:rPr>
        <w:t xml:space="preserve"> PPA is not covered procurement subject to the EPS because the generating facility has a forecast annualized capacity factor of less than 60 percent and therefore is not baseload generation under paragraphs 1(a)(ii) and 3(2)(a) of the Adopted Interim EPS Rules.</w:t>
      </w:r>
    </w:p>
    <w:p w14:paraId="4231070F" w14:textId="77777777" w:rsidR="00731852" w:rsidRDefault="00731852" w:rsidP="00F3527A">
      <w:pPr>
        <w:pStyle w:val="BodyText"/>
        <w:spacing w:line="23" w:lineRule="atLeast"/>
        <w:rPr>
          <w:b w:val="0"/>
          <w:u w:val="single"/>
        </w:rPr>
      </w:pPr>
    </w:p>
    <w:p w14:paraId="6DE8991F" w14:textId="0F472FD4" w:rsidR="00731852" w:rsidRPr="00215936" w:rsidRDefault="00731852" w:rsidP="00F3527A">
      <w:pPr>
        <w:pStyle w:val="BodyText"/>
        <w:spacing w:line="23" w:lineRule="atLeast"/>
        <w:rPr>
          <w:b w:val="0"/>
          <w:u w:val="single"/>
        </w:rPr>
      </w:pPr>
      <w:r>
        <w:rPr>
          <w:b w:val="0"/>
          <w:u w:val="single"/>
        </w:rPr>
        <w:t>The EPS is not applicable to the TGP Sale Agreement because it has a delivery term of less than five years.</w:t>
      </w:r>
    </w:p>
    <w:p w14:paraId="53936FAF" w14:textId="77777777" w:rsidR="00417978" w:rsidRPr="00215936" w:rsidRDefault="00417978" w:rsidP="00C66E5B">
      <w:pPr>
        <w:pStyle w:val="BodyText"/>
        <w:spacing w:line="23" w:lineRule="atLeast"/>
        <w:rPr>
          <w:b w:val="0"/>
          <w:u w:val="single"/>
        </w:rPr>
      </w:pPr>
    </w:p>
    <w:p w14:paraId="04A7C368" w14:textId="77777777" w:rsidR="00C66E5B" w:rsidRPr="00215936" w:rsidRDefault="00C66E5B" w:rsidP="00460B98">
      <w:pPr>
        <w:keepNext/>
        <w:autoSpaceDE w:val="0"/>
        <w:autoSpaceDN w:val="0"/>
        <w:adjustRightInd w:val="0"/>
        <w:spacing w:after="120"/>
        <w:rPr>
          <w:b/>
        </w:rPr>
      </w:pPr>
      <w:r w:rsidRPr="00215936">
        <w:rPr>
          <w:b/>
        </w:rPr>
        <w:t>PPA Viability and Project Development Status</w:t>
      </w:r>
    </w:p>
    <w:p w14:paraId="706747BF" w14:textId="676C8E81" w:rsidR="00140FE7" w:rsidRDefault="00373EA8" w:rsidP="009A7ADA">
      <w:pPr>
        <w:pStyle w:val="BodyText"/>
        <w:spacing w:after="240"/>
        <w:rPr>
          <w:b w:val="0"/>
          <w:bCs/>
          <w:szCs w:val="26"/>
        </w:rPr>
      </w:pPr>
      <w:r w:rsidRPr="00215936">
        <w:rPr>
          <w:b w:val="0"/>
          <w:bCs/>
          <w:szCs w:val="26"/>
        </w:rPr>
        <w:t xml:space="preserve">SCE </w:t>
      </w:r>
      <w:r w:rsidR="00403E4A">
        <w:rPr>
          <w:b w:val="0"/>
          <w:bCs/>
          <w:szCs w:val="26"/>
        </w:rPr>
        <w:t xml:space="preserve">stated </w:t>
      </w:r>
      <w:r w:rsidR="00802970">
        <w:rPr>
          <w:b w:val="0"/>
          <w:bCs/>
          <w:szCs w:val="26"/>
        </w:rPr>
        <w:t>i</w:t>
      </w:r>
      <w:r w:rsidR="00802970" w:rsidRPr="00215936">
        <w:rPr>
          <w:b w:val="0"/>
          <w:bCs/>
          <w:szCs w:val="26"/>
        </w:rPr>
        <w:t xml:space="preserve">n the </w:t>
      </w:r>
      <w:r w:rsidR="00802970">
        <w:rPr>
          <w:b w:val="0"/>
          <w:bCs/>
          <w:szCs w:val="26"/>
        </w:rPr>
        <w:t>Voyager and TGP AL</w:t>
      </w:r>
      <w:r w:rsidR="00802970" w:rsidRPr="00215936">
        <w:rPr>
          <w:b w:val="0"/>
          <w:bCs/>
          <w:szCs w:val="26"/>
        </w:rPr>
        <w:t xml:space="preserve"> </w:t>
      </w:r>
      <w:r w:rsidR="00403E4A">
        <w:rPr>
          <w:b w:val="0"/>
          <w:bCs/>
          <w:szCs w:val="26"/>
        </w:rPr>
        <w:t>that part of its</w:t>
      </w:r>
      <w:r w:rsidR="005D5BA9" w:rsidRPr="005D5BA9">
        <w:rPr>
          <w:b w:val="0"/>
          <w:bCs/>
          <w:szCs w:val="26"/>
        </w:rPr>
        <w:t xml:space="preserve"> evaluation </w:t>
      </w:r>
      <w:r w:rsidR="00403E4A">
        <w:rPr>
          <w:b w:val="0"/>
          <w:bCs/>
          <w:szCs w:val="26"/>
        </w:rPr>
        <w:t xml:space="preserve">of bids included </w:t>
      </w:r>
      <w:r w:rsidR="005D5BA9" w:rsidRPr="005D5BA9">
        <w:rPr>
          <w:b w:val="0"/>
          <w:bCs/>
          <w:szCs w:val="26"/>
        </w:rPr>
        <w:t xml:space="preserve">the </w:t>
      </w:r>
      <w:r w:rsidR="00403E4A">
        <w:rPr>
          <w:b w:val="0"/>
          <w:bCs/>
          <w:szCs w:val="26"/>
        </w:rPr>
        <w:t xml:space="preserve">use of </w:t>
      </w:r>
      <w:r w:rsidR="005D5BA9" w:rsidRPr="005D5BA9">
        <w:rPr>
          <w:b w:val="0"/>
          <w:bCs/>
          <w:szCs w:val="26"/>
        </w:rPr>
        <w:t>the Commission-approved project viability calculator, which uses standardized criteria to quantify a project's strengths and weaknesses in key areas of renewable project development</w:t>
      </w:r>
      <w:r w:rsidR="00403E4A">
        <w:rPr>
          <w:b w:val="0"/>
          <w:bCs/>
          <w:szCs w:val="26"/>
        </w:rPr>
        <w:t xml:space="preserve"> to assess certain </w:t>
      </w:r>
      <w:r w:rsidR="00140FE7">
        <w:rPr>
          <w:b w:val="0"/>
          <w:bCs/>
          <w:szCs w:val="26"/>
        </w:rPr>
        <w:t xml:space="preserve">project development factors.  See Confidential Appendix A for SCE’s and the IE’s project viability scores.  </w:t>
      </w:r>
    </w:p>
    <w:p w14:paraId="06726E1A" w14:textId="4B4BFF21" w:rsidR="00373EA8" w:rsidRPr="00215936" w:rsidRDefault="00140FE7" w:rsidP="009A7ADA">
      <w:pPr>
        <w:pStyle w:val="BodyText"/>
        <w:spacing w:after="240"/>
        <w:rPr>
          <w:b w:val="0"/>
          <w:bCs/>
          <w:szCs w:val="26"/>
        </w:rPr>
      </w:pPr>
      <w:r>
        <w:rPr>
          <w:b w:val="0"/>
          <w:bCs/>
          <w:szCs w:val="26"/>
        </w:rPr>
        <w:t xml:space="preserve">In addition, the </w:t>
      </w:r>
      <w:r w:rsidR="009A7ADA">
        <w:rPr>
          <w:b w:val="0"/>
          <w:bCs/>
          <w:szCs w:val="26"/>
        </w:rPr>
        <w:t>Voyager and TGP AL</w:t>
      </w:r>
      <w:r>
        <w:rPr>
          <w:b w:val="0"/>
          <w:bCs/>
          <w:szCs w:val="26"/>
        </w:rPr>
        <w:t xml:space="preserve"> </w:t>
      </w:r>
      <w:r w:rsidR="00373EA8" w:rsidRPr="00215936">
        <w:rPr>
          <w:b w:val="0"/>
          <w:bCs/>
          <w:szCs w:val="26"/>
        </w:rPr>
        <w:t xml:space="preserve">describes the proposed </w:t>
      </w:r>
      <w:r w:rsidR="00F048C7">
        <w:rPr>
          <w:b w:val="0"/>
          <w:bCs/>
          <w:szCs w:val="26"/>
        </w:rPr>
        <w:t>Voyager</w:t>
      </w:r>
      <w:r w:rsidR="00373EA8" w:rsidRPr="00215936">
        <w:rPr>
          <w:b w:val="0"/>
          <w:bCs/>
          <w:szCs w:val="26"/>
        </w:rPr>
        <w:t xml:space="preserve"> </w:t>
      </w:r>
      <w:r w:rsidR="00C2588C">
        <w:rPr>
          <w:b w:val="0"/>
          <w:bCs/>
          <w:szCs w:val="26"/>
        </w:rPr>
        <w:t>P</w:t>
      </w:r>
      <w:r w:rsidR="00373EA8" w:rsidRPr="00215936">
        <w:rPr>
          <w:b w:val="0"/>
          <w:bCs/>
          <w:szCs w:val="26"/>
        </w:rPr>
        <w:t>roject and its developmental progress to illustrate the project and PPA viability:</w:t>
      </w:r>
    </w:p>
    <w:p w14:paraId="262D3DCC" w14:textId="12B28FE7" w:rsidR="00C66E5B" w:rsidRPr="00215936" w:rsidRDefault="00C66E5B">
      <w:pPr>
        <w:pStyle w:val="BodyText"/>
        <w:numPr>
          <w:ilvl w:val="0"/>
          <w:numId w:val="25"/>
        </w:numPr>
        <w:spacing w:after="120"/>
      </w:pPr>
      <w:r w:rsidRPr="00215936">
        <w:rPr>
          <w:b w:val="0"/>
          <w:bCs/>
          <w:szCs w:val="26"/>
          <w:u w:val="single"/>
        </w:rPr>
        <w:lastRenderedPageBreak/>
        <w:t>Developer</w:t>
      </w:r>
      <w:r w:rsidR="00AC40DB" w:rsidRPr="00215936">
        <w:rPr>
          <w:b w:val="0"/>
          <w:bCs/>
          <w:szCs w:val="26"/>
          <w:u w:val="single"/>
        </w:rPr>
        <w:t xml:space="preserve"> </w:t>
      </w:r>
      <w:r w:rsidR="00DA3503" w:rsidRPr="00215936">
        <w:rPr>
          <w:b w:val="0"/>
          <w:bCs/>
          <w:szCs w:val="26"/>
          <w:u w:val="single"/>
        </w:rPr>
        <w:t>Experience</w:t>
      </w:r>
      <w:r w:rsidR="00DA3503" w:rsidRPr="00215936">
        <w:rPr>
          <w:b w:val="0"/>
          <w:bCs/>
          <w:szCs w:val="26"/>
        </w:rPr>
        <w:t>: The</w:t>
      </w:r>
      <w:r w:rsidRPr="00215936">
        <w:rPr>
          <w:b w:val="0"/>
          <w:bCs/>
          <w:szCs w:val="26"/>
        </w:rPr>
        <w:t xml:space="preserve"> </w:t>
      </w:r>
      <w:r w:rsidR="00F048C7">
        <w:rPr>
          <w:b w:val="0"/>
          <w:bCs/>
          <w:szCs w:val="26"/>
        </w:rPr>
        <w:t>Voyager</w:t>
      </w:r>
      <w:r w:rsidR="00E43844" w:rsidRPr="00215936">
        <w:rPr>
          <w:b w:val="0"/>
          <w:bCs/>
          <w:szCs w:val="26"/>
        </w:rPr>
        <w:t xml:space="preserve"> </w:t>
      </w:r>
      <w:r w:rsidRPr="00215936">
        <w:rPr>
          <w:b w:val="0"/>
          <w:bCs/>
          <w:szCs w:val="26"/>
        </w:rPr>
        <w:t xml:space="preserve">facility is </w:t>
      </w:r>
      <w:r w:rsidR="000D54AB" w:rsidRPr="00215936">
        <w:rPr>
          <w:b w:val="0"/>
          <w:bCs/>
          <w:szCs w:val="26"/>
        </w:rPr>
        <w:t xml:space="preserve">being </w:t>
      </w:r>
      <w:r w:rsidRPr="00215936">
        <w:rPr>
          <w:b w:val="0"/>
          <w:bCs/>
          <w:szCs w:val="26"/>
        </w:rPr>
        <w:t>developed by</w:t>
      </w:r>
      <w:r w:rsidR="00B01555" w:rsidRPr="00215936">
        <w:rPr>
          <w:b w:val="0"/>
          <w:bCs/>
          <w:szCs w:val="26"/>
        </w:rPr>
        <w:t xml:space="preserve"> </w:t>
      </w:r>
      <w:r w:rsidR="00B552DA">
        <w:rPr>
          <w:b w:val="0"/>
          <w:bCs/>
          <w:szCs w:val="26"/>
        </w:rPr>
        <w:t xml:space="preserve">Terra-gen, </w:t>
      </w:r>
      <w:r w:rsidR="00B01555" w:rsidRPr="00215936">
        <w:rPr>
          <w:b w:val="0"/>
          <w:bCs/>
          <w:szCs w:val="26"/>
        </w:rPr>
        <w:t xml:space="preserve">which </w:t>
      </w:r>
      <w:r w:rsidR="00B552DA">
        <w:rPr>
          <w:b w:val="0"/>
          <w:bCs/>
          <w:szCs w:val="26"/>
        </w:rPr>
        <w:t>has significant</w:t>
      </w:r>
      <w:r w:rsidR="00E73833" w:rsidRPr="00215936">
        <w:rPr>
          <w:b w:val="0"/>
          <w:bCs/>
          <w:szCs w:val="26"/>
        </w:rPr>
        <w:t xml:space="preserve"> </w:t>
      </w:r>
      <w:r w:rsidR="00B552DA" w:rsidRPr="00215936">
        <w:rPr>
          <w:b w:val="0"/>
          <w:bCs/>
          <w:szCs w:val="26"/>
        </w:rPr>
        <w:t>experience</w:t>
      </w:r>
      <w:r w:rsidR="00B552DA">
        <w:rPr>
          <w:b w:val="0"/>
          <w:bCs/>
          <w:szCs w:val="26"/>
        </w:rPr>
        <w:t xml:space="preserve"> in developing and operating renewable energy projects</w:t>
      </w:r>
      <w:r w:rsidR="000D54AB" w:rsidRPr="00215936">
        <w:rPr>
          <w:b w:val="0"/>
          <w:bCs/>
          <w:szCs w:val="26"/>
        </w:rPr>
        <w:t xml:space="preserve">.  </w:t>
      </w:r>
      <w:r w:rsidR="00B552DA">
        <w:rPr>
          <w:b w:val="0"/>
          <w:bCs/>
          <w:szCs w:val="26"/>
        </w:rPr>
        <w:t>Terra-gen</w:t>
      </w:r>
      <w:r w:rsidR="00B552DA" w:rsidRPr="00215936">
        <w:rPr>
          <w:b w:val="0"/>
          <w:bCs/>
          <w:szCs w:val="26"/>
        </w:rPr>
        <w:t xml:space="preserve"> </w:t>
      </w:r>
      <w:r w:rsidR="000D54AB" w:rsidRPr="00215936">
        <w:rPr>
          <w:b w:val="0"/>
          <w:bCs/>
          <w:szCs w:val="26"/>
        </w:rPr>
        <w:t xml:space="preserve">owns and operates </w:t>
      </w:r>
      <w:r w:rsidR="00B552DA">
        <w:rPr>
          <w:b w:val="0"/>
          <w:bCs/>
          <w:szCs w:val="26"/>
        </w:rPr>
        <w:t>approximately</w:t>
      </w:r>
      <w:r w:rsidR="00E73833" w:rsidRPr="00215936">
        <w:rPr>
          <w:b w:val="0"/>
          <w:bCs/>
          <w:szCs w:val="26"/>
        </w:rPr>
        <w:t xml:space="preserve"> </w:t>
      </w:r>
      <w:r w:rsidR="00B552DA">
        <w:rPr>
          <w:b w:val="0"/>
          <w:bCs/>
          <w:szCs w:val="26"/>
        </w:rPr>
        <w:t>973</w:t>
      </w:r>
      <w:r w:rsidR="00E73833" w:rsidRPr="00215936">
        <w:rPr>
          <w:b w:val="0"/>
          <w:bCs/>
          <w:szCs w:val="26"/>
        </w:rPr>
        <w:t xml:space="preserve"> MW of wind</w:t>
      </w:r>
      <w:r w:rsidR="00B552DA">
        <w:rPr>
          <w:b w:val="0"/>
          <w:bCs/>
          <w:szCs w:val="26"/>
        </w:rPr>
        <w:t xml:space="preserve">, </w:t>
      </w:r>
      <w:r w:rsidR="00E73833" w:rsidRPr="00215936">
        <w:rPr>
          <w:b w:val="0"/>
          <w:bCs/>
          <w:szCs w:val="26"/>
        </w:rPr>
        <w:t>solar</w:t>
      </w:r>
      <w:r w:rsidR="00B552DA">
        <w:rPr>
          <w:b w:val="0"/>
          <w:bCs/>
          <w:szCs w:val="26"/>
        </w:rPr>
        <w:t>, and geothermal</w:t>
      </w:r>
      <w:r w:rsidR="00E73833" w:rsidRPr="00215936">
        <w:rPr>
          <w:b w:val="0"/>
          <w:bCs/>
          <w:szCs w:val="26"/>
        </w:rPr>
        <w:t xml:space="preserve"> </w:t>
      </w:r>
      <w:r w:rsidR="000D54AB" w:rsidRPr="00215936">
        <w:rPr>
          <w:b w:val="0"/>
          <w:bCs/>
          <w:szCs w:val="26"/>
        </w:rPr>
        <w:t>generatin</w:t>
      </w:r>
      <w:r w:rsidR="00E73833" w:rsidRPr="00215936">
        <w:rPr>
          <w:b w:val="0"/>
          <w:bCs/>
          <w:szCs w:val="26"/>
        </w:rPr>
        <w:t>g</w:t>
      </w:r>
      <w:r w:rsidR="000D54AB" w:rsidRPr="00215936">
        <w:rPr>
          <w:b w:val="0"/>
          <w:bCs/>
          <w:szCs w:val="26"/>
        </w:rPr>
        <w:t xml:space="preserve"> facilities</w:t>
      </w:r>
      <w:r w:rsidR="00B552DA">
        <w:rPr>
          <w:b w:val="0"/>
          <w:bCs/>
          <w:szCs w:val="26"/>
        </w:rPr>
        <w:t xml:space="preserve"> and provide</w:t>
      </w:r>
      <w:r w:rsidR="00727269">
        <w:rPr>
          <w:b w:val="0"/>
          <w:bCs/>
          <w:szCs w:val="26"/>
        </w:rPr>
        <w:t>s</w:t>
      </w:r>
      <w:r w:rsidR="00B552DA">
        <w:rPr>
          <w:b w:val="0"/>
          <w:bCs/>
          <w:szCs w:val="26"/>
        </w:rPr>
        <w:t xml:space="preserve"> operations and maintenance services for about 2,099 MW of renewable generating assets</w:t>
      </w:r>
      <w:r w:rsidR="00FF7CEC" w:rsidRPr="00215936">
        <w:rPr>
          <w:b w:val="0"/>
          <w:bCs/>
          <w:szCs w:val="26"/>
        </w:rPr>
        <w:t>.</w:t>
      </w:r>
      <w:r w:rsidR="00FF7CEC" w:rsidRPr="00215936">
        <w:t xml:space="preserve">  </w:t>
      </w:r>
    </w:p>
    <w:p w14:paraId="08143256" w14:textId="6E1F5901" w:rsidR="00C66E5B" w:rsidRPr="00215936" w:rsidRDefault="00C66E5B">
      <w:pPr>
        <w:pStyle w:val="ListParagraph"/>
        <w:numPr>
          <w:ilvl w:val="0"/>
          <w:numId w:val="25"/>
        </w:numPr>
        <w:spacing w:after="120"/>
        <w:rPr>
          <w:szCs w:val="26"/>
          <w:u w:val="single"/>
        </w:rPr>
      </w:pPr>
      <w:r w:rsidRPr="00215936">
        <w:rPr>
          <w:szCs w:val="26"/>
          <w:u w:val="single"/>
        </w:rPr>
        <w:t>Technology and Quality of Resource</w:t>
      </w:r>
      <w:r w:rsidRPr="00215936">
        <w:rPr>
          <w:szCs w:val="26"/>
        </w:rPr>
        <w:t>:</w:t>
      </w:r>
      <w:r w:rsidR="00DA3503" w:rsidRPr="00215936">
        <w:rPr>
          <w:szCs w:val="26"/>
        </w:rPr>
        <w:t xml:space="preserve"> </w:t>
      </w:r>
      <w:r w:rsidR="005C56E6" w:rsidRPr="00215936">
        <w:t>T</w:t>
      </w:r>
      <w:r w:rsidR="00977A6C" w:rsidRPr="00215936">
        <w:t xml:space="preserve">he </w:t>
      </w:r>
      <w:r w:rsidR="00F048C7">
        <w:t>Voyager</w:t>
      </w:r>
      <w:r w:rsidR="009D5317" w:rsidRPr="00215936">
        <w:t xml:space="preserve"> facility</w:t>
      </w:r>
      <w:r w:rsidR="009D5317" w:rsidRPr="00215936" w:rsidDel="009D5317">
        <w:t xml:space="preserve"> </w:t>
      </w:r>
      <w:r w:rsidR="00977A6C" w:rsidRPr="00215936">
        <w:t>will use</w:t>
      </w:r>
      <w:r w:rsidR="0078769C" w:rsidRPr="00215936">
        <w:t xml:space="preserve"> </w:t>
      </w:r>
      <w:r w:rsidR="00E73833" w:rsidRPr="00215936">
        <w:t>wind turbines</w:t>
      </w:r>
      <w:r w:rsidR="00977A6C" w:rsidRPr="00215936">
        <w:t xml:space="preserve"> </w:t>
      </w:r>
      <w:r w:rsidR="003052BA" w:rsidRPr="00215936">
        <w:t>that have been technically proven</w:t>
      </w:r>
      <w:r w:rsidR="00977A6C" w:rsidRPr="00215936">
        <w:t xml:space="preserve"> on utility-scale generation projects</w:t>
      </w:r>
      <w:r w:rsidRPr="00215936">
        <w:t>.</w:t>
      </w:r>
    </w:p>
    <w:p w14:paraId="4D0BA2AA" w14:textId="7EC30330" w:rsidR="00C66E5B" w:rsidRPr="00516EE6" w:rsidRDefault="00C66E5B" w:rsidP="00516EE6">
      <w:pPr>
        <w:pStyle w:val="BodyText"/>
        <w:numPr>
          <w:ilvl w:val="0"/>
          <w:numId w:val="25"/>
        </w:numPr>
        <w:spacing w:after="120"/>
        <w:rPr>
          <w:bCs/>
          <w:szCs w:val="26"/>
          <w:u w:val="single"/>
        </w:rPr>
      </w:pPr>
      <w:r w:rsidRPr="00516EE6">
        <w:rPr>
          <w:b w:val="0"/>
          <w:bCs/>
          <w:szCs w:val="26"/>
          <w:u w:val="single"/>
        </w:rPr>
        <w:t xml:space="preserve">Site Control and Permitting </w:t>
      </w:r>
      <w:r w:rsidR="00DA3503" w:rsidRPr="00516EE6">
        <w:rPr>
          <w:b w:val="0"/>
          <w:bCs/>
          <w:szCs w:val="26"/>
          <w:u w:val="single"/>
        </w:rPr>
        <w:t>Status: The</w:t>
      </w:r>
      <w:r w:rsidR="00282BFB" w:rsidRPr="00516EE6">
        <w:rPr>
          <w:b w:val="0"/>
          <w:bCs/>
          <w:szCs w:val="26"/>
          <w:u w:val="single"/>
        </w:rPr>
        <w:t xml:space="preserve"> </w:t>
      </w:r>
      <w:r w:rsidR="00F048C7" w:rsidRPr="00516EE6">
        <w:rPr>
          <w:b w:val="0"/>
          <w:bCs/>
          <w:szCs w:val="26"/>
          <w:u w:val="single"/>
        </w:rPr>
        <w:t>Voyager</w:t>
      </w:r>
      <w:r w:rsidR="009D5317" w:rsidRPr="00516EE6">
        <w:rPr>
          <w:b w:val="0"/>
          <w:bCs/>
          <w:szCs w:val="26"/>
          <w:u w:val="single"/>
        </w:rPr>
        <w:t xml:space="preserve"> facility</w:t>
      </w:r>
      <w:r w:rsidR="009D5317" w:rsidRPr="00516EE6" w:rsidDel="009D5317">
        <w:rPr>
          <w:b w:val="0"/>
          <w:bCs/>
          <w:szCs w:val="26"/>
          <w:u w:val="single"/>
        </w:rPr>
        <w:t xml:space="preserve"> </w:t>
      </w:r>
      <w:r w:rsidR="00B72B33" w:rsidRPr="00516EE6">
        <w:rPr>
          <w:b w:val="0"/>
          <w:bCs/>
          <w:szCs w:val="26"/>
          <w:u w:val="single"/>
        </w:rPr>
        <w:t>will be</w:t>
      </w:r>
      <w:r w:rsidR="00282BFB" w:rsidRPr="00516EE6">
        <w:rPr>
          <w:b w:val="0"/>
          <w:bCs/>
          <w:szCs w:val="26"/>
          <w:u w:val="single"/>
        </w:rPr>
        <w:t xml:space="preserve"> located </w:t>
      </w:r>
      <w:r w:rsidR="0073077D" w:rsidRPr="00516EE6">
        <w:rPr>
          <w:b w:val="0"/>
          <w:bCs/>
          <w:szCs w:val="26"/>
          <w:u w:val="single"/>
        </w:rPr>
        <w:t xml:space="preserve">in </w:t>
      </w:r>
      <w:r w:rsidR="00FB3485" w:rsidRPr="00516EE6">
        <w:rPr>
          <w:b w:val="0"/>
          <w:bCs/>
          <w:szCs w:val="26"/>
          <w:u w:val="single"/>
        </w:rPr>
        <w:t xml:space="preserve">Kern County, CA </w:t>
      </w:r>
      <w:r w:rsidR="00516EE6" w:rsidRPr="00516EE6">
        <w:rPr>
          <w:b w:val="0"/>
          <w:bCs/>
          <w:szCs w:val="26"/>
          <w:u w:val="single"/>
        </w:rPr>
        <w:t>on two separate sites between Mojave and Tehachapi</w:t>
      </w:r>
      <w:r w:rsidR="00FB3485" w:rsidRPr="00516EE6">
        <w:rPr>
          <w:b w:val="0"/>
          <w:bCs/>
          <w:szCs w:val="26"/>
          <w:u w:val="single"/>
        </w:rPr>
        <w:t>.  Terra-gen will secure full site control via leases and sub-leases with private parties</w:t>
      </w:r>
      <w:r w:rsidR="00E71C3F" w:rsidRPr="00516EE6">
        <w:rPr>
          <w:b w:val="0"/>
          <w:bCs/>
          <w:szCs w:val="26"/>
          <w:u w:val="single"/>
        </w:rPr>
        <w:t>.</w:t>
      </w:r>
      <w:r w:rsidR="00B74E29" w:rsidRPr="00516EE6">
        <w:rPr>
          <w:b w:val="0"/>
          <w:bCs/>
          <w:szCs w:val="26"/>
          <w:u w:val="single"/>
        </w:rPr>
        <w:t xml:space="preserve">  The required permits will be filed with the appropriate authorities.</w:t>
      </w:r>
      <w:r w:rsidR="00B74E29" w:rsidRPr="007C3DB8">
        <w:rPr>
          <w:rStyle w:val="FootnoteReference"/>
        </w:rPr>
        <w:footnoteReference w:id="20"/>
      </w:r>
    </w:p>
    <w:p w14:paraId="3E3D7FE7" w14:textId="176BFFF2" w:rsidR="00F456EC" w:rsidRPr="00215936" w:rsidRDefault="00C66E5B" w:rsidP="00516EE6">
      <w:pPr>
        <w:pStyle w:val="ListParagraph"/>
        <w:numPr>
          <w:ilvl w:val="0"/>
          <w:numId w:val="25"/>
        </w:numPr>
        <w:autoSpaceDE w:val="0"/>
        <w:autoSpaceDN w:val="0"/>
        <w:adjustRightInd w:val="0"/>
        <w:spacing w:after="120"/>
      </w:pPr>
      <w:r w:rsidRPr="00215936">
        <w:rPr>
          <w:u w:val="single"/>
        </w:rPr>
        <w:t>Interconnection Status</w:t>
      </w:r>
      <w:r w:rsidRPr="00215936">
        <w:t>:</w:t>
      </w:r>
      <w:r w:rsidR="00DA3503" w:rsidRPr="00215936">
        <w:t xml:space="preserve"> </w:t>
      </w:r>
      <w:r w:rsidR="00CA28F8" w:rsidRPr="00215936">
        <w:t xml:space="preserve">The </w:t>
      </w:r>
      <w:r w:rsidR="00F048C7">
        <w:t>Voyager</w:t>
      </w:r>
      <w:r w:rsidR="00CA28F8" w:rsidRPr="00215936">
        <w:t xml:space="preserve"> </w:t>
      </w:r>
      <w:r w:rsidR="008B2269">
        <w:t>facility</w:t>
      </w:r>
      <w:r w:rsidR="00CA28F8" w:rsidRPr="00215936">
        <w:t xml:space="preserve"> will interconnect </w:t>
      </w:r>
      <w:r w:rsidR="0073077D" w:rsidRPr="00215936">
        <w:t xml:space="preserve">to </w:t>
      </w:r>
      <w:r w:rsidR="00D75F69">
        <w:t>SCE’s</w:t>
      </w:r>
      <w:r w:rsidR="00D75F69" w:rsidRPr="00215936">
        <w:t xml:space="preserve"> </w:t>
      </w:r>
      <w:r w:rsidR="00B74E29">
        <w:t>220</w:t>
      </w:r>
      <w:r w:rsidR="00B74E29" w:rsidRPr="00215936">
        <w:t xml:space="preserve"> </w:t>
      </w:r>
      <w:r w:rsidR="0073077D" w:rsidRPr="00215936">
        <w:t xml:space="preserve">kV </w:t>
      </w:r>
      <w:r w:rsidR="00B74E29">
        <w:t>Windhub Substation</w:t>
      </w:r>
      <w:r w:rsidR="00D75F69">
        <w:t xml:space="preserve"> via the existing Tehachapi Renewable Transmission Project (TRTP)</w:t>
      </w:r>
      <w:r w:rsidR="00CA28F8" w:rsidRPr="00215936">
        <w:t>.</w:t>
      </w:r>
      <w:r w:rsidR="00D75F69">
        <w:t xml:space="preserve">  Therefore, the Voyager project does not require transmission network upgrades.  </w:t>
      </w:r>
    </w:p>
    <w:p w14:paraId="586095BC" w14:textId="1F3379E4" w:rsidR="002D1D2C" w:rsidRDefault="00C66E5B" w:rsidP="009A7ADA">
      <w:pPr>
        <w:autoSpaceDE w:val="0"/>
        <w:autoSpaceDN w:val="0"/>
        <w:adjustRightInd w:val="0"/>
      </w:pPr>
      <w:r w:rsidRPr="00215936">
        <w:t xml:space="preserve">Based on the </w:t>
      </w:r>
      <w:r w:rsidR="004B1CEC" w:rsidRPr="00215936">
        <w:t xml:space="preserve">terms and conditions of the </w:t>
      </w:r>
      <w:r w:rsidR="004E0B4E">
        <w:t xml:space="preserve">Voyager </w:t>
      </w:r>
      <w:r w:rsidR="004B1CEC" w:rsidRPr="00215936">
        <w:t>PPA</w:t>
      </w:r>
      <w:r w:rsidRPr="00215936">
        <w:t xml:space="preserve"> </w:t>
      </w:r>
      <w:r w:rsidR="00F456EC" w:rsidRPr="00215936">
        <w:t>and the</w:t>
      </w:r>
      <w:r w:rsidRPr="00215936">
        <w:t xml:space="preserve"> </w:t>
      </w:r>
      <w:r w:rsidR="00AC55D1" w:rsidRPr="00215936">
        <w:t xml:space="preserve">level of project </w:t>
      </w:r>
      <w:r w:rsidRPr="00215936">
        <w:t>development</w:t>
      </w:r>
      <w:r w:rsidR="00373EA8" w:rsidRPr="00215936">
        <w:t xml:space="preserve"> detailed in the </w:t>
      </w:r>
      <w:r w:rsidR="009A7ADA">
        <w:t>Voyager and TGP AL</w:t>
      </w:r>
      <w:r w:rsidRPr="00215936">
        <w:t xml:space="preserve">, </w:t>
      </w:r>
      <w:r w:rsidRPr="00215936">
        <w:rPr>
          <w:u w:val="single"/>
        </w:rPr>
        <w:t xml:space="preserve">it is reasonable to expect that </w:t>
      </w:r>
      <w:r w:rsidR="00F048C7">
        <w:rPr>
          <w:u w:val="single"/>
        </w:rPr>
        <w:t>Voyager</w:t>
      </w:r>
      <w:r w:rsidRPr="00215936">
        <w:rPr>
          <w:u w:val="single"/>
        </w:rPr>
        <w:t xml:space="preserve"> will meet the terms and conditions of its PPA.</w:t>
      </w:r>
      <w:r w:rsidRPr="00215936">
        <w:t xml:space="preserve"> </w:t>
      </w:r>
    </w:p>
    <w:p w14:paraId="68C59750" w14:textId="77777777" w:rsidR="004E0B4E" w:rsidRDefault="004E0B4E" w:rsidP="009A7ADA">
      <w:pPr>
        <w:autoSpaceDE w:val="0"/>
        <w:autoSpaceDN w:val="0"/>
        <w:adjustRightInd w:val="0"/>
      </w:pPr>
    </w:p>
    <w:p w14:paraId="7F4AD99C" w14:textId="799D91DF" w:rsidR="004E0B4E" w:rsidRPr="005721CB" w:rsidRDefault="005721CB" w:rsidP="009A7ADA">
      <w:pPr>
        <w:autoSpaceDE w:val="0"/>
        <w:autoSpaceDN w:val="0"/>
        <w:adjustRightInd w:val="0"/>
      </w:pPr>
      <w:r w:rsidRPr="005721CB">
        <w:t>The generation to be delivered pursuant to the TGP Sale Agreement is from a large portfolio of renewable generation facilities, all of which have already been certified by the CEC as</w:t>
      </w:r>
      <w:r>
        <w:t xml:space="preserve"> </w:t>
      </w:r>
      <w:r w:rsidRPr="005721CB">
        <w:t xml:space="preserve">a RPS-eligible and are generating RPS-eligible energy.  Thus, </w:t>
      </w:r>
      <w:r w:rsidRPr="00516EE6">
        <w:rPr>
          <w:u w:val="single"/>
        </w:rPr>
        <w:t>it is reasonable that SCE will be able to meet the terms and conditions of the TGP Sale Agreement.</w:t>
      </w:r>
      <w:r w:rsidRPr="005721CB">
        <w:t xml:space="preserve"> </w:t>
      </w:r>
    </w:p>
    <w:p w14:paraId="758B380B" w14:textId="77777777" w:rsidR="004E0B4E" w:rsidRPr="00215936" w:rsidRDefault="004E0B4E" w:rsidP="009A7ADA">
      <w:pPr>
        <w:autoSpaceDE w:val="0"/>
        <w:autoSpaceDN w:val="0"/>
        <w:adjustRightInd w:val="0"/>
      </w:pPr>
    </w:p>
    <w:p w14:paraId="703F9284" w14:textId="59302902" w:rsidR="00976DBF" w:rsidRPr="00215936" w:rsidRDefault="00976DBF" w:rsidP="00373EA8">
      <w:pPr>
        <w:keepNext/>
        <w:autoSpaceDE w:val="0"/>
        <w:autoSpaceDN w:val="0"/>
        <w:adjustRightInd w:val="0"/>
        <w:spacing w:after="120"/>
        <w:rPr>
          <w:b/>
        </w:rPr>
      </w:pPr>
      <w:r w:rsidRPr="00215936">
        <w:rPr>
          <w:b/>
        </w:rPr>
        <w:t>Safety Considerations</w:t>
      </w:r>
    </w:p>
    <w:p w14:paraId="51E4D3CE" w14:textId="3AA40642" w:rsidR="00C41D26" w:rsidRPr="00215936" w:rsidRDefault="00C41D26" w:rsidP="0055212D">
      <w:pPr>
        <w:pStyle w:val="PlainText"/>
        <w:rPr>
          <w:rFonts w:ascii="Palatino" w:hAnsi="Palatino"/>
          <w:sz w:val="26"/>
          <w:szCs w:val="26"/>
        </w:rPr>
      </w:pPr>
      <w:r w:rsidRPr="00215936">
        <w:rPr>
          <w:rFonts w:ascii="Palatino" w:hAnsi="Palatino"/>
          <w:sz w:val="26"/>
          <w:szCs w:val="26"/>
        </w:rPr>
        <w:t xml:space="preserve">Section 451 requires that every public utility maintain adequate, efficient, just, and reasonable service, instrumentalities, equipment and facilities to ensure the safety, health, and comfort of the public. </w:t>
      </w:r>
    </w:p>
    <w:p w14:paraId="2D6ABEA8" w14:textId="77777777" w:rsidR="00373EA8" w:rsidRPr="00215936" w:rsidRDefault="00373EA8" w:rsidP="0055212D">
      <w:pPr>
        <w:pStyle w:val="PlainText"/>
        <w:rPr>
          <w:rFonts w:ascii="Palatino" w:hAnsi="Palatino"/>
          <w:sz w:val="26"/>
          <w:szCs w:val="26"/>
        </w:rPr>
      </w:pPr>
    </w:p>
    <w:p w14:paraId="5E27ACB2" w14:textId="5DAEC82E" w:rsidR="005721CB" w:rsidRDefault="00450836" w:rsidP="0055212D">
      <w:r w:rsidRPr="00215936">
        <w:rPr>
          <w:szCs w:val="26"/>
        </w:rPr>
        <w:t xml:space="preserve">SCE’s 2014 </w:t>
      </w:r>
      <w:r w:rsidR="00700141" w:rsidRPr="00215936">
        <w:rPr>
          <w:i/>
          <w:szCs w:val="26"/>
        </w:rPr>
        <w:t>p</w:t>
      </w:r>
      <w:r w:rsidRPr="00215936">
        <w:rPr>
          <w:i/>
          <w:szCs w:val="26"/>
        </w:rPr>
        <w:t xml:space="preserve">ro </w:t>
      </w:r>
      <w:r w:rsidR="00700141" w:rsidRPr="00215936">
        <w:rPr>
          <w:i/>
          <w:szCs w:val="26"/>
        </w:rPr>
        <w:t>f</w:t>
      </w:r>
      <w:r w:rsidRPr="00215936">
        <w:rPr>
          <w:i/>
          <w:szCs w:val="26"/>
        </w:rPr>
        <w:t>orma</w:t>
      </w:r>
      <w:r w:rsidRPr="00215936">
        <w:rPr>
          <w:szCs w:val="26"/>
        </w:rPr>
        <w:t xml:space="preserve"> PPA</w:t>
      </w:r>
      <w:r w:rsidR="00916DEC" w:rsidRPr="00215936">
        <w:rPr>
          <w:szCs w:val="26"/>
        </w:rPr>
        <w:t xml:space="preserve"> </w:t>
      </w:r>
      <w:r w:rsidRPr="00215936">
        <w:rPr>
          <w:szCs w:val="26"/>
        </w:rPr>
        <w:t>include</w:t>
      </w:r>
      <w:r w:rsidR="00AF67CD" w:rsidRPr="00215936">
        <w:rPr>
          <w:szCs w:val="26"/>
        </w:rPr>
        <w:t>s</w:t>
      </w:r>
      <w:r w:rsidRPr="00215936">
        <w:rPr>
          <w:szCs w:val="26"/>
        </w:rPr>
        <w:t xml:space="preserve"> safety provisions</w:t>
      </w:r>
      <w:r w:rsidR="00962526" w:rsidRPr="00215936">
        <w:rPr>
          <w:szCs w:val="26"/>
        </w:rPr>
        <w:t>, which</w:t>
      </w:r>
      <w:r w:rsidRPr="00215936">
        <w:rPr>
          <w:szCs w:val="26"/>
        </w:rPr>
        <w:t xml:space="preserve"> </w:t>
      </w:r>
      <w:r w:rsidR="00C41D26" w:rsidRPr="00215936">
        <w:rPr>
          <w:szCs w:val="26"/>
        </w:rPr>
        <w:t xml:space="preserve">require </w:t>
      </w:r>
      <w:r w:rsidR="00962526" w:rsidRPr="00215936">
        <w:rPr>
          <w:szCs w:val="26"/>
        </w:rPr>
        <w:t>the seller to operate the generat</w:t>
      </w:r>
      <w:r w:rsidR="004A4FEA" w:rsidRPr="00215936">
        <w:rPr>
          <w:szCs w:val="26"/>
        </w:rPr>
        <w:t xml:space="preserve">ing facility in accordance with </w:t>
      </w:r>
      <w:r w:rsidR="00700141" w:rsidRPr="00215936">
        <w:rPr>
          <w:szCs w:val="26"/>
        </w:rPr>
        <w:t>“</w:t>
      </w:r>
      <w:r w:rsidR="004A4FEA" w:rsidRPr="00215936">
        <w:rPr>
          <w:szCs w:val="26"/>
        </w:rPr>
        <w:t>Prudent Electrical Practices</w:t>
      </w:r>
      <w:r w:rsidR="00700141" w:rsidRPr="00215936">
        <w:rPr>
          <w:szCs w:val="26"/>
        </w:rPr>
        <w:t>,”</w:t>
      </w:r>
      <w:r w:rsidR="004A4FEA" w:rsidRPr="00215936">
        <w:rPr>
          <w:szCs w:val="26"/>
        </w:rPr>
        <w:t xml:space="preserve"> as defined in the </w:t>
      </w:r>
      <w:r w:rsidR="004D4245" w:rsidRPr="00215936">
        <w:rPr>
          <w:i/>
          <w:szCs w:val="26"/>
        </w:rPr>
        <w:t>pro forma</w:t>
      </w:r>
      <w:r w:rsidR="00580676">
        <w:rPr>
          <w:i/>
          <w:szCs w:val="26"/>
        </w:rPr>
        <w:t xml:space="preserve"> </w:t>
      </w:r>
      <w:r w:rsidR="00580676">
        <w:rPr>
          <w:szCs w:val="26"/>
        </w:rPr>
        <w:t>PPA</w:t>
      </w:r>
      <w:r w:rsidR="004A4FEA" w:rsidRPr="00215936">
        <w:rPr>
          <w:szCs w:val="26"/>
        </w:rPr>
        <w:t>.</w:t>
      </w:r>
      <w:r w:rsidR="004D4245" w:rsidRPr="00215936">
        <w:rPr>
          <w:rStyle w:val="FootnoteReference"/>
          <w:szCs w:val="26"/>
        </w:rPr>
        <w:footnoteReference w:id="21"/>
      </w:r>
      <w:r w:rsidR="004A4FEA" w:rsidRPr="00215936">
        <w:rPr>
          <w:szCs w:val="26"/>
        </w:rPr>
        <w:t xml:space="preserve">  </w:t>
      </w:r>
      <w:r w:rsidR="00700141" w:rsidRPr="00215936">
        <w:rPr>
          <w:szCs w:val="26"/>
        </w:rPr>
        <w:t>Specifically</w:t>
      </w:r>
      <w:r w:rsidR="00962526" w:rsidRPr="00215936">
        <w:rPr>
          <w:szCs w:val="26"/>
        </w:rPr>
        <w:t xml:space="preserve">, these provisions require that all </w:t>
      </w:r>
      <w:r w:rsidR="00962526" w:rsidRPr="00215936">
        <w:rPr>
          <w:szCs w:val="26"/>
        </w:rPr>
        <w:lastRenderedPageBreak/>
        <w:t>sellers</w:t>
      </w:r>
      <w:r w:rsidR="009C3B25" w:rsidRPr="00215936">
        <w:rPr>
          <w:szCs w:val="26"/>
        </w:rPr>
        <w:t xml:space="preserve"> comply with all applicable requirements of law to </w:t>
      </w:r>
      <w:r w:rsidR="009C3B25" w:rsidRPr="00215936">
        <w:rPr>
          <w:rFonts w:ascii="Palatino Linotype" w:hAnsi="Palatino Linotype"/>
          <w:szCs w:val="26"/>
        </w:rPr>
        <w:t>ensure the safety, health, and comfort of the public and</w:t>
      </w:r>
      <w:r w:rsidR="009C3B25" w:rsidRPr="00215936">
        <w:rPr>
          <w:szCs w:val="26"/>
        </w:rPr>
        <w:t xml:space="preserve"> take</w:t>
      </w:r>
      <w:r w:rsidR="00962526" w:rsidRPr="00215936">
        <w:rPr>
          <w:szCs w:val="26"/>
        </w:rPr>
        <w:t xml:space="preserve"> a</w:t>
      </w:r>
      <w:r w:rsidR="00373EA8" w:rsidRPr="00215936">
        <w:rPr>
          <w:szCs w:val="26"/>
        </w:rPr>
        <w:t>ll</w:t>
      </w:r>
      <w:r w:rsidR="00962526" w:rsidRPr="00215936">
        <w:rPr>
          <w:szCs w:val="26"/>
        </w:rPr>
        <w:t xml:space="preserve"> reasonable steps to ensure that the generation facility is </w:t>
      </w:r>
      <w:r w:rsidR="009C3B25" w:rsidRPr="00215936">
        <w:rPr>
          <w:szCs w:val="26"/>
        </w:rPr>
        <w:t xml:space="preserve">planned, constructed, owned, </w:t>
      </w:r>
      <w:r w:rsidR="00962526" w:rsidRPr="00215936">
        <w:rPr>
          <w:szCs w:val="26"/>
        </w:rPr>
        <w:t>operated</w:t>
      </w:r>
      <w:r w:rsidR="009C3B25" w:rsidRPr="00215936">
        <w:rPr>
          <w:szCs w:val="26"/>
        </w:rPr>
        <w:t>,</w:t>
      </w:r>
      <w:r w:rsidR="00962526" w:rsidRPr="00215936">
        <w:rPr>
          <w:szCs w:val="26"/>
        </w:rPr>
        <w:t xml:space="preserve"> maintained</w:t>
      </w:r>
      <w:r w:rsidR="009C3B25" w:rsidRPr="00215936">
        <w:rPr>
          <w:szCs w:val="26"/>
        </w:rPr>
        <w:t>, and decommissioned</w:t>
      </w:r>
      <w:r w:rsidR="00962526" w:rsidRPr="00215936">
        <w:rPr>
          <w:szCs w:val="26"/>
        </w:rPr>
        <w:t xml:space="preserve"> in a safe manner.  It also includes a provision that requires a report from an independent engineer certifying that the seller has a written plan for the safe construction and operation of the generating facility in accordance with Prudent Electrical Practices</w:t>
      </w:r>
      <w:r w:rsidR="004A4FEA" w:rsidRPr="00215936">
        <w:rPr>
          <w:szCs w:val="26"/>
        </w:rPr>
        <w:t xml:space="preserve">.  The seller must </w:t>
      </w:r>
      <w:r w:rsidR="00943F33" w:rsidRPr="00215936">
        <w:rPr>
          <w:szCs w:val="26"/>
        </w:rPr>
        <w:t xml:space="preserve">also </w:t>
      </w:r>
      <w:r w:rsidR="004A4FEA" w:rsidRPr="00215936">
        <w:rPr>
          <w:szCs w:val="26"/>
        </w:rPr>
        <w:t>provide the report</w:t>
      </w:r>
      <w:r w:rsidR="00962526" w:rsidRPr="00215936">
        <w:rPr>
          <w:szCs w:val="26"/>
        </w:rPr>
        <w:t xml:space="preserve"> </w:t>
      </w:r>
      <w:r w:rsidR="004A4FEA" w:rsidRPr="00215936">
        <w:rPr>
          <w:szCs w:val="26"/>
        </w:rPr>
        <w:t xml:space="preserve">to SCE </w:t>
      </w:r>
      <w:r w:rsidR="00962526" w:rsidRPr="00215936">
        <w:rPr>
          <w:szCs w:val="26"/>
        </w:rPr>
        <w:t xml:space="preserve">prior to the commencement of any construction activities on the project site. </w:t>
      </w:r>
      <w:r w:rsidR="00916DEC" w:rsidRPr="00215936">
        <w:rPr>
          <w:szCs w:val="26"/>
        </w:rPr>
        <w:t xml:space="preserve"> </w:t>
      </w:r>
      <w:r w:rsidRPr="00215936">
        <w:t xml:space="preserve">The </w:t>
      </w:r>
      <w:r w:rsidR="00F048C7">
        <w:t>Voyager</w:t>
      </w:r>
      <w:r w:rsidRPr="00215936">
        <w:t xml:space="preserve"> PPA includes all of these provisions</w:t>
      </w:r>
      <w:r w:rsidR="00700141" w:rsidRPr="00215936">
        <w:t xml:space="preserve"> as written in SCE’s </w:t>
      </w:r>
      <w:r w:rsidR="009C3B25" w:rsidRPr="00215936">
        <w:t xml:space="preserve">approved </w:t>
      </w:r>
      <w:r w:rsidR="00700141" w:rsidRPr="00215936">
        <w:t xml:space="preserve">2014 </w:t>
      </w:r>
      <w:r w:rsidR="00700141" w:rsidRPr="00215936">
        <w:rPr>
          <w:i/>
        </w:rPr>
        <w:t>pro forma</w:t>
      </w:r>
      <w:r w:rsidR="00700141" w:rsidRPr="00215936">
        <w:t xml:space="preserve"> PPA</w:t>
      </w:r>
      <w:r w:rsidRPr="00215936">
        <w:t xml:space="preserve">.  </w:t>
      </w:r>
      <w:r w:rsidR="00700141" w:rsidRPr="00215936">
        <w:t>Thus, b</w:t>
      </w:r>
      <w:r w:rsidR="00C41D26" w:rsidRPr="00215936">
        <w:rPr>
          <w:szCs w:val="26"/>
        </w:rPr>
        <w:t xml:space="preserve">ased on the information before us, </w:t>
      </w:r>
      <w:r w:rsidR="000E2D63" w:rsidRPr="00215936">
        <w:rPr>
          <w:szCs w:val="26"/>
        </w:rPr>
        <w:t xml:space="preserve">the </w:t>
      </w:r>
      <w:r w:rsidR="00F048C7">
        <w:rPr>
          <w:szCs w:val="26"/>
        </w:rPr>
        <w:t>Voyager</w:t>
      </w:r>
      <w:r w:rsidR="000E2D63" w:rsidRPr="00215936">
        <w:rPr>
          <w:szCs w:val="26"/>
        </w:rPr>
        <w:t xml:space="preserve"> </w:t>
      </w:r>
      <w:r w:rsidR="00320322" w:rsidRPr="00215936">
        <w:rPr>
          <w:szCs w:val="26"/>
        </w:rPr>
        <w:t>p</w:t>
      </w:r>
      <w:r w:rsidR="000E2D63" w:rsidRPr="00215936">
        <w:rPr>
          <w:szCs w:val="26"/>
        </w:rPr>
        <w:t>roject</w:t>
      </w:r>
      <w:r w:rsidR="00C41D26" w:rsidRPr="00215936">
        <w:rPr>
          <w:szCs w:val="26"/>
        </w:rPr>
        <w:t xml:space="preserve"> do</w:t>
      </w:r>
      <w:r w:rsidR="002A7F5A" w:rsidRPr="00215936">
        <w:rPr>
          <w:szCs w:val="26"/>
        </w:rPr>
        <w:t>es</w:t>
      </w:r>
      <w:r w:rsidR="00C41D26" w:rsidRPr="00215936">
        <w:rPr>
          <w:szCs w:val="26"/>
        </w:rPr>
        <w:t xml:space="preserve"> not appear to result in any adverse safety impacts on facilities or operations of </w:t>
      </w:r>
      <w:r w:rsidR="00EE4816" w:rsidRPr="00215936">
        <w:rPr>
          <w:szCs w:val="26"/>
        </w:rPr>
        <w:t>SC</w:t>
      </w:r>
      <w:r w:rsidR="00C41D26" w:rsidRPr="00215936">
        <w:rPr>
          <w:szCs w:val="26"/>
        </w:rPr>
        <w:t>E.</w:t>
      </w:r>
      <w:r w:rsidR="00C41D26" w:rsidRPr="00215936">
        <w:t xml:space="preserve"> </w:t>
      </w:r>
    </w:p>
    <w:p w14:paraId="628774C4" w14:textId="77777777" w:rsidR="005721CB" w:rsidRDefault="005721CB" w:rsidP="0055212D"/>
    <w:p w14:paraId="529E576F" w14:textId="0851102E" w:rsidR="00C41D26" w:rsidRPr="00215936" w:rsidRDefault="005721CB" w:rsidP="0055212D">
      <w:pPr>
        <w:rPr>
          <w:szCs w:val="26"/>
        </w:rPr>
      </w:pPr>
      <w:r>
        <w:t>The TGP Sale Agreement</w:t>
      </w:r>
      <w:r w:rsidR="007D1D12">
        <w:t xml:space="preserve"> is for the sale of renewable generation and associated RECs from RPS-eligible facilities.  The proposed sales agreement does not alter existing power purchase agreements or any facility operations.  As this agreement does not require a change in facility operations, there are no incremental safety implications associated with approval of this agreement beyond the status quo.  Based on the information before us, this agreement does not appear to result in any adverse safety impacts on the facilities or operations of SCE. </w:t>
      </w:r>
      <w:r>
        <w:t xml:space="preserve"> </w:t>
      </w:r>
      <w:r w:rsidR="00C41D26" w:rsidRPr="00215936">
        <w:t xml:space="preserve"> </w:t>
      </w:r>
    </w:p>
    <w:p w14:paraId="1F8D0FBF" w14:textId="77777777" w:rsidR="00D67F70" w:rsidRPr="00215936" w:rsidRDefault="00D67F70" w:rsidP="0055212D"/>
    <w:p w14:paraId="2D7ECB85" w14:textId="77777777" w:rsidR="00F456EC" w:rsidRPr="00215936" w:rsidRDefault="00F456EC" w:rsidP="00F456EC">
      <w:pPr>
        <w:pStyle w:val="Heading1"/>
        <w:spacing w:before="0" w:after="120"/>
        <w:rPr>
          <w:rFonts w:ascii="Palatino" w:hAnsi="Palatino"/>
        </w:rPr>
      </w:pPr>
      <w:r w:rsidRPr="00215936">
        <w:rPr>
          <w:rFonts w:ascii="Palatino" w:hAnsi="Palatino"/>
        </w:rPr>
        <w:t xml:space="preserve">RPS Eligibility and CPUC Approval </w:t>
      </w:r>
    </w:p>
    <w:p w14:paraId="745280DC" w14:textId="13EA37CF" w:rsidR="00F456EC" w:rsidRPr="00215936" w:rsidRDefault="00F456EC" w:rsidP="00F456EC">
      <w:r w:rsidRPr="00215936">
        <w:t xml:space="preserve">Pursuant to Section 399.13, the CEC certifies eligible renewable energy resources.  Generation from a resource that is not CEC-certified cannot be used to meet RPS requirements.  To ensure that only CEC-certified energy is procured under a Commission-approved RPS contract, the Commission has required standard and </w:t>
      </w:r>
      <w:r w:rsidRPr="00215936">
        <w:lastRenderedPageBreak/>
        <w:t>non-modifiable “eligibility” language in all RPS contracts.  That language requires a seller to warrant that the project qualifies and is certified by the CEC as an “Eligible Renewable Energy Resource,” that the project’s output delivered to the buyer qualifies under the requirements of the RPS, and that the seller uses commercially reasonable efforts to maintain eligibility should there be a change in law affecting eligibility.</w:t>
      </w:r>
      <w:r w:rsidRPr="00215936">
        <w:rPr>
          <w:rStyle w:val="FootnoteReference"/>
          <w:szCs w:val="26"/>
        </w:rPr>
        <w:footnoteReference w:id="22"/>
      </w:r>
      <w:r w:rsidRPr="00215936">
        <w:t xml:space="preserve"> </w:t>
      </w:r>
    </w:p>
    <w:p w14:paraId="1C266612" w14:textId="77777777" w:rsidR="00F456EC" w:rsidRPr="00215936" w:rsidRDefault="00F456EC" w:rsidP="00F456EC">
      <w:pPr>
        <w:rPr>
          <w:szCs w:val="26"/>
        </w:rPr>
      </w:pPr>
    </w:p>
    <w:p w14:paraId="0826749E" w14:textId="6E0FAA5D" w:rsidR="00F456EC" w:rsidRPr="00215936" w:rsidRDefault="00F456EC" w:rsidP="00F456EC">
      <w:pPr>
        <w:rPr>
          <w:szCs w:val="26"/>
        </w:rPr>
      </w:pPr>
      <w:r w:rsidRPr="00215936">
        <w:rPr>
          <w:szCs w:val="26"/>
        </w:rPr>
        <w:t>The Commission requires a standard and non-modifiable clause in all RPS contracts that requires “CPUC Approval” of a PPA to include an explicit finding that “</w:t>
      </w:r>
      <w:r w:rsidRPr="00215936">
        <w:rPr>
          <w:szCs w:val="26"/>
          <w:u w:val="single"/>
        </w:rPr>
        <w:t>any procurement pursuant to this Agreement is procurement from an eligible renewable energy resource for purposes of determining Buyer's compliance with any obligation that it may have to procure eligible renewable energy resources pursuant to the California Renewables Portfolio Standard (</w:t>
      </w:r>
      <w:r w:rsidRPr="00215936">
        <w:rPr>
          <w:i/>
          <w:iCs/>
          <w:szCs w:val="26"/>
          <w:u w:val="single"/>
        </w:rPr>
        <w:t>Public Utilities Code Section 399.11</w:t>
      </w:r>
      <w:r w:rsidRPr="00215936">
        <w:rPr>
          <w:szCs w:val="26"/>
          <w:u w:val="single"/>
        </w:rPr>
        <w:t xml:space="preserve"> </w:t>
      </w:r>
      <w:r w:rsidRPr="00215936">
        <w:rPr>
          <w:i/>
          <w:iCs/>
          <w:szCs w:val="26"/>
          <w:u w:val="single"/>
        </w:rPr>
        <w:t>et seq.</w:t>
      </w:r>
      <w:r w:rsidRPr="00215936">
        <w:rPr>
          <w:szCs w:val="26"/>
          <w:u w:val="single"/>
        </w:rPr>
        <w:t xml:space="preserve">), D.11-12-020 and </w:t>
      </w:r>
      <w:r w:rsidR="005B705D">
        <w:rPr>
          <w:szCs w:val="26"/>
          <w:u w:val="single"/>
        </w:rPr>
        <w:br/>
      </w:r>
      <w:r w:rsidRPr="00215936">
        <w:rPr>
          <w:szCs w:val="26"/>
          <w:u w:val="single"/>
        </w:rPr>
        <w:t>D.11-12-052, or other applicable law.</w:t>
      </w:r>
      <w:r w:rsidRPr="00215936">
        <w:rPr>
          <w:szCs w:val="26"/>
        </w:rPr>
        <w:t>”</w:t>
      </w:r>
      <w:r w:rsidRPr="00215936">
        <w:rPr>
          <w:rStyle w:val="FootnoteReference"/>
          <w:szCs w:val="26"/>
        </w:rPr>
        <w:footnoteReference w:id="23"/>
      </w:r>
    </w:p>
    <w:p w14:paraId="46548E17" w14:textId="77777777" w:rsidR="00F456EC" w:rsidRPr="00215936" w:rsidRDefault="00F456EC" w:rsidP="00F456EC">
      <w:pPr>
        <w:rPr>
          <w:szCs w:val="26"/>
        </w:rPr>
      </w:pPr>
    </w:p>
    <w:p w14:paraId="34DBE724" w14:textId="3CA64CAC" w:rsidR="00F456EC" w:rsidRPr="00215936" w:rsidRDefault="00F456EC" w:rsidP="00F456EC">
      <w:r w:rsidRPr="00215936">
        <w:rPr>
          <w:szCs w:val="26"/>
        </w:rPr>
        <w:t xml:space="preserve">Notwithstanding this language, </w:t>
      </w:r>
      <w:r w:rsidR="000605BE" w:rsidRPr="00215936">
        <w:rPr>
          <w:szCs w:val="26"/>
        </w:rPr>
        <w:t xml:space="preserve">given that </w:t>
      </w:r>
      <w:r w:rsidRPr="00215936">
        <w:rPr>
          <w:szCs w:val="26"/>
        </w:rPr>
        <w:t xml:space="preserve">the Commission has no jurisdiction to determine whether a project is an </w:t>
      </w:r>
      <w:r w:rsidR="000605BE" w:rsidRPr="00215936">
        <w:t>“Eligible Renewable Energy Resource”</w:t>
      </w:r>
      <w:r w:rsidR="003F65FD" w:rsidRPr="00215936">
        <w:t xml:space="preserve"> for RPS purposes</w:t>
      </w:r>
      <w:r w:rsidRPr="00215936">
        <w:rPr>
          <w:szCs w:val="26"/>
        </w:rPr>
        <w:t xml:space="preserve">, </w:t>
      </w:r>
      <w:r w:rsidR="003F65FD" w:rsidRPr="00215936">
        <w:rPr>
          <w:szCs w:val="26"/>
        </w:rPr>
        <w:t xml:space="preserve">this finding and the effectiveness of the </w:t>
      </w:r>
      <w:r w:rsidR="002E6E97" w:rsidRPr="00215936">
        <w:t xml:space="preserve">non-modifiable “eligibility” language </w:t>
      </w:r>
      <w:r w:rsidR="003F65FD" w:rsidRPr="00215936">
        <w:rPr>
          <w:szCs w:val="26"/>
        </w:rPr>
        <w:t xml:space="preserve">is contingent on CEC’s certification of the </w:t>
      </w:r>
      <w:r w:rsidR="00F048C7">
        <w:rPr>
          <w:szCs w:val="26"/>
        </w:rPr>
        <w:t>Voyager</w:t>
      </w:r>
      <w:r w:rsidR="003F65FD" w:rsidRPr="00215936">
        <w:rPr>
          <w:szCs w:val="26"/>
        </w:rPr>
        <w:t xml:space="preserve"> project as an </w:t>
      </w:r>
      <w:r w:rsidR="003F65FD" w:rsidRPr="00215936">
        <w:t>“Eligible Renewable Energy Resource.”</w:t>
      </w:r>
      <w:r w:rsidR="002E6E97" w:rsidRPr="00215936">
        <w:t xml:space="preserve">  The contract language that </w:t>
      </w:r>
      <w:r w:rsidR="00935C57" w:rsidRPr="00215936">
        <w:t xml:space="preserve">procurement pursuant to </w:t>
      </w:r>
      <w:r w:rsidR="002E6E97" w:rsidRPr="00215936">
        <w:t xml:space="preserve">the </w:t>
      </w:r>
      <w:r w:rsidR="00F048C7">
        <w:t>Voyager</w:t>
      </w:r>
      <w:r w:rsidR="002E6E97" w:rsidRPr="00215936">
        <w:t xml:space="preserve"> </w:t>
      </w:r>
      <w:r w:rsidR="00935C57" w:rsidRPr="00215936">
        <w:t>PPA</w:t>
      </w:r>
      <w:r w:rsidR="002E6E97" w:rsidRPr="00215936">
        <w:t xml:space="preserve"> “</w:t>
      </w:r>
      <w:r w:rsidR="002E6E97" w:rsidRPr="00215936">
        <w:rPr>
          <w:szCs w:val="26"/>
        </w:rPr>
        <w:t>is procurement from an eligible renewable energy resource</w:t>
      </w:r>
      <w:r w:rsidR="002E6E97" w:rsidRPr="00215936">
        <w:t xml:space="preserve">” </w:t>
      </w:r>
      <w:r w:rsidR="00E50068" w:rsidRPr="00215936">
        <w:t>must</w:t>
      </w:r>
      <w:r w:rsidR="002E6E97" w:rsidRPr="00215936">
        <w:t xml:space="preserve"> be </w:t>
      </w:r>
      <w:r w:rsidR="00E50068" w:rsidRPr="00215936">
        <w:t xml:space="preserve">a true statement at the time of the first delivery of energy, not at the signing of the PPA or at the issuance of this </w:t>
      </w:r>
      <w:r w:rsidR="00A07759" w:rsidRPr="00215936">
        <w:t>resolution</w:t>
      </w:r>
      <w:r w:rsidR="00E50068" w:rsidRPr="00215936">
        <w:t xml:space="preserve">.  </w:t>
      </w:r>
    </w:p>
    <w:p w14:paraId="57ED5CEA" w14:textId="226170C4" w:rsidR="00F456EC" w:rsidRPr="00215936" w:rsidRDefault="002E6E97" w:rsidP="00F456EC">
      <w:pPr>
        <w:rPr>
          <w:szCs w:val="26"/>
        </w:rPr>
      </w:pPr>
      <w:r w:rsidRPr="00215936">
        <w:t>W</w:t>
      </w:r>
      <w:r w:rsidR="00F456EC" w:rsidRPr="00215936">
        <w:t xml:space="preserve">hile we include the required finding here, </w:t>
      </w:r>
      <w:r w:rsidR="00F456EC" w:rsidRPr="00215936">
        <w:rPr>
          <w:u w:val="single"/>
        </w:rPr>
        <w:t>this finding has never been intended, and shall not be read now, to allow the generation from a non-RPS-eligible resource to count towards an RPS compliance obligation</w:t>
      </w:r>
      <w:r w:rsidR="00E50068" w:rsidRPr="00215936">
        <w:rPr>
          <w:u w:val="single"/>
        </w:rPr>
        <w:t xml:space="preserve"> absent CEC certification</w:t>
      </w:r>
      <w:r w:rsidR="00F456EC" w:rsidRPr="00215936">
        <w:rPr>
          <w:u w:val="single"/>
        </w:rPr>
        <w:t xml:space="preserve">. </w:t>
      </w:r>
      <w:r w:rsidR="00E974AC" w:rsidRPr="00215936">
        <w:rPr>
          <w:u w:val="single"/>
        </w:rPr>
        <w:t xml:space="preserve"> </w:t>
      </w:r>
      <w:r w:rsidR="00F456EC" w:rsidRPr="00215936">
        <w:rPr>
          <w:u w:val="single"/>
        </w:rPr>
        <w:t>Nor shall such finding absolve the seller of its obligation to obtain CEC certification, or the utility of its obligation to pursue remedies for breach of contract</w:t>
      </w:r>
      <w:r w:rsidR="00F456EC" w:rsidRPr="00215936">
        <w:t xml:space="preserve">. </w:t>
      </w:r>
      <w:r w:rsidR="00E974AC" w:rsidRPr="00215936">
        <w:t xml:space="preserve"> </w:t>
      </w:r>
      <w:r w:rsidR="00F456EC" w:rsidRPr="00215936">
        <w:t>Such contract enforcement activities shall be reviewed pursuant to the Commission’s authority to review the utilities’ administration of such contracts.</w:t>
      </w:r>
    </w:p>
    <w:p w14:paraId="48126409" w14:textId="77777777" w:rsidR="00F456EC" w:rsidRPr="00215936" w:rsidRDefault="00F456EC" w:rsidP="00F456EC">
      <w:pPr>
        <w:autoSpaceDE w:val="0"/>
        <w:autoSpaceDN w:val="0"/>
        <w:adjustRightInd w:val="0"/>
        <w:rPr>
          <w:szCs w:val="26"/>
        </w:rPr>
      </w:pPr>
    </w:p>
    <w:p w14:paraId="04947DBF" w14:textId="77777777" w:rsidR="00F456EC" w:rsidRPr="00215936" w:rsidRDefault="00F456EC" w:rsidP="00F456EC">
      <w:pPr>
        <w:pStyle w:val="Heading1"/>
        <w:spacing w:before="0" w:after="120"/>
        <w:rPr>
          <w:rFonts w:ascii="Palatino" w:hAnsi="Palatino"/>
        </w:rPr>
      </w:pPr>
      <w:r w:rsidRPr="00215936">
        <w:rPr>
          <w:rFonts w:ascii="Palatino" w:hAnsi="Palatino"/>
        </w:rPr>
        <w:lastRenderedPageBreak/>
        <w:t xml:space="preserve">Confidential Information </w:t>
      </w:r>
    </w:p>
    <w:p w14:paraId="4FA8BF02" w14:textId="0660B3F4" w:rsidR="00F456EC" w:rsidRPr="00215936" w:rsidRDefault="00F456EC" w:rsidP="00F456EC">
      <w:pPr>
        <w:autoSpaceDE w:val="0"/>
        <w:autoSpaceDN w:val="0"/>
        <w:adjustRightInd w:val="0"/>
        <w:rPr>
          <w:rFonts w:cs="Courier New"/>
        </w:rPr>
      </w:pPr>
      <w:r w:rsidRPr="00215936">
        <w:rPr>
          <w:rFonts w:cs="Courier New"/>
        </w:rPr>
        <w:t xml:space="preserve">The Commission, in implementing Section 454.5(g), has determined in </w:t>
      </w:r>
      <w:r w:rsidR="00CD6AE2" w:rsidRPr="00215936">
        <w:rPr>
          <w:rFonts w:cs="Courier New"/>
        </w:rPr>
        <w:br/>
      </w:r>
      <w:r w:rsidRPr="00215936">
        <w:rPr>
          <w:rFonts w:cs="Courier New"/>
        </w:rPr>
        <w:t>D.06-06-066, as modified by D.07-05-032, that certain material submitted to the Commission as confidential should be kept confidential to ensure that market sensitive data does not influence the behavior of bidders in future RPS solicitations.  D.06-06-066 adopted a time limit on the confidentiality of specific terms in RPS contracts.  Such information, including price, is confidential for three years from the date the contract states that energy deliveries begin, or until one year following contract expiration, except contracts between IOUs and their affiliates, which are public.</w:t>
      </w:r>
    </w:p>
    <w:p w14:paraId="17B49987" w14:textId="77777777" w:rsidR="00F456EC" w:rsidRPr="00215936" w:rsidRDefault="00F456EC" w:rsidP="00F456EC">
      <w:pPr>
        <w:autoSpaceDE w:val="0"/>
        <w:autoSpaceDN w:val="0"/>
        <w:adjustRightInd w:val="0"/>
        <w:rPr>
          <w:rFonts w:cs="Courier New"/>
          <w:u w:val="single"/>
        </w:rPr>
      </w:pPr>
    </w:p>
    <w:p w14:paraId="067295CE" w14:textId="6A07A8D8" w:rsidR="00F456EC" w:rsidRPr="00215936" w:rsidRDefault="00F456EC" w:rsidP="009A7ADA">
      <w:pPr>
        <w:autoSpaceDE w:val="0"/>
        <w:autoSpaceDN w:val="0"/>
        <w:adjustRightInd w:val="0"/>
        <w:rPr>
          <w:rFonts w:cs="Courier New"/>
          <w:u w:val="single"/>
        </w:rPr>
      </w:pPr>
      <w:r w:rsidRPr="00215936">
        <w:rPr>
          <w:rFonts w:cs="Courier New"/>
          <w:u w:val="single"/>
        </w:rPr>
        <w:t xml:space="preserve">The confidential appendices, marked “[REDACTED]” in the public copy of this </w:t>
      </w:r>
      <w:r w:rsidR="00A07759" w:rsidRPr="00215936">
        <w:rPr>
          <w:rFonts w:cs="Courier New"/>
          <w:u w:val="single"/>
        </w:rPr>
        <w:t>resolution</w:t>
      </w:r>
      <w:r w:rsidRPr="00215936">
        <w:rPr>
          <w:rFonts w:cs="Courier New"/>
          <w:u w:val="single"/>
        </w:rPr>
        <w:t xml:space="preserve">, as well as the confidential portions of the </w:t>
      </w:r>
      <w:r w:rsidR="009A7ADA">
        <w:rPr>
          <w:rFonts w:cs="Courier New"/>
          <w:u w:val="single"/>
        </w:rPr>
        <w:t>Voyager and TGP AL</w:t>
      </w:r>
      <w:r w:rsidR="00ED0FF1">
        <w:rPr>
          <w:rFonts w:cs="Courier New"/>
          <w:u w:val="single"/>
        </w:rPr>
        <w:t xml:space="preserve"> and </w:t>
      </w:r>
      <w:r w:rsidR="005B705D">
        <w:rPr>
          <w:rFonts w:cs="Courier New"/>
          <w:u w:val="single"/>
        </w:rPr>
        <w:br/>
      </w:r>
      <w:r w:rsidR="00F50B3A">
        <w:rPr>
          <w:rFonts w:cs="Courier New"/>
          <w:u w:val="single"/>
        </w:rPr>
        <w:t xml:space="preserve">AL </w:t>
      </w:r>
      <w:r w:rsidR="00ED0FF1">
        <w:rPr>
          <w:rFonts w:cs="Courier New"/>
          <w:u w:val="single"/>
        </w:rPr>
        <w:t>3330-E-A</w:t>
      </w:r>
      <w:r w:rsidRPr="00215936">
        <w:rPr>
          <w:rFonts w:cs="Courier New"/>
          <w:u w:val="single"/>
        </w:rPr>
        <w:t>, remain confidential at this time.</w:t>
      </w:r>
    </w:p>
    <w:p w14:paraId="74E9B76E" w14:textId="77777777" w:rsidR="004B1CEC" w:rsidRPr="00215936" w:rsidRDefault="004B1CEC" w:rsidP="00C66E5B">
      <w:pPr>
        <w:autoSpaceDE w:val="0"/>
        <w:autoSpaceDN w:val="0"/>
        <w:adjustRightInd w:val="0"/>
      </w:pPr>
    </w:p>
    <w:p w14:paraId="452EEE9F" w14:textId="77777777" w:rsidR="00CF17DE" w:rsidRPr="00215936" w:rsidRDefault="00CF17DE">
      <w:pPr>
        <w:pStyle w:val="Heading1"/>
        <w:rPr>
          <w:rFonts w:ascii="Palatino" w:hAnsi="Palatino"/>
        </w:rPr>
      </w:pPr>
      <w:r w:rsidRPr="00215936">
        <w:rPr>
          <w:rFonts w:ascii="Palatino" w:hAnsi="Palatino"/>
        </w:rPr>
        <w:t>Comments</w:t>
      </w:r>
    </w:p>
    <w:p w14:paraId="24C1A9B7" w14:textId="13138AB4" w:rsidR="00E06CCF" w:rsidRPr="00215936" w:rsidRDefault="0045183E" w:rsidP="00B543C1">
      <w:r>
        <w:t xml:space="preserve">The Voyager and TGP AL is an uncontested matter in which this Resolution grants the relief requested.  Accordingly,  pursuant to Pub. Util. Code Section 311(g)(2), the otherwise applicable 30-day period for public review and comment was waived.  This Resolution </w:t>
      </w:r>
      <w:r w:rsidR="005E44A2">
        <w:t>was</w:t>
      </w:r>
      <w:r>
        <w:t xml:space="preserve"> placed on the Commission’s Meeting Agenda directly for prompt action.  </w:t>
      </w:r>
      <w:r w:rsidR="00690876">
        <w:br/>
      </w:r>
    </w:p>
    <w:p w14:paraId="58FF8ACB" w14:textId="77777777" w:rsidR="00CF17DE" w:rsidRPr="00215936" w:rsidRDefault="00CF17DE">
      <w:pPr>
        <w:pStyle w:val="Heading1"/>
        <w:rPr>
          <w:rFonts w:ascii="Palatino" w:hAnsi="Palatino"/>
        </w:rPr>
      </w:pPr>
      <w:r w:rsidRPr="00215936">
        <w:rPr>
          <w:rFonts w:ascii="Palatino" w:hAnsi="Palatino"/>
        </w:rPr>
        <w:t>Findings</w:t>
      </w:r>
    </w:p>
    <w:p w14:paraId="1EE263EE" w14:textId="63E5FA30" w:rsidR="004D372F" w:rsidRDefault="004D372F" w:rsidP="009B645F">
      <w:pPr>
        <w:numPr>
          <w:ilvl w:val="0"/>
          <w:numId w:val="4"/>
        </w:numPr>
        <w:spacing w:after="120" w:line="20" w:lineRule="atLeast"/>
      </w:pPr>
      <w:r>
        <w:t xml:space="preserve">The </w:t>
      </w:r>
      <w:r w:rsidR="00D46BCD">
        <w:t xml:space="preserve">Voyager Wind I, LLC and the </w:t>
      </w:r>
      <w:r>
        <w:t xml:space="preserve">TGP Energy Management LLC </w:t>
      </w:r>
      <w:r w:rsidR="00D46BCD">
        <w:t>agreements are consistent with the bilateral contracting guidelines established in D.06-10-019 and D.09-06-050.</w:t>
      </w:r>
    </w:p>
    <w:p w14:paraId="5E7C66AF" w14:textId="1227E1F4" w:rsidR="009B645F" w:rsidRPr="00215936" w:rsidRDefault="009B645F" w:rsidP="009B645F">
      <w:pPr>
        <w:numPr>
          <w:ilvl w:val="0"/>
          <w:numId w:val="4"/>
        </w:numPr>
        <w:spacing w:after="120" w:line="20" w:lineRule="atLeast"/>
      </w:pPr>
      <w:r w:rsidRPr="00215936">
        <w:t xml:space="preserve">The </w:t>
      </w:r>
      <w:r w:rsidR="00F048C7">
        <w:t>Voyager</w:t>
      </w:r>
      <w:r w:rsidR="00E06CCF" w:rsidRPr="00215936">
        <w:t xml:space="preserve"> </w:t>
      </w:r>
      <w:r w:rsidR="00332CA5" w:rsidRPr="00215936">
        <w:t>Wind</w:t>
      </w:r>
      <w:r w:rsidR="004D372F">
        <w:t xml:space="preserve"> I</w:t>
      </w:r>
      <w:r w:rsidR="00A53E13" w:rsidRPr="00215936">
        <w:t>, LLC</w:t>
      </w:r>
      <w:r w:rsidRPr="00215936">
        <w:t xml:space="preserve"> power purchase agreement</w:t>
      </w:r>
      <w:r w:rsidR="00A53E13" w:rsidRPr="00215936">
        <w:t xml:space="preserve"> </w:t>
      </w:r>
      <w:r w:rsidR="004D372F">
        <w:t>and the TGP Energy Management agreement are</w:t>
      </w:r>
      <w:r w:rsidR="00A53E13" w:rsidRPr="00215936">
        <w:t xml:space="preserve"> consistent with SC</w:t>
      </w:r>
      <w:r w:rsidRPr="00215936">
        <w:t xml:space="preserve">E’s </w:t>
      </w:r>
      <w:r w:rsidR="006E2CD3" w:rsidRPr="00215936">
        <w:t>2014</w:t>
      </w:r>
      <w:r w:rsidRPr="00215936">
        <w:t xml:space="preserve"> Renewables Portfolio Standard Procurement Plan, as approved by</w:t>
      </w:r>
      <w:r w:rsidR="00AD7D04" w:rsidRPr="00215936">
        <w:t xml:space="preserve"> </w:t>
      </w:r>
      <w:r w:rsidRPr="00215936">
        <w:t>D.</w:t>
      </w:r>
      <w:r w:rsidR="00AA7906" w:rsidRPr="00215936">
        <w:t>14-11-042</w:t>
      </w:r>
      <w:r w:rsidRPr="00215936">
        <w:t>.</w:t>
      </w:r>
    </w:p>
    <w:p w14:paraId="657C38B7" w14:textId="1F140E02" w:rsidR="00696758" w:rsidRPr="00215936" w:rsidRDefault="00696758" w:rsidP="00E06CCF">
      <w:pPr>
        <w:pStyle w:val="BodyText"/>
        <w:numPr>
          <w:ilvl w:val="0"/>
          <w:numId w:val="4"/>
        </w:numPr>
        <w:spacing w:after="120" w:line="20" w:lineRule="atLeast"/>
        <w:rPr>
          <w:b w:val="0"/>
        </w:rPr>
      </w:pPr>
      <w:r w:rsidRPr="00215936">
        <w:rPr>
          <w:b w:val="0"/>
        </w:rPr>
        <w:t xml:space="preserve">The </w:t>
      </w:r>
      <w:r w:rsidR="00F048C7">
        <w:rPr>
          <w:b w:val="0"/>
        </w:rPr>
        <w:t>Voyager</w:t>
      </w:r>
      <w:r w:rsidR="00E06CCF" w:rsidRPr="00215936">
        <w:rPr>
          <w:b w:val="0"/>
        </w:rPr>
        <w:t xml:space="preserve"> </w:t>
      </w:r>
      <w:r w:rsidR="00332CA5" w:rsidRPr="00215936">
        <w:rPr>
          <w:b w:val="0"/>
        </w:rPr>
        <w:t>Wind</w:t>
      </w:r>
      <w:r w:rsidR="00306847">
        <w:rPr>
          <w:b w:val="0"/>
        </w:rPr>
        <w:t xml:space="preserve"> I</w:t>
      </w:r>
      <w:r w:rsidR="00E06CCF" w:rsidRPr="00215936">
        <w:rPr>
          <w:b w:val="0"/>
        </w:rPr>
        <w:t xml:space="preserve">, LLC </w:t>
      </w:r>
      <w:r w:rsidR="003052BA" w:rsidRPr="00215936">
        <w:rPr>
          <w:b w:val="0"/>
        </w:rPr>
        <w:t xml:space="preserve">power purchase agreement </w:t>
      </w:r>
      <w:r w:rsidRPr="00215936">
        <w:rPr>
          <w:b w:val="0"/>
        </w:rPr>
        <w:t xml:space="preserve">was evaluated consistent with the </w:t>
      </w:r>
      <w:r w:rsidR="000A7701" w:rsidRPr="00215936">
        <w:rPr>
          <w:b w:val="0"/>
        </w:rPr>
        <w:t>l</w:t>
      </w:r>
      <w:r w:rsidR="00604A6F" w:rsidRPr="00215936">
        <w:rPr>
          <w:b w:val="0"/>
        </w:rPr>
        <w:t>east-cost</w:t>
      </w:r>
      <w:r w:rsidR="000A7701" w:rsidRPr="00215936">
        <w:rPr>
          <w:b w:val="0"/>
        </w:rPr>
        <w:t xml:space="preserve"> and</w:t>
      </w:r>
      <w:r w:rsidR="00604A6F" w:rsidRPr="00215936">
        <w:rPr>
          <w:b w:val="0"/>
        </w:rPr>
        <w:t xml:space="preserve"> </w:t>
      </w:r>
      <w:r w:rsidR="000A7701" w:rsidRPr="00215936">
        <w:rPr>
          <w:b w:val="0"/>
        </w:rPr>
        <w:t>b</w:t>
      </w:r>
      <w:r w:rsidR="00604A6F" w:rsidRPr="00215936">
        <w:rPr>
          <w:b w:val="0"/>
        </w:rPr>
        <w:t>est-fit</w:t>
      </w:r>
      <w:r w:rsidRPr="00215936">
        <w:rPr>
          <w:b w:val="0"/>
        </w:rPr>
        <w:t xml:space="preserve"> methodology described in SCE’s </w:t>
      </w:r>
      <w:r w:rsidR="006E2CD3" w:rsidRPr="00215936">
        <w:rPr>
          <w:b w:val="0"/>
        </w:rPr>
        <w:t>2014</w:t>
      </w:r>
      <w:r w:rsidRPr="00215936">
        <w:rPr>
          <w:b w:val="0"/>
        </w:rPr>
        <w:t xml:space="preserve"> RPS Procurement Plan</w:t>
      </w:r>
      <w:r w:rsidR="00C61FD5" w:rsidRPr="00215936">
        <w:rPr>
          <w:b w:val="0"/>
        </w:rPr>
        <w:t>.</w:t>
      </w:r>
      <w:r w:rsidR="00D46BCD">
        <w:rPr>
          <w:b w:val="0"/>
        </w:rPr>
        <w:t xml:space="preserve">  </w:t>
      </w:r>
      <w:r w:rsidR="00C61FD5" w:rsidRPr="00215936">
        <w:rPr>
          <w:b w:val="0"/>
        </w:rPr>
        <w:t xml:space="preserve"> </w:t>
      </w:r>
      <w:r w:rsidRPr="00215936">
        <w:rPr>
          <w:b w:val="0"/>
        </w:rPr>
        <w:t xml:space="preserve"> </w:t>
      </w:r>
    </w:p>
    <w:p w14:paraId="4FC821BB" w14:textId="5F6A1753" w:rsidR="009B645F" w:rsidRPr="00215936" w:rsidRDefault="009B645F" w:rsidP="00E06CCF">
      <w:pPr>
        <w:pStyle w:val="BodyText"/>
        <w:numPr>
          <w:ilvl w:val="0"/>
          <w:numId w:val="4"/>
        </w:numPr>
        <w:spacing w:after="120" w:line="20" w:lineRule="atLeast"/>
        <w:rPr>
          <w:b w:val="0"/>
        </w:rPr>
      </w:pPr>
      <w:r w:rsidRPr="00215936">
        <w:rPr>
          <w:b w:val="0"/>
        </w:rPr>
        <w:t xml:space="preserve">The </w:t>
      </w:r>
      <w:r w:rsidR="00F048C7">
        <w:rPr>
          <w:b w:val="0"/>
        </w:rPr>
        <w:t>Voyager</w:t>
      </w:r>
      <w:r w:rsidR="00E06CCF" w:rsidRPr="00215936">
        <w:rPr>
          <w:b w:val="0"/>
        </w:rPr>
        <w:t xml:space="preserve"> </w:t>
      </w:r>
      <w:r w:rsidR="00332CA5" w:rsidRPr="00215936">
        <w:rPr>
          <w:b w:val="0"/>
        </w:rPr>
        <w:t>Wind</w:t>
      </w:r>
      <w:r w:rsidR="00306847">
        <w:rPr>
          <w:b w:val="0"/>
        </w:rPr>
        <w:t xml:space="preserve"> I</w:t>
      </w:r>
      <w:r w:rsidR="00E06CCF" w:rsidRPr="00215936">
        <w:rPr>
          <w:b w:val="0"/>
        </w:rPr>
        <w:t>, LLC</w:t>
      </w:r>
      <w:r w:rsidR="00A53E13" w:rsidRPr="00215936">
        <w:t xml:space="preserve"> </w:t>
      </w:r>
      <w:r w:rsidRPr="00215936">
        <w:rPr>
          <w:b w:val="0"/>
        </w:rPr>
        <w:t>power purchase ag</w:t>
      </w:r>
      <w:r w:rsidR="00F6320D" w:rsidRPr="00215936">
        <w:rPr>
          <w:b w:val="0"/>
        </w:rPr>
        <w:t>reement includes the Commission-</w:t>
      </w:r>
      <w:r w:rsidRPr="00215936">
        <w:rPr>
          <w:b w:val="0"/>
        </w:rPr>
        <w:t xml:space="preserve">adopted Renewables Portfolio Standard “non-modifiable” </w:t>
      </w:r>
      <w:r w:rsidRPr="00215936">
        <w:rPr>
          <w:b w:val="0"/>
        </w:rPr>
        <w:lastRenderedPageBreak/>
        <w:t>standard terms and conditions, as set forth in D.08-04-009, D.08-08-028, D.10-03-021, as modified by D.11-01-025, D.13-11-024</w:t>
      </w:r>
      <w:r w:rsidR="00B93511" w:rsidRPr="00215936">
        <w:rPr>
          <w:b w:val="0"/>
        </w:rPr>
        <w:t>, and D.14-11-042</w:t>
      </w:r>
      <w:r w:rsidRPr="00215936">
        <w:rPr>
          <w:b w:val="0"/>
        </w:rPr>
        <w:t>.</w:t>
      </w:r>
    </w:p>
    <w:p w14:paraId="4BC2DFFE" w14:textId="1D709410" w:rsidR="009B645F" w:rsidRPr="00215936" w:rsidRDefault="009B645F" w:rsidP="00E06CCF">
      <w:pPr>
        <w:pStyle w:val="BodyText"/>
        <w:numPr>
          <w:ilvl w:val="0"/>
          <w:numId w:val="4"/>
        </w:numPr>
        <w:spacing w:after="120" w:line="20" w:lineRule="atLeast"/>
        <w:rPr>
          <w:b w:val="0"/>
        </w:rPr>
      </w:pPr>
      <w:r w:rsidRPr="00215936">
        <w:rPr>
          <w:b w:val="0"/>
        </w:rPr>
        <w:t xml:space="preserve">Consistent with D.11-12-052, </w:t>
      </w:r>
      <w:r w:rsidR="005D053D" w:rsidRPr="00215936">
        <w:rPr>
          <w:b w:val="0"/>
        </w:rPr>
        <w:t>SCE</w:t>
      </w:r>
      <w:r w:rsidRPr="00215936">
        <w:rPr>
          <w:b w:val="0"/>
        </w:rPr>
        <w:t xml:space="preserve"> provided information in Advice Letter </w:t>
      </w:r>
      <w:r w:rsidR="008F1BC6" w:rsidRPr="00215936">
        <w:rPr>
          <w:b w:val="0"/>
        </w:rPr>
        <w:t>3</w:t>
      </w:r>
      <w:r w:rsidR="00D46BCD">
        <w:rPr>
          <w:b w:val="0"/>
        </w:rPr>
        <w:t>330</w:t>
      </w:r>
      <w:r w:rsidRPr="00215936">
        <w:rPr>
          <w:b w:val="0"/>
        </w:rPr>
        <w:t>-E</w:t>
      </w:r>
      <w:r w:rsidR="00A4067D" w:rsidRPr="00215936">
        <w:rPr>
          <w:b w:val="0"/>
        </w:rPr>
        <w:t xml:space="preserve"> </w:t>
      </w:r>
      <w:r w:rsidRPr="00215936">
        <w:rPr>
          <w:b w:val="0"/>
        </w:rPr>
        <w:t xml:space="preserve">regarding the expected portfolio content category classification of the renewable energy credits to be procured pursuant to the </w:t>
      </w:r>
      <w:r w:rsidR="00F048C7">
        <w:rPr>
          <w:b w:val="0"/>
        </w:rPr>
        <w:t>Voyager</w:t>
      </w:r>
      <w:r w:rsidR="00E06CCF" w:rsidRPr="00215936">
        <w:rPr>
          <w:b w:val="0"/>
        </w:rPr>
        <w:t xml:space="preserve"> </w:t>
      </w:r>
      <w:r w:rsidR="00332CA5" w:rsidRPr="00215936">
        <w:rPr>
          <w:b w:val="0"/>
        </w:rPr>
        <w:t>Wind</w:t>
      </w:r>
      <w:r w:rsidR="00306847">
        <w:rPr>
          <w:b w:val="0"/>
        </w:rPr>
        <w:t xml:space="preserve"> I</w:t>
      </w:r>
      <w:r w:rsidR="00E06CCF" w:rsidRPr="00215936">
        <w:rPr>
          <w:b w:val="0"/>
        </w:rPr>
        <w:t>, LLC</w:t>
      </w:r>
      <w:r w:rsidRPr="00215936">
        <w:rPr>
          <w:b w:val="0"/>
        </w:rPr>
        <w:t xml:space="preserve"> power purchase agreement.  </w:t>
      </w:r>
    </w:p>
    <w:p w14:paraId="0E18040B" w14:textId="24369EBF" w:rsidR="009B645F" w:rsidRDefault="00696758" w:rsidP="00E06CCF">
      <w:pPr>
        <w:pStyle w:val="BodyText"/>
        <w:numPr>
          <w:ilvl w:val="0"/>
          <w:numId w:val="4"/>
        </w:numPr>
        <w:spacing w:after="120" w:line="20" w:lineRule="atLeast"/>
        <w:rPr>
          <w:b w:val="0"/>
        </w:rPr>
      </w:pPr>
      <w:r w:rsidRPr="00215936">
        <w:rPr>
          <w:b w:val="0"/>
        </w:rPr>
        <w:t xml:space="preserve">Because the </w:t>
      </w:r>
      <w:r w:rsidR="00F048C7">
        <w:rPr>
          <w:b w:val="0"/>
        </w:rPr>
        <w:t>Voyager</w:t>
      </w:r>
      <w:r w:rsidR="00E06CCF" w:rsidRPr="00215936">
        <w:rPr>
          <w:b w:val="0"/>
        </w:rPr>
        <w:t xml:space="preserve"> </w:t>
      </w:r>
      <w:r w:rsidR="00332CA5" w:rsidRPr="00215936">
        <w:rPr>
          <w:b w:val="0"/>
        </w:rPr>
        <w:t>Wind</w:t>
      </w:r>
      <w:r w:rsidR="00306847">
        <w:rPr>
          <w:b w:val="0"/>
        </w:rPr>
        <w:t xml:space="preserve"> I</w:t>
      </w:r>
      <w:r w:rsidR="00E06CCF" w:rsidRPr="00215936">
        <w:rPr>
          <w:b w:val="0"/>
        </w:rPr>
        <w:t xml:space="preserve">, LLC </w:t>
      </w:r>
      <w:r w:rsidR="003052BA" w:rsidRPr="00215936">
        <w:rPr>
          <w:b w:val="0"/>
        </w:rPr>
        <w:t xml:space="preserve">power purchase agreement </w:t>
      </w:r>
      <w:r w:rsidRPr="00215936">
        <w:rPr>
          <w:b w:val="0"/>
        </w:rPr>
        <w:t xml:space="preserve">is </w:t>
      </w:r>
      <w:r w:rsidR="005D3BED" w:rsidRPr="00215936">
        <w:rPr>
          <w:b w:val="0"/>
        </w:rPr>
        <w:t xml:space="preserve">longer </w:t>
      </w:r>
      <w:r w:rsidRPr="00215936">
        <w:rPr>
          <w:b w:val="0"/>
        </w:rPr>
        <w:t xml:space="preserve">than 10 years, the long-term contracting requirement does not apply to SCE’s procurement </w:t>
      </w:r>
      <w:r w:rsidR="002A067B" w:rsidRPr="00215936">
        <w:rPr>
          <w:b w:val="0"/>
        </w:rPr>
        <w:t>via</w:t>
      </w:r>
      <w:r w:rsidRPr="00215936">
        <w:rPr>
          <w:b w:val="0"/>
        </w:rPr>
        <w:t xml:space="preserve"> the </w:t>
      </w:r>
      <w:r w:rsidR="00F048C7">
        <w:rPr>
          <w:b w:val="0"/>
        </w:rPr>
        <w:t>Voyager</w:t>
      </w:r>
      <w:r w:rsidR="00E06CCF" w:rsidRPr="00215936">
        <w:rPr>
          <w:b w:val="0"/>
        </w:rPr>
        <w:t xml:space="preserve"> </w:t>
      </w:r>
      <w:r w:rsidR="00332CA5" w:rsidRPr="00215936">
        <w:rPr>
          <w:b w:val="0"/>
        </w:rPr>
        <w:t>Wind</w:t>
      </w:r>
      <w:r w:rsidR="00306847">
        <w:rPr>
          <w:b w:val="0"/>
        </w:rPr>
        <w:t xml:space="preserve"> I</w:t>
      </w:r>
      <w:r w:rsidR="00E06CCF" w:rsidRPr="00215936">
        <w:rPr>
          <w:b w:val="0"/>
        </w:rPr>
        <w:t xml:space="preserve">, LLC </w:t>
      </w:r>
      <w:r w:rsidR="003052BA" w:rsidRPr="00215936">
        <w:rPr>
          <w:b w:val="0"/>
        </w:rPr>
        <w:t>power purchase agreement</w:t>
      </w:r>
      <w:r w:rsidRPr="00215936">
        <w:rPr>
          <w:b w:val="0"/>
        </w:rPr>
        <w:t xml:space="preserve">, and the </w:t>
      </w:r>
      <w:r w:rsidR="00F048C7">
        <w:rPr>
          <w:b w:val="0"/>
        </w:rPr>
        <w:t>Voyager</w:t>
      </w:r>
      <w:r w:rsidR="00E06CCF" w:rsidRPr="00215936">
        <w:rPr>
          <w:b w:val="0"/>
        </w:rPr>
        <w:t xml:space="preserve"> </w:t>
      </w:r>
      <w:r w:rsidR="00332CA5" w:rsidRPr="00215936">
        <w:rPr>
          <w:b w:val="0"/>
        </w:rPr>
        <w:t>Wind</w:t>
      </w:r>
      <w:r w:rsidR="00306847">
        <w:rPr>
          <w:b w:val="0"/>
        </w:rPr>
        <w:t xml:space="preserve"> I</w:t>
      </w:r>
      <w:r w:rsidR="00E06CCF" w:rsidRPr="00215936">
        <w:rPr>
          <w:b w:val="0"/>
        </w:rPr>
        <w:t>, LLC</w:t>
      </w:r>
      <w:r w:rsidR="003052BA" w:rsidRPr="00215936">
        <w:rPr>
          <w:b w:val="0"/>
        </w:rPr>
        <w:t xml:space="preserve"> power purchase agreement </w:t>
      </w:r>
      <w:r w:rsidRPr="00215936">
        <w:rPr>
          <w:b w:val="0"/>
        </w:rPr>
        <w:t>will contribute to SCE’s long-term contacting requirement</w:t>
      </w:r>
      <w:r w:rsidR="00E06CCF" w:rsidRPr="00215936">
        <w:rPr>
          <w:b w:val="0"/>
        </w:rPr>
        <w:t xml:space="preserve"> established in D.12-06-038 for</w:t>
      </w:r>
      <w:r w:rsidR="00745598" w:rsidRPr="00215936">
        <w:rPr>
          <w:b w:val="0"/>
        </w:rPr>
        <w:t xml:space="preserve"> </w:t>
      </w:r>
      <w:r w:rsidRPr="00215936">
        <w:rPr>
          <w:b w:val="0"/>
        </w:rPr>
        <w:t>Compliance Period 2014-2016</w:t>
      </w:r>
      <w:r w:rsidR="009B645F" w:rsidRPr="00215936">
        <w:rPr>
          <w:b w:val="0"/>
        </w:rPr>
        <w:t>.</w:t>
      </w:r>
    </w:p>
    <w:p w14:paraId="7BE5227D" w14:textId="6A8C21C7" w:rsidR="00CE4D70" w:rsidRPr="00215936" w:rsidRDefault="00CE4D70" w:rsidP="00E06CCF">
      <w:pPr>
        <w:pStyle w:val="BodyText"/>
        <w:numPr>
          <w:ilvl w:val="0"/>
          <w:numId w:val="4"/>
        </w:numPr>
        <w:spacing w:after="120" w:line="20" w:lineRule="atLeast"/>
        <w:rPr>
          <w:b w:val="0"/>
        </w:rPr>
      </w:pPr>
      <w:r>
        <w:rPr>
          <w:b w:val="0"/>
        </w:rPr>
        <w:t xml:space="preserve">The long-term contracting requirement also does not apply to sales agreements, thus it is not applicable to the TGP Energy Management, LLC </w:t>
      </w:r>
      <w:r w:rsidR="00B760A8">
        <w:rPr>
          <w:b w:val="0"/>
        </w:rPr>
        <w:t>a</w:t>
      </w:r>
      <w:r>
        <w:rPr>
          <w:b w:val="0"/>
        </w:rPr>
        <w:t>greement.</w:t>
      </w:r>
    </w:p>
    <w:p w14:paraId="4A5FDBA2" w14:textId="5E74CCA4" w:rsidR="009B645F" w:rsidRPr="00215936" w:rsidRDefault="009B645F" w:rsidP="00E06CCF">
      <w:pPr>
        <w:pStyle w:val="BodyText"/>
        <w:numPr>
          <w:ilvl w:val="0"/>
          <w:numId w:val="4"/>
        </w:numPr>
        <w:spacing w:after="120" w:line="20" w:lineRule="atLeast"/>
        <w:rPr>
          <w:b w:val="0"/>
        </w:rPr>
      </w:pPr>
      <w:r w:rsidRPr="00215936">
        <w:rPr>
          <w:b w:val="0"/>
        </w:rPr>
        <w:t xml:space="preserve">Consistent with D.06-05-039, an independent evaluator oversaw </w:t>
      </w:r>
      <w:r w:rsidR="00696758" w:rsidRPr="00215936">
        <w:rPr>
          <w:b w:val="0"/>
        </w:rPr>
        <w:t>SC</w:t>
      </w:r>
      <w:r w:rsidRPr="00215936">
        <w:rPr>
          <w:b w:val="0"/>
        </w:rPr>
        <w:t>E’s</w:t>
      </w:r>
      <w:r w:rsidR="00E1189F" w:rsidRPr="00215936">
        <w:rPr>
          <w:b w:val="0"/>
        </w:rPr>
        <w:t xml:space="preserve"> </w:t>
      </w:r>
      <w:r w:rsidR="006E2CD3" w:rsidRPr="00215936">
        <w:rPr>
          <w:b w:val="0"/>
        </w:rPr>
        <w:t>2014</w:t>
      </w:r>
      <w:r w:rsidRPr="00215936">
        <w:rPr>
          <w:b w:val="0"/>
        </w:rPr>
        <w:t xml:space="preserve"> Renewables Portfolio Standard procurement </w:t>
      </w:r>
      <w:r w:rsidR="00E1189F" w:rsidRPr="00215936">
        <w:rPr>
          <w:b w:val="0"/>
        </w:rPr>
        <w:t xml:space="preserve">solicitation and SCE’s negotiations </w:t>
      </w:r>
      <w:r w:rsidR="00A83FF5" w:rsidRPr="00215936">
        <w:rPr>
          <w:b w:val="0"/>
        </w:rPr>
        <w:t>with</w:t>
      </w:r>
      <w:r w:rsidR="00E1189F" w:rsidRPr="00215936">
        <w:rPr>
          <w:b w:val="0"/>
        </w:rPr>
        <w:t xml:space="preserve"> </w:t>
      </w:r>
      <w:r w:rsidR="00F048C7">
        <w:rPr>
          <w:b w:val="0"/>
        </w:rPr>
        <w:t>Voyager</w:t>
      </w:r>
      <w:r w:rsidR="00E06CCF" w:rsidRPr="00215936">
        <w:rPr>
          <w:b w:val="0"/>
        </w:rPr>
        <w:t xml:space="preserve"> </w:t>
      </w:r>
      <w:r w:rsidR="00332CA5" w:rsidRPr="00215936">
        <w:rPr>
          <w:b w:val="0"/>
        </w:rPr>
        <w:t>Wind</w:t>
      </w:r>
      <w:r w:rsidR="00C1707D">
        <w:rPr>
          <w:b w:val="0"/>
        </w:rPr>
        <w:t xml:space="preserve"> I</w:t>
      </w:r>
      <w:r w:rsidR="00E06CCF" w:rsidRPr="00215936">
        <w:rPr>
          <w:b w:val="0"/>
        </w:rPr>
        <w:t>, LLC</w:t>
      </w:r>
      <w:r w:rsidR="00D46BCD">
        <w:rPr>
          <w:b w:val="0"/>
        </w:rPr>
        <w:t xml:space="preserve"> and TGP Energy Management, LLC</w:t>
      </w:r>
      <w:r w:rsidRPr="00215936">
        <w:rPr>
          <w:b w:val="0"/>
        </w:rPr>
        <w:t xml:space="preserve">. </w:t>
      </w:r>
    </w:p>
    <w:p w14:paraId="5A79B42F" w14:textId="7B46682D" w:rsidR="00696758" w:rsidRPr="00215936" w:rsidRDefault="003052BA" w:rsidP="00E06CCF">
      <w:pPr>
        <w:numPr>
          <w:ilvl w:val="0"/>
          <w:numId w:val="4"/>
        </w:numPr>
        <w:spacing w:after="120" w:line="20" w:lineRule="atLeast"/>
        <w:rPr>
          <w:rFonts w:cs="Courier New"/>
        </w:rPr>
      </w:pPr>
      <w:r w:rsidRPr="00215936">
        <w:t>Consistent with</w:t>
      </w:r>
      <w:r w:rsidR="00696758" w:rsidRPr="00215936">
        <w:t xml:space="preserve"> D.02-08-071, SCE’s Procurement Review Group participated in the review of the </w:t>
      </w:r>
      <w:r w:rsidR="00F048C7">
        <w:t>Voyager</w:t>
      </w:r>
      <w:r w:rsidR="00E06CCF" w:rsidRPr="00215936">
        <w:t xml:space="preserve"> </w:t>
      </w:r>
      <w:r w:rsidR="00332CA5" w:rsidRPr="00215936">
        <w:t>Wind</w:t>
      </w:r>
      <w:r w:rsidR="00C1707D">
        <w:t xml:space="preserve"> I</w:t>
      </w:r>
      <w:r w:rsidR="00E06CCF" w:rsidRPr="00215936">
        <w:t>, LLC</w:t>
      </w:r>
      <w:r w:rsidR="00696758" w:rsidRPr="00215936">
        <w:t xml:space="preserve"> power</w:t>
      </w:r>
      <w:r w:rsidR="00696758" w:rsidRPr="00215936">
        <w:rPr>
          <w:b/>
        </w:rPr>
        <w:t xml:space="preserve"> </w:t>
      </w:r>
      <w:r w:rsidR="00696758" w:rsidRPr="00215936">
        <w:t>purchase agreement</w:t>
      </w:r>
      <w:r w:rsidR="00150CAE">
        <w:t xml:space="preserve"> and the TGP Energy Management</w:t>
      </w:r>
      <w:r w:rsidR="00D46BCD">
        <w:t>, LL</w:t>
      </w:r>
      <w:r w:rsidR="00B80925">
        <w:t>C</w:t>
      </w:r>
      <w:r w:rsidR="00D46BCD">
        <w:t xml:space="preserve"> </w:t>
      </w:r>
      <w:r w:rsidR="0058582B">
        <w:t>a</w:t>
      </w:r>
      <w:r w:rsidR="00D46BCD">
        <w:t>greement</w:t>
      </w:r>
      <w:r w:rsidR="00696758" w:rsidRPr="00215936">
        <w:t>.</w:t>
      </w:r>
      <w:r w:rsidR="00696758" w:rsidRPr="00215936">
        <w:rPr>
          <w:szCs w:val="26"/>
        </w:rPr>
        <w:t xml:space="preserve"> </w:t>
      </w:r>
    </w:p>
    <w:p w14:paraId="20C194A8" w14:textId="22750E88" w:rsidR="00E06CCF" w:rsidRDefault="00E06CCF" w:rsidP="00E06CCF">
      <w:pPr>
        <w:pStyle w:val="BodyText"/>
        <w:numPr>
          <w:ilvl w:val="0"/>
          <w:numId w:val="4"/>
        </w:numPr>
        <w:spacing w:after="120" w:line="20" w:lineRule="atLeast"/>
        <w:rPr>
          <w:b w:val="0"/>
        </w:rPr>
      </w:pPr>
      <w:r w:rsidRPr="00215936">
        <w:rPr>
          <w:b w:val="0"/>
        </w:rPr>
        <w:t xml:space="preserve">The </w:t>
      </w:r>
      <w:r w:rsidR="00F048C7">
        <w:rPr>
          <w:b w:val="0"/>
        </w:rPr>
        <w:t>Voyager</w:t>
      </w:r>
      <w:r w:rsidRPr="00215936">
        <w:rPr>
          <w:b w:val="0"/>
        </w:rPr>
        <w:t xml:space="preserve"> </w:t>
      </w:r>
      <w:r w:rsidR="00332CA5" w:rsidRPr="00215936">
        <w:rPr>
          <w:b w:val="0"/>
        </w:rPr>
        <w:t>Wind</w:t>
      </w:r>
      <w:r w:rsidR="00C1707D">
        <w:rPr>
          <w:b w:val="0"/>
        </w:rPr>
        <w:t xml:space="preserve"> I</w:t>
      </w:r>
      <w:r w:rsidRPr="00215936">
        <w:rPr>
          <w:b w:val="0"/>
        </w:rPr>
        <w:t xml:space="preserve">, LLC power purchase agreement compares reasonably from a net market value and cost basis relative to RPS offers received in SCE’s 2014 RPS solicitation and contracts executed </w:t>
      </w:r>
      <w:r w:rsidR="00A83FF5" w:rsidRPr="00215936">
        <w:rPr>
          <w:b w:val="0"/>
        </w:rPr>
        <w:t xml:space="preserve">by SCE </w:t>
      </w:r>
      <w:r w:rsidRPr="00215936">
        <w:rPr>
          <w:b w:val="0"/>
        </w:rPr>
        <w:t>in the last 12 months.</w:t>
      </w:r>
    </w:p>
    <w:p w14:paraId="182AAB80" w14:textId="50010F41" w:rsidR="00BD6363" w:rsidRDefault="00BD6363" w:rsidP="00E06CCF">
      <w:pPr>
        <w:numPr>
          <w:ilvl w:val="0"/>
          <w:numId w:val="4"/>
        </w:numPr>
        <w:spacing w:after="120" w:line="20" w:lineRule="atLeast"/>
      </w:pPr>
      <w:r>
        <w:t xml:space="preserve">The total expected revenues of the TGP Energy Management, LLC agreement are reasonable based on the sale contract’s price relative to </w:t>
      </w:r>
      <w:r w:rsidR="004C316D">
        <w:t xml:space="preserve">California REC </w:t>
      </w:r>
      <w:r>
        <w:t>market data</w:t>
      </w:r>
      <w:r w:rsidR="004C316D">
        <w:t>;</w:t>
      </w:r>
      <w:r w:rsidR="00310EE2">
        <w:t xml:space="preserve"> however, use of this method is not precedential</w:t>
      </w:r>
      <w:r>
        <w:t>.</w:t>
      </w:r>
      <w:r w:rsidR="00225AF1">
        <w:t xml:space="preserve">  </w:t>
      </w:r>
      <w:r w:rsidR="00225AF1" w:rsidRPr="00225AF1">
        <w:t>The Commission has found that competitive processes maximize customer value.</w:t>
      </w:r>
    </w:p>
    <w:p w14:paraId="4F82AEE4" w14:textId="77777777" w:rsidR="00BD6363" w:rsidRDefault="00BD6363" w:rsidP="00E06CCF">
      <w:pPr>
        <w:numPr>
          <w:ilvl w:val="0"/>
          <w:numId w:val="4"/>
        </w:numPr>
        <w:spacing w:after="120" w:line="20" w:lineRule="atLeast"/>
      </w:pPr>
      <w:r>
        <w:t>Payment received by SCE pursuant to the TGP Energy Management, LLC agreement shall be credited to SCE ratepayers through SCE’s Energy Resource Recovery Account (ERRA) over the life of the agreement, subject to Commission review of SCE’s administration of the TGP Energy Management, LLC agreement.</w:t>
      </w:r>
    </w:p>
    <w:p w14:paraId="230FF403" w14:textId="7A942ADF" w:rsidR="00BD6363" w:rsidRPr="007D693F" w:rsidRDefault="0092632E" w:rsidP="00E06CCF">
      <w:pPr>
        <w:numPr>
          <w:ilvl w:val="0"/>
          <w:numId w:val="4"/>
        </w:numPr>
        <w:spacing w:after="120" w:line="20" w:lineRule="atLeast"/>
      </w:pPr>
      <w:r w:rsidRPr="00516EE6">
        <w:lastRenderedPageBreak/>
        <w:t>SCE shall record the transaction authorized in this Resolution in its ERRA Balancing Accounts, and this transaction shall be subject to the Commission’s ERRA review processes.</w:t>
      </w:r>
      <w:r w:rsidR="00BD6363" w:rsidRPr="007D693F">
        <w:t xml:space="preserve"> </w:t>
      </w:r>
    </w:p>
    <w:p w14:paraId="0A026337" w14:textId="213DA367" w:rsidR="00696758" w:rsidRPr="007C3DB8" w:rsidRDefault="00696758" w:rsidP="00E06CCF">
      <w:pPr>
        <w:numPr>
          <w:ilvl w:val="0"/>
          <w:numId w:val="4"/>
        </w:numPr>
        <w:spacing w:after="120" w:line="20" w:lineRule="atLeast"/>
      </w:pPr>
      <w:r w:rsidRPr="007D693F">
        <w:rPr>
          <w:szCs w:val="26"/>
        </w:rPr>
        <w:t xml:space="preserve">The </w:t>
      </w:r>
      <w:r w:rsidR="00F048C7" w:rsidRPr="007D693F">
        <w:rPr>
          <w:szCs w:val="26"/>
        </w:rPr>
        <w:t>Voyager</w:t>
      </w:r>
      <w:r w:rsidR="00E06CCF" w:rsidRPr="007D693F">
        <w:rPr>
          <w:szCs w:val="26"/>
        </w:rPr>
        <w:t xml:space="preserve"> </w:t>
      </w:r>
      <w:r w:rsidR="00332CA5" w:rsidRPr="007D693F">
        <w:rPr>
          <w:szCs w:val="26"/>
        </w:rPr>
        <w:t>Wind</w:t>
      </w:r>
      <w:r w:rsidR="00D324BE" w:rsidRPr="007D693F">
        <w:rPr>
          <w:szCs w:val="26"/>
        </w:rPr>
        <w:t xml:space="preserve"> I</w:t>
      </w:r>
      <w:r w:rsidR="00E06CCF" w:rsidRPr="007D693F">
        <w:rPr>
          <w:szCs w:val="26"/>
        </w:rPr>
        <w:t xml:space="preserve">, LLC </w:t>
      </w:r>
      <w:r w:rsidRPr="007D693F">
        <w:t>power purchase agreement</w:t>
      </w:r>
      <w:r w:rsidRPr="007D693F">
        <w:rPr>
          <w:szCs w:val="26"/>
        </w:rPr>
        <w:t xml:space="preserve"> is not covered procurement subject to the Emissions Performance Standard </w:t>
      </w:r>
      <w:r w:rsidR="00014DC5" w:rsidRPr="007D693F">
        <w:rPr>
          <w:szCs w:val="26"/>
        </w:rPr>
        <w:t xml:space="preserve">(EPS) </w:t>
      </w:r>
      <w:r w:rsidRPr="007D693F">
        <w:rPr>
          <w:szCs w:val="26"/>
        </w:rPr>
        <w:t>because the generating facility has a forecast annualized capacity factor of less than 60 percent and therefore is not baseload generation under paragraphs 1(a)(ii) and 3(2)(a) of the Adopted Interim Emissions Performance Standard Rules.</w:t>
      </w:r>
    </w:p>
    <w:p w14:paraId="70948674" w14:textId="0CF704F5" w:rsidR="00014DC5" w:rsidRPr="007D693F" w:rsidRDefault="00014DC5" w:rsidP="00E06CCF">
      <w:pPr>
        <w:numPr>
          <w:ilvl w:val="0"/>
          <w:numId w:val="4"/>
        </w:numPr>
        <w:spacing w:after="120" w:line="20" w:lineRule="atLeast"/>
      </w:pPr>
      <w:r w:rsidRPr="00516EE6">
        <w:t>The EPS is not applicable to the TGP Sale Agreement because it has a delivery term of less than five years.</w:t>
      </w:r>
    </w:p>
    <w:p w14:paraId="714FCB87" w14:textId="5923F861" w:rsidR="00C83C12" w:rsidRDefault="009B645F" w:rsidP="00E06CCF">
      <w:pPr>
        <w:numPr>
          <w:ilvl w:val="0"/>
          <w:numId w:val="4"/>
        </w:numPr>
        <w:spacing w:after="120" w:line="20" w:lineRule="atLeast"/>
      </w:pPr>
      <w:r w:rsidRPr="00215936">
        <w:t xml:space="preserve">It is reasonable to expect that </w:t>
      </w:r>
      <w:r w:rsidR="00F048C7">
        <w:t>Voyager</w:t>
      </w:r>
      <w:r w:rsidR="00E06CCF" w:rsidRPr="00215936">
        <w:t xml:space="preserve"> </w:t>
      </w:r>
      <w:r w:rsidR="00332CA5" w:rsidRPr="00215936">
        <w:t>Wind</w:t>
      </w:r>
      <w:r w:rsidR="00A73120">
        <w:t xml:space="preserve"> I</w:t>
      </w:r>
      <w:r w:rsidR="00E06CCF" w:rsidRPr="00215936">
        <w:t xml:space="preserve">, LLC </w:t>
      </w:r>
      <w:r w:rsidR="00D46BCD">
        <w:t xml:space="preserve">and TGP Energy Management </w:t>
      </w:r>
      <w:r w:rsidRPr="00215936">
        <w:t xml:space="preserve">will be able to meet the terms and conditions in the </w:t>
      </w:r>
      <w:r w:rsidR="00F048C7">
        <w:t>Voyager</w:t>
      </w:r>
      <w:r w:rsidR="00E06CCF" w:rsidRPr="00215936">
        <w:t xml:space="preserve"> </w:t>
      </w:r>
      <w:r w:rsidR="00332CA5" w:rsidRPr="00215936">
        <w:t>Wind</w:t>
      </w:r>
      <w:r w:rsidR="00E06CCF" w:rsidRPr="00215936">
        <w:t xml:space="preserve">, LLC </w:t>
      </w:r>
      <w:r w:rsidRPr="00215936">
        <w:t>power purchase agreement</w:t>
      </w:r>
      <w:r w:rsidR="00D46BCD">
        <w:t xml:space="preserve"> and the TGP Energy Management agreement</w:t>
      </w:r>
      <w:r w:rsidRPr="00215936">
        <w:t>.</w:t>
      </w:r>
    </w:p>
    <w:p w14:paraId="504F4641" w14:textId="1A71A444" w:rsidR="009B645F" w:rsidRPr="00215936" w:rsidRDefault="009B645F" w:rsidP="00516EE6">
      <w:pPr>
        <w:numPr>
          <w:ilvl w:val="0"/>
          <w:numId w:val="4"/>
        </w:numPr>
        <w:spacing w:after="120" w:line="20" w:lineRule="atLeast"/>
      </w:pPr>
      <w:r w:rsidRPr="00D46BCD">
        <w:rPr>
          <w:szCs w:val="26"/>
        </w:rPr>
        <w:t xml:space="preserve">Procurement pursuant to the </w:t>
      </w:r>
      <w:r w:rsidR="00F048C7">
        <w:t>Voyager</w:t>
      </w:r>
      <w:r w:rsidR="00E06CCF" w:rsidRPr="00215936">
        <w:t xml:space="preserve"> </w:t>
      </w:r>
      <w:r w:rsidR="00332CA5" w:rsidRPr="00215936">
        <w:t>Wind</w:t>
      </w:r>
      <w:r w:rsidR="00226052">
        <w:t xml:space="preserve"> I</w:t>
      </w:r>
      <w:r w:rsidR="00E06CCF" w:rsidRPr="00215936">
        <w:t xml:space="preserve">, LLC </w:t>
      </w:r>
      <w:r w:rsidRPr="00215936">
        <w:t xml:space="preserve">power purchase agreement </w:t>
      </w:r>
      <w:r w:rsidR="00C61FD5" w:rsidRPr="00D46BCD">
        <w:rPr>
          <w:szCs w:val="26"/>
        </w:rPr>
        <w:t xml:space="preserve">must be </w:t>
      </w:r>
      <w:r w:rsidRPr="00D46BCD">
        <w:rPr>
          <w:szCs w:val="26"/>
        </w:rPr>
        <w:t xml:space="preserve">procurement from an eligible renewable energy resource </w:t>
      </w:r>
      <w:r w:rsidR="00C61FD5" w:rsidRPr="00D46BCD">
        <w:rPr>
          <w:szCs w:val="26"/>
        </w:rPr>
        <w:t>certified by the C</w:t>
      </w:r>
      <w:r w:rsidR="00A83FF5" w:rsidRPr="00D46BCD">
        <w:rPr>
          <w:szCs w:val="26"/>
        </w:rPr>
        <w:t>alifornia Energy Commission</w:t>
      </w:r>
      <w:r w:rsidR="00C61FD5" w:rsidRPr="00D46BCD">
        <w:rPr>
          <w:szCs w:val="26"/>
        </w:rPr>
        <w:t xml:space="preserve"> </w:t>
      </w:r>
      <w:r w:rsidRPr="00D46BCD">
        <w:rPr>
          <w:szCs w:val="26"/>
        </w:rPr>
        <w:t xml:space="preserve">for purposes of determining </w:t>
      </w:r>
      <w:r w:rsidR="00A53E13" w:rsidRPr="00D46BCD">
        <w:rPr>
          <w:szCs w:val="26"/>
        </w:rPr>
        <w:t>SC</w:t>
      </w:r>
      <w:r w:rsidRPr="00D46BCD">
        <w:rPr>
          <w:szCs w:val="26"/>
        </w:rPr>
        <w:t>E’s compliance with any obligation that it may have to procure eligible renewable energy resources pursuant to the California Renewables Portfolio Standard (Section</w:t>
      </w:r>
      <w:r w:rsidR="00C61FD5" w:rsidRPr="00D46BCD">
        <w:rPr>
          <w:szCs w:val="26"/>
        </w:rPr>
        <w:t>s</w:t>
      </w:r>
      <w:r w:rsidRPr="00D46BCD">
        <w:rPr>
          <w:szCs w:val="26"/>
        </w:rPr>
        <w:t xml:space="preserve"> 399.11</w:t>
      </w:r>
      <w:r w:rsidR="00C61FD5" w:rsidRPr="00D46BCD">
        <w:rPr>
          <w:szCs w:val="26"/>
        </w:rPr>
        <w:t>,</w:t>
      </w:r>
      <w:r w:rsidRPr="00D46BCD">
        <w:rPr>
          <w:szCs w:val="26"/>
        </w:rPr>
        <w:t xml:space="preserve"> </w:t>
      </w:r>
      <w:r w:rsidRPr="00D46BCD">
        <w:rPr>
          <w:i/>
          <w:szCs w:val="26"/>
        </w:rPr>
        <w:t>et seq</w:t>
      </w:r>
      <w:r w:rsidRPr="00D46BCD">
        <w:rPr>
          <w:szCs w:val="26"/>
        </w:rPr>
        <w:t>.), D.03-06-071 and D.06-10-050, or other applicable law</w:t>
      </w:r>
      <w:r w:rsidR="00C61FD5" w:rsidRPr="00D46BCD">
        <w:rPr>
          <w:szCs w:val="26"/>
        </w:rPr>
        <w:t xml:space="preserve"> on or before the first d</w:t>
      </w:r>
      <w:r w:rsidR="003C3C12" w:rsidRPr="00D46BCD">
        <w:rPr>
          <w:szCs w:val="26"/>
        </w:rPr>
        <w:t>e</w:t>
      </w:r>
      <w:r w:rsidR="00C61FD5" w:rsidRPr="00D46BCD">
        <w:rPr>
          <w:szCs w:val="26"/>
        </w:rPr>
        <w:t>livery of energy</w:t>
      </w:r>
      <w:r w:rsidRPr="00D46BCD">
        <w:rPr>
          <w:szCs w:val="26"/>
        </w:rPr>
        <w:t>.</w:t>
      </w:r>
    </w:p>
    <w:p w14:paraId="39BA7F52" w14:textId="14B7782F" w:rsidR="00B235B5" w:rsidRPr="00215936" w:rsidRDefault="00B235B5" w:rsidP="00E06CCF">
      <w:pPr>
        <w:numPr>
          <w:ilvl w:val="0"/>
          <w:numId w:val="4"/>
        </w:numPr>
        <w:spacing w:before="120" w:after="120" w:line="240" w:lineRule="atLeast"/>
        <w:rPr>
          <w:rFonts w:cs="Courier New"/>
        </w:rPr>
      </w:pPr>
      <w:r w:rsidRPr="00215936">
        <w:rPr>
          <w:rFonts w:cs="Courier New"/>
        </w:rPr>
        <w:t xml:space="preserve">Payments made by SCE pursuant to the </w:t>
      </w:r>
      <w:r w:rsidR="00F048C7">
        <w:rPr>
          <w:rFonts w:cs="Courier New"/>
        </w:rPr>
        <w:t>Voyager</w:t>
      </w:r>
      <w:r w:rsidR="00E06CCF" w:rsidRPr="00215936">
        <w:rPr>
          <w:rFonts w:cs="Courier New"/>
        </w:rPr>
        <w:t xml:space="preserve"> </w:t>
      </w:r>
      <w:r w:rsidR="00332CA5" w:rsidRPr="00215936">
        <w:rPr>
          <w:rFonts w:cs="Courier New"/>
        </w:rPr>
        <w:t>Wind</w:t>
      </w:r>
      <w:r w:rsidR="007A7042">
        <w:rPr>
          <w:rFonts w:cs="Courier New"/>
        </w:rPr>
        <w:t xml:space="preserve"> I</w:t>
      </w:r>
      <w:r w:rsidR="00E06CCF" w:rsidRPr="00215936">
        <w:rPr>
          <w:rFonts w:cs="Courier New"/>
        </w:rPr>
        <w:t xml:space="preserve">, LLC </w:t>
      </w:r>
      <w:r w:rsidRPr="00215936">
        <w:rPr>
          <w:rFonts w:cs="Courier New"/>
        </w:rPr>
        <w:t>power purchase agreement are fully recoverable in rates over the life of the power purchase agreement, subject to Commission review of SCE’s administration of the power purchase agreement and any other applicable Commission review.</w:t>
      </w:r>
    </w:p>
    <w:p w14:paraId="1C4FBD50" w14:textId="3B452427" w:rsidR="009B645F" w:rsidRPr="00215936" w:rsidRDefault="009B645F" w:rsidP="003D0EA7">
      <w:pPr>
        <w:numPr>
          <w:ilvl w:val="0"/>
          <w:numId w:val="4"/>
        </w:numPr>
        <w:spacing w:after="120" w:line="20" w:lineRule="atLeast"/>
        <w:rPr>
          <w:rFonts w:cs="Courier New"/>
        </w:rPr>
      </w:pPr>
      <w:r w:rsidRPr="00215936">
        <w:rPr>
          <w:rFonts w:cs="Courier New"/>
        </w:rPr>
        <w:t xml:space="preserve">The confidential appendices, marked "[REDACTED]" in the public copy of this </w:t>
      </w:r>
      <w:r w:rsidR="00AC6B3B" w:rsidRPr="00215936">
        <w:rPr>
          <w:rFonts w:cs="Courier New"/>
        </w:rPr>
        <w:t>r</w:t>
      </w:r>
      <w:r w:rsidRPr="00215936">
        <w:rPr>
          <w:rFonts w:cs="Courier New"/>
        </w:rPr>
        <w:t xml:space="preserve">esolution, as well as the confidential portions of the </w:t>
      </w:r>
      <w:r w:rsidR="00CD65B0" w:rsidRPr="00215936">
        <w:rPr>
          <w:rFonts w:cs="Courier New"/>
        </w:rPr>
        <w:t>Advice L</w:t>
      </w:r>
      <w:r w:rsidRPr="00215936">
        <w:rPr>
          <w:rFonts w:cs="Courier New"/>
        </w:rPr>
        <w:t>etter</w:t>
      </w:r>
      <w:r w:rsidR="00D01FCD">
        <w:rPr>
          <w:rFonts w:cs="Courier New"/>
        </w:rPr>
        <w:t>s</w:t>
      </w:r>
      <w:r w:rsidR="00CD65B0" w:rsidRPr="00215936">
        <w:rPr>
          <w:rFonts w:cs="Courier New"/>
        </w:rPr>
        <w:t xml:space="preserve"> </w:t>
      </w:r>
      <w:r w:rsidR="008F1BC6" w:rsidRPr="00215936">
        <w:rPr>
          <w:rFonts w:cs="Courier New"/>
        </w:rPr>
        <w:t>3</w:t>
      </w:r>
      <w:r w:rsidR="000F186F">
        <w:rPr>
          <w:rFonts w:cs="Courier New"/>
        </w:rPr>
        <w:t>330</w:t>
      </w:r>
      <w:r w:rsidR="00CD65B0" w:rsidRPr="00215936">
        <w:rPr>
          <w:rFonts w:cs="Courier New"/>
        </w:rPr>
        <w:t>-E</w:t>
      </w:r>
      <w:r w:rsidR="00D01FCD">
        <w:rPr>
          <w:rFonts w:cs="Courier New"/>
        </w:rPr>
        <w:t xml:space="preserve"> and 3330-E-A</w:t>
      </w:r>
      <w:r w:rsidRPr="00215936">
        <w:rPr>
          <w:rFonts w:cs="Courier New"/>
        </w:rPr>
        <w:t>, remain confidential at this time.</w:t>
      </w:r>
    </w:p>
    <w:p w14:paraId="3A1E769C" w14:textId="24F950BE" w:rsidR="00CF17DE" w:rsidRPr="00215936" w:rsidRDefault="009B645F" w:rsidP="003D0EA7">
      <w:pPr>
        <w:numPr>
          <w:ilvl w:val="0"/>
          <w:numId w:val="4"/>
        </w:numPr>
      </w:pPr>
      <w:r w:rsidRPr="00215936">
        <w:rPr>
          <w:rFonts w:cs="Courier New"/>
        </w:rPr>
        <w:t>Advice Letter</w:t>
      </w:r>
      <w:r w:rsidR="00D01FCD">
        <w:rPr>
          <w:rFonts w:cs="Courier New"/>
        </w:rPr>
        <w:t>s</w:t>
      </w:r>
      <w:r w:rsidRPr="00215936">
        <w:rPr>
          <w:rFonts w:cs="Courier New"/>
        </w:rPr>
        <w:t xml:space="preserve"> </w:t>
      </w:r>
      <w:r w:rsidR="008F1BC6" w:rsidRPr="00215936">
        <w:rPr>
          <w:rFonts w:cs="Courier New"/>
        </w:rPr>
        <w:t>3</w:t>
      </w:r>
      <w:r w:rsidR="00E16E4B">
        <w:rPr>
          <w:rFonts w:cs="Courier New"/>
        </w:rPr>
        <w:t>330</w:t>
      </w:r>
      <w:r w:rsidRPr="00215936">
        <w:rPr>
          <w:rFonts w:cs="Courier New"/>
        </w:rPr>
        <w:t>-E</w:t>
      </w:r>
      <w:r w:rsidR="00D01FCD">
        <w:rPr>
          <w:rFonts w:cs="Courier New"/>
        </w:rPr>
        <w:t xml:space="preserve"> and 3330-E-A</w:t>
      </w:r>
      <w:r w:rsidR="008A422D" w:rsidRPr="00215936">
        <w:rPr>
          <w:rFonts w:cs="Courier New"/>
        </w:rPr>
        <w:t xml:space="preserve"> </w:t>
      </w:r>
      <w:r w:rsidRPr="00215936">
        <w:rPr>
          <w:rFonts w:cs="Courier New"/>
        </w:rPr>
        <w:t xml:space="preserve">should be approved </w:t>
      </w:r>
      <w:r w:rsidR="009F0EF0" w:rsidRPr="00215936">
        <w:rPr>
          <w:rFonts w:cs="Courier New"/>
        </w:rPr>
        <w:t xml:space="preserve">and </w:t>
      </w:r>
      <w:r w:rsidRPr="00215936">
        <w:rPr>
          <w:rFonts w:cs="Courier New"/>
        </w:rPr>
        <w:t>effective today</w:t>
      </w:r>
      <w:r w:rsidR="003052BA" w:rsidRPr="00215936">
        <w:rPr>
          <w:rFonts w:cs="Courier New"/>
        </w:rPr>
        <w:t>.</w:t>
      </w:r>
    </w:p>
    <w:p w14:paraId="3519E83E" w14:textId="77777777" w:rsidR="00222D8F" w:rsidRDefault="00690876">
      <w:pPr>
        <w:pStyle w:val="Heading1"/>
        <w:rPr>
          <w:rFonts w:ascii="Palatino" w:hAnsi="Palatino"/>
        </w:rPr>
      </w:pPr>
      <w:r>
        <w:rPr>
          <w:rFonts w:ascii="Palatino" w:hAnsi="Palatino"/>
        </w:rPr>
        <w:br/>
      </w:r>
    </w:p>
    <w:p w14:paraId="25A41761" w14:textId="77777777" w:rsidR="00222D8F" w:rsidRDefault="00222D8F">
      <w:pPr>
        <w:rPr>
          <w:b/>
          <w:caps/>
          <w:kern w:val="28"/>
          <w:u w:val="single"/>
        </w:rPr>
      </w:pPr>
      <w:r>
        <w:br w:type="page"/>
      </w:r>
    </w:p>
    <w:p w14:paraId="732059F7" w14:textId="3DEF6FE2" w:rsidR="00CF17DE" w:rsidRPr="00215936" w:rsidRDefault="00CF17DE">
      <w:pPr>
        <w:pStyle w:val="Heading1"/>
        <w:rPr>
          <w:rFonts w:ascii="Palatino" w:hAnsi="Palatino"/>
        </w:rPr>
      </w:pPr>
      <w:r w:rsidRPr="00215936">
        <w:rPr>
          <w:rFonts w:ascii="Palatino" w:hAnsi="Palatino"/>
        </w:rPr>
        <w:lastRenderedPageBreak/>
        <w:t>Therefore it is ordered that:</w:t>
      </w:r>
    </w:p>
    <w:p w14:paraId="15FFB078" w14:textId="7E8C71B1" w:rsidR="00CF17DE" w:rsidRPr="00215936" w:rsidRDefault="00CF17DE" w:rsidP="00E06CCF">
      <w:pPr>
        <w:numPr>
          <w:ilvl w:val="0"/>
          <w:numId w:val="5"/>
        </w:numPr>
        <w:rPr>
          <w:snapToGrid w:val="0"/>
        </w:rPr>
      </w:pPr>
      <w:r w:rsidRPr="00215936">
        <w:rPr>
          <w:snapToGrid w:val="0"/>
        </w:rPr>
        <w:t xml:space="preserve">The request of the </w:t>
      </w:r>
      <w:r w:rsidR="00A53E13" w:rsidRPr="00215936">
        <w:rPr>
          <w:snapToGrid w:val="0"/>
        </w:rPr>
        <w:t>Southern California Edison Company</w:t>
      </w:r>
      <w:r w:rsidRPr="00215936">
        <w:rPr>
          <w:snapToGrid w:val="0"/>
        </w:rPr>
        <w:t xml:space="preserve"> </w:t>
      </w:r>
      <w:r w:rsidR="00A53E13" w:rsidRPr="00215936">
        <w:rPr>
          <w:snapToGrid w:val="0"/>
        </w:rPr>
        <w:t xml:space="preserve">for review and approval of a power purchase agreement with </w:t>
      </w:r>
      <w:r w:rsidR="00F048C7">
        <w:rPr>
          <w:snapToGrid w:val="0"/>
        </w:rPr>
        <w:t>Voyager</w:t>
      </w:r>
      <w:r w:rsidR="00E06CCF" w:rsidRPr="00215936">
        <w:rPr>
          <w:snapToGrid w:val="0"/>
        </w:rPr>
        <w:t xml:space="preserve"> </w:t>
      </w:r>
      <w:r w:rsidR="000C5915" w:rsidRPr="00215936">
        <w:rPr>
          <w:snapToGrid w:val="0"/>
        </w:rPr>
        <w:t>Wind</w:t>
      </w:r>
      <w:r w:rsidR="004D3693">
        <w:rPr>
          <w:snapToGrid w:val="0"/>
        </w:rPr>
        <w:t xml:space="preserve"> I</w:t>
      </w:r>
      <w:r w:rsidR="00E06CCF" w:rsidRPr="00215936">
        <w:rPr>
          <w:snapToGrid w:val="0"/>
        </w:rPr>
        <w:t>, LLC</w:t>
      </w:r>
      <w:r w:rsidR="004D3693">
        <w:rPr>
          <w:snapToGrid w:val="0"/>
        </w:rPr>
        <w:t xml:space="preserve"> and the Sale Agreement with TGP Energy Management, LLC</w:t>
      </w:r>
      <w:r w:rsidR="00E06CCF" w:rsidRPr="00215936">
        <w:rPr>
          <w:snapToGrid w:val="0"/>
        </w:rPr>
        <w:t xml:space="preserve">, </w:t>
      </w:r>
      <w:r w:rsidRPr="00215936">
        <w:rPr>
          <w:snapToGrid w:val="0"/>
        </w:rPr>
        <w:t>as requested in Advice Letter</w:t>
      </w:r>
      <w:r w:rsidR="00D01FCD">
        <w:rPr>
          <w:snapToGrid w:val="0"/>
        </w:rPr>
        <w:t>s</w:t>
      </w:r>
      <w:r w:rsidRPr="00215936">
        <w:rPr>
          <w:snapToGrid w:val="0"/>
        </w:rPr>
        <w:t xml:space="preserve"> </w:t>
      </w:r>
      <w:r w:rsidR="008F1BC6" w:rsidRPr="00215936">
        <w:t>3</w:t>
      </w:r>
      <w:r w:rsidR="000F186F">
        <w:t>330</w:t>
      </w:r>
      <w:r w:rsidRPr="00215936">
        <w:t>-E</w:t>
      </w:r>
      <w:r w:rsidR="00D01FCD">
        <w:t xml:space="preserve"> and </w:t>
      </w:r>
      <w:r w:rsidR="00222D8F">
        <w:br/>
      </w:r>
      <w:r w:rsidR="00D01FCD">
        <w:t>3330-E-A</w:t>
      </w:r>
      <w:r w:rsidR="00E06CCF" w:rsidRPr="00215936">
        <w:t>,</w:t>
      </w:r>
      <w:r w:rsidR="00F66A93" w:rsidRPr="00215936">
        <w:t xml:space="preserve"> </w:t>
      </w:r>
      <w:r w:rsidR="004D3693">
        <w:rPr>
          <w:snapToGrid w:val="0"/>
        </w:rPr>
        <w:t>are</w:t>
      </w:r>
      <w:r w:rsidR="004D3693" w:rsidRPr="00215936">
        <w:rPr>
          <w:snapToGrid w:val="0"/>
        </w:rPr>
        <w:t xml:space="preserve"> </w:t>
      </w:r>
      <w:r w:rsidR="00A53E13" w:rsidRPr="00215936">
        <w:rPr>
          <w:snapToGrid w:val="0"/>
        </w:rPr>
        <w:t>approved</w:t>
      </w:r>
      <w:r w:rsidRPr="00215936">
        <w:rPr>
          <w:snapToGrid w:val="0"/>
        </w:rPr>
        <w:t xml:space="preserve"> </w:t>
      </w:r>
      <w:r w:rsidR="00A53E13" w:rsidRPr="00215936">
        <w:rPr>
          <w:snapToGrid w:val="0"/>
        </w:rPr>
        <w:t>without modification.</w:t>
      </w:r>
      <w:r w:rsidR="00D03B8F" w:rsidRPr="00215936">
        <w:rPr>
          <w:snapToGrid w:val="0"/>
        </w:rPr>
        <w:t xml:space="preserve">  </w:t>
      </w:r>
    </w:p>
    <w:p w14:paraId="5D422E53" w14:textId="77777777" w:rsidR="00CF17DE" w:rsidRPr="00215936" w:rsidRDefault="00CF17DE">
      <w:pPr>
        <w:tabs>
          <w:tab w:val="left" w:pos="720"/>
          <w:tab w:val="left" w:pos="1296"/>
          <w:tab w:val="left" w:pos="2016"/>
          <w:tab w:val="left" w:pos="2736"/>
          <w:tab w:val="left" w:pos="3456"/>
          <w:tab w:val="left" w:pos="4176"/>
          <w:tab w:val="left" w:pos="5760"/>
        </w:tabs>
      </w:pPr>
    </w:p>
    <w:p w14:paraId="4EF7FC05" w14:textId="77777777" w:rsidR="00CF17DE" w:rsidRPr="00215936" w:rsidRDefault="00CF17DE">
      <w:pPr>
        <w:tabs>
          <w:tab w:val="left" w:pos="720"/>
          <w:tab w:val="left" w:pos="1296"/>
          <w:tab w:val="left" w:pos="2016"/>
          <w:tab w:val="left" w:pos="2736"/>
          <w:tab w:val="left" w:pos="3456"/>
          <w:tab w:val="left" w:pos="4176"/>
          <w:tab w:val="left" w:pos="5760"/>
        </w:tabs>
      </w:pPr>
      <w:r w:rsidRPr="00215936">
        <w:t>This Resolution is effective today.</w:t>
      </w:r>
    </w:p>
    <w:p w14:paraId="1A8C2BCD" w14:textId="77777777" w:rsidR="00CF17DE" w:rsidRPr="00215936" w:rsidRDefault="00CF17DE">
      <w:pPr>
        <w:tabs>
          <w:tab w:val="left" w:pos="720"/>
          <w:tab w:val="left" w:pos="1296"/>
          <w:tab w:val="left" w:pos="2016"/>
          <w:tab w:val="left" w:pos="2736"/>
          <w:tab w:val="left" w:pos="3456"/>
          <w:tab w:val="left" w:pos="4176"/>
          <w:tab w:val="left" w:pos="5760"/>
        </w:tabs>
      </w:pPr>
    </w:p>
    <w:p w14:paraId="0E79251A" w14:textId="6CF285CA" w:rsidR="00CF17DE" w:rsidRPr="00215936" w:rsidRDefault="00CF17DE">
      <w:pPr>
        <w:rPr>
          <w:snapToGrid w:val="0"/>
        </w:rPr>
      </w:pPr>
      <w:r w:rsidRPr="00215936">
        <w:rPr>
          <w:snapToGrid w:val="0"/>
        </w:rPr>
        <w:t xml:space="preserve">I certify that the foregoing resolution was duly introduced, passed and adopted at a conference of the Public Utilities Commission of the State of California held on </w:t>
      </w:r>
      <w:r w:rsidR="00222D8F">
        <w:rPr>
          <w:snapToGrid w:val="0"/>
        </w:rPr>
        <w:br/>
      </w:r>
      <w:r w:rsidR="00690876">
        <w:rPr>
          <w:snapToGrid w:val="0"/>
        </w:rPr>
        <w:t xml:space="preserve">April </w:t>
      </w:r>
      <w:r w:rsidR="00015AF4">
        <w:rPr>
          <w:snapToGrid w:val="0"/>
        </w:rPr>
        <w:t>21</w:t>
      </w:r>
      <w:r w:rsidR="00332CA5" w:rsidRPr="00215936">
        <w:rPr>
          <w:snapToGrid w:val="0"/>
        </w:rPr>
        <w:t>, 2016</w:t>
      </w:r>
      <w:r w:rsidRPr="00215936">
        <w:rPr>
          <w:snapToGrid w:val="0"/>
        </w:rPr>
        <w:t>; the following Commissioners voting favorably thereon:</w:t>
      </w:r>
    </w:p>
    <w:p w14:paraId="58CB82B3" w14:textId="77777777" w:rsidR="00541290" w:rsidRPr="00215936" w:rsidRDefault="00541290">
      <w:pPr>
        <w:tabs>
          <w:tab w:val="left" w:pos="720"/>
          <w:tab w:val="left" w:pos="1152"/>
          <w:tab w:val="left" w:pos="1728"/>
          <w:tab w:val="left" w:pos="3168"/>
          <w:tab w:val="left" w:pos="5040"/>
        </w:tabs>
        <w:ind w:right="144"/>
      </w:pPr>
    </w:p>
    <w:p w14:paraId="1261DF9A" w14:textId="77777777" w:rsidR="00541290" w:rsidRPr="00215936" w:rsidRDefault="00541290">
      <w:pPr>
        <w:tabs>
          <w:tab w:val="left" w:pos="720"/>
          <w:tab w:val="left" w:pos="1152"/>
          <w:tab w:val="left" w:pos="1728"/>
          <w:tab w:val="left" w:pos="3168"/>
          <w:tab w:val="left" w:pos="5040"/>
        </w:tabs>
        <w:ind w:right="144"/>
      </w:pPr>
    </w:p>
    <w:p w14:paraId="414F983D" w14:textId="77777777" w:rsidR="00666F21" w:rsidRPr="00215936" w:rsidRDefault="00666F21">
      <w:pPr>
        <w:tabs>
          <w:tab w:val="left" w:pos="720"/>
          <w:tab w:val="left" w:pos="1152"/>
          <w:tab w:val="left" w:pos="1728"/>
          <w:tab w:val="left" w:pos="3168"/>
          <w:tab w:val="left" w:pos="5040"/>
        </w:tabs>
        <w:ind w:right="144"/>
      </w:pPr>
    </w:p>
    <w:p w14:paraId="7F08C250" w14:textId="1CD2295B" w:rsidR="00CF17DE" w:rsidRPr="00215936" w:rsidRDefault="00CF17DE">
      <w:pPr>
        <w:tabs>
          <w:tab w:val="left" w:pos="720"/>
          <w:tab w:val="left" w:pos="1152"/>
          <w:tab w:val="left" w:pos="1728"/>
          <w:tab w:val="left" w:pos="3168"/>
          <w:tab w:val="left" w:pos="5040"/>
        </w:tabs>
        <w:ind w:right="144"/>
      </w:pPr>
      <w:r w:rsidRPr="00215936">
        <w:tab/>
      </w:r>
      <w:r w:rsidRPr="00215936">
        <w:tab/>
      </w:r>
      <w:r w:rsidRPr="00215936">
        <w:tab/>
      </w:r>
      <w:r w:rsidRPr="00215936">
        <w:tab/>
      </w:r>
      <w:r w:rsidRPr="00215936">
        <w:tab/>
      </w:r>
      <w:r w:rsidR="003765D5" w:rsidRPr="00215936">
        <w:t xml:space="preserve">       </w:t>
      </w:r>
      <w:r w:rsidRPr="00215936">
        <w:t xml:space="preserve"> _______________</w:t>
      </w:r>
      <w:r w:rsidR="00CD6AE2" w:rsidRPr="00215936">
        <w:t>_______</w:t>
      </w:r>
    </w:p>
    <w:p w14:paraId="0E137FE3" w14:textId="150D9E24" w:rsidR="00CF17DE" w:rsidRPr="00215936" w:rsidRDefault="003765D5">
      <w:r w:rsidRPr="00215936">
        <w:tab/>
      </w:r>
      <w:r w:rsidRPr="00215936">
        <w:tab/>
      </w:r>
      <w:r w:rsidRPr="00215936">
        <w:tab/>
      </w:r>
      <w:r w:rsidRPr="00215936">
        <w:tab/>
      </w:r>
      <w:r w:rsidRPr="00215936">
        <w:tab/>
      </w:r>
      <w:r w:rsidRPr="00215936">
        <w:tab/>
        <w:t xml:space="preserve">    </w:t>
      </w:r>
      <w:r w:rsidR="00CF17DE" w:rsidRPr="00215936">
        <w:tab/>
      </w:r>
      <w:r w:rsidRPr="00215936">
        <w:t xml:space="preserve">       </w:t>
      </w:r>
      <w:r w:rsidR="00CF17DE" w:rsidRPr="00215936">
        <w:t xml:space="preserve"> </w:t>
      </w:r>
      <w:r w:rsidR="00696758" w:rsidRPr="00215936">
        <w:t>TIMOTHY J. SULLIVAN</w:t>
      </w:r>
    </w:p>
    <w:p w14:paraId="1D1DCEA8" w14:textId="4BDDD9F6" w:rsidR="00CF17DE" w:rsidRPr="00215936" w:rsidRDefault="003765D5">
      <w:r w:rsidRPr="00215936">
        <w:tab/>
      </w:r>
      <w:r w:rsidRPr="00215936">
        <w:tab/>
      </w:r>
      <w:r w:rsidRPr="00215936">
        <w:tab/>
      </w:r>
      <w:r w:rsidRPr="00215936">
        <w:tab/>
      </w:r>
      <w:r w:rsidRPr="00215936">
        <w:tab/>
      </w:r>
      <w:r w:rsidRPr="00215936">
        <w:tab/>
        <w:t xml:space="preserve"> </w:t>
      </w:r>
      <w:r w:rsidRPr="00215936">
        <w:tab/>
        <w:t xml:space="preserve">        </w:t>
      </w:r>
      <w:r w:rsidR="00CF17DE" w:rsidRPr="00215936">
        <w:t xml:space="preserve"> Executive Director</w:t>
      </w:r>
    </w:p>
    <w:p w14:paraId="1B8DB66F" w14:textId="77777777" w:rsidR="004742E8" w:rsidRPr="00215936" w:rsidRDefault="004742E8">
      <w:pPr>
        <w:sectPr w:rsidR="004742E8" w:rsidRPr="00215936" w:rsidSect="00541290">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620" w:left="1440" w:header="720" w:footer="720" w:gutter="0"/>
          <w:cols w:space="720"/>
          <w:titlePg/>
        </w:sectPr>
      </w:pPr>
    </w:p>
    <w:p w14:paraId="269C8B08" w14:textId="77777777" w:rsidR="004742E8" w:rsidRPr="00215936" w:rsidRDefault="004742E8" w:rsidP="004742E8">
      <w:pPr>
        <w:jc w:val="center"/>
        <w:rPr>
          <w:b/>
          <w:sz w:val="48"/>
          <w:szCs w:val="48"/>
          <w:u w:val="single"/>
        </w:rPr>
      </w:pPr>
    </w:p>
    <w:p w14:paraId="5E8E690D" w14:textId="77777777" w:rsidR="004742E8" w:rsidRPr="00215936" w:rsidRDefault="004742E8" w:rsidP="004742E8">
      <w:pPr>
        <w:jc w:val="center"/>
        <w:rPr>
          <w:b/>
          <w:sz w:val="48"/>
          <w:szCs w:val="48"/>
          <w:u w:val="single"/>
        </w:rPr>
      </w:pPr>
    </w:p>
    <w:p w14:paraId="18610BF0" w14:textId="77777777" w:rsidR="004742E8" w:rsidRPr="00215936" w:rsidRDefault="004742E8" w:rsidP="004742E8">
      <w:pPr>
        <w:jc w:val="center"/>
        <w:rPr>
          <w:b/>
          <w:sz w:val="48"/>
          <w:szCs w:val="48"/>
          <w:u w:val="single"/>
        </w:rPr>
      </w:pPr>
      <w:r w:rsidRPr="00215936">
        <w:rPr>
          <w:b/>
          <w:sz w:val="48"/>
          <w:szCs w:val="48"/>
          <w:u w:val="single"/>
        </w:rPr>
        <w:t xml:space="preserve">Confidential Appendix A </w:t>
      </w:r>
    </w:p>
    <w:p w14:paraId="5E13C576" w14:textId="77777777" w:rsidR="004742E8" w:rsidRPr="00215936" w:rsidRDefault="004742E8" w:rsidP="004742E8">
      <w:pPr>
        <w:jc w:val="center"/>
        <w:rPr>
          <w:b/>
          <w:sz w:val="40"/>
          <w:szCs w:val="40"/>
          <w:u w:val="single"/>
        </w:rPr>
      </w:pPr>
    </w:p>
    <w:p w14:paraId="378B2073" w14:textId="45895323" w:rsidR="004742E8" w:rsidRDefault="004742E8" w:rsidP="004742E8">
      <w:pPr>
        <w:jc w:val="center"/>
        <w:rPr>
          <w:sz w:val="36"/>
          <w:szCs w:val="36"/>
        </w:rPr>
      </w:pPr>
      <w:r w:rsidRPr="00215936">
        <w:rPr>
          <w:sz w:val="36"/>
          <w:szCs w:val="36"/>
        </w:rPr>
        <w:t xml:space="preserve">Evaluation Summary of the </w:t>
      </w:r>
      <w:r w:rsidR="00F048C7">
        <w:rPr>
          <w:sz w:val="36"/>
          <w:szCs w:val="36"/>
        </w:rPr>
        <w:t>Voyager</w:t>
      </w:r>
      <w:r w:rsidR="00332CA5" w:rsidRPr="00215936">
        <w:rPr>
          <w:sz w:val="36"/>
          <w:szCs w:val="36"/>
        </w:rPr>
        <w:t xml:space="preserve"> Wind</w:t>
      </w:r>
      <w:r w:rsidR="003519E1" w:rsidRPr="00215936">
        <w:rPr>
          <w:sz w:val="36"/>
          <w:szCs w:val="36"/>
        </w:rPr>
        <w:t>, LLC</w:t>
      </w:r>
      <w:r w:rsidR="00B2722F" w:rsidRPr="00215936">
        <w:rPr>
          <w:sz w:val="36"/>
          <w:szCs w:val="36"/>
        </w:rPr>
        <w:t xml:space="preserve"> </w:t>
      </w:r>
      <w:r w:rsidR="000644DF" w:rsidRPr="00215936">
        <w:rPr>
          <w:sz w:val="36"/>
          <w:szCs w:val="36"/>
        </w:rPr>
        <w:t>Power Purchase Agreement</w:t>
      </w:r>
      <w:r w:rsidR="00B54CC4">
        <w:rPr>
          <w:sz w:val="36"/>
          <w:szCs w:val="36"/>
        </w:rPr>
        <w:t xml:space="preserve"> and TGP Energy Management, LLC Sale Agreement</w:t>
      </w:r>
    </w:p>
    <w:p w14:paraId="2873663A" w14:textId="77777777" w:rsidR="00677AC3" w:rsidRDefault="00677AC3" w:rsidP="00A36E4A">
      <w:pPr>
        <w:spacing w:after="120"/>
        <w:jc w:val="center"/>
        <w:rPr>
          <w:sz w:val="36"/>
          <w:szCs w:val="36"/>
        </w:rPr>
      </w:pPr>
    </w:p>
    <w:p w14:paraId="6E59A519" w14:textId="77777777" w:rsidR="009E35BF" w:rsidRDefault="009E35BF" w:rsidP="009E35BF">
      <w:pPr>
        <w:tabs>
          <w:tab w:val="left" w:pos="360"/>
        </w:tabs>
        <w:spacing w:after="120"/>
        <w:jc w:val="center"/>
        <w:rPr>
          <w:b/>
          <w:sz w:val="28"/>
          <w:szCs w:val="28"/>
        </w:rPr>
      </w:pPr>
      <w:r>
        <w:rPr>
          <w:sz w:val="36"/>
          <w:szCs w:val="36"/>
        </w:rPr>
        <w:t>[Redacted]</w:t>
      </w:r>
    </w:p>
    <w:p w14:paraId="6F68BAC9" w14:textId="77777777" w:rsidR="004742E8" w:rsidRPr="00215936" w:rsidRDefault="004742E8"/>
    <w:p w14:paraId="67270BAB" w14:textId="1A45FE6C" w:rsidR="0065601F" w:rsidRPr="00677AC3" w:rsidRDefault="0065601F" w:rsidP="00677AC3"/>
    <w:p w14:paraId="1A8668A0" w14:textId="77777777" w:rsidR="002324E1" w:rsidRPr="00215936" w:rsidRDefault="002324E1" w:rsidP="0065601F">
      <w:pPr>
        <w:jc w:val="center"/>
        <w:rPr>
          <w:b/>
          <w:sz w:val="48"/>
          <w:szCs w:val="48"/>
          <w:u w:val="single"/>
        </w:rPr>
      </w:pPr>
      <w:r w:rsidRPr="00215936">
        <w:rPr>
          <w:b/>
          <w:sz w:val="48"/>
          <w:szCs w:val="48"/>
          <w:u w:val="single"/>
        </w:rPr>
        <w:br w:type="page"/>
      </w:r>
    </w:p>
    <w:p w14:paraId="31688051" w14:textId="77777777" w:rsidR="002324E1" w:rsidRPr="00215936" w:rsidRDefault="002324E1" w:rsidP="0065601F">
      <w:pPr>
        <w:jc w:val="center"/>
        <w:rPr>
          <w:b/>
          <w:sz w:val="48"/>
          <w:szCs w:val="48"/>
          <w:u w:val="single"/>
        </w:rPr>
      </w:pPr>
    </w:p>
    <w:p w14:paraId="110F7420" w14:textId="77777777" w:rsidR="002324E1" w:rsidRPr="00215936" w:rsidRDefault="002324E1" w:rsidP="0065601F">
      <w:pPr>
        <w:jc w:val="center"/>
        <w:rPr>
          <w:b/>
          <w:sz w:val="48"/>
          <w:szCs w:val="48"/>
          <w:u w:val="single"/>
        </w:rPr>
      </w:pPr>
    </w:p>
    <w:p w14:paraId="5FF77C08" w14:textId="62A978A6" w:rsidR="0065601F" w:rsidRPr="00215936" w:rsidRDefault="0065601F" w:rsidP="0065601F">
      <w:pPr>
        <w:jc w:val="center"/>
        <w:rPr>
          <w:b/>
          <w:sz w:val="48"/>
          <w:szCs w:val="48"/>
          <w:u w:val="single"/>
        </w:rPr>
      </w:pPr>
      <w:r w:rsidRPr="00215936">
        <w:rPr>
          <w:b/>
          <w:sz w:val="48"/>
          <w:szCs w:val="48"/>
          <w:u w:val="single"/>
        </w:rPr>
        <w:t xml:space="preserve">Confidential Appendix B </w:t>
      </w:r>
    </w:p>
    <w:p w14:paraId="345E21BD" w14:textId="77777777" w:rsidR="0065601F" w:rsidRPr="00215936" w:rsidRDefault="0065601F" w:rsidP="0065601F">
      <w:pPr>
        <w:jc w:val="center"/>
        <w:rPr>
          <w:b/>
          <w:sz w:val="40"/>
          <w:szCs w:val="40"/>
          <w:u w:val="single"/>
        </w:rPr>
      </w:pPr>
    </w:p>
    <w:p w14:paraId="1A41198B" w14:textId="4D7E2220" w:rsidR="0065601F" w:rsidRDefault="0065601F" w:rsidP="0065601F">
      <w:pPr>
        <w:tabs>
          <w:tab w:val="left" w:pos="360"/>
        </w:tabs>
        <w:spacing w:after="120"/>
        <w:jc w:val="center"/>
        <w:rPr>
          <w:sz w:val="36"/>
          <w:szCs w:val="36"/>
        </w:rPr>
      </w:pPr>
      <w:r w:rsidRPr="00215936">
        <w:rPr>
          <w:sz w:val="36"/>
          <w:szCs w:val="36"/>
        </w:rPr>
        <w:t xml:space="preserve">Excerpt from the Independent Evaluator Report on the </w:t>
      </w:r>
      <w:r w:rsidR="00F048C7">
        <w:rPr>
          <w:sz w:val="36"/>
          <w:szCs w:val="36"/>
        </w:rPr>
        <w:t>Voyager</w:t>
      </w:r>
      <w:r w:rsidRPr="00215936">
        <w:rPr>
          <w:sz w:val="36"/>
          <w:szCs w:val="36"/>
        </w:rPr>
        <w:t xml:space="preserve"> PPA</w:t>
      </w:r>
      <w:r w:rsidR="00D7227C">
        <w:rPr>
          <w:sz w:val="36"/>
          <w:szCs w:val="36"/>
        </w:rPr>
        <w:t xml:space="preserve"> and TGP Sale Agreement</w:t>
      </w:r>
      <w:r w:rsidRPr="00215936">
        <w:rPr>
          <w:rStyle w:val="FootnoteReference"/>
          <w:sz w:val="36"/>
          <w:szCs w:val="36"/>
        </w:rPr>
        <w:footnoteReference w:id="24"/>
      </w:r>
    </w:p>
    <w:p w14:paraId="0A3E31EE" w14:textId="77777777" w:rsidR="00677AC3" w:rsidRDefault="00677AC3" w:rsidP="00A36E4A">
      <w:pPr>
        <w:tabs>
          <w:tab w:val="left" w:pos="360"/>
        </w:tabs>
        <w:spacing w:after="120"/>
        <w:jc w:val="center"/>
        <w:rPr>
          <w:sz w:val="36"/>
          <w:szCs w:val="36"/>
        </w:rPr>
      </w:pPr>
    </w:p>
    <w:p w14:paraId="32896212" w14:textId="77777777" w:rsidR="009E35BF" w:rsidRPr="006378B1" w:rsidRDefault="009E35BF" w:rsidP="007C6869">
      <w:pPr>
        <w:tabs>
          <w:tab w:val="left" w:pos="360"/>
        </w:tabs>
        <w:jc w:val="center"/>
        <w:rPr>
          <w:b/>
          <w:sz w:val="36"/>
          <w:szCs w:val="36"/>
        </w:rPr>
      </w:pPr>
      <w:r w:rsidRPr="006378B1">
        <w:rPr>
          <w:sz w:val="36"/>
          <w:szCs w:val="36"/>
        </w:rPr>
        <w:t>[Redacted]</w:t>
      </w:r>
    </w:p>
    <w:p w14:paraId="2E4FC253" w14:textId="77777777" w:rsidR="00677AC3" w:rsidRPr="00215936" w:rsidRDefault="00677AC3" w:rsidP="0065601F">
      <w:pPr>
        <w:tabs>
          <w:tab w:val="left" w:pos="360"/>
        </w:tabs>
        <w:spacing w:after="120"/>
        <w:jc w:val="center"/>
        <w:rPr>
          <w:b/>
          <w:sz w:val="28"/>
          <w:szCs w:val="28"/>
        </w:rPr>
      </w:pPr>
    </w:p>
    <w:p w14:paraId="4E7DA0B8" w14:textId="77777777" w:rsidR="0065601F" w:rsidRPr="00215936" w:rsidRDefault="0065601F" w:rsidP="0065601F">
      <w:pPr>
        <w:tabs>
          <w:tab w:val="left" w:pos="360"/>
        </w:tabs>
        <w:spacing w:after="120"/>
        <w:rPr>
          <w:b/>
          <w:sz w:val="28"/>
          <w:szCs w:val="28"/>
        </w:rPr>
      </w:pPr>
    </w:p>
    <w:p w14:paraId="448B87AA" w14:textId="307C3FAC" w:rsidR="0065601F" w:rsidRPr="00215936" w:rsidRDefault="0065601F">
      <w:pPr>
        <w:rPr>
          <w:b/>
          <w:sz w:val="28"/>
          <w:szCs w:val="28"/>
        </w:rPr>
      </w:pPr>
    </w:p>
    <w:sectPr w:rsidR="0065601F" w:rsidRPr="00215936" w:rsidSect="005452E4">
      <w:headerReference w:type="first" r:id="rId16"/>
      <w:footerReference w:type="first" r:id="rId17"/>
      <w:pgSz w:w="12240" w:h="15840" w:code="1"/>
      <w:pgMar w:top="1440" w:right="1440" w:bottom="1080" w:left="1440" w:header="720" w:footer="720"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B3AABE" w15:done="0"/>
  <w15:commentEx w15:paraId="64BD91EF" w15:done="0"/>
  <w15:commentEx w15:paraId="5B6A84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B0957" w14:textId="77777777" w:rsidR="00C81DF5" w:rsidRDefault="00C81DF5">
      <w:r>
        <w:separator/>
      </w:r>
    </w:p>
  </w:endnote>
  <w:endnote w:type="continuationSeparator" w:id="0">
    <w:p w14:paraId="2A9D7875" w14:textId="77777777" w:rsidR="00C81DF5" w:rsidRDefault="00C81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lbertus Extra Bold">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ookAntiqua">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D9AA4" w14:textId="77777777" w:rsidR="00C63C64" w:rsidRDefault="00C63C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7214B" w14:textId="77777777" w:rsidR="00131E72" w:rsidRDefault="00131E72">
    <w:pPr>
      <w:pStyle w:val="Footer"/>
    </w:pPr>
    <w:r>
      <w:rPr>
        <w:rStyle w:val="PageNumber"/>
      </w:rPr>
      <w:fldChar w:fldCharType="begin"/>
    </w:r>
    <w:r>
      <w:rPr>
        <w:rStyle w:val="PageNumber"/>
      </w:rPr>
      <w:instrText xml:space="preserve"> PAGE </w:instrText>
    </w:r>
    <w:r>
      <w:rPr>
        <w:rStyle w:val="PageNumber"/>
      </w:rPr>
      <w:fldChar w:fldCharType="separate"/>
    </w:r>
    <w:r w:rsidR="00794A86">
      <w:rPr>
        <w:rStyle w:val="PageNumber"/>
        <w:noProof/>
      </w:rPr>
      <w:t>25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8347F" w14:textId="19C45665" w:rsidR="00131E72" w:rsidRDefault="003E029E" w:rsidP="00245A93">
    <w:pPr>
      <w:pStyle w:val="Footer"/>
      <w:tabs>
        <w:tab w:val="clear" w:pos="4320"/>
        <w:tab w:val="left" w:pos="476"/>
        <w:tab w:val="center" w:pos="4680"/>
      </w:tabs>
      <w:jc w:val="left"/>
    </w:pPr>
    <w:r w:rsidRPr="003E029E">
      <w:rPr>
        <w:rFonts w:ascii="Tahoma" w:hAnsi="Tahoma" w:cs="Tahoma"/>
        <w:sz w:val="16"/>
        <w:szCs w:val="17"/>
      </w:rPr>
      <w:t>159914794</w:t>
    </w:r>
    <w:r w:rsidR="00131E72">
      <w:rPr>
        <w:rStyle w:val="PageNumber"/>
      </w:rPr>
      <w:tab/>
    </w:r>
    <w:r w:rsidR="00131E72">
      <w:rPr>
        <w:rStyle w:val="PageNumber"/>
      </w:rPr>
      <w:fldChar w:fldCharType="begin"/>
    </w:r>
    <w:r w:rsidR="00131E72">
      <w:rPr>
        <w:rStyle w:val="PageNumber"/>
      </w:rPr>
      <w:instrText xml:space="preserve"> PAGE </w:instrText>
    </w:r>
    <w:r w:rsidR="00131E72">
      <w:rPr>
        <w:rStyle w:val="PageNumber"/>
      </w:rPr>
      <w:fldChar w:fldCharType="separate"/>
    </w:r>
    <w:r w:rsidR="00794A86">
      <w:rPr>
        <w:rStyle w:val="PageNumber"/>
        <w:noProof/>
      </w:rPr>
      <w:t>1</w:t>
    </w:r>
    <w:r w:rsidR="00131E72">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B2FE9" w14:textId="220FF8F0" w:rsidR="00131E72" w:rsidRDefault="00131E72" w:rsidP="00245A93">
    <w:pPr>
      <w:pStyle w:val="Footer"/>
      <w:tabs>
        <w:tab w:val="clear" w:pos="4320"/>
        <w:tab w:val="left" w:pos="476"/>
        <w:tab w:val="center" w:pos="4680"/>
      </w:tabs>
      <w:jc w:val="left"/>
    </w:pPr>
    <w:r>
      <w:rPr>
        <w:rStyle w:val="PageNumber"/>
      </w:rPr>
      <w:t xml:space="preserve">   </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794A86">
      <w:rPr>
        <w:rStyle w:val="PageNumber"/>
        <w:noProof/>
      </w:rPr>
      <w:t>24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E6604" w14:textId="77777777" w:rsidR="00C81DF5" w:rsidRDefault="00C81DF5">
      <w:r>
        <w:separator/>
      </w:r>
    </w:p>
  </w:footnote>
  <w:footnote w:type="continuationSeparator" w:id="0">
    <w:p w14:paraId="6282A392" w14:textId="77777777" w:rsidR="00C81DF5" w:rsidRDefault="00C81DF5">
      <w:r>
        <w:continuationSeparator/>
      </w:r>
    </w:p>
  </w:footnote>
  <w:footnote w:type="continuationNotice" w:id="1">
    <w:p w14:paraId="06681561" w14:textId="77777777" w:rsidR="00C81DF5" w:rsidRDefault="00C81DF5">
      <w:pPr>
        <w:rPr>
          <w:sz w:val="22"/>
        </w:rPr>
      </w:pPr>
    </w:p>
    <w:p w14:paraId="6208E2A8" w14:textId="77777777" w:rsidR="00C81DF5" w:rsidRDefault="00C81DF5">
      <w:pPr>
        <w:jc w:val="right"/>
        <w:rPr>
          <w:sz w:val="22"/>
        </w:rPr>
      </w:pPr>
      <w:r>
        <w:rPr>
          <w:i/>
          <w:sz w:val="22"/>
        </w:rPr>
        <w:t>Footnote continued on next page</w:t>
      </w:r>
    </w:p>
  </w:footnote>
  <w:footnote w:id="2">
    <w:p w14:paraId="6A952D30" w14:textId="7F137ED7" w:rsidR="00131E72" w:rsidRPr="009B3833" w:rsidRDefault="00131E72" w:rsidP="009B3833">
      <w:pPr>
        <w:pStyle w:val="FootnoteText"/>
        <w:ind w:left="144" w:hanging="144"/>
        <w:rPr>
          <w:szCs w:val="24"/>
        </w:rPr>
      </w:pPr>
      <w:r>
        <w:rPr>
          <w:rStyle w:val="FootnoteReference"/>
        </w:rPr>
        <w:footnoteRef/>
      </w:r>
      <w:r w:rsidRPr="009B3833">
        <w:rPr>
          <w:rStyle w:val="FootnoteReference"/>
        </w:rPr>
        <w:t xml:space="preserve"> </w:t>
      </w:r>
      <w:r w:rsidRPr="009B3833">
        <w:rPr>
          <w:szCs w:val="24"/>
        </w:rPr>
        <w:t>SB 1078 (Sher, Chapter 516, Statutes of 2002); SB 107 (Simitian, Chapter 464, Statutes of 2006); SB 1036 (Perata, Chapter 685, Statutes of 2007); SB 2 (1X) (Simitian, Chapter 1, Statutes of 2011, First Extraordinary Session); and SB 350 (De Leoñ, Chapter 547, Statutes of 2015).</w:t>
      </w:r>
    </w:p>
  </w:footnote>
  <w:footnote w:id="3">
    <w:p w14:paraId="77F36F5D" w14:textId="5FC4CBBC" w:rsidR="00131E72" w:rsidRPr="00C201DD" w:rsidRDefault="00131E72" w:rsidP="004D1236">
      <w:pPr>
        <w:pStyle w:val="FootnoteText"/>
        <w:ind w:left="144" w:hanging="144"/>
        <w:rPr>
          <w:szCs w:val="24"/>
        </w:rPr>
      </w:pPr>
      <w:r>
        <w:rPr>
          <w:rStyle w:val="FootnoteReference"/>
        </w:rPr>
        <w:footnoteRef/>
      </w:r>
      <w:r>
        <w:t xml:space="preserve"> </w:t>
      </w:r>
      <w:r w:rsidRPr="00C201DD">
        <w:rPr>
          <w:szCs w:val="24"/>
        </w:rPr>
        <w:t xml:space="preserve">All further </w:t>
      </w:r>
      <w:r>
        <w:rPr>
          <w:szCs w:val="24"/>
        </w:rPr>
        <w:t xml:space="preserve">statutory </w:t>
      </w:r>
      <w:r w:rsidRPr="00C201DD">
        <w:rPr>
          <w:szCs w:val="24"/>
        </w:rPr>
        <w:t xml:space="preserve">references </w:t>
      </w:r>
      <w:r>
        <w:rPr>
          <w:szCs w:val="24"/>
        </w:rPr>
        <w:t>are</w:t>
      </w:r>
      <w:r w:rsidRPr="00C201DD">
        <w:rPr>
          <w:szCs w:val="24"/>
        </w:rPr>
        <w:t xml:space="preserve"> to </w:t>
      </w:r>
      <w:r>
        <w:rPr>
          <w:szCs w:val="24"/>
        </w:rPr>
        <w:t xml:space="preserve">the </w:t>
      </w:r>
      <w:r w:rsidRPr="00C201DD">
        <w:rPr>
          <w:szCs w:val="24"/>
        </w:rPr>
        <w:t>Public Utilities Code unless otherwise specified.</w:t>
      </w:r>
    </w:p>
  </w:footnote>
  <w:footnote w:id="4">
    <w:p w14:paraId="5365233B" w14:textId="77777777" w:rsidR="00131E72" w:rsidRPr="00154AD0" w:rsidRDefault="00131E72" w:rsidP="001A65CA">
      <w:pPr>
        <w:autoSpaceDE w:val="0"/>
        <w:autoSpaceDN w:val="0"/>
        <w:adjustRightInd w:val="0"/>
        <w:ind w:left="144" w:hanging="144"/>
        <w:rPr>
          <w:sz w:val="24"/>
          <w:szCs w:val="24"/>
        </w:rPr>
      </w:pPr>
      <w:r w:rsidRPr="00154AD0">
        <w:rPr>
          <w:rStyle w:val="FootnoteReference"/>
          <w:sz w:val="24"/>
          <w:szCs w:val="24"/>
        </w:rPr>
        <w:footnoteRef/>
      </w:r>
      <w:r w:rsidRPr="00154AD0">
        <w:rPr>
          <w:sz w:val="24"/>
          <w:szCs w:val="24"/>
        </w:rPr>
        <w:t xml:space="preserve"> </w:t>
      </w:r>
      <w:r w:rsidRPr="00C201DD">
        <w:rPr>
          <w:sz w:val="24"/>
          <w:szCs w:val="24"/>
        </w:rPr>
        <w:t>D.11-12-020 established a methodology to calculate procurement requirement quantities for the three different compliance periods covered in SB 2 (1X) (2011-2013, 2014-2016, and 2017-2020).</w:t>
      </w:r>
      <w:r w:rsidRPr="00AD613B">
        <w:rPr>
          <w:sz w:val="22"/>
          <w:szCs w:val="24"/>
        </w:rPr>
        <w:t xml:space="preserve"> </w:t>
      </w:r>
    </w:p>
  </w:footnote>
  <w:footnote w:id="5">
    <w:p w14:paraId="30E6D536" w14:textId="3A163E1A" w:rsidR="00516EE6" w:rsidRDefault="00516EE6" w:rsidP="00516EE6">
      <w:pPr>
        <w:pStyle w:val="FootnoteText"/>
      </w:pPr>
      <w:r>
        <w:rPr>
          <w:rStyle w:val="FootnoteReference"/>
        </w:rPr>
        <w:footnoteRef/>
      </w:r>
      <w:r>
        <w:t xml:space="preserve"> </w:t>
      </w:r>
      <w:r w:rsidR="00D964FF">
        <w:t>The portfolio of renewable projects consist of w</w:t>
      </w:r>
      <w:r>
        <w:t>ind, geothermal, and biogas</w:t>
      </w:r>
      <w:r w:rsidR="00D964FF">
        <w:t xml:space="preserve"> facilities</w:t>
      </w:r>
      <w:r>
        <w:t>.  See the Voyager and TGP AL, Table B.1 at 7 and 8 for a list of the projects.</w:t>
      </w:r>
    </w:p>
  </w:footnote>
  <w:footnote w:id="6">
    <w:p w14:paraId="3E07A08E" w14:textId="357EF908" w:rsidR="00131E72" w:rsidRDefault="00131E72">
      <w:pPr>
        <w:pStyle w:val="FootnoteText"/>
      </w:pPr>
      <w:r>
        <w:rPr>
          <w:rStyle w:val="FootnoteReference"/>
        </w:rPr>
        <w:footnoteRef/>
      </w:r>
      <w:r>
        <w:t xml:space="preserve"> The Voyager and TGP AL at 18-19.</w:t>
      </w:r>
    </w:p>
  </w:footnote>
  <w:footnote w:id="7">
    <w:p w14:paraId="29A4EB97" w14:textId="77777777" w:rsidR="00131E72" w:rsidRDefault="00131E72" w:rsidP="00333295">
      <w:pPr>
        <w:pStyle w:val="FootnoteText"/>
      </w:pPr>
      <w:r>
        <w:rPr>
          <w:rStyle w:val="FootnoteReference"/>
        </w:rPr>
        <w:footnoteRef/>
      </w:r>
      <w:r>
        <w:t xml:space="preserve"> Section 399.13(a)(5). </w:t>
      </w:r>
    </w:p>
  </w:footnote>
  <w:footnote w:id="8">
    <w:p w14:paraId="528E1E81" w14:textId="77777777" w:rsidR="00131E72" w:rsidRDefault="00131E72" w:rsidP="007F3975">
      <w:pPr>
        <w:pStyle w:val="FootnoteText"/>
      </w:pPr>
      <w:r>
        <w:rPr>
          <w:rStyle w:val="FootnoteReference"/>
        </w:rPr>
        <w:footnoteRef/>
      </w:r>
      <w:r>
        <w:t xml:space="preserve"> SCE’s Final 2014 RPS Procurement Plan at 11 and 59 (December 8, 2014).</w:t>
      </w:r>
    </w:p>
  </w:footnote>
  <w:footnote w:id="9">
    <w:p w14:paraId="745E99AB" w14:textId="17021754" w:rsidR="00131E72" w:rsidRDefault="00131E72">
      <w:pPr>
        <w:pStyle w:val="FootnoteText"/>
      </w:pPr>
      <w:r>
        <w:rPr>
          <w:rStyle w:val="FootnoteReference"/>
        </w:rPr>
        <w:footnoteRef/>
      </w:r>
      <w:r>
        <w:t xml:space="preserve"> </w:t>
      </w:r>
      <w:r w:rsidRPr="00516EE6">
        <w:rPr>
          <w:i/>
        </w:rPr>
        <w:t>Id</w:t>
      </w:r>
      <w:r>
        <w:t>. at 11</w:t>
      </w:r>
    </w:p>
  </w:footnote>
  <w:footnote w:id="10">
    <w:p w14:paraId="16983B99" w14:textId="29F5E9A1" w:rsidR="00131E72" w:rsidRDefault="00131E72">
      <w:pPr>
        <w:pStyle w:val="FootnoteText"/>
      </w:pPr>
      <w:r>
        <w:rPr>
          <w:rStyle w:val="FootnoteReference"/>
        </w:rPr>
        <w:footnoteRef/>
      </w:r>
      <w:r>
        <w:t xml:space="preserve"> A</w:t>
      </w:r>
      <w:r w:rsidRPr="000140CE">
        <w:t xml:space="preserve">ssuming </w:t>
      </w:r>
      <w:r>
        <w:t xml:space="preserve">the Voyager facility receives the </w:t>
      </w:r>
      <w:r w:rsidRPr="000140CE">
        <w:t>California Energy Commission certification as an eligible renewable resource</w:t>
      </w:r>
      <w:r>
        <w:t>.</w:t>
      </w:r>
    </w:p>
  </w:footnote>
  <w:footnote w:id="11">
    <w:p w14:paraId="2B1FFF30" w14:textId="71165E58" w:rsidR="00131E72" w:rsidRPr="00B77696" w:rsidRDefault="00131E72" w:rsidP="00C80E97">
      <w:pPr>
        <w:pStyle w:val="FootnoteText"/>
        <w:spacing w:after="120"/>
        <w:rPr>
          <w:sz w:val="22"/>
          <w:szCs w:val="22"/>
        </w:rPr>
      </w:pPr>
      <w:r>
        <w:rPr>
          <w:rStyle w:val="FootnoteReference"/>
        </w:rPr>
        <w:footnoteRef/>
      </w:r>
      <w:r>
        <w:t xml:space="preserve"> </w:t>
      </w:r>
      <w:r w:rsidRPr="00870810">
        <w:rPr>
          <w:szCs w:val="24"/>
        </w:rPr>
        <w:t>Section 399.13(a)(4)(A).</w:t>
      </w:r>
    </w:p>
  </w:footnote>
  <w:footnote w:id="12">
    <w:p w14:paraId="058DAB0F" w14:textId="05F827C5" w:rsidR="00131E72" w:rsidRDefault="00131E72" w:rsidP="00C80E97">
      <w:pPr>
        <w:pStyle w:val="FootnoteText"/>
        <w:ind w:left="360" w:hanging="360"/>
      </w:pPr>
      <w:r>
        <w:rPr>
          <w:rStyle w:val="FootnoteReference"/>
        </w:rPr>
        <w:footnoteRef/>
      </w:r>
      <w:r>
        <w:t xml:space="preserve"> SCE’s 2014 RPS Procurement Plan, Appendix I.1.</w:t>
      </w:r>
    </w:p>
  </w:footnote>
  <w:footnote w:id="13">
    <w:p w14:paraId="2B8BB761" w14:textId="3626EA85" w:rsidR="00131E72" w:rsidRDefault="00131E72" w:rsidP="00A9518A">
      <w:pPr>
        <w:pStyle w:val="FootnoteText"/>
      </w:pPr>
      <w:r>
        <w:rPr>
          <w:rStyle w:val="FootnoteReference"/>
        </w:rPr>
        <w:footnoteRef/>
      </w:r>
      <w:r>
        <w:t xml:space="preserve"> </w:t>
      </w:r>
      <w:r w:rsidRPr="00F37AC0">
        <w:t>SCE’s 201</w:t>
      </w:r>
      <w:r>
        <w:t>4</w:t>
      </w:r>
      <w:r w:rsidRPr="00F37AC0">
        <w:t xml:space="preserve"> RPS solicitation protocols, including its LCBF methodology, as described above, </w:t>
      </w:r>
      <w:r>
        <w:t>were</w:t>
      </w:r>
      <w:r w:rsidRPr="00F37AC0">
        <w:t xml:space="preserve"> approved by the Commission in D.</w:t>
      </w:r>
      <w:r>
        <w:t>14-11-042</w:t>
      </w:r>
      <w:r w:rsidRPr="00F37AC0">
        <w:t>.</w:t>
      </w:r>
    </w:p>
  </w:footnote>
  <w:footnote w:id="14">
    <w:p w14:paraId="5043DBEC" w14:textId="5A109223" w:rsidR="00131E72" w:rsidRDefault="00131E72">
      <w:pPr>
        <w:pStyle w:val="FootnoteText"/>
      </w:pPr>
      <w:r>
        <w:rPr>
          <w:rStyle w:val="FootnoteReference"/>
        </w:rPr>
        <w:footnoteRef/>
      </w:r>
      <w:r>
        <w:t xml:space="preserve"> The Voyager and TGP AL at 26-27.</w:t>
      </w:r>
    </w:p>
  </w:footnote>
  <w:footnote w:id="15">
    <w:p w14:paraId="384D3D4B" w14:textId="6BA2DD2F" w:rsidR="00131E72" w:rsidRPr="00D14F80" w:rsidRDefault="00131E72" w:rsidP="00D14F80">
      <w:pPr>
        <w:pStyle w:val="FootnoteText"/>
        <w:spacing w:after="120"/>
        <w:ind w:left="144" w:hanging="144"/>
        <w:rPr>
          <w:szCs w:val="24"/>
        </w:rPr>
      </w:pPr>
      <w:r w:rsidRPr="00D14F80">
        <w:rPr>
          <w:rStyle w:val="FootnoteReference"/>
          <w:szCs w:val="24"/>
        </w:rPr>
        <w:footnoteRef/>
      </w:r>
      <w:r w:rsidRPr="00D14F80">
        <w:rPr>
          <w:szCs w:val="24"/>
        </w:rPr>
        <w:t xml:space="preserve"> For the purposes of the long-term contracting requirement, contracts of less than 10 years duration are considered “short-term” contracts. (D.12-06-038</w:t>
      </w:r>
      <w:r>
        <w:rPr>
          <w:szCs w:val="24"/>
        </w:rPr>
        <w:t>.</w:t>
      </w:r>
      <w:r w:rsidRPr="00D14F80">
        <w:rPr>
          <w:szCs w:val="24"/>
        </w:rPr>
        <w:t>)</w:t>
      </w:r>
    </w:p>
  </w:footnote>
  <w:footnote w:id="16">
    <w:p w14:paraId="063548C8" w14:textId="77777777" w:rsidR="00131E72" w:rsidRPr="0007644F" w:rsidRDefault="00131E72" w:rsidP="00D14F80">
      <w:pPr>
        <w:pStyle w:val="FootnoteText"/>
        <w:spacing w:after="120"/>
        <w:ind w:left="144" w:hanging="144"/>
        <w:rPr>
          <w:sz w:val="22"/>
          <w:szCs w:val="22"/>
        </w:rPr>
      </w:pPr>
      <w:r w:rsidRPr="00D14F80">
        <w:rPr>
          <w:rStyle w:val="FootnoteReference"/>
          <w:szCs w:val="24"/>
        </w:rPr>
        <w:footnoteRef/>
      </w:r>
      <w:r w:rsidRPr="00D14F80">
        <w:rPr>
          <w:szCs w:val="24"/>
        </w:rPr>
        <w:t xml:space="preserve"> Pursuant to D.12-06-038, the methodology setting the long-term contracting requirement is: 0.25% of Total Retail Sales in 2010 for the first compliance period; 0.25% of Total Retail Sales in 2011-2013 for the second compliance period; and 0.25% of Total Retail Sales in 2014-2016 for the third compliance period.</w:t>
      </w:r>
    </w:p>
  </w:footnote>
  <w:footnote w:id="17">
    <w:p w14:paraId="719C82FD" w14:textId="12BED48F" w:rsidR="00131E72" w:rsidRDefault="00131E72">
      <w:pPr>
        <w:pStyle w:val="FootnoteText"/>
      </w:pPr>
      <w:r>
        <w:rPr>
          <w:rStyle w:val="FootnoteReference"/>
        </w:rPr>
        <w:footnoteRef/>
      </w:r>
      <w:r>
        <w:t xml:space="preserve"> The Voyager and TGP AL at 31.</w:t>
      </w:r>
    </w:p>
  </w:footnote>
  <w:footnote w:id="18">
    <w:p w14:paraId="4535DA20" w14:textId="1E5DB1AD" w:rsidR="00131E72" w:rsidRPr="00D14F80" w:rsidRDefault="00131E72" w:rsidP="00D14F80">
      <w:pPr>
        <w:pStyle w:val="FootnoteText"/>
        <w:spacing w:after="120"/>
        <w:ind w:left="144" w:hanging="144"/>
        <w:rPr>
          <w:rFonts w:cs="BookAntiqua"/>
          <w:szCs w:val="24"/>
        </w:rPr>
      </w:pPr>
      <w:r w:rsidRPr="00D14F80">
        <w:rPr>
          <w:rStyle w:val="FootnoteReference"/>
          <w:szCs w:val="24"/>
        </w:rPr>
        <w:footnoteRef/>
      </w:r>
      <w:r w:rsidRPr="00D14F80">
        <w:rPr>
          <w:szCs w:val="24"/>
        </w:rPr>
        <w:t xml:space="preserve">  </w:t>
      </w:r>
      <w:r w:rsidRPr="00D14F80">
        <w:rPr>
          <w:b/>
          <w:szCs w:val="24"/>
        </w:rPr>
        <w:t>“</w:t>
      </w:r>
      <w:r w:rsidRPr="00D14F80">
        <w:rPr>
          <w:szCs w:val="24"/>
        </w:rPr>
        <w:t>Baseload generation</w:t>
      </w:r>
      <w:r w:rsidRPr="00D14F80">
        <w:rPr>
          <w:b/>
          <w:szCs w:val="24"/>
        </w:rPr>
        <w:t>”</w:t>
      </w:r>
      <w:r w:rsidRPr="00D14F80">
        <w:rPr>
          <w:szCs w:val="24"/>
        </w:rPr>
        <w:t xml:space="preserve"> is electricity generation at a power plant “designed and intended to provide electricity at an annualized plant capacity factor of at least 60%.”  </w:t>
      </w:r>
      <w:r>
        <w:rPr>
          <w:rFonts w:cs="BookAntiqua"/>
          <w:szCs w:val="24"/>
        </w:rPr>
        <w:t xml:space="preserve">Section </w:t>
      </w:r>
      <w:r w:rsidRPr="00D14F80">
        <w:rPr>
          <w:rFonts w:cs="BookAntiqua"/>
          <w:szCs w:val="24"/>
        </w:rPr>
        <w:t>8340 (a).</w:t>
      </w:r>
    </w:p>
  </w:footnote>
  <w:footnote w:id="19">
    <w:p w14:paraId="3DFDE3AE" w14:textId="77777777" w:rsidR="00131E72" w:rsidRPr="00D14F80" w:rsidRDefault="00131E72" w:rsidP="00D14F80">
      <w:pPr>
        <w:autoSpaceDE w:val="0"/>
        <w:autoSpaceDN w:val="0"/>
        <w:adjustRightInd w:val="0"/>
        <w:spacing w:after="120"/>
        <w:ind w:left="144" w:hanging="144"/>
        <w:rPr>
          <w:sz w:val="24"/>
          <w:szCs w:val="24"/>
        </w:rPr>
      </w:pPr>
      <w:r w:rsidRPr="00D14F80">
        <w:rPr>
          <w:rStyle w:val="FootnoteReference"/>
          <w:sz w:val="24"/>
          <w:szCs w:val="24"/>
        </w:rPr>
        <w:footnoteRef/>
      </w:r>
      <w:r w:rsidRPr="00D14F80">
        <w:rPr>
          <w:rStyle w:val="FootnoteReference"/>
          <w:sz w:val="24"/>
          <w:szCs w:val="24"/>
        </w:rPr>
        <w:t xml:space="preserve"> </w:t>
      </w:r>
      <w:r w:rsidRPr="00D14F80">
        <w:rPr>
          <w:sz w:val="24"/>
          <w:szCs w:val="24"/>
        </w:rPr>
        <w:t xml:space="preserve"> D.07-01-039, Attachment 7, p. 4.</w:t>
      </w:r>
    </w:p>
  </w:footnote>
  <w:footnote w:id="20">
    <w:p w14:paraId="6759C153" w14:textId="481C8702" w:rsidR="00131E72" w:rsidRDefault="00131E72">
      <w:pPr>
        <w:pStyle w:val="FootnoteText"/>
      </w:pPr>
      <w:r>
        <w:rPr>
          <w:rStyle w:val="FootnoteReference"/>
        </w:rPr>
        <w:footnoteRef/>
      </w:r>
      <w:r>
        <w:t xml:space="preserve"> See the Voyager and TGP AL at 34 and 35 for the permitting and certification status.</w:t>
      </w:r>
    </w:p>
  </w:footnote>
  <w:footnote w:id="21">
    <w:p w14:paraId="442F9F01" w14:textId="5AC00369" w:rsidR="00131E72" w:rsidRDefault="00131E72">
      <w:pPr>
        <w:pStyle w:val="FootnoteText"/>
      </w:pPr>
      <w:r>
        <w:rPr>
          <w:rStyle w:val="FootnoteReference"/>
        </w:rPr>
        <w:footnoteRef/>
      </w:r>
      <w:r>
        <w:t xml:space="preserve"> SCE’s Final 2014 RPS Procurement Plan, Appendix G.1 (2014 </w:t>
      </w:r>
      <w:r>
        <w:rPr>
          <w:i/>
        </w:rPr>
        <w:t>Pro Forma</w:t>
      </w:r>
      <w:r>
        <w:t xml:space="preserve"> Renewable Power Purchase and Agreement) (p. 23) defines “Prudent Electrical Practices” as:</w:t>
      </w:r>
    </w:p>
    <w:p w14:paraId="3E68EFB0" w14:textId="2F9A0D3D" w:rsidR="00131E72" w:rsidRDefault="00131E72">
      <w:pPr>
        <w:pStyle w:val="FootnoteText"/>
      </w:pPr>
      <w:r>
        <w:t>“Prudent Electrical Practices” means those practices, methods and acts that would be implemented and followed by prudent operators of electric energy generating facilities in the Western United States, similar to the Generating Facility, during the relevant time period, which practices, methods and acts, in the exercise of prudent and responsible professional judgement in the light of the facts known or that should reasonably have been known at the time the decision was made, could reasonably have been expected to accomplish the desired result consistent with good business practices, reliability and safety.</w:t>
      </w:r>
    </w:p>
    <w:p w14:paraId="6655FF2A" w14:textId="19995E93" w:rsidR="00131E72" w:rsidRPr="003B7ECF" w:rsidRDefault="00131E72" w:rsidP="003B7ECF">
      <w:pPr>
        <w:pStyle w:val="FootnoteText"/>
        <w:spacing w:after="0"/>
      </w:pPr>
      <w:r w:rsidRPr="003B7ECF">
        <w:t>Prudent Electrical Practices shall include, at a minimum, those professionally responsible practices, methods and acts described in the preceding sentence that comply with manufacturers’ warranties, restrictions in this Agreement, and the requirements of Governmental Authorities, WECC standards, the CAISO and Applicable Laws.</w:t>
      </w:r>
    </w:p>
    <w:p w14:paraId="2BCDEB4B" w14:textId="77777777" w:rsidR="00131E72" w:rsidRDefault="00131E72" w:rsidP="003B7ECF">
      <w:pPr>
        <w:autoSpaceDE w:val="0"/>
        <w:autoSpaceDN w:val="0"/>
        <w:adjustRightInd w:val="0"/>
        <w:rPr>
          <w:rFonts w:ascii="TimesNewRomanPSMT" w:hAnsi="TimesNewRomanPSMT" w:cs="TimesNewRomanPSMT"/>
          <w:sz w:val="24"/>
          <w:szCs w:val="24"/>
        </w:rPr>
      </w:pPr>
    </w:p>
    <w:p w14:paraId="0C2AD12B" w14:textId="77777777" w:rsidR="00131E72" w:rsidRPr="003B7ECF" w:rsidRDefault="00131E72" w:rsidP="003B7ECF">
      <w:pPr>
        <w:autoSpaceDE w:val="0"/>
        <w:autoSpaceDN w:val="0"/>
        <w:adjustRightInd w:val="0"/>
        <w:rPr>
          <w:rFonts w:cs="TimesNewRomanPSMT"/>
          <w:sz w:val="24"/>
          <w:szCs w:val="24"/>
        </w:rPr>
      </w:pPr>
      <w:r w:rsidRPr="003B7ECF">
        <w:rPr>
          <w:rFonts w:cs="TimesNewRomanPSMT"/>
          <w:sz w:val="24"/>
          <w:szCs w:val="24"/>
        </w:rPr>
        <w:t>Prudent Electrical Practices also includes taking reasonable steps to ensure that:</w:t>
      </w:r>
    </w:p>
    <w:p w14:paraId="61CCF67C" w14:textId="5DC82F1A" w:rsidR="00131E72" w:rsidRPr="003B7ECF" w:rsidRDefault="00131E72" w:rsidP="003B7ECF">
      <w:pPr>
        <w:pStyle w:val="ListParagraph"/>
        <w:numPr>
          <w:ilvl w:val="0"/>
          <w:numId w:val="26"/>
        </w:numPr>
        <w:autoSpaceDE w:val="0"/>
        <w:autoSpaceDN w:val="0"/>
        <w:adjustRightInd w:val="0"/>
        <w:rPr>
          <w:rFonts w:cs="TimesNewRomanPSMT"/>
          <w:sz w:val="24"/>
          <w:szCs w:val="24"/>
        </w:rPr>
      </w:pPr>
      <w:r w:rsidRPr="003B7ECF">
        <w:rPr>
          <w:rFonts w:cs="TimesNewRomanPSMT"/>
          <w:sz w:val="24"/>
          <w:szCs w:val="24"/>
        </w:rPr>
        <w:t>Equipment, materials, resources, and supplies, including spare parts inventories, are available to meet the Generating Facility’s needs;</w:t>
      </w:r>
    </w:p>
    <w:p w14:paraId="598FB755" w14:textId="1B400D45" w:rsidR="00131E72" w:rsidRPr="003B7ECF" w:rsidRDefault="00131E72" w:rsidP="003B7ECF">
      <w:pPr>
        <w:pStyle w:val="ListParagraph"/>
        <w:numPr>
          <w:ilvl w:val="0"/>
          <w:numId w:val="26"/>
        </w:numPr>
        <w:autoSpaceDE w:val="0"/>
        <w:autoSpaceDN w:val="0"/>
        <w:adjustRightInd w:val="0"/>
        <w:rPr>
          <w:rFonts w:cs="TimesNewRomanPSMT"/>
          <w:sz w:val="24"/>
          <w:szCs w:val="24"/>
        </w:rPr>
      </w:pPr>
      <w:r w:rsidRPr="003B7ECF">
        <w:rPr>
          <w:rFonts w:cs="TimesNewRomanPSMT"/>
          <w:sz w:val="24"/>
          <w:szCs w:val="24"/>
        </w:rPr>
        <w:t>Sufficient Operating personnel are available at all times and are adequately experienced and trained and licensed as necessary to Operate the Generating Facility properly and efficiently, and are capable of responding to reasonably foreseeable emergency conditions at the Generating Facility and Emergencies whether caused by events on or off the Site;</w:t>
      </w:r>
    </w:p>
    <w:p w14:paraId="7950F27F" w14:textId="2C0346BE" w:rsidR="00131E72" w:rsidRPr="003B7ECF" w:rsidRDefault="00131E72" w:rsidP="003B7ECF">
      <w:pPr>
        <w:pStyle w:val="ListParagraph"/>
        <w:numPr>
          <w:ilvl w:val="0"/>
          <w:numId w:val="26"/>
        </w:numPr>
        <w:autoSpaceDE w:val="0"/>
        <w:autoSpaceDN w:val="0"/>
        <w:adjustRightInd w:val="0"/>
        <w:rPr>
          <w:rFonts w:cs="TimesNewRomanPSMT"/>
          <w:sz w:val="24"/>
          <w:szCs w:val="24"/>
        </w:rPr>
      </w:pPr>
      <w:r w:rsidRPr="003B7ECF">
        <w:rPr>
          <w:rFonts w:cs="TimesNewRomanPSMT"/>
          <w:sz w:val="24"/>
          <w:szCs w:val="24"/>
        </w:rPr>
        <w:t>Preventive, routine, and non-routine maintenance and repairs are performed on a basis that ensures reliable, long term and safe Operation of the Generating Facility, and are performed by knowledgeable, trained, and experienced personnel utilizing proper equipment and tools;</w:t>
      </w:r>
    </w:p>
    <w:p w14:paraId="454AA633" w14:textId="5807CA2C" w:rsidR="00131E72" w:rsidRPr="003B7ECF" w:rsidRDefault="00131E72" w:rsidP="003B7ECF">
      <w:pPr>
        <w:pStyle w:val="ListParagraph"/>
        <w:numPr>
          <w:ilvl w:val="0"/>
          <w:numId w:val="26"/>
        </w:numPr>
        <w:autoSpaceDE w:val="0"/>
        <w:autoSpaceDN w:val="0"/>
        <w:adjustRightInd w:val="0"/>
        <w:rPr>
          <w:rFonts w:cs="TimesNewRomanPSMT"/>
          <w:sz w:val="24"/>
          <w:szCs w:val="24"/>
        </w:rPr>
      </w:pPr>
      <w:r w:rsidRPr="003B7ECF">
        <w:rPr>
          <w:rFonts w:cs="TimesNewRomanPSMT"/>
          <w:sz w:val="24"/>
          <w:szCs w:val="24"/>
        </w:rPr>
        <w:t>Appropriate monitoring and testing are performed to ensure equipment is functioning as designed;</w:t>
      </w:r>
    </w:p>
    <w:p w14:paraId="53586D66" w14:textId="1711BED3" w:rsidR="00131E72" w:rsidRPr="003B7ECF" w:rsidRDefault="00131E72" w:rsidP="003B7ECF">
      <w:pPr>
        <w:pStyle w:val="ListParagraph"/>
        <w:numPr>
          <w:ilvl w:val="0"/>
          <w:numId w:val="26"/>
        </w:numPr>
        <w:autoSpaceDE w:val="0"/>
        <w:autoSpaceDN w:val="0"/>
        <w:adjustRightInd w:val="0"/>
        <w:rPr>
          <w:rFonts w:cs="TimesNewRomanPSMT"/>
          <w:sz w:val="24"/>
          <w:szCs w:val="24"/>
        </w:rPr>
      </w:pPr>
      <w:r w:rsidRPr="003B7ECF">
        <w:rPr>
          <w:rFonts w:cs="TimesNewRomanPSMT"/>
          <w:sz w:val="24"/>
          <w:szCs w:val="24"/>
        </w:rPr>
        <w:t xml:space="preserve">Equipment is not Operated in a reckless manner, in violation of manufacturer’s guidelines or in a manner unsafe to workers, the general public, or the Transmission Provider’s electric system or contrary to environmental laws, permits or regulations or without regard to defined limitations such as, flood conditions, safety inspection requirements, operating voltage, current, volt ampere reactive (VAR) loading, frequency, rotational speed, polarity, synchronization, and control system limits; and </w:t>
      </w:r>
    </w:p>
    <w:p w14:paraId="05C43C14" w14:textId="4EFB8BB0" w:rsidR="00131E72" w:rsidRPr="004D4245" w:rsidRDefault="00131E72" w:rsidP="003B7ECF">
      <w:pPr>
        <w:pStyle w:val="ListParagraph"/>
        <w:numPr>
          <w:ilvl w:val="0"/>
          <w:numId w:val="26"/>
        </w:numPr>
        <w:autoSpaceDE w:val="0"/>
        <w:autoSpaceDN w:val="0"/>
        <w:adjustRightInd w:val="0"/>
      </w:pPr>
      <w:r w:rsidRPr="003B7ECF">
        <w:rPr>
          <w:rFonts w:cs="TimesNewRomanPSMT"/>
          <w:sz w:val="24"/>
          <w:szCs w:val="24"/>
        </w:rPr>
        <w:t>Equipment and components are designed and manufactured to meet or exceed the standard of durability that is generally used for electric energy generating facilities operating in the Western United States and will function properly over the full range of ambient temperature and weather conditions reasonably expected to occur at the Site and under both normal and emergency conditions.</w:t>
      </w:r>
    </w:p>
  </w:footnote>
  <w:footnote w:id="22">
    <w:p w14:paraId="76755D7B" w14:textId="77777777" w:rsidR="00131E72" w:rsidRDefault="00131E72" w:rsidP="004D1236">
      <w:pPr>
        <w:pStyle w:val="FootnoteText"/>
        <w:spacing w:after="100" w:afterAutospacing="1"/>
        <w:rPr>
          <w:sz w:val="22"/>
          <w:szCs w:val="22"/>
        </w:rPr>
      </w:pPr>
      <w:r>
        <w:rPr>
          <w:rStyle w:val="FootnoteReference"/>
          <w:szCs w:val="24"/>
        </w:rPr>
        <w:footnoteRef/>
      </w:r>
      <w:r>
        <w:rPr>
          <w:szCs w:val="24"/>
        </w:rPr>
        <w:t xml:space="preserve">  </w:t>
      </w:r>
      <w:r w:rsidRPr="00541E36">
        <w:rPr>
          <w:i/>
          <w:szCs w:val="24"/>
        </w:rPr>
        <w:t xml:space="preserve">See, e.g. </w:t>
      </w:r>
      <w:r w:rsidRPr="00541E36">
        <w:rPr>
          <w:szCs w:val="24"/>
        </w:rPr>
        <w:t>D. 08-04-009 at Appendix A, STC 6, Eligibility.</w:t>
      </w:r>
    </w:p>
  </w:footnote>
  <w:footnote w:id="23">
    <w:p w14:paraId="0F903411" w14:textId="77777777" w:rsidR="00131E72" w:rsidRDefault="00131E72" w:rsidP="004D1236">
      <w:pPr>
        <w:pStyle w:val="FootnoteText"/>
        <w:spacing w:after="100" w:afterAutospacing="1"/>
        <w:ind w:left="360" w:hanging="360"/>
      </w:pPr>
      <w:r>
        <w:rPr>
          <w:rStyle w:val="FootnoteReference"/>
          <w:szCs w:val="24"/>
        </w:rPr>
        <w:footnoteRef/>
      </w:r>
      <w:r>
        <w:rPr>
          <w:szCs w:val="24"/>
        </w:rPr>
        <w:t xml:space="preserve">  </w:t>
      </w:r>
      <w:r w:rsidRPr="00541E36">
        <w:rPr>
          <w:i/>
          <w:szCs w:val="24"/>
        </w:rPr>
        <w:t xml:space="preserve">See, e.g. </w:t>
      </w:r>
      <w:r w:rsidRPr="00541E36">
        <w:rPr>
          <w:szCs w:val="24"/>
        </w:rPr>
        <w:t>D. 08-04-009 at Appendix A, STC 1, CPUC Approval.</w:t>
      </w:r>
    </w:p>
  </w:footnote>
  <w:footnote w:id="24">
    <w:p w14:paraId="461DA589" w14:textId="6943DBD5" w:rsidR="00131E72" w:rsidRDefault="00131E72" w:rsidP="00265656">
      <w:pPr>
        <w:pStyle w:val="FootnoteText"/>
      </w:pPr>
      <w:r>
        <w:rPr>
          <w:rStyle w:val="FootnoteReference"/>
        </w:rPr>
        <w:footnoteRef/>
      </w:r>
      <w:r>
        <w:t>The Voyager and TGP AL, Confidential Appendix C, Report of the Independent Evaluator Review of the Power Purchase Agreement with Voyager Wind I, LLC and Sale Agreement with TGP Energy Management, LLC, Merrimack Energy Group, Inc. and New Energy Opportunities  in December 2015 at 27-49.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B40AC" w14:textId="77777777" w:rsidR="00C63C64" w:rsidRDefault="00C63C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B78F8" w14:textId="1ABC6314" w:rsidR="00131E72" w:rsidRDefault="00131E72">
    <w:pPr>
      <w:pStyle w:val="Header"/>
      <w:tabs>
        <w:tab w:val="clear" w:pos="4320"/>
        <w:tab w:val="clear" w:pos="8640"/>
        <w:tab w:val="center" w:pos="4680"/>
        <w:tab w:val="right" w:pos="9180"/>
      </w:tabs>
    </w:pPr>
    <w:r>
      <w:t>Resolution E-4759</w:t>
    </w:r>
    <w:r>
      <w:tab/>
      <w:t>DRAFT</w:t>
    </w:r>
    <w:r>
      <w:tab/>
    </w:r>
    <w:r w:rsidR="00690876">
      <w:t xml:space="preserve">April </w:t>
    </w:r>
    <w:r w:rsidR="00015AF4">
      <w:t>21</w:t>
    </w:r>
    <w:r>
      <w:t>, 2016</w:t>
    </w:r>
  </w:p>
  <w:p w14:paraId="7BEC9CAE" w14:textId="65C913A8" w:rsidR="00131E72" w:rsidRDefault="00131E72">
    <w:pPr>
      <w:pStyle w:val="Header"/>
      <w:tabs>
        <w:tab w:val="clear" w:pos="4320"/>
        <w:tab w:val="clear" w:pos="8640"/>
        <w:tab w:val="center" w:pos="4680"/>
        <w:tab w:val="right" w:pos="9180"/>
      </w:tabs>
    </w:pPr>
    <w:r>
      <w:t>SCE AL 3330-E/</w:t>
    </w:r>
    <w:r w:rsidR="000D7C15">
      <w:t>E-A/</w:t>
    </w:r>
    <w:r>
      <w:t>SCL</w:t>
    </w:r>
  </w:p>
  <w:p w14:paraId="3F43B034" w14:textId="77777777" w:rsidR="00131E72" w:rsidRDefault="00131E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C7268" w14:textId="1358A0EB" w:rsidR="00131E72" w:rsidRDefault="00131E72" w:rsidP="004742E8">
    <w:pPr>
      <w:pStyle w:val="Header"/>
      <w:tabs>
        <w:tab w:val="clear" w:pos="4320"/>
        <w:tab w:val="clear" w:pos="8640"/>
        <w:tab w:val="center" w:pos="4680"/>
        <w:tab w:val="right" w:pos="9180"/>
      </w:tabs>
    </w:pPr>
    <w:r>
      <w:tab/>
      <w:t>DRAFT</w:t>
    </w:r>
    <w:r>
      <w:tab/>
    </w:r>
  </w:p>
  <w:p w14:paraId="23DAE423" w14:textId="77777777" w:rsidR="00131E72" w:rsidRDefault="00131E72">
    <w:pPr>
      <w:pStyle w:val="Header"/>
      <w:rPr>
        <w:rFonts w:ascii="Helvetica" w:hAnsi="Helvetica"/>
        <w:b/>
        <w:sz w:val="28"/>
      </w:rPr>
    </w:pPr>
    <w:r>
      <w:rPr>
        <w:b/>
      </w:rPr>
      <w:tab/>
    </w:r>
    <w:r>
      <w:rPr>
        <w:b/>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B774E" w14:textId="34FFD07C" w:rsidR="00131E72" w:rsidRDefault="00131E72" w:rsidP="003765D5">
    <w:pPr>
      <w:pStyle w:val="Header"/>
      <w:tabs>
        <w:tab w:val="clear" w:pos="4320"/>
        <w:tab w:val="clear" w:pos="8640"/>
        <w:tab w:val="center" w:pos="4680"/>
        <w:tab w:val="right" w:pos="9180"/>
      </w:tabs>
    </w:pPr>
    <w:r>
      <w:t xml:space="preserve">Resolution E-4759                                   </w:t>
    </w:r>
    <w:r>
      <w:tab/>
      <w:t xml:space="preserve">DRAFT                       </w:t>
    </w:r>
    <w:r>
      <w:tab/>
      <w:t xml:space="preserve"> </w:t>
    </w:r>
    <w:r w:rsidR="00690876">
      <w:t xml:space="preserve">April </w:t>
    </w:r>
    <w:r w:rsidR="00015AF4">
      <w:t>21</w:t>
    </w:r>
    <w:r>
      <w:t>, 2016</w:t>
    </w:r>
  </w:p>
  <w:p w14:paraId="62F62ABB" w14:textId="5F529B0F" w:rsidR="00131E72" w:rsidRPr="003765D5" w:rsidRDefault="00131E72" w:rsidP="003765D5">
    <w:pPr>
      <w:pStyle w:val="Header"/>
      <w:tabs>
        <w:tab w:val="clear" w:pos="4320"/>
        <w:tab w:val="clear" w:pos="8640"/>
        <w:tab w:val="center" w:pos="4680"/>
        <w:tab w:val="right" w:pos="9180"/>
      </w:tabs>
    </w:pPr>
    <w:r>
      <w:t>SCE AL 3330-E/SCL</w:t>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0AFE3E"/>
    <w:lvl w:ilvl="0">
      <w:start w:val="1"/>
      <w:numFmt w:val="decimal"/>
      <w:pStyle w:val="Level7nounderscore"/>
      <w:lvlText w:val="%1."/>
      <w:lvlJc w:val="left"/>
      <w:pPr>
        <w:tabs>
          <w:tab w:val="num" w:pos="1440"/>
        </w:tabs>
        <w:ind w:left="1440" w:hanging="360"/>
      </w:pPr>
      <w:rPr>
        <w:rFonts w:cs="Times New Roman"/>
      </w:rPr>
    </w:lvl>
  </w:abstractNum>
  <w:abstractNum w:abstractNumId="1">
    <w:nsid w:val="021750D4"/>
    <w:multiLevelType w:val="hybridMultilevel"/>
    <w:tmpl w:val="3C2C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B0F61"/>
    <w:multiLevelType w:val="hybridMultilevel"/>
    <w:tmpl w:val="9618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E5E0A"/>
    <w:multiLevelType w:val="singleLevel"/>
    <w:tmpl w:val="81622C8A"/>
    <w:lvl w:ilvl="0">
      <w:start w:val="1"/>
      <w:numFmt w:val="upperLetter"/>
      <w:pStyle w:val="AListIndent"/>
      <w:lvlText w:val="%1. "/>
      <w:lvlJc w:val="left"/>
      <w:pPr>
        <w:tabs>
          <w:tab w:val="num" w:pos="1152"/>
        </w:tabs>
        <w:ind w:left="1152" w:hanging="432"/>
      </w:pPr>
      <w:rPr>
        <w:rFonts w:ascii="Courier" w:hAnsi="Courier" w:hint="default"/>
        <w:b w:val="0"/>
        <w:i w:val="0"/>
        <w:sz w:val="24"/>
      </w:rPr>
    </w:lvl>
  </w:abstractNum>
  <w:abstractNum w:abstractNumId="4">
    <w:nsid w:val="0BDB7819"/>
    <w:multiLevelType w:val="singleLevel"/>
    <w:tmpl w:val="0409000F"/>
    <w:lvl w:ilvl="0">
      <w:start w:val="1"/>
      <w:numFmt w:val="decimal"/>
      <w:lvlText w:val="%1."/>
      <w:lvlJc w:val="left"/>
      <w:pPr>
        <w:tabs>
          <w:tab w:val="num" w:pos="360"/>
        </w:tabs>
        <w:ind w:left="360" w:hanging="360"/>
      </w:pPr>
    </w:lvl>
  </w:abstractNum>
  <w:abstractNum w:abstractNumId="5">
    <w:nsid w:val="160F7C05"/>
    <w:multiLevelType w:val="hybridMultilevel"/>
    <w:tmpl w:val="3AC04B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16018D"/>
    <w:multiLevelType w:val="hybridMultilevel"/>
    <w:tmpl w:val="0CF6AA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A741A7"/>
    <w:multiLevelType w:val="hybridMultilevel"/>
    <w:tmpl w:val="D8909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F61361"/>
    <w:multiLevelType w:val="hybridMultilevel"/>
    <w:tmpl w:val="67F46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480B1D"/>
    <w:multiLevelType w:val="multilevel"/>
    <w:tmpl w:val="88443944"/>
    <w:lvl w:ilvl="0">
      <w:start w:val="1"/>
      <w:numFmt w:val="decimal"/>
      <w:lvlText w:val="%1."/>
      <w:lvlJc w:val="left"/>
      <w:pPr>
        <w:tabs>
          <w:tab w:val="num" w:pos="360"/>
        </w:tabs>
        <w:ind w:left="360" w:hanging="360"/>
      </w:pPr>
      <w:rPr>
        <w:rFonts w:hint="default"/>
      </w:rPr>
    </w:lvl>
    <w:lvl w:ilvl="1">
      <w:start w:val="1"/>
      <w:numFmt w:val="decimal"/>
      <w:pStyle w:val="Heading2"/>
      <w:isLgl/>
      <w:lvlText w:val="%1.%2"/>
      <w:lvlJc w:val="left"/>
      <w:pPr>
        <w:tabs>
          <w:tab w:val="num" w:pos="1215"/>
        </w:tabs>
        <w:ind w:left="1215" w:hanging="495"/>
      </w:pPr>
      <w:rPr>
        <w:rFonts w:hint="default"/>
      </w:rPr>
    </w:lvl>
    <w:lvl w:ilvl="2">
      <w:start w:val="1"/>
      <w:numFmt w:val="decimal"/>
      <w:isLgl/>
      <w:lvlText w:val="%1.%2.%3"/>
      <w:lvlJc w:val="left"/>
      <w:pPr>
        <w:tabs>
          <w:tab w:val="num" w:pos="2160"/>
        </w:tabs>
        <w:ind w:left="2160" w:hanging="720"/>
      </w:pPr>
      <w:rPr>
        <w:rFonts w:hint="default"/>
      </w:rPr>
    </w:lvl>
    <w:lvl w:ilvl="3">
      <w:start w:val="1"/>
      <w:numFmt w:val="decimalZero"/>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0">
    <w:nsid w:val="26F8414F"/>
    <w:multiLevelType w:val="hybridMultilevel"/>
    <w:tmpl w:val="A19EB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9933615"/>
    <w:multiLevelType w:val="hybridMultilevel"/>
    <w:tmpl w:val="EC786834"/>
    <w:lvl w:ilvl="0" w:tplc="71C86C2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B53D84"/>
    <w:multiLevelType w:val="multilevel"/>
    <w:tmpl w:val="2332ADFC"/>
    <w:lvl w:ilvl="0">
      <w:start w:val="1"/>
      <w:numFmt w:val="cardinalText"/>
      <w:pStyle w:val="Heading1Article"/>
      <w:lvlText w:val="ARTICLE %1."/>
      <w:lvlJc w:val="left"/>
      <w:pPr>
        <w:tabs>
          <w:tab w:val="num" w:pos="1440"/>
        </w:tabs>
        <w:ind w:left="0" w:firstLine="0"/>
      </w:pPr>
      <w:rPr>
        <w:rFonts w:hint="default"/>
        <w:b/>
        <w:i w:val="0"/>
        <w:caps/>
        <w:sz w:val="24"/>
        <w:szCs w:val="24"/>
      </w:rPr>
    </w:lvl>
    <w:lvl w:ilvl="1">
      <w:start w:val="1"/>
      <w:numFmt w:val="decimalZero"/>
      <w:pStyle w:val="Level2Underscore"/>
      <w:isLgl/>
      <w:lvlText w:val="%1.%2"/>
      <w:lvlJc w:val="left"/>
      <w:pPr>
        <w:tabs>
          <w:tab w:val="num" w:pos="900"/>
        </w:tabs>
        <w:ind w:left="90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620"/>
        </w:tabs>
        <w:ind w:left="1620" w:hanging="720"/>
      </w:pPr>
      <w:rPr>
        <w:rFonts w:hint="default"/>
        <w:b w:val="0"/>
        <w:i w:val="0"/>
        <w:color w:val="auto"/>
        <w:u w:val="none"/>
      </w:rPr>
    </w:lvl>
    <w:lvl w:ilvl="3">
      <w:start w:val="1"/>
      <w:numFmt w:val="lowerRoman"/>
      <w:pStyle w:val="Level3withunderscore"/>
      <w:lvlText w:val="(%4)"/>
      <w:lvlJc w:val="left"/>
      <w:pPr>
        <w:tabs>
          <w:tab w:val="num" w:pos="3600"/>
        </w:tabs>
        <w:ind w:left="360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Level4nounderscore"/>
      <w:lvlText w:val="(%5)"/>
      <w:lvlJc w:val="left"/>
      <w:pPr>
        <w:tabs>
          <w:tab w:val="num" w:pos="1980"/>
        </w:tabs>
        <w:ind w:left="1980" w:hanging="720"/>
      </w:pPr>
      <w:rPr>
        <w:rFonts w:ascii="Times New Roman" w:eastAsia="Times New Roman" w:hAnsi="Times New Roman" w:cs="Times New Roman" w:hint="default"/>
      </w:rPr>
    </w:lvl>
    <w:lvl w:ilvl="5">
      <w:start w:val="1"/>
      <w:numFmt w:val="lowerLetter"/>
      <w:pStyle w:val="Level5nounderscore"/>
      <w:lvlText w:val="%6)"/>
      <w:lvlJc w:val="left"/>
      <w:pPr>
        <w:tabs>
          <w:tab w:val="num" w:pos="3600"/>
        </w:tabs>
        <w:ind w:left="3600" w:hanging="720"/>
      </w:pPr>
      <w:rPr>
        <w:rFonts w:hint="default"/>
      </w:rPr>
    </w:lvl>
    <w:lvl w:ilvl="6">
      <w:start w:val="1"/>
      <w:numFmt w:val="lowerRoman"/>
      <w:pStyle w:val="Level6nounderscore"/>
      <w:lvlText w:val="%7)"/>
      <w:lvlJc w:val="left"/>
      <w:pPr>
        <w:tabs>
          <w:tab w:val="num" w:pos="4320"/>
        </w:tabs>
        <w:ind w:left="4320" w:hanging="72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nsid w:val="352D2FB9"/>
    <w:multiLevelType w:val="hybridMultilevel"/>
    <w:tmpl w:val="020A78F6"/>
    <w:lvl w:ilvl="0" w:tplc="71C86C24">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664655"/>
    <w:multiLevelType w:val="hybridMultilevel"/>
    <w:tmpl w:val="1BC6C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2D6534"/>
    <w:multiLevelType w:val="multilevel"/>
    <w:tmpl w:val="402C2FEA"/>
    <w:lvl w:ilvl="0">
      <w:start w:val="1"/>
      <w:numFmt w:val="upperRoman"/>
      <w:lvlRestart w:val="0"/>
      <w:lvlText w:val="%1."/>
      <w:lvlJc w:val="left"/>
      <w:pPr>
        <w:tabs>
          <w:tab w:val="num" w:pos="720"/>
        </w:tabs>
        <w:ind w:left="720" w:hanging="720"/>
      </w:pPr>
      <w:rPr>
        <w:rFonts w:ascii="Albertus Extra Bold" w:hAnsi="Albertus Extra Bold" w:hint="default"/>
        <w:b/>
        <w:i w:val="0"/>
        <w:caps w:val="0"/>
        <w:strike w:val="0"/>
        <w:dstrike w:val="0"/>
        <w:vanish w:val="0"/>
        <w:color w:val="auto"/>
        <w:sz w:val="24"/>
        <w:u w:val="none"/>
        <w:vertAlign w:val="baseline"/>
      </w:rPr>
    </w:lvl>
    <w:lvl w:ilvl="1">
      <w:start w:val="1"/>
      <w:numFmt w:val="upperLetter"/>
      <w:lvlText w:val="%2."/>
      <w:lvlJc w:val="left"/>
      <w:pPr>
        <w:tabs>
          <w:tab w:val="num" w:pos="1440"/>
        </w:tabs>
        <w:ind w:left="1440" w:hanging="720"/>
      </w:pPr>
      <w:rPr>
        <w:rFonts w:ascii="CG Times" w:hAnsi="CG Times" w:hint="default"/>
        <w:b/>
        <w:i w:val="0"/>
        <w:caps w:val="0"/>
        <w:strike w:val="0"/>
        <w:dstrike w:val="0"/>
        <w:vanish w:val="0"/>
        <w:color w:val="auto"/>
        <w:sz w:val="24"/>
        <w:u w:val="none"/>
        <w:vertAlign w:val="baseline"/>
      </w:rPr>
    </w:lvl>
    <w:lvl w:ilvl="2">
      <w:start w:val="1"/>
      <w:numFmt w:val="decimal"/>
      <w:lvlText w:val="%3."/>
      <w:lvlJc w:val="left"/>
      <w:pPr>
        <w:tabs>
          <w:tab w:val="num" w:pos="2160"/>
        </w:tabs>
        <w:ind w:left="2160" w:hanging="720"/>
      </w:pPr>
      <w:rPr>
        <w:rFonts w:ascii="Palatino" w:hAnsi="Palatino" w:cs="Symbol" w:hint="default"/>
        <w:b w:val="0"/>
        <w:i w:val="0"/>
        <w:caps w:val="0"/>
        <w:strike w:val="0"/>
        <w:dstrike w:val="0"/>
        <w:vanish w:val="0"/>
        <w:color w:val="auto"/>
        <w:sz w:val="26"/>
        <w:u w:val="none"/>
        <w:vertAlign w:val="baseline"/>
      </w:rPr>
    </w:lvl>
    <w:lvl w:ilvl="3">
      <w:start w:val="1"/>
      <w:numFmt w:val="lowerLetter"/>
      <w:lvlText w:val="%4."/>
      <w:lvlJc w:val="left"/>
      <w:pPr>
        <w:tabs>
          <w:tab w:val="num" w:pos="2880"/>
        </w:tabs>
        <w:ind w:left="2880" w:hanging="720"/>
      </w:pPr>
      <w:rPr>
        <w:rFonts w:ascii="Palatino Linotype" w:hAnsi="Palatino Linotype" w:hint="default"/>
        <w:b w:val="0"/>
        <w:i w:val="0"/>
        <w:caps w:val="0"/>
        <w:strike w:val="0"/>
        <w:dstrike w:val="0"/>
        <w:vanish w:val="0"/>
        <w:color w:val="auto"/>
        <w:sz w:val="26"/>
        <w:szCs w:val="26"/>
        <w:u w:val="none"/>
        <w:vertAlign w:val="baseline"/>
      </w:rPr>
    </w:lvl>
    <w:lvl w:ilvl="4">
      <w:start w:val="1"/>
      <w:numFmt w:val="decimal"/>
      <w:lvlText w:val="(%5)"/>
      <w:lvlJc w:val="left"/>
      <w:pPr>
        <w:tabs>
          <w:tab w:val="num" w:pos="3600"/>
        </w:tabs>
        <w:ind w:left="3600" w:hanging="720"/>
      </w:pPr>
      <w:rPr>
        <w:rFonts w:ascii="Albertus Extra Bold" w:hAnsi="Albertus Extra Bold" w:hint="default"/>
        <w:b w:val="0"/>
        <w:i w:val="0"/>
        <w:caps w:val="0"/>
        <w:strike w:val="0"/>
        <w:dstrike w:val="0"/>
        <w:vanish w:val="0"/>
        <w:color w:val="auto"/>
        <w:sz w:val="24"/>
        <w:u w:val="none"/>
        <w:vertAlign w:val="baseline"/>
      </w:rPr>
    </w:lvl>
    <w:lvl w:ilvl="5">
      <w:start w:val="1"/>
      <w:numFmt w:val="lowerLetter"/>
      <w:lvlText w:val="(%6)"/>
      <w:lvlJc w:val="left"/>
      <w:pPr>
        <w:tabs>
          <w:tab w:val="num" w:pos="4320"/>
        </w:tabs>
        <w:ind w:left="4320" w:hanging="720"/>
      </w:pPr>
      <w:rPr>
        <w:rFonts w:ascii="Albertus Extra Bold" w:hAnsi="Albertus Extra Bold" w:hint="default"/>
        <w:b w:val="0"/>
        <w:i w:val="0"/>
        <w:caps w:val="0"/>
        <w:strike w:val="0"/>
        <w:dstrike w:val="0"/>
        <w:vanish w:val="0"/>
        <w:color w:val="auto"/>
        <w:sz w:val="24"/>
        <w:u w:val="none"/>
        <w:vertAlign w:val="baseline"/>
      </w:rPr>
    </w:lvl>
    <w:lvl w:ilvl="6">
      <w:start w:val="1"/>
      <w:numFmt w:val="lowerRoman"/>
      <w:lvlText w:val="(%7)"/>
      <w:lvlJc w:val="left"/>
      <w:pPr>
        <w:tabs>
          <w:tab w:val="num" w:pos="5040"/>
        </w:tabs>
        <w:ind w:left="5040" w:hanging="720"/>
      </w:pPr>
      <w:rPr>
        <w:rFonts w:ascii="Albertus Extra Bold" w:hAnsi="Albertus Extra Bold" w:hint="default"/>
        <w:b w:val="0"/>
        <w:i w:val="0"/>
        <w:caps w:val="0"/>
        <w:strike w:val="0"/>
        <w:dstrike w:val="0"/>
        <w:vanish w:val="0"/>
        <w:color w:val="auto"/>
        <w:sz w:val="24"/>
        <w:u w:val="none"/>
        <w:vertAlign w:val="baseline"/>
      </w:rPr>
    </w:lvl>
    <w:lvl w:ilvl="7">
      <w:start w:val="1"/>
      <w:numFmt w:val="lowerLetter"/>
      <w:lvlText w:val="%8)"/>
      <w:lvlJc w:val="left"/>
      <w:pPr>
        <w:tabs>
          <w:tab w:val="num" w:pos="5760"/>
        </w:tabs>
        <w:ind w:left="5760" w:hanging="720"/>
      </w:pPr>
      <w:rPr>
        <w:rFonts w:ascii="Albertus Extra Bold" w:hAnsi="Albertus Extra Bold" w:hint="default"/>
        <w:b w:val="0"/>
        <w:i w:val="0"/>
        <w:caps w:val="0"/>
        <w:strike w:val="0"/>
        <w:dstrike w:val="0"/>
        <w:vanish w:val="0"/>
        <w:color w:val="auto"/>
        <w:sz w:val="24"/>
        <w:u w:val="none"/>
        <w:vertAlign w:val="baseline"/>
      </w:rPr>
    </w:lvl>
    <w:lvl w:ilvl="8">
      <w:start w:val="1"/>
      <w:numFmt w:val="lowerRoman"/>
      <w:lvlText w:val="%9)"/>
      <w:lvlJc w:val="left"/>
      <w:pPr>
        <w:tabs>
          <w:tab w:val="num" w:pos="6480"/>
        </w:tabs>
        <w:ind w:left="6480" w:hanging="720"/>
      </w:pPr>
      <w:rPr>
        <w:rFonts w:ascii="Albertus Extra Bold" w:hAnsi="Albertus Extra Bold" w:hint="default"/>
        <w:b w:val="0"/>
        <w:i w:val="0"/>
        <w:caps w:val="0"/>
        <w:strike w:val="0"/>
        <w:dstrike w:val="0"/>
        <w:vanish w:val="0"/>
        <w:color w:val="auto"/>
        <w:sz w:val="24"/>
        <w:u w:val="none"/>
        <w:vertAlign w:val="baseline"/>
      </w:rPr>
    </w:lvl>
  </w:abstractNum>
  <w:abstractNum w:abstractNumId="16">
    <w:nsid w:val="3D2026D6"/>
    <w:multiLevelType w:val="hybridMultilevel"/>
    <w:tmpl w:val="4600F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56323D"/>
    <w:multiLevelType w:val="hybridMultilevel"/>
    <w:tmpl w:val="2CF88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D34417"/>
    <w:multiLevelType w:val="multilevel"/>
    <w:tmpl w:val="C28E5C40"/>
    <w:lvl w:ilvl="0">
      <w:start w:val="1"/>
      <w:numFmt w:val="decimal"/>
      <w:pStyle w:val="1ListInden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44DC0087"/>
    <w:multiLevelType w:val="hybridMultilevel"/>
    <w:tmpl w:val="EC96D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DB244B"/>
    <w:multiLevelType w:val="hybridMultilevel"/>
    <w:tmpl w:val="B2C60048"/>
    <w:lvl w:ilvl="0" w:tplc="2B4A35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653359"/>
    <w:multiLevelType w:val="hybridMultilevel"/>
    <w:tmpl w:val="3D4E6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B95E38"/>
    <w:multiLevelType w:val="hybridMultilevel"/>
    <w:tmpl w:val="B150F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CB1323"/>
    <w:multiLevelType w:val="hybridMultilevel"/>
    <w:tmpl w:val="6D6AE35C"/>
    <w:lvl w:ilvl="0" w:tplc="83F01CFC">
      <w:start w:val="7"/>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72565C7"/>
    <w:multiLevelType w:val="singleLevel"/>
    <w:tmpl w:val="B4D29030"/>
    <w:lvl w:ilvl="0">
      <w:start w:val="1"/>
      <w:numFmt w:val="decimal"/>
      <w:lvlText w:val="%1."/>
      <w:lvlJc w:val="left"/>
      <w:pPr>
        <w:tabs>
          <w:tab w:val="num" w:pos="420"/>
        </w:tabs>
        <w:ind w:left="420" w:hanging="420"/>
      </w:pPr>
      <w:rPr>
        <w:rFonts w:hint="default"/>
      </w:rPr>
    </w:lvl>
  </w:abstractNum>
  <w:abstractNum w:abstractNumId="25">
    <w:nsid w:val="5AE72385"/>
    <w:multiLevelType w:val="hybridMultilevel"/>
    <w:tmpl w:val="D49C0D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5D357E9C"/>
    <w:multiLevelType w:val="hybridMultilevel"/>
    <w:tmpl w:val="1A74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875F2B"/>
    <w:multiLevelType w:val="hybridMultilevel"/>
    <w:tmpl w:val="E43EA1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DE554A1"/>
    <w:multiLevelType w:val="hybridMultilevel"/>
    <w:tmpl w:val="E766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A1569A"/>
    <w:multiLevelType w:val="hybridMultilevel"/>
    <w:tmpl w:val="12629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3C36C34"/>
    <w:multiLevelType w:val="hybridMultilevel"/>
    <w:tmpl w:val="B18E0280"/>
    <w:lvl w:ilvl="0" w:tplc="9B2A0E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144915"/>
    <w:multiLevelType w:val="hybridMultilevel"/>
    <w:tmpl w:val="C41E27F2"/>
    <w:lvl w:ilvl="0" w:tplc="0409000F">
      <w:start w:val="1"/>
      <w:numFmt w:val="decimal"/>
      <w:lvlText w:val="%1."/>
      <w:lvlJc w:val="left"/>
      <w:pPr>
        <w:ind w:left="720" w:hanging="360"/>
      </w:pPr>
      <w:rPr>
        <w:rFonts w:hint="default"/>
      </w:rPr>
    </w:lvl>
    <w:lvl w:ilvl="1" w:tplc="F058DEDE">
      <w:numFmt w:val="bullet"/>
      <w:lvlText w:val="•"/>
      <w:lvlJc w:val="left"/>
      <w:pPr>
        <w:ind w:left="1805" w:hanging="725"/>
      </w:pPr>
      <w:rPr>
        <w:rFonts w:ascii="Palatino" w:eastAsia="Times New Roman" w:hAnsi="Palatino"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FD27D2"/>
    <w:multiLevelType w:val="multilevel"/>
    <w:tmpl w:val="6B9A4D46"/>
    <w:lvl w:ilvl="0">
      <w:start w:val="1"/>
      <w:numFmt w:val="cardinalText"/>
      <w:lvlText w:val="ARTICLE %1."/>
      <w:lvlJc w:val="left"/>
      <w:pPr>
        <w:tabs>
          <w:tab w:val="num" w:pos="1440"/>
        </w:tabs>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33">
    <w:nsid w:val="6BB84711"/>
    <w:multiLevelType w:val="hybridMultilevel"/>
    <w:tmpl w:val="C1126C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C75054D"/>
    <w:multiLevelType w:val="hybridMultilevel"/>
    <w:tmpl w:val="366E8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08C7DA5"/>
    <w:multiLevelType w:val="hybridMultilevel"/>
    <w:tmpl w:val="DE1693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7E73AA5"/>
    <w:multiLevelType w:val="hybridMultilevel"/>
    <w:tmpl w:val="40A8F6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56713E"/>
    <w:multiLevelType w:val="hybridMultilevel"/>
    <w:tmpl w:val="45566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8"/>
  </w:num>
  <w:num w:numId="3">
    <w:abstractNumId w:val="9"/>
  </w:num>
  <w:num w:numId="4">
    <w:abstractNumId w:val="24"/>
  </w:num>
  <w:num w:numId="5">
    <w:abstractNumId w:val="4"/>
  </w:num>
  <w:num w:numId="6">
    <w:abstractNumId w:val="10"/>
  </w:num>
  <w:num w:numId="7">
    <w:abstractNumId w:val="33"/>
  </w:num>
  <w:num w:numId="8">
    <w:abstractNumId w:val="37"/>
  </w:num>
  <w:num w:numId="9">
    <w:abstractNumId w:val="31"/>
  </w:num>
  <w:num w:numId="10">
    <w:abstractNumId w:val="5"/>
  </w:num>
  <w:num w:numId="11">
    <w:abstractNumId w:val="11"/>
  </w:num>
  <w:num w:numId="12">
    <w:abstractNumId w:val="12"/>
  </w:num>
  <w:num w:numId="13">
    <w:abstractNumId w:val="32"/>
  </w:num>
  <w:num w:numId="14">
    <w:abstractNumId w:val="35"/>
  </w:num>
  <w:num w:numId="15">
    <w:abstractNumId w:val="15"/>
  </w:num>
  <w:num w:numId="16">
    <w:abstractNumId w:val="29"/>
  </w:num>
  <w:num w:numId="17">
    <w:abstractNumId w:val="25"/>
  </w:num>
  <w:num w:numId="18">
    <w:abstractNumId w:val="23"/>
  </w:num>
  <w:num w:numId="19">
    <w:abstractNumId w:val="34"/>
  </w:num>
  <w:num w:numId="20">
    <w:abstractNumId w:val="21"/>
  </w:num>
  <w:num w:numId="21">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
  </w:num>
  <w:num w:numId="25">
    <w:abstractNumId w:val="1"/>
  </w:num>
  <w:num w:numId="26">
    <w:abstractNumId w:val="36"/>
  </w:num>
  <w:num w:numId="27">
    <w:abstractNumId w:val="30"/>
  </w:num>
  <w:num w:numId="28">
    <w:abstractNumId w:val="6"/>
  </w:num>
  <w:num w:numId="29">
    <w:abstractNumId w:val="16"/>
  </w:num>
  <w:num w:numId="30">
    <w:abstractNumId w:val="20"/>
  </w:num>
  <w:num w:numId="31">
    <w:abstractNumId w:val="14"/>
  </w:num>
  <w:num w:numId="32">
    <w:abstractNumId w:val="8"/>
  </w:num>
  <w:num w:numId="33">
    <w:abstractNumId w:val="27"/>
  </w:num>
  <w:num w:numId="34">
    <w:abstractNumId w:val="28"/>
  </w:num>
  <w:num w:numId="35">
    <w:abstractNumId w:val="19"/>
  </w:num>
  <w:num w:numId="36">
    <w:abstractNumId w:val="7"/>
  </w:num>
  <w:num w:numId="37">
    <w:abstractNumId w:val="22"/>
  </w:num>
  <w:num w:numId="38">
    <w:abstractNumId w:val="17"/>
  </w:num>
  <w:num w:numId="39">
    <w:abstractNumId w:val="26"/>
  </w:num>
  <w:num w:numId="40">
    <w:abstractNumId w:val="13"/>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tchell">
    <w15:presenceInfo w15:providerId="None" w15:userId="Mitch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D70"/>
    <w:rsid w:val="00002813"/>
    <w:rsid w:val="0000309F"/>
    <w:rsid w:val="0000393A"/>
    <w:rsid w:val="00003EFC"/>
    <w:rsid w:val="00004B1A"/>
    <w:rsid w:val="00007449"/>
    <w:rsid w:val="0001174F"/>
    <w:rsid w:val="00012068"/>
    <w:rsid w:val="0001377D"/>
    <w:rsid w:val="00013FD9"/>
    <w:rsid w:val="000140CE"/>
    <w:rsid w:val="0001410E"/>
    <w:rsid w:val="00014DC5"/>
    <w:rsid w:val="00015945"/>
    <w:rsid w:val="00015AF4"/>
    <w:rsid w:val="000166FC"/>
    <w:rsid w:val="000169C9"/>
    <w:rsid w:val="0002116B"/>
    <w:rsid w:val="00023FC6"/>
    <w:rsid w:val="0002570C"/>
    <w:rsid w:val="00025A00"/>
    <w:rsid w:val="00025A94"/>
    <w:rsid w:val="000314C6"/>
    <w:rsid w:val="00033D65"/>
    <w:rsid w:val="00035330"/>
    <w:rsid w:val="00035406"/>
    <w:rsid w:val="00036A27"/>
    <w:rsid w:val="00042353"/>
    <w:rsid w:val="00043C06"/>
    <w:rsid w:val="00045F7B"/>
    <w:rsid w:val="000469D2"/>
    <w:rsid w:val="00047B52"/>
    <w:rsid w:val="000504F2"/>
    <w:rsid w:val="00054744"/>
    <w:rsid w:val="00054BA3"/>
    <w:rsid w:val="00055E65"/>
    <w:rsid w:val="000562EE"/>
    <w:rsid w:val="000605BE"/>
    <w:rsid w:val="00061734"/>
    <w:rsid w:val="00061BD8"/>
    <w:rsid w:val="000622B6"/>
    <w:rsid w:val="000644DF"/>
    <w:rsid w:val="00066C8A"/>
    <w:rsid w:val="00067F0F"/>
    <w:rsid w:val="00072FA6"/>
    <w:rsid w:val="0008625D"/>
    <w:rsid w:val="000865B2"/>
    <w:rsid w:val="0008711F"/>
    <w:rsid w:val="00091647"/>
    <w:rsid w:val="000A12C9"/>
    <w:rsid w:val="000A1CA0"/>
    <w:rsid w:val="000A59BD"/>
    <w:rsid w:val="000A6B6D"/>
    <w:rsid w:val="000A76E6"/>
    <w:rsid w:val="000A7701"/>
    <w:rsid w:val="000B166A"/>
    <w:rsid w:val="000B2A9B"/>
    <w:rsid w:val="000B3271"/>
    <w:rsid w:val="000B533C"/>
    <w:rsid w:val="000B5D11"/>
    <w:rsid w:val="000B6D20"/>
    <w:rsid w:val="000C1509"/>
    <w:rsid w:val="000C16E8"/>
    <w:rsid w:val="000C26AA"/>
    <w:rsid w:val="000C2815"/>
    <w:rsid w:val="000C2EBB"/>
    <w:rsid w:val="000C2EDA"/>
    <w:rsid w:val="000C578C"/>
    <w:rsid w:val="000C5915"/>
    <w:rsid w:val="000D21C0"/>
    <w:rsid w:val="000D2793"/>
    <w:rsid w:val="000D42F1"/>
    <w:rsid w:val="000D54AB"/>
    <w:rsid w:val="000D7C15"/>
    <w:rsid w:val="000E0A63"/>
    <w:rsid w:val="000E0EBE"/>
    <w:rsid w:val="000E2D63"/>
    <w:rsid w:val="000E48DD"/>
    <w:rsid w:val="000E51ED"/>
    <w:rsid w:val="000E5970"/>
    <w:rsid w:val="000E67F0"/>
    <w:rsid w:val="000F186F"/>
    <w:rsid w:val="000F300D"/>
    <w:rsid w:val="000F31B8"/>
    <w:rsid w:val="000F3440"/>
    <w:rsid w:val="000F4A16"/>
    <w:rsid w:val="000F6215"/>
    <w:rsid w:val="000F715A"/>
    <w:rsid w:val="000F76F8"/>
    <w:rsid w:val="00100CA6"/>
    <w:rsid w:val="00103661"/>
    <w:rsid w:val="001039F4"/>
    <w:rsid w:val="00103D2C"/>
    <w:rsid w:val="00104C99"/>
    <w:rsid w:val="00104E42"/>
    <w:rsid w:val="0010597C"/>
    <w:rsid w:val="001078D3"/>
    <w:rsid w:val="001101E6"/>
    <w:rsid w:val="00110769"/>
    <w:rsid w:val="00111113"/>
    <w:rsid w:val="00111FC6"/>
    <w:rsid w:val="001122A8"/>
    <w:rsid w:val="001132B4"/>
    <w:rsid w:val="001136A0"/>
    <w:rsid w:val="00113954"/>
    <w:rsid w:val="00114162"/>
    <w:rsid w:val="00114620"/>
    <w:rsid w:val="0011626B"/>
    <w:rsid w:val="001173CF"/>
    <w:rsid w:val="00117759"/>
    <w:rsid w:val="0011799E"/>
    <w:rsid w:val="0012067D"/>
    <w:rsid w:val="00122B39"/>
    <w:rsid w:val="00122F68"/>
    <w:rsid w:val="00124967"/>
    <w:rsid w:val="00126B56"/>
    <w:rsid w:val="00127F64"/>
    <w:rsid w:val="00131069"/>
    <w:rsid w:val="00131E72"/>
    <w:rsid w:val="00133F69"/>
    <w:rsid w:val="0013597C"/>
    <w:rsid w:val="00136964"/>
    <w:rsid w:val="001373C9"/>
    <w:rsid w:val="00140FE7"/>
    <w:rsid w:val="00141E5F"/>
    <w:rsid w:val="001423F8"/>
    <w:rsid w:val="00142FB8"/>
    <w:rsid w:val="00144C00"/>
    <w:rsid w:val="00150CAE"/>
    <w:rsid w:val="0015405F"/>
    <w:rsid w:val="00154207"/>
    <w:rsid w:val="00155BB7"/>
    <w:rsid w:val="00157C34"/>
    <w:rsid w:val="00161919"/>
    <w:rsid w:val="00162720"/>
    <w:rsid w:val="00162CF4"/>
    <w:rsid w:val="001633F2"/>
    <w:rsid w:val="00163953"/>
    <w:rsid w:val="001648B9"/>
    <w:rsid w:val="00164B70"/>
    <w:rsid w:val="0016511C"/>
    <w:rsid w:val="00165280"/>
    <w:rsid w:val="00165626"/>
    <w:rsid w:val="0016605E"/>
    <w:rsid w:val="001662BA"/>
    <w:rsid w:val="00171130"/>
    <w:rsid w:val="00171696"/>
    <w:rsid w:val="001727E0"/>
    <w:rsid w:val="00172DC0"/>
    <w:rsid w:val="001742FF"/>
    <w:rsid w:val="0017432A"/>
    <w:rsid w:val="00175B7F"/>
    <w:rsid w:val="00180EA1"/>
    <w:rsid w:val="00181634"/>
    <w:rsid w:val="00184566"/>
    <w:rsid w:val="00184733"/>
    <w:rsid w:val="00184E52"/>
    <w:rsid w:val="001851BA"/>
    <w:rsid w:val="00185A15"/>
    <w:rsid w:val="00185AE5"/>
    <w:rsid w:val="00185D54"/>
    <w:rsid w:val="00185DB2"/>
    <w:rsid w:val="001925F6"/>
    <w:rsid w:val="00193B7C"/>
    <w:rsid w:val="001965F5"/>
    <w:rsid w:val="001A0B89"/>
    <w:rsid w:val="001A1F8C"/>
    <w:rsid w:val="001A2ED3"/>
    <w:rsid w:val="001A3146"/>
    <w:rsid w:val="001A3AA0"/>
    <w:rsid w:val="001A3D4D"/>
    <w:rsid w:val="001A48A3"/>
    <w:rsid w:val="001A5E5A"/>
    <w:rsid w:val="001A6246"/>
    <w:rsid w:val="001A65CA"/>
    <w:rsid w:val="001B0903"/>
    <w:rsid w:val="001B2721"/>
    <w:rsid w:val="001B3C28"/>
    <w:rsid w:val="001B415F"/>
    <w:rsid w:val="001B44E1"/>
    <w:rsid w:val="001B7E9D"/>
    <w:rsid w:val="001C0140"/>
    <w:rsid w:val="001C08B4"/>
    <w:rsid w:val="001C22D4"/>
    <w:rsid w:val="001C31F4"/>
    <w:rsid w:val="001C41D7"/>
    <w:rsid w:val="001C4A5A"/>
    <w:rsid w:val="001C653D"/>
    <w:rsid w:val="001C6CCE"/>
    <w:rsid w:val="001D2510"/>
    <w:rsid w:val="001D25F7"/>
    <w:rsid w:val="001D5121"/>
    <w:rsid w:val="001D60E3"/>
    <w:rsid w:val="001E06DF"/>
    <w:rsid w:val="001E2B71"/>
    <w:rsid w:val="001E37D3"/>
    <w:rsid w:val="001E47D2"/>
    <w:rsid w:val="001E4F5F"/>
    <w:rsid w:val="001E704D"/>
    <w:rsid w:val="001E75F8"/>
    <w:rsid w:val="001E7AE7"/>
    <w:rsid w:val="001F0D9C"/>
    <w:rsid w:val="001F0F7D"/>
    <w:rsid w:val="001F16AF"/>
    <w:rsid w:val="001F1C0F"/>
    <w:rsid w:val="001F20AC"/>
    <w:rsid w:val="001F26DA"/>
    <w:rsid w:val="001F4B96"/>
    <w:rsid w:val="001F5414"/>
    <w:rsid w:val="0020230E"/>
    <w:rsid w:val="002036A6"/>
    <w:rsid w:val="002042AE"/>
    <w:rsid w:val="0020617E"/>
    <w:rsid w:val="0020635F"/>
    <w:rsid w:val="00206C5A"/>
    <w:rsid w:val="00206DC7"/>
    <w:rsid w:val="002073C2"/>
    <w:rsid w:val="0020772A"/>
    <w:rsid w:val="002079BA"/>
    <w:rsid w:val="00210E7D"/>
    <w:rsid w:val="00212064"/>
    <w:rsid w:val="00215936"/>
    <w:rsid w:val="00216770"/>
    <w:rsid w:val="0021718C"/>
    <w:rsid w:val="00222A06"/>
    <w:rsid w:val="00222A67"/>
    <w:rsid w:val="00222D8F"/>
    <w:rsid w:val="002243AC"/>
    <w:rsid w:val="00224B06"/>
    <w:rsid w:val="00225AF1"/>
    <w:rsid w:val="00226052"/>
    <w:rsid w:val="002261AE"/>
    <w:rsid w:val="00227947"/>
    <w:rsid w:val="002324E1"/>
    <w:rsid w:val="002329D4"/>
    <w:rsid w:val="002406B8"/>
    <w:rsid w:val="002426E6"/>
    <w:rsid w:val="00242857"/>
    <w:rsid w:val="00243644"/>
    <w:rsid w:val="00244781"/>
    <w:rsid w:val="00245A6C"/>
    <w:rsid w:val="00245A93"/>
    <w:rsid w:val="002467CF"/>
    <w:rsid w:val="002473ED"/>
    <w:rsid w:val="00247D5C"/>
    <w:rsid w:val="0025185F"/>
    <w:rsid w:val="00252A5F"/>
    <w:rsid w:val="00254B57"/>
    <w:rsid w:val="00255495"/>
    <w:rsid w:val="00255DBB"/>
    <w:rsid w:val="00257492"/>
    <w:rsid w:val="00260207"/>
    <w:rsid w:val="00263F6D"/>
    <w:rsid w:val="00265656"/>
    <w:rsid w:val="00266216"/>
    <w:rsid w:val="002677BA"/>
    <w:rsid w:val="002743F3"/>
    <w:rsid w:val="00274A68"/>
    <w:rsid w:val="0027559E"/>
    <w:rsid w:val="00275624"/>
    <w:rsid w:val="00276701"/>
    <w:rsid w:val="002804C7"/>
    <w:rsid w:val="00282BFB"/>
    <w:rsid w:val="00286299"/>
    <w:rsid w:val="0028711C"/>
    <w:rsid w:val="00295266"/>
    <w:rsid w:val="0029547C"/>
    <w:rsid w:val="002978D2"/>
    <w:rsid w:val="002A067B"/>
    <w:rsid w:val="002A4370"/>
    <w:rsid w:val="002A4FDC"/>
    <w:rsid w:val="002A55AD"/>
    <w:rsid w:val="002A7F5A"/>
    <w:rsid w:val="002B1ECB"/>
    <w:rsid w:val="002B2F05"/>
    <w:rsid w:val="002B453E"/>
    <w:rsid w:val="002B4932"/>
    <w:rsid w:val="002B647E"/>
    <w:rsid w:val="002B7C89"/>
    <w:rsid w:val="002C1916"/>
    <w:rsid w:val="002C366F"/>
    <w:rsid w:val="002C589D"/>
    <w:rsid w:val="002C6D72"/>
    <w:rsid w:val="002D0629"/>
    <w:rsid w:val="002D0C12"/>
    <w:rsid w:val="002D0F71"/>
    <w:rsid w:val="002D121F"/>
    <w:rsid w:val="002D1788"/>
    <w:rsid w:val="002D1D2C"/>
    <w:rsid w:val="002D21FF"/>
    <w:rsid w:val="002D2957"/>
    <w:rsid w:val="002D37EC"/>
    <w:rsid w:val="002D44DA"/>
    <w:rsid w:val="002D461E"/>
    <w:rsid w:val="002D57EE"/>
    <w:rsid w:val="002D6380"/>
    <w:rsid w:val="002D6843"/>
    <w:rsid w:val="002D74BE"/>
    <w:rsid w:val="002E0D1A"/>
    <w:rsid w:val="002E2A78"/>
    <w:rsid w:val="002E4707"/>
    <w:rsid w:val="002E5A45"/>
    <w:rsid w:val="002E64CE"/>
    <w:rsid w:val="002E6E8B"/>
    <w:rsid w:val="002E6E97"/>
    <w:rsid w:val="002E7F0D"/>
    <w:rsid w:val="002F1694"/>
    <w:rsid w:val="002F28C4"/>
    <w:rsid w:val="002F477F"/>
    <w:rsid w:val="002F57F8"/>
    <w:rsid w:val="002F5B61"/>
    <w:rsid w:val="002F6117"/>
    <w:rsid w:val="00300037"/>
    <w:rsid w:val="0030006E"/>
    <w:rsid w:val="0030224B"/>
    <w:rsid w:val="00302F23"/>
    <w:rsid w:val="003052BA"/>
    <w:rsid w:val="00306847"/>
    <w:rsid w:val="00307EBB"/>
    <w:rsid w:val="00310907"/>
    <w:rsid w:val="00310EE2"/>
    <w:rsid w:val="00316686"/>
    <w:rsid w:val="00317636"/>
    <w:rsid w:val="00320322"/>
    <w:rsid w:val="003204CD"/>
    <w:rsid w:val="00320BF6"/>
    <w:rsid w:val="003222CC"/>
    <w:rsid w:val="00323189"/>
    <w:rsid w:val="0032390D"/>
    <w:rsid w:val="00325CB4"/>
    <w:rsid w:val="003266A6"/>
    <w:rsid w:val="00327E05"/>
    <w:rsid w:val="00331A57"/>
    <w:rsid w:val="00332CA5"/>
    <w:rsid w:val="00333295"/>
    <w:rsid w:val="00334012"/>
    <w:rsid w:val="00334764"/>
    <w:rsid w:val="00334FAD"/>
    <w:rsid w:val="00335349"/>
    <w:rsid w:val="00336FE4"/>
    <w:rsid w:val="003400AF"/>
    <w:rsid w:val="0034177B"/>
    <w:rsid w:val="0034660E"/>
    <w:rsid w:val="00347F63"/>
    <w:rsid w:val="0035068C"/>
    <w:rsid w:val="003512F0"/>
    <w:rsid w:val="003514F3"/>
    <w:rsid w:val="003519E1"/>
    <w:rsid w:val="003526DD"/>
    <w:rsid w:val="003529A7"/>
    <w:rsid w:val="00356F24"/>
    <w:rsid w:val="00360942"/>
    <w:rsid w:val="00363374"/>
    <w:rsid w:val="003642FA"/>
    <w:rsid w:val="0036487A"/>
    <w:rsid w:val="00365354"/>
    <w:rsid w:val="00365450"/>
    <w:rsid w:val="003702C8"/>
    <w:rsid w:val="00370978"/>
    <w:rsid w:val="00370A00"/>
    <w:rsid w:val="003724A5"/>
    <w:rsid w:val="00372F58"/>
    <w:rsid w:val="00372F64"/>
    <w:rsid w:val="00373EA8"/>
    <w:rsid w:val="003744BE"/>
    <w:rsid w:val="003765D5"/>
    <w:rsid w:val="00377FAB"/>
    <w:rsid w:val="0038094F"/>
    <w:rsid w:val="0038211D"/>
    <w:rsid w:val="003824F3"/>
    <w:rsid w:val="00382848"/>
    <w:rsid w:val="00383546"/>
    <w:rsid w:val="00383589"/>
    <w:rsid w:val="003861F7"/>
    <w:rsid w:val="0038670C"/>
    <w:rsid w:val="00386967"/>
    <w:rsid w:val="0039316B"/>
    <w:rsid w:val="0039434E"/>
    <w:rsid w:val="0039620E"/>
    <w:rsid w:val="003A1748"/>
    <w:rsid w:val="003A1D28"/>
    <w:rsid w:val="003A2B5C"/>
    <w:rsid w:val="003A2D60"/>
    <w:rsid w:val="003A5083"/>
    <w:rsid w:val="003A62B7"/>
    <w:rsid w:val="003B0B46"/>
    <w:rsid w:val="003B1839"/>
    <w:rsid w:val="003B251F"/>
    <w:rsid w:val="003B2F06"/>
    <w:rsid w:val="003B389B"/>
    <w:rsid w:val="003B429F"/>
    <w:rsid w:val="003B5494"/>
    <w:rsid w:val="003B63DF"/>
    <w:rsid w:val="003B7D01"/>
    <w:rsid w:val="003B7ECF"/>
    <w:rsid w:val="003C01DD"/>
    <w:rsid w:val="003C17A7"/>
    <w:rsid w:val="003C2A8D"/>
    <w:rsid w:val="003C2C2B"/>
    <w:rsid w:val="003C3A48"/>
    <w:rsid w:val="003C3C12"/>
    <w:rsid w:val="003C423A"/>
    <w:rsid w:val="003C56E3"/>
    <w:rsid w:val="003C7296"/>
    <w:rsid w:val="003C783F"/>
    <w:rsid w:val="003D0EA7"/>
    <w:rsid w:val="003D1359"/>
    <w:rsid w:val="003D2012"/>
    <w:rsid w:val="003D6186"/>
    <w:rsid w:val="003E029E"/>
    <w:rsid w:val="003E0454"/>
    <w:rsid w:val="003E2000"/>
    <w:rsid w:val="003E3666"/>
    <w:rsid w:val="003E3ACB"/>
    <w:rsid w:val="003E3CB7"/>
    <w:rsid w:val="003E4584"/>
    <w:rsid w:val="003E51BC"/>
    <w:rsid w:val="003E6D18"/>
    <w:rsid w:val="003E7640"/>
    <w:rsid w:val="003E79A5"/>
    <w:rsid w:val="003E7F73"/>
    <w:rsid w:val="003F042E"/>
    <w:rsid w:val="003F0FA0"/>
    <w:rsid w:val="003F142C"/>
    <w:rsid w:val="003F3244"/>
    <w:rsid w:val="003F3447"/>
    <w:rsid w:val="003F60C9"/>
    <w:rsid w:val="003F65FD"/>
    <w:rsid w:val="003F7425"/>
    <w:rsid w:val="004000D3"/>
    <w:rsid w:val="00400F6B"/>
    <w:rsid w:val="00401405"/>
    <w:rsid w:val="00401CCB"/>
    <w:rsid w:val="004022CA"/>
    <w:rsid w:val="00402BD9"/>
    <w:rsid w:val="00403E4A"/>
    <w:rsid w:val="004042D1"/>
    <w:rsid w:val="0040462A"/>
    <w:rsid w:val="004054A2"/>
    <w:rsid w:val="00405C6C"/>
    <w:rsid w:val="00410885"/>
    <w:rsid w:val="0041189C"/>
    <w:rsid w:val="00413145"/>
    <w:rsid w:val="004133B6"/>
    <w:rsid w:val="00413CFD"/>
    <w:rsid w:val="00414940"/>
    <w:rsid w:val="00415942"/>
    <w:rsid w:val="004174DA"/>
    <w:rsid w:val="00417978"/>
    <w:rsid w:val="004231A8"/>
    <w:rsid w:val="00423CD0"/>
    <w:rsid w:val="004253A8"/>
    <w:rsid w:val="004254A1"/>
    <w:rsid w:val="004320B7"/>
    <w:rsid w:val="00433AC0"/>
    <w:rsid w:val="0043417F"/>
    <w:rsid w:val="004352E0"/>
    <w:rsid w:val="004359BD"/>
    <w:rsid w:val="0043675F"/>
    <w:rsid w:val="004370B3"/>
    <w:rsid w:val="00437F55"/>
    <w:rsid w:val="00440AB7"/>
    <w:rsid w:val="00440D92"/>
    <w:rsid w:val="00442A7D"/>
    <w:rsid w:val="00442C5F"/>
    <w:rsid w:val="00444572"/>
    <w:rsid w:val="00444EED"/>
    <w:rsid w:val="0044574D"/>
    <w:rsid w:val="00446479"/>
    <w:rsid w:val="00447030"/>
    <w:rsid w:val="004470A8"/>
    <w:rsid w:val="00450536"/>
    <w:rsid w:val="00450836"/>
    <w:rsid w:val="0045183E"/>
    <w:rsid w:val="004528BF"/>
    <w:rsid w:val="00453CC4"/>
    <w:rsid w:val="00454A20"/>
    <w:rsid w:val="004569EB"/>
    <w:rsid w:val="0045726C"/>
    <w:rsid w:val="0046050D"/>
    <w:rsid w:val="00460B98"/>
    <w:rsid w:val="00461EC1"/>
    <w:rsid w:val="0046246D"/>
    <w:rsid w:val="00464E34"/>
    <w:rsid w:val="00465C69"/>
    <w:rsid w:val="00465DA1"/>
    <w:rsid w:val="00470315"/>
    <w:rsid w:val="00470B9B"/>
    <w:rsid w:val="00471397"/>
    <w:rsid w:val="00472134"/>
    <w:rsid w:val="00474037"/>
    <w:rsid w:val="004742E8"/>
    <w:rsid w:val="00477EEE"/>
    <w:rsid w:val="004808B3"/>
    <w:rsid w:val="00481D1F"/>
    <w:rsid w:val="0048202C"/>
    <w:rsid w:val="004830BA"/>
    <w:rsid w:val="004852F2"/>
    <w:rsid w:val="00485468"/>
    <w:rsid w:val="004861D5"/>
    <w:rsid w:val="004874FD"/>
    <w:rsid w:val="004905D3"/>
    <w:rsid w:val="004919BC"/>
    <w:rsid w:val="00493D07"/>
    <w:rsid w:val="00495566"/>
    <w:rsid w:val="004A0188"/>
    <w:rsid w:val="004A03DE"/>
    <w:rsid w:val="004A193B"/>
    <w:rsid w:val="004A1E4C"/>
    <w:rsid w:val="004A1EBB"/>
    <w:rsid w:val="004A1ED6"/>
    <w:rsid w:val="004A3BCD"/>
    <w:rsid w:val="004A4FEA"/>
    <w:rsid w:val="004A5F6F"/>
    <w:rsid w:val="004A7FF1"/>
    <w:rsid w:val="004B192D"/>
    <w:rsid w:val="004B1CEC"/>
    <w:rsid w:val="004B63C0"/>
    <w:rsid w:val="004C2318"/>
    <w:rsid w:val="004C316D"/>
    <w:rsid w:val="004C3CE9"/>
    <w:rsid w:val="004C47F6"/>
    <w:rsid w:val="004C54FE"/>
    <w:rsid w:val="004C5DF7"/>
    <w:rsid w:val="004C7CF0"/>
    <w:rsid w:val="004D1236"/>
    <w:rsid w:val="004D21D3"/>
    <w:rsid w:val="004D30AF"/>
    <w:rsid w:val="004D31F5"/>
    <w:rsid w:val="004D3693"/>
    <w:rsid w:val="004D372F"/>
    <w:rsid w:val="004D375D"/>
    <w:rsid w:val="004D4007"/>
    <w:rsid w:val="004D4245"/>
    <w:rsid w:val="004D4742"/>
    <w:rsid w:val="004D56FC"/>
    <w:rsid w:val="004E0B4E"/>
    <w:rsid w:val="004E0FB6"/>
    <w:rsid w:val="004E2FB4"/>
    <w:rsid w:val="004E4582"/>
    <w:rsid w:val="004F18F2"/>
    <w:rsid w:val="004F220A"/>
    <w:rsid w:val="004F7BC6"/>
    <w:rsid w:val="0050000E"/>
    <w:rsid w:val="005006E2"/>
    <w:rsid w:val="00504407"/>
    <w:rsid w:val="00507D35"/>
    <w:rsid w:val="005120E5"/>
    <w:rsid w:val="0051219E"/>
    <w:rsid w:val="005124FD"/>
    <w:rsid w:val="0051330D"/>
    <w:rsid w:val="00514967"/>
    <w:rsid w:val="005149B8"/>
    <w:rsid w:val="00514C06"/>
    <w:rsid w:val="00515903"/>
    <w:rsid w:val="00516EE6"/>
    <w:rsid w:val="00517E5F"/>
    <w:rsid w:val="00520AA6"/>
    <w:rsid w:val="00520B87"/>
    <w:rsid w:val="00520D92"/>
    <w:rsid w:val="00523C19"/>
    <w:rsid w:val="00526439"/>
    <w:rsid w:val="00526C0D"/>
    <w:rsid w:val="00526D5A"/>
    <w:rsid w:val="005270FD"/>
    <w:rsid w:val="005274D1"/>
    <w:rsid w:val="005275BE"/>
    <w:rsid w:val="00530199"/>
    <w:rsid w:val="00530646"/>
    <w:rsid w:val="00530712"/>
    <w:rsid w:val="005341C6"/>
    <w:rsid w:val="00534B0B"/>
    <w:rsid w:val="0053751C"/>
    <w:rsid w:val="00540868"/>
    <w:rsid w:val="00541290"/>
    <w:rsid w:val="00541E36"/>
    <w:rsid w:val="005423FD"/>
    <w:rsid w:val="00542677"/>
    <w:rsid w:val="00543375"/>
    <w:rsid w:val="00544182"/>
    <w:rsid w:val="0054438D"/>
    <w:rsid w:val="00544A70"/>
    <w:rsid w:val="005452E4"/>
    <w:rsid w:val="005458D6"/>
    <w:rsid w:val="00545DE3"/>
    <w:rsid w:val="00546B5B"/>
    <w:rsid w:val="00546E1E"/>
    <w:rsid w:val="005476E1"/>
    <w:rsid w:val="00550090"/>
    <w:rsid w:val="00550B9A"/>
    <w:rsid w:val="0055212D"/>
    <w:rsid w:val="00555288"/>
    <w:rsid w:val="00555BFE"/>
    <w:rsid w:val="00556736"/>
    <w:rsid w:val="005654A4"/>
    <w:rsid w:val="005666CB"/>
    <w:rsid w:val="005669EF"/>
    <w:rsid w:val="0056779E"/>
    <w:rsid w:val="005700CC"/>
    <w:rsid w:val="005706AA"/>
    <w:rsid w:val="005709C3"/>
    <w:rsid w:val="005721CB"/>
    <w:rsid w:val="005744B2"/>
    <w:rsid w:val="005749BF"/>
    <w:rsid w:val="00575B67"/>
    <w:rsid w:val="00577759"/>
    <w:rsid w:val="00577F4D"/>
    <w:rsid w:val="00580676"/>
    <w:rsid w:val="0058412E"/>
    <w:rsid w:val="0058548E"/>
    <w:rsid w:val="0058582B"/>
    <w:rsid w:val="00585D23"/>
    <w:rsid w:val="00586A33"/>
    <w:rsid w:val="0059005E"/>
    <w:rsid w:val="00593807"/>
    <w:rsid w:val="0059392A"/>
    <w:rsid w:val="00593D6F"/>
    <w:rsid w:val="005979D9"/>
    <w:rsid w:val="005A0C9D"/>
    <w:rsid w:val="005A147A"/>
    <w:rsid w:val="005A4C91"/>
    <w:rsid w:val="005A723D"/>
    <w:rsid w:val="005A7FE3"/>
    <w:rsid w:val="005B4058"/>
    <w:rsid w:val="005B5C64"/>
    <w:rsid w:val="005B705D"/>
    <w:rsid w:val="005C0307"/>
    <w:rsid w:val="005C0A5A"/>
    <w:rsid w:val="005C56E6"/>
    <w:rsid w:val="005D053D"/>
    <w:rsid w:val="005D0E60"/>
    <w:rsid w:val="005D1FD0"/>
    <w:rsid w:val="005D2BF8"/>
    <w:rsid w:val="005D39A5"/>
    <w:rsid w:val="005D3A47"/>
    <w:rsid w:val="005D3BD7"/>
    <w:rsid w:val="005D3BED"/>
    <w:rsid w:val="005D4BC5"/>
    <w:rsid w:val="005D5BA9"/>
    <w:rsid w:val="005D5C3B"/>
    <w:rsid w:val="005D64A1"/>
    <w:rsid w:val="005E02BA"/>
    <w:rsid w:val="005E0E82"/>
    <w:rsid w:val="005E26A8"/>
    <w:rsid w:val="005E2FD8"/>
    <w:rsid w:val="005E36BF"/>
    <w:rsid w:val="005E44A2"/>
    <w:rsid w:val="005E5667"/>
    <w:rsid w:val="005E7606"/>
    <w:rsid w:val="005F0548"/>
    <w:rsid w:val="005F6174"/>
    <w:rsid w:val="006005DC"/>
    <w:rsid w:val="006016D6"/>
    <w:rsid w:val="00602222"/>
    <w:rsid w:val="0060441C"/>
    <w:rsid w:val="00604A6F"/>
    <w:rsid w:val="00606956"/>
    <w:rsid w:val="00610B5C"/>
    <w:rsid w:val="00611F09"/>
    <w:rsid w:val="0061509A"/>
    <w:rsid w:val="00615BDB"/>
    <w:rsid w:val="0062120C"/>
    <w:rsid w:val="00622B95"/>
    <w:rsid w:val="00624D98"/>
    <w:rsid w:val="0062781F"/>
    <w:rsid w:val="00627CE9"/>
    <w:rsid w:val="0063010F"/>
    <w:rsid w:val="00630C57"/>
    <w:rsid w:val="00634ED7"/>
    <w:rsid w:val="006378B1"/>
    <w:rsid w:val="00637D2C"/>
    <w:rsid w:val="00637FA0"/>
    <w:rsid w:val="00640568"/>
    <w:rsid w:val="00641EBF"/>
    <w:rsid w:val="006423DE"/>
    <w:rsid w:val="00642E0B"/>
    <w:rsid w:val="00643813"/>
    <w:rsid w:val="0064545E"/>
    <w:rsid w:val="00646ED0"/>
    <w:rsid w:val="00650909"/>
    <w:rsid w:val="006510D8"/>
    <w:rsid w:val="00651921"/>
    <w:rsid w:val="0065357C"/>
    <w:rsid w:val="00655837"/>
    <w:rsid w:val="0065601F"/>
    <w:rsid w:val="00660095"/>
    <w:rsid w:val="00661257"/>
    <w:rsid w:val="00662A2C"/>
    <w:rsid w:val="006639B1"/>
    <w:rsid w:val="006644C1"/>
    <w:rsid w:val="00664A73"/>
    <w:rsid w:val="0066681D"/>
    <w:rsid w:val="006668AF"/>
    <w:rsid w:val="00666F21"/>
    <w:rsid w:val="00670149"/>
    <w:rsid w:val="006730D7"/>
    <w:rsid w:val="0067457A"/>
    <w:rsid w:val="00674ED0"/>
    <w:rsid w:val="00675D18"/>
    <w:rsid w:val="00675E1D"/>
    <w:rsid w:val="00677AC3"/>
    <w:rsid w:val="00677AC5"/>
    <w:rsid w:val="00680FF2"/>
    <w:rsid w:val="00683E58"/>
    <w:rsid w:val="00683F82"/>
    <w:rsid w:val="006906AC"/>
    <w:rsid w:val="00690876"/>
    <w:rsid w:val="00690C03"/>
    <w:rsid w:val="00690DDE"/>
    <w:rsid w:val="0069209A"/>
    <w:rsid w:val="0069222D"/>
    <w:rsid w:val="0069292C"/>
    <w:rsid w:val="00695EB9"/>
    <w:rsid w:val="0069631C"/>
    <w:rsid w:val="00696758"/>
    <w:rsid w:val="00697345"/>
    <w:rsid w:val="00697B31"/>
    <w:rsid w:val="006B05EE"/>
    <w:rsid w:val="006B09C0"/>
    <w:rsid w:val="006B1752"/>
    <w:rsid w:val="006B1AD9"/>
    <w:rsid w:val="006B2397"/>
    <w:rsid w:val="006B2689"/>
    <w:rsid w:val="006B4304"/>
    <w:rsid w:val="006B58E3"/>
    <w:rsid w:val="006B5C55"/>
    <w:rsid w:val="006C12FE"/>
    <w:rsid w:val="006C15DD"/>
    <w:rsid w:val="006C24C9"/>
    <w:rsid w:val="006C3D0B"/>
    <w:rsid w:val="006C6B7F"/>
    <w:rsid w:val="006C707A"/>
    <w:rsid w:val="006C742B"/>
    <w:rsid w:val="006D0F10"/>
    <w:rsid w:val="006D11D8"/>
    <w:rsid w:val="006D1F95"/>
    <w:rsid w:val="006D3658"/>
    <w:rsid w:val="006D5489"/>
    <w:rsid w:val="006D5CD4"/>
    <w:rsid w:val="006E0B85"/>
    <w:rsid w:val="006E0BAA"/>
    <w:rsid w:val="006E1DF8"/>
    <w:rsid w:val="006E27C6"/>
    <w:rsid w:val="006E2CD3"/>
    <w:rsid w:val="006E2F94"/>
    <w:rsid w:val="006F0C03"/>
    <w:rsid w:val="006F1C93"/>
    <w:rsid w:val="006F24D7"/>
    <w:rsid w:val="006F3867"/>
    <w:rsid w:val="006F7224"/>
    <w:rsid w:val="00700141"/>
    <w:rsid w:val="0070119E"/>
    <w:rsid w:val="0070142C"/>
    <w:rsid w:val="0070437B"/>
    <w:rsid w:val="00704F06"/>
    <w:rsid w:val="007066D2"/>
    <w:rsid w:val="00706874"/>
    <w:rsid w:val="007115C7"/>
    <w:rsid w:val="00711C5A"/>
    <w:rsid w:val="00712732"/>
    <w:rsid w:val="00713F6A"/>
    <w:rsid w:val="00717C97"/>
    <w:rsid w:val="0072016D"/>
    <w:rsid w:val="00720FFE"/>
    <w:rsid w:val="0072114D"/>
    <w:rsid w:val="00724AD0"/>
    <w:rsid w:val="007250C0"/>
    <w:rsid w:val="00727127"/>
    <w:rsid w:val="00727269"/>
    <w:rsid w:val="0073077D"/>
    <w:rsid w:val="00731852"/>
    <w:rsid w:val="007319CB"/>
    <w:rsid w:val="00733997"/>
    <w:rsid w:val="0073538D"/>
    <w:rsid w:val="007360B6"/>
    <w:rsid w:val="0073741A"/>
    <w:rsid w:val="00742AC6"/>
    <w:rsid w:val="0074381F"/>
    <w:rsid w:val="00743D7F"/>
    <w:rsid w:val="00743F41"/>
    <w:rsid w:val="00744DFC"/>
    <w:rsid w:val="00745598"/>
    <w:rsid w:val="0074652C"/>
    <w:rsid w:val="00751989"/>
    <w:rsid w:val="00751C9D"/>
    <w:rsid w:val="00753E2D"/>
    <w:rsid w:val="007547C7"/>
    <w:rsid w:val="007607FC"/>
    <w:rsid w:val="007620CC"/>
    <w:rsid w:val="00763F4C"/>
    <w:rsid w:val="0076456F"/>
    <w:rsid w:val="00764702"/>
    <w:rsid w:val="00765BE0"/>
    <w:rsid w:val="00766088"/>
    <w:rsid w:val="0077070E"/>
    <w:rsid w:val="007715F1"/>
    <w:rsid w:val="0077541F"/>
    <w:rsid w:val="00775530"/>
    <w:rsid w:val="00775B3A"/>
    <w:rsid w:val="00776550"/>
    <w:rsid w:val="00777A5F"/>
    <w:rsid w:val="00780D30"/>
    <w:rsid w:val="0078175D"/>
    <w:rsid w:val="00782411"/>
    <w:rsid w:val="00783430"/>
    <w:rsid w:val="007837CF"/>
    <w:rsid w:val="0078769C"/>
    <w:rsid w:val="00790858"/>
    <w:rsid w:val="00790DA4"/>
    <w:rsid w:val="00791196"/>
    <w:rsid w:val="00791A02"/>
    <w:rsid w:val="00791DE2"/>
    <w:rsid w:val="00794122"/>
    <w:rsid w:val="00794A86"/>
    <w:rsid w:val="00794B4D"/>
    <w:rsid w:val="0079594D"/>
    <w:rsid w:val="007968DD"/>
    <w:rsid w:val="007A281A"/>
    <w:rsid w:val="007A558C"/>
    <w:rsid w:val="007A7042"/>
    <w:rsid w:val="007A78FE"/>
    <w:rsid w:val="007B00D7"/>
    <w:rsid w:val="007B63C6"/>
    <w:rsid w:val="007B7C4B"/>
    <w:rsid w:val="007C0A9E"/>
    <w:rsid w:val="007C1004"/>
    <w:rsid w:val="007C2334"/>
    <w:rsid w:val="007C24EA"/>
    <w:rsid w:val="007C3DB8"/>
    <w:rsid w:val="007C4E6E"/>
    <w:rsid w:val="007C5D4F"/>
    <w:rsid w:val="007C65FA"/>
    <w:rsid w:val="007C6869"/>
    <w:rsid w:val="007C6B89"/>
    <w:rsid w:val="007C6EF8"/>
    <w:rsid w:val="007C74F5"/>
    <w:rsid w:val="007C7C32"/>
    <w:rsid w:val="007C7D4D"/>
    <w:rsid w:val="007D1D12"/>
    <w:rsid w:val="007D3973"/>
    <w:rsid w:val="007D693F"/>
    <w:rsid w:val="007D7411"/>
    <w:rsid w:val="007E07AB"/>
    <w:rsid w:val="007E114C"/>
    <w:rsid w:val="007E2F0A"/>
    <w:rsid w:val="007E7866"/>
    <w:rsid w:val="007F33D0"/>
    <w:rsid w:val="007F37F6"/>
    <w:rsid w:val="007F3975"/>
    <w:rsid w:val="007F3E48"/>
    <w:rsid w:val="007F6369"/>
    <w:rsid w:val="00801D70"/>
    <w:rsid w:val="00802970"/>
    <w:rsid w:val="00803B7A"/>
    <w:rsid w:val="00805EF6"/>
    <w:rsid w:val="0080655F"/>
    <w:rsid w:val="00810AEE"/>
    <w:rsid w:val="00814BFA"/>
    <w:rsid w:val="008150B4"/>
    <w:rsid w:val="00815C6D"/>
    <w:rsid w:val="0082187B"/>
    <w:rsid w:val="00823555"/>
    <w:rsid w:val="0082363C"/>
    <w:rsid w:val="00824EDC"/>
    <w:rsid w:val="00825B66"/>
    <w:rsid w:val="00826E00"/>
    <w:rsid w:val="00826E8B"/>
    <w:rsid w:val="008272B5"/>
    <w:rsid w:val="00827EFB"/>
    <w:rsid w:val="008364FF"/>
    <w:rsid w:val="00837477"/>
    <w:rsid w:val="008419DD"/>
    <w:rsid w:val="00841B3B"/>
    <w:rsid w:val="008437F8"/>
    <w:rsid w:val="008441B0"/>
    <w:rsid w:val="008466F3"/>
    <w:rsid w:val="0085472E"/>
    <w:rsid w:val="008563A9"/>
    <w:rsid w:val="008572C6"/>
    <w:rsid w:val="0086040B"/>
    <w:rsid w:val="00861A93"/>
    <w:rsid w:val="008645BE"/>
    <w:rsid w:val="008653D7"/>
    <w:rsid w:val="0086580F"/>
    <w:rsid w:val="00865F17"/>
    <w:rsid w:val="008666AA"/>
    <w:rsid w:val="00867527"/>
    <w:rsid w:val="00867C1D"/>
    <w:rsid w:val="00870810"/>
    <w:rsid w:val="008712F0"/>
    <w:rsid w:val="00872F83"/>
    <w:rsid w:val="0087514C"/>
    <w:rsid w:val="008763A8"/>
    <w:rsid w:val="00876495"/>
    <w:rsid w:val="00877335"/>
    <w:rsid w:val="00885593"/>
    <w:rsid w:val="008863D3"/>
    <w:rsid w:val="008902DB"/>
    <w:rsid w:val="00890942"/>
    <w:rsid w:val="008948AF"/>
    <w:rsid w:val="0089760D"/>
    <w:rsid w:val="008979B3"/>
    <w:rsid w:val="00897C03"/>
    <w:rsid w:val="008A06B1"/>
    <w:rsid w:val="008A1181"/>
    <w:rsid w:val="008A2059"/>
    <w:rsid w:val="008A2D39"/>
    <w:rsid w:val="008A34BB"/>
    <w:rsid w:val="008A3656"/>
    <w:rsid w:val="008A36D7"/>
    <w:rsid w:val="008A422D"/>
    <w:rsid w:val="008A4B4F"/>
    <w:rsid w:val="008A5212"/>
    <w:rsid w:val="008A6F0A"/>
    <w:rsid w:val="008B2269"/>
    <w:rsid w:val="008B5CCF"/>
    <w:rsid w:val="008B645F"/>
    <w:rsid w:val="008B6649"/>
    <w:rsid w:val="008B6700"/>
    <w:rsid w:val="008B7DD7"/>
    <w:rsid w:val="008C0F61"/>
    <w:rsid w:val="008C36A5"/>
    <w:rsid w:val="008C56D1"/>
    <w:rsid w:val="008C7D41"/>
    <w:rsid w:val="008D0EDA"/>
    <w:rsid w:val="008D1189"/>
    <w:rsid w:val="008D12BF"/>
    <w:rsid w:val="008D1811"/>
    <w:rsid w:val="008D2133"/>
    <w:rsid w:val="008D45B8"/>
    <w:rsid w:val="008D5726"/>
    <w:rsid w:val="008D7A03"/>
    <w:rsid w:val="008E0DE3"/>
    <w:rsid w:val="008E4065"/>
    <w:rsid w:val="008E5E29"/>
    <w:rsid w:val="008E6033"/>
    <w:rsid w:val="008F1BC6"/>
    <w:rsid w:val="008F2F39"/>
    <w:rsid w:val="008F39A2"/>
    <w:rsid w:val="008F4ACA"/>
    <w:rsid w:val="008F4BE3"/>
    <w:rsid w:val="008F4BFD"/>
    <w:rsid w:val="008F5B0E"/>
    <w:rsid w:val="008F7D2E"/>
    <w:rsid w:val="008F7FDE"/>
    <w:rsid w:val="00904BD9"/>
    <w:rsid w:val="00905303"/>
    <w:rsid w:val="009054D1"/>
    <w:rsid w:val="009116F3"/>
    <w:rsid w:val="009117F0"/>
    <w:rsid w:val="00912014"/>
    <w:rsid w:val="0091241B"/>
    <w:rsid w:val="00914BA7"/>
    <w:rsid w:val="00915019"/>
    <w:rsid w:val="0091684E"/>
    <w:rsid w:val="00916C3A"/>
    <w:rsid w:val="00916DEC"/>
    <w:rsid w:val="009200AF"/>
    <w:rsid w:val="009207F3"/>
    <w:rsid w:val="00924229"/>
    <w:rsid w:val="009254D3"/>
    <w:rsid w:val="00925781"/>
    <w:rsid w:val="0092632E"/>
    <w:rsid w:val="009263E6"/>
    <w:rsid w:val="00926E7B"/>
    <w:rsid w:val="00932954"/>
    <w:rsid w:val="00935C57"/>
    <w:rsid w:val="00940216"/>
    <w:rsid w:val="00941ACB"/>
    <w:rsid w:val="00941D86"/>
    <w:rsid w:val="00941FAD"/>
    <w:rsid w:val="00942D35"/>
    <w:rsid w:val="0094369F"/>
    <w:rsid w:val="00943F33"/>
    <w:rsid w:val="00947238"/>
    <w:rsid w:val="00947399"/>
    <w:rsid w:val="009508BE"/>
    <w:rsid w:val="00950F60"/>
    <w:rsid w:val="00952BC2"/>
    <w:rsid w:val="00954547"/>
    <w:rsid w:val="009547A0"/>
    <w:rsid w:val="009549CC"/>
    <w:rsid w:val="0095791B"/>
    <w:rsid w:val="009605C6"/>
    <w:rsid w:val="00962526"/>
    <w:rsid w:val="00962A30"/>
    <w:rsid w:val="009637C0"/>
    <w:rsid w:val="00966821"/>
    <w:rsid w:val="009707F2"/>
    <w:rsid w:val="00972077"/>
    <w:rsid w:val="0097655C"/>
    <w:rsid w:val="00976DBF"/>
    <w:rsid w:val="00977A6C"/>
    <w:rsid w:val="009809B1"/>
    <w:rsid w:val="009828ED"/>
    <w:rsid w:val="00982975"/>
    <w:rsid w:val="00982FEF"/>
    <w:rsid w:val="00983083"/>
    <w:rsid w:val="009830FA"/>
    <w:rsid w:val="0098545B"/>
    <w:rsid w:val="00985872"/>
    <w:rsid w:val="00985DD5"/>
    <w:rsid w:val="00987A88"/>
    <w:rsid w:val="00992B0B"/>
    <w:rsid w:val="009932CE"/>
    <w:rsid w:val="00993DA7"/>
    <w:rsid w:val="009942A3"/>
    <w:rsid w:val="00994775"/>
    <w:rsid w:val="00996270"/>
    <w:rsid w:val="0099748F"/>
    <w:rsid w:val="00997D31"/>
    <w:rsid w:val="009A0FD4"/>
    <w:rsid w:val="009A15E3"/>
    <w:rsid w:val="009A317B"/>
    <w:rsid w:val="009A36CD"/>
    <w:rsid w:val="009A7666"/>
    <w:rsid w:val="009A7713"/>
    <w:rsid w:val="009A7ADA"/>
    <w:rsid w:val="009A7BC8"/>
    <w:rsid w:val="009B142C"/>
    <w:rsid w:val="009B3833"/>
    <w:rsid w:val="009B3C0A"/>
    <w:rsid w:val="009B3D06"/>
    <w:rsid w:val="009B502A"/>
    <w:rsid w:val="009B5D62"/>
    <w:rsid w:val="009B645F"/>
    <w:rsid w:val="009B6CF5"/>
    <w:rsid w:val="009C07D6"/>
    <w:rsid w:val="009C0BF0"/>
    <w:rsid w:val="009C1FE5"/>
    <w:rsid w:val="009C3B25"/>
    <w:rsid w:val="009C3B9F"/>
    <w:rsid w:val="009C4E6A"/>
    <w:rsid w:val="009C7145"/>
    <w:rsid w:val="009D282C"/>
    <w:rsid w:val="009D4754"/>
    <w:rsid w:val="009D4779"/>
    <w:rsid w:val="009D5317"/>
    <w:rsid w:val="009D7160"/>
    <w:rsid w:val="009E01BB"/>
    <w:rsid w:val="009E227C"/>
    <w:rsid w:val="009E33DA"/>
    <w:rsid w:val="009E35BF"/>
    <w:rsid w:val="009E539E"/>
    <w:rsid w:val="009F04D0"/>
    <w:rsid w:val="009F0EF0"/>
    <w:rsid w:val="009F257E"/>
    <w:rsid w:val="009F4240"/>
    <w:rsid w:val="009F59CE"/>
    <w:rsid w:val="00A00DA9"/>
    <w:rsid w:val="00A0163D"/>
    <w:rsid w:val="00A030C4"/>
    <w:rsid w:val="00A0444E"/>
    <w:rsid w:val="00A05045"/>
    <w:rsid w:val="00A0584C"/>
    <w:rsid w:val="00A0644D"/>
    <w:rsid w:val="00A07759"/>
    <w:rsid w:val="00A116D7"/>
    <w:rsid w:val="00A11DD7"/>
    <w:rsid w:val="00A129FF"/>
    <w:rsid w:val="00A12DA2"/>
    <w:rsid w:val="00A12E47"/>
    <w:rsid w:val="00A13DF4"/>
    <w:rsid w:val="00A14A82"/>
    <w:rsid w:val="00A1526C"/>
    <w:rsid w:val="00A15FA1"/>
    <w:rsid w:val="00A162FD"/>
    <w:rsid w:val="00A16960"/>
    <w:rsid w:val="00A17B6B"/>
    <w:rsid w:val="00A20954"/>
    <w:rsid w:val="00A20D05"/>
    <w:rsid w:val="00A218B6"/>
    <w:rsid w:val="00A26DF0"/>
    <w:rsid w:val="00A2706E"/>
    <w:rsid w:val="00A27139"/>
    <w:rsid w:val="00A277DE"/>
    <w:rsid w:val="00A307AD"/>
    <w:rsid w:val="00A33D2B"/>
    <w:rsid w:val="00A36E4A"/>
    <w:rsid w:val="00A37A92"/>
    <w:rsid w:val="00A4067D"/>
    <w:rsid w:val="00A40CD0"/>
    <w:rsid w:val="00A41A3E"/>
    <w:rsid w:val="00A43E51"/>
    <w:rsid w:val="00A45170"/>
    <w:rsid w:val="00A463CF"/>
    <w:rsid w:val="00A50049"/>
    <w:rsid w:val="00A5075E"/>
    <w:rsid w:val="00A50FA0"/>
    <w:rsid w:val="00A515F6"/>
    <w:rsid w:val="00A53E13"/>
    <w:rsid w:val="00A5697E"/>
    <w:rsid w:val="00A57FBA"/>
    <w:rsid w:val="00A60201"/>
    <w:rsid w:val="00A6062A"/>
    <w:rsid w:val="00A610CE"/>
    <w:rsid w:val="00A6173C"/>
    <w:rsid w:val="00A62623"/>
    <w:rsid w:val="00A6420E"/>
    <w:rsid w:val="00A64997"/>
    <w:rsid w:val="00A64FB1"/>
    <w:rsid w:val="00A700B4"/>
    <w:rsid w:val="00A70301"/>
    <w:rsid w:val="00A70447"/>
    <w:rsid w:val="00A71D4A"/>
    <w:rsid w:val="00A7272C"/>
    <w:rsid w:val="00A72D70"/>
    <w:rsid w:val="00A73120"/>
    <w:rsid w:val="00A75673"/>
    <w:rsid w:val="00A7606C"/>
    <w:rsid w:val="00A7698A"/>
    <w:rsid w:val="00A76C6A"/>
    <w:rsid w:val="00A81727"/>
    <w:rsid w:val="00A8234C"/>
    <w:rsid w:val="00A82EF0"/>
    <w:rsid w:val="00A83A74"/>
    <w:rsid w:val="00A83FF5"/>
    <w:rsid w:val="00A84571"/>
    <w:rsid w:val="00A87CF3"/>
    <w:rsid w:val="00A902AA"/>
    <w:rsid w:val="00A9113C"/>
    <w:rsid w:val="00A91210"/>
    <w:rsid w:val="00A93FD0"/>
    <w:rsid w:val="00A9422A"/>
    <w:rsid w:val="00A9518A"/>
    <w:rsid w:val="00A961C3"/>
    <w:rsid w:val="00AA025D"/>
    <w:rsid w:val="00AA09CC"/>
    <w:rsid w:val="00AA2212"/>
    <w:rsid w:val="00AA6AE7"/>
    <w:rsid w:val="00AA6B94"/>
    <w:rsid w:val="00AA6FE0"/>
    <w:rsid w:val="00AA7906"/>
    <w:rsid w:val="00AB0203"/>
    <w:rsid w:val="00AB05DE"/>
    <w:rsid w:val="00AB0A30"/>
    <w:rsid w:val="00AB125D"/>
    <w:rsid w:val="00AB1B0C"/>
    <w:rsid w:val="00AB27F9"/>
    <w:rsid w:val="00AB3145"/>
    <w:rsid w:val="00AB3E89"/>
    <w:rsid w:val="00AB498A"/>
    <w:rsid w:val="00AB6EAC"/>
    <w:rsid w:val="00AB7CCB"/>
    <w:rsid w:val="00AC14EC"/>
    <w:rsid w:val="00AC1C2F"/>
    <w:rsid w:val="00AC40DB"/>
    <w:rsid w:val="00AC463A"/>
    <w:rsid w:val="00AC52DF"/>
    <w:rsid w:val="00AC55D1"/>
    <w:rsid w:val="00AC6B3B"/>
    <w:rsid w:val="00AD0F80"/>
    <w:rsid w:val="00AD386D"/>
    <w:rsid w:val="00AD56C2"/>
    <w:rsid w:val="00AD7D04"/>
    <w:rsid w:val="00AD7D0F"/>
    <w:rsid w:val="00AE033C"/>
    <w:rsid w:val="00AE27AE"/>
    <w:rsid w:val="00AE306A"/>
    <w:rsid w:val="00AE32A6"/>
    <w:rsid w:val="00AE3916"/>
    <w:rsid w:val="00AE3E84"/>
    <w:rsid w:val="00AE3F68"/>
    <w:rsid w:val="00AE3FEF"/>
    <w:rsid w:val="00AE5176"/>
    <w:rsid w:val="00AF1DF6"/>
    <w:rsid w:val="00AF4731"/>
    <w:rsid w:val="00AF5380"/>
    <w:rsid w:val="00AF67CD"/>
    <w:rsid w:val="00AF69DF"/>
    <w:rsid w:val="00AF6B95"/>
    <w:rsid w:val="00AF731C"/>
    <w:rsid w:val="00B00E40"/>
    <w:rsid w:val="00B01555"/>
    <w:rsid w:val="00B0193F"/>
    <w:rsid w:val="00B054BE"/>
    <w:rsid w:val="00B06428"/>
    <w:rsid w:val="00B110CB"/>
    <w:rsid w:val="00B1113A"/>
    <w:rsid w:val="00B11BA3"/>
    <w:rsid w:val="00B11BCA"/>
    <w:rsid w:val="00B11E14"/>
    <w:rsid w:val="00B14074"/>
    <w:rsid w:val="00B14206"/>
    <w:rsid w:val="00B156B4"/>
    <w:rsid w:val="00B15C81"/>
    <w:rsid w:val="00B17872"/>
    <w:rsid w:val="00B20587"/>
    <w:rsid w:val="00B20AB3"/>
    <w:rsid w:val="00B22695"/>
    <w:rsid w:val="00B22A35"/>
    <w:rsid w:val="00B235B5"/>
    <w:rsid w:val="00B25E44"/>
    <w:rsid w:val="00B26438"/>
    <w:rsid w:val="00B26E6A"/>
    <w:rsid w:val="00B2722F"/>
    <w:rsid w:val="00B31209"/>
    <w:rsid w:val="00B3545A"/>
    <w:rsid w:val="00B35ADD"/>
    <w:rsid w:val="00B36447"/>
    <w:rsid w:val="00B37215"/>
    <w:rsid w:val="00B41581"/>
    <w:rsid w:val="00B41A93"/>
    <w:rsid w:val="00B42EC8"/>
    <w:rsid w:val="00B43095"/>
    <w:rsid w:val="00B44412"/>
    <w:rsid w:val="00B44C6B"/>
    <w:rsid w:val="00B458C0"/>
    <w:rsid w:val="00B463C3"/>
    <w:rsid w:val="00B51A21"/>
    <w:rsid w:val="00B52ABD"/>
    <w:rsid w:val="00B543C1"/>
    <w:rsid w:val="00B54CC4"/>
    <w:rsid w:val="00B552DA"/>
    <w:rsid w:val="00B568ED"/>
    <w:rsid w:val="00B57E01"/>
    <w:rsid w:val="00B622AB"/>
    <w:rsid w:val="00B64A31"/>
    <w:rsid w:val="00B715D6"/>
    <w:rsid w:val="00B72B33"/>
    <w:rsid w:val="00B7370D"/>
    <w:rsid w:val="00B73F04"/>
    <w:rsid w:val="00B74005"/>
    <w:rsid w:val="00B74AB1"/>
    <w:rsid w:val="00B74E29"/>
    <w:rsid w:val="00B750E9"/>
    <w:rsid w:val="00B754C2"/>
    <w:rsid w:val="00B757A7"/>
    <w:rsid w:val="00B75806"/>
    <w:rsid w:val="00B760A8"/>
    <w:rsid w:val="00B77766"/>
    <w:rsid w:val="00B801BC"/>
    <w:rsid w:val="00B806D5"/>
    <w:rsid w:val="00B80925"/>
    <w:rsid w:val="00B81B8F"/>
    <w:rsid w:val="00B822BB"/>
    <w:rsid w:val="00B82380"/>
    <w:rsid w:val="00B82ED7"/>
    <w:rsid w:val="00B8334D"/>
    <w:rsid w:val="00B846F7"/>
    <w:rsid w:val="00B851CD"/>
    <w:rsid w:val="00B8603C"/>
    <w:rsid w:val="00B86CF4"/>
    <w:rsid w:val="00B875B7"/>
    <w:rsid w:val="00B9068F"/>
    <w:rsid w:val="00B927B5"/>
    <w:rsid w:val="00B92A31"/>
    <w:rsid w:val="00B92B7D"/>
    <w:rsid w:val="00B93511"/>
    <w:rsid w:val="00B9473D"/>
    <w:rsid w:val="00B96BA6"/>
    <w:rsid w:val="00B972E9"/>
    <w:rsid w:val="00B9772F"/>
    <w:rsid w:val="00BA0FCD"/>
    <w:rsid w:val="00BA19ED"/>
    <w:rsid w:val="00BA2911"/>
    <w:rsid w:val="00BA5586"/>
    <w:rsid w:val="00BA5775"/>
    <w:rsid w:val="00BA6340"/>
    <w:rsid w:val="00BA7869"/>
    <w:rsid w:val="00BB067B"/>
    <w:rsid w:val="00BB1734"/>
    <w:rsid w:val="00BB2428"/>
    <w:rsid w:val="00BB40E7"/>
    <w:rsid w:val="00BB56A5"/>
    <w:rsid w:val="00BB6444"/>
    <w:rsid w:val="00BB6C4A"/>
    <w:rsid w:val="00BB6E54"/>
    <w:rsid w:val="00BB6EBE"/>
    <w:rsid w:val="00BB744E"/>
    <w:rsid w:val="00BC350A"/>
    <w:rsid w:val="00BC37C3"/>
    <w:rsid w:val="00BC46B3"/>
    <w:rsid w:val="00BC4E2C"/>
    <w:rsid w:val="00BC70CD"/>
    <w:rsid w:val="00BD01FF"/>
    <w:rsid w:val="00BD063C"/>
    <w:rsid w:val="00BD2DC2"/>
    <w:rsid w:val="00BD31CD"/>
    <w:rsid w:val="00BD6363"/>
    <w:rsid w:val="00BD7174"/>
    <w:rsid w:val="00BD7710"/>
    <w:rsid w:val="00BE2C9F"/>
    <w:rsid w:val="00BE30C2"/>
    <w:rsid w:val="00BE3109"/>
    <w:rsid w:val="00BE5A41"/>
    <w:rsid w:val="00BE6F54"/>
    <w:rsid w:val="00BE782D"/>
    <w:rsid w:val="00BF096A"/>
    <w:rsid w:val="00BF1B71"/>
    <w:rsid w:val="00BF4206"/>
    <w:rsid w:val="00BF51BE"/>
    <w:rsid w:val="00BF5638"/>
    <w:rsid w:val="00BF62C7"/>
    <w:rsid w:val="00C005D8"/>
    <w:rsid w:val="00C06A4E"/>
    <w:rsid w:val="00C07464"/>
    <w:rsid w:val="00C07F58"/>
    <w:rsid w:val="00C13F76"/>
    <w:rsid w:val="00C14B76"/>
    <w:rsid w:val="00C1707D"/>
    <w:rsid w:val="00C17544"/>
    <w:rsid w:val="00C201DD"/>
    <w:rsid w:val="00C212BE"/>
    <w:rsid w:val="00C21941"/>
    <w:rsid w:val="00C21B3D"/>
    <w:rsid w:val="00C228A9"/>
    <w:rsid w:val="00C22E43"/>
    <w:rsid w:val="00C2588C"/>
    <w:rsid w:val="00C25A4F"/>
    <w:rsid w:val="00C2637E"/>
    <w:rsid w:val="00C27EBA"/>
    <w:rsid w:val="00C309CD"/>
    <w:rsid w:val="00C309E3"/>
    <w:rsid w:val="00C30B04"/>
    <w:rsid w:val="00C32255"/>
    <w:rsid w:val="00C32B00"/>
    <w:rsid w:val="00C32E4A"/>
    <w:rsid w:val="00C33EE6"/>
    <w:rsid w:val="00C34AF5"/>
    <w:rsid w:val="00C36D87"/>
    <w:rsid w:val="00C37084"/>
    <w:rsid w:val="00C41D26"/>
    <w:rsid w:val="00C465E5"/>
    <w:rsid w:val="00C466C8"/>
    <w:rsid w:val="00C468E9"/>
    <w:rsid w:val="00C478BA"/>
    <w:rsid w:val="00C50332"/>
    <w:rsid w:val="00C51F51"/>
    <w:rsid w:val="00C53B3E"/>
    <w:rsid w:val="00C549CC"/>
    <w:rsid w:val="00C60556"/>
    <w:rsid w:val="00C61FD5"/>
    <w:rsid w:val="00C63C64"/>
    <w:rsid w:val="00C63E1A"/>
    <w:rsid w:val="00C64399"/>
    <w:rsid w:val="00C6470A"/>
    <w:rsid w:val="00C66E5B"/>
    <w:rsid w:val="00C7037D"/>
    <w:rsid w:val="00C70EB6"/>
    <w:rsid w:val="00C72AC1"/>
    <w:rsid w:val="00C73A47"/>
    <w:rsid w:val="00C73B5F"/>
    <w:rsid w:val="00C73DA6"/>
    <w:rsid w:val="00C756D4"/>
    <w:rsid w:val="00C75784"/>
    <w:rsid w:val="00C80E97"/>
    <w:rsid w:val="00C81DF5"/>
    <w:rsid w:val="00C81EAC"/>
    <w:rsid w:val="00C8264F"/>
    <w:rsid w:val="00C831D4"/>
    <w:rsid w:val="00C83C12"/>
    <w:rsid w:val="00C85E6E"/>
    <w:rsid w:val="00C87496"/>
    <w:rsid w:val="00C92C7D"/>
    <w:rsid w:val="00C93413"/>
    <w:rsid w:val="00C94661"/>
    <w:rsid w:val="00C960BF"/>
    <w:rsid w:val="00C96A8C"/>
    <w:rsid w:val="00C96CBA"/>
    <w:rsid w:val="00C96D06"/>
    <w:rsid w:val="00C97EF6"/>
    <w:rsid w:val="00CA142E"/>
    <w:rsid w:val="00CA28F8"/>
    <w:rsid w:val="00CA2CF0"/>
    <w:rsid w:val="00CA62C4"/>
    <w:rsid w:val="00CB0327"/>
    <w:rsid w:val="00CB1917"/>
    <w:rsid w:val="00CB24F5"/>
    <w:rsid w:val="00CB293E"/>
    <w:rsid w:val="00CB532F"/>
    <w:rsid w:val="00CB6885"/>
    <w:rsid w:val="00CB73C3"/>
    <w:rsid w:val="00CB7548"/>
    <w:rsid w:val="00CB77FC"/>
    <w:rsid w:val="00CC05FF"/>
    <w:rsid w:val="00CC7CE4"/>
    <w:rsid w:val="00CD34D4"/>
    <w:rsid w:val="00CD448D"/>
    <w:rsid w:val="00CD6584"/>
    <w:rsid w:val="00CD65B0"/>
    <w:rsid w:val="00CD6AE2"/>
    <w:rsid w:val="00CD7C7D"/>
    <w:rsid w:val="00CD7F96"/>
    <w:rsid w:val="00CE3C5C"/>
    <w:rsid w:val="00CE4D70"/>
    <w:rsid w:val="00CE5212"/>
    <w:rsid w:val="00CE5656"/>
    <w:rsid w:val="00CE5AEF"/>
    <w:rsid w:val="00CE6357"/>
    <w:rsid w:val="00CF1046"/>
    <w:rsid w:val="00CF17DE"/>
    <w:rsid w:val="00CF1FEC"/>
    <w:rsid w:val="00CF3A00"/>
    <w:rsid w:val="00CF427B"/>
    <w:rsid w:val="00CF5C5A"/>
    <w:rsid w:val="00D01FCD"/>
    <w:rsid w:val="00D02F8F"/>
    <w:rsid w:val="00D03B8F"/>
    <w:rsid w:val="00D03DD7"/>
    <w:rsid w:val="00D0484A"/>
    <w:rsid w:val="00D04DBA"/>
    <w:rsid w:val="00D05BA8"/>
    <w:rsid w:val="00D10192"/>
    <w:rsid w:val="00D12A0B"/>
    <w:rsid w:val="00D1382E"/>
    <w:rsid w:val="00D13BF4"/>
    <w:rsid w:val="00D14BA4"/>
    <w:rsid w:val="00D14F80"/>
    <w:rsid w:val="00D20142"/>
    <w:rsid w:val="00D20F6C"/>
    <w:rsid w:val="00D2150E"/>
    <w:rsid w:val="00D22E68"/>
    <w:rsid w:val="00D22F6C"/>
    <w:rsid w:val="00D25E77"/>
    <w:rsid w:val="00D32038"/>
    <w:rsid w:val="00D324BE"/>
    <w:rsid w:val="00D33666"/>
    <w:rsid w:val="00D35787"/>
    <w:rsid w:val="00D3773D"/>
    <w:rsid w:val="00D41BED"/>
    <w:rsid w:val="00D43F5C"/>
    <w:rsid w:val="00D44036"/>
    <w:rsid w:val="00D469B2"/>
    <w:rsid w:val="00D46BCD"/>
    <w:rsid w:val="00D475F7"/>
    <w:rsid w:val="00D51E27"/>
    <w:rsid w:val="00D52015"/>
    <w:rsid w:val="00D527D1"/>
    <w:rsid w:val="00D533CB"/>
    <w:rsid w:val="00D53C83"/>
    <w:rsid w:val="00D5591C"/>
    <w:rsid w:val="00D573D2"/>
    <w:rsid w:val="00D57873"/>
    <w:rsid w:val="00D628D9"/>
    <w:rsid w:val="00D652C0"/>
    <w:rsid w:val="00D660F2"/>
    <w:rsid w:val="00D6643B"/>
    <w:rsid w:val="00D67195"/>
    <w:rsid w:val="00D67F70"/>
    <w:rsid w:val="00D70145"/>
    <w:rsid w:val="00D7187B"/>
    <w:rsid w:val="00D7227C"/>
    <w:rsid w:val="00D73E86"/>
    <w:rsid w:val="00D7528A"/>
    <w:rsid w:val="00D75F69"/>
    <w:rsid w:val="00D7725B"/>
    <w:rsid w:val="00D80705"/>
    <w:rsid w:val="00D83A5C"/>
    <w:rsid w:val="00D8465E"/>
    <w:rsid w:val="00D87ECE"/>
    <w:rsid w:val="00D932B4"/>
    <w:rsid w:val="00D94B6F"/>
    <w:rsid w:val="00D964FF"/>
    <w:rsid w:val="00DA3503"/>
    <w:rsid w:val="00DA52EF"/>
    <w:rsid w:val="00DA607A"/>
    <w:rsid w:val="00DA6F16"/>
    <w:rsid w:val="00DB08CE"/>
    <w:rsid w:val="00DB15F2"/>
    <w:rsid w:val="00DB6A4F"/>
    <w:rsid w:val="00DB6F2C"/>
    <w:rsid w:val="00DB7C64"/>
    <w:rsid w:val="00DC11C8"/>
    <w:rsid w:val="00DC1C10"/>
    <w:rsid w:val="00DC33F0"/>
    <w:rsid w:val="00DC50FD"/>
    <w:rsid w:val="00DD10D2"/>
    <w:rsid w:val="00DD2433"/>
    <w:rsid w:val="00DD2C0C"/>
    <w:rsid w:val="00DD2F1D"/>
    <w:rsid w:val="00DD3A69"/>
    <w:rsid w:val="00DD3BEE"/>
    <w:rsid w:val="00DD6AD6"/>
    <w:rsid w:val="00DD7681"/>
    <w:rsid w:val="00DE07E3"/>
    <w:rsid w:val="00DE418C"/>
    <w:rsid w:val="00DE5C6D"/>
    <w:rsid w:val="00DE6420"/>
    <w:rsid w:val="00DE699E"/>
    <w:rsid w:val="00DF04D6"/>
    <w:rsid w:val="00DF47D5"/>
    <w:rsid w:val="00DF48E5"/>
    <w:rsid w:val="00DF4B15"/>
    <w:rsid w:val="00DF5901"/>
    <w:rsid w:val="00E017B6"/>
    <w:rsid w:val="00E01E33"/>
    <w:rsid w:val="00E02127"/>
    <w:rsid w:val="00E02966"/>
    <w:rsid w:val="00E03B53"/>
    <w:rsid w:val="00E06CCF"/>
    <w:rsid w:val="00E1189F"/>
    <w:rsid w:val="00E1295F"/>
    <w:rsid w:val="00E135F5"/>
    <w:rsid w:val="00E149DA"/>
    <w:rsid w:val="00E14A56"/>
    <w:rsid w:val="00E15FA1"/>
    <w:rsid w:val="00E16E4B"/>
    <w:rsid w:val="00E22305"/>
    <w:rsid w:val="00E22C48"/>
    <w:rsid w:val="00E2682D"/>
    <w:rsid w:val="00E2707C"/>
    <w:rsid w:val="00E31429"/>
    <w:rsid w:val="00E31C71"/>
    <w:rsid w:val="00E3410A"/>
    <w:rsid w:val="00E35F1D"/>
    <w:rsid w:val="00E36479"/>
    <w:rsid w:val="00E36B14"/>
    <w:rsid w:val="00E43844"/>
    <w:rsid w:val="00E43BB2"/>
    <w:rsid w:val="00E44D72"/>
    <w:rsid w:val="00E461D4"/>
    <w:rsid w:val="00E47DC6"/>
    <w:rsid w:val="00E50068"/>
    <w:rsid w:val="00E501CA"/>
    <w:rsid w:val="00E50859"/>
    <w:rsid w:val="00E630B3"/>
    <w:rsid w:val="00E64712"/>
    <w:rsid w:val="00E65CF2"/>
    <w:rsid w:val="00E711F4"/>
    <w:rsid w:val="00E71708"/>
    <w:rsid w:val="00E71C3F"/>
    <w:rsid w:val="00E73651"/>
    <w:rsid w:val="00E73833"/>
    <w:rsid w:val="00E73C42"/>
    <w:rsid w:val="00E74EB8"/>
    <w:rsid w:val="00E75D8F"/>
    <w:rsid w:val="00E76991"/>
    <w:rsid w:val="00E8475F"/>
    <w:rsid w:val="00E86DA8"/>
    <w:rsid w:val="00E90174"/>
    <w:rsid w:val="00E9189D"/>
    <w:rsid w:val="00E928CF"/>
    <w:rsid w:val="00E92A90"/>
    <w:rsid w:val="00E9441C"/>
    <w:rsid w:val="00E94C30"/>
    <w:rsid w:val="00E974AC"/>
    <w:rsid w:val="00EA025E"/>
    <w:rsid w:val="00EA1C98"/>
    <w:rsid w:val="00EA37C9"/>
    <w:rsid w:val="00EA514E"/>
    <w:rsid w:val="00EA5A1F"/>
    <w:rsid w:val="00EA73E9"/>
    <w:rsid w:val="00EA741E"/>
    <w:rsid w:val="00EB46BC"/>
    <w:rsid w:val="00EB4C1A"/>
    <w:rsid w:val="00EB5F1A"/>
    <w:rsid w:val="00EB6ED6"/>
    <w:rsid w:val="00EC27CD"/>
    <w:rsid w:val="00EC481B"/>
    <w:rsid w:val="00EC5971"/>
    <w:rsid w:val="00EC6ABF"/>
    <w:rsid w:val="00EC722E"/>
    <w:rsid w:val="00ED0776"/>
    <w:rsid w:val="00ED0FF1"/>
    <w:rsid w:val="00ED1C32"/>
    <w:rsid w:val="00ED3E9F"/>
    <w:rsid w:val="00ED4DFF"/>
    <w:rsid w:val="00ED4E9B"/>
    <w:rsid w:val="00EE045C"/>
    <w:rsid w:val="00EE30B3"/>
    <w:rsid w:val="00EE3506"/>
    <w:rsid w:val="00EE4816"/>
    <w:rsid w:val="00EE54AB"/>
    <w:rsid w:val="00EF0C49"/>
    <w:rsid w:val="00EF1A47"/>
    <w:rsid w:val="00EF41BC"/>
    <w:rsid w:val="00F00072"/>
    <w:rsid w:val="00F00514"/>
    <w:rsid w:val="00F010F5"/>
    <w:rsid w:val="00F048C7"/>
    <w:rsid w:val="00F051A9"/>
    <w:rsid w:val="00F130DD"/>
    <w:rsid w:val="00F15A69"/>
    <w:rsid w:val="00F16B34"/>
    <w:rsid w:val="00F201A8"/>
    <w:rsid w:val="00F240BD"/>
    <w:rsid w:val="00F25746"/>
    <w:rsid w:val="00F335E0"/>
    <w:rsid w:val="00F3380B"/>
    <w:rsid w:val="00F3527A"/>
    <w:rsid w:val="00F354B2"/>
    <w:rsid w:val="00F36F9A"/>
    <w:rsid w:val="00F37C38"/>
    <w:rsid w:val="00F4082B"/>
    <w:rsid w:val="00F41938"/>
    <w:rsid w:val="00F4241E"/>
    <w:rsid w:val="00F445D7"/>
    <w:rsid w:val="00F456EC"/>
    <w:rsid w:val="00F466EC"/>
    <w:rsid w:val="00F47A5E"/>
    <w:rsid w:val="00F47E70"/>
    <w:rsid w:val="00F50B3A"/>
    <w:rsid w:val="00F51F8B"/>
    <w:rsid w:val="00F579DF"/>
    <w:rsid w:val="00F6299B"/>
    <w:rsid w:val="00F6320D"/>
    <w:rsid w:val="00F643A3"/>
    <w:rsid w:val="00F65541"/>
    <w:rsid w:val="00F6656A"/>
    <w:rsid w:val="00F66A93"/>
    <w:rsid w:val="00F66C2B"/>
    <w:rsid w:val="00F66CC9"/>
    <w:rsid w:val="00F701FB"/>
    <w:rsid w:val="00F7048A"/>
    <w:rsid w:val="00F71371"/>
    <w:rsid w:val="00F72B73"/>
    <w:rsid w:val="00F72BB3"/>
    <w:rsid w:val="00F75671"/>
    <w:rsid w:val="00F7586F"/>
    <w:rsid w:val="00F76D0B"/>
    <w:rsid w:val="00F807D8"/>
    <w:rsid w:val="00F80D09"/>
    <w:rsid w:val="00F81C25"/>
    <w:rsid w:val="00F84EE1"/>
    <w:rsid w:val="00F8564E"/>
    <w:rsid w:val="00F86D48"/>
    <w:rsid w:val="00F87AAE"/>
    <w:rsid w:val="00F91C63"/>
    <w:rsid w:val="00F92878"/>
    <w:rsid w:val="00F94B2D"/>
    <w:rsid w:val="00F95F5C"/>
    <w:rsid w:val="00F96925"/>
    <w:rsid w:val="00FA0202"/>
    <w:rsid w:val="00FA058C"/>
    <w:rsid w:val="00FA26DA"/>
    <w:rsid w:val="00FA2A51"/>
    <w:rsid w:val="00FA2D56"/>
    <w:rsid w:val="00FA2DB2"/>
    <w:rsid w:val="00FA4542"/>
    <w:rsid w:val="00FA580E"/>
    <w:rsid w:val="00FA72C4"/>
    <w:rsid w:val="00FA7E3F"/>
    <w:rsid w:val="00FB0AAE"/>
    <w:rsid w:val="00FB2598"/>
    <w:rsid w:val="00FB3485"/>
    <w:rsid w:val="00FB6120"/>
    <w:rsid w:val="00FB7C34"/>
    <w:rsid w:val="00FC411A"/>
    <w:rsid w:val="00FC43C2"/>
    <w:rsid w:val="00FC79E0"/>
    <w:rsid w:val="00FC7D42"/>
    <w:rsid w:val="00FD0CB1"/>
    <w:rsid w:val="00FD1C81"/>
    <w:rsid w:val="00FD2C3F"/>
    <w:rsid w:val="00FD3063"/>
    <w:rsid w:val="00FD53DB"/>
    <w:rsid w:val="00FD56C3"/>
    <w:rsid w:val="00FD6A63"/>
    <w:rsid w:val="00FD70A4"/>
    <w:rsid w:val="00FE022E"/>
    <w:rsid w:val="00FE2E99"/>
    <w:rsid w:val="00FE43A3"/>
    <w:rsid w:val="00FE53FE"/>
    <w:rsid w:val="00FE5768"/>
    <w:rsid w:val="00FE6CAC"/>
    <w:rsid w:val="00FE7543"/>
    <w:rsid w:val="00FF1393"/>
    <w:rsid w:val="00FF1F2B"/>
    <w:rsid w:val="00FF4AFC"/>
    <w:rsid w:val="00FF7C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A45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link w:val="Heading1Char"/>
    <w:qFormat/>
    <w:pPr>
      <w:keepNext/>
      <w:spacing w:before="120" w:after="240"/>
      <w:outlineLvl w:val="0"/>
    </w:pPr>
    <w:rPr>
      <w:rFonts w:ascii="Helvetica" w:hAnsi="Helvetica"/>
      <w:b/>
      <w:caps/>
      <w:kern w:val="28"/>
      <w:u w:val="single"/>
    </w:rPr>
  </w:style>
  <w:style w:type="paragraph" w:styleId="Heading2">
    <w:name w:val="heading 2"/>
    <w:basedOn w:val="Normal"/>
    <w:next w:val="sub1"/>
    <w:link w:val="Heading2Char"/>
    <w:qFormat/>
    <w:pPr>
      <w:keepNext/>
      <w:numPr>
        <w:ilvl w:val="1"/>
        <w:numId w:val="3"/>
      </w:numPr>
      <w:spacing w:before="120" w:after="120"/>
      <w:outlineLvl w:val="1"/>
    </w:pPr>
    <w:rPr>
      <w:rFonts w:ascii="Helvetica" w:hAnsi="Helvetica"/>
      <w:b/>
      <w:i/>
    </w:rPr>
  </w:style>
  <w:style w:type="paragraph" w:styleId="Heading3">
    <w:name w:val="heading 3"/>
    <w:basedOn w:val="Normal"/>
    <w:next w:val="sub2"/>
    <w:link w:val="Heading3Char"/>
    <w:qFormat/>
    <w:pPr>
      <w:keepNext/>
      <w:spacing w:before="120" w:after="120"/>
      <w:ind w:firstLine="2160"/>
      <w:outlineLvl w:val="2"/>
    </w:pPr>
    <w:rPr>
      <w:rFonts w:ascii="Helvetica" w:hAnsi="Helvetica"/>
      <w:b/>
    </w:rPr>
  </w:style>
  <w:style w:type="paragraph" w:styleId="Heading4">
    <w:name w:val="heading 4"/>
    <w:basedOn w:val="Normal"/>
    <w:next w:val="sub3"/>
    <w:link w:val="Heading4Char"/>
    <w:qFormat/>
    <w:pPr>
      <w:keepNext/>
      <w:spacing w:before="120" w:after="120"/>
      <w:ind w:firstLine="2880"/>
      <w:outlineLvl w:val="3"/>
    </w:pPr>
    <w:rPr>
      <w:rFonts w:ascii="Helvetica" w:hAnsi="Helvetica"/>
      <w:b/>
      <w:i/>
    </w:rPr>
  </w:style>
  <w:style w:type="paragraph" w:styleId="Heading5">
    <w:name w:val="heading 5"/>
    <w:basedOn w:val="Normal"/>
    <w:next w:val="sub4"/>
    <w:link w:val="Heading5Char"/>
    <w:qFormat/>
    <w:pPr>
      <w:spacing w:before="120" w:after="120"/>
      <w:ind w:firstLine="3600"/>
      <w:outlineLvl w:val="4"/>
    </w:pPr>
    <w:rPr>
      <w:rFonts w:ascii="Helvetica" w:hAnsi="Helvetica"/>
      <w:b/>
    </w:rPr>
  </w:style>
  <w:style w:type="paragraph" w:styleId="Heading6">
    <w:name w:val="heading 6"/>
    <w:basedOn w:val="Normal"/>
    <w:next w:val="Normal"/>
    <w:link w:val="Heading6Char"/>
    <w:qFormat/>
    <w:pPr>
      <w:keepNext/>
      <w:outlineLvl w:val="5"/>
    </w:pPr>
    <w:rPr>
      <w:b/>
    </w:rPr>
  </w:style>
  <w:style w:type="paragraph" w:styleId="Heading9">
    <w:name w:val="heading 9"/>
    <w:basedOn w:val="Normal"/>
    <w:next w:val="Normal"/>
    <w:link w:val="Heading9Char"/>
    <w:qFormat/>
    <w:rsid w:val="00555BFE"/>
    <w:pPr>
      <w:keepNext/>
      <w:jc w:val="both"/>
      <w:outlineLvl w:val="8"/>
    </w:pPr>
    <w:rPr>
      <w:rFonts w:ascii="Arial" w:hAnsi="Arial"/>
      <w:b/>
      <w:bCs/>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Footnote Text Char Char Char,Footnote Text Char,Char Char,Footnote Text Char2 Char,Footnote Text Char2 Char Char Char Char,Footnote Text Char1 Char1 Char1 Char Char Char"/>
    <w:basedOn w:val="Normal"/>
    <w:link w:val="FootnoteTextChar2"/>
    <w:rsid w:val="006639B1"/>
    <w:pPr>
      <w:spacing w:after="240"/>
    </w:pPr>
    <w:rPr>
      <w:sz w:val="24"/>
    </w:rPr>
  </w:style>
  <w:style w:type="paragraph" w:styleId="EndnoteText">
    <w:name w:val="endnote text"/>
    <w:basedOn w:val="Normal"/>
    <w:semiHidden/>
    <w:rPr>
      <w:sz w:val="20"/>
    </w:rPr>
  </w:style>
  <w:style w:type="paragraph" w:customStyle="1" w:styleId="standard">
    <w:name w:val="standard"/>
    <w:basedOn w:val="Normal"/>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Style1">
    <w:name w:val="Style1"/>
    <w:basedOn w:val="1ListIndent"/>
    <w:pPr>
      <w:numPr>
        <w:numId w:val="0"/>
      </w:numPr>
    </w:pPr>
  </w:style>
  <w:style w:type="paragraph" w:styleId="TOC4">
    <w:name w:val="toc 4"/>
    <w:basedOn w:val="Normal"/>
    <w:next w:val="Normal"/>
    <w:semiHidden/>
    <w:pPr>
      <w:tabs>
        <w:tab w:val="right" w:leader="dot" w:pos="9360"/>
      </w:tabs>
      <w:ind w:left="720"/>
    </w:pPr>
  </w:style>
  <w:style w:type="paragraph" w:customStyle="1" w:styleId="main">
    <w:name w:val="main"/>
    <w:basedOn w:val="Normal"/>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after="240"/>
    </w:p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paragraph" w:customStyle="1" w:styleId="AListIndent">
    <w:name w:val="A. List Indent"/>
    <w:basedOn w:val="1ListIndent"/>
    <w:pPr>
      <w:numPr>
        <w:numId w:val="1"/>
      </w:numPr>
      <w:ind w:left="1440" w:hanging="720"/>
    </w:pPr>
  </w:style>
  <w:style w:type="character" w:styleId="EndnoteReference">
    <w:name w:val="endnote reference"/>
    <w:semiHidden/>
    <w:rPr>
      <w:vertAlign w:val="superscript"/>
    </w:rPr>
  </w:style>
  <w:style w:type="paragraph" w:customStyle="1" w:styleId="1ListIndent">
    <w:name w:val="1. List Indent"/>
    <w:basedOn w:val="num2"/>
    <w:pPr>
      <w:numPr>
        <w:numId w:val="2"/>
      </w:numPr>
      <w:ind w:left="1080"/>
    </w:pPr>
  </w:style>
  <w:style w:type="character" w:styleId="FootnoteReference">
    <w:name w:val="footnote reference"/>
    <w:aliases w:val="o,fr,Style 3,o1,o2,o3,o4,o5,o6,o11,o21,o7,Footnote Reference1"/>
    <w:rPr>
      <w:vertAlign w:val="superscript"/>
    </w:rPr>
  </w:style>
  <w:style w:type="paragraph" w:styleId="List">
    <w:name w:val="List"/>
    <w:basedOn w:val="Normal"/>
    <w:pPr>
      <w:ind w:left="360" w:hanging="360"/>
    </w:pPr>
    <w:rPr>
      <w:rFonts w:ascii="Times New Roman" w:hAnsi="Times New Roman"/>
      <w:sz w:val="24"/>
    </w:rPr>
  </w:style>
  <w:style w:type="paragraph" w:customStyle="1" w:styleId="Res-Caption">
    <w:name w:val="Res-Caption"/>
    <w:basedOn w:val="Normal"/>
    <w:pPr>
      <w:ind w:left="720" w:right="720"/>
    </w:pPr>
  </w:style>
  <w:style w:type="paragraph" w:customStyle="1" w:styleId="Res-TitleResolution">
    <w:name w:val="Res-Title (Resolution)"/>
    <w:basedOn w:val="main"/>
  </w:style>
  <w:style w:type="paragraph" w:customStyle="1" w:styleId="ALs">
    <w:name w:val="ALs"/>
    <w:basedOn w:val="Normal"/>
    <w:rPr>
      <w:rFonts w:ascii="Times New Roman" w:hAnsi="Times New Roman"/>
      <w:sz w:val="24"/>
    </w:rPr>
  </w:style>
  <w:style w:type="character" w:styleId="Hyperlink">
    <w:name w:val="Hyperlink"/>
    <w:basedOn w:val="DefaultParagraphFont"/>
    <w:uiPriority w:val="99"/>
    <w:rsid w:val="008E5E29"/>
    <w:rPr>
      <w:color w:val="0000FF" w:themeColor="hyperlink"/>
      <w:u w:val="single"/>
    </w:rPr>
  </w:style>
  <w:style w:type="paragraph" w:styleId="ListParagraph">
    <w:name w:val="List Paragraph"/>
    <w:basedOn w:val="Normal"/>
    <w:uiPriority w:val="34"/>
    <w:qFormat/>
    <w:rsid w:val="003B7D01"/>
    <w:pPr>
      <w:ind w:left="720"/>
      <w:contextualSpacing/>
    </w:pPr>
  </w:style>
  <w:style w:type="character" w:customStyle="1" w:styleId="FootnoteTextChar2">
    <w:name w:val="Footnote Text Char2"/>
    <w:aliases w:val="Footnote Text Char1 Char1,Footnote Text Char Char Char1,Footnote Text Char1 Char Char,Footnote Text Char Char Char Char,Footnote Text Char Char1,Char Char Char,Footnote Text Char2 Char Char"/>
    <w:link w:val="FootnoteText"/>
    <w:uiPriority w:val="99"/>
    <w:rsid w:val="006639B1"/>
    <w:rPr>
      <w:rFonts w:ascii="Palatino" w:hAnsi="Palatino"/>
      <w:sz w:val="24"/>
    </w:rPr>
  </w:style>
  <w:style w:type="paragraph" w:styleId="BodyText">
    <w:name w:val="Body Text"/>
    <w:basedOn w:val="Normal"/>
    <w:link w:val="BodyTextChar"/>
    <w:rsid w:val="00D51E27"/>
    <w:rPr>
      <w:b/>
    </w:rPr>
  </w:style>
  <w:style w:type="character" w:customStyle="1" w:styleId="BodyTextChar">
    <w:name w:val="Body Text Char"/>
    <w:basedOn w:val="DefaultParagraphFont"/>
    <w:link w:val="BodyText"/>
    <w:rsid w:val="00D51E27"/>
    <w:rPr>
      <w:rFonts w:ascii="Palatino" w:hAnsi="Palatino"/>
      <w:b/>
      <w:sz w:val="26"/>
    </w:rPr>
  </w:style>
  <w:style w:type="character" w:customStyle="1" w:styleId="Heading1Char">
    <w:name w:val="Heading 1 Char"/>
    <w:link w:val="Heading1"/>
    <w:rsid w:val="00F456EC"/>
    <w:rPr>
      <w:rFonts w:ascii="Helvetica" w:hAnsi="Helvetica"/>
      <w:b/>
      <w:caps/>
      <w:kern w:val="28"/>
      <w:sz w:val="26"/>
      <w:u w:val="single"/>
    </w:rPr>
  </w:style>
  <w:style w:type="paragraph" w:styleId="PlainText">
    <w:name w:val="Plain Text"/>
    <w:basedOn w:val="Normal"/>
    <w:link w:val="PlainTextChar"/>
    <w:uiPriority w:val="99"/>
    <w:unhideWhenUsed/>
    <w:rsid w:val="00C41D26"/>
    <w:rPr>
      <w:rFonts w:ascii="Calibri" w:hAnsi="Calibri" w:cs="Consolas"/>
      <w:sz w:val="22"/>
      <w:szCs w:val="21"/>
    </w:rPr>
  </w:style>
  <w:style w:type="character" w:customStyle="1" w:styleId="PlainTextChar">
    <w:name w:val="Plain Text Char"/>
    <w:basedOn w:val="DefaultParagraphFont"/>
    <w:link w:val="PlainText"/>
    <w:uiPriority w:val="99"/>
    <w:rsid w:val="00C41D26"/>
    <w:rPr>
      <w:rFonts w:ascii="Calibri" w:hAnsi="Calibri" w:cs="Consolas"/>
      <w:sz w:val="22"/>
      <w:szCs w:val="21"/>
    </w:rPr>
  </w:style>
  <w:style w:type="paragraph" w:customStyle="1" w:styleId="Heading1Article">
    <w:name w:val="Heading 1 Article"/>
    <w:basedOn w:val="Normal"/>
    <w:rsid w:val="00E73C42"/>
    <w:pPr>
      <w:numPr>
        <w:numId w:val="12"/>
      </w:numPr>
      <w:spacing w:before="240"/>
    </w:pPr>
    <w:rPr>
      <w:rFonts w:ascii="Times New Roman" w:hAnsi="Times New Roman"/>
      <w:sz w:val="24"/>
    </w:rPr>
  </w:style>
  <w:style w:type="paragraph" w:customStyle="1" w:styleId="Level2Underscore">
    <w:name w:val="Level 2 + Underscore"/>
    <w:basedOn w:val="Normal"/>
    <w:rsid w:val="00E73C42"/>
    <w:pPr>
      <w:numPr>
        <w:ilvl w:val="1"/>
        <w:numId w:val="12"/>
      </w:numPr>
      <w:spacing w:before="240"/>
    </w:pPr>
    <w:rPr>
      <w:rFonts w:ascii="Times New Roman" w:hAnsi="Times New Roman"/>
      <w:sz w:val="24"/>
      <w:szCs w:val="24"/>
    </w:rPr>
  </w:style>
  <w:style w:type="paragraph" w:customStyle="1" w:styleId="Level3withunderscore">
    <w:name w:val="Level 3 with underscore"/>
    <w:basedOn w:val="Normal"/>
    <w:link w:val="Level3withunderscoreChar"/>
    <w:rsid w:val="00E73C42"/>
    <w:pPr>
      <w:numPr>
        <w:ilvl w:val="3"/>
        <w:numId w:val="12"/>
      </w:numPr>
      <w:spacing w:before="240"/>
    </w:pPr>
    <w:rPr>
      <w:rFonts w:ascii="Times New Roman" w:hAnsi="Times New Roman"/>
      <w:sz w:val="24"/>
    </w:rPr>
  </w:style>
  <w:style w:type="paragraph" w:customStyle="1" w:styleId="Level4nounderscore">
    <w:name w:val="Level 4 no underscore"/>
    <w:basedOn w:val="Normal"/>
    <w:rsid w:val="00E73C42"/>
    <w:pPr>
      <w:numPr>
        <w:ilvl w:val="4"/>
        <w:numId w:val="12"/>
      </w:numPr>
      <w:spacing w:before="240"/>
    </w:pPr>
    <w:rPr>
      <w:rFonts w:ascii="Times New Roman" w:hAnsi="Times New Roman"/>
      <w:sz w:val="24"/>
    </w:rPr>
  </w:style>
  <w:style w:type="paragraph" w:customStyle="1" w:styleId="Level5nounderscore">
    <w:name w:val="Level 5 no underscore"/>
    <w:basedOn w:val="Normal"/>
    <w:rsid w:val="00E73C42"/>
    <w:pPr>
      <w:numPr>
        <w:ilvl w:val="5"/>
        <w:numId w:val="12"/>
      </w:numPr>
      <w:spacing w:before="240"/>
    </w:pPr>
    <w:rPr>
      <w:rFonts w:ascii="Times New Roman" w:hAnsi="Times New Roman"/>
      <w:sz w:val="24"/>
    </w:rPr>
  </w:style>
  <w:style w:type="paragraph" w:customStyle="1" w:styleId="Level6nounderscore">
    <w:name w:val="Level 6 no underscore"/>
    <w:basedOn w:val="Normal"/>
    <w:rsid w:val="00E73C42"/>
    <w:pPr>
      <w:numPr>
        <w:ilvl w:val="6"/>
        <w:numId w:val="12"/>
      </w:numPr>
      <w:spacing w:before="240"/>
    </w:pPr>
    <w:rPr>
      <w:rFonts w:ascii="Times New Roman" w:hAnsi="Times New Roman"/>
      <w:sz w:val="24"/>
    </w:rPr>
  </w:style>
  <w:style w:type="paragraph" w:styleId="BalloonText">
    <w:name w:val="Balloon Text"/>
    <w:basedOn w:val="Normal"/>
    <w:link w:val="BalloonTextChar"/>
    <w:rsid w:val="00660095"/>
    <w:rPr>
      <w:rFonts w:ascii="Tahoma" w:hAnsi="Tahoma" w:cs="Tahoma"/>
      <w:sz w:val="16"/>
      <w:szCs w:val="16"/>
    </w:rPr>
  </w:style>
  <w:style w:type="character" w:customStyle="1" w:styleId="BalloonTextChar">
    <w:name w:val="Balloon Text Char"/>
    <w:basedOn w:val="DefaultParagraphFont"/>
    <w:link w:val="BalloonText"/>
    <w:rsid w:val="00660095"/>
    <w:rPr>
      <w:rFonts w:ascii="Tahoma" w:hAnsi="Tahoma" w:cs="Tahoma"/>
      <w:sz w:val="16"/>
      <w:szCs w:val="16"/>
    </w:rPr>
  </w:style>
  <w:style w:type="paragraph" w:styleId="Caption">
    <w:name w:val="caption"/>
    <w:basedOn w:val="Normal"/>
    <w:next w:val="Normal"/>
    <w:unhideWhenUsed/>
    <w:qFormat/>
    <w:rsid w:val="00660095"/>
    <w:pPr>
      <w:spacing w:after="200"/>
    </w:pPr>
    <w:rPr>
      <w:b/>
      <w:bCs/>
      <w:color w:val="4F81BD" w:themeColor="accent1"/>
      <w:sz w:val="18"/>
      <w:szCs w:val="18"/>
    </w:rPr>
  </w:style>
  <w:style w:type="paragraph" w:styleId="NoSpacing">
    <w:name w:val="No Spacing"/>
    <w:uiPriority w:val="1"/>
    <w:qFormat/>
    <w:rsid w:val="0065601F"/>
    <w:rPr>
      <w:rFonts w:eastAsia="Calibri"/>
      <w:sz w:val="24"/>
      <w:szCs w:val="24"/>
    </w:rPr>
  </w:style>
  <w:style w:type="character" w:styleId="CommentReference">
    <w:name w:val="annotation reference"/>
    <w:basedOn w:val="DefaultParagraphFont"/>
    <w:uiPriority w:val="99"/>
    <w:unhideWhenUsed/>
    <w:rsid w:val="004C7CF0"/>
    <w:rPr>
      <w:sz w:val="16"/>
      <w:szCs w:val="16"/>
    </w:rPr>
  </w:style>
  <w:style w:type="paragraph" w:styleId="CommentText">
    <w:name w:val="annotation text"/>
    <w:basedOn w:val="Normal"/>
    <w:link w:val="CommentTextChar"/>
    <w:uiPriority w:val="99"/>
    <w:unhideWhenUsed/>
    <w:rsid w:val="004C7CF0"/>
    <w:rPr>
      <w:sz w:val="20"/>
    </w:rPr>
  </w:style>
  <w:style w:type="character" w:customStyle="1" w:styleId="CommentTextChar">
    <w:name w:val="Comment Text Char"/>
    <w:basedOn w:val="DefaultParagraphFont"/>
    <w:link w:val="CommentText"/>
    <w:uiPriority w:val="99"/>
    <w:rsid w:val="004C7CF0"/>
    <w:rPr>
      <w:rFonts w:ascii="Palatino" w:hAnsi="Palatino"/>
    </w:rPr>
  </w:style>
  <w:style w:type="paragraph" w:styleId="CommentSubject">
    <w:name w:val="annotation subject"/>
    <w:basedOn w:val="CommentText"/>
    <w:next w:val="CommentText"/>
    <w:link w:val="CommentSubjectChar"/>
    <w:unhideWhenUsed/>
    <w:rsid w:val="004C7CF0"/>
    <w:rPr>
      <w:b/>
      <w:bCs/>
    </w:rPr>
  </w:style>
  <w:style w:type="character" w:customStyle="1" w:styleId="CommentSubjectChar">
    <w:name w:val="Comment Subject Char"/>
    <w:basedOn w:val="CommentTextChar"/>
    <w:link w:val="CommentSubject"/>
    <w:rsid w:val="004C7CF0"/>
    <w:rPr>
      <w:rFonts w:ascii="Palatino" w:hAnsi="Palatino"/>
      <w:b/>
      <w:bCs/>
    </w:rPr>
  </w:style>
  <w:style w:type="table" w:styleId="TableGrid">
    <w:name w:val="Table Grid"/>
    <w:basedOn w:val="TableNormal"/>
    <w:rsid w:val="00AB0A3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Text">
    <w:name w:val="heading 3 Text"/>
    <w:basedOn w:val="Normal"/>
    <w:rsid w:val="00410885"/>
    <w:pPr>
      <w:spacing w:line="480" w:lineRule="atLeast"/>
      <w:ind w:firstLine="1440"/>
    </w:pPr>
    <w:rPr>
      <w:rFonts w:ascii="Times New Roman" w:hAnsi="Times New Roman"/>
      <w:sz w:val="24"/>
    </w:rPr>
  </w:style>
  <w:style w:type="character" w:customStyle="1" w:styleId="Heading9Char">
    <w:name w:val="Heading 9 Char"/>
    <w:basedOn w:val="DefaultParagraphFont"/>
    <w:link w:val="Heading9"/>
    <w:rsid w:val="00555BFE"/>
    <w:rPr>
      <w:rFonts w:ascii="Arial" w:hAnsi="Arial"/>
      <w:b/>
      <w:bCs/>
      <w:sz w:val="24"/>
      <w:lang w:val="x-none" w:eastAsia="x-none"/>
    </w:rPr>
  </w:style>
  <w:style w:type="paragraph" w:styleId="BodyText2">
    <w:name w:val="Body Text 2"/>
    <w:basedOn w:val="Normal"/>
    <w:link w:val="BodyText2Char"/>
    <w:rsid w:val="00555BFE"/>
    <w:pPr>
      <w:jc w:val="both"/>
    </w:pPr>
    <w:rPr>
      <w:rFonts w:ascii="Times New Roman" w:hAnsi="Times New Roman"/>
      <w:bCs/>
      <w:sz w:val="24"/>
      <w:szCs w:val="24"/>
      <w:lang w:val="x-none" w:eastAsia="x-none"/>
    </w:rPr>
  </w:style>
  <w:style w:type="character" w:customStyle="1" w:styleId="BodyText2Char">
    <w:name w:val="Body Text 2 Char"/>
    <w:basedOn w:val="DefaultParagraphFont"/>
    <w:link w:val="BodyText2"/>
    <w:rsid w:val="00555BFE"/>
    <w:rPr>
      <w:bCs/>
      <w:sz w:val="24"/>
      <w:szCs w:val="24"/>
      <w:lang w:val="x-none" w:eastAsia="x-none"/>
    </w:rPr>
  </w:style>
  <w:style w:type="paragraph" w:styleId="BodyText3">
    <w:name w:val="Body Text 3"/>
    <w:basedOn w:val="Normal"/>
    <w:link w:val="BodyText3Char"/>
    <w:rsid w:val="00555BFE"/>
    <w:rPr>
      <w:rFonts w:ascii="Times New Roman" w:hAnsi="Times New Roman"/>
      <w:b/>
      <w:bCs/>
      <w:sz w:val="24"/>
      <w:szCs w:val="24"/>
      <w:lang w:val="x-none" w:eastAsia="x-none"/>
    </w:rPr>
  </w:style>
  <w:style w:type="character" w:customStyle="1" w:styleId="BodyText3Char">
    <w:name w:val="Body Text 3 Char"/>
    <w:basedOn w:val="DefaultParagraphFont"/>
    <w:link w:val="BodyText3"/>
    <w:rsid w:val="00555BFE"/>
    <w:rPr>
      <w:b/>
      <w:bCs/>
      <w:sz w:val="24"/>
      <w:szCs w:val="24"/>
      <w:lang w:val="x-none" w:eastAsia="x-none"/>
    </w:rPr>
  </w:style>
  <w:style w:type="paragraph" w:styleId="TOC1">
    <w:name w:val="toc 1"/>
    <w:basedOn w:val="Normal"/>
    <w:next w:val="Normal"/>
    <w:autoRedefine/>
    <w:semiHidden/>
    <w:rsid w:val="00555BFE"/>
    <w:rPr>
      <w:rFonts w:ascii="Times New Roman" w:hAnsi="Times New Roman"/>
      <w:sz w:val="24"/>
      <w:szCs w:val="24"/>
    </w:rPr>
  </w:style>
  <w:style w:type="paragraph" w:styleId="TOC2">
    <w:name w:val="toc 2"/>
    <w:basedOn w:val="Normal"/>
    <w:next w:val="Normal"/>
    <w:autoRedefine/>
    <w:semiHidden/>
    <w:rsid w:val="00555BFE"/>
    <w:pPr>
      <w:ind w:left="240"/>
    </w:pPr>
    <w:rPr>
      <w:rFonts w:ascii="Times New Roman" w:hAnsi="Times New Roman"/>
      <w:sz w:val="24"/>
      <w:szCs w:val="24"/>
    </w:rPr>
  </w:style>
  <w:style w:type="character" w:styleId="FollowedHyperlink">
    <w:name w:val="FollowedHyperlink"/>
    <w:uiPriority w:val="99"/>
    <w:rsid w:val="00555BFE"/>
    <w:rPr>
      <w:color w:val="800080"/>
      <w:u w:val="single"/>
    </w:rPr>
  </w:style>
  <w:style w:type="paragraph" w:styleId="EnvelopeReturn">
    <w:name w:val="envelope return"/>
    <w:basedOn w:val="Normal"/>
    <w:rsid w:val="00555BFE"/>
    <w:rPr>
      <w:rFonts w:ascii="Times New Roman" w:hAnsi="Times New Roman" w:cs="Arial"/>
      <w:bCs/>
      <w:sz w:val="24"/>
    </w:rPr>
  </w:style>
  <w:style w:type="paragraph" w:styleId="Revision">
    <w:name w:val="Revision"/>
    <w:hidden/>
    <w:uiPriority w:val="99"/>
    <w:semiHidden/>
    <w:rsid w:val="00555BFE"/>
    <w:rPr>
      <w:sz w:val="24"/>
      <w:szCs w:val="24"/>
    </w:rPr>
  </w:style>
  <w:style w:type="paragraph" w:customStyle="1" w:styleId="xl65">
    <w:name w:val="xl65"/>
    <w:basedOn w:val="Normal"/>
    <w:rsid w:val="00555BF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6">
    <w:name w:val="xl66"/>
    <w:basedOn w:val="Normal"/>
    <w:rsid w:val="00555BF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67">
    <w:name w:val="xl67"/>
    <w:basedOn w:val="Normal"/>
    <w:rsid w:val="00555B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8"/>
      <w:szCs w:val="18"/>
    </w:rPr>
  </w:style>
  <w:style w:type="paragraph" w:customStyle="1" w:styleId="xl68">
    <w:name w:val="xl68"/>
    <w:basedOn w:val="Normal"/>
    <w:rsid w:val="00555B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8"/>
      <w:szCs w:val="18"/>
    </w:rPr>
  </w:style>
  <w:style w:type="paragraph" w:customStyle="1" w:styleId="xl69">
    <w:name w:val="xl69"/>
    <w:basedOn w:val="Normal"/>
    <w:rsid w:val="00555B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70">
    <w:name w:val="xl70"/>
    <w:basedOn w:val="Normal"/>
    <w:rsid w:val="00555BF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71">
    <w:name w:val="xl71"/>
    <w:basedOn w:val="Normal"/>
    <w:rsid w:val="00555BF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72">
    <w:name w:val="xl72"/>
    <w:basedOn w:val="Normal"/>
    <w:rsid w:val="00555B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73">
    <w:name w:val="xl73"/>
    <w:basedOn w:val="Normal"/>
    <w:rsid w:val="00555B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74">
    <w:name w:val="xl74"/>
    <w:basedOn w:val="Normal"/>
    <w:rsid w:val="00555B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75">
    <w:name w:val="xl75"/>
    <w:basedOn w:val="Normal"/>
    <w:rsid w:val="00555B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rPr>
  </w:style>
  <w:style w:type="character" w:customStyle="1" w:styleId="Heading2Char">
    <w:name w:val="Heading 2 Char"/>
    <w:link w:val="Heading2"/>
    <w:rsid w:val="00555BFE"/>
    <w:rPr>
      <w:rFonts w:ascii="Helvetica" w:hAnsi="Helvetica"/>
      <w:b/>
      <w:i/>
      <w:sz w:val="26"/>
    </w:rPr>
  </w:style>
  <w:style w:type="character" w:customStyle="1" w:styleId="Heading3Char">
    <w:name w:val="Heading 3 Char"/>
    <w:link w:val="Heading3"/>
    <w:rsid w:val="00555BFE"/>
    <w:rPr>
      <w:rFonts w:ascii="Helvetica" w:hAnsi="Helvetica"/>
      <w:b/>
      <w:sz w:val="26"/>
    </w:rPr>
  </w:style>
  <w:style w:type="character" w:customStyle="1" w:styleId="Heading4Char">
    <w:name w:val="Heading 4 Char"/>
    <w:link w:val="Heading4"/>
    <w:rsid w:val="00555BFE"/>
    <w:rPr>
      <w:rFonts w:ascii="Helvetica" w:hAnsi="Helvetica"/>
      <w:b/>
      <w:i/>
      <w:sz w:val="26"/>
    </w:rPr>
  </w:style>
  <w:style w:type="character" w:customStyle="1" w:styleId="Heading5Char">
    <w:name w:val="Heading 5 Char"/>
    <w:link w:val="Heading5"/>
    <w:rsid w:val="00555BFE"/>
    <w:rPr>
      <w:rFonts w:ascii="Helvetica" w:hAnsi="Helvetica"/>
      <w:b/>
      <w:sz w:val="26"/>
    </w:rPr>
  </w:style>
  <w:style w:type="character" w:customStyle="1" w:styleId="Heading6Char">
    <w:name w:val="Heading 6 Char"/>
    <w:link w:val="Heading6"/>
    <w:rsid w:val="00555BFE"/>
    <w:rPr>
      <w:rFonts w:ascii="Palatino" w:hAnsi="Palatino"/>
      <w:b/>
      <w:sz w:val="26"/>
    </w:rPr>
  </w:style>
  <w:style w:type="character" w:customStyle="1" w:styleId="FooterChar">
    <w:name w:val="Footer Char"/>
    <w:link w:val="Footer"/>
    <w:rsid w:val="00555BFE"/>
    <w:rPr>
      <w:rFonts w:ascii="Palatino" w:hAnsi="Palatino"/>
      <w:sz w:val="26"/>
    </w:rPr>
  </w:style>
  <w:style w:type="character" w:customStyle="1" w:styleId="HeaderChar">
    <w:name w:val="Header Char"/>
    <w:link w:val="Header"/>
    <w:uiPriority w:val="99"/>
    <w:rsid w:val="00555BFE"/>
    <w:rPr>
      <w:rFonts w:ascii="Palatino" w:hAnsi="Palatino"/>
      <w:sz w:val="26"/>
    </w:rPr>
  </w:style>
  <w:style w:type="paragraph" w:customStyle="1" w:styleId="Level7nounderscore">
    <w:name w:val="Level 7 no underscore"/>
    <w:basedOn w:val="Normal"/>
    <w:uiPriority w:val="99"/>
    <w:rsid w:val="00514C06"/>
    <w:pPr>
      <w:numPr>
        <w:numId w:val="23"/>
      </w:numPr>
      <w:tabs>
        <w:tab w:val="num" w:pos="4320"/>
      </w:tabs>
      <w:spacing w:before="240"/>
      <w:ind w:left="4320" w:hanging="720"/>
    </w:pPr>
    <w:rPr>
      <w:rFonts w:ascii="Times New Roman" w:hAnsi="Times New Roman"/>
      <w:sz w:val="24"/>
      <w:szCs w:val="24"/>
    </w:rPr>
  </w:style>
  <w:style w:type="character" w:styleId="Emphasis">
    <w:name w:val="Emphasis"/>
    <w:basedOn w:val="DefaultParagraphFont"/>
    <w:uiPriority w:val="20"/>
    <w:qFormat/>
    <w:rsid w:val="00215936"/>
    <w:rPr>
      <w:i/>
      <w:iCs/>
    </w:rPr>
  </w:style>
  <w:style w:type="character" w:customStyle="1" w:styleId="Level3withunderscoreChar">
    <w:name w:val="Level 3 with underscore Char"/>
    <w:link w:val="Level3withunderscore"/>
    <w:uiPriority w:val="99"/>
    <w:locked/>
    <w:rsid w:val="00F335E0"/>
    <w:rPr>
      <w:sz w:val="24"/>
    </w:rPr>
  </w:style>
  <w:style w:type="paragraph" w:customStyle="1" w:styleId="listindent">
    <w:name w:val="list indent"/>
    <w:basedOn w:val="Normal"/>
    <w:next w:val="DocumentMap"/>
    <w:rsid w:val="00520D92"/>
    <w:pPr>
      <w:widowControl w:val="0"/>
      <w:tabs>
        <w:tab w:val="left" w:pos="2160"/>
      </w:tabs>
      <w:autoSpaceDE w:val="0"/>
      <w:autoSpaceDN w:val="0"/>
      <w:adjustRightInd w:val="0"/>
      <w:spacing w:after="240"/>
      <w:ind w:left="2160" w:hanging="2160"/>
    </w:pPr>
    <w:rPr>
      <w:rFonts w:ascii="Arial" w:hAnsi="Arial" w:cs="Arial"/>
      <w:sz w:val="20"/>
    </w:rPr>
  </w:style>
  <w:style w:type="paragraph" w:styleId="DocumentMap">
    <w:name w:val="Document Map"/>
    <w:basedOn w:val="Normal"/>
    <w:link w:val="DocumentMapChar"/>
    <w:uiPriority w:val="99"/>
    <w:unhideWhenUsed/>
    <w:rsid w:val="00520D92"/>
    <w:rPr>
      <w:rFonts w:ascii="Segoe UI" w:hAnsi="Segoe UI" w:cs="Segoe UI"/>
      <w:sz w:val="16"/>
      <w:szCs w:val="16"/>
    </w:rPr>
  </w:style>
  <w:style w:type="character" w:customStyle="1" w:styleId="DocumentMapChar">
    <w:name w:val="Document Map Char"/>
    <w:basedOn w:val="DefaultParagraphFont"/>
    <w:link w:val="DocumentMap"/>
    <w:uiPriority w:val="99"/>
    <w:rsid w:val="00520D92"/>
    <w:rPr>
      <w:rFonts w:ascii="Segoe UI" w:hAnsi="Segoe UI" w:cs="Segoe UI"/>
      <w:sz w:val="16"/>
      <w:szCs w:val="16"/>
    </w:rPr>
  </w:style>
  <w:style w:type="paragraph" w:customStyle="1" w:styleId="ConfirmNormal">
    <w:name w:val="Confirm Normal"/>
    <w:basedOn w:val="Normal"/>
    <w:rsid w:val="00520D92"/>
    <w:pPr>
      <w:widowControl w:val="0"/>
      <w:autoSpaceDE w:val="0"/>
      <w:autoSpaceDN w:val="0"/>
      <w:adjustRightInd w:val="0"/>
      <w:spacing w:after="240"/>
      <w:jc w:val="both"/>
    </w:pPr>
    <w:rPr>
      <w:rFonts w:ascii="Arial" w:hAnsi="Arial" w:cs="Arial"/>
      <w:sz w:val="20"/>
    </w:rPr>
  </w:style>
  <w:style w:type="character" w:customStyle="1" w:styleId="DeltaViewInsertion">
    <w:name w:val="DeltaView Insertion"/>
    <w:rsid w:val="00520D92"/>
    <w:rPr>
      <w:rFonts w:cs="Times New Roman"/>
      <w:color w:val="0000FF"/>
      <w:spacing w:val="0"/>
      <w:u w:val="doub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link w:val="Heading1Char"/>
    <w:qFormat/>
    <w:pPr>
      <w:keepNext/>
      <w:spacing w:before="120" w:after="240"/>
      <w:outlineLvl w:val="0"/>
    </w:pPr>
    <w:rPr>
      <w:rFonts w:ascii="Helvetica" w:hAnsi="Helvetica"/>
      <w:b/>
      <w:caps/>
      <w:kern w:val="28"/>
      <w:u w:val="single"/>
    </w:rPr>
  </w:style>
  <w:style w:type="paragraph" w:styleId="Heading2">
    <w:name w:val="heading 2"/>
    <w:basedOn w:val="Normal"/>
    <w:next w:val="sub1"/>
    <w:link w:val="Heading2Char"/>
    <w:qFormat/>
    <w:pPr>
      <w:keepNext/>
      <w:numPr>
        <w:ilvl w:val="1"/>
        <w:numId w:val="3"/>
      </w:numPr>
      <w:spacing w:before="120" w:after="120"/>
      <w:outlineLvl w:val="1"/>
    </w:pPr>
    <w:rPr>
      <w:rFonts w:ascii="Helvetica" w:hAnsi="Helvetica"/>
      <w:b/>
      <w:i/>
    </w:rPr>
  </w:style>
  <w:style w:type="paragraph" w:styleId="Heading3">
    <w:name w:val="heading 3"/>
    <w:basedOn w:val="Normal"/>
    <w:next w:val="sub2"/>
    <w:link w:val="Heading3Char"/>
    <w:qFormat/>
    <w:pPr>
      <w:keepNext/>
      <w:spacing w:before="120" w:after="120"/>
      <w:ind w:firstLine="2160"/>
      <w:outlineLvl w:val="2"/>
    </w:pPr>
    <w:rPr>
      <w:rFonts w:ascii="Helvetica" w:hAnsi="Helvetica"/>
      <w:b/>
    </w:rPr>
  </w:style>
  <w:style w:type="paragraph" w:styleId="Heading4">
    <w:name w:val="heading 4"/>
    <w:basedOn w:val="Normal"/>
    <w:next w:val="sub3"/>
    <w:link w:val="Heading4Char"/>
    <w:qFormat/>
    <w:pPr>
      <w:keepNext/>
      <w:spacing w:before="120" w:after="120"/>
      <w:ind w:firstLine="2880"/>
      <w:outlineLvl w:val="3"/>
    </w:pPr>
    <w:rPr>
      <w:rFonts w:ascii="Helvetica" w:hAnsi="Helvetica"/>
      <w:b/>
      <w:i/>
    </w:rPr>
  </w:style>
  <w:style w:type="paragraph" w:styleId="Heading5">
    <w:name w:val="heading 5"/>
    <w:basedOn w:val="Normal"/>
    <w:next w:val="sub4"/>
    <w:link w:val="Heading5Char"/>
    <w:qFormat/>
    <w:pPr>
      <w:spacing w:before="120" w:after="120"/>
      <w:ind w:firstLine="3600"/>
      <w:outlineLvl w:val="4"/>
    </w:pPr>
    <w:rPr>
      <w:rFonts w:ascii="Helvetica" w:hAnsi="Helvetica"/>
      <w:b/>
    </w:rPr>
  </w:style>
  <w:style w:type="paragraph" w:styleId="Heading6">
    <w:name w:val="heading 6"/>
    <w:basedOn w:val="Normal"/>
    <w:next w:val="Normal"/>
    <w:link w:val="Heading6Char"/>
    <w:qFormat/>
    <w:pPr>
      <w:keepNext/>
      <w:outlineLvl w:val="5"/>
    </w:pPr>
    <w:rPr>
      <w:b/>
    </w:rPr>
  </w:style>
  <w:style w:type="paragraph" w:styleId="Heading9">
    <w:name w:val="heading 9"/>
    <w:basedOn w:val="Normal"/>
    <w:next w:val="Normal"/>
    <w:link w:val="Heading9Char"/>
    <w:qFormat/>
    <w:rsid w:val="00555BFE"/>
    <w:pPr>
      <w:keepNext/>
      <w:jc w:val="both"/>
      <w:outlineLvl w:val="8"/>
    </w:pPr>
    <w:rPr>
      <w:rFonts w:ascii="Arial" w:hAnsi="Arial"/>
      <w:b/>
      <w:bCs/>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Footnote Text Char Char Char,Footnote Text Char,Char Char,Footnote Text Char2 Char,Footnote Text Char2 Char Char Char Char,Footnote Text Char1 Char1 Char1 Char Char Char"/>
    <w:basedOn w:val="Normal"/>
    <w:link w:val="FootnoteTextChar2"/>
    <w:rsid w:val="006639B1"/>
    <w:pPr>
      <w:spacing w:after="240"/>
    </w:pPr>
    <w:rPr>
      <w:sz w:val="24"/>
    </w:rPr>
  </w:style>
  <w:style w:type="paragraph" w:styleId="EndnoteText">
    <w:name w:val="endnote text"/>
    <w:basedOn w:val="Normal"/>
    <w:semiHidden/>
    <w:rPr>
      <w:sz w:val="20"/>
    </w:rPr>
  </w:style>
  <w:style w:type="paragraph" w:customStyle="1" w:styleId="standard">
    <w:name w:val="standard"/>
    <w:basedOn w:val="Normal"/>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Style1">
    <w:name w:val="Style1"/>
    <w:basedOn w:val="1ListIndent"/>
    <w:pPr>
      <w:numPr>
        <w:numId w:val="0"/>
      </w:numPr>
    </w:pPr>
  </w:style>
  <w:style w:type="paragraph" w:styleId="TOC4">
    <w:name w:val="toc 4"/>
    <w:basedOn w:val="Normal"/>
    <w:next w:val="Normal"/>
    <w:semiHidden/>
    <w:pPr>
      <w:tabs>
        <w:tab w:val="right" w:leader="dot" w:pos="9360"/>
      </w:tabs>
      <w:ind w:left="720"/>
    </w:pPr>
  </w:style>
  <w:style w:type="paragraph" w:customStyle="1" w:styleId="main">
    <w:name w:val="main"/>
    <w:basedOn w:val="Normal"/>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after="240"/>
    </w:p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paragraph" w:customStyle="1" w:styleId="AListIndent">
    <w:name w:val="A. List Indent"/>
    <w:basedOn w:val="1ListIndent"/>
    <w:pPr>
      <w:numPr>
        <w:numId w:val="1"/>
      </w:numPr>
      <w:ind w:left="1440" w:hanging="720"/>
    </w:pPr>
  </w:style>
  <w:style w:type="character" w:styleId="EndnoteReference">
    <w:name w:val="endnote reference"/>
    <w:semiHidden/>
    <w:rPr>
      <w:vertAlign w:val="superscript"/>
    </w:rPr>
  </w:style>
  <w:style w:type="paragraph" w:customStyle="1" w:styleId="1ListIndent">
    <w:name w:val="1. List Indent"/>
    <w:basedOn w:val="num2"/>
    <w:pPr>
      <w:numPr>
        <w:numId w:val="2"/>
      </w:numPr>
      <w:ind w:left="1080"/>
    </w:pPr>
  </w:style>
  <w:style w:type="character" w:styleId="FootnoteReference">
    <w:name w:val="footnote reference"/>
    <w:aliases w:val="o,fr,Style 3,o1,o2,o3,o4,o5,o6,o11,o21,o7,Footnote Reference1"/>
    <w:rPr>
      <w:vertAlign w:val="superscript"/>
    </w:rPr>
  </w:style>
  <w:style w:type="paragraph" w:styleId="List">
    <w:name w:val="List"/>
    <w:basedOn w:val="Normal"/>
    <w:pPr>
      <w:ind w:left="360" w:hanging="360"/>
    </w:pPr>
    <w:rPr>
      <w:rFonts w:ascii="Times New Roman" w:hAnsi="Times New Roman"/>
      <w:sz w:val="24"/>
    </w:rPr>
  </w:style>
  <w:style w:type="paragraph" w:customStyle="1" w:styleId="Res-Caption">
    <w:name w:val="Res-Caption"/>
    <w:basedOn w:val="Normal"/>
    <w:pPr>
      <w:ind w:left="720" w:right="720"/>
    </w:pPr>
  </w:style>
  <w:style w:type="paragraph" w:customStyle="1" w:styleId="Res-TitleResolution">
    <w:name w:val="Res-Title (Resolution)"/>
    <w:basedOn w:val="main"/>
  </w:style>
  <w:style w:type="paragraph" w:customStyle="1" w:styleId="ALs">
    <w:name w:val="ALs"/>
    <w:basedOn w:val="Normal"/>
    <w:rPr>
      <w:rFonts w:ascii="Times New Roman" w:hAnsi="Times New Roman"/>
      <w:sz w:val="24"/>
    </w:rPr>
  </w:style>
  <w:style w:type="character" w:styleId="Hyperlink">
    <w:name w:val="Hyperlink"/>
    <w:basedOn w:val="DefaultParagraphFont"/>
    <w:uiPriority w:val="99"/>
    <w:rsid w:val="008E5E29"/>
    <w:rPr>
      <w:color w:val="0000FF" w:themeColor="hyperlink"/>
      <w:u w:val="single"/>
    </w:rPr>
  </w:style>
  <w:style w:type="paragraph" w:styleId="ListParagraph">
    <w:name w:val="List Paragraph"/>
    <w:basedOn w:val="Normal"/>
    <w:uiPriority w:val="34"/>
    <w:qFormat/>
    <w:rsid w:val="003B7D01"/>
    <w:pPr>
      <w:ind w:left="720"/>
      <w:contextualSpacing/>
    </w:pPr>
  </w:style>
  <w:style w:type="character" w:customStyle="1" w:styleId="FootnoteTextChar2">
    <w:name w:val="Footnote Text Char2"/>
    <w:aliases w:val="Footnote Text Char1 Char1,Footnote Text Char Char Char1,Footnote Text Char1 Char Char,Footnote Text Char Char Char Char,Footnote Text Char Char1,Char Char Char,Footnote Text Char2 Char Char"/>
    <w:link w:val="FootnoteText"/>
    <w:uiPriority w:val="99"/>
    <w:rsid w:val="006639B1"/>
    <w:rPr>
      <w:rFonts w:ascii="Palatino" w:hAnsi="Palatino"/>
      <w:sz w:val="24"/>
    </w:rPr>
  </w:style>
  <w:style w:type="paragraph" w:styleId="BodyText">
    <w:name w:val="Body Text"/>
    <w:basedOn w:val="Normal"/>
    <w:link w:val="BodyTextChar"/>
    <w:rsid w:val="00D51E27"/>
    <w:rPr>
      <w:b/>
    </w:rPr>
  </w:style>
  <w:style w:type="character" w:customStyle="1" w:styleId="BodyTextChar">
    <w:name w:val="Body Text Char"/>
    <w:basedOn w:val="DefaultParagraphFont"/>
    <w:link w:val="BodyText"/>
    <w:rsid w:val="00D51E27"/>
    <w:rPr>
      <w:rFonts w:ascii="Palatino" w:hAnsi="Palatino"/>
      <w:b/>
      <w:sz w:val="26"/>
    </w:rPr>
  </w:style>
  <w:style w:type="character" w:customStyle="1" w:styleId="Heading1Char">
    <w:name w:val="Heading 1 Char"/>
    <w:link w:val="Heading1"/>
    <w:rsid w:val="00F456EC"/>
    <w:rPr>
      <w:rFonts w:ascii="Helvetica" w:hAnsi="Helvetica"/>
      <w:b/>
      <w:caps/>
      <w:kern w:val="28"/>
      <w:sz w:val="26"/>
      <w:u w:val="single"/>
    </w:rPr>
  </w:style>
  <w:style w:type="paragraph" w:styleId="PlainText">
    <w:name w:val="Plain Text"/>
    <w:basedOn w:val="Normal"/>
    <w:link w:val="PlainTextChar"/>
    <w:uiPriority w:val="99"/>
    <w:unhideWhenUsed/>
    <w:rsid w:val="00C41D26"/>
    <w:rPr>
      <w:rFonts w:ascii="Calibri" w:hAnsi="Calibri" w:cs="Consolas"/>
      <w:sz w:val="22"/>
      <w:szCs w:val="21"/>
    </w:rPr>
  </w:style>
  <w:style w:type="character" w:customStyle="1" w:styleId="PlainTextChar">
    <w:name w:val="Plain Text Char"/>
    <w:basedOn w:val="DefaultParagraphFont"/>
    <w:link w:val="PlainText"/>
    <w:uiPriority w:val="99"/>
    <w:rsid w:val="00C41D26"/>
    <w:rPr>
      <w:rFonts w:ascii="Calibri" w:hAnsi="Calibri" w:cs="Consolas"/>
      <w:sz w:val="22"/>
      <w:szCs w:val="21"/>
    </w:rPr>
  </w:style>
  <w:style w:type="paragraph" w:customStyle="1" w:styleId="Heading1Article">
    <w:name w:val="Heading 1 Article"/>
    <w:basedOn w:val="Normal"/>
    <w:rsid w:val="00E73C42"/>
    <w:pPr>
      <w:numPr>
        <w:numId w:val="12"/>
      </w:numPr>
      <w:spacing w:before="240"/>
    </w:pPr>
    <w:rPr>
      <w:rFonts w:ascii="Times New Roman" w:hAnsi="Times New Roman"/>
      <w:sz w:val="24"/>
    </w:rPr>
  </w:style>
  <w:style w:type="paragraph" w:customStyle="1" w:styleId="Level2Underscore">
    <w:name w:val="Level 2 + Underscore"/>
    <w:basedOn w:val="Normal"/>
    <w:rsid w:val="00E73C42"/>
    <w:pPr>
      <w:numPr>
        <w:ilvl w:val="1"/>
        <w:numId w:val="12"/>
      </w:numPr>
      <w:spacing w:before="240"/>
    </w:pPr>
    <w:rPr>
      <w:rFonts w:ascii="Times New Roman" w:hAnsi="Times New Roman"/>
      <w:sz w:val="24"/>
      <w:szCs w:val="24"/>
    </w:rPr>
  </w:style>
  <w:style w:type="paragraph" w:customStyle="1" w:styleId="Level3withunderscore">
    <w:name w:val="Level 3 with underscore"/>
    <w:basedOn w:val="Normal"/>
    <w:link w:val="Level3withunderscoreChar"/>
    <w:rsid w:val="00E73C42"/>
    <w:pPr>
      <w:numPr>
        <w:ilvl w:val="3"/>
        <w:numId w:val="12"/>
      </w:numPr>
      <w:spacing w:before="240"/>
    </w:pPr>
    <w:rPr>
      <w:rFonts w:ascii="Times New Roman" w:hAnsi="Times New Roman"/>
      <w:sz w:val="24"/>
    </w:rPr>
  </w:style>
  <w:style w:type="paragraph" w:customStyle="1" w:styleId="Level4nounderscore">
    <w:name w:val="Level 4 no underscore"/>
    <w:basedOn w:val="Normal"/>
    <w:rsid w:val="00E73C42"/>
    <w:pPr>
      <w:numPr>
        <w:ilvl w:val="4"/>
        <w:numId w:val="12"/>
      </w:numPr>
      <w:spacing w:before="240"/>
    </w:pPr>
    <w:rPr>
      <w:rFonts w:ascii="Times New Roman" w:hAnsi="Times New Roman"/>
      <w:sz w:val="24"/>
    </w:rPr>
  </w:style>
  <w:style w:type="paragraph" w:customStyle="1" w:styleId="Level5nounderscore">
    <w:name w:val="Level 5 no underscore"/>
    <w:basedOn w:val="Normal"/>
    <w:rsid w:val="00E73C42"/>
    <w:pPr>
      <w:numPr>
        <w:ilvl w:val="5"/>
        <w:numId w:val="12"/>
      </w:numPr>
      <w:spacing w:before="240"/>
    </w:pPr>
    <w:rPr>
      <w:rFonts w:ascii="Times New Roman" w:hAnsi="Times New Roman"/>
      <w:sz w:val="24"/>
    </w:rPr>
  </w:style>
  <w:style w:type="paragraph" w:customStyle="1" w:styleId="Level6nounderscore">
    <w:name w:val="Level 6 no underscore"/>
    <w:basedOn w:val="Normal"/>
    <w:rsid w:val="00E73C42"/>
    <w:pPr>
      <w:numPr>
        <w:ilvl w:val="6"/>
        <w:numId w:val="12"/>
      </w:numPr>
      <w:spacing w:before="240"/>
    </w:pPr>
    <w:rPr>
      <w:rFonts w:ascii="Times New Roman" w:hAnsi="Times New Roman"/>
      <w:sz w:val="24"/>
    </w:rPr>
  </w:style>
  <w:style w:type="paragraph" w:styleId="BalloonText">
    <w:name w:val="Balloon Text"/>
    <w:basedOn w:val="Normal"/>
    <w:link w:val="BalloonTextChar"/>
    <w:rsid w:val="00660095"/>
    <w:rPr>
      <w:rFonts w:ascii="Tahoma" w:hAnsi="Tahoma" w:cs="Tahoma"/>
      <w:sz w:val="16"/>
      <w:szCs w:val="16"/>
    </w:rPr>
  </w:style>
  <w:style w:type="character" w:customStyle="1" w:styleId="BalloonTextChar">
    <w:name w:val="Balloon Text Char"/>
    <w:basedOn w:val="DefaultParagraphFont"/>
    <w:link w:val="BalloonText"/>
    <w:rsid w:val="00660095"/>
    <w:rPr>
      <w:rFonts w:ascii="Tahoma" w:hAnsi="Tahoma" w:cs="Tahoma"/>
      <w:sz w:val="16"/>
      <w:szCs w:val="16"/>
    </w:rPr>
  </w:style>
  <w:style w:type="paragraph" w:styleId="Caption">
    <w:name w:val="caption"/>
    <w:basedOn w:val="Normal"/>
    <w:next w:val="Normal"/>
    <w:unhideWhenUsed/>
    <w:qFormat/>
    <w:rsid w:val="00660095"/>
    <w:pPr>
      <w:spacing w:after="200"/>
    </w:pPr>
    <w:rPr>
      <w:b/>
      <w:bCs/>
      <w:color w:val="4F81BD" w:themeColor="accent1"/>
      <w:sz w:val="18"/>
      <w:szCs w:val="18"/>
    </w:rPr>
  </w:style>
  <w:style w:type="paragraph" w:styleId="NoSpacing">
    <w:name w:val="No Spacing"/>
    <w:uiPriority w:val="1"/>
    <w:qFormat/>
    <w:rsid w:val="0065601F"/>
    <w:rPr>
      <w:rFonts w:eastAsia="Calibri"/>
      <w:sz w:val="24"/>
      <w:szCs w:val="24"/>
    </w:rPr>
  </w:style>
  <w:style w:type="character" w:styleId="CommentReference">
    <w:name w:val="annotation reference"/>
    <w:basedOn w:val="DefaultParagraphFont"/>
    <w:uiPriority w:val="99"/>
    <w:unhideWhenUsed/>
    <w:rsid w:val="004C7CF0"/>
    <w:rPr>
      <w:sz w:val="16"/>
      <w:szCs w:val="16"/>
    </w:rPr>
  </w:style>
  <w:style w:type="paragraph" w:styleId="CommentText">
    <w:name w:val="annotation text"/>
    <w:basedOn w:val="Normal"/>
    <w:link w:val="CommentTextChar"/>
    <w:uiPriority w:val="99"/>
    <w:unhideWhenUsed/>
    <w:rsid w:val="004C7CF0"/>
    <w:rPr>
      <w:sz w:val="20"/>
    </w:rPr>
  </w:style>
  <w:style w:type="character" w:customStyle="1" w:styleId="CommentTextChar">
    <w:name w:val="Comment Text Char"/>
    <w:basedOn w:val="DefaultParagraphFont"/>
    <w:link w:val="CommentText"/>
    <w:uiPriority w:val="99"/>
    <w:rsid w:val="004C7CF0"/>
    <w:rPr>
      <w:rFonts w:ascii="Palatino" w:hAnsi="Palatino"/>
    </w:rPr>
  </w:style>
  <w:style w:type="paragraph" w:styleId="CommentSubject">
    <w:name w:val="annotation subject"/>
    <w:basedOn w:val="CommentText"/>
    <w:next w:val="CommentText"/>
    <w:link w:val="CommentSubjectChar"/>
    <w:unhideWhenUsed/>
    <w:rsid w:val="004C7CF0"/>
    <w:rPr>
      <w:b/>
      <w:bCs/>
    </w:rPr>
  </w:style>
  <w:style w:type="character" w:customStyle="1" w:styleId="CommentSubjectChar">
    <w:name w:val="Comment Subject Char"/>
    <w:basedOn w:val="CommentTextChar"/>
    <w:link w:val="CommentSubject"/>
    <w:rsid w:val="004C7CF0"/>
    <w:rPr>
      <w:rFonts w:ascii="Palatino" w:hAnsi="Palatino"/>
      <w:b/>
      <w:bCs/>
    </w:rPr>
  </w:style>
  <w:style w:type="table" w:styleId="TableGrid">
    <w:name w:val="Table Grid"/>
    <w:basedOn w:val="TableNormal"/>
    <w:rsid w:val="00AB0A3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Text">
    <w:name w:val="heading 3 Text"/>
    <w:basedOn w:val="Normal"/>
    <w:rsid w:val="00410885"/>
    <w:pPr>
      <w:spacing w:line="480" w:lineRule="atLeast"/>
      <w:ind w:firstLine="1440"/>
    </w:pPr>
    <w:rPr>
      <w:rFonts w:ascii="Times New Roman" w:hAnsi="Times New Roman"/>
      <w:sz w:val="24"/>
    </w:rPr>
  </w:style>
  <w:style w:type="character" w:customStyle="1" w:styleId="Heading9Char">
    <w:name w:val="Heading 9 Char"/>
    <w:basedOn w:val="DefaultParagraphFont"/>
    <w:link w:val="Heading9"/>
    <w:rsid w:val="00555BFE"/>
    <w:rPr>
      <w:rFonts w:ascii="Arial" w:hAnsi="Arial"/>
      <w:b/>
      <w:bCs/>
      <w:sz w:val="24"/>
      <w:lang w:val="x-none" w:eastAsia="x-none"/>
    </w:rPr>
  </w:style>
  <w:style w:type="paragraph" w:styleId="BodyText2">
    <w:name w:val="Body Text 2"/>
    <w:basedOn w:val="Normal"/>
    <w:link w:val="BodyText2Char"/>
    <w:rsid w:val="00555BFE"/>
    <w:pPr>
      <w:jc w:val="both"/>
    </w:pPr>
    <w:rPr>
      <w:rFonts w:ascii="Times New Roman" w:hAnsi="Times New Roman"/>
      <w:bCs/>
      <w:sz w:val="24"/>
      <w:szCs w:val="24"/>
      <w:lang w:val="x-none" w:eastAsia="x-none"/>
    </w:rPr>
  </w:style>
  <w:style w:type="character" w:customStyle="1" w:styleId="BodyText2Char">
    <w:name w:val="Body Text 2 Char"/>
    <w:basedOn w:val="DefaultParagraphFont"/>
    <w:link w:val="BodyText2"/>
    <w:rsid w:val="00555BFE"/>
    <w:rPr>
      <w:bCs/>
      <w:sz w:val="24"/>
      <w:szCs w:val="24"/>
      <w:lang w:val="x-none" w:eastAsia="x-none"/>
    </w:rPr>
  </w:style>
  <w:style w:type="paragraph" w:styleId="BodyText3">
    <w:name w:val="Body Text 3"/>
    <w:basedOn w:val="Normal"/>
    <w:link w:val="BodyText3Char"/>
    <w:rsid w:val="00555BFE"/>
    <w:rPr>
      <w:rFonts w:ascii="Times New Roman" w:hAnsi="Times New Roman"/>
      <w:b/>
      <w:bCs/>
      <w:sz w:val="24"/>
      <w:szCs w:val="24"/>
      <w:lang w:val="x-none" w:eastAsia="x-none"/>
    </w:rPr>
  </w:style>
  <w:style w:type="character" w:customStyle="1" w:styleId="BodyText3Char">
    <w:name w:val="Body Text 3 Char"/>
    <w:basedOn w:val="DefaultParagraphFont"/>
    <w:link w:val="BodyText3"/>
    <w:rsid w:val="00555BFE"/>
    <w:rPr>
      <w:b/>
      <w:bCs/>
      <w:sz w:val="24"/>
      <w:szCs w:val="24"/>
      <w:lang w:val="x-none" w:eastAsia="x-none"/>
    </w:rPr>
  </w:style>
  <w:style w:type="paragraph" w:styleId="TOC1">
    <w:name w:val="toc 1"/>
    <w:basedOn w:val="Normal"/>
    <w:next w:val="Normal"/>
    <w:autoRedefine/>
    <w:semiHidden/>
    <w:rsid w:val="00555BFE"/>
    <w:rPr>
      <w:rFonts w:ascii="Times New Roman" w:hAnsi="Times New Roman"/>
      <w:sz w:val="24"/>
      <w:szCs w:val="24"/>
    </w:rPr>
  </w:style>
  <w:style w:type="paragraph" w:styleId="TOC2">
    <w:name w:val="toc 2"/>
    <w:basedOn w:val="Normal"/>
    <w:next w:val="Normal"/>
    <w:autoRedefine/>
    <w:semiHidden/>
    <w:rsid w:val="00555BFE"/>
    <w:pPr>
      <w:ind w:left="240"/>
    </w:pPr>
    <w:rPr>
      <w:rFonts w:ascii="Times New Roman" w:hAnsi="Times New Roman"/>
      <w:sz w:val="24"/>
      <w:szCs w:val="24"/>
    </w:rPr>
  </w:style>
  <w:style w:type="character" w:styleId="FollowedHyperlink">
    <w:name w:val="FollowedHyperlink"/>
    <w:uiPriority w:val="99"/>
    <w:rsid w:val="00555BFE"/>
    <w:rPr>
      <w:color w:val="800080"/>
      <w:u w:val="single"/>
    </w:rPr>
  </w:style>
  <w:style w:type="paragraph" w:styleId="EnvelopeReturn">
    <w:name w:val="envelope return"/>
    <w:basedOn w:val="Normal"/>
    <w:rsid w:val="00555BFE"/>
    <w:rPr>
      <w:rFonts w:ascii="Times New Roman" w:hAnsi="Times New Roman" w:cs="Arial"/>
      <w:bCs/>
      <w:sz w:val="24"/>
    </w:rPr>
  </w:style>
  <w:style w:type="paragraph" w:styleId="Revision">
    <w:name w:val="Revision"/>
    <w:hidden/>
    <w:uiPriority w:val="99"/>
    <w:semiHidden/>
    <w:rsid w:val="00555BFE"/>
    <w:rPr>
      <w:sz w:val="24"/>
      <w:szCs w:val="24"/>
    </w:rPr>
  </w:style>
  <w:style w:type="paragraph" w:customStyle="1" w:styleId="xl65">
    <w:name w:val="xl65"/>
    <w:basedOn w:val="Normal"/>
    <w:rsid w:val="00555BF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6">
    <w:name w:val="xl66"/>
    <w:basedOn w:val="Normal"/>
    <w:rsid w:val="00555BF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67">
    <w:name w:val="xl67"/>
    <w:basedOn w:val="Normal"/>
    <w:rsid w:val="00555B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8"/>
      <w:szCs w:val="18"/>
    </w:rPr>
  </w:style>
  <w:style w:type="paragraph" w:customStyle="1" w:styleId="xl68">
    <w:name w:val="xl68"/>
    <w:basedOn w:val="Normal"/>
    <w:rsid w:val="00555B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8"/>
      <w:szCs w:val="18"/>
    </w:rPr>
  </w:style>
  <w:style w:type="paragraph" w:customStyle="1" w:styleId="xl69">
    <w:name w:val="xl69"/>
    <w:basedOn w:val="Normal"/>
    <w:rsid w:val="00555B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70">
    <w:name w:val="xl70"/>
    <w:basedOn w:val="Normal"/>
    <w:rsid w:val="00555BF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71">
    <w:name w:val="xl71"/>
    <w:basedOn w:val="Normal"/>
    <w:rsid w:val="00555BF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72">
    <w:name w:val="xl72"/>
    <w:basedOn w:val="Normal"/>
    <w:rsid w:val="00555B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73">
    <w:name w:val="xl73"/>
    <w:basedOn w:val="Normal"/>
    <w:rsid w:val="00555B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74">
    <w:name w:val="xl74"/>
    <w:basedOn w:val="Normal"/>
    <w:rsid w:val="00555B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75">
    <w:name w:val="xl75"/>
    <w:basedOn w:val="Normal"/>
    <w:rsid w:val="00555B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rPr>
  </w:style>
  <w:style w:type="character" w:customStyle="1" w:styleId="Heading2Char">
    <w:name w:val="Heading 2 Char"/>
    <w:link w:val="Heading2"/>
    <w:rsid w:val="00555BFE"/>
    <w:rPr>
      <w:rFonts w:ascii="Helvetica" w:hAnsi="Helvetica"/>
      <w:b/>
      <w:i/>
      <w:sz w:val="26"/>
    </w:rPr>
  </w:style>
  <w:style w:type="character" w:customStyle="1" w:styleId="Heading3Char">
    <w:name w:val="Heading 3 Char"/>
    <w:link w:val="Heading3"/>
    <w:rsid w:val="00555BFE"/>
    <w:rPr>
      <w:rFonts w:ascii="Helvetica" w:hAnsi="Helvetica"/>
      <w:b/>
      <w:sz w:val="26"/>
    </w:rPr>
  </w:style>
  <w:style w:type="character" w:customStyle="1" w:styleId="Heading4Char">
    <w:name w:val="Heading 4 Char"/>
    <w:link w:val="Heading4"/>
    <w:rsid w:val="00555BFE"/>
    <w:rPr>
      <w:rFonts w:ascii="Helvetica" w:hAnsi="Helvetica"/>
      <w:b/>
      <w:i/>
      <w:sz w:val="26"/>
    </w:rPr>
  </w:style>
  <w:style w:type="character" w:customStyle="1" w:styleId="Heading5Char">
    <w:name w:val="Heading 5 Char"/>
    <w:link w:val="Heading5"/>
    <w:rsid w:val="00555BFE"/>
    <w:rPr>
      <w:rFonts w:ascii="Helvetica" w:hAnsi="Helvetica"/>
      <w:b/>
      <w:sz w:val="26"/>
    </w:rPr>
  </w:style>
  <w:style w:type="character" w:customStyle="1" w:styleId="Heading6Char">
    <w:name w:val="Heading 6 Char"/>
    <w:link w:val="Heading6"/>
    <w:rsid w:val="00555BFE"/>
    <w:rPr>
      <w:rFonts w:ascii="Palatino" w:hAnsi="Palatino"/>
      <w:b/>
      <w:sz w:val="26"/>
    </w:rPr>
  </w:style>
  <w:style w:type="character" w:customStyle="1" w:styleId="FooterChar">
    <w:name w:val="Footer Char"/>
    <w:link w:val="Footer"/>
    <w:rsid w:val="00555BFE"/>
    <w:rPr>
      <w:rFonts w:ascii="Palatino" w:hAnsi="Palatino"/>
      <w:sz w:val="26"/>
    </w:rPr>
  </w:style>
  <w:style w:type="character" w:customStyle="1" w:styleId="HeaderChar">
    <w:name w:val="Header Char"/>
    <w:link w:val="Header"/>
    <w:uiPriority w:val="99"/>
    <w:rsid w:val="00555BFE"/>
    <w:rPr>
      <w:rFonts w:ascii="Palatino" w:hAnsi="Palatino"/>
      <w:sz w:val="26"/>
    </w:rPr>
  </w:style>
  <w:style w:type="paragraph" w:customStyle="1" w:styleId="Level7nounderscore">
    <w:name w:val="Level 7 no underscore"/>
    <w:basedOn w:val="Normal"/>
    <w:uiPriority w:val="99"/>
    <w:rsid w:val="00514C06"/>
    <w:pPr>
      <w:numPr>
        <w:numId w:val="23"/>
      </w:numPr>
      <w:tabs>
        <w:tab w:val="num" w:pos="4320"/>
      </w:tabs>
      <w:spacing w:before="240"/>
      <w:ind w:left="4320" w:hanging="720"/>
    </w:pPr>
    <w:rPr>
      <w:rFonts w:ascii="Times New Roman" w:hAnsi="Times New Roman"/>
      <w:sz w:val="24"/>
      <w:szCs w:val="24"/>
    </w:rPr>
  </w:style>
  <w:style w:type="character" w:styleId="Emphasis">
    <w:name w:val="Emphasis"/>
    <w:basedOn w:val="DefaultParagraphFont"/>
    <w:uiPriority w:val="20"/>
    <w:qFormat/>
    <w:rsid w:val="00215936"/>
    <w:rPr>
      <w:i/>
      <w:iCs/>
    </w:rPr>
  </w:style>
  <w:style w:type="character" w:customStyle="1" w:styleId="Level3withunderscoreChar">
    <w:name w:val="Level 3 with underscore Char"/>
    <w:link w:val="Level3withunderscore"/>
    <w:uiPriority w:val="99"/>
    <w:locked/>
    <w:rsid w:val="00F335E0"/>
    <w:rPr>
      <w:sz w:val="24"/>
    </w:rPr>
  </w:style>
  <w:style w:type="paragraph" w:customStyle="1" w:styleId="listindent">
    <w:name w:val="list indent"/>
    <w:basedOn w:val="Normal"/>
    <w:next w:val="DocumentMap"/>
    <w:rsid w:val="00520D92"/>
    <w:pPr>
      <w:widowControl w:val="0"/>
      <w:tabs>
        <w:tab w:val="left" w:pos="2160"/>
      </w:tabs>
      <w:autoSpaceDE w:val="0"/>
      <w:autoSpaceDN w:val="0"/>
      <w:adjustRightInd w:val="0"/>
      <w:spacing w:after="240"/>
      <w:ind w:left="2160" w:hanging="2160"/>
    </w:pPr>
    <w:rPr>
      <w:rFonts w:ascii="Arial" w:hAnsi="Arial" w:cs="Arial"/>
      <w:sz w:val="20"/>
    </w:rPr>
  </w:style>
  <w:style w:type="paragraph" w:styleId="DocumentMap">
    <w:name w:val="Document Map"/>
    <w:basedOn w:val="Normal"/>
    <w:link w:val="DocumentMapChar"/>
    <w:uiPriority w:val="99"/>
    <w:unhideWhenUsed/>
    <w:rsid w:val="00520D92"/>
    <w:rPr>
      <w:rFonts w:ascii="Segoe UI" w:hAnsi="Segoe UI" w:cs="Segoe UI"/>
      <w:sz w:val="16"/>
      <w:szCs w:val="16"/>
    </w:rPr>
  </w:style>
  <w:style w:type="character" w:customStyle="1" w:styleId="DocumentMapChar">
    <w:name w:val="Document Map Char"/>
    <w:basedOn w:val="DefaultParagraphFont"/>
    <w:link w:val="DocumentMap"/>
    <w:uiPriority w:val="99"/>
    <w:rsid w:val="00520D92"/>
    <w:rPr>
      <w:rFonts w:ascii="Segoe UI" w:hAnsi="Segoe UI" w:cs="Segoe UI"/>
      <w:sz w:val="16"/>
      <w:szCs w:val="16"/>
    </w:rPr>
  </w:style>
  <w:style w:type="paragraph" w:customStyle="1" w:styleId="ConfirmNormal">
    <w:name w:val="Confirm Normal"/>
    <w:basedOn w:val="Normal"/>
    <w:rsid w:val="00520D92"/>
    <w:pPr>
      <w:widowControl w:val="0"/>
      <w:autoSpaceDE w:val="0"/>
      <w:autoSpaceDN w:val="0"/>
      <w:adjustRightInd w:val="0"/>
      <w:spacing w:after="240"/>
      <w:jc w:val="both"/>
    </w:pPr>
    <w:rPr>
      <w:rFonts w:ascii="Arial" w:hAnsi="Arial" w:cs="Arial"/>
      <w:sz w:val="20"/>
    </w:rPr>
  </w:style>
  <w:style w:type="character" w:customStyle="1" w:styleId="DeltaViewInsertion">
    <w:name w:val="DeltaView Insertion"/>
    <w:rsid w:val="00520D92"/>
    <w:rPr>
      <w:rFonts w:cs="Times New Roman"/>
      <w:color w:val="0000FF"/>
      <w:spacing w:val="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08631">
      <w:bodyDiv w:val="1"/>
      <w:marLeft w:val="0"/>
      <w:marRight w:val="0"/>
      <w:marTop w:val="0"/>
      <w:marBottom w:val="0"/>
      <w:divBdr>
        <w:top w:val="none" w:sz="0" w:space="0" w:color="auto"/>
        <w:left w:val="none" w:sz="0" w:space="0" w:color="auto"/>
        <w:bottom w:val="none" w:sz="0" w:space="0" w:color="auto"/>
        <w:right w:val="none" w:sz="0" w:space="0" w:color="auto"/>
      </w:divBdr>
    </w:div>
    <w:div w:id="606888139">
      <w:bodyDiv w:val="1"/>
      <w:marLeft w:val="0"/>
      <w:marRight w:val="0"/>
      <w:marTop w:val="0"/>
      <w:marBottom w:val="0"/>
      <w:divBdr>
        <w:top w:val="none" w:sz="0" w:space="0" w:color="auto"/>
        <w:left w:val="none" w:sz="0" w:space="0" w:color="auto"/>
        <w:bottom w:val="none" w:sz="0" w:space="0" w:color="auto"/>
        <w:right w:val="none" w:sz="0" w:space="0" w:color="auto"/>
      </w:divBdr>
    </w:div>
    <w:div w:id="837769597">
      <w:bodyDiv w:val="1"/>
      <w:marLeft w:val="0"/>
      <w:marRight w:val="0"/>
      <w:marTop w:val="0"/>
      <w:marBottom w:val="0"/>
      <w:divBdr>
        <w:top w:val="none" w:sz="0" w:space="0" w:color="auto"/>
        <w:left w:val="none" w:sz="0" w:space="0" w:color="auto"/>
        <w:bottom w:val="none" w:sz="0" w:space="0" w:color="auto"/>
        <w:right w:val="none" w:sz="0" w:space="0" w:color="auto"/>
      </w:divBdr>
    </w:div>
    <w:div w:id="926890940">
      <w:bodyDiv w:val="1"/>
      <w:marLeft w:val="0"/>
      <w:marRight w:val="0"/>
      <w:marTop w:val="0"/>
      <w:marBottom w:val="0"/>
      <w:divBdr>
        <w:top w:val="none" w:sz="0" w:space="0" w:color="auto"/>
        <w:left w:val="none" w:sz="0" w:space="0" w:color="auto"/>
        <w:bottom w:val="none" w:sz="0" w:space="0" w:color="auto"/>
        <w:right w:val="none" w:sz="0" w:space="0" w:color="auto"/>
      </w:divBdr>
    </w:div>
    <w:div w:id="185645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c.ca.gov/PUC/energy/Renewables/overview.htm" TargetMode="External"/><Relationship Id="rId13" Type="http://schemas.openxmlformats.org/officeDocument/2006/relationships/footer" Target="footer2.xml"/><Relationship Id="rId18" Type="http://schemas.openxmlformats.org/officeDocument/2006/relationships/fontTable" Target="fontTable.xml"/><Relationship Id="rId26"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puc.ca.gov/PUC/energy/Renewables/decisions.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5942</Words>
  <Characters>33870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39733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2016-02-11T23:42:00Z</cp:lastPrinted>
  <dcterms:created xsi:type="dcterms:W3CDTF">2016-04-18T19:08:00Z</dcterms:created>
  <dcterms:modified xsi:type="dcterms:W3CDTF">2016-04-18T19:08:00Z</dcterms:modified>
  <cp:category> </cp:category>
  <cp:contentStatus> </cp:contentStatus>
</cp:coreProperties>
</file>