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DE23" w14:textId="77777777" w:rsidR="00846D53" w:rsidRPr="00B8240F" w:rsidRDefault="00846D53" w:rsidP="00846D53">
      <w:pPr>
        <w:pStyle w:val="Title"/>
        <w:tabs>
          <w:tab w:val="right" w:pos="10080"/>
        </w:tabs>
        <w:rPr>
          <w:rFonts w:ascii="Palatino Linotype" w:hAnsi="Palatino Linotype"/>
          <w:color w:val="000000" w:themeColor="text1"/>
        </w:rPr>
      </w:pPr>
      <w:bookmarkStart w:id="0" w:name="_GoBack"/>
      <w:bookmarkEnd w:id="0"/>
    </w:p>
    <w:p w14:paraId="6ED5D5EE" w14:textId="77777777" w:rsidR="00846D53" w:rsidRPr="00B8240F" w:rsidRDefault="00E532A0" w:rsidP="00846D53">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14:paraId="1C7CF6FC" w14:textId="77777777" w:rsidR="00846D53" w:rsidRPr="00B8240F" w:rsidRDefault="00846D53" w:rsidP="00846D53">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846D53" w:rsidRPr="00725836" w14:paraId="0AD937DA" w14:textId="77777777">
        <w:tc>
          <w:tcPr>
            <w:tcW w:w="6408" w:type="dxa"/>
          </w:tcPr>
          <w:p w14:paraId="011BEE34" w14:textId="77777777" w:rsidR="00846D53" w:rsidRPr="00B8240F" w:rsidRDefault="00E532A0" w:rsidP="003C722F">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14:paraId="278DED66" w14:textId="77777777" w:rsidR="00846D53" w:rsidRPr="00B8240F" w:rsidRDefault="00E532A0" w:rsidP="003C722F">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RESOLUTION T- 17515</w:t>
            </w:r>
          </w:p>
        </w:tc>
      </w:tr>
      <w:tr w:rsidR="00846D53" w:rsidRPr="00725836" w14:paraId="4A14E261" w14:textId="77777777">
        <w:tc>
          <w:tcPr>
            <w:tcW w:w="6408" w:type="dxa"/>
          </w:tcPr>
          <w:p w14:paraId="4A406459" w14:textId="3E988093" w:rsidR="00846D53" w:rsidRPr="005F4DF0" w:rsidRDefault="00CD56D6" w:rsidP="003C722F">
            <w:pPr>
              <w:rPr>
                <w:rFonts w:ascii="Palatino Linotype" w:hAnsi="Palatino Linotype"/>
                <w:b/>
                <w:i/>
                <w:color w:val="000000" w:themeColor="text1"/>
              </w:rPr>
            </w:pPr>
            <w:r w:rsidRPr="00CD56D6">
              <w:rPr>
                <w:rFonts w:ascii="Palatino Linotype" w:hAnsi="Palatino Linotype"/>
                <w:b/>
                <w:color w:val="000000" w:themeColor="text1"/>
              </w:rPr>
              <w:t>Broadband, Video and Market Branch</w:t>
            </w:r>
          </w:p>
        </w:tc>
        <w:tc>
          <w:tcPr>
            <w:tcW w:w="3168" w:type="dxa"/>
          </w:tcPr>
          <w:p w14:paraId="23568ABB" w14:textId="77777777" w:rsidR="00846D53" w:rsidRPr="00B8240F" w:rsidRDefault="00072772" w:rsidP="003C722F">
            <w:pPr>
              <w:jc w:val="right"/>
              <w:rPr>
                <w:rFonts w:ascii="Palatino Linotype" w:hAnsi="Palatino Linotype"/>
                <w:b/>
                <w:color w:val="000000" w:themeColor="text1"/>
              </w:rPr>
            </w:pPr>
            <w:r>
              <w:rPr>
                <w:rFonts w:ascii="Palatino Linotype" w:hAnsi="Palatino Linotype"/>
                <w:b/>
                <w:color w:val="000000" w:themeColor="text1"/>
              </w:rPr>
              <w:t>June 9</w:t>
            </w:r>
            <w:r w:rsidR="00E532A0" w:rsidRPr="00B8240F">
              <w:rPr>
                <w:rFonts w:ascii="Palatino Linotype" w:hAnsi="Palatino Linotype"/>
                <w:b/>
                <w:color w:val="000000" w:themeColor="text1"/>
              </w:rPr>
              <w:t>, 2016</w:t>
            </w:r>
          </w:p>
        </w:tc>
      </w:tr>
    </w:tbl>
    <w:p w14:paraId="1E3D70CB" w14:textId="77777777" w:rsidR="00846D53" w:rsidRPr="00B8240F" w:rsidRDefault="00E532A0" w:rsidP="00846D53">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r w:rsidRPr="00B8240F">
        <w:rPr>
          <w:rFonts w:ascii="Palatino Linotype" w:hAnsi="Palatino Linotype"/>
          <w:b/>
          <w:color w:val="000000" w:themeColor="text1"/>
        </w:rPr>
        <w:tab/>
      </w:r>
      <w:r w:rsidRPr="00B8240F">
        <w:rPr>
          <w:rFonts w:ascii="Palatino Linotype" w:hAnsi="Palatino Linotype"/>
          <w:b/>
          <w:color w:val="000000" w:themeColor="text1"/>
        </w:rPr>
        <w:tab/>
        <w:t xml:space="preserve">        </w:t>
      </w:r>
      <w:r w:rsidRPr="00B8240F">
        <w:rPr>
          <w:rFonts w:ascii="Palatino Linotype" w:hAnsi="Palatino Linotype"/>
          <w:color w:val="000000" w:themeColor="text1"/>
        </w:rPr>
        <w:tab/>
      </w:r>
      <w:r w:rsidRPr="00B8240F">
        <w:rPr>
          <w:rFonts w:ascii="Palatino Linotype" w:hAnsi="Palatino Linotype"/>
          <w:color w:val="000000" w:themeColor="text1"/>
        </w:rPr>
        <w:tab/>
      </w:r>
    </w:p>
    <w:p w14:paraId="361CCF26" w14:textId="77777777" w:rsidR="00846D53" w:rsidRPr="00B8240F" w:rsidRDefault="00846D53" w:rsidP="00846D53">
      <w:pPr>
        <w:tabs>
          <w:tab w:val="right" w:pos="10080"/>
        </w:tabs>
        <w:rPr>
          <w:rFonts w:ascii="Palatino Linotype" w:hAnsi="Palatino Linotype"/>
          <w:color w:val="000000" w:themeColor="text1"/>
        </w:rPr>
      </w:pPr>
    </w:p>
    <w:p w14:paraId="0A43AF83" w14:textId="77777777" w:rsidR="00846D53" w:rsidRPr="00B8240F" w:rsidRDefault="00E532A0" w:rsidP="00846D53">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14:paraId="61B0EBBC" w14:textId="77777777" w:rsidR="00846D53" w:rsidRPr="000571D5" w:rsidRDefault="00846D53" w:rsidP="00846D53">
      <w:pPr>
        <w:tabs>
          <w:tab w:val="right" w:pos="10080"/>
        </w:tabs>
        <w:jc w:val="center"/>
        <w:rPr>
          <w:rFonts w:ascii="Palatino Linotype" w:hAnsi="Palatino Linotype"/>
          <w:b/>
          <w:color w:val="000000" w:themeColor="text1"/>
        </w:rPr>
      </w:pPr>
    </w:p>
    <w:p w14:paraId="5B507F82" w14:textId="77777777" w:rsidR="00846D53" w:rsidRPr="000571D5" w:rsidRDefault="00846D53" w:rsidP="00846D53">
      <w:pPr>
        <w:tabs>
          <w:tab w:val="right" w:pos="10080"/>
        </w:tabs>
        <w:rPr>
          <w:rFonts w:ascii="Palatino Linotype" w:hAnsi="Palatino Linotype"/>
          <w:color w:val="000000" w:themeColor="text1"/>
        </w:rPr>
      </w:pPr>
    </w:p>
    <w:p w14:paraId="3A3893DD" w14:textId="77777777" w:rsidR="00846D53" w:rsidRPr="000571D5" w:rsidRDefault="00E532A0" w:rsidP="00846D53">
      <w:pPr>
        <w:tabs>
          <w:tab w:val="right" w:pos="10080"/>
        </w:tabs>
        <w:rPr>
          <w:rFonts w:ascii="Palatino Linotype" w:hAnsi="Palatino Linotype"/>
          <w:b/>
          <w:color w:val="000000" w:themeColor="text1"/>
          <w:u w:val="single"/>
        </w:rPr>
      </w:pPr>
      <w:r w:rsidRPr="000571D5">
        <w:rPr>
          <w:rFonts w:ascii="Palatino Linotype" w:hAnsi="Palatino Linotype"/>
          <w:b/>
          <w:color w:val="000000" w:themeColor="text1"/>
        </w:rPr>
        <w:t>RESOLUTION T-17515:  Approval of funding for the public housing infrastructure grant applications of the Housing Authority of San Bernardino County (the Lynwood and North E St. projects), Community Housing Works (Northwest Manors II on E. Mountain St. and Northwest Manors II N. on Raymond Ave. projects), and Eden Housing, Inc. (Hayward Senior, Warner Creek, Jasmine Square, Monticelli, Rancho Park, Royal Court, Wheeler Manor 650 5</w:t>
      </w:r>
      <w:r w:rsidRPr="000571D5">
        <w:rPr>
          <w:rFonts w:ascii="Palatino Linotype" w:hAnsi="Palatino Linotype"/>
          <w:b/>
          <w:color w:val="000000" w:themeColor="text1"/>
          <w:vertAlign w:val="superscript"/>
        </w:rPr>
        <w:t>th</w:t>
      </w:r>
      <w:r w:rsidRPr="000571D5">
        <w:rPr>
          <w:rFonts w:ascii="Palatino Linotype" w:hAnsi="Palatino Linotype"/>
          <w:b/>
          <w:color w:val="000000" w:themeColor="text1"/>
        </w:rPr>
        <w:t xml:space="preserve"> Street, Wheeler Manor 651 6</w:t>
      </w:r>
      <w:r w:rsidRPr="000571D5">
        <w:rPr>
          <w:rFonts w:ascii="Palatino Linotype" w:hAnsi="Palatino Linotype"/>
          <w:b/>
          <w:color w:val="000000" w:themeColor="text1"/>
          <w:vertAlign w:val="superscript"/>
        </w:rPr>
        <w:t>th</w:t>
      </w:r>
      <w:r w:rsidRPr="000571D5">
        <w:rPr>
          <w:rFonts w:ascii="Palatino Linotype" w:hAnsi="Palatino Linotype"/>
          <w:b/>
          <w:color w:val="000000" w:themeColor="text1"/>
        </w:rPr>
        <w:t xml:space="preserve"> Street projects) from the California Advanced Services Fund (CASF) Broadband Public Housing Account (BPHA) Infrastructure Grant Program in the amount of $239,793.  </w:t>
      </w:r>
      <w:r w:rsidR="00466CC1">
        <w:rPr>
          <w:rFonts w:ascii="Palatino Linotype" w:hAnsi="Palatino Linotype"/>
          <w:b/>
          <w:color w:val="000000" w:themeColor="text1"/>
        </w:rPr>
        <w:t>Modifies</w:t>
      </w:r>
      <w:r w:rsidR="005B6135">
        <w:rPr>
          <w:rFonts w:ascii="Palatino Linotype" w:hAnsi="Palatino Linotype"/>
          <w:b/>
          <w:color w:val="000000" w:themeColor="text1"/>
        </w:rPr>
        <w:t xml:space="preserve"> </w:t>
      </w:r>
      <w:r w:rsidR="005B6135" w:rsidRPr="00E73F85">
        <w:rPr>
          <w:rFonts w:ascii="Palatino Linotype" w:hAnsi="Palatino Linotype"/>
          <w:b/>
          <w:color w:val="000000" w:themeColor="text1"/>
        </w:rPr>
        <w:t>D.14-12-039</w:t>
      </w:r>
      <w:r w:rsidR="005B6135">
        <w:rPr>
          <w:rFonts w:ascii="Palatino Linotype" w:hAnsi="Palatino Linotype"/>
          <w:b/>
          <w:color w:val="000000" w:themeColor="text1"/>
        </w:rPr>
        <w:t xml:space="preserve">, </w:t>
      </w:r>
      <w:r w:rsidR="005B6135" w:rsidRPr="00E73F85">
        <w:rPr>
          <w:rFonts w:ascii="Palatino Linotype" w:hAnsi="Palatino Linotype"/>
          <w:b/>
          <w:color w:val="000000" w:themeColor="text1"/>
        </w:rPr>
        <w:t>Appendix B</w:t>
      </w:r>
      <w:r w:rsidR="005B6135">
        <w:rPr>
          <w:rFonts w:ascii="Palatino Linotype" w:hAnsi="Palatino Linotype"/>
          <w:b/>
          <w:color w:val="000000" w:themeColor="text1"/>
        </w:rPr>
        <w:t xml:space="preserve">, delegating to CD staff the authority to approve applications through expedited review for properties that are wired.  </w:t>
      </w:r>
    </w:p>
    <w:p w14:paraId="278D65DF" w14:textId="77777777" w:rsidR="00846D53" w:rsidRPr="000571D5" w:rsidRDefault="00E532A0" w:rsidP="00846D53">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14:paraId="7689D4A8" w14:textId="77777777" w:rsidR="00846D53" w:rsidRPr="000571D5" w:rsidRDefault="00846D53" w:rsidP="00846D53">
      <w:pPr>
        <w:tabs>
          <w:tab w:val="right" w:pos="10080"/>
        </w:tabs>
        <w:rPr>
          <w:rFonts w:ascii="Palatino Linotype" w:hAnsi="Palatino Linotype"/>
          <w:color w:val="000000" w:themeColor="text1"/>
        </w:rPr>
      </w:pPr>
    </w:p>
    <w:p w14:paraId="20B01729" w14:textId="77777777"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14:paraId="1E75498D" w14:textId="77777777" w:rsidR="00846D53" w:rsidRPr="000571D5" w:rsidRDefault="00846D53" w:rsidP="00846D53">
      <w:pPr>
        <w:tabs>
          <w:tab w:val="right" w:pos="10080"/>
        </w:tabs>
        <w:rPr>
          <w:rFonts w:ascii="Palatino Linotype" w:hAnsi="Palatino Linotype"/>
          <w:color w:val="000000" w:themeColor="text1"/>
          <w:u w:val="single"/>
        </w:rPr>
      </w:pPr>
    </w:p>
    <w:p w14:paraId="14936EE8" w14:textId="642B95AB" w:rsidR="005B6135" w:rsidRDefault="00E532A0" w:rsidP="005B6135">
      <w:r w:rsidRPr="000571D5">
        <w:rPr>
          <w:rFonts w:ascii="Palatino Linotype" w:hAnsi="Palatino Linotype"/>
          <w:color w:val="000000" w:themeColor="text1"/>
        </w:rPr>
        <w:t>This Resolution approves grant funding in the amount of $239,793 from the California Advanced Services Fund (CASF) Broadband Public Housing Account (BPHA) in response to the public housing infrastructure grant applications from the Housing Authority of the County of San Bernardino (HACSB) for its Lynwood and North E Street projects, Community Housing Works (CHW) for its Northwest Manors II projects, and from Eden Housing, Inc. (Eden) for its Hayward Senior, Warner Creek, Jasmine Square, Monticelli, Rancho Park, Royal Court, Wheeler Manor 650 5</w:t>
      </w:r>
      <w:r w:rsidRPr="000571D5">
        <w:rPr>
          <w:rFonts w:ascii="Palatino Linotype" w:hAnsi="Palatino Linotype"/>
          <w:color w:val="000000" w:themeColor="text1"/>
          <w:vertAlign w:val="superscript"/>
        </w:rPr>
        <w:t>th</w:t>
      </w:r>
      <w:r w:rsidRPr="000571D5">
        <w:rPr>
          <w:rFonts w:ascii="Palatino Linotype" w:hAnsi="Palatino Linotype"/>
          <w:color w:val="000000" w:themeColor="text1"/>
        </w:rPr>
        <w:t xml:space="preserve"> Street Wheeler Manor 651 6</w:t>
      </w:r>
      <w:r w:rsidRPr="000571D5">
        <w:rPr>
          <w:rFonts w:ascii="Palatino Linotype" w:hAnsi="Palatino Linotype"/>
          <w:color w:val="000000" w:themeColor="text1"/>
          <w:vertAlign w:val="superscript"/>
        </w:rPr>
        <w:t>th</w:t>
      </w:r>
      <w:r w:rsidRPr="000571D5">
        <w:rPr>
          <w:rFonts w:ascii="Palatino Linotype" w:hAnsi="Palatino Linotype"/>
          <w:color w:val="000000" w:themeColor="text1"/>
        </w:rPr>
        <w:t xml:space="preserve"> Street projects.  These 12 projects </w:t>
      </w:r>
      <w:r w:rsidR="00444C84" w:rsidRPr="000571D5">
        <w:rPr>
          <w:rFonts w:ascii="Palatino Linotype" w:hAnsi="Palatino Linotype"/>
          <w:color w:val="000000" w:themeColor="text1"/>
        </w:rPr>
        <w:t xml:space="preserve">will be capable of offering Internet service speeds of </w:t>
      </w:r>
      <w:r w:rsidRPr="000571D5">
        <w:rPr>
          <w:rFonts w:ascii="Palatino Linotype" w:hAnsi="Palatino Linotype"/>
          <w:color w:val="000000" w:themeColor="text1"/>
        </w:rPr>
        <w:t xml:space="preserve">at least 6 mbps download and 1.5 mbps upload for 548 living units in these Publicly Supported Communities (PSCs).  All </w:t>
      </w:r>
      <w:r w:rsidR="00E95EB4">
        <w:rPr>
          <w:rFonts w:ascii="Palatino Linotype" w:hAnsi="Palatino Linotype"/>
          <w:color w:val="000000" w:themeColor="text1"/>
        </w:rPr>
        <w:t xml:space="preserve">12 </w:t>
      </w:r>
      <w:r w:rsidRPr="000571D5">
        <w:rPr>
          <w:rFonts w:ascii="Palatino Linotype" w:hAnsi="Palatino Linotype"/>
          <w:color w:val="000000" w:themeColor="text1"/>
        </w:rPr>
        <w:t xml:space="preserve">projects were challenged by </w:t>
      </w:r>
      <w:r w:rsidR="00E95EB4">
        <w:rPr>
          <w:rFonts w:ascii="Palatino Linotype" w:hAnsi="Palatino Linotype"/>
          <w:color w:val="000000" w:themeColor="text1"/>
        </w:rPr>
        <w:t>two</w:t>
      </w:r>
      <w:r w:rsidRPr="000571D5">
        <w:rPr>
          <w:rFonts w:ascii="Palatino Linotype" w:hAnsi="Palatino Linotype"/>
          <w:color w:val="000000" w:themeColor="text1"/>
        </w:rPr>
        <w:t xml:space="preserve"> Internet Service Provider</w:t>
      </w:r>
      <w:r w:rsidR="00E95EB4">
        <w:rPr>
          <w:rFonts w:ascii="Palatino Linotype" w:hAnsi="Palatino Linotype"/>
          <w:color w:val="000000" w:themeColor="text1"/>
        </w:rPr>
        <w:t>s</w:t>
      </w:r>
      <w:r w:rsidRPr="000571D5">
        <w:rPr>
          <w:rFonts w:ascii="Palatino Linotype" w:hAnsi="Palatino Linotype"/>
          <w:color w:val="000000" w:themeColor="text1"/>
        </w:rPr>
        <w:t xml:space="preserve"> (ISP</w:t>
      </w:r>
      <w:r w:rsidR="00E95EB4">
        <w:rPr>
          <w:rFonts w:ascii="Palatino Linotype" w:hAnsi="Palatino Linotype"/>
          <w:color w:val="000000" w:themeColor="text1"/>
        </w:rPr>
        <w:t>s</w:t>
      </w:r>
      <w:r w:rsidRPr="000571D5">
        <w:rPr>
          <w:rFonts w:ascii="Palatino Linotype" w:hAnsi="Palatino Linotype"/>
          <w:color w:val="000000" w:themeColor="text1"/>
        </w:rPr>
        <w:t>) based on services already being available</w:t>
      </w:r>
      <w:r w:rsidR="0005508C" w:rsidRPr="000571D5">
        <w:rPr>
          <w:rStyle w:val="FootnoteReference"/>
          <w:rFonts w:ascii="Palatino Linotype" w:hAnsi="Palatino Linotype"/>
          <w:color w:val="000000" w:themeColor="text1"/>
        </w:rPr>
        <w:footnoteReference w:id="1"/>
      </w:r>
      <w:r w:rsidRPr="000571D5">
        <w:rPr>
          <w:rFonts w:ascii="Palatino Linotype" w:hAnsi="Palatino Linotype"/>
          <w:color w:val="000000" w:themeColor="text1"/>
        </w:rPr>
        <w:t xml:space="preserve"> </w:t>
      </w:r>
      <w:r w:rsidR="0013453C">
        <w:rPr>
          <w:rFonts w:ascii="Palatino Linotype" w:hAnsi="Palatino Linotype"/>
          <w:color w:val="000000" w:themeColor="text1"/>
        </w:rPr>
        <w:t xml:space="preserve">to all units </w:t>
      </w:r>
      <w:r w:rsidRPr="000571D5">
        <w:rPr>
          <w:rFonts w:ascii="Palatino Linotype" w:hAnsi="Palatino Linotype"/>
          <w:color w:val="000000" w:themeColor="text1"/>
        </w:rPr>
        <w:t xml:space="preserve">within the building.  This </w:t>
      </w:r>
      <w:r w:rsidR="00E95EB4">
        <w:rPr>
          <w:rFonts w:ascii="Palatino Linotype" w:hAnsi="Palatino Linotype"/>
          <w:color w:val="000000" w:themeColor="text1"/>
        </w:rPr>
        <w:t>R</w:t>
      </w:r>
      <w:r w:rsidRPr="000571D5">
        <w:rPr>
          <w:rFonts w:ascii="Palatino Linotype" w:hAnsi="Palatino Linotype"/>
          <w:color w:val="000000" w:themeColor="text1"/>
        </w:rPr>
        <w:t>esolution denies these challenges</w:t>
      </w:r>
      <w:r w:rsidR="00E95EB4">
        <w:rPr>
          <w:rFonts w:ascii="Palatino Linotype" w:hAnsi="Palatino Linotype"/>
          <w:color w:val="000000" w:themeColor="text1"/>
        </w:rPr>
        <w:t xml:space="preserve"> and</w:t>
      </w:r>
      <w:r w:rsidR="005B6135" w:rsidRPr="00B703A4">
        <w:rPr>
          <w:rFonts w:ascii="Palatino Linotype" w:hAnsi="Palatino Linotype"/>
          <w:color w:val="000000" w:themeColor="text1"/>
        </w:rPr>
        <w:t xml:space="preserve"> </w:t>
      </w:r>
      <w:r w:rsidR="00631D66" w:rsidRPr="00B703A4">
        <w:rPr>
          <w:rFonts w:ascii="Palatino Linotype" w:hAnsi="Palatino Linotype"/>
          <w:color w:val="000000" w:themeColor="text1"/>
        </w:rPr>
        <w:t>modifies</w:t>
      </w:r>
      <w:r w:rsidR="005B6135" w:rsidRPr="00B703A4">
        <w:rPr>
          <w:rFonts w:ascii="Palatino Linotype" w:hAnsi="Palatino Linotype"/>
          <w:color w:val="000000" w:themeColor="text1"/>
        </w:rPr>
        <w:t xml:space="preserve"> </w:t>
      </w:r>
      <w:r w:rsidR="00E95EB4">
        <w:rPr>
          <w:rFonts w:ascii="Palatino Linotype" w:hAnsi="Palatino Linotype"/>
          <w:color w:val="000000" w:themeColor="text1"/>
        </w:rPr>
        <w:t xml:space="preserve">the Expedited Review Criteria in </w:t>
      </w:r>
      <w:r w:rsidR="005B6135" w:rsidRPr="00B703A4">
        <w:rPr>
          <w:rFonts w:ascii="Palatino Linotype" w:hAnsi="Palatino Linotype"/>
          <w:color w:val="000000" w:themeColor="text1"/>
        </w:rPr>
        <w:t xml:space="preserve">D.14-12-039, Appendix B, delegating to CD staff the </w:t>
      </w:r>
      <w:r w:rsidR="005B6135" w:rsidRPr="00B703A4">
        <w:rPr>
          <w:rFonts w:ascii="Palatino Linotype" w:hAnsi="Palatino Linotype"/>
          <w:color w:val="000000" w:themeColor="text1"/>
        </w:rPr>
        <w:lastRenderedPageBreak/>
        <w:t>authority to approve applications through expedited review for properties that are wired.</w:t>
      </w:r>
      <w:r w:rsidR="005B6135">
        <w:rPr>
          <w:rFonts w:ascii="Palatino Linotype" w:hAnsi="Palatino Linotype"/>
          <w:b/>
          <w:color w:val="000000" w:themeColor="text1"/>
        </w:rPr>
        <w:t xml:space="preserve">  </w:t>
      </w:r>
    </w:p>
    <w:p w14:paraId="77127519" w14:textId="77777777" w:rsidR="00392F9A" w:rsidRPr="000571D5" w:rsidRDefault="00392F9A" w:rsidP="00846D53">
      <w:pPr>
        <w:tabs>
          <w:tab w:val="right" w:pos="10080"/>
        </w:tabs>
        <w:rPr>
          <w:rFonts w:ascii="Palatino Linotype" w:hAnsi="Palatino Linotype"/>
          <w:b/>
          <w:color w:val="000000" w:themeColor="text1"/>
          <w:u w:val="single"/>
        </w:rPr>
      </w:pPr>
    </w:p>
    <w:p w14:paraId="1A23307A" w14:textId="77777777"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14:paraId="53077D7A" w14:textId="77777777" w:rsidR="00846D53" w:rsidRPr="000571D5" w:rsidRDefault="00846D53" w:rsidP="00846D53">
      <w:pPr>
        <w:tabs>
          <w:tab w:val="right" w:pos="10080"/>
        </w:tabs>
        <w:rPr>
          <w:rFonts w:ascii="Palatino Linotype" w:hAnsi="Palatino Linotype"/>
          <w:b/>
          <w:color w:val="000000" w:themeColor="text1"/>
          <w:u w:val="single"/>
        </w:rPr>
      </w:pPr>
    </w:p>
    <w:p w14:paraId="6165A442" w14:textId="7382141E" w:rsidR="00846D53" w:rsidRPr="000571D5"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On October 3, 2013, Governor Brown approved Assembly Bill (AB) 1299.  AB 1299 created the BPHA under CASF to support the deployment of broadband infrastructure and adoption programs in eligible publicly supported communities</w:t>
      </w:r>
      <w:r w:rsidR="00A81B41">
        <w:rPr>
          <w:rFonts w:ascii="Palatino Linotype" w:hAnsi="Palatino Linotype"/>
          <w:color w:val="000000" w:themeColor="text1"/>
        </w:rPr>
        <w:t xml:space="preserve"> (PSC)</w:t>
      </w:r>
      <w:r w:rsidRPr="000571D5">
        <w:rPr>
          <w:rFonts w:ascii="Palatino Linotype" w:hAnsi="Palatino Linotype"/>
          <w:color w:val="000000" w:themeColor="text1"/>
        </w:rPr>
        <w:t>.  Public Utilities</w:t>
      </w:r>
      <w:r w:rsidR="00E95EB4">
        <w:rPr>
          <w:rFonts w:ascii="Palatino Linotype" w:hAnsi="Palatino Linotype"/>
          <w:color w:val="000000" w:themeColor="text1"/>
        </w:rPr>
        <w:t xml:space="preserve"> (P.U.)</w:t>
      </w:r>
      <w:r w:rsidRPr="000571D5">
        <w:rPr>
          <w:rFonts w:ascii="Palatino Linotype" w:hAnsi="Palatino Linotype"/>
          <w:color w:val="000000" w:themeColor="text1"/>
        </w:rPr>
        <w:t xml:space="preserve"> Code § 281(f)(2) limits CASF Broadband Public Housing Account Funding to subsidized multi-family housing developments owned by either of the two following: </w:t>
      </w:r>
    </w:p>
    <w:p w14:paraId="135B6A3F" w14:textId="77777777" w:rsidR="00846D53" w:rsidRPr="000571D5" w:rsidRDefault="00846D53" w:rsidP="00846D53">
      <w:pPr>
        <w:tabs>
          <w:tab w:val="right" w:pos="10080"/>
        </w:tabs>
        <w:rPr>
          <w:rFonts w:ascii="Palatino Linotype" w:hAnsi="Palatino Linotype"/>
          <w:color w:val="000000" w:themeColor="text1"/>
        </w:rPr>
      </w:pPr>
    </w:p>
    <w:p w14:paraId="3507A670" w14:textId="77777777" w:rsidR="00846D53" w:rsidRPr="000571D5" w:rsidRDefault="00E532A0" w:rsidP="00846D53">
      <w:pPr>
        <w:pStyle w:val="Default"/>
        <w:numPr>
          <w:ilvl w:val="0"/>
          <w:numId w:val="40"/>
        </w:numPr>
        <w:rPr>
          <w:rFonts w:ascii="Palatino Linotype" w:hAnsi="Palatino Linotype" w:cs="Tahoma"/>
          <w:color w:val="000000" w:themeColor="text1"/>
        </w:rPr>
      </w:pPr>
      <w:r w:rsidRPr="000571D5">
        <w:rPr>
          <w:rFonts w:ascii="Palatino Linotype" w:hAnsi="Palatino Linotype" w:cs="Tahoma"/>
          <w:color w:val="000000" w:themeColor="text1"/>
        </w:rPr>
        <w:t xml:space="preserve">A public housing agency that has been chartered by the state, or by any city or county in the state, and has been determined an eligible public housing agency by the United States Department of Housing and Urban Development (HUD). </w:t>
      </w:r>
    </w:p>
    <w:p w14:paraId="0188EF55" w14:textId="77777777" w:rsidR="00846D53" w:rsidRPr="000571D5" w:rsidRDefault="00846D53" w:rsidP="00846D53">
      <w:pPr>
        <w:pStyle w:val="Default"/>
        <w:ind w:left="720"/>
        <w:rPr>
          <w:rFonts w:ascii="Palatino Linotype" w:hAnsi="Palatino Linotype" w:cs="Tahoma"/>
          <w:color w:val="000000" w:themeColor="text1"/>
        </w:rPr>
      </w:pPr>
    </w:p>
    <w:p w14:paraId="7D523EC8" w14:textId="2637A599" w:rsidR="00846D53" w:rsidRPr="000571D5" w:rsidRDefault="00922DD4" w:rsidP="00846D53">
      <w:pPr>
        <w:pStyle w:val="Default"/>
        <w:ind w:left="720"/>
        <w:rPr>
          <w:rFonts w:ascii="Palatino Linotype" w:hAnsi="Palatino Linotype" w:cs="Tahoma"/>
          <w:color w:val="000000" w:themeColor="text1"/>
        </w:rPr>
      </w:pPr>
      <w:r w:rsidRPr="000571D5">
        <w:rPr>
          <w:rFonts w:ascii="Palatino Linotype" w:hAnsi="Palatino Linotype" w:cs="Tahoma"/>
          <w:color w:val="000000" w:themeColor="text1"/>
        </w:rPr>
        <w:t xml:space="preserve">2) </w:t>
      </w:r>
      <w:r w:rsidR="003F5D2C">
        <w:rPr>
          <w:rFonts w:ascii="Palatino Linotype" w:hAnsi="Palatino Linotype" w:cs="Tahoma"/>
          <w:color w:val="000000" w:themeColor="text1"/>
        </w:rPr>
        <w:t xml:space="preserve">  </w:t>
      </w:r>
      <w:r w:rsidRPr="000571D5">
        <w:rPr>
          <w:rFonts w:ascii="Palatino Linotype" w:hAnsi="Palatino Linotype" w:cs="Tahoma"/>
          <w:color w:val="000000" w:themeColor="text1"/>
        </w:rPr>
        <w:t>An</w:t>
      </w:r>
      <w:r w:rsidR="00E532A0" w:rsidRPr="000571D5">
        <w:rPr>
          <w:rFonts w:ascii="Palatino Linotype" w:hAnsi="Palatino Linotype" w:cs="Tahoma"/>
          <w:color w:val="000000" w:themeColor="text1"/>
        </w:rPr>
        <w:t xml:space="preserve"> incorporated nonprofit organization as described in Section 501 (c)(3) of</w:t>
      </w:r>
    </w:p>
    <w:p w14:paraId="573F739F" w14:textId="77777777" w:rsidR="00846D53" w:rsidRPr="000571D5" w:rsidRDefault="00E532A0" w:rsidP="00846D53">
      <w:pPr>
        <w:pStyle w:val="Default"/>
        <w:ind w:left="1080"/>
        <w:rPr>
          <w:rFonts w:ascii="Palatino Linotype" w:hAnsi="Palatino Linotype" w:cs="Tahoma"/>
          <w:color w:val="000000" w:themeColor="text1"/>
        </w:rPr>
      </w:pPr>
      <w:r w:rsidRPr="000571D5">
        <w:rPr>
          <w:rFonts w:ascii="Palatino Linotype" w:hAnsi="Palatino Linotype" w:cs="Tahoma"/>
          <w:color w:val="000000" w:themeColor="text1"/>
        </w:rPr>
        <w:t>the Internal Revenue Code (26 U.S.C. Sec. 501(c)(3)) that is exempt from taxation under Section 501 (a) of that code (16 U.S.C. Sec. 501(a)), and that has received public funding to subsidize the construction or maintenance of housing occupied by residents whose annual income qualifies as “low”-or “very low” income according to federal poverty guidelines</w:t>
      </w:r>
      <w:r w:rsidRPr="000571D5">
        <w:rPr>
          <w:rFonts w:ascii="Palatino Linotype" w:hAnsi="Palatino Linotype" w:cs="Tahoma"/>
          <w:color w:val="000000" w:themeColor="text1"/>
          <w:vertAlign w:val="superscript"/>
        </w:rPr>
        <w:footnoteReference w:id="2"/>
      </w:r>
      <w:r w:rsidRPr="000571D5">
        <w:rPr>
          <w:rFonts w:ascii="Palatino Linotype" w:hAnsi="Palatino Linotype" w:cs="Tahoma"/>
          <w:color w:val="000000" w:themeColor="text1"/>
        </w:rPr>
        <w:t>.</w:t>
      </w:r>
    </w:p>
    <w:p w14:paraId="38436E9B" w14:textId="77777777" w:rsidR="00846D53" w:rsidRPr="000571D5" w:rsidRDefault="00846D53" w:rsidP="00846D53">
      <w:pPr>
        <w:tabs>
          <w:tab w:val="right" w:pos="10080"/>
        </w:tabs>
        <w:rPr>
          <w:rFonts w:ascii="Palatino Linotype" w:hAnsi="Palatino Linotype"/>
          <w:color w:val="000000" w:themeColor="text1"/>
        </w:rPr>
      </w:pPr>
    </w:p>
    <w:p w14:paraId="0DF713F7" w14:textId="77777777" w:rsidR="00846D53" w:rsidRPr="000571D5"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On December 18, 2014, the Commission approved </w:t>
      </w:r>
      <w:r w:rsidRPr="000571D5">
        <w:rPr>
          <w:rFonts w:ascii="Palatino Linotype" w:hAnsi="Palatino Linotype" w:cs="Palatino Linotype"/>
          <w:color w:val="000000" w:themeColor="text1"/>
        </w:rPr>
        <w:t xml:space="preserve">D.14-12-039 </w:t>
      </w:r>
      <w:r w:rsidR="00BE5488" w:rsidRPr="000571D5">
        <w:rPr>
          <w:rFonts w:ascii="Palatino Linotype" w:hAnsi="Palatino Linotype" w:cs="Palatino Linotype"/>
          <w:color w:val="000000" w:themeColor="text1"/>
        </w:rPr>
        <w:t xml:space="preserve">which </w:t>
      </w:r>
      <w:r w:rsidRPr="000571D5">
        <w:rPr>
          <w:rFonts w:ascii="Palatino Linotype" w:hAnsi="Palatino Linotype"/>
          <w:color w:val="000000" w:themeColor="text1"/>
        </w:rPr>
        <w:t>implement</w:t>
      </w:r>
      <w:r w:rsidR="00BE5488" w:rsidRPr="000571D5">
        <w:rPr>
          <w:rFonts w:ascii="Palatino Linotype" w:hAnsi="Palatino Linotype"/>
          <w:color w:val="000000" w:themeColor="text1"/>
        </w:rPr>
        <w:t>s</w:t>
      </w:r>
      <w:r w:rsidRPr="000571D5">
        <w:rPr>
          <w:rFonts w:ascii="Palatino Linotype" w:hAnsi="Palatino Linotype"/>
          <w:color w:val="000000" w:themeColor="text1"/>
        </w:rPr>
        <w:t xml:space="preserve"> </w:t>
      </w:r>
      <w:r w:rsidR="00713C0F" w:rsidRPr="000571D5">
        <w:rPr>
          <w:rFonts w:ascii="Palatino Linotype" w:hAnsi="Palatino Linotype"/>
          <w:color w:val="000000" w:themeColor="text1"/>
        </w:rPr>
        <w:t xml:space="preserve">the </w:t>
      </w:r>
      <w:r w:rsidRPr="000571D5">
        <w:rPr>
          <w:rFonts w:ascii="Palatino Linotype" w:hAnsi="Palatino Linotype"/>
          <w:color w:val="000000" w:themeColor="text1"/>
        </w:rPr>
        <w:t xml:space="preserve">rules and guidelines for the BPHA including: eligibility and application requirements, types of activities and costs to be funded by CASF, criteria for expedited review approval of project applications by Communications Division (CD) staff, and quarterly deadlines for applications beginning January 15, 2015 through October 1, 2016.  Key provisions of the decision relevant to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include: </w:t>
      </w:r>
    </w:p>
    <w:p w14:paraId="5AC5B489" w14:textId="77777777" w:rsidR="00846D53" w:rsidRPr="000571D5" w:rsidRDefault="00846D53" w:rsidP="00846D53">
      <w:pPr>
        <w:tabs>
          <w:tab w:val="right" w:pos="10080"/>
        </w:tabs>
        <w:rPr>
          <w:rFonts w:ascii="Palatino Linotype" w:hAnsi="Palatino Linotype"/>
          <w:color w:val="000000" w:themeColor="text1"/>
        </w:rPr>
      </w:pPr>
    </w:p>
    <w:p w14:paraId="6DABC262" w14:textId="77777777" w:rsidR="00846D53" w:rsidRPr="000571D5" w:rsidRDefault="00E532A0" w:rsidP="00846D53">
      <w:pPr>
        <w:pStyle w:val="Default"/>
        <w:numPr>
          <w:ilvl w:val="0"/>
          <w:numId w:val="43"/>
        </w:numPr>
        <w:rPr>
          <w:rFonts w:ascii="Palatino Linotype" w:hAnsi="Palatino Linotype"/>
          <w:color w:val="000000" w:themeColor="text1"/>
        </w:rPr>
      </w:pPr>
      <w:r w:rsidRPr="000571D5">
        <w:rPr>
          <w:rFonts w:ascii="Palatino Linotype" w:hAnsi="Palatino Linotype" w:cs="Times New Roman"/>
          <w:color w:val="000000" w:themeColor="text1"/>
        </w:rPr>
        <w:t>The Commission delegated to CD staff the authority to approve applications through expedited review that meet all of the expedited review criteria.</w:t>
      </w:r>
      <w:r w:rsidRPr="000571D5">
        <w:rPr>
          <w:rStyle w:val="FootnoteReference"/>
          <w:rFonts w:ascii="Palatino Linotype" w:hAnsi="Palatino Linotype" w:cs="Times New Roman"/>
          <w:color w:val="000000" w:themeColor="text1"/>
        </w:rPr>
        <w:footnoteReference w:id="3"/>
      </w:r>
      <w:r w:rsidRPr="000571D5">
        <w:rPr>
          <w:rFonts w:ascii="Palatino Linotype" w:hAnsi="Palatino Linotype" w:cs="Times New Roman"/>
          <w:color w:val="000000" w:themeColor="text1"/>
        </w:rPr>
        <w:t xml:space="preserve">  </w:t>
      </w:r>
      <w:r w:rsidRPr="000571D5">
        <w:rPr>
          <w:rFonts w:ascii="Palatino Linotype" w:hAnsi="Palatino Linotype"/>
          <w:color w:val="000000" w:themeColor="text1"/>
        </w:rPr>
        <w:t>Where an application does not meet the above expedited review criteria, it may still be considered for a grant but it must go through the traditional Commission Resolution approval process.</w:t>
      </w:r>
    </w:p>
    <w:p w14:paraId="714D28E7" w14:textId="77777777" w:rsidR="00846D53" w:rsidRPr="000571D5" w:rsidRDefault="00E532A0" w:rsidP="00846D53">
      <w:pPr>
        <w:pStyle w:val="Default"/>
        <w:numPr>
          <w:ilvl w:val="0"/>
          <w:numId w:val="43"/>
        </w:numPr>
        <w:rPr>
          <w:rFonts w:ascii="Palatino Linotype" w:hAnsi="Palatino Linotype"/>
          <w:color w:val="000000" w:themeColor="text1"/>
        </w:rPr>
      </w:pPr>
      <w:r w:rsidRPr="000571D5">
        <w:rPr>
          <w:rFonts w:ascii="Palatino Linotype" w:hAnsi="Palatino Linotype"/>
          <w:color w:val="000000" w:themeColor="text1"/>
        </w:rPr>
        <w:lastRenderedPageBreak/>
        <w:t>The Commission can award grants to finance up to 100 percent of the installation costs, but not maintenance or operation costs.</w:t>
      </w:r>
    </w:p>
    <w:p w14:paraId="38271723" w14:textId="77777777" w:rsidR="001B6793" w:rsidRPr="000571D5" w:rsidRDefault="001B6793" w:rsidP="000652D7">
      <w:pPr>
        <w:pStyle w:val="Default"/>
        <w:rPr>
          <w:rFonts w:ascii="Palatino Linotype" w:hAnsi="Palatino Linotype"/>
          <w:color w:val="000000" w:themeColor="text1"/>
        </w:rPr>
      </w:pPr>
    </w:p>
    <w:p w14:paraId="4EAF5EE0" w14:textId="77777777" w:rsidR="001B6793" w:rsidRPr="000571D5" w:rsidRDefault="00E208A8" w:rsidP="001B6793">
      <w:pPr>
        <w:tabs>
          <w:tab w:val="right" w:pos="10080"/>
        </w:tabs>
        <w:rPr>
          <w:rFonts w:ascii="Palatino Linotype" w:hAnsi="Palatino Linotype"/>
          <w:color w:val="000000" w:themeColor="text1"/>
        </w:rPr>
      </w:pPr>
      <w:r w:rsidRPr="000571D5">
        <w:rPr>
          <w:rFonts w:ascii="Palatino Linotype" w:hAnsi="Palatino Linotype"/>
          <w:color w:val="000000" w:themeColor="text1"/>
        </w:rPr>
        <w:t>The Commission has approved projects where locations are “wired.”</w:t>
      </w:r>
      <w:r w:rsidRPr="000571D5">
        <w:rPr>
          <w:rStyle w:val="FootnoteReference"/>
          <w:rFonts w:ascii="Palatino Linotype" w:hAnsi="Palatino Linotype"/>
          <w:color w:val="000000" w:themeColor="text1"/>
        </w:rPr>
        <w:t xml:space="preserve"> </w:t>
      </w:r>
      <w:r w:rsidRPr="000571D5">
        <w:rPr>
          <w:rStyle w:val="FootnoteReference"/>
          <w:rFonts w:ascii="Palatino Linotype" w:hAnsi="Palatino Linotype"/>
          <w:color w:val="000000" w:themeColor="text1"/>
        </w:rPr>
        <w:footnoteReference w:id="4"/>
      </w:r>
      <w:r w:rsidRPr="000571D5">
        <w:rPr>
          <w:rFonts w:ascii="Palatino Linotype" w:hAnsi="Palatino Linotype"/>
          <w:color w:val="000000" w:themeColor="text1"/>
        </w:rPr>
        <w:t xml:space="preserve">  </w:t>
      </w:r>
      <w:r w:rsidR="00E532A0" w:rsidRPr="000571D5">
        <w:rPr>
          <w:rFonts w:ascii="Palatino Linotype" w:hAnsi="Palatino Linotype"/>
          <w:color w:val="000000" w:themeColor="text1"/>
        </w:rPr>
        <w:t xml:space="preserve">CD has </w:t>
      </w:r>
      <w:r w:rsidRPr="000571D5">
        <w:rPr>
          <w:rFonts w:ascii="Palatino Linotype" w:hAnsi="Palatino Linotype"/>
          <w:color w:val="000000" w:themeColor="text1"/>
        </w:rPr>
        <w:t xml:space="preserve">also </w:t>
      </w:r>
      <w:r w:rsidR="00E532A0" w:rsidRPr="000571D5">
        <w:rPr>
          <w:rFonts w:ascii="Palatino Linotype" w:hAnsi="Palatino Linotype"/>
          <w:color w:val="000000" w:themeColor="text1"/>
        </w:rPr>
        <w:t xml:space="preserve">approved projects </w:t>
      </w:r>
      <w:r w:rsidR="00C71D03" w:rsidRPr="000571D5">
        <w:rPr>
          <w:rFonts w:ascii="Palatino Linotype" w:hAnsi="Palatino Linotype"/>
          <w:color w:val="000000" w:themeColor="text1"/>
        </w:rPr>
        <w:t xml:space="preserve">using the rules for expedited review </w:t>
      </w:r>
      <w:r w:rsidR="00E532A0" w:rsidRPr="000571D5">
        <w:rPr>
          <w:rFonts w:ascii="Palatino Linotype" w:hAnsi="Palatino Linotype"/>
          <w:color w:val="000000" w:themeColor="text1"/>
        </w:rPr>
        <w:t xml:space="preserve">where locations are “wired.”  </w:t>
      </w:r>
      <w:r w:rsidRPr="000571D5">
        <w:rPr>
          <w:rFonts w:ascii="Palatino Linotype" w:hAnsi="Palatino Linotype"/>
          <w:color w:val="000000" w:themeColor="text1"/>
        </w:rPr>
        <w:t xml:space="preserve">Additionally, </w:t>
      </w:r>
      <w:r w:rsidR="00C71D03" w:rsidRPr="000571D5">
        <w:rPr>
          <w:rFonts w:ascii="Palatino Linotype" w:hAnsi="Palatino Linotype"/>
          <w:color w:val="000000" w:themeColor="text1"/>
        </w:rPr>
        <w:t>CD has upheld challenges on similar grounds.</w:t>
      </w:r>
      <w:r w:rsidR="00C71D03" w:rsidRPr="000571D5">
        <w:rPr>
          <w:rStyle w:val="FootnoteReference"/>
          <w:rFonts w:ascii="Palatino Linotype" w:hAnsi="Palatino Linotype"/>
          <w:color w:val="000000" w:themeColor="text1"/>
        </w:rPr>
        <w:t xml:space="preserve"> </w:t>
      </w:r>
      <w:r w:rsidR="00C71D03" w:rsidRPr="000571D5">
        <w:rPr>
          <w:rStyle w:val="FootnoteReference"/>
          <w:rFonts w:ascii="Palatino Linotype" w:hAnsi="Palatino Linotype"/>
          <w:color w:val="000000" w:themeColor="text1"/>
        </w:rPr>
        <w:footnoteReference w:id="5"/>
      </w:r>
      <w:r w:rsidR="00C71D03" w:rsidRPr="000571D5">
        <w:rPr>
          <w:rFonts w:ascii="Palatino Linotype" w:hAnsi="Palatino Linotype"/>
          <w:color w:val="000000" w:themeColor="text1"/>
        </w:rPr>
        <w:t xml:space="preserve">  </w:t>
      </w:r>
      <w:r w:rsidR="00203986" w:rsidRPr="000571D5">
        <w:rPr>
          <w:rFonts w:ascii="Palatino Linotype" w:hAnsi="Palatino Linotype"/>
          <w:color w:val="000000" w:themeColor="text1"/>
        </w:rPr>
        <w:t xml:space="preserve">According to </w:t>
      </w:r>
      <w:r w:rsidR="00E532A0" w:rsidRPr="000571D5">
        <w:rPr>
          <w:rFonts w:ascii="Palatino Linotype" w:hAnsi="Palatino Linotype"/>
          <w:color w:val="000000" w:themeColor="text1"/>
        </w:rPr>
        <w:t>D. 14-12-039</w:t>
      </w:r>
      <w:r w:rsidR="00203986" w:rsidRPr="000571D5">
        <w:rPr>
          <w:rFonts w:ascii="Palatino Linotype" w:hAnsi="Palatino Linotype"/>
          <w:color w:val="000000" w:themeColor="text1"/>
        </w:rPr>
        <w:t>,</w:t>
      </w:r>
    </w:p>
    <w:p w14:paraId="38D783F4" w14:textId="77777777" w:rsidR="001B6793" w:rsidRPr="000571D5" w:rsidRDefault="001B6793" w:rsidP="001B6793">
      <w:pPr>
        <w:tabs>
          <w:tab w:val="right" w:pos="10080"/>
        </w:tabs>
        <w:rPr>
          <w:rFonts w:ascii="Palatino Linotype" w:hAnsi="Palatino Linotype"/>
          <w:color w:val="000000" w:themeColor="text1"/>
        </w:rPr>
      </w:pPr>
    </w:p>
    <w:p w14:paraId="3EEDF38B" w14:textId="0BA7B725" w:rsidR="001B6793" w:rsidRPr="000571D5" w:rsidRDefault="00E532A0" w:rsidP="00B703A4">
      <w:pPr>
        <w:ind w:left="720"/>
        <w:rPr>
          <w:rFonts w:ascii="Palatino Linotype" w:hAnsi="Palatino Linotype"/>
          <w:color w:val="000000" w:themeColor="text1"/>
        </w:rPr>
      </w:pPr>
      <w:r w:rsidRPr="000571D5">
        <w:rPr>
          <w:rFonts w:ascii="Palatino Linotype" w:hAnsi="Palatino Linotype"/>
          <w:color w:val="000000" w:themeColor="text1"/>
        </w:rPr>
        <w:t>A unit is “wired” for broadband Internet if it is possible to subscribe to a commercially available broadband Internet service, such as via Digital Subscriber Line (DSL), cable modem or another protocol, utilizing the existing “wired” facilities.  A unit having such wiring is considered as having broadband service “available.”  An “unwired property” has at least one unit that is not “wired.”</w:t>
      </w:r>
      <w:r w:rsidRPr="000571D5">
        <w:rPr>
          <w:rStyle w:val="FootnoteReference"/>
          <w:rFonts w:ascii="Palatino Linotype" w:hAnsi="Palatino Linotype"/>
          <w:color w:val="000000" w:themeColor="text1"/>
        </w:rPr>
        <w:footnoteReference w:id="6"/>
      </w:r>
      <w:r w:rsidRPr="000571D5">
        <w:rPr>
          <w:rFonts w:ascii="Palatino Linotype" w:hAnsi="Palatino Linotype"/>
          <w:color w:val="000000" w:themeColor="text1"/>
        </w:rPr>
        <w:t xml:space="preserve">  </w:t>
      </w:r>
    </w:p>
    <w:p w14:paraId="49A4F569" w14:textId="77777777" w:rsidR="001B6793" w:rsidRPr="000571D5" w:rsidRDefault="001B6793" w:rsidP="000652D7">
      <w:pPr>
        <w:pStyle w:val="Default"/>
        <w:rPr>
          <w:rFonts w:ascii="Palatino Linotype" w:hAnsi="Palatino Linotype"/>
          <w:color w:val="000000" w:themeColor="text1"/>
        </w:rPr>
      </w:pPr>
    </w:p>
    <w:p w14:paraId="586795C9" w14:textId="0337F3B0" w:rsidR="00DE73D1" w:rsidRPr="000571D5" w:rsidRDefault="00DE73D1" w:rsidP="00DE73D1">
      <w:pPr>
        <w:pStyle w:val="Default"/>
        <w:rPr>
          <w:rFonts w:ascii="Palatino Linotype" w:hAnsi="Palatino Linotype"/>
          <w:color w:val="000000" w:themeColor="text1"/>
        </w:rPr>
      </w:pPr>
      <w:r w:rsidRPr="000571D5">
        <w:rPr>
          <w:rFonts w:ascii="Palatino Linotype" w:hAnsi="Palatino Linotype"/>
          <w:color w:val="000000" w:themeColor="text1"/>
        </w:rPr>
        <w:t xml:space="preserve">The expedited review requirements are silent with respect </w:t>
      </w:r>
      <w:r w:rsidR="00E208A8" w:rsidRPr="000571D5">
        <w:rPr>
          <w:rFonts w:ascii="Palatino Linotype" w:hAnsi="Palatino Linotype"/>
          <w:color w:val="000000" w:themeColor="text1"/>
        </w:rPr>
        <w:t xml:space="preserve">to </w:t>
      </w:r>
      <w:r w:rsidRPr="000571D5">
        <w:rPr>
          <w:rFonts w:ascii="Palatino Linotype" w:hAnsi="Palatino Linotype"/>
          <w:color w:val="000000" w:themeColor="text1"/>
        </w:rPr>
        <w:t>how a wired facility should be treated.</w:t>
      </w:r>
      <w:r w:rsidRPr="000571D5">
        <w:rPr>
          <w:rStyle w:val="FootnoteReference"/>
          <w:rFonts w:ascii="Palatino Linotype" w:hAnsi="Palatino Linotype"/>
          <w:color w:val="000000" w:themeColor="text1"/>
        </w:rPr>
        <w:t xml:space="preserve"> </w:t>
      </w:r>
      <w:r w:rsidRPr="000571D5">
        <w:rPr>
          <w:rStyle w:val="FootnoteReference"/>
          <w:rFonts w:ascii="Palatino Linotype" w:hAnsi="Palatino Linotype"/>
          <w:color w:val="000000" w:themeColor="text1"/>
        </w:rPr>
        <w:footnoteReference w:id="7"/>
      </w:r>
      <w:r w:rsidRPr="000571D5">
        <w:rPr>
          <w:rFonts w:ascii="Palatino Linotype" w:hAnsi="Palatino Linotype"/>
          <w:color w:val="000000" w:themeColor="text1"/>
        </w:rPr>
        <w:t xml:space="preserve">  </w:t>
      </w:r>
      <w:r w:rsidR="003F5D2C" w:rsidRPr="000571D5">
        <w:rPr>
          <w:rFonts w:ascii="Palatino Linotype" w:hAnsi="Palatino Linotype"/>
          <w:color w:val="000000" w:themeColor="text1"/>
        </w:rPr>
        <w:t>Projects approved to date are typically low-cost Wi-Fi installations</w:t>
      </w:r>
      <w:r w:rsidR="003F5D2C">
        <w:rPr>
          <w:rFonts w:ascii="Palatino Linotype" w:hAnsi="Palatino Linotype"/>
          <w:color w:val="000000" w:themeColor="text1"/>
        </w:rPr>
        <w:t>,</w:t>
      </w:r>
      <w:r w:rsidR="003F5D2C" w:rsidRPr="000571D5">
        <w:rPr>
          <w:rFonts w:ascii="Palatino Linotype" w:hAnsi="Palatino Linotype"/>
          <w:color w:val="000000" w:themeColor="text1"/>
        </w:rPr>
        <w:t xml:space="preserve"> which provide service at speeds as low as 1.5 Mbps down during peak hours.  </w:t>
      </w:r>
      <w:r w:rsidRPr="000571D5">
        <w:rPr>
          <w:rFonts w:ascii="Palatino Linotype" w:hAnsi="Palatino Linotype"/>
          <w:color w:val="000000" w:themeColor="text1"/>
        </w:rPr>
        <w:t xml:space="preserve">Such limited services are not comparable to commercially available ISP services that typically offer higher speeds.  29 of </w:t>
      </w:r>
      <w:r w:rsidR="004D1A2C" w:rsidRPr="000571D5">
        <w:rPr>
          <w:rFonts w:ascii="Palatino Linotype" w:hAnsi="Palatino Linotype"/>
          <w:color w:val="000000" w:themeColor="text1"/>
        </w:rPr>
        <w:t>the 147</w:t>
      </w:r>
      <w:r w:rsidRPr="000571D5">
        <w:rPr>
          <w:rFonts w:ascii="Palatino Linotype" w:hAnsi="Palatino Linotype"/>
          <w:color w:val="000000" w:themeColor="text1"/>
        </w:rPr>
        <w:t xml:space="preserve"> approved infrastructure projects utilized xDSL (wired) </w:t>
      </w:r>
      <w:r w:rsidR="003F5D2C" w:rsidRPr="000571D5">
        <w:rPr>
          <w:rFonts w:ascii="Palatino Linotype" w:hAnsi="Palatino Linotype"/>
          <w:color w:val="000000" w:themeColor="text1"/>
        </w:rPr>
        <w:t>technology, which</w:t>
      </w:r>
      <w:r w:rsidRPr="000571D5">
        <w:rPr>
          <w:rFonts w:ascii="Palatino Linotype" w:hAnsi="Palatino Linotype"/>
          <w:color w:val="000000" w:themeColor="text1"/>
        </w:rPr>
        <w:t xml:space="preserve"> could replace a commercial ISP service offering.</w:t>
      </w:r>
      <w:r w:rsidRPr="000571D5">
        <w:rPr>
          <w:rStyle w:val="FootnoteReference"/>
          <w:rFonts w:ascii="Palatino Linotype" w:hAnsi="Palatino Linotype"/>
          <w:color w:val="000000" w:themeColor="text1"/>
        </w:rPr>
        <w:footnoteReference w:id="8"/>
      </w:r>
      <w:r w:rsidRPr="000571D5">
        <w:rPr>
          <w:rFonts w:ascii="Palatino Linotype" w:hAnsi="Palatino Linotype"/>
          <w:color w:val="000000" w:themeColor="text1"/>
        </w:rPr>
        <w:t xml:space="preserve">  In addition, a few Wi-Fi projects have been approved for installation during building construction.</w:t>
      </w:r>
      <w:r w:rsidR="00A81B41">
        <w:rPr>
          <w:rFonts w:ascii="Palatino Linotype" w:hAnsi="Palatino Linotype"/>
          <w:color w:val="000000" w:themeColor="text1"/>
        </w:rPr>
        <w:t xml:space="preserve">  </w:t>
      </w:r>
    </w:p>
    <w:p w14:paraId="18EA154A" w14:textId="77777777" w:rsidR="00DE73D1" w:rsidRPr="000571D5" w:rsidRDefault="00DE73D1" w:rsidP="000652D7">
      <w:pPr>
        <w:pStyle w:val="Default"/>
        <w:rPr>
          <w:rFonts w:ascii="Palatino Linotype" w:hAnsi="Palatino Linotype"/>
          <w:color w:val="000000" w:themeColor="text1"/>
        </w:rPr>
      </w:pPr>
    </w:p>
    <w:p w14:paraId="673F867B" w14:textId="6482B728" w:rsidR="006B231F" w:rsidRDefault="00E532A0" w:rsidP="000652D7">
      <w:pPr>
        <w:pStyle w:val="Default"/>
        <w:rPr>
          <w:rFonts w:ascii="Palatino Linotype" w:hAnsi="Palatino Linotype"/>
          <w:color w:val="000000" w:themeColor="text1"/>
        </w:rPr>
      </w:pPr>
      <w:r w:rsidRPr="000571D5">
        <w:rPr>
          <w:rFonts w:ascii="Palatino Linotype" w:hAnsi="Palatino Linotype"/>
          <w:color w:val="000000" w:themeColor="text1"/>
        </w:rPr>
        <w:t xml:space="preserve">Nearly all public housing application locations </w:t>
      </w:r>
      <w:r w:rsidR="00A20BD0">
        <w:rPr>
          <w:rFonts w:ascii="Palatino Linotype" w:hAnsi="Palatino Linotype"/>
          <w:color w:val="000000" w:themeColor="text1"/>
        </w:rPr>
        <w:t xml:space="preserve">received by CD to date </w:t>
      </w:r>
      <w:r w:rsidRPr="000571D5">
        <w:rPr>
          <w:rFonts w:ascii="Palatino Linotype" w:hAnsi="Palatino Linotype"/>
          <w:color w:val="000000" w:themeColor="text1"/>
        </w:rPr>
        <w:t>are wired.  Staff arrived at this conclusion based on description</w:t>
      </w:r>
      <w:r w:rsidR="00203986" w:rsidRPr="000571D5">
        <w:rPr>
          <w:rFonts w:ascii="Palatino Linotype" w:hAnsi="Palatino Linotype"/>
          <w:color w:val="000000" w:themeColor="text1"/>
        </w:rPr>
        <w:t>s</w:t>
      </w:r>
      <w:r w:rsidRPr="000571D5">
        <w:rPr>
          <w:rFonts w:ascii="Palatino Linotype" w:hAnsi="Palatino Linotype"/>
          <w:color w:val="000000" w:themeColor="text1"/>
        </w:rPr>
        <w:t xml:space="preserve"> of existing building wiring, staff review of project engineering documents and photos, and staff inspect</w:t>
      </w:r>
      <w:r w:rsidR="00E95EB4">
        <w:rPr>
          <w:rFonts w:ascii="Palatino Linotype" w:hAnsi="Palatino Linotype"/>
          <w:color w:val="000000" w:themeColor="text1"/>
        </w:rPr>
        <w:t>ions of</w:t>
      </w:r>
      <w:r w:rsidRPr="000571D5">
        <w:rPr>
          <w:rFonts w:ascii="Palatino Linotype" w:hAnsi="Palatino Linotype"/>
          <w:color w:val="000000" w:themeColor="text1"/>
        </w:rPr>
        <w:t xml:space="preserve"> several urban public housing locations.  </w:t>
      </w:r>
      <w:r w:rsidR="004D1A2C" w:rsidRPr="000571D5">
        <w:rPr>
          <w:rFonts w:ascii="Palatino Linotype" w:hAnsi="Palatino Linotype"/>
          <w:color w:val="000000" w:themeColor="text1"/>
        </w:rPr>
        <w:t xml:space="preserve">A representative from the contractor Connected Community Solutions (the contractor for 63 of the approved 147 infrastructure projects) </w:t>
      </w:r>
      <w:r w:rsidRPr="000571D5">
        <w:rPr>
          <w:rFonts w:ascii="Palatino Linotype" w:hAnsi="Palatino Linotype"/>
          <w:color w:val="000000" w:themeColor="text1"/>
        </w:rPr>
        <w:t xml:space="preserve">stated that only one of the 73 projects funded in 2015 utilizing his company’s services was unwired, per the definition above.  </w:t>
      </w:r>
      <w:r w:rsidR="004D1A2C" w:rsidRPr="000571D5">
        <w:rPr>
          <w:rFonts w:ascii="Palatino Linotype" w:hAnsi="Palatino Linotype"/>
          <w:color w:val="000000" w:themeColor="text1"/>
        </w:rPr>
        <w:t xml:space="preserve">A representative from the contractor InnovativeIT (the contractor for 44 of the approved </w:t>
      </w:r>
      <w:r w:rsidR="00E16A40" w:rsidRPr="000571D5">
        <w:rPr>
          <w:rFonts w:ascii="Palatino Linotype" w:hAnsi="Palatino Linotype"/>
          <w:color w:val="000000" w:themeColor="text1"/>
        </w:rPr>
        <w:t>1</w:t>
      </w:r>
      <w:r w:rsidR="004D1A2C" w:rsidRPr="000571D5">
        <w:rPr>
          <w:rFonts w:ascii="Palatino Linotype" w:hAnsi="Palatino Linotype"/>
          <w:color w:val="000000" w:themeColor="text1"/>
        </w:rPr>
        <w:t xml:space="preserve">47 infrastructure projects) stated that all of the </w:t>
      </w:r>
      <w:r w:rsidR="00E16A40" w:rsidRPr="000571D5">
        <w:rPr>
          <w:rFonts w:ascii="Palatino Linotype" w:hAnsi="Palatino Linotype"/>
          <w:color w:val="000000" w:themeColor="text1"/>
        </w:rPr>
        <w:t>projects submitted using their services were for wired buildings.</w:t>
      </w:r>
      <w:r w:rsidR="00DA4BA3">
        <w:rPr>
          <w:rFonts w:ascii="Palatino Linotype" w:hAnsi="Palatino Linotype"/>
          <w:color w:val="000000" w:themeColor="text1"/>
        </w:rPr>
        <w:t xml:space="preserve">  </w:t>
      </w:r>
      <w:r w:rsidR="00331192" w:rsidRPr="000571D5">
        <w:rPr>
          <w:rFonts w:ascii="Palatino Linotype" w:hAnsi="Palatino Linotype"/>
          <w:color w:val="000000" w:themeColor="text1"/>
        </w:rPr>
        <w:t>The deployments</w:t>
      </w:r>
      <w:r w:rsidR="00E16A40" w:rsidRPr="000571D5">
        <w:rPr>
          <w:rFonts w:ascii="Palatino Linotype" w:hAnsi="Palatino Linotype"/>
          <w:color w:val="000000" w:themeColor="text1"/>
        </w:rPr>
        <w:t xml:space="preserve"> funded through this program are dependent on the purchase of a digital circuit from an existing ISP which is already servi</w:t>
      </w:r>
      <w:r w:rsidR="00E208A8" w:rsidRPr="000571D5">
        <w:rPr>
          <w:rFonts w:ascii="Palatino Linotype" w:hAnsi="Palatino Linotype"/>
          <w:color w:val="000000" w:themeColor="text1"/>
        </w:rPr>
        <w:t>ci</w:t>
      </w:r>
      <w:r w:rsidR="00E16A40" w:rsidRPr="000571D5">
        <w:rPr>
          <w:rFonts w:ascii="Palatino Linotype" w:hAnsi="Palatino Linotype"/>
          <w:color w:val="000000" w:themeColor="text1"/>
        </w:rPr>
        <w:t>ng the area.</w:t>
      </w:r>
      <w:r w:rsidR="001923DE" w:rsidRPr="000571D5">
        <w:rPr>
          <w:rStyle w:val="FootnoteReference"/>
          <w:rFonts w:ascii="Palatino Linotype" w:hAnsi="Palatino Linotype"/>
          <w:color w:val="000000" w:themeColor="text1"/>
        </w:rPr>
        <w:footnoteReference w:id="9"/>
      </w:r>
      <w:r w:rsidR="00E16A40" w:rsidRPr="000571D5">
        <w:rPr>
          <w:rFonts w:ascii="Palatino Linotype" w:hAnsi="Palatino Linotype"/>
          <w:color w:val="000000" w:themeColor="text1"/>
        </w:rPr>
        <w:t xml:space="preserve">  </w:t>
      </w:r>
      <w:r w:rsidRPr="000571D5">
        <w:rPr>
          <w:rFonts w:ascii="Palatino Linotype" w:hAnsi="Palatino Linotype"/>
          <w:color w:val="000000" w:themeColor="text1"/>
        </w:rPr>
        <w:t xml:space="preserve">Additionally, following their projects being “challenged” by an ISP, applicants never stated that the locations could </w:t>
      </w:r>
      <w:r w:rsidRPr="000571D5">
        <w:rPr>
          <w:rFonts w:ascii="Palatino Linotype" w:hAnsi="Palatino Linotype"/>
          <w:color w:val="000000" w:themeColor="text1"/>
          <w:u w:val="single"/>
        </w:rPr>
        <w:t xml:space="preserve">not </w:t>
      </w:r>
      <w:r w:rsidRPr="000571D5">
        <w:rPr>
          <w:rFonts w:ascii="Palatino Linotype" w:hAnsi="Palatino Linotype"/>
          <w:color w:val="000000" w:themeColor="text1"/>
        </w:rPr>
        <w:t>be served by that ISP.  Further, in response to a staff inquiry to an ISP of whether it could serve a sample of project locations reported to be “unwired,” the ISP indicated that it could indeed serve the locations and had existing customers within the building.</w:t>
      </w:r>
    </w:p>
    <w:p w14:paraId="1F7F3EED" w14:textId="77777777" w:rsidR="00383D23" w:rsidRDefault="00383D23" w:rsidP="000652D7">
      <w:pPr>
        <w:pStyle w:val="Default"/>
        <w:rPr>
          <w:rFonts w:ascii="Palatino Linotype" w:hAnsi="Palatino Linotype"/>
          <w:color w:val="000000" w:themeColor="text1"/>
        </w:rPr>
      </w:pPr>
    </w:p>
    <w:p w14:paraId="593A7E45" w14:textId="5161FB95" w:rsidR="00383D23" w:rsidRPr="000571D5" w:rsidRDefault="00383D23" w:rsidP="000652D7">
      <w:pPr>
        <w:pStyle w:val="Default"/>
        <w:rPr>
          <w:rFonts w:ascii="Palatino Linotype" w:hAnsi="Palatino Linotype"/>
          <w:color w:val="000000" w:themeColor="text1"/>
        </w:rPr>
      </w:pPr>
      <w:r w:rsidRPr="00383D23">
        <w:rPr>
          <w:rFonts w:ascii="Palatino Linotype" w:hAnsi="Palatino Linotype"/>
          <w:color w:val="000000" w:themeColor="text1"/>
        </w:rPr>
        <w:t xml:space="preserve">In sum, Public Housing projects approved to date are providing facilities grants to PSCs that allow them to offer residents limited broadband </w:t>
      </w:r>
      <w:r w:rsidR="00F13571">
        <w:rPr>
          <w:rFonts w:ascii="Palatino Linotype" w:hAnsi="Palatino Linotype"/>
          <w:color w:val="000000" w:themeColor="text1"/>
        </w:rPr>
        <w:t>services</w:t>
      </w:r>
      <w:r w:rsidRPr="00383D23">
        <w:rPr>
          <w:rFonts w:ascii="Palatino Linotype" w:hAnsi="Palatino Linotype"/>
          <w:color w:val="000000" w:themeColor="text1"/>
        </w:rPr>
        <w:t xml:space="preserve"> at no charge despite the existing availability of commercial services within the building units.  </w:t>
      </w:r>
    </w:p>
    <w:p w14:paraId="0B170B48" w14:textId="77777777" w:rsidR="006B231F" w:rsidRPr="000571D5" w:rsidRDefault="006B231F" w:rsidP="00846D53">
      <w:pPr>
        <w:pStyle w:val="Default"/>
        <w:rPr>
          <w:rFonts w:ascii="Palatino Linotype" w:hAnsi="Palatino Linotype"/>
          <w:color w:val="000000" w:themeColor="text1"/>
        </w:rPr>
      </w:pPr>
    </w:p>
    <w:p w14:paraId="0E188088" w14:textId="77777777" w:rsidR="00370BD8" w:rsidRPr="000571D5" w:rsidRDefault="00E532A0" w:rsidP="00370BD8">
      <w:pPr>
        <w:tabs>
          <w:tab w:val="right" w:pos="10080"/>
        </w:tabs>
        <w:rPr>
          <w:rFonts w:ascii="Palatino Linotype" w:hAnsi="Palatino Linotype"/>
          <w:b/>
          <w:color w:val="000000" w:themeColor="text1"/>
        </w:rPr>
      </w:pPr>
      <w:bookmarkStart w:id="1" w:name="_Toc444857025"/>
      <w:r w:rsidRPr="000571D5">
        <w:rPr>
          <w:rFonts w:ascii="Palatino Linotype" w:hAnsi="Palatino Linotype"/>
          <w:b/>
          <w:color w:val="000000" w:themeColor="text1"/>
        </w:rPr>
        <w:t>III.     APPLICANT REQUEST</w:t>
      </w:r>
      <w:bookmarkEnd w:id="1"/>
    </w:p>
    <w:p w14:paraId="5D079DCC" w14:textId="77777777" w:rsidR="006B231F" w:rsidRPr="000571D5" w:rsidRDefault="006B231F" w:rsidP="00846D53">
      <w:pPr>
        <w:pStyle w:val="Default"/>
        <w:rPr>
          <w:rFonts w:ascii="Palatino Linotype" w:hAnsi="Palatino Linotype"/>
          <w:color w:val="000000" w:themeColor="text1"/>
        </w:rPr>
      </w:pPr>
    </w:p>
    <w:p w14:paraId="083D8463" w14:textId="77777777" w:rsidR="00495DE8" w:rsidRPr="000571D5" w:rsidRDefault="00E532A0" w:rsidP="00846D53">
      <w:pPr>
        <w:pStyle w:val="Default"/>
        <w:rPr>
          <w:rFonts w:ascii="Palatino Linotype" w:hAnsi="Palatino Linotype"/>
          <w:color w:val="000000" w:themeColor="text1"/>
        </w:rPr>
      </w:pPr>
      <w:r w:rsidRPr="000571D5">
        <w:rPr>
          <w:rFonts w:ascii="Palatino Linotype" w:hAnsi="Palatino Linotype"/>
          <w:color w:val="000000" w:themeColor="text1"/>
        </w:rPr>
        <w:t>On January 15, 2015, HACSB (Lynwood and North E Street projects) submitted applications for CASF funding.  On October 1, 2015, CHW (Northwest Manors II projects at two locations) and Eden (Hayward Senior, Warner Creek, Jasmine Square, Monticelli, Rancho Park, Royal Court, Wheeler Manor 650 5</w:t>
      </w:r>
      <w:r w:rsidRPr="000571D5">
        <w:rPr>
          <w:rFonts w:ascii="Palatino Linotype" w:hAnsi="Palatino Linotype"/>
          <w:color w:val="000000" w:themeColor="text1"/>
          <w:vertAlign w:val="superscript"/>
        </w:rPr>
        <w:t>th</w:t>
      </w:r>
      <w:r w:rsidRPr="000571D5">
        <w:rPr>
          <w:rFonts w:ascii="Palatino Linotype" w:hAnsi="Palatino Linotype"/>
          <w:color w:val="000000" w:themeColor="text1"/>
        </w:rPr>
        <w:t xml:space="preserve"> Street Wheeler Manor 651 6</w:t>
      </w:r>
      <w:r w:rsidRPr="000571D5">
        <w:rPr>
          <w:rFonts w:ascii="Palatino Linotype" w:hAnsi="Palatino Linotype"/>
          <w:color w:val="000000" w:themeColor="text1"/>
          <w:vertAlign w:val="superscript"/>
        </w:rPr>
        <w:t>th</w:t>
      </w:r>
      <w:r w:rsidRPr="000571D5">
        <w:rPr>
          <w:rFonts w:ascii="Palatino Linotype" w:hAnsi="Palatino Linotype"/>
          <w:color w:val="000000" w:themeColor="text1"/>
        </w:rPr>
        <w:t xml:space="preserve"> Street projects) submitted applications for CASF funding.  </w:t>
      </w:r>
    </w:p>
    <w:p w14:paraId="3B0C854F" w14:textId="77777777" w:rsidR="003D2625" w:rsidRPr="000571D5" w:rsidRDefault="003D2625" w:rsidP="00846D53">
      <w:pPr>
        <w:pStyle w:val="Default"/>
        <w:rPr>
          <w:rFonts w:ascii="Palatino Linotype" w:hAnsi="Palatino Linotype"/>
          <w:color w:val="000000" w:themeColor="text1"/>
        </w:rPr>
      </w:pPr>
    </w:p>
    <w:p w14:paraId="6A62FC24" w14:textId="77777777" w:rsidR="005D3F92" w:rsidRPr="000571D5" w:rsidRDefault="00E532A0" w:rsidP="005D3F92">
      <w:pPr>
        <w:pStyle w:val="Default"/>
        <w:rPr>
          <w:rFonts w:ascii="Palatino Linotype" w:hAnsi="Palatino Linotype"/>
          <w:color w:val="000000" w:themeColor="text1"/>
        </w:rPr>
      </w:pPr>
      <w:r w:rsidRPr="000571D5">
        <w:rPr>
          <w:rFonts w:ascii="Palatino Linotype" w:hAnsi="Palatino Linotype"/>
          <w:i/>
          <w:color w:val="000000" w:themeColor="text1"/>
        </w:rPr>
        <w:t>Applicants:</w:t>
      </w:r>
      <w:r w:rsidRPr="000571D5">
        <w:rPr>
          <w:rFonts w:ascii="Palatino Linotype" w:hAnsi="Palatino Linotype"/>
          <w:color w:val="000000" w:themeColor="text1"/>
        </w:rPr>
        <w:t xml:space="preserve">  HACSB (established in 1941), is a public housing agency that administers 1,700 public housing units and 8,400 Housing Choice Voucher units.</w:t>
      </w:r>
      <w:r w:rsidRPr="000571D5">
        <w:rPr>
          <w:rStyle w:val="FootnoteReference"/>
          <w:rFonts w:ascii="Palatino Linotype" w:hAnsi="Palatino Linotype"/>
          <w:color w:val="000000" w:themeColor="text1"/>
        </w:rPr>
        <w:footnoteReference w:id="10"/>
      </w:r>
      <w:r w:rsidRPr="000571D5">
        <w:rPr>
          <w:rFonts w:ascii="Palatino Linotype" w:hAnsi="Palatino Linotype"/>
          <w:color w:val="000000" w:themeColor="text1"/>
        </w:rPr>
        <w:t xml:space="preserve">  The agency serves up to 30,000 people and has a waitlist of 54,000 (for all major HACSB programs).</w:t>
      </w:r>
      <w:r w:rsidRPr="000571D5">
        <w:rPr>
          <w:rStyle w:val="FootnoteReference"/>
          <w:rFonts w:ascii="Palatino Linotype" w:hAnsi="Palatino Linotype"/>
          <w:color w:val="000000" w:themeColor="text1"/>
        </w:rPr>
        <w:footnoteReference w:id="11"/>
      </w:r>
      <w:r w:rsidRPr="000571D5">
        <w:rPr>
          <w:rFonts w:ascii="Palatino Linotype" w:hAnsi="Palatino Linotype"/>
          <w:color w:val="000000" w:themeColor="text1"/>
        </w:rPr>
        <w:t xml:space="preserve">  HACSB is participating in the HUD ‘Moving to Work’ program.  This program allows public housing authorities to use federal funds to design and implement innovative strategies to help residents find employment and become self-sufficient.   </w:t>
      </w:r>
    </w:p>
    <w:p w14:paraId="726FE61D" w14:textId="77777777" w:rsidR="005D3F92" w:rsidRPr="000571D5" w:rsidRDefault="005D3F92" w:rsidP="005D3F92">
      <w:pPr>
        <w:pStyle w:val="Default"/>
        <w:rPr>
          <w:rFonts w:ascii="Palatino Linotype" w:hAnsi="Palatino Linotype"/>
          <w:color w:val="000000" w:themeColor="text1"/>
        </w:rPr>
      </w:pPr>
    </w:p>
    <w:p w14:paraId="49DBDC19" w14:textId="77777777" w:rsidR="005D3F92" w:rsidRPr="000571D5" w:rsidRDefault="00E532A0" w:rsidP="005D3F92">
      <w:pPr>
        <w:pStyle w:val="Default"/>
        <w:rPr>
          <w:rFonts w:ascii="Palatino Linotype" w:hAnsi="Palatino Linotype"/>
          <w:color w:val="000000" w:themeColor="text1"/>
        </w:rPr>
      </w:pPr>
      <w:r w:rsidRPr="000571D5">
        <w:rPr>
          <w:rFonts w:ascii="Palatino Linotype" w:hAnsi="Palatino Linotype"/>
          <w:color w:val="000000" w:themeColor="text1"/>
        </w:rPr>
        <w:t>CHW has been approved by the IRS as a 501(c)(3) nonprofit organization for providing affordable housing since 1992.  CHW has over 2,400 rental apartments in 34 communities statewide, has a less than 1% vacancy rate and a wait list of 36,000.</w:t>
      </w:r>
      <w:r w:rsidRPr="000571D5">
        <w:rPr>
          <w:rStyle w:val="FootnoteReference"/>
          <w:rFonts w:ascii="Palatino Linotype" w:hAnsi="Palatino Linotype"/>
          <w:color w:val="000000" w:themeColor="text1"/>
        </w:rPr>
        <w:footnoteReference w:id="12"/>
      </w:r>
      <w:r w:rsidRPr="000571D5">
        <w:rPr>
          <w:rFonts w:ascii="Palatino Linotype" w:hAnsi="Palatino Linotype"/>
          <w:color w:val="000000" w:themeColor="text1"/>
        </w:rPr>
        <w:t xml:space="preserve">  </w:t>
      </w:r>
    </w:p>
    <w:p w14:paraId="129784C6" w14:textId="77777777" w:rsidR="005D3F92" w:rsidRPr="000571D5" w:rsidRDefault="005D3F92" w:rsidP="00846D53">
      <w:pPr>
        <w:pStyle w:val="Default"/>
        <w:rPr>
          <w:rFonts w:ascii="Palatino Linotype" w:hAnsi="Palatino Linotype"/>
          <w:color w:val="000000" w:themeColor="text1"/>
        </w:rPr>
      </w:pPr>
    </w:p>
    <w:p w14:paraId="59CD63AA" w14:textId="77777777" w:rsidR="00BA36D6" w:rsidRPr="000571D5" w:rsidRDefault="00E532A0" w:rsidP="00846D53">
      <w:pPr>
        <w:pStyle w:val="Default"/>
        <w:rPr>
          <w:rFonts w:ascii="Palatino Linotype" w:hAnsi="Palatino Linotype"/>
          <w:color w:val="000000" w:themeColor="text1"/>
        </w:rPr>
      </w:pPr>
      <w:r w:rsidRPr="000571D5">
        <w:rPr>
          <w:rFonts w:ascii="Palatino Linotype" w:hAnsi="Palatino Linotype"/>
          <w:color w:val="000000" w:themeColor="text1"/>
        </w:rPr>
        <w:t>Eden has been approved by the IRS as a 501(c)(3) nonprofit organization for providing affordable housing since 1968.  According to its 2014 Annual Report, Eden has a 1% vacancy rate and a wait list of 17,000.</w:t>
      </w:r>
      <w:r w:rsidRPr="000571D5">
        <w:rPr>
          <w:rStyle w:val="FootnoteReference"/>
          <w:rFonts w:ascii="Palatino Linotype" w:hAnsi="Palatino Linotype"/>
          <w:color w:val="000000" w:themeColor="text1"/>
        </w:rPr>
        <w:footnoteReference w:id="13"/>
      </w:r>
      <w:r w:rsidRPr="000571D5">
        <w:rPr>
          <w:rFonts w:ascii="Palatino Linotype" w:hAnsi="Palatino Linotype"/>
          <w:color w:val="000000" w:themeColor="text1"/>
        </w:rPr>
        <w:t xml:space="preserve">  The 2014 report states that Eden has 1,963 homes that Eden has “built, acquired and preserved” for 5,260 low-income residents (and above).  </w:t>
      </w:r>
    </w:p>
    <w:p w14:paraId="37755264" w14:textId="77777777" w:rsidR="00C26CF7" w:rsidRPr="000571D5" w:rsidDel="005D3F92" w:rsidRDefault="00C26CF7" w:rsidP="00846D53">
      <w:pPr>
        <w:pStyle w:val="Default"/>
        <w:rPr>
          <w:rFonts w:ascii="Palatino Linotype" w:hAnsi="Palatino Linotype"/>
          <w:i/>
          <w:color w:val="000000" w:themeColor="text1"/>
        </w:rPr>
      </w:pPr>
    </w:p>
    <w:p w14:paraId="2AE693CE" w14:textId="77777777" w:rsidR="000438D0" w:rsidRPr="000571D5" w:rsidRDefault="00E532A0" w:rsidP="000438D0">
      <w:pPr>
        <w:pStyle w:val="Default"/>
        <w:rPr>
          <w:rFonts w:ascii="Palatino Linotype" w:hAnsi="Palatino Linotype"/>
          <w:color w:val="000000" w:themeColor="text1"/>
        </w:rPr>
      </w:pPr>
      <w:r w:rsidRPr="000571D5">
        <w:rPr>
          <w:rFonts w:ascii="Palatino Linotype" w:hAnsi="Palatino Linotype"/>
          <w:i/>
          <w:color w:val="000000" w:themeColor="text1"/>
        </w:rPr>
        <w:t>Projects</w:t>
      </w:r>
      <w:r w:rsidRPr="000571D5">
        <w:rPr>
          <w:rFonts w:ascii="Palatino Linotype" w:hAnsi="Palatino Linotype"/>
          <w:color w:val="000000" w:themeColor="text1"/>
        </w:rPr>
        <w:t>:  HACSB requests funding for the installation of Ethernet over existing category 5 cable and includes equipment for broadband signal routing.  HACSB will be building alternate facilities for the backhaul with outside funding.</w:t>
      </w:r>
      <w:r w:rsidRPr="000571D5">
        <w:rPr>
          <w:rStyle w:val="FootnoteReference"/>
          <w:rFonts w:ascii="Palatino Linotype" w:hAnsi="Palatino Linotype"/>
          <w:color w:val="000000" w:themeColor="text1"/>
        </w:rPr>
        <w:footnoteReference w:id="14"/>
      </w:r>
      <w:r w:rsidRPr="000571D5">
        <w:rPr>
          <w:rFonts w:ascii="Palatino Linotype" w:hAnsi="Palatino Linotype"/>
          <w:color w:val="000000" w:themeColor="text1"/>
        </w:rPr>
        <w:t xml:space="preserve">  According to </w:t>
      </w:r>
      <w:r w:rsidR="00372019" w:rsidRPr="000571D5">
        <w:rPr>
          <w:rFonts w:ascii="Palatino Linotype" w:hAnsi="Palatino Linotype"/>
          <w:color w:val="000000" w:themeColor="text1"/>
        </w:rPr>
        <w:t>HACSB</w:t>
      </w:r>
      <w:r w:rsidRPr="000571D5">
        <w:rPr>
          <w:rFonts w:ascii="Palatino Linotype" w:hAnsi="Palatino Linotype"/>
          <w:color w:val="000000" w:themeColor="text1"/>
        </w:rPr>
        <w:t xml:space="preserve">, this installation will be able to provide a minimum download speed of 6 mbps during peak use hours.  </w:t>
      </w:r>
    </w:p>
    <w:p w14:paraId="6AC118A1" w14:textId="77777777" w:rsidR="000438D0" w:rsidRPr="000571D5" w:rsidRDefault="000438D0" w:rsidP="000438D0">
      <w:pPr>
        <w:pStyle w:val="Default"/>
        <w:rPr>
          <w:rFonts w:ascii="Palatino Linotype" w:hAnsi="Palatino Linotype"/>
          <w:color w:val="000000" w:themeColor="text1"/>
        </w:rPr>
      </w:pPr>
    </w:p>
    <w:p w14:paraId="0CDACDAE" w14:textId="77777777" w:rsidR="00372019" w:rsidRPr="000571D5" w:rsidRDefault="00E532A0" w:rsidP="00846D53">
      <w:pPr>
        <w:pStyle w:val="Default"/>
        <w:rPr>
          <w:rFonts w:ascii="Palatino Linotype" w:hAnsi="Palatino Linotype"/>
          <w:color w:val="000000" w:themeColor="text1"/>
        </w:rPr>
      </w:pPr>
      <w:r w:rsidRPr="000571D5">
        <w:rPr>
          <w:rFonts w:ascii="Palatino Linotype" w:hAnsi="Palatino Linotype"/>
          <w:color w:val="000000" w:themeColor="text1"/>
        </w:rPr>
        <w:t>CHW</w:t>
      </w:r>
      <w:r w:rsidR="008774A7" w:rsidRPr="000571D5">
        <w:rPr>
          <w:rFonts w:ascii="Palatino Linotype" w:hAnsi="Palatino Linotype"/>
          <w:color w:val="000000" w:themeColor="text1"/>
        </w:rPr>
        <w:t xml:space="preserve"> </w:t>
      </w:r>
      <w:r w:rsidRPr="000571D5">
        <w:rPr>
          <w:rFonts w:ascii="Palatino Linotype" w:hAnsi="Palatino Linotype"/>
          <w:color w:val="000000" w:themeColor="text1"/>
        </w:rPr>
        <w:t>requests funding for the installation of a low cost xDSL (wired) network that utilizes existing copper (inside) wiring and includes equipment for broadband signal routing.</w:t>
      </w:r>
      <w:r w:rsidRPr="000571D5">
        <w:rPr>
          <w:rStyle w:val="FootnoteReference"/>
          <w:rFonts w:ascii="Palatino Linotype" w:hAnsi="Palatino Linotype"/>
          <w:color w:val="000000" w:themeColor="text1"/>
        </w:rPr>
        <w:footnoteReference w:id="15"/>
      </w:r>
      <w:r w:rsidRPr="000571D5">
        <w:rPr>
          <w:rFonts w:ascii="Palatino Linotype" w:hAnsi="Palatino Linotype"/>
          <w:color w:val="000000" w:themeColor="text1"/>
        </w:rPr>
        <w:t xml:space="preserve">  According to CHW, this installation will be able to provide a minimum download speed of 2 to 2.5 mbps during peak use hours.  </w:t>
      </w:r>
    </w:p>
    <w:p w14:paraId="411142FC" w14:textId="77777777" w:rsidR="000438D0" w:rsidRPr="000571D5" w:rsidRDefault="000438D0" w:rsidP="00846D53">
      <w:pPr>
        <w:pStyle w:val="Default"/>
        <w:rPr>
          <w:rFonts w:ascii="Palatino Linotype" w:hAnsi="Palatino Linotype"/>
          <w:color w:val="000000" w:themeColor="text1"/>
        </w:rPr>
      </w:pPr>
    </w:p>
    <w:p w14:paraId="4E438EEB" w14:textId="77777777" w:rsidR="005547B2" w:rsidRPr="000571D5" w:rsidRDefault="00E532A0" w:rsidP="00846D53">
      <w:pPr>
        <w:pStyle w:val="Default"/>
        <w:rPr>
          <w:rFonts w:ascii="Palatino Linotype" w:hAnsi="Palatino Linotype"/>
          <w:color w:val="000000" w:themeColor="text1"/>
        </w:rPr>
      </w:pPr>
      <w:r w:rsidRPr="000571D5">
        <w:rPr>
          <w:rFonts w:ascii="Palatino Linotype" w:hAnsi="Palatino Linotype"/>
          <w:color w:val="000000" w:themeColor="text1"/>
        </w:rPr>
        <w:t>Eden</w:t>
      </w:r>
      <w:r w:rsidR="008774A7" w:rsidRPr="000571D5">
        <w:rPr>
          <w:rFonts w:ascii="Palatino Linotype" w:hAnsi="Palatino Linotype"/>
          <w:color w:val="000000" w:themeColor="text1"/>
        </w:rPr>
        <w:t xml:space="preserve"> </w:t>
      </w:r>
      <w:r w:rsidRPr="000571D5">
        <w:rPr>
          <w:rFonts w:ascii="Palatino Linotype" w:hAnsi="Palatino Linotype"/>
          <w:color w:val="000000" w:themeColor="text1"/>
        </w:rPr>
        <w:t>requests funding for the installation of a low-cost, wireless mesh WiFi 802.11n network architecture consisting of gateway routers and repeaters as wireless access points.</w:t>
      </w:r>
      <w:r w:rsidRPr="000571D5">
        <w:rPr>
          <w:rStyle w:val="FootnoteReference"/>
          <w:rFonts w:ascii="Palatino Linotype" w:hAnsi="Palatino Linotype"/>
          <w:color w:val="000000" w:themeColor="text1"/>
        </w:rPr>
        <w:footnoteReference w:id="16"/>
      </w:r>
      <w:r w:rsidRPr="000571D5">
        <w:rPr>
          <w:rFonts w:ascii="Palatino Linotype" w:hAnsi="Palatino Linotype"/>
          <w:color w:val="000000" w:themeColor="text1"/>
        </w:rPr>
        <w:t xml:space="preserve">  According to </w:t>
      </w:r>
      <w:r w:rsidR="002E63DD" w:rsidRPr="000571D5">
        <w:rPr>
          <w:rFonts w:ascii="Palatino Linotype" w:hAnsi="Palatino Linotype"/>
          <w:color w:val="000000" w:themeColor="text1"/>
        </w:rPr>
        <w:t>Eden</w:t>
      </w:r>
      <w:r w:rsidRPr="000571D5">
        <w:rPr>
          <w:rFonts w:ascii="Palatino Linotype" w:hAnsi="Palatino Linotype"/>
          <w:color w:val="000000" w:themeColor="text1"/>
        </w:rPr>
        <w:t xml:space="preserve">, this installation will be able to provide a minimum download speed of 1.5 mbps during peak use hours.  </w:t>
      </w:r>
    </w:p>
    <w:p w14:paraId="10CEB141" w14:textId="77777777" w:rsidR="00F360E4" w:rsidRPr="000571D5" w:rsidRDefault="00F360E4" w:rsidP="00846D53">
      <w:pPr>
        <w:pStyle w:val="Default"/>
        <w:rPr>
          <w:rFonts w:ascii="Palatino Linotype" w:hAnsi="Palatino Linotype"/>
          <w:color w:val="000000" w:themeColor="text1"/>
        </w:rPr>
      </w:pPr>
    </w:p>
    <w:p w14:paraId="6472C2F5" w14:textId="77777777" w:rsidR="00F360E4" w:rsidRPr="000571D5" w:rsidRDefault="00F360E4" w:rsidP="00846D53">
      <w:pPr>
        <w:pStyle w:val="Default"/>
        <w:rPr>
          <w:rFonts w:ascii="Palatino Linotype" w:hAnsi="Palatino Linotype"/>
          <w:color w:val="000000" w:themeColor="text1"/>
        </w:rPr>
      </w:pPr>
      <w:r w:rsidRPr="000571D5">
        <w:rPr>
          <w:rFonts w:ascii="Palatino Linotype" w:hAnsi="Palatino Linotype"/>
          <w:color w:val="000000" w:themeColor="text1"/>
        </w:rPr>
        <w:t xml:space="preserve">For both the WiFi and xDSL installations, CHW and Eden will be purchasing backhaul from existing ISPs such as Charter </w:t>
      </w:r>
      <w:r w:rsidR="00444C84" w:rsidRPr="000571D5">
        <w:rPr>
          <w:rFonts w:ascii="Palatino Linotype" w:hAnsi="Palatino Linotype"/>
          <w:color w:val="000000" w:themeColor="text1"/>
        </w:rPr>
        <w:t xml:space="preserve">Communications (Charter) </w:t>
      </w:r>
      <w:r w:rsidRPr="000571D5">
        <w:rPr>
          <w:rFonts w:ascii="Palatino Linotype" w:hAnsi="Palatino Linotype"/>
          <w:color w:val="000000" w:themeColor="text1"/>
        </w:rPr>
        <w:t>or Comcast</w:t>
      </w:r>
      <w:r w:rsidR="00444C84" w:rsidRPr="000571D5">
        <w:rPr>
          <w:rFonts w:ascii="Palatino Linotype" w:hAnsi="Palatino Linotype"/>
          <w:color w:val="000000" w:themeColor="text1"/>
        </w:rPr>
        <w:t xml:space="preserve"> Corporation (Comcast)</w:t>
      </w:r>
      <w:r w:rsidRPr="000571D5">
        <w:rPr>
          <w:rFonts w:ascii="Palatino Linotype" w:hAnsi="Palatino Linotype"/>
          <w:color w:val="000000" w:themeColor="text1"/>
        </w:rPr>
        <w:t>.</w:t>
      </w:r>
      <w:r w:rsidRPr="000571D5">
        <w:rPr>
          <w:rStyle w:val="FootnoteReference"/>
          <w:rFonts w:ascii="Palatino Linotype" w:hAnsi="Palatino Linotype"/>
          <w:color w:val="000000" w:themeColor="text1"/>
        </w:rPr>
        <w:t xml:space="preserve"> </w:t>
      </w:r>
    </w:p>
    <w:p w14:paraId="21AE21A0" w14:textId="77777777" w:rsidR="003B1C79" w:rsidRPr="000571D5" w:rsidRDefault="003B1C79" w:rsidP="00846D53">
      <w:pPr>
        <w:pStyle w:val="Default"/>
        <w:rPr>
          <w:rFonts w:ascii="Palatino Linotype" w:hAnsi="Palatino Linotype"/>
          <w:color w:val="000000" w:themeColor="text1"/>
        </w:rPr>
      </w:pPr>
    </w:p>
    <w:p w14:paraId="304CAAD4" w14:textId="77777777" w:rsidR="000438D0" w:rsidRPr="000571D5" w:rsidRDefault="005547B2" w:rsidP="000438D0">
      <w:pPr>
        <w:pStyle w:val="Default"/>
        <w:rPr>
          <w:rFonts w:ascii="Palatino Linotype" w:hAnsi="Palatino Linotype"/>
          <w:color w:val="000000" w:themeColor="text1"/>
        </w:rPr>
      </w:pPr>
      <w:r w:rsidRPr="000571D5">
        <w:rPr>
          <w:rFonts w:ascii="Palatino Linotype" w:hAnsi="Palatino Linotype"/>
          <w:i/>
          <w:color w:val="000000" w:themeColor="text1"/>
        </w:rPr>
        <w:t>Pricing</w:t>
      </w:r>
      <w:r w:rsidR="00E532A0" w:rsidRPr="000571D5">
        <w:rPr>
          <w:rFonts w:ascii="Palatino Linotype" w:hAnsi="Palatino Linotype"/>
          <w:i/>
          <w:color w:val="000000" w:themeColor="text1"/>
        </w:rPr>
        <w:t>:</w:t>
      </w:r>
      <w:r w:rsidR="00E532A0" w:rsidRPr="000571D5">
        <w:rPr>
          <w:rFonts w:ascii="Palatino Linotype" w:hAnsi="Palatino Linotype"/>
          <w:color w:val="000000" w:themeColor="text1"/>
        </w:rPr>
        <w:t xml:space="preserve">  HACSB will be providing broadband connectivity to residents at the cost of $20 per month.  Residents will have the opportunity to purchase greater bandwidth at a cost premium.</w:t>
      </w:r>
      <w:r w:rsidR="00E532A0" w:rsidRPr="000571D5">
        <w:rPr>
          <w:rStyle w:val="FootnoteReference"/>
          <w:rFonts w:ascii="Palatino Linotype" w:hAnsi="Palatino Linotype"/>
          <w:color w:val="000000" w:themeColor="text1"/>
        </w:rPr>
        <w:footnoteReference w:id="17"/>
      </w:r>
      <w:r w:rsidR="00E532A0" w:rsidRPr="000571D5">
        <w:rPr>
          <w:rFonts w:ascii="Palatino Linotype" w:hAnsi="Palatino Linotype"/>
          <w:color w:val="000000" w:themeColor="text1"/>
        </w:rPr>
        <w:t xml:space="preserve"> </w:t>
      </w:r>
    </w:p>
    <w:p w14:paraId="0842473C" w14:textId="77777777" w:rsidR="000438D0" w:rsidRPr="000571D5" w:rsidRDefault="000438D0" w:rsidP="000438D0">
      <w:pPr>
        <w:pStyle w:val="Default"/>
        <w:rPr>
          <w:rFonts w:ascii="Palatino Linotype" w:hAnsi="Palatino Linotype"/>
          <w:color w:val="000000" w:themeColor="text1"/>
        </w:rPr>
      </w:pPr>
    </w:p>
    <w:p w14:paraId="71B36F75" w14:textId="77777777" w:rsidR="000438D0" w:rsidRPr="000571D5" w:rsidRDefault="00F360E4" w:rsidP="00846D53">
      <w:pPr>
        <w:pStyle w:val="Default"/>
        <w:rPr>
          <w:rFonts w:ascii="Palatino Linotype" w:hAnsi="Palatino Linotype"/>
          <w:color w:val="000000" w:themeColor="text1"/>
        </w:rPr>
      </w:pPr>
      <w:r w:rsidRPr="000571D5">
        <w:rPr>
          <w:rFonts w:ascii="Palatino Linotype" w:hAnsi="Palatino Linotype"/>
          <w:color w:val="000000" w:themeColor="text1"/>
        </w:rPr>
        <w:t xml:space="preserve">CHW and Eden </w:t>
      </w:r>
      <w:r w:rsidR="00E532A0" w:rsidRPr="000571D5">
        <w:rPr>
          <w:rFonts w:ascii="Palatino Linotype" w:hAnsi="Palatino Linotype"/>
          <w:color w:val="000000" w:themeColor="text1"/>
        </w:rPr>
        <w:t xml:space="preserve">will be </w:t>
      </w:r>
      <w:r w:rsidR="002E63DD" w:rsidRPr="000571D5">
        <w:rPr>
          <w:rFonts w:ascii="Palatino Linotype" w:hAnsi="Palatino Linotype"/>
          <w:color w:val="000000" w:themeColor="text1"/>
        </w:rPr>
        <w:t>offering the installed connectivity at no charge to residents</w:t>
      </w:r>
      <w:r w:rsidR="00E532A0" w:rsidRPr="000571D5">
        <w:rPr>
          <w:rFonts w:ascii="Palatino Linotype" w:hAnsi="Palatino Linotype"/>
          <w:color w:val="000000" w:themeColor="text1"/>
        </w:rPr>
        <w:t xml:space="preserve">.  </w:t>
      </w:r>
    </w:p>
    <w:p w14:paraId="0BC7D138" w14:textId="77777777" w:rsidR="00392F9A" w:rsidRPr="00B8240F" w:rsidRDefault="00392F9A" w:rsidP="00846D53">
      <w:pPr>
        <w:pStyle w:val="Default"/>
        <w:rPr>
          <w:rFonts w:ascii="Palatino Linotype" w:hAnsi="Palatino Linotype"/>
          <w:color w:val="000000" w:themeColor="text1"/>
        </w:rPr>
      </w:pPr>
    </w:p>
    <w:p w14:paraId="0BB2129C" w14:textId="77777777" w:rsidR="00846D53" w:rsidRPr="00B8240F" w:rsidRDefault="00E532A0" w:rsidP="00846D53">
      <w:pPr>
        <w:pStyle w:val="NormalWeb"/>
        <w:rPr>
          <w:rFonts w:ascii="Palatino Linotype" w:hAnsi="Palatino Linotype"/>
          <w:color w:val="000000" w:themeColor="text1"/>
        </w:rPr>
      </w:pPr>
      <w:r w:rsidRPr="00B8240F">
        <w:rPr>
          <w:rFonts w:ascii="Palatino Linotype" w:hAnsi="Palatino Linotype" w:cs="Palatino Linotype"/>
          <w:b/>
          <w:color w:val="000000" w:themeColor="text1"/>
        </w:rPr>
        <w:t>III.     NOTICES AND CHALLENGES</w:t>
      </w:r>
    </w:p>
    <w:p w14:paraId="4980A62A" w14:textId="77777777" w:rsidR="002E63DD" w:rsidRPr="00B8240F" w:rsidRDefault="00E532A0" w:rsidP="00846D53">
      <w:pPr>
        <w:pStyle w:val="Default"/>
        <w:rPr>
          <w:rFonts w:ascii="Palatino Linotype" w:hAnsi="Palatino Linotype" w:cs="Palatino Linotype"/>
          <w:color w:val="000000" w:themeColor="text1"/>
        </w:rPr>
      </w:pPr>
      <w:r w:rsidRPr="00B8240F">
        <w:rPr>
          <w:rFonts w:ascii="Palatino Linotype" w:hAnsi="Palatino Linotype" w:cs="Palatino Linotype"/>
          <w:color w:val="000000" w:themeColor="text1"/>
        </w:rPr>
        <w:t>On February 2, 2015, CD posted a list of proposed projects on the Commission’s CASF Public Housing account webpage,</w:t>
      </w:r>
      <w:r w:rsidRPr="00B8240F">
        <w:rPr>
          <w:rStyle w:val="FootnoteReference"/>
          <w:rFonts w:ascii="Palatino Linotype" w:hAnsi="Palatino Linotype" w:cs="Palatino Linotype"/>
          <w:color w:val="000000" w:themeColor="text1"/>
        </w:rPr>
        <w:footnoteReference w:id="18"/>
      </w:r>
      <w:r w:rsidRPr="00B8240F">
        <w:rPr>
          <w:rFonts w:ascii="Palatino Linotype" w:hAnsi="Palatino Linotype" w:cs="Palatino Linotype"/>
          <w:color w:val="000000" w:themeColor="text1"/>
        </w:rPr>
        <w:t xml:space="preserve"> and sent notices regarding the proposed projects to its email distribution list.  CD staff received challenges to two HACSB projects from Charter.  On October 8, 2015, CD posted a list of proposed projects and sent notices regarding the proposed projects to its email distribution list.  CD received challenges from Charter for CHW’s two projects.  CD also received challenges to Eden’s projects from Charter (six projects) and Comcast (two projects).  </w:t>
      </w:r>
    </w:p>
    <w:p w14:paraId="67737BA3" w14:textId="77777777" w:rsidR="000438D0" w:rsidRPr="00B8240F" w:rsidRDefault="000438D0" w:rsidP="00846D53">
      <w:pPr>
        <w:pStyle w:val="Default"/>
        <w:rPr>
          <w:rFonts w:ascii="Palatino Linotype" w:hAnsi="Palatino Linotype" w:cs="Palatino Linotype"/>
          <w:color w:val="000000" w:themeColor="text1"/>
        </w:rPr>
      </w:pPr>
    </w:p>
    <w:p w14:paraId="545B0903" w14:textId="77777777" w:rsidR="005653A8" w:rsidRDefault="00E532A0" w:rsidP="00846D53">
      <w:pPr>
        <w:pStyle w:val="Default"/>
        <w:rPr>
          <w:rFonts w:ascii="Palatino Linotype" w:hAnsi="Palatino Linotype"/>
          <w:color w:val="000000" w:themeColor="text1"/>
        </w:rPr>
      </w:pPr>
      <w:r w:rsidRPr="00B8240F">
        <w:rPr>
          <w:rFonts w:ascii="Palatino Linotype" w:hAnsi="Palatino Linotype" w:cs="Palatino Linotype"/>
          <w:color w:val="000000" w:themeColor="text1"/>
        </w:rPr>
        <w:t>Table 1, below, lists the 12</w:t>
      </w:r>
      <w:r w:rsidRPr="00B8240F">
        <w:rPr>
          <w:rFonts w:ascii="Palatino Linotype" w:hAnsi="Palatino Linotype"/>
          <w:color w:val="000000" w:themeColor="text1"/>
        </w:rPr>
        <w:t xml:space="preserve"> projects challenged by the ISP. </w:t>
      </w:r>
    </w:p>
    <w:p w14:paraId="4375880A" w14:textId="77777777" w:rsidR="00F360E4" w:rsidRPr="00B8240F" w:rsidRDefault="00F360E4" w:rsidP="00846D53">
      <w:pPr>
        <w:pStyle w:val="Default"/>
        <w:rPr>
          <w:rFonts w:ascii="Palatino Linotype" w:hAnsi="Palatino Linotype"/>
          <w:color w:val="000000" w:themeColor="text1"/>
        </w:rPr>
      </w:pPr>
    </w:p>
    <w:p w14:paraId="0EF0BA35" w14:textId="77777777" w:rsidR="005653A8" w:rsidRPr="00654CBE" w:rsidRDefault="00654CBE" w:rsidP="00BA7C6C">
      <w:pPr>
        <w:pStyle w:val="Default"/>
        <w:jc w:val="center"/>
        <w:rPr>
          <w:rFonts w:ascii="Palatino Linotype" w:hAnsi="Palatino Linotype" w:cs="Palatino Linotype"/>
          <w:color w:val="000000" w:themeColor="text1"/>
        </w:rPr>
      </w:pPr>
      <w:r w:rsidRPr="00654CBE">
        <w:rPr>
          <w:noProof/>
        </w:rPr>
        <w:drawing>
          <wp:inline distT="0" distB="0" distL="0" distR="0" wp14:anchorId="23D19E13" wp14:editId="3BAA0749">
            <wp:extent cx="5943600" cy="374623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46237"/>
                    </a:xfrm>
                    <a:prstGeom prst="rect">
                      <a:avLst/>
                    </a:prstGeom>
                    <a:noFill/>
                    <a:ln>
                      <a:noFill/>
                    </a:ln>
                  </pic:spPr>
                </pic:pic>
              </a:graphicData>
            </a:graphic>
          </wp:inline>
        </w:drawing>
      </w:r>
    </w:p>
    <w:p w14:paraId="44243D2C" w14:textId="77777777" w:rsidR="00846D53" w:rsidRDefault="00846D53" w:rsidP="00846D53">
      <w:pPr>
        <w:pStyle w:val="Default"/>
        <w:rPr>
          <w:rFonts w:ascii="Palatino Linotype" w:hAnsi="Palatino Linotype" w:cs="Palatino Linotype"/>
          <w:color w:val="000000" w:themeColor="text1"/>
        </w:rPr>
      </w:pPr>
    </w:p>
    <w:p w14:paraId="5BAC93C8" w14:textId="77777777" w:rsidR="00331192" w:rsidRDefault="00331192" w:rsidP="00846D53">
      <w:pPr>
        <w:pStyle w:val="Default"/>
        <w:rPr>
          <w:rFonts w:ascii="Palatino Linotype" w:hAnsi="Palatino Linotype" w:cs="Palatino Linotype"/>
          <w:color w:val="000000" w:themeColor="text1"/>
        </w:rPr>
      </w:pPr>
    </w:p>
    <w:p w14:paraId="06AE4796" w14:textId="77777777" w:rsidR="00331192" w:rsidRDefault="00331192" w:rsidP="00846D53">
      <w:pPr>
        <w:pStyle w:val="Default"/>
        <w:rPr>
          <w:rFonts w:ascii="Palatino Linotype" w:hAnsi="Palatino Linotype" w:cs="Palatino Linotype"/>
          <w:color w:val="000000" w:themeColor="text1"/>
        </w:rPr>
      </w:pPr>
    </w:p>
    <w:p w14:paraId="66FCF67E" w14:textId="77777777" w:rsidR="00331192" w:rsidRPr="00654CBE" w:rsidRDefault="00331192" w:rsidP="00846D53">
      <w:pPr>
        <w:pStyle w:val="Default"/>
        <w:rPr>
          <w:rFonts w:ascii="Palatino Linotype" w:hAnsi="Palatino Linotype" w:cs="Palatino Linotype"/>
          <w:color w:val="000000" w:themeColor="text1"/>
        </w:rPr>
      </w:pPr>
    </w:p>
    <w:p w14:paraId="3D4BAA7C" w14:textId="77777777" w:rsidR="00926C83" w:rsidRPr="00654CBE" w:rsidRDefault="00926C83" w:rsidP="00926C83">
      <w:pPr>
        <w:pStyle w:val="NormalWeb"/>
        <w:rPr>
          <w:rFonts w:ascii="Palatino Linotype" w:hAnsi="Palatino Linotype" w:cs="Palatino Linotype"/>
          <w:b/>
          <w:color w:val="000000" w:themeColor="text1"/>
        </w:rPr>
      </w:pPr>
      <w:r w:rsidRPr="00654CBE">
        <w:rPr>
          <w:rFonts w:ascii="Palatino Linotype" w:hAnsi="Palatino Linotype" w:cs="Palatino Linotype"/>
          <w:b/>
          <w:color w:val="000000" w:themeColor="text1"/>
        </w:rPr>
        <w:t xml:space="preserve">IV.     </w:t>
      </w:r>
      <w:r w:rsidR="00763D1D" w:rsidRPr="00654CBE">
        <w:rPr>
          <w:rFonts w:ascii="Palatino Linotype" w:hAnsi="Palatino Linotype" w:cs="Palatino Linotype"/>
          <w:b/>
          <w:color w:val="000000" w:themeColor="text1"/>
        </w:rPr>
        <w:t>PROJECT REVIEW</w:t>
      </w:r>
    </w:p>
    <w:p w14:paraId="1AD8274C" w14:textId="77777777" w:rsidR="00BE5488" w:rsidRPr="00B8240F" w:rsidRDefault="00E532A0" w:rsidP="00B8240F">
      <w:pPr>
        <w:pStyle w:val="NormalWeb"/>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Eligibility</w:t>
      </w:r>
    </w:p>
    <w:p w14:paraId="716856B0" w14:textId="77777777" w:rsidR="00BE5488" w:rsidRPr="00B8240F" w:rsidRDefault="00E532A0" w:rsidP="00B8240F">
      <w:pPr>
        <w:pStyle w:val="NormalWeb"/>
        <w:rPr>
          <w:rFonts w:ascii="Palatino Linotype" w:hAnsi="Palatino Linotype"/>
          <w:color w:val="000000" w:themeColor="text1"/>
        </w:rPr>
      </w:pPr>
      <w:r w:rsidRPr="00B8240F">
        <w:rPr>
          <w:rFonts w:ascii="Palatino Linotype" w:hAnsi="Palatino Linotype"/>
          <w:color w:val="000000" w:themeColor="text1"/>
        </w:rPr>
        <w:t xml:space="preserve">A PSC may be eligible for CASF BHPA grant funding only if it </w:t>
      </w:r>
      <w:r w:rsidR="00530150">
        <w:rPr>
          <w:rFonts w:ascii="Palatino Linotype" w:hAnsi="Palatino Linotype"/>
          <w:color w:val="000000" w:themeColor="text1"/>
        </w:rPr>
        <w:t xml:space="preserve">can verify to the commission that it </w:t>
      </w:r>
      <w:r w:rsidRPr="00B8240F">
        <w:rPr>
          <w:rFonts w:ascii="Palatino Linotype" w:hAnsi="Palatino Linotype"/>
          <w:color w:val="000000" w:themeColor="text1"/>
        </w:rPr>
        <w:t>has not “denied a right of access to any broadband provider that is willing to connect a broadband network to the facility for which the grant or loan is sought.”</w:t>
      </w:r>
      <w:r w:rsidRPr="00B8240F">
        <w:rPr>
          <w:rStyle w:val="FootnoteReference"/>
          <w:rFonts w:ascii="Palatino Linotype" w:hAnsi="Palatino Linotype"/>
          <w:color w:val="000000" w:themeColor="text1"/>
        </w:rPr>
        <w:footnoteReference w:id="19"/>
      </w:r>
      <w:r w:rsidRPr="00B8240F">
        <w:rPr>
          <w:rFonts w:ascii="Palatino Linotype" w:hAnsi="Palatino Linotype"/>
          <w:color w:val="000000" w:themeColor="text1"/>
        </w:rPr>
        <w:t xml:space="preserve">  HACSB, CHW and Eden </w:t>
      </w:r>
      <w:r w:rsidR="00753C02">
        <w:rPr>
          <w:rFonts w:ascii="Palatino Linotype" w:hAnsi="Palatino Linotype"/>
          <w:color w:val="000000" w:themeColor="text1"/>
        </w:rPr>
        <w:t>state</w:t>
      </w:r>
      <w:r w:rsidRPr="00B8240F">
        <w:rPr>
          <w:rFonts w:ascii="Palatino Linotype" w:hAnsi="Palatino Linotype"/>
          <w:color w:val="000000" w:themeColor="text1"/>
        </w:rPr>
        <w:t xml:space="preserve"> that they have not denied an ISP access to its property to provide broadband Internet service and no ISP challenged this statement.</w:t>
      </w:r>
    </w:p>
    <w:p w14:paraId="765A80F8" w14:textId="43896425" w:rsidR="00E25053" w:rsidRPr="00B8240F" w:rsidRDefault="00E532A0" w:rsidP="00E25053">
      <w:pPr>
        <w:tabs>
          <w:tab w:val="right" w:pos="10080"/>
        </w:tabs>
        <w:rPr>
          <w:rFonts w:ascii="Palatino Linotype" w:hAnsi="Palatino Linotype"/>
          <w:color w:val="000000" w:themeColor="text1"/>
        </w:rPr>
      </w:pPr>
      <w:r w:rsidRPr="00B8240F">
        <w:rPr>
          <w:rFonts w:ascii="Palatino Linotype" w:hAnsi="Palatino Linotype"/>
          <w:i/>
          <w:color w:val="000000" w:themeColor="text1"/>
        </w:rPr>
        <w:t xml:space="preserve">Challenges:  </w:t>
      </w:r>
      <w:r w:rsidRPr="00B8240F">
        <w:rPr>
          <w:rFonts w:ascii="Palatino Linotype" w:hAnsi="Palatino Linotype"/>
          <w:color w:val="000000" w:themeColor="text1"/>
        </w:rPr>
        <w:t xml:space="preserve">Challenges submitted were based on </w:t>
      </w:r>
      <w:r w:rsidRPr="00392F9A">
        <w:rPr>
          <w:rFonts w:ascii="Palatino Linotype" w:hAnsi="Palatino Linotype"/>
          <w:color w:val="000000" w:themeColor="text1"/>
        </w:rPr>
        <w:t>services already being available within</w:t>
      </w:r>
      <w:r w:rsidRPr="00B8240F">
        <w:rPr>
          <w:rFonts w:ascii="Palatino Linotype" w:hAnsi="Palatino Linotype"/>
          <w:color w:val="000000" w:themeColor="text1"/>
        </w:rPr>
        <w:t xml:space="preserve"> the building</w:t>
      </w:r>
      <w:r w:rsidR="00444C84">
        <w:rPr>
          <w:rFonts w:ascii="Palatino Linotype" w:hAnsi="Palatino Linotype"/>
          <w:color w:val="000000" w:themeColor="text1"/>
        </w:rPr>
        <w:t xml:space="preserve"> </w:t>
      </w:r>
      <w:r w:rsidR="005B6135">
        <w:rPr>
          <w:rFonts w:ascii="Palatino Linotype" w:hAnsi="Palatino Linotype"/>
          <w:color w:val="000000" w:themeColor="text1"/>
        </w:rPr>
        <w:t xml:space="preserve">(the </w:t>
      </w:r>
      <w:r w:rsidR="00444C84">
        <w:rPr>
          <w:rFonts w:ascii="Palatino Linotype" w:hAnsi="Palatino Linotype"/>
          <w:color w:val="000000" w:themeColor="text1"/>
        </w:rPr>
        <w:t>PSCs are already “wired</w:t>
      </w:r>
      <w:r w:rsidR="005B6135">
        <w:rPr>
          <w:rFonts w:ascii="Palatino Linotype" w:hAnsi="Palatino Linotype"/>
          <w:color w:val="000000" w:themeColor="text1"/>
        </w:rPr>
        <w:t>”)</w:t>
      </w:r>
      <w:r w:rsidRPr="00B8240F">
        <w:rPr>
          <w:rFonts w:ascii="Palatino Linotype" w:hAnsi="Palatino Linotype"/>
          <w:color w:val="000000" w:themeColor="text1"/>
        </w:rPr>
        <w:t xml:space="preserve">.  Charter and Comcast have provided documentation that services are available to 100 percent of residents in these challenged properties.  They have submitted the number of customers living on the property that subscribe to their service, billing documents and speed tests to prove that they provide residents broadband Internet services at speeds equal to or greater than what the applicants propose to provide.  </w:t>
      </w:r>
      <w:r w:rsidR="00E25053">
        <w:rPr>
          <w:rFonts w:ascii="Palatino Linotype" w:hAnsi="Palatino Linotype"/>
          <w:color w:val="000000" w:themeColor="text1"/>
        </w:rPr>
        <w:t>They submitted documentation to show that a</w:t>
      </w:r>
      <w:r w:rsidR="00E25053" w:rsidRPr="00B8240F">
        <w:rPr>
          <w:rFonts w:ascii="Palatino Linotype" w:hAnsi="Palatino Linotype"/>
          <w:color w:val="000000" w:themeColor="text1"/>
        </w:rPr>
        <w:t>n average of 25% of the residents in the project locations</w:t>
      </w:r>
      <w:r w:rsidR="00E25053">
        <w:rPr>
          <w:rFonts w:ascii="Palatino Linotype" w:hAnsi="Palatino Linotype"/>
          <w:color w:val="000000" w:themeColor="text1"/>
        </w:rPr>
        <w:t xml:space="preserve"> listed in Table 1</w:t>
      </w:r>
      <w:r w:rsidR="00E25053" w:rsidRPr="00B8240F">
        <w:rPr>
          <w:rFonts w:ascii="Palatino Linotype" w:hAnsi="Palatino Linotype"/>
          <w:color w:val="000000" w:themeColor="text1"/>
        </w:rPr>
        <w:t xml:space="preserve"> subscribe to available ISP services.</w:t>
      </w:r>
      <w:r w:rsidR="00E25053" w:rsidRPr="00D67A02" w:rsidDel="00D67A02">
        <w:rPr>
          <w:rFonts w:ascii="Palatino Linotype" w:hAnsi="Palatino Linotype"/>
          <w:color w:val="000000" w:themeColor="text1"/>
        </w:rPr>
        <w:t xml:space="preserve"> </w:t>
      </w:r>
      <w:r w:rsidR="00E25053">
        <w:rPr>
          <w:rFonts w:ascii="Palatino Linotype" w:hAnsi="Palatino Linotype"/>
          <w:color w:val="000000" w:themeColor="text1"/>
        </w:rPr>
        <w:t xml:space="preserve"> </w:t>
      </w:r>
    </w:p>
    <w:p w14:paraId="0B886E28" w14:textId="77777777" w:rsidR="00D34DE0" w:rsidRPr="00B8240F" w:rsidRDefault="00D34DE0" w:rsidP="00D34DE0">
      <w:pPr>
        <w:tabs>
          <w:tab w:val="right" w:pos="10080"/>
        </w:tabs>
        <w:rPr>
          <w:rFonts w:ascii="Palatino Linotype" w:hAnsi="Palatino Linotype"/>
          <w:color w:val="000000" w:themeColor="text1"/>
          <w:highlight w:val="yellow"/>
        </w:rPr>
      </w:pPr>
    </w:p>
    <w:p w14:paraId="0BF6BDAA" w14:textId="74B194F6" w:rsidR="00D34DE0" w:rsidRPr="00B8240F" w:rsidRDefault="00E532A0" w:rsidP="00D34DE0">
      <w:pPr>
        <w:tabs>
          <w:tab w:val="right" w:pos="10080"/>
        </w:tabs>
        <w:rPr>
          <w:rFonts w:ascii="Palatino Linotype" w:hAnsi="Palatino Linotype"/>
          <w:color w:val="000000" w:themeColor="text1"/>
        </w:rPr>
      </w:pPr>
      <w:r w:rsidRPr="00B8240F">
        <w:rPr>
          <w:rFonts w:ascii="Palatino Linotype" w:hAnsi="Palatino Linotype"/>
          <w:color w:val="000000" w:themeColor="text1"/>
        </w:rPr>
        <w:t xml:space="preserve">HACSB, CHW and Eden responded to the challenges.  They asserted that although the units may have wiring to support broadband Internet service, residents do not subscribe to that service because they cannot afford the services.  </w:t>
      </w:r>
      <w:r w:rsidR="00D67A02">
        <w:rPr>
          <w:rFonts w:ascii="Palatino Linotype" w:hAnsi="Palatino Linotype"/>
          <w:color w:val="000000" w:themeColor="text1"/>
        </w:rPr>
        <w:t xml:space="preserve"> </w:t>
      </w:r>
    </w:p>
    <w:p w14:paraId="13D6E107" w14:textId="77777777" w:rsidR="00BE5488" w:rsidRPr="00B8240F" w:rsidRDefault="00BE5488" w:rsidP="00B8240F">
      <w:pPr>
        <w:rPr>
          <w:rFonts w:ascii="Palatino Linotype" w:hAnsi="Palatino Linotype"/>
          <w:color w:val="000000" w:themeColor="text1"/>
        </w:rPr>
      </w:pPr>
    </w:p>
    <w:p w14:paraId="35837AD9" w14:textId="77777777" w:rsidR="00BE5488" w:rsidRPr="00B8240F" w:rsidRDefault="00E532A0" w:rsidP="00B8240F">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Criteria Evaluation</w:t>
      </w:r>
    </w:p>
    <w:p w14:paraId="100C9E3E" w14:textId="77777777" w:rsidR="00BE5488" w:rsidRPr="00B8240F" w:rsidRDefault="00BE5488" w:rsidP="00B8240F">
      <w:pPr>
        <w:pStyle w:val="ListParagraph"/>
        <w:rPr>
          <w:rFonts w:ascii="Palatino Linotype" w:hAnsi="Palatino Linotype"/>
          <w:color w:val="000000" w:themeColor="text1"/>
          <w:u w:val="single"/>
        </w:rPr>
      </w:pPr>
    </w:p>
    <w:p w14:paraId="4F1F67F8" w14:textId="77777777" w:rsidR="00D863AC" w:rsidRDefault="00EC27B7" w:rsidP="00B8240F">
      <w:pPr>
        <w:rPr>
          <w:rFonts w:ascii="Palatino Linotype" w:hAnsi="Palatino Linotype"/>
          <w:color w:val="000000" w:themeColor="text1"/>
        </w:rPr>
      </w:pPr>
      <w:r>
        <w:rPr>
          <w:rFonts w:ascii="Palatino Linotype" w:hAnsi="Palatino Linotype"/>
          <w:color w:val="000000" w:themeColor="text1"/>
        </w:rPr>
        <w:t>D.14-12-039 delegates to staff the authority to approve applications under the BPHA that meet all expedited review criteria.</w:t>
      </w:r>
      <w:r w:rsidR="00711245">
        <w:rPr>
          <w:rFonts w:ascii="Palatino Linotype" w:hAnsi="Palatino Linotype"/>
          <w:color w:val="000000" w:themeColor="text1"/>
        </w:rPr>
        <w:t xml:space="preserve"> </w:t>
      </w:r>
      <w:r>
        <w:rPr>
          <w:rFonts w:ascii="Palatino Linotype" w:hAnsi="Palatino Linotype"/>
          <w:color w:val="000000" w:themeColor="text1"/>
        </w:rPr>
        <w:t xml:space="preserve"> </w:t>
      </w:r>
      <w:r w:rsidR="00E532A0" w:rsidRPr="00B8240F">
        <w:rPr>
          <w:rFonts w:ascii="Palatino Linotype" w:hAnsi="Palatino Linotype"/>
          <w:color w:val="000000" w:themeColor="text1"/>
        </w:rPr>
        <w:t xml:space="preserve">CD evaluated these projects with respect to the </w:t>
      </w:r>
      <w:r w:rsidR="00711245">
        <w:rPr>
          <w:rFonts w:ascii="Palatino Linotype" w:hAnsi="Palatino Linotype"/>
          <w:color w:val="000000" w:themeColor="text1"/>
        </w:rPr>
        <w:t xml:space="preserve">expedited review </w:t>
      </w:r>
      <w:r w:rsidR="00E532A0" w:rsidRPr="00B8240F">
        <w:rPr>
          <w:rFonts w:ascii="Palatino Linotype" w:hAnsi="Palatino Linotype"/>
          <w:color w:val="000000" w:themeColor="text1"/>
        </w:rPr>
        <w:t xml:space="preserve">criteria </w:t>
      </w:r>
      <w:r w:rsidR="00711245">
        <w:rPr>
          <w:rFonts w:ascii="Palatino Linotype" w:hAnsi="Palatino Linotype"/>
          <w:color w:val="000000" w:themeColor="text1"/>
        </w:rPr>
        <w:t xml:space="preserve">as </w:t>
      </w:r>
      <w:r w:rsidR="00E532A0" w:rsidRPr="00B8240F">
        <w:rPr>
          <w:rFonts w:ascii="Palatino Linotype" w:hAnsi="Palatino Linotype"/>
          <w:color w:val="000000" w:themeColor="text1"/>
        </w:rPr>
        <w:t>defined in D.14-12-039</w:t>
      </w:r>
      <w:r w:rsidR="00711245">
        <w:rPr>
          <w:rFonts w:ascii="Palatino Linotype" w:hAnsi="Palatino Linotype"/>
          <w:color w:val="000000" w:themeColor="text1"/>
        </w:rPr>
        <w:t xml:space="preserve"> and listed below</w:t>
      </w:r>
      <w:r w:rsidR="00E532A0" w:rsidRPr="00B8240F">
        <w:rPr>
          <w:rFonts w:ascii="Palatino Linotype" w:hAnsi="Palatino Linotype"/>
          <w:color w:val="000000" w:themeColor="text1"/>
        </w:rPr>
        <w:t xml:space="preserve">: </w:t>
      </w:r>
    </w:p>
    <w:p w14:paraId="02E47ED2" w14:textId="77777777" w:rsidR="00BE5488" w:rsidRPr="00B8240F" w:rsidRDefault="00BE5488" w:rsidP="00B8240F">
      <w:pPr>
        <w:rPr>
          <w:rFonts w:ascii="Palatino Linotype" w:hAnsi="Palatino Linotype"/>
          <w:color w:val="000000" w:themeColor="text1"/>
        </w:rPr>
      </w:pPr>
    </w:p>
    <w:p w14:paraId="12E1FD15" w14:textId="77777777" w:rsidR="003D2625" w:rsidRPr="00B8240F" w:rsidRDefault="00E532A0" w:rsidP="003D2625">
      <w:pPr>
        <w:numPr>
          <w:ilvl w:val="0"/>
          <w:numId w:val="45"/>
        </w:numPr>
        <w:suppressAutoHyphens/>
        <w:rPr>
          <w:rFonts w:ascii="Palatino Linotype" w:hAnsi="Palatino Linotype" w:cs="Garamond"/>
          <w:color w:val="000000" w:themeColor="text1"/>
          <w:szCs w:val="26"/>
        </w:rPr>
      </w:pPr>
      <w:r w:rsidRPr="00B8240F">
        <w:rPr>
          <w:rFonts w:ascii="Palatino Linotype" w:hAnsi="Palatino Linotype" w:cs="Garamond"/>
          <w:color w:val="000000" w:themeColor="text1"/>
        </w:rPr>
        <w:t xml:space="preserve">Applicant meets the eligibility requirements under P.U. Code § 281 (f)(2). </w:t>
      </w:r>
    </w:p>
    <w:p w14:paraId="02B6CA5A"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declares that it has not denied an ISP access to its property to provide broadband Internet service and no ISP challenged this statement; if an ISP challenged an application alleging it was denied access to a PSC, CD staff determined the denial was reasonable. </w:t>
      </w:r>
    </w:p>
    <w:p w14:paraId="397DA042"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requests a grant of less than $75,000 in CASF Housing Account infrastructure grant funds per project. </w:t>
      </w:r>
    </w:p>
    <w:p w14:paraId="2379DB59"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For projects connecting 51-100 PSC units, proposed project costs $450 per unit or less.</w:t>
      </w:r>
    </w:p>
    <w:p w14:paraId="14E0A7DF"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For projects connecting 101 PSC units and more proposed project costs $300 per unit or less. </w:t>
      </w:r>
    </w:p>
    <w:p w14:paraId="0994D4E1"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The buildings included in the application meet standards for acceptable basic living conditions as determined under HUD’s Uniform Physical Condition Standards or similar guidelines provided by other housing funding agencies in the State.</w:t>
      </w:r>
    </w:p>
    <w:p w14:paraId="2DB77E6D"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Existing property infrastructure requires no significant upgrades to install wiring, equipment and other electronics funded under this grant</w:t>
      </w:r>
    </w:p>
    <w:p w14:paraId="7379E865"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expects property to be in residential use for at least the next 10 years. </w:t>
      </w:r>
    </w:p>
    <w:p w14:paraId="26D571DD"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Property qualifies for an exemption pursuant to CEQA Guidelines § 15300.2.</w:t>
      </w:r>
    </w:p>
    <w:p w14:paraId="657DF8D5"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For wireless networking projects, equipment will at least meet the 802.11n standard. </w:t>
      </w:r>
    </w:p>
    <w:p w14:paraId="2CC00382"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attests it will operate and maintain project equipment and technology for at least five years after completion and that it has sufficient funds and warranty to do so, including replacing equipment as needed, and a maintenance agreement and budget have been submitted.</w:t>
      </w:r>
    </w:p>
    <w:p w14:paraId="5D535CEE"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Proposed project network is capable of offering residents Internet service speeds of at least 6mbps downstream/1.5mbps upstream which is supported with appropriate documentation.</w:t>
      </w:r>
    </w:p>
    <w:p w14:paraId="6220F3F8" w14:textId="77777777" w:rsidR="00BE5488" w:rsidRPr="00B8240F" w:rsidRDefault="00E532A0" w:rsidP="00B8240F">
      <w:pPr>
        <w:numPr>
          <w:ilvl w:val="0"/>
          <w:numId w:val="45"/>
        </w:numPr>
        <w:suppressAutoHyphens/>
        <w:ind w:right="-14"/>
        <w:rPr>
          <w:rFonts w:ascii="Palatino Linotype" w:hAnsi="Palatino Linotype" w:cs="Garamond"/>
          <w:color w:val="000000" w:themeColor="text1"/>
        </w:rPr>
      </w:pPr>
      <w:r w:rsidRPr="00B8240F">
        <w:rPr>
          <w:rFonts w:ascii="Palatino Linotype" w:hAnsi="Palatino Linotype" w:cs="Garamond"/>
          <w:color w:val="000000" w:themeColor="text1"/>
        </w:rPr>
        <w:t>Applicant commits to provide residents with minimum download speeds of 1.5 mbps per unit, during average peak utilization periods, subject to reasonable network management practices.</w:t>
      </w:r>
    </w:p>
    <w:p w14:paraId="253C654F" w14:textId="77777777" w:rsidR="00BE5488" w:rsidRPr="00B8240F" w:rsidRDefault="00E532A0" w:rsidP="00B8240F">
      <w:pPr>
        <w:numPr>
          <w:ilvl w:val="0"/>
          <w:numId w:val="45"/>
        </w:numPr>
        <w:suppressAutoHyphens/>
        <w:ind w:right="-14"/>
        <w:rPr>
          <w:rFonts w:ascii="Palatino Linotype" w:hAnsi="Palatino Linotype" w:cs="Garamond"/>
          <w:color w:val="000000" w:themeColor="text1"/>
        </w:rPr>
      </w:pPr>
      <w:r w:rsidRPr="00B8240F">
        <w:rPr>
          <w:rFonts w:ascii="Palatino Linotype" w:hAnsi="Palatino Linotype" w:cs="Garamond"/>
          <w:color w:val="000000" w:themeColor="text1"/>
        </w:rPr>
        <w:t>Residents will be charged no more than $20 per month for Internet service.</w:t>
      </w:r>
    </w:p>
    <w:p w14:paraId="190756FA"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has signed an affidavit agreeing to abide by Commission rules of practice and procedure; P.U. Code §§ 2111 and 2108; and to quarterly reports and submission of annual recertification/audit documents. </w:t>
      </w:r>
    </w:p>
    <w:p w14:paraId="49A06F0A"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agrees to complete project within 12 months.</w:t>
      </w:r>
    </w:p>
    <w:p w14:paraId="2AD0B1A5"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has identified its bandwidth source, either at the MPOE or its wireless equivalent.</w:t>
      </w:r>
    </w:p>
    <w:p w14:paraId="233BC6B5" w14:textId="77777777" w:rsidR="003D2625" w:rsidRPr="00B8240F" w:rsidRDefault="00E532A0" w:rsidP="003D2625">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agrees to secure project funded hardware to prevent theft and vandalism.</w:t>
      </w:r>
      <w:r w:rsidRPr="00B8240F">
        <w:rPr>
          <w:rStyle w:val="FootnoteReference"/>
          <w:rFonts w:ascii="Palatino Linotype" w:hAnsi="Palatino Linotype"/>
          <w:color w:val="000000" w:themeColor="text1"/>
        </w:rPr>
        <w:t xml:space="preserve"> </w:t>
      </w:r>
      <w:r w:rsidRPr="00B8240F">
        <w:rPr>
          <w:rStyle w:val="FootnoteReference"/>
          <w:rFonts w:ascii="Palatino Linotype" w:hAnsi="Palatino Linotype"/>
          <w:color w:val="000000" w:themeColor="text1"/>
        </w:rPr>
        <w:footnoteReference w:id="20"/>
      </w:r>
    </w:p>
    <w:p w14:paraId="4742D755" w14:textId="77777777" w:rsidR="00BE5488" w:rsidRPr="00B8240F" w:rsidRDefault="00BE5488" w:rsidP="00B8240F">
      <w:pPr>
        <w:rPr>
          <w:rFonts w:ascii="Palatino Linotype" w:hAnsi="Palatino Linotype"/>
          <w:color w:val="000000" w:themeColor="text1"/>
        </w:rPr>
      </w:pPr>
    </w:p>
    <w:p w14:paraId="6A4BBFF4" w14:textId="77777777" w:rsidR="003D2625" w:rsidRPr="00B8240F" w:rsidRDefault="00E532A0" w:rsidP="003D2625">
      <w:pPr>
        <w:pStyle w:val="Default"/>
        <w:rPr>
          <w:rFonts w:ascii="Palatino Linotype" w:hAnsi="Palatino Linotype"/>
          <w:color w:val="000000" w:themeColor="text1"/>
        </w:rPr>
      </w:pPr>
      <w:r w:rsidRPr="00B8240F">
        <w:rPr>
          <w:rFonts w:ascii="Palatino Linotype" w:hAnsi="Palatino Linotype"/>
          <w:color w:val="000000" w:themeColor="text1"/>
        </w:rPr>
        <w:t xml:space="preserve">All projects meet the 18 expedited review requirements. </w:t>
      </w:r>
    </w:p>
    <w:p w14:paraId="770FD8F1" w14:textId="77777777" w:rsidR="00BE5488" w:rsidRDefault="00BE5488" w:rsidP="00B8240F">
      <w:pPr>
        <w:rPr>
          <w:rFonts w:ascii="Palatino Linotype" w:hAnsi="Palatino Linotype"/>
          <w:color w:val="000000" w:themeColor="text1"/>
        </w:rPr>
      </w:pPr>
    </w:p>
    <w:p w14:paraId="11893809" w14:textId="77777777" w:rsidR="00331192" w:rsidRDefault="00331192" w:rsidP="00B8240F">
      <w:pPr>
        <w:rPr>
          <w:rFonts w:ascii="Palatino Linotype" w:hAnsi="Palatino Linotype"/>
          <w:color w:val="000000" w:themeColor="text1"/>
        </w:rPr>
      </w:pPr>
    </w:p>
    <w:p w14:paraId="58377933" w14:textId="77777777" w:rsidR="00331192" w:rsidRDefault="00331192" w:rsidP="00B8240F">
      <w:pPr>
        <w:rPr>
          <w:rFonts w:ascii="Palatino Linotype" w:hAnsi="Palatino Linotype"/>
          <w:color w:val="000000" w:themeColor="text1"/>
        </w:rPr>
      </w:pPr>
    </w:p>
    <w:p w14:paraId="633181C0" w14:textId="77777777" w:rsidR="00331192" w:rsidRPr="00B8240F" w:rsidRDefault="00331192" w:rsidP="00B8240F">
      <w:pPr>
        <w:rPr>
          <w:rFonts w:ascii="Palatino Linotype" w:hAnsi="Palatino Linotype"/>
          <w:color w:val="000000" w:themeColor="text1"/>
        </w:rPr>
      </w:pPr>
    </w:p>
    <w:p w14:paraId="36028592" w14:textId="77777777" w:rsidR="00BE5488" w:rsidRPr="002D021D" w:rsidRDefault="00444C84" w:rsidP="00B8240F">
      <w:pPr>
        <w:pStyle w:val="ListParagraph"/>
        <w:numPr>
          <w:ilvl w:val="0"/>
          <w:numId w:val="44"/>
        </w:numPr>
        <w:rPr>
          <w:rFonts w:ascii="Palatino Linotype" w:hAnsi="Palatino Linotype"/>
          <w:color w:val="000000" w:themeColor="text1"/>
          <w:u w:val="single"/>
        </w:rPr>
      </w:pPr>
      <w:r w:rsidRPr="00CA0418">
        <w:rPr>
          <w:rFonts w:ascii="Palatino Linotype" w:hAnsi="Palatino Linotype"/>
          <w:color w:val="000000" w:themeColor="text1"/>
          <w:u w:val="single"/>
        </w:rPr>
        <w:t>Wired/</w:t>
      </w:r>
      <w:r w:rsidR="00E532A0" w:rsidRPr="00392F9A">
        <w:rPr>
          <w:rFonts w:ascii="Palatino Linotype" w:hAnsi="Palatino Linotype"/>
          <w:color w:val="000000" w:themeColor="text1"/>
          <w:u w:val="single"/>
        </w:rPr>
        <w:t xml:space="preserve">Existing Broadband Service </w:t>
      </w:r>
      <w:r w:rsidR="00CA0418" w:rsidRPr="00392F9A">
        <w:rPr>
          <w:rFonts w:ascii="Palatino Linotype" w:hAnsi="Palatino Linotype"/>
          <w:color w:val="000000" w:themeColor="text1"/>
          <w:u w:val="single"/>
        </w:rPr>
        <w:t>and Challenges</w:t>
      </w:r>
    </w:p>
    <w:p w14:paraId="19CAFACC" w14:textId="77777777" w:rsidR="003D2625" w:rsidRPr="00B8240F" w:rsidRDefault="003D2625" w:rsidP="00E019D4">
      <w:pPr>
        <w:rPr>
          <w:rFonts w:ascii="Palatino Linotype" w:hAnsi="Palatino Linotype"/>
          <w:b/>
          <w:i/>
          <w:color w:val="000000" w:themeColor="text1"/>
        </w:rPr>
      </w:pPr>
    </w:p>
    <w:p w14:paraId="1B0425E6" w14:textId="7645DB01" w:rsidR="00EE38A2" w:rsidRDefault="00EE38A2" w:rsidP="00EE38A2">
      <w:pPr>
        <w:tabs>
          <w:tab w:val="right" w:pos="10080"/>
        </w:tabs>
        <w:rPr>
          <w:rFonts w:ascii="Palatino Linotype" w:hAnsi="Palatino Linotype"/>
        </w:rPr>
      </w:pPr>
      <w:r w:rsidRPr="00E532A0">
        <w:rPr>
          <w:rFonts w:ascii="Palatino Linotype" w:hAnsi="Palatino Linotype"/>
        </w:rPr>
        <w:t xml:space="preserve">The rules governing </w:t>
      </w:r>
      <w:r>
        <w:rPr>
          <w:rFonts w:ascii="Palatino Linotype" w:hAnsi="Palatino Linotype"/>
        </w:rPr>
        <w:t xml:space="preserve">applicant </w:t>
      </w:r>
      <w:r w:rsidRPr="00E532A0">
        <w:rPr>
          <w:rFonts w:ascii="Palatino Linotype" w:hAnsi="Palatino Linotype"/>
        </w:rPr>
        <w:t xml:space="preserve">eligibility under the BPHA are </w:t>
      </w:r>
      <w:r w:rsidR="000A67E7">
        <w:rPr>
          <w:rFonts w:ascii="Palatino Linotype" w:hAnsi="Palatino Linotype"/>
        </w:rPr>
        <w:t xml:space="preserve">in </w:t>
      </w:r>
      <w:r w:rsidR="00E95EB4">
        <w:rPr>
          <w:rFonts w:ascii="Palatino Linotype" w:hAnsi="Palatino Linotype"/>
        </w:rPr>
        <w:t>P.U.</w:t>
      </w:r>
      <w:r w:rsidRPr="00E532A0">
        <w:rPr>
          <w:rFonts w:ascii="Palatino Linotype" w:hAnsi="Palatino Linotype"/>
        </w:rPr>
        <w:t xml:space="preserve"> Code </w:t>
      </w:r>
      <w:r w:rsidR="00E95EB4">
        <w:rPr>
          <w:rFonts w:ascii="Palatino Linotype" w:hAnsi="Palatino Linotype"/>
        </w:rPr>
        <w:t>S</w:t>
      </w:r>
      <w:r w:rsidR="00153ADD">
        <w:rPr>
          <w:rFonts w:ascii="Palatino Linotype" w:hAnsi="Palatino Linotype"/>
        </w:rPr>
        <w:t>ection 281(h)</w:t>
      </w:r>
      <w:r w:rsidRPr="00E532A0">
        <w:rPr>
          <w:rFonts w:ascii="Palatino Linotype" w:hAnsi="Palatino Linotype"/>
        </w:rPr>
        <w:t>(2)</w:t>
      </w:r>
      <w:r w:rsidR="000A67E7">
        <w:rPr>
          <w:rFonts w:ascii="Palatino Linotype" w:hAnsi="Palatino Linotype"/>
        </w:rPr>
        <w:t>, which</w:t>
      </w:r>
      <w:r w:rsidRPr="00E532A0">
        <w:rPr>
          <w:rFonts w:ascii="Palatino Linotype" w:hAnsi="Palatino Linotype"/>
        </w:rPr>
        <w:t xml:space="preserve"> states, “moneys in the BPHA shall be available for the commission to award grants and loans pursuant to this subdivision to an eligible publicly supported community if that entity otherwise meets eligibility requirements and complies with program requirements established by the commission.”  Section 281(h)(3) </w:t>
      </w:r>
      <w:r>
        <w:rPr>
          <w:rFonts w:ascii="Palatino Linotype" w:hAnsi="Palatino Linotype"/>
        </w:rPr>
        <w:t xml:space="preserve">further </w:t>
      </w:r>
      <w:r w:rsidRPr="00E532A0">
        <w:rPr>
          <w:rFonts w:ascii="Palatino Linotype" w:hAnsi="Palatino Linotype"/>
        </w:rPr>
        <w:t>states that a PSC may be eligible for CASF BHPA grant funding only if it has not</w:t>
      </w:r>
      <w:r w:rsidRPr="008831F5">
        <w:rPr>
          <w:rFonts w:ascii="Palatino Linotype" w:hAnsi="Palatino Linotype"/>
        </w:rPr>
        <w:t xml:space="preserve"> </w:t>
      </w:r>
      <w:r w:rsidR="000A67E7">
        <w:rPr>
          <w:rFonts w:ascii="Palatino Linotype" w:hAnsi="Palatino Linotype"/>
        </w:rPr>
        <w:t>“</w:t>
      </w:r>
      <w:r w:rsidRPr="008831F5">
        <w:rPr>
          <w:rFonts w:ascii="Palatino Linotype" w:hAnsi="Palatino Linotype"/>
        </w:rPr>
        <w:t>denied a right of access to any broadband provider that is willing to connect a broadband network to the facility for which the grant or loan is sought.”</w:t>
      </w:r>
      <w:r w:rsidRPr="008831F5">
        <w:rPr>
          <w:rStyle w:val="FootnoteReference"/>
          <w:rFonts w:ascii="Palatino Linotype" w:hAnsi="Palatino Linotype"/>
        </w:rPr>
        <w:footnoteReference w:id="21"/>
      </w:r>
      <w:r w:rsidRPr="008831F5">
        <w:rPr>
          <w:rFonts w:ascii="Palatino Linotype" w:hAnsi="Palatino Linotype"/>
        </w:rPr>
        <w:t xml:space="preserve">  </w:t>
      </w:r>
      <w:r w:rsidR="00E95EB4">
        <w:rPr>
          <w:rFonts w:ascii="Palatino Linotype" w:hAnsi="Palatino Linotype"/>
        </w:rPr>
        <w:t>P.U. Code S</w:t>
      </w:r>
      <w:r w:rsidRPr="00E532A0">
        <w:rPr>
          <w:rFonts w:ascii="Palatino Linotype" w:hAnsi="Palatino Linotype"/>
        </w:rPr>
        <w:t>ection 281(h)(3)</w:t>
      </w:r>
      <w:r>
        <w:rPr>
          <w:rFonts w:ascii="Palatino Linotype" w:hAnsi="Palatino Linotype"/>
        </w:rPr>
        <w:t xml:space="preserve"> is, however, </w:t>
      </w:r>
      <w:r w:rsidRPr="008831F5">
        <w:rPr>
          <w:rFonts w:ascii="Palatino Linotype" w:hAnsi="Palatino Linotype"/>
        </w:rPr>
        <w:t xml:space="preserve">silent with respect to whether the PSC is </w:t>
      </w:r>
      <w:r w:rsidRPr="008F51FC">
        <w:rPr>
          <w:rFonts w:ascii="Palatino Linotype" w:hAnsi="Palatino Linotype"/>
        </w:rPr>
        <w:t>[</w:t>
      </w:r>
      <w:r w:rsidRPr="00E532A0">
        <w:rPr>
          <w:rFonts w:ascii="Palatino Linotype" w:hAnsi="Palatino Linotype"/>
        </w:rPr>
        <w:t>wired</w:t>
      </w:r>
      <w:r w:rsidR="00D863AC">
        <w:rPr>
          <w:rFonts w:ascii="Palatino Linotype" w:hAnsi="Palatino Linotype"/>
        </w:rPr>
        <w:t xml:space="preserve">] </w:t>
      </w:r>
      <w:r w:rsidRPr="008831F5">
        <w:rPr>
          <w:rFonts w:ascii="Palatino Linotype" w:hAnsi="Palatino Linotype"/>
        </w:rPr>
        <w:t xml:space="preserve">or </w:t>
      </w:r>
      <w:r w:rsidR="00D863AC">
        <w:rPr>
          <w:rFonts w:ascii="Palatino Linotype" w:hAnsi="Palatino Linotype"/>
        </w:rPr>
        <w:t xml:space="preserve">whether </w:t>
      </w:r>
      <w:r w:rsidR="00E171C4">
        <w:rPr>
          <w:rFonts w:ascii="Palatino Linotype" w:hAnsi="Palatino Linotype"/>
        </w:rPr>
        <w:t xml:space="preserve">denial of access is the only basis for Public Housing </w:t>
      </w:r>
      <w:r w:rsidRPr="008831F5">
        <w:rPr>
          <w:rFonts w:ascii="Palatino Linotype" w:hAnsi="Palatino Linotype"/>
        </w:rPr>
        <w:t>challenges</w:t>
      </w:r>
      <w:r w:rsidR="00E171C4">
        <w:rPr>
          <w:rFonts w:ascii="Palatino Linotype" w:hAnsi="Palatino Linotype"/>
        </w:rPr>
        <w:t>.</w:t>
      </w:r>
    </w:p>
    <w:p w14:paraId="092EAE77" w14:textId="77777777" w:rsidR="00EE38A2" w:rsidRDefault="00EE38A2" w:rsidP="00EE38A2">
      <w:pPr>
        <w:tabs>
          <w:tab w:val="right" w:pos="10080"/>
        </w:tabs>
        <w:rPr>
          <w:rFonts w:ascii="Palatino Linotype" w:hAnsi="Palatino Linotype"/>
        </w:rPr>
      </w:pPr>
    </w:p>
    <w:p w14:paraId="5EE7D0C3" w14:textId="77777777" w:rsidR="006D52DD" w:rsidRDefault="006D52DD" w:rsidP="00EE38A2">
      <w:pPr>
        <w:tabs>
          <w:tab w:val="right" w:pos="10080"/>
        </w:tabs>
        <w:rPr>
          <w:rFonts w:ascii="Palatino Linotype" w:hAnsi="Palatino Linotype"/>
          <w:color w:val="000000" w:themeColor="text1"/>
        </w:rPr>
      </w:pPr>
      <w:r>
        <w:rPr>
          <w:rFonts w:ascii="Palatino Linotype" w:hAnsi="Palatino Linotype"/>
          <w:color w:val="000000" w:themeColor="text1"/>
        </w:rPr>
        <w:t xml:space="preserve">As discussed above, D.14-12-039 delegates to staff the authority to approve applications under the BPHA that meet all expedited review criteria.  D.14-12-039 is consistent with Section 281(h)(3), stating that the applicant declares that it has not denied an ISP access to the property to provide broadband service, and no ISP has challenged this statement. </w:t>
      </w:r>
      <w:r w:rsidR="00CC1AA1">
        <w:rPr>
          <w:rFonts w:ascii="Palatino Linotype" w:hAnsi="Palatino Linotype"/>
          <w:color w:val="000000" w:themeColor="text1"/>
        </w:rPr>
        <w:t>D.14-12-039 is also consistent with the statute to the extent that it is silent with respect to staff’s delegated authority for purposes of approving projects that are wired under expedited review.</w:t>
      </w:r>
    </w:p>
    <w:p w14:paraId="7E40B841" w14:textId="77777777" w:rsidR="006D52DD" w:rsidRDefault="006D52DD" w:rsidP="00EE38A2">
      <w:pPr>
        <w:tabs>
          <w:tab w:val="right" w:pos="10080"/>
        </w:tabs>
        <w:rPr>
          <w:rFonts w:ascii="Palatino Linotype" w:hAnsi="Palatino Linotype"/>
          <w:color w:val="000000" w:themeColor="text1"/>
        </w:rPr>
      </w:pPr>
    </w:p>
    <w:p w14:paraId="13E999A4" w14:textId="77777777" w:rsidR="00EE38A2" w:rsidRDefault="00EE38A2" w:rsidP="00EE38A2">
      <w:pPr>
        <w:tabs>
          <w:tab w:val="right" w:pos="10080"/>
        </w:tabs>
        <w:rPr>
          <w:rFonts w:ascii="Palatino Linotype" w:hAnsi="Palatino Linotype"/>
          <w:color w:val="000000" w:themeColor="text1"/>
        </w:rPr>
      </w:pPr>
      <w:r w:rsidRPr="00E532A0">
        <w:rPr>
          <w:rFonts w:ascii="Palatino Linotype" w:hAnsi="Palatino Linotype"/>
          <w:color w:val="000000" w:themeColor="text1"/>
        </w:rPr>
        <w:t>Nearly all public housing application locations</w:t>
      </w:r>
      <w:r w:rsidR="00C71D03">
        <w:rPr>
          <w:rFonts w:ascii="Palatino Linotype" w:hAnsi="Palatino Linotype"/>
          <w:color w:val="000000" w:themeColor="text1"/>
        </w:rPr>
        <w:t>, however,</w:t>
      </w:r>
      <w:r w:rsidRPr="00E532A0">
        <w:rPr>
          <w:rFonts w:ascii="Palatino Linotype" w:hAnsi="Palatino Linotype"/>
          <w:color w:val="000000" w:themeColor="text1"/>
        </w:rPr>
        <w:t xml:space="preserve"> are wired</w:t>
      </w:r>
      <w:r w:rsidR="009C7B4C">
        <w:rPr>
          <w:rFonts w:ascii="Palatino Linotype" w:hAnsi="Palatino Linotype"/>
          <w:color w:val="000000" w:themeColor="text1"/>
        </w:rPr>
        <w:t xml:space="preserve"> (see above)</w:t>
      </w:r>
      <w:r w:rsidRPr="00E532A0">
        <w:rPr>
          <w:rFonts w:ascii="Palatino Linotype" w:hAnsi="Palatino Linotype"/>
          <w:color w:val="000000" w:themeColor="text1"/>
        </w:rPr>
        <w:t xml:space="preserve">.  </w:t>
      </w:r>
      <w:r w:rsidR="009C7B4C">
        <w:rPr>
          <w:rFonts w:ascii="Palatino Linotype" w:hAnsi="Palatino Linotype"/>
          <w:color w:val="000000" w:themeColor="text1"/>
        </w:rPr>
        <w:t xml:space="preserve">  Furthermore</w:t>
      </w:r>
      <w:r w:rsidR="000A67E7">
        <w:rPr>
          <w:rFonts w:ascii="Palatino Linotype" w:hAnsi="Palatino Linotype"/>
          <w:color w:val="000000" w:themeColor="text1"/>
        </w:rPr>
        <w:t>,</w:t>
      </w:r>
      <w:r w:rsidR="009C7B4C">
        <w:rPr>
          <w:rFonts w:ascii="Palatino Linotype" w:hAnsi="Palatino Linotype"/>
          <w:color w:val="000000" w:themeColor="text1"/>
        </w:rPr>
        <w:t xml:space="preserve"> in almost all </w:t>
      </w:r>
      <w:r w:rsidR="00E171C4">
        <w:rPr>
          <w:rFonts w:ascii="Palatino Linotype" w:hAnsi="Palatino Linotype"/>
          <w:color w:val="000000" w:themeColor="text1"/>
        </w:rPr>
        <w:t>application locations,</w:t>
      </w:r>
      <w:r w:rsidR="009C7B4C">
        <w:rPr>
          <w:rFonts w:ascii="Palatino Linotype" w:hAnsi="Palatino Linotype"/>
          <w:color w:val="000000" w:themeColor="text1"/>
        </w:rPr>
        <w:t xml:space="preserve"> an existing ISP needs to be servi</w:t>
      </w:r>
      <w:r w:rsidR="00E171C4">
        <w:rPr>
          <w:rFonts w:ascii="Palatino Linotype" w:hAnsi="Palatino Linotype"/>
          <w:color w:val="000000" w:themeColor="text1"/>
        </w:rPr>
        <w:t>ci</w:t>
      </w:r>
      <w:r w:rsidR="009C7B4C">
        <w:rPr>
          <w:rFonts w:ascii="Palatino Linotype" w:hAnsi="Palatino Linotype"/>
          <w:color w:val="000000" w:themeColor="text1"/>
        </w:rPr>
        <w:t>ng the area with sufficient capacity in order for the PSC to acquire its bandwidth source since all public housing project</w:t>
      </w:r>
      <w:r w:rsidR="00E171C4">
        <w:rPr>
          <w:rFonts w:ascii="Palatino Linotype" w:hAnsi="Palatino Linotype"/>
          <w:color w:val="000000" w:themeColor="text1"/>
        </w:rPr>
        <w:t xml:space="preserve"> </w:t>
      </w:r>
      <w:r w:rsidR="005B6135">
        <w:rPr>
          <w:rFonts w:ascii="Palatino Linotype" w:hAnsi="Palatino Linotype"/>
          <w:color w:val="000000" w:themeColor="text1"/>
        </w:rPr>
        <w:t>applications</w:t>
      </w:r>
      <w:r w:rsidR="009C7B4C">
        <w:rPr>
          <w:rFonts w:ascii="Palatino Linotype" w:hAnsi="Palatino Linotype"/>
          <w:color w:val="000000" w:themeColor="text1"/>
        </w:rPr>
        <w:t xml:space="preserve"> are for </w:t>
      </w:r>
      <w:r w:rsidR="00954C9B">
        <w:rPr>
          <w:rFonts w:ascii="Palatino Linotype" w:hAnsi="Palatino Linotype"/>
          <w:color w:val="000000" w:themeColor="text1"/>
        </w:rPr>
        <w:t xml:space="preserve">inside wiring or </w:t>
      </w:r>
      <w:r w:rsidR="009C7B4C">
        <w:rPr>
          <w:rFonts w:ascii="Palatino Linotype" w:hAnsi="Palatino Linotype"/>
          <w:color w:val="000000" w:themeColor="text1"/>
        </w:rPr>
        <w:t xml:space="preserve">WiFi only.  </w:t>
      </w:r>
    </w:p>
    <w:p w14:paraId="03B7DE28" w14:textId="77777777" w:rsidR="00331F7F" w:rsidRDefault="00331F7F" w:rsidP="00EE38A2">
      <w:pPr>
        <w:tabs>
          <w:tab w:val="right" w:pos="10080"/>
        </w:tabs>
        <w:rPr>
          <w:rFonts w:ascii="Palatino Linotype" w:hAnsi="Palatino Linotype"/>
          <w:color w:val="000000" w:themeColor="text1"/>
        </w:rPr>
      </w:pPr>
    </w:p>
    <w:p w14:paraId="3FD25323" w14:textId="0D0C1896" w:rsidR="00EE38A2" w:rsidRDefault="00331F7F" w:rsidP="00EE38A2">
      <w:pPr>
        <w:tabs>
          <w:tab w:val="right" w:pos="10080"/>
        </w:tabs>
        <w:rPr>
          <w:rFonts w:ascii="Palatino Linotype" w:hAnsi="Palatino Linotype"/>
          <w:color w:val="000000" w:themeColor="text1"/>
        </w:rPr>
      </w:pPr>
      <w:r>
        <w:rPr>
          <w:rFonts w:ascii="Palatino Linotype" w:hAnsi="Palatino Linotype"/>
          <w:color w:val="000000" w:themeColor="text1"/>
        </w:rPr>
        <w:t xml:space="preserve">CD </w:t>
      </w:r>
      <w:r w:rsidR="00632D4B">
        <w:rPr>
          <w:rFonts w:ascii="Palatino Linotype" w:hAnsi="Palatino Linotype"/>
          <w:color w:val="000000" w:themeColor="text1"/>
        </w:rPr>
        <w:t xml:space="preserve">further </w:t>
      </w:r>
      <w:r>
        <w:rPr>
          <w:rFonts w:ascii="Palatino Linotype" w:hAnsi="Palatino Linotype"/>
          <w:color w:val="000000" w:themeColor="text1"/>
        </w:rPr>
        <w:t xml:space="preserve">notes that </w:t>
      </w:r>
      <w:r w:rsidRPr="00392F9A">
        <w:rPr>
          <w:rFonts w:ascii="Palatino Linotype" w:hAnsi="Palatino Linotype"/>
          <w:color w:val="000000" w:themeColor="text1"/>
        </w:rPr>
        <w:t>Section 281</w:t>
      </w:r>
      <w:r>
        <w:rPr>
          <w:rFonts w:ascii="Palatino Linotype" w:hAnsi="Palatino Linotype"/>
          <w:color w:val="000000" w:themeColor="text1"/>
        </w:rPr>
        <w:t xml:space="preserve"> and D.14-12-039 lack clear guidance with respect to challenges to applications under the BPHA.</w:t>
      </w:r>
      <w:r w:rsidR="000A67E7">
        <w:rPr>
          <w:rStyle w:val="FootnoteReference"/>
          <w:rFonts w:ascii="Palatino Linotype" w:hAnsi="Palatino Linotype"/>
          <w:color w:val="000000" w:themeColor="text1"/>
        </w:rPr>
        <w:footnoteReference w:id="22"/>
      </w:r>
      <w:r>
        <w:rPr>
          <w:rFonts w:ascii="Palatino Linotype" w:hAnsi="Palatino Linotype"/>
          <w:color w:val="000000" w:themeColor="text1"/>
        </w:rPr>
        <w:t xml:space="preserve">  Specifically, D.14-12-039 merely provides that ISPs have two weeks to challenge applications. </w:t>
      </w:r>
      <w:r w:rsidR="00E171C4">
        <w:rPr>
          <w:rFonts w:ascii="Palatino Linotype" w:hAnsi="Palatino Linotype"/>
          <w:color w:val="000000" w:themeColor="text1"/>
        </w:rPr>
        <w:t xml:space="preserve"> </w:t>
      </w:r>
      <w:r>
        <w:rPr>
          <w:rFonts w:ascii="Palatino Linotype" w:hAnsi="Palatino Linotype"/>
          <w:color w:val="000000" w:themeColor="text1"/>
        </w:rPr>
        <w:t>CD notes that while i</w:t>
      </w:r>
      <w:r w:rsidR="00632D4B">
        <w:rPr>
          <w:rFonts w:ascii="Palatino Linotype" w:hAnsi="Palatino Linotype"/>
          <w:color w:val="000000" w:themeColor="text1"/>
        </w:rPr>
        <w:t>t made a recommendation in the Final S</w:t>
      </w:r>
      <w:r w:rsidR="00D863AC">
        <w:rPr>
          <w:rFonts w:ascii="Palatino Linotype" w:hAnsi="Palatino Linotype"/>
          <w:color w:val="000000" w:themeColor="text1"/>
        </w:rPr>
        <w:t>taff R</w:t>
      </w:r>
      <w:r>
        <w:rPr>
          <w:rFonts w:ascii="Palatino Linotype" w:hAnsi="Palatino Linotype"/>
          <w:color w:val="000000" w:themeColor="text1"/>
        </w:rPr>
        <w:t>eport to consider whether the PSC is wired as a basis for challenging an application, D.14-1</w:t>
      </w:r>
      <w:r w:rsidR="000A67E7">
        <w:rPr>
          <w:rFonts w:ascii="Palatino Linotype" w:hAnsi="Palatino Linotype"/>
          <w:color w:val="000000" w:themeColor="text1"/>
        </w:rPr>
        <w:t>2</w:t>
      </w:r>
      <w:r>
        <w:rPr>
          <w:rFonts w:ascii="Palatino Linotype" w:hAnsi="Palatino Linotype"/>
          <w:color w:val="000000" w:themeColor="text1"/>
        </w:rPr>
        <w:t xml:space="preserve">-039 did not adopt </w:t>
      </w:r>
      <w:r w:rsidR="00D863AC">
        <w:rPr>
          <w:rFonts w:ascii="Palatino Linotype" w:hAnsi="Palatino Linotype"/>
          <w:color w:val="000000" w:themeColor="text1"/>
        </w:rPr>
        <w:t>the Final Staff R</w:t>
      </w:r>
      <w:r w:rsidR="00E171C4">
        <w:rPr>
          <w:rFonts w:ascii="Palatino Linotype" w:hAnsi="Palatino Linotype"/>
          <w:color w:val="000000" w:themeColor="text1"/>
        </w:rPr>
        <w:t>eport</w:t>
      </w:r>
      <w:r>
        <w:rPr>
          <w:rFonts w:ascii="Palatino Linotype" w:hAnsi="Palatino Linotype"/>
          <w:color w:val="000000" w:themeColor="text1"/>
        </w:rPr>
        <w:t>.</w:t>
      </w:r>
      <w:r w:rsidR="00632D4B">
        <w:rPr>
          <w:rStyle w:val="FootnoteReference"/>
          <w:rFonts w:ascii="Palatino Linotype" w:hAnsi="Palatino Linotype"/>
          <w:color w:val="000000" w:themeColor="text1"/>
        </w:rPr>
        <w:footnoteReference w:id="23"/>
      </w:r>
      <w:r w:rsidR="00632D4B">
        <w:rPr>
          <w:rFonts w:ascii="Palatino Linotype" w:hAnsi="Palatino Linotype"/>
          <w:color w:val="000000" w:themeColor="text1"/>
        </w:rPr>
        <w:t xml:space="preserve">  </w:t>
      </w:r>
      <w:r>
        <w:rPr>
          <w:rFonts w:ascii="Palatino Linotype" w:hAnsi="Palatino Linotype"/>
          <w:color w:val="000000" w:themeColor="text1"/>
        </w:rPr>
        <w:t>In fact, t</w:t>
      </w:r>
      <w:r w:rsidRPr="00696AF7">
        <w:rPr>
          <w:rFonts w:ascii="Palatino Linotype" w:hAnsi="Palatino Linotype"/>
          <w:color w:val="000000" w:themeColor="text1"/>
        </w:rPr>
        <w:t xml:space="preserve">he only basis for a challenge </w:t>
      </w:r>
      <w:r>
        <w:rPr>
          <w:rFonts w:ascii="Palatino Linotype" w:hAnsi="Palatino Linotype"/>
          <w:color w:val="000000" w:themeColor="text1"/>
        </w:rPr>
        <w:t xml:space="preserve">to the applicant’s eligibility </w:t>
      </w:r>
      <w:r w:rsidRPr="00696AF7">
        <w:rPr>
          <w:rFonts w:ascii="Palatino Linotype" w:hAnsi="Palatino Linotype"/>
          <w:color w:val="000000" w:themeColor="text1"/>
        </w:rPr>
        <w:t xml:space="preserve">indicated in D.14-12-039 </w:t>
      </w:r>
      <w:r>
        <w:rPr>
          <w:rFonts w:ascii="Palatino Linotype" w:hAnsi="Palatino Linotype"/>
          <w:color w:val="000000" w:themeColor="text1"/>
        </w:rPr>
        <w:t xml:space="preserve">and in </w:t>
      </w:r>
      <w:r w:rsidRPr="00392F9A">
        <w:rPr>
          <w:rFonts w:ascii="Palatino Linotype" w:hAnsi="Palatino Linotype"/>
          <w:color w:val="000000" w:themeColor="text1"/>
        </w:rPr>
        <w:t>Section 281</w:t>
      </w:r>
      <w:r>
        <w:rPr>
          <w:rFonts w:ascii="Palatino Linotype" w:hAnsi="Palatino Linotype"/>
          <w:color w:val="000000" w:themeColor="text1"/>
        </w:rPr>
        <w:t xml:space="preserve"> </w:t>
      </w:r>
      <w:r w:rsidRPr="00696AF7">
        <w:rPr>
          <w:rFonts w:ascii="Palatino Linotype" w:hAnsi="Palatino Linotype"/>
          <w:color w:val="000000" w:themeColor="text1"/>
        </w:rPr>
        <w:t xml:space="preserve">is </w:t>
      </w:r>
      <w:r>
        <w:rPr>
          <w:rFonts w:ascii="Palatino Linotype" w:hAnsi="Palatino Linotype"/>
          <w:color w:val="000000" w:themeColor="text1"/>
        </w:rPr>
        <w:t>a denial of access.</w:t>
      </w:r>
      <w:r w:rsidR="00D863AC">
        <w:rPr>
          <w:rStyle w:val="FootnoteReference"/>
          <w:rFonts w:ascii="Palatino Linotype" w:hAnsi="Palatino Linotype"/>
          <w:color w:val="000000" w:themeColor="text1"/>
        </w:rPr>
        <w:footnoteReference w:id="24"/>
      </w:r>
      <w:r w:rsidR="00BA4417">
        <w:rPr>
          <w:rFonts w:ascii="Palatino Linotype" w:hAnsi="Palatino Linotype"/>
          <w:color w:val="000000" w:themeColor="text1"/>
        </w:rPr>
        <w:t xml:space="preserve">  </w:t>
      </w:r>
      <w:r>
        <w:rPr>
          <w:rFonts w:ascii="Palatino Linotype" w:hAnsi="Palatino Linotype"/>
          <w:color w:val="000000" w:themeColor="text1"/>
        </w:rPr>
        <w:t>T</w:t>
      </w:r>
      <w:r w:rsidRPr="00E532A0">
        <w:rPr>
          <w:rFonts w:ascii="Palatino Linotype" w:hAnsi="Palatino Linotype"/>
          <w:color w:val="000000" w:themeColor="text1"/>
        </w:rPr>
        <w:t xml:space="preserve">he rules do not describe </w:t>
      </w:r>
      <w:r>
        <w:rPr>
          <w:rFonts w:ascii="Palatino Linotype" w:hAnsi="Palatino Linotype"/>
          <w:color w:val="000000" w:themeColor="text1"/>
        </w:rPr>
        <w:t xml:space="preserve">any </w:t>
      </w:r>
      <w:r w:rsidRPr="00E532A0">
        <w:rPr>
          <w:rFonts w:ascii="Palatino Linotype" w:hAnsi="Palatino Linotype"/>
          <w:color w:val="000000" w:themeColor="text1"/>
        </w:rPr>
        <w:t xml:space="preserve">other challenge process, nor </w:t>
      </w:r>
      <w:r>
        <w:rPr>
          <w:rFonts w:ascii="Palatino Linotype" w:hAnsi="Palatino Linotype"/>
          <w:color w:val="000000" w:themeColor="text1"/>
        </w:rPr>
        <w:t xml:space="preserve">do they indicate that a </w:t>
      </w:r>
      <w:r w:rsidRPr="00E532A0">
        <w:rPr>
          <w:rFonts w:ascii="Palatino Linotype" w:hAnsi="Palatino Linotype"/>
          <w:color w:val="000000" w:themeColor="text1"/>
        </w:rPr>
        <w:t>“wired” facility should be treated</w:t>
      </w:r>
      <w:r>
        <w:rPr>
          <w:rFonts w:ascii="Palatino Linotype" w:hAnsi="Palatino Linotype"/>
          <w:color w:val="000000" w:themeColor="text1"/>
        </w:rPr>
        <w:t xml:space="preserve"> any differently than an unwired facility</w:t>
      </w:r>
      <w:r w:rsidRPr="00E532A0">
        <w:rPr>
          <w:rFonts w:ascii="Palatino Linotype" w:hAnsi="Palatino Linotype"/>
          <w:color w:val="000000" w:themeColor="text1"/>
        </w:rPr>
        <w:t>.</w:t>
      </w:r>
      <w:r>
        <w:rPr>
          <w:rStyle w:val="FootnoteReference"/>
          <w:rFonts w:ascii="Palatino Linotype" w:hAnsi="Palatino Linotype"/>
          <w:color w:val="000000" w:themeColor="text1"/>
        </w:rPr>
        <w:footnoteReference w:id="25"/>
      </w:r>
      <w:r>
        <w:rPr>
          <w:rFonts w:ascii="Palatino Linotype" w:hAnsi="Palatino Linotype"/>
          <w:color w:val="000000" w:themeColor="text1"/>
        </w:rPr>
        <w:t xml:space="preserve">  </w:t>
      </w:r>
    </w:p>
    <w:p w14:paraId="02CC3ECF" w14:textId="77777777" w:rsidR="009C7B4C" w:rsidRDefault="009C7B4C" w:rsidP="00EE38A2">
      <w:pPr>
        <w:tabs>
          <w:tab w:val="right" w:pos="10080"/>
        </w:tabs>
        <w:rPr>
          <w:rFonts w:ascii="Palatino Linotype" w:hAnsi="Palatino Linotype"/>
        </w:rPr>
      </w:pPr>
    </w:p>
    <w:p w14:paraId="70923D8C" w14:textId="77777777" w:rsidR="006B74CE" w:rsidRPr="00B8240F" w:rsidRDefault="00E532A0" w:rsidP="00E019D4">
      <w:pPr>
        <w:rPr>
          <w:rFonts w:ascii="Palatino Linotype" w:hAnsi="Palatino Linotype"/>
          <w:color w:val="000000" w:themeColor="text1"/>
        </w:rPr>
      </w:pPr>
      <w:r w:rsidRPr="00B8240F">
        <w:rPr>
          <w:rFonts w:ascii="Palatino Linotype" w:hAnsi="Palatino Linotype"/>
          <w:color w:val="000000" w:themeColor="text1"/>
        </w:rPr>
        <w:t>T</w:t>
      </w:r>
      <w:r w:rsidR="00331F7F">
        <w:rPr>
          <w:rFonts w:ascii="Palatino Linotype" w:hAnsi="Palatino Linotype"/>
          <w:color w:val="000000" w:themeColor="text1"/>
        </w:rPr>
        <w:t>herefore, t</w:t>
      </w:r>
      <w:r w:rsidRPr="00B8240F">
        <w:rPr>
          <w:rFonts w:ascii="Palatino Linotype" w:hAnsi="Palatino Linotype"/>
          <w:color w:val="000000" w:themeColor="text1"/>
        </w:rPr>
        <w:t xml:space="preserve">his </w:t>
      </w:r>
      <w:r w:rsidR="00E95EB4">
        <w:rPr>
          <w:rFonts w:ascii="Palatino Linotype" w:hAnsi="Palatino Linotype"/>
          <w:color w:val="000000" w:themeColor="text1"/>
        </w:rPr>
        <w:t>R</w:t>
      </w:r>
      <w:r w:rsidRPr="00B8240F">
        <w:rPr>
          <w:rFonts w:ascii="Palatino Linotype" w:hAnsi="Palatino Linotype"/>
          <w:color w:val="000000" w:themeColor="text1"/>
        </w:rPr>
        <w:t xml:space="preserve">esolution presents an opportunity </w:t>
      </w:r>
      <w:r w:rsidR="00165068">
        <w:rPr>
          <w:rFonts w:ascii="Palatino Linotype" w:hAnsi="Palatino Linotype"/>
          <w:color w:val="000000" w:themeColor="text1"/>
        </w:rPr>
        <w:t xml:space="preserve">for the Commission </w:t>
      </w:r>
      <w:r w:rsidRPr="00B8240F">
        <w:rPr>
          <w:rFonts w:ascii="Palatino Linotype" w:hAnsi="Palatino Linotype"/>
          <w:color w:val="000000" w:themeColor="text1"/>
        </w:rPr>
        <w:t xml:space="preserve">to address </w:t>
      </w:r>
      <w:r w:rsidR="00165068">
        <w:rPr>
          <w:rFonts w:ascii="Palatino Linotype" w:hAnsi="Palatino Linotype"/>
          <w:color w:val="000000" w:themeColor="text1"/>
        </w:rPr>
        <w:t xml:space="preserve">whether </w:t>
      </w:r>
      <w:r w:rsidR="00EE38A2">
        <w:rPr>
          <w:rFonts w:ascii="Palatino Linotype" w:hAnsi="Palatino Linotype"/>
          <w:color w:val="000000" w:themeColor="text1"/>
        </w:rPr>
        <w:t xml:space="preserve">staff has the </w:t>
      </w:r>
      <w:r w:rsidR="00331F7F">
        <w:rPr>
          <w:rFonts w:ascii="Palatino Linotype" w:hAnsi="Palatino Linotype"/>
          <w:color w:val="000000" w:themeColor="text1"/>
        </w:rPr>
        <w:t xml:space="preserve">delegated </w:t>
      </w:r>
      <w:r w:rsidR="00EE38A2">
        <w:rPr>
          <w:rFonts w:ascii="Palatino Linotype" w:hAnsi="Palatino Linotype"/>
          <w:color w:val="000000" w:themeColor="text1"/>
        </w:rPr>
        <w:t xml:space="preserve">authority to approve applications </w:t>
      </w:r>
      <w:r w:rsidR="00EE38A2" w:rsidRPr="00E04F09">
        <w:rPr>
          <w:rFonts w:ascii="Palatino Linotype" w:hAnsi="Palatino Linotype"/>
          <w:color w:val="000000" w:themeColor="text1"/>
        </w:rPr>
        <w:t>via expedited</w:t>
      </w:r>
      <w:r w:rsidR="007013D8" w:rsidRPr="00E04F09">
        <w:rPr>
          <w:rFonts w:ascii="Palatino Linotype" w:hAnsi="Palatino Linotype"/>
          <w:color w:val="000000" w:themeColor="text1"/>
        </w:rPr>
        <w:t xml:space="preserve"> </w:t>
      </w:r>
      <w:r w:rsidR="005B6135" w:rsidRPr="00E04F09">
        <w:rPr>
          <w:rFonts w:ascii="Palatino Linotype" w:hAnsi="Palatino Linotype"/>
          <w:color w:val="000000" w:themeColor="text1"/>
        </w:rPr>
        <w:t>review</w:t>
      </w:r>
      <w:r w:rsidR="005B6135">
        <w:rPr>
          <w:rFonts w:ascii="Palatino Linotype" w:hAnsi="Palatino Linotype"/>
          <w:color w:val="000000" w:themeColor="text1"/>
        </w:rPr>
        <w:t xml:space="preserve"> for</w:t>
      </w:r>
      <w:r w:rsidR="00B5558E">
        <w:rPr>
          <w:rFonts w:ascii="Palatino Linotype" w:hAnsi="Palatino Linotype"/>
          <w:color w:val="000000" w:themeColor="text1"/>
        </w:rPr>
        <w:t xml:space="preserve"> buildings that are wired.</w:t>
      </w:r>
      <w:r w:rsidRPr="00B8240F">
        <w:rPr>
          <w:rFonts w:ascii="Palatino Linotype" w:hAnsi="Palatino Linotype"/>
          <w:color w:val="000000" w:themeColor="text1"/>
        </w:rPr>
        <w:t xml:space="preserve">  </w:t>
      </w:r>
      <w:r w:rsidR="00165068">
        <w:rPr>
          <w:rFonts w:ascii="Palatino Linotype" w:hAnsi="Palatino Linotype"/>
          <w:color w:val="000000" w:themeColor="text1"/>
        </w:rPr>
        <w:t xml:space="preserve">This </w:t>
      </w:r>
      <w:r w:rsidR="00E95EB4">
        <w:rPr>
          <w:rFonts w:ascii="Palatino Linotype" w:hAnsi="Palatino Linotype"/>
          <w:color w:val="000000" w:themeColor="text1"/>
        </w:rPr>
        <w:t>R</w:t>
      </w:r>
      <w:r w:rsidR="00165068">
        <w:rPr>
          <w:rFonts w:ascii="Palatino Linotype" w:hAnsi="Palatino Linotype"/>
          <w:color w:val="000000" w:themeColor="text1"/>
        </w:rPr>
        <w:t xml:space="preserve">esolution further presents </w:t>
      </w:r>
      <w:r w:rsidR="00331F7F">
        <w:rPr>
          <w:rFonts w:ascii="Palatino Linotype" w:hAnsi="Palatino Linotype"/>
          <w:color w:val="000000" w:themeColor="text1"/>
        </w:rPr>
        <w:t xml:space="preserve">the Commission with </w:t>
      </w:r>
      <w:r w:rsidR="00165068">
        <w:rPr>
          <w:rFonts w:ascii="Palatino Linotype" w:hAnsi="Palatino Linotype"/>
          <w:color w:val="000000" w:themeColor="text1"/>
        </w:rPr>
        <w:t xml:space="preserve">the opportunity to </w:t>
      </w:r>
      <w:r w:rsidR="00165068" w:rsidRPr="00392F9A">
        <w:rPr>
          <w:rFonts w:ascii="Palatino Linotype" w:hAnsi="Palatino Linotype"/>
          <w:color w:val="000000" w:themeColor="text1"/>
        </w:rPr>
        <w:t xml:space="preserve">address </w:t>
      </w:r>
      <w:r w:rsidR="00B5558E" w:rsidRPr="00392F9A">
        <w:rPr>
          <w:rFonts w:ascii="Palatino Linotype" w:hAnsi="Palatino Linotype"/>
          <w:color w:val="000000" w:themeColor="text1"/>
        </w:rPr>
        <w:t xml:space="preserve">the </w:t>
      </w:r>
      <w:r w:rsidR="00165068" w:rsidRPr="00392F9A">
        <w:rPr>
          <w:rFonts w:ascii="Palatino Linotype" w:hAnsi="Palatino Linotype"/>
          <w:color w:val="000000" w:themeColor="text1"/>
        </w:rPr>
        <w:t>public housing</w:t>
      </w:r>
      <w:r w:rsidR="00165068">
        <w:rPr>
          <w:rFonts w:ascii="Palatino Linotype" w:hAnsi="Palatino Linotype"/>
          <w:color w:val="000000" w:themeColor="text1"/>
        </w:rPr>
        <w:t xml:space="preserve"> challenge process</w:t>
      </w:r>
      <w:r w:rsidR="00331F7F">
        <w:rPr>
          <w:rFonts w:ascii="Palatino Linotype" w:hAnsi="Palatino Linotype"/>
          <w:color w:val="000000" w:themeColor="text1"/>
        </w:rPr>
        <w:t>, and whether a denial of access is the only basis on which an application can be challenged under the BPHA</w:t>
      </w:r>
      <w:r w:rsidR="00165068">
        <w:rPr>
          <w:rFonts w:ascii="Palatino Linotype" w:hAnsi="Palatino Linotype"/>
          <w:color w:val="000000" w:themeColor="text1"/>
        </w:rPr>
        <w:t xml:space="preserve">.  </w:t>
      </w:r>
    </w:p>
    <w:p w14:paraId="35502676" w14:textId="77777777" w:rsidR="005F4ABD" w:rsidRDefault="005F4ABD" w:rsidP="00E019D4">
      <w:pPr>
        <w:rPr>
          <w:rFonts w:ascii="Palatino Linotype" w:hAnsi="Palatino Linotype"/>
          <w:color w:val="000000" w:themeColor="text1"/>
        </w:rPr>
      </w:pPr>
    </w:p>
    <w:p w14:paraId="5EE05E59" w14:textId="77777777" w:rsidR="00683B9E" w:rsidRDefault="00792BCD" w:rsidP="00683B9E">
      <w:pPr>
        <w:pStyle w:val="Default"/>
        <w:rPr>
          <w:rFonts w:ascii="Palatino Linotype" w:hAnsi="Palatino Linotype"/>
          <w:color w:val="000000" w:themeColor="text1"/>
        </w:rPr>
      </w:pPr>
      <w:r>
        <w:rPr>
          <w:rFonts w:ascii="Palatino Linotype" w:hAnsi="Palatino Linotype"/>
          <w:color w:val="000000" w:themeColor="text1"/>
        </w:rPr>
        <w:t xml:space="preserve">In approving this </w:t>
      </w:r>
      <w:r w:rsidR="00E95EB4">
        <w:rPr>
          <w:rFonts w:ascii="Palatino Linotype" w:hAnsi="Palatino Linotype"/>
          <w:color w:val="000000" w:themeColor="text1"/>
        </w:rPr>
        <w:t>R</w:t>
      </w:r>
      <w:r>
        <w:rPr>
          <w:rFonts w:ascii="Palatino Linotype" w:hAnsi="Palatino Linotype"/>
          <w:color w:val="000000" w:themeColor="text1"/>
        </w:rPr>
        <w:t xml:space="preserve">esolution, the </w:t>
      </w:r>
      <w:r w:rsidR="00B745BD">
        <w:rPr>
          <w:rFonts w:ascii="Palatino Linotype" w:hAnsi="Palatino Linotype"/>
          <w:color w:val="000000" w:themeColor="text1"/>
        </w:rPr>
        <w:t>Commission modifies</w:t>
      </w:r>
      <w:r w:rsidR="000B02D8">
        <w:rPr>
          <w:rFonts w:ascii="Palatino Linotype" w:hAnsi="Palatino Linotype"/>
          <w:color w:val="000000" w:themeColor="text1"/>
        </w:rPr>
        <w:t xml:space="preserve"> </w:t>
      </w:r>
      <w:r w:rsidR="000B02D8" w:rsidRPr="0042385B">
        <w:rPr>
          <w:rFonts w:ascii="Palatino Linotype" w:hAnsi="Palatino Linotype"/>
          <w:color w:val="000000" w:themeColor="text1"/>
        </w:rPr>
        <w:t>Appendix B</w:t>
      </w:r>
      <w:r w:rsidR="000B02D8">
        <w:rPr>
          <w:rFonts w:ascii="Palatino Linotype" w:hAnsi="Palatino Linotype"/>
          <w:color w:val="000000" w:themeColor="text1"/>
        </w:rPr>
        <w:t xml:space="preserve">, Section VII (Expedited Review), </w:t>
      </w:r>
      <w:r w:rsidR="00900FF0">
        <w:rPr>
          <w:rFonts w:ascii="Palatino Linotype" w:hAnsi="Palatino Linotype"/>
          <w:color w:val="000000" w:themeColor="text1"/>
        </w:rPr>
        <w:t xml:space="preserve">to </w:t>
      </w:r>
      <w:r w:rsidR="000B02D8">
        <w:rPr>
          <w:rFonts w:ascii="Palatino Linotype" w:hAnsi="Palatino Linotype"/>
          <w:color w:val="000000" w:themeColor="text1"/>
        </w:rPr>
        <w:t>add the</w:t>
      </w:r>
      <w:r w:rsidR="00900FF0">
        <w:rPr>
          <w:rFonts w:ascii="Palatino Linotype" w:hAnsi="Palatino Linotype"/>
          <w:color w:val="000000" w:themeColor="text1"/>
        </w:rPr>
        <w:t xml:space="preserve"> following to the list of criteria:</w:t>
      </w:r>
      <w:r w:rsidR="000B02D8">
        <w:rPr>
          <w:rFonts w:ascii="Palatino Linotype" w:hAnsi="Palatino Linotype"/>
          <w:color w:val="000000" w:themeColor="text1"/>
        </w:rPr>
        <w:t xml:space="preserve"> “</w:t>
      </w:r>
      <w:r w:rsidR="000B02D8" w:rsidRPr="006F4F67">
        <w:rPr>
          <w:rFonts w:ascii="Palatino Linotype" w:hAnsi="Palatino Linotype"/>
          <w:color w:val="000000" w:themeColor="text1"/>
        </w:rPr>
        <w:t>Property the application proposes to serve is wired as de</w:t>
      </w:r>
      <w:r w:rsidR="000B02D8">
        <w:rPr>
          <w:rFonts w:ascii="Palatino Linotype" w:hAnsi="Palatino Linotype"/>
          <w:color w:val="000000" w:themeColor="text1"/>
        </w:rPr>
        <w:t>fined in Section III or unwired”</w:t>
      </w:r>
      <w:r w:rsidR="00D863AC">
        <w:rPr>
          <w:rFonts w:ascii="Palatino Linotype" w:hAnsi="Palatino Linotype"/>
          <w:color w:val="000000" w:themeColor="text1"/>
        </w:rPr>
        <w:t>, which if met, allows CD staff to approve an application via Expedited Review</w:t>
      </w:r>
      <w:r w:rsidR="000B02D8">
        <w:rPr>
          <w:rFonts w:ascii="Palatino Linotype" w:hAnsi="Palatino Linotype"/>
          <w:color w:val="000000" w:themeColor="text1"/>
        </w:rPr>
        <w:t>.</w:t>
      </w:r>
      <w:r w:rsidR="00D863AC">
        <w:rPr>
          <w:rStyle w:val="FootnoteReference"/>
          <w:rFonts w:ascii="Palatino Linotype" w:hAnsi="Palatino Linotype"/>
          <w:color w:val="000000" w:themeColor="text1"/>
        </w:rPr>
        <w:footnoteReference w:id="26"/>
      </w:r>
      <w:r w:rsidR="000B02D8">
        <w:rPr>
          <w:rFonts w:ascii="Palatino Linotype" w:hAnsi="Palatino Linotype"/>
          <w:color w:val="000000" w:themeColor="text1"/>
        </w:rPr>
        <w:t xml:space="preserve">  </w:t>
      </w:r>
    </w:p>
    <w:p w14:paraId="6090623C" w14:textId="77777777" w:rsidR="008831F5" w:rsidRPr="008831F5" w:rsidRDefault="008831F5" w:rsidP="00331F7F">
      <w:pPr>
        <w:rPr>
          <w:rFonts w:ascii="Palatino Linotype" w:hAnsi="Palatino Linotype"/>
          <w:color w:val="000000" w:themeColor="text1"/>
        </w:rPr>
      </w:pPr>
    </w:p>
    <w:p w14:paraId="1E1572D6" w14:textId="77777777" w:rsidR="008831F5" w:rsidRDefault="00331F7F" w:rsidP="00E019D4">
      <w:pPr>
        <w:rPr>
          <w:rFonts w:ascii="Palatino Linotype" w:hAnsi="Palatino Linotype"/>
          <w:color w:val="000000" w:themeColor="text1"/>
        </w:rPr>
      </w:pPr>
      <w:r>
        <w:rPr>
          <w:rFonts w:ascii="Palatino Linotype" w:hAnsi="Palatino Linotype"/>
          <w:color w:val="000000" w:themeColor="text1"/>
        </w:rPr>
        <w:t>B</w:t>
      </w:r>
      <w:r w:rsidR="00E532A0" w:rsidRPr="00B8240F">
        <w:rPr>
          <w:rFonts w:ascii="Palatino Linotype" w:hAnsi="Palatino Linotype"/>
          <w:color w:val="000000" w:themeColor="text1"/>
        </w:rPr>
        <w:t>ased on the above discussion, CD recommends approval of the projects listed in Table 1</w:t>
      </w:r>
      <w:r w:rsidR="008F51FC">
        <w:rPr>
          <w:rFonts w:ascii="Palatino Linotype" w:hAnsi="Palatino Linotype"/>
          <w:color w:val="000000" w:themeColor="text1"/>
        </w:rPr>
        <w:t xml:space="preserve"> (despite </w:t>
      </w:r>
      <w:r w:rsidR="00631BBC">
        <w:rPr>
          <w:rFonts w:ascii="Palatino Linotype" w:hAnsi="Palatino Linotype"/>
          <w:color w:val="000000" w:themeColor="text1"/>
        </w:rPr>
        <w:t>all projects to be completed in</w:t>
      </w:r>
      <w:r w:rsidR="008F51FC">
        <w:rPr>
          <w:rFonts w:ascii="Palatino Linotype" w:hAnsi="Palatino Linotype"/>
          <w:color w:val="000000" w:themeColor="text1"/>
        </w:rPr>
        <w:t xml:space="preserve"> wired facilities)</w:t>
      </w:r>
      <w:r w:rsidR="008831F5" w:rsidRPr="008F51FC">
        <w:rPr>
          <w:rFonts w:ascii="Palatino Linotype" w:hAnsi="Palatino Linotype"/>
          <w:color w:val="000000" w:themeColor="text1"/>
        </w:rPr>
        <w:t xml:space="preserve"> and a denial of the ISP challenges since all listed </w:t>
      </w:r>
      <w:r w:rsidR="008831F5" w:rsidRPr="00E04F09">
        <w:rPr>
          <w:rFonts w:ascii="Palatino Linotype" w:hAnsi="Palatino Linotype"/>
          <w:color w:val="000000" w:themeColor="text1"/>
        </w:rPr>
        <w:t xml:space="preserve">projects meet the requirements of the expedited review and all challenges provided were not supported in D.14-12-039 or in </w:t>
      </w:r>
      <w:r w:rsidR="00E95EB4">
        <w:rPr>
          <w:rFonts w:ascii="Palatino Linotype" w:hAnsi="Palatino Linotype"/>
        </w:rPr>
        <w:t>P.U. Code</w:t>
      </w:r>
      <w:r w:rsidR="00E532A0" w:rsidRPr="00904782">
        <w:rPr>
          <w:rFonts w:ascii="Palatino Linotype" w:hAnsi="Palatino Linotype"/>
        </w:rPr>
        <w:t xml:space="preserve"> </w:t>
      </w:r>
      <w:r w:rsidR="00E95EB4">
        <w:rPr>
          <w:rFonts w:ascii="Palatino Linotype" w:hAnsi="Palatino Linotype"/>
        </w:rPr>
        <w:t>S</w:t>
      </w:r>
      <w:r w:rsidR="00E532A0" w:rsidRPr="00904782">
        <w:rPr>
          <w:rFonts w:ascii="Palatino Linotype" w:hAnsi="Palatino Linotype"/>
        </w:rPr>
        <w:t>ection 281(h)</w:t>
      </w:r>
      <w:r w:rsidR="008831F5" w:rsidRPr="00904782">
        <w:rPr>
          <w:rFonts w:ascii="Palatino Linotype" w:hAnsi="Palatino Linotype"/>
        </w:rPr>
        <w:t>.</w:t>
      </w:r>
      <w:r w:rsidR="008831F5">
        <w:rPr>
          <w:rFonts w:ascii="Palatino Linotype" w:hAnsi="Palatino Linotype"/>
        </w:rPr>
        <w:t xml:space="preserve">  </w:t>
      </w:r>
    </w:p>
    <w:p w14:paraId="37E349D1" w14:textId="77777777" w:rsidR="00BE5488" w:rsidRPr="00B8240F" w:rsidRDefault="00BE5488" w:rsidP="00B8240F">
      <w:pPr>
        <w:rPr>
          <w:rFonts w:ascii="Palatino Linotype" w:hAnsi="Palatino Linotype"/>
          <w:color w:val="000000" w:themeColor="text1"/>
        </w:rPr>
      </w:pPr>
    </w:p>
    <w:p w14:paraId="2593BB1B" w14:textId="77777777" w:rsidR="00BE5488" w:rsidRPr="00B8240F" w:rsidRDefault="00E532A0" w:rsidP="00B8240F">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Staff Recommendation for Funding</w:t>
      </w:r>
    </w:p>
    <w:p w14:paraId="2F7DCF08" w14:textId="77777777" w:rsidR="00BE5488" w:rsidRPr="00B8240F" w:rsidRDefault="00BE5488" w:rsidP="00B8240F">
      <w:pPr>
        <w:pStyle w:val="ListParagraph"/>
        <w:rPr>
          <w:rFonts w:ascii="Palatino Linotype" w:hAnsi="Palatino Linotype"/>
          <w:color w:val="000000" w:themeColor="text1"/>
        </w:rPr>
      </w:pPr>
    </w:p>
    <w:p w14:paraId="087C1FAE" w14:textId="77777777" w:rsidR="00BE5488" w:rsidRPr="00B8240F" w:rsidRDefault="00E532A0" w:rsidP="00B8240F">
      <w:pPr>
        <w:rPr>
          <w:rFonts w:ascii="Palatino Linotype" w:hAnsi="Palatino Linotype"/>
          <w:color w:val="000000" w:themeColor="text1"/>
        </w:rPr>
      </w:pPr>
      <w:r w:rsidRPr="00B8240F">
        <w:rPr>
          <w:rFonts w:ascii="Palatino Linotype" w:hAnsi="Palatino Linotype"/>
          <w:color w:val="000000" w:themeColor="text1"/>
        </w:rPr>
        <w:t xml:space="preserve">CD has determined that these projects qualify for funding.  Further, CD’s evaluation of these projects finds that they meet the requirements of D.14-12-039, and supports the deployment of broadband infrastructure in eligible PSCs.  </w:t>
      </w:r>
    </w:p>
    <w:p w14:paraId="1CD80B6A" w14:textId="77777777" w:rsidR="00BE5488" w:rsidRPr="00B8240F" w:rsidRDefault="00BE5488" w:rsidP="00B8240F">
      <w:pPr>
        <w:rPr>
          <w:rFonts w:ascii="Palatino Linotype" w:hAnsi="Palatino Linotype"/>
          <w:color w:val="000000" w:themeColor="text1"/>
        </w:rPr>
      </w:pPr>
    </w:p>
    <w:p w14:paraId="273A93A3" w14:textId="77777777" w:rsidR="00846D53" w:rsidRPr="00B8240F" w:rsidRDefault="00E532A0" w:rsidP="00846D53">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     COMPLIANCE REQUIREMENTS</w:t>
      </w:r>
    </w:p>
    <w:p w14:paraId="0D3E9B8D" w14:textId="77777777" w:rsidR="00846D53" w:rsidRPr="00B8240F" w:rsidRDefault="00846D53" w:rsidP="00846D53">
      <w:pPr>
        <w:autoSpaceDE w:val="0"/>
        <w:autoSpaceDN w:val="0"/>
        <w:adjustRightInd w:val="0"/>
        <w:rPr>
          <w:rFonts w:ascii="Palatino Linotype" w:hAnsi="Palatino Linotype"/>
          <w:b/>
          <w:color w:val="000000" w:themeColor="text1"/>
        </w:rPr>
      </w:pPr>
    </w:p>
    <w:p w14:paraId="35E220B4" w14:textId="77777777" w:rsidR="00846D53" w:rsidRPr="00B8240F" w:rsidRDefault="00E532A0" w:rsidP="00846D53">
      <w:pPr>
        <w:autoSpaceDE w:val="0"/>
        <w:autoSpaceDN w:val="0"/>
        <w:adjustRightInd w:val="0"/>
        <w:rPr>
          <w:rFonts w:ascii="Palatino Linotype" w:hAnsi="Palatino Linotype" w:cs="Garamond"/>
          <w:color w:val="000000" w:themeColor="text1"/>
        </w:rPr>
      </w:pPr>
      <w:r w:rsidRPr="00B8240F">
        <w:rPr>
          <w:rFonts w:ascii="Palatino Linotype" w:hAnsi="Palatino Linotype"/>
          <w:color w:val="000000" w:themeColor="text1"/>
        </w:rPr>
        <w:t xml:space="preserve">HACSB, CHW and Eden </w:t>
      </w:r>
      <w:r w:rsidRPr="00B8240F">
        <w:rPr>
          <w:rFonts w:ascii="Palatino Linotype" w:hAnsi="Palatino Linotype" w:cs="Garamond"/>
          <w:color w:val="000000" w:themeColor="text1"/>
        </w:rPr>
        <w:t>are required to comply with all the guidelines, requirements, and conditions associated with the grant of CASF funds as specified in D.14-12-039.  Such compliance includes, but is not limited to the following:</w:t>
      </w:r>
    </w:p>
    <w:p w14:paraId="3F0D60DF" w14:textId="77777777" w:rsidR="00846D53" w:rsidRPr="00B8240F" w:rsidRDefault="00846D53" w:rsidP="00846D53">
      <w:pPr>
        <w:autoSpaceDE w:val="0"/>
        <w:autoSpaceDN w:val="0"/>
        <w:adjustRightInd w:val="0"/>
        <w:rPr>
          <w:rFonts w:ascii="Palatino Linotype" w:hAnsi="Palatino Linotype"/>
          <w:color w:val="000000" w:themeColor="text1"/>
        </w:rPr>
      </w:pPr>
    </w:p>
    <w:p w14:paraId="7F4A2FC9" w14:textId="77777777" w:rsidR="00846D53" w:rsidRPr="00B8240F" w:rsidRDefault="00E532A0" w:rsidP="00846D53">
      <w:pPr>
        <w:numPr>
          <w:ilvl w:val="0"/>
          <w:numId w:val="39"/>
        </w:num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 xml:space="preserve">California Environmental Quality Act (CEQA) </w:t>
      </w:r>
    </w:p>
    <w:p w14:paraId="5C183DFC" w14:textId="77777777" w:rsidR="00846D53" w:rsidRPr="00B8240F" w:rsidRDefault="00846D53" w:rsidP="00846D53">
      <w:pPr>
        <w:pStyle w:val="Default"/>
        <w:rPr>
          <w:rFonts w:ascii="Palatino Linotype" w:hAnsi="Palatino Linotype"/>
          <w:color w:val="000000" w:themeColor="text1"/>
        </w:rPr>
      </w:pPr>
    </w:p>
    <w:p w14:paraId="290ED214" w14:textId="77777777" w:rsidR="00846D53" w:rsidRPr="00B8240F" w:rsidRDefault="00E532A0" w:rsidP="00846D53">
      <w:pPr>
        <w:pStyle w:val="Default"/>
        <w:rPr>
          <w:rFonts w:ascii="Palatino Linotype" w:hAnsi="Palatino Linotype"/>
          <w:color w:val="000000" w:themeColor="text1"/>
        </w:rPr>
      </w:pPr>
      <w:r w:rsidRPr="00B8240F">
        <w:rPr>
          <w:rFonts w:ascii="Palatino Linotype" w:hAnsi="Palatino Linotype"/>
          <w:color w:val="000000" w:themeColor="text1"/>
        </w:rPr>
        <w:t>All CASF grants are subject to CEQA requirements unless the projects are statutorily or categorically exempt pursuant to the CEQA Guidelines.</w:t>
      </w:r>
    </w:p>
    <w:p w14:paraId="389E0176" w14:textId="77777777" w:rsidR="00846D53" w:rsidRPr="00B8240F" w:rsidRDefault="00846D53" w:rsidP="00846D53">
      <w:pPr>
        <w:autoSpaceDE w:val="0"/>
        <w:autoSpaceDN w:val="0"/>
        <w:adjustRightInd w:val="0"/>
        <w:rPr>
          <w:rFonts w:ascii="Palatino Linotype" w:hAnsi="Palatino Linotype"/>
          <w:color w:val="000000" w:themeColor="text1"/>
        </w:rPr>
      </w:pPr>
    </w:p>
    <w:p w14:paraId="20AAEE8D" w14:textId="77777777" w:rsidR="00846D53" w:rsidRPr="00B8240F" w:rsidDel="00C352D3" w:rsidRDefault="00E532A0" w:rsidP="00846D53">
      <w:pPr>
        <w:autoSpaceDE w:val="0"/>
        <w:autoSpaceDN w:val="0"/>
        <w:adjustRightInd w:val="0"/>
        <w:rPr>
          <w:rFonts w:ascii="Palatino Linotype" w:hAnsi="Palatino Linotype" w:cs="Tahoma"/>
          <w:color w:val="000000" w:themeColor="text1"/>
        </w:rPr>
      </w:pPr>
      <w:r w:rsidRPr="00B8240F">
        <w:rPr>
          <w:rFonts w:ascii="Palatino Linotype" w:hAnsi="Palatino Linotype"/>
          <w:color w:val="000000" w:themeColor="text1"/>
        </w:rPr>
        <w:t xml:space="preserve">All </w:t>
      </w:r>
      <w:r w:rsidR="00B745BD">
        <w:rPr>
          <w:rFonts w:ascii="Palatino Linotype" w:hAnsi="Palatino Linotype"/>
          <w:color w:val="000000" w:themeColor="text1"/>
        </w:rPr>
        <w:t>12</w:t>
      </w:r>
      <w:r w:rsidRPr="00B8240F">
        <w:rPr>
          <w:rFonts w:ascii="Palatino Linotype" w:hAnsi="Palatino Linotype"/>
          <w:color w:val="000000" w:themeColor="text1"/>
        </w:rPr>
        <w:t xml:space="preserve"> projects require limited modifications of existing structures.  </w:t>
      </w:r>
      <w:r w:rsidRPr="00B8240F">
        <w:rPr>
          <w:rFonts w:ascii="Palatino Linotype" w:hAnsi="Palatino Linotype" w:cs="Tahoma"/>
          <w:color w:val="000000" w:themeColor="text1"/>
        </w:rPr>
        <w:t>The HACSB and CHW projects require the installation of network switching and routing equipment in existing structures and use existing wiring.  Such inside wiring may be replaced if found deficient.</w:t>
      </w:r>
      <w:r w:rsidRPr="00B8240F">
        <w:rPr>
          <w:rFonts w:ascii="Palatino Linotype" w:hAnsi="Palatino Linotype"/>
          <w:color w:val="000000" w:themeColor="text1"/>
        </w:rPr>
        <w:t xml:space="preserve">  The Eden </w:t>
      </w:r>
      <w:r w:rsidRPr="00B8240F">
        <w:rPr>
          <w:rFonts w:ascii="Palatino Linotype" w:hAnsi="Palatino Linotype" w:cs="Tahoma"/>
          <w:color w:val="000000" w:themeColor="text1"/>
        </w:rPr>
        <w:t xml:space="preserve">projects are based on a mesh WiFi 802.11n wireless network architecture consisting of ISP Modem, network switching and routing equipment and wireless access points.  This requires installation/mounting of equipment in existing structures such as rooftops.  </w:t>
      </w:r>
    </w:p>
    <w:p w14:paraId="588E532A" w14:textId="77777777" w:rsidR="00C352D3" w:rsidRPr="00B8240F" w:rsidRDefault="00C352D3" w:rsidP="00846D53">
      <w:pPr>
        <w:autoSpaceDE w:val="0"/>
        <w:autoSpaceDN w:val="0"/>
        <w:adjustRightInd w:val="0"/>
        <w:rPr>
          <w:rFonts w:ascii="Palatino Linotype" w:hAnsi="Palatino Linotype"/>
          <w:color w:val="000000" w:themeColor="text1"/>
        </w:rPr>
      </w:pPr>
    </w:p>
    <w:p w14:paraId="67195815" w14:textId="77777777" w:rsidR="00846D53" w:rsidRPr="00B8240F" w:rsidRDefault="00E532A0" w:rsidP="00846D53">
      <w:pPr>
        <w:autoSpaceDE w:val="0"/>
        <w:autoSpaceDN w:val="0"/>
        <w:adjustRightInd w:val="0"/>
        <w:rPr>
          <w:rFonts w:ascii="Palatino Linotype" w:hAnsi="Palatino Linotype"/>
          <w:color w:val="000000" w:themeColor="text1"/>
        </w:rPr>
      </w:pPr>
      <w:r w:rsidRPr="00B8240F">
        <w:rPr>
          <w:rFonts w:ascii="Palatino Linotype" w:hAnsi="Palatino Linotype"/>
          <w:color w:val="000000" w:themeColor="text1"/>
        </w:rPr>
        <w:t>Based on the above information, these projects meet the criteria of the CEQA categorical exemption for existing facilities (CEQA Guidelines § 15301) and CEQA Guidelines Section 15303 – New Construction or Conversion of Small Structures, involving construction, installation, and/or conversion of limited numbers of new and/or existing facilities/structures.</w:t>
      </w:r>
    </w:p>
    <w:p w14:paraId="52551810" w14:textId="77777777" w:rsidR="00846D53" w:rsidRPr="00B8240F" w:rsidRDefault="00846D53" w:rsidP="00846D53">
      <w:pPr>
        <w:autoSpaceDE w:val="0"/>
        <w:autoSpaceDN w:val="0"/>
        <w:adjustRightInd w:val="0"/>
        <w:rPr>
          <w:rFonts w:ascii="Palatino Linotype" w:hAnsi="Palatino Linotype"/>
          <w:color w:val="000000" w:themeColor="text1"/>
        </w:rPr>
      </w:pPr>
    </w:p>
    <w:p w14:paraId="2588F003" w14:textId="77777777" w:rsidR="00846D53" w:rsidRPr="00B8240F" w:rsidRDefault="00E532A0" w:rsidP="00846D53">
      <w:pPr>
        <w:numPr>
          <w:ilvl w:val="0"/>
          <w:numId w:val="39"/>
        </w:num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Execution and Performance</w:t>
      </w:r>
    </w:p>
    <w:p w14:paraId="116C6089" w14:textId="77777777" w:rsidR="00846D53" w:rsidRPr="00B8240F" w:rsidRDefault="00846D53" w:rsidP="00846D53">
      <w:pPr>
        <w:autoSpaceDE w:val="0"/>
        <w:autoSpaceDN w:val="0"/>
        <w:adjustRightInd w:val="0"/>
        <w:rPr>
          <w:rFonts w:ascii="Palatino Linotype" w:hAnsi="Palatino Linotype"/>
          <w:color w:val="000000" w:themeColor="text1"/>
        </w:rPr>
      </w:pPr>
    </w:p>
    <w:p w14:paraId="05C01927" w14:textId="77777777" w:rsidR="00846D53" w:rsidRPr="00B8240F"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 xml:space="preserve">HACSB, CHW and Eden must complete all performance under the award on or before 12 months from the date this </w:t>
      </w:r>
      <w:r w:rsidR="00E95EB4">
        <w:rPr>
          <w:rFonts w:ascii="Palatino Linotype" w:hAnsi="Palatino Linotype" w:cs="Garamond"/>
          <w:color w:val="000000" w:themeColor="text1"/>
        </w:rPr>
        <w:t>R</w:t>
      </w:r>
      <w:r w:rsidRPr="00B8240F">
        <w:rPr>
          <w:rFonts w:ascii="Palatino Linotype" w:hAnsi="Palatino Linotype" w:cs="Garamond"/>
          <w:color w:val="000000" w:themeColor="text1"/>
        </w:rPr>
        <w:t>esolution is approved.  If they are unable to complete the proposed projects within the 12 month time frame requirement, they must notify the Director of CD as soon as they become aware of this possibility.  If such notice is not provided, the Commission may reduce payment for failure to satisfy this requirement by timely notifying CD’s director.</w:t>
      </w:r>
    </w:p>
    <w:p w14:paraId="3591952E" w14:textId="77777777" w:rsidR="00846D53" w:rsidRPr="00B8240F" w:rsidRDefault="00846D53" w:rsidP="00846D53">
      <w:pPr>
        <w:ind w:right="-18"/>
        <w:rPr>
          <w:rFonts w:ascii="Palatino Linotype" w:hAnsi="Palatino Linotype" w:cs="Garamond"/>
          <w:color w:val="000000" w:themeColor="text1"/>
        </w:rPr>
      </w:pPr>
    </w:p>
    <w:p w14:paraId="2D14DF67" w14:textId="77777777" w:rsidR="00846D53" w:rsidRPr="00B8240F"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 xml:space="preserve">In the event that the recipient fails to complete the performance in accordance with the terms of the CPUC approval, </w:t>
      </w:r>
      <w:r w:rsidR="002966D2">
        <w:rPr>
          <w:rFonts w:ascii="Palatino Linotype" w:hAnsi="Palatino Linotype" w:cs="Garamond"/>
          <w:color w:val="000000" w:themeColor="text1"/>
        </w:rPr>
        <w:t xml:space="preserve">as set forth in this Resolution, </w:t>
      </w:r>
      <w:r w:rsidRPr="00B8240F">
        <w:rPr>
          <w:rFonts w:ascii="Palatino Linotype" w:hAnsi="Palatino Linotype" w:cs="Garamond"/>
          <w:color w:val="000000" w:themeColor="text1"/>
        </w:rPr>
        <w:t>the recipient shall reimburse some or all of the CASF funds it has received.</w:t>
      </w:r>
    </w:p>
    <w:p w14:paraId="14CB3628" w14:textId="77777777" w:rsidR="00846D53" w:rsidRPr="00B8240F" w:rsidRDefault="00846D53" w:rsidP="00846D53">
      <w:pPr>
        <w:ind w:right="-18"/>
        <w:rPr>
          <w:rFonts w:ascii="Palatino Linotype" w:hAnsi="Palatino Linotype" w:cs="Garamond"/>
          <w:color w:val="000000" w:themeColor="text1"/>
        </w:rPr>
      </w:pPr>
    </w:p>
    <w:p w14:paraId="52E957CC" w14:textId="77777777" w:rsidR="00846D53" w:rsidRPr="00B8240F" w:rsidRDefault="00E532A0" w:rsidP="00846D53">
      <w:pPr>
        <w:numPr>
          <w:ilvl w:val="0"/>
          <w:numId w:val="39"/>
        </w:numPr>
        <w:ind w:right="-18"/>
        <w:rPr>
          <w:rFonts w:ascii="Palatino Linotype" w:hAnsi="Palatino Linotype" w:cs="Garamond"/>
          <w:b/>
          <w:color w:val="000000" w:themeColor="text1"/>
        </w:rPr>
      </w:pPr>
      <w:r w:rsidRPr="00B8240F">
        <w:rPr>
          <w:rFonts w:ascii="Palatino Linotype" w:hAnsi="Palatino Linotype" w:cs="Garamond"/>
          <w:b/>
          <w:color w:val="000000" w:themeColor="text1"/>
        </w:rPr>
        <w:t>Project Audit</w:t>
      </w:r>
    </w:p>
    <w:p w14:paraId="5CDA20F2" w14:textId="77777777" w:rsidR="00846D53" w:rsidRPr="00B8240F" w:rsidRDefault="00846D53" w:rsidP="00846D53">
      <w:pPr>
        <w:ind w:right="-18"/>
        <w:rPr>
          <w:rFonts w:ascii="Palatino Linotype" w:hAnsi="Palatino Linotype" w:cs="Garamond"/>
          <w:color w:val="000000" w:themeColor="text1"/>
        </w:rPr>
      </w:pPr>
    </w:p>
    <w:p w14:paraId="372EDD13" w14:textId="77777777" w:rsidR="00846D53" w:rsidRPr="00B8240F"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The Commission has the right to conduct any necessary audit, verification, and discovery during project implementation/construction to ensure that CASF funds are spent in accordance with Commission approval.</w:t>
      </w:r>
      <w:r w:rsidRPr="00B8240F">
        <w:rPr>
          <w:rStyle w:val="FootnoteReference"/>
          <w:rFonts w:ascii="Palatino Linotype" w:hAnsi="Palatino Linotype" w:cs="Garamond"/>
          <w:color w:val="000000" w:themeColor="text1"/>
        </w:rPr>
        <w:footnoteReference w:id="27"/>
      </w:r>
    </w:p>
    <w:p w14:paraId="1BE3F0BB" w14:textId="77777777" w:rsidR="00846D53" w:rsidRPr="00B8240F" w:rsidRDefault="00846D53" w:rsidP="00846D53">
      <w:pPr>
        <w:ind w:right="-18"/>
        <w:rPr>
          <w:rFonts w:ascii="Palatino Linotype" w:hAnsi="Palatino Linotype" w:cs="Garamond"/>
          <w:color w:val="000000" w:themeColor="text1"/>
        </w:rPr>
      </w:pPr>
    </w:p>
    <w:p w14:paraId="1296ECB6" w14:textId="77777777" w:rsidR="00846D53" w:rsidRPr="000571D5"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w:t>
      </w:r>
      <w:r w:rsidRPr="000571D5">
        <w:rPr>
          <w:rFonts w:ascii="Palatino Linotype" w:hAnsi="Palatino Linotype" w:cs="Garamond"/>
          <w:color w:val="000000" w:themeColor="text1"/>
        </w:rPr>
        <w:t>he recipient’s invoices will be subject to a financial audit by the Commission at any time within three years of completion of the project.</w:t>
      </w:r>
    </w:p>
    <w:p w14:paraId="4303AD20" w14:textId="77777777" w:rsidR="00846D53" w:rsidRPr="000571D5" w:rsidRDefault="00846D53" w:rsidP="00846D53">
      <w:pPr>
        <w:ind w:right="-18"/>
        <w:rPr>
          <w:rFonts w:ascii="Palatino Linotype" w:hAnsi="Palatino Linotype" w:cs="Garamond"/>
          <w:color w:val="000000" w:themeColor="text1"/>
        </w:rPr>
      </w:pPr>
    </w:p>
    <w:p w14:paraId="7F158880" w14:textId="77777777" w:rsidR="00846D53" w:rsidRPr="000571D5" w:rsidRDefault="00E532A0" w:rsidP="00846D53">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 xml:space="preserve">Reporting </w:t>
      </w:r>
    </w:p>
    <w:p w14:paraId="78229B92" w14:textId="77777777" w:rsidR="00846D53" w:rsidRPr="000571D5" w:rsidRDefault="00846D53" w:rsidP="00846D53">
      <w:pPr>
        <w:ind w:right="-18"/>
        <w:rPr>
          <w:rFonts w:ascii="Palatino Linotype" w:hAnsi="Palatino Linotype" w:cs="Garamond"/>
          <w:color w:val="000000" w:themeColor="text1"/>
        </w:rPr>
      </w:pPr>
    </w:p>
    <w:p w14:paraId="62B720A8" w14:textId="77777777" w:rsidR="00846D53" w:rsidRPr="000571D5" w:rsidRDefault="00E532A0" w:rsidP="00846D53">
      <w:pPr>
        <w:ind w:right="-18"/>
        <w:rPr>
          <w:rFonts w:ascii="Palatino Linotype" w:hAnsi="Palatino Linotype" w:cs="Garamond"/>
          <w:color w:val="000000" w:themeColor="text1"/>
        </w:rPr>
      </w:pPr>
      <w:r w:rsidRPr="000571D5">
        <w:rPr>
          <w:rFonts w:ascii="Palatino Linotype" w:hAnsi="Palatino Linotype" w:cs="Garamond"/>
          <w:color w:val="000000" w:themeColor="text1"/>
        </w:rPr>
        <w:t xml:space="preserve">HACSB, CHW and Eden must submit quarterly progress reports on the status of the project irrespective of whether grantees request reimbursement or payment.  Quarterly progress reports should be submitted on January 1, April 1, July 1 and October 1.  Before full payment of the project, the recipient must submit a project completion report.  HACSB, CHW and Eden must also identify foreseeable risks that might prevent it from meeting future milestones.  HACSB, CHW and Eden shall also include speed test results in its completion report.  HACSB, CHW and Eden must certify that each progress report is true and correct under penalty of perjury. </w:t>
      </w:r>
    </w:p>
    <w:p w14:paraId="266CA72C" w14:textId="77777777" w:rsidR="00846D53" w:rsidRPr="000571D5" w:rsidRDefault="00846D53" w:rsidP="00846D53">
      <w:pPr>
        <w:ind w:right="-18"/>
        <w:rPr>
          <w:rFonts w:ascii="Palatino Linotype" w:hAnsi="Palatino Linotype" w:cs="Garamond"/>
          <w:color w:val="000000" w:themeColor="text1"/>
        </w:rPr>
      </w:pPr>
    </w:p>
    <w:p w14:paraId="31560A2B" w14:textId="77777777" w:rsidR="00846D53" w:rsidRPr="000571D5" w:rsidRDefault="00E532A0" w:rsidP="00846D53">
      <w:pPr>
        <w:ind w:right="-18"/>
        <w:rPr>
          <w:rFonts w:ascii="Palatino Linotype" w:hAnsi="Palatino Linotype" w:cs="Garamond"/>
          <w:color w:val="000000" w:themeColor="text1"/>
        </w:rPr>
      </w:pPr>
      <w:r w:rsidRPr="000571D5">
        <w:rPr>
          <w:rFonts w:ascii="Palatino Linotype" w:hAnsi="Palatino Linotype" w:cs="Garamond"/>
          <w:color w:val="000000" w:themeColor="text1"/>
        </w:rPr>
        <w:t xml:space="preserve">HACSB, CHW and Eden </w:t>
      </w:r>
      <w:r w:rsidR="00E04F09" w:rsidRPr="000571D5">
        <w:rPr>
          <w:rFonts w:ascii="Palatino Linotype" w:hAnsi="Palatino Linotype" w:cs="Garamond"/>
          <w:color w:val="000000" w:themeColor="text1"/>
        </w:rPr>
        <w:t xml:space="preserve">are </w:t>
      </w:r>
      <w:r w:rsidRPr="000571D5">
        <w:rPr>
          <w:rFonts w:ascii="Palatino Linotype" w:hAnsi="Palatino Linotype" w:cs="Garamond"/>
          <w:color w:val="000000" w:themeColor="text1"/>
        </w:rPr>
        <w:t>required to maintain the broadband network for five years after it has been installed.  After installation, for a five year period, they must also submit quarterly reports showing the percentage of up time, the number of unique log-ons (either by individuals or by units) and the amount of data used.</w:t>
      </w:r>
      <w:r w:rsidRPr="000571D5">
        <w:rPr>
          <w:rStyle w:val="FootnoteReference"/>
          <w:rFonts w:ascii="Palatino Linotype" w:hAnsi="Palatino Linotype" w:cs="Garamond"/>
          <w:color w:val="000000" w:themeColor="text1"/>
        </w:rPr>
        <w:footnoteReference w:id="28"/>
      </w:r>
    </w:p>
    <w:p w14:paraId="4CD0DC87" w14:textId="77777777" w:rsidR="00846D53" w:rsidRPr="000571D5" w:rsidRDefault="00846D53" w:rsidP="00846D53">
      <w:pPr>
        <w:ind w:right="-18"/>
        <w:rPr>
          <w:rFonts w:ascii="Palatino Linotype" w:hAnsi="Palatino Linotype" w:cs="Garamond"/>
          <w:color w:val="000000" w:themeColor="text1"/>
        </w:rPr>
      </w:pPr>
    </w:p>
    <w:p w14:paraId="03A8F6C5" w14:textId="77777777" w:rsidR="00846D53" w:rsidRPr="000571D5" w:rsidRDefault="00E532A0" w:rsidP="00846D53">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Payments</w:t>
      </w:r>
    </w:p>
    <w:p w14:paraId="040FA13D" w14:textId="77777777" w:rsidR="00846D53" w:rsidRPr="000571D5" w:rsidRDefault="00846D53" w:rsidP="00846D53">
      <w:pPr>
        <w:ind w:right="-18"/>
        <w:rPr>
          <w:rFonts w:ascii="Palatino Linotype" w:hAnsi="Palatino Linotype" w:cs="Garamond"/>
          <w:color w:val="000000" w:themeColor="text1"/>
        </w:rPr>
      </w:pPr>
    </w:p>
    <w:p w14:paraId="66A94114" w14:textId="77777777" w:rsidR="00846D53" w:rsidRPr="000571D5" w:rsidRDefault="00E532A0" w:rsidP="00846D53">
      <w:pPr>
        <w:rPr>
          <w:rFonts w:ascii="Palatino Linotype" w:hAnsi="Palatino Linotype" w:cs="Garamond"/>
          <w:color w:val="000000" w:themeColor="text1"/>
        </w:rPr>
      </w:pPr>
      <w:r w:rsidRPr="000571D5">
        <w:rPr>
          <w:rFonts w:ascii="Palatino Linotype" w:hAnsi="Palatino Linotype" w:cs="Garamond"/>
          <w:color w:val="000000" w:themeColor="text1"/>
        </w:rPr>
        <w:t xml:space="preserve">Submission of invoices from and payments to HACSB, CHW and Eden shall be made at completion intervals in accordance with Section X of Appendix B of D.14-12-039 and according to the guidelines and supporting documentation required in D.14-12-039.  As referred to in Section X, payment to HACSB, CHW and Eden will be on a progress billing basis with the first 25 percent to be made upon the proponent’s submission to the Commission staff of a progress report showing that 25 percent of the total project has been completed.  Subsequent payments shall be made on 25 percent increments showing completion at 50 percent, 75 percent, and 100 percent.  HACSB, CHW and Eden must submit a project completion report before full payment. </w:t>
      </w:r>
    </w:p>
    <w:p w14:paraId="063284A5" w14:textId="77777777" w:rsidR="00846D53" w:rsidRPr="000571D5" w:rsidRDefault="00846D53" w:rsidP="00846D53">
      <w:pPr>
        <w:ind w:right="-18"/>
        <w:rPr>
          <w:rFonts w:ascii="Palatino Linotype" w:hAnsi="Palatino Linotype" w:cs="Garamond"/>
          <w:color w:val="000000" w:themeColor="text1"/>
        </w:rPr>
      </w:pPr>
    </w:p>
    <w:p w14:paraId="5B176264" w14:textId="77777777" w:rsidR="00846D53" w:rsidRPr="000571D5" w:rsidRDefault="00E532A0" w:rsidP="00846D53">
      <w:pPr>
        <w:rPr>
          <w:rFonts w:ascii="Palatino Linotype" w:hAnsi="Palatino Linotype" w:cs="Garamond"/>
          <w:color w:val="000000" w:themeColor="text1"/>
        </w:rPr>
      </w:pPr>
      <w:r w:rsidRPr="000571D5">
        <w:rPr>
          <w:rFonts w:ascii="Palatino Linotype" w:hAnsi="Palatino Linotype" w:cs="Garamond"/>
          <w:color w:val="000000" w:themeColor="text1"/>
        </w:rPr>
        <w:t xml:space="preserve">Payment to HACSB, CHW and Eden shall follow the process adopted for funds created under P.U. Code 270.  The Commission generally processes payments within 20-25 business days, including CD and Administrative Services review.  The State Controller’s Office (SCO) requires an additional 14-21 days to issue payment from the day that requests are received by SCO from Administrative Services. </w:t>
      </w:r>
    </w:p>
    <w:p w14:paraId="2B2675DD" w14:textId="77777777" w:rsidR="00846D53" w:rsidRDefault="00846D53" w:rsidP="00846D53">
      <w:pPr>
        <w:ind w:right="-18"/>
        <w:rPr>
          <w:rFonts w:ascii="Palatino Linotype" w:hAnsi="Palatino Linotype"/>
          <w:color w:val="000000" w:themeColor="text1"/>
        </w:rPr>
      </w:pPr>
    </w:p>
    <w:p w14:paraId="7D4B95FC" w14:textId="77777777" w:rsidR="00331192" w:rsidRPr="000571D5" w:rsidRDefault="00331192" w:rsidP="00846D53">
      <w:pPr>
        <w:ind w:right="-18"/>
        <w:rPr>
          <w:rFonts w:ascii="Palatino Linotype" w:hAnsi="Palatino Linotype"/>
          <w:color w:val="000000" w:themeColor="text1"/>
        </w:rPr>
      </w:pPr>
    </w:p>
    <w:p w14:paraId="7D846976" w14:textId="77777777" w:rsidR="00E95EB4" w:rsidRDefault="00E532A0" w:rsidP="00846D53">
      <w:pPr>
        <w:tabs>
          <w:tab w:val="right" w:pos="180"/>
        </w:tabs>
        <w:jc w:val="both"/>
        <w:rPr>
          <w:rFonts w:ascii="Palatino Linotype" w:hAnsi="Palatino Linotype"/>
          <w:b/>
          <w:color w:val="000000" w:themeColor="text1"/>
        </w:rPr>
      </w:pPr>
      <w:r w:rsidRPr="000571D5">
        <w:rPr>
          <w:rFonts w:ascii="Palatino Linotype" w:hAnsi="Palatino Linotype"/>
          <w:b/>
          <w:color w:val="000000" w:themeColor="text1"/>
        </w:rPr>
        <w:t xml:space="preserve">VI.     </w:t>
      </w:r>
      <w:r w:rsidR="00E95EB4">
        <w:rPr>
          <w:rFonts w:ascii="Palatino Linotype" w:hAnsi="Palatino Linotype"/>
          <w:b/>
          <w:color w:val="000000" w:themeColor="text1"/>
        </w:rPr>
        <w:t>SAFETY CONSIDERATIONS</w:t>
      </w:r>
    </w:p>
    <w:p w14:paraId="5BCECD53" w14:textId="77777777" w:rsidR="00E95EB4" w:rsidRDefault="00E95EB4" w:rsidP="00846D53">
      <w:pPr>
        <w:tabs>
          <w:tab w:val="right" w:pos="180"/>
        </w:tabs>
        <w:jc w:val="both"/>
        <w:rPr>
          <w:rFonts w:ascii="Palatino Linotype" w:hAnsi="Palatino Linotype"/>
          <w:b/>
          <w:color w:val="000000" w:themeColor="text1"/>
        </w:rPr>
      </w:pPr>
    </w:p>
    <w:p w14:paraId="27A7D3ED" w14:textId="77777777" w:rsidR="00E95EB4" w:rsidRDefault="00E95EB4" w:rsidP="00846D53">
      <w:pPr>
        <w:tabs>
          <w:tab w:val="right" w:pos="180"/>
        </w:tabs>
        <w:jc w:val="both"/>
        <w:rPr>
          <w:rFonts w:ascii="Palatino Linotype" w:hAnsi="Palatino Linotype"/>
          <w:color w:val="000000" w:themeColor="text1"/>
        </w:rPr>
      </w:pPr>
      <w:r>
        <w:rPr>
          <w:rFonts w:ascii="Palatino Linotype" w:hAnsi="Palatino Linotype"/>
          <w:color w:val="000000" w:themeColor="text1"/>
        </w:rPr>
        <w:t xml:space="preserve">The deployment </w:t>
      </w:r>
      <w:r w:rsidR="004C29A8">
        <w:rPr>
          <w:rFonts w:ascii="Palatino Linotype" w:hAnsi="Palatino Linotype"/>
          <w:color w:val="000000" w:themeColor="text1"/>
        </w:rPr>
        <w:t>of affordable broadband in public housing will improve access to government and e-health services, which improves safety.</w:t>
      </w:r>
    </w:p>
    <w:p w14:paraId="6C79FEB7" w14:textId="77777777" w:rsidR="004C29A8" w:rsidRPr="00922DD4" w:rsidRDefault="004C29A8" w:rsidP="00846D53">
      <w:pPr>
        <w:tabs>
          <w:tab w:val="right" w:pos="180"/>
        </w:tabs>
        <w:jc w:val="both"/>
        <w:rPr>
          <w:rFonts w:ascii="Palatino Linotype" w:hAnsi="Palatino Linotype"/>
          <w:color w:val="000000" w:themeColor="text1"/>
        </w:rPr>
      </w:pPr>
    </w:p>
    <w:p w14:paraId="1F2DA799" w14:textId="77777777" w:rsidR="00846D53" w:rsidRPr="000571D5" w:rsidRDefault="00E95EB4"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Pr>
          <w:rFonts w:ascii="Palatino Linotype" w:hAnsi="Palatino Linotype"/>
          <w:b/>
          <w:color w:val="000000" w:themeColor="text1"/>
        </w:rPr>
        <w:tab/>
      </w:r>
      <w:r w:rsidR="00E532A0" w:rsidRPr="000571D5">
        <w:rPr>
          <w:rFonts w:ascii="Palatino Linotype" w:hAnsi="Palatino Linotype"/>
          <w:b/>
          <w:color w:val="000000" w:themeColor="text1"/>
        </w:rPr>
        <w:t xml:space="preserve">COMMENTS </w:t>
      </w:r>
    </w:p>
    <w:p w14:paraId="35834876" w14:textId="77777777" w:rsidR="00846D53" w:rsidRPr="000571D5" w:rsidRDefault="00846D53" w:rsidP="00846D53">
      <w:pPr>
        <w:tabs>
          <w:tab w:val="right" w:pos="10080"/>
        </w:tabs>
        <w:jc w:val="both"/>
        <w:rPr>
          <w:rFonts w:ascii="Palatino Linotype" w:hAnsi="Palatino Linotype"/>
          <w:color w:val="000000" w:themeColor="text1"/>
          <w:highlight w:val="yellow"/>
        </w:rPr>
      </w:pPr>
    </w:p>
    <w:p w14:paraId="087FB355" w14:textId="0FD0D5B1" w:rsidR="00846D53" w:rsidRPr="000571D5"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sidR="00E95EB4">
        <w:rPr>
          <w:rFonts w:ascii="Palatino Linotype" w:hAnsi="Palatino Linotype"/>
          <w:color w:val="000000" w:themeColor="text1"/>
        </w:rPr>
        <w:t>P.U.</w:t>
      </w:r>
      <w:r w:rsidRPr="000571D5">
        <w:rPr>
          <w:rFonts w:ascii="Palatino Linotype" w:hAnsi="Palatino Linotype"/>
          <w:color w:val="000000" w:themeColor="text1"/>
        </w:rPr>
        <w:t xml:space="preserve"> Code </w:t>
      </w:r>
      <w:r w:rsidR="00E95EB4">
        <w:rPr>
          <w:rFonts w:ascii="Palatino Linotype" w:hAnsi="Palatino Linotype"/>
          <w:color w:val="000000" w:themeColor="text1"/>
        </w:rPr>
        <w:t>S</w:t>
      </w:r>
      <w:r w:rsidRPr="000571D5">
        <w:rPr>
          <w:rFonts w:ascii="Palatino Linotype" w:hAnsi="Palatino Linotype"/>
          <w:color w:val="000000" w:themeColor="text1"/>
        </w:rPr>
        <w:t>ection 311(g)(1), a Notice of Avail</w:t>
      </w:r>
      <w:r w:rsidR="00153ADD">
        <w:rPr>
          <w:rFonts w:ascii="Palatino Linotype" w:hAnsi="Palatino Linotype"/>
          <w:color w:val="000000" w:themeColor="text1"/>
        </w:rPr>
        <w:t>ability was e-mailed on 05/06/2016</w:t>
      </w:r>
      <w:r w:rsidRPr="000571D5">
        <w:rPr>
          <w:rFonts w:ascii="Palatino Linotype" w:hAnsi="Palatino Linotype"/>
          <w:color w:val="000000" w:themeColor="text1"/>
        </w:rPr>
        <w:t xml:space="preserve">, informing all parties on the CASF Distribution List of the availability of the draft of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9"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and is available for public comments.  This letter also informed parties that the final conformed Resolution adopted by the Commission will be posted and available at this same website.  </w:t>
      </w:r>
    </w:p>
    <w:p w14:paraId="3B376629" w14:textId="77777777" w:rsidR="002D021D" w:rsidRPr="000571D5" w:rsidRDefault="002D021D" w:rsidP="00846D53">
      <w:pPr>
        <w:tabs>
          <w:tab w:val="right" w:pos="10080"/>
        </w:tabs>
        <w:jc w:val="both"/>
        <w:rPr>
          <w:rFonts w:ascii="Palatino Linotype" w:hAnsi="Palatino Linotype"/>
          <w:color w:val="000000" w:themeColor="text1"/>
        </w:rPr>
      </w:pPr>
    </w:p>
    <w:p w14:paraId="57570E3B" w14:textId="77777777" w:rsidR="00846D53" w:rsidRPr="000571D5" w:rsidRDefault="00E532A0" w:rsidP="00846D53">
      <w:pPr>
        <w:tabs>
          <w:tab w:val="right" w:pos="10080"/>
        </w:tabs>
        <w:jc w:val="both"/>
        <w:rPr>
          <w:rFonts w:ascii="Palatino Linotype" w:hAnsi="Palatino Linotype"/>
          <w:b/>
          <w:color w:val="000000" w:themeColor="text1"/>
        </w:rPr>
      </w:pPr>
      <w:r w:rsidRPr="000571D5">
        <w:rPr>
          <w:rFonts w:ascii="Palatino Linotype" w:hAnsi="Palatino Linotype"/>
          <w:b/>
          <w:color w:val="000000" w:themeColor="text1"/>
        </w:rPr>
        <w:t>VII.    FINDINGS</w:t>
      </w:r>
    </w:p>
    <w:p w14:paraId="41C9D762" w14:textId="77777777" w:rsidR="00846D53" w:rsidRPr="000571D5" w:rsidRDefault="00846D53" w:rsidP="00846D53">
      <w:pPr>
        <w:autoSpaceDE w:val="0"/>
        <w:autoSpaceDN w:val="0"/>
        <w:adjustRightInd w:val="0"/>
        <w:rPr>
          <w:rFonts w:ascii="Palatino Linotype" w:hAnsi="Palatino Linotype" w:cs="Palatino Linotype"/>
          <w:color w:val="000000" w:themeColor="text1"/>
        </w:rPr>
      </w:pPr>
    </w:p>
    <w:p w14:paraId="77589E4B" w14:textId="77777777" w:rsidR="0002754E" w:rsidRPr="000571D5" w:rsidRDefault="00E532A0" w:rsidP="00846D53">
      <w:pPr>
        <w:numPr>
          <w:ilvl w:val="0"/>
          <w:numId w:val="42"/>
        </w:numPr>
        <w:rPr>
          <w:rFonts w:ascii="Palatino Linotype" w:hAnsi="Palatino Linotype"/>
          <w:color w:val="000000" w:themeColor="text1"/>
        </w:rPr>
      </w:pPr>
      <w:r w:rsidRPr="000571D5">
        <w:rPr>
          <w:rFonts w:ascii="Palatino Linotype" w:hAnsi="Palatino Linotype" w:cs="Palatino Linotype"/>
          <w:color w:val="000000" w:themeColor="text1"/>
        </w:rPr>
        <w:t xml:space="preserve">On December 18, 2014, the Commission approved D.14-12-039.  This decision established the rules for implementing BPHA.  This decision delegates to CD the authority to approve applications through an expedited review </w:t>
      </w:r>
      <w:r w:rsidR="002D021D" w:rsidRPr="000571D5">
        <w:rPr>
          <w:rFonts w:ascii="Palatino Linotype" w:hAnsi="Palatino Linotype" w:cs="Palatino Linotype"/>
          <w:color w:val="000000" w:themeColor="text1"/>
        </w:rPr>
        <w:t>t</w:t>
      </w:r>
      <w:r w:rsidR="005557DB" w:rsidRPr="000571D5">
        <w:rPr>
          <w:rFonts w:ascii="Palatino Linotype" w:hAnsi="Palatino Linotype" w:cs="Palatino Linotype"/>
          <w:color w:val="000000" w:themeColor="text1"/>
        </w:rPr>
        <w:t xml:space="preserve">hat meet expedited review criteria. </w:t>
      </w:r>
      <w:r w:rsidRPr="000571D5">
        <w:rPr>
          <w:rFonts w:ascii="Palatino Linotype" w:hAnsi="Palatino Linotype" w:cs="Palatino Linotype"/>
          <w:color w:val="000000" w:themeColor="text1"/>
        </w:rPr>
        <w:t xml:space="preserve">Projects not qualified for expedited review may still be considered for a grant through the Commission Resolution approval process.  </w:t>
      </w:r>
    </w:p>
    <w:p w14:paraId="1DBD9F54" w14:textId="77777777" w:rsidR="00BE5488" w:rsidRPr="000571D5" w:rsidRDefault="00BE5488" w:rsidP="00B8240F">
      <w:pPr>
        <w:pStyle w:val="ListParagraph"/>
        <w:rPr>
          <w:rFonts w:ascii="Palatino Linotype" w:hAnsi="Palatino Linotype" w:cs="Palatino Linotype"/>
          <w:color w:val="000000" w:themeColor="text1"/>
        </w:rPr>
      </w:pPr>
    </w:p>
    <w:p w14:paraId="0E962B91" w14:textId="77777777" w:rsidR="00932C69" w:rsidRPr="000571D5" w:rsidRDefault="00E532A0" w:rsidP="00846D53">
      <w:pPr>
        <w:numPr>
          <w:ilvl w:val="0"/>
          <w:numId w:val="42"/>
        </w:numPr>
        <w:rPr>
          <w:rFonts w:ascii="Palatino Linotype" w:hAnsi="Palatino Linotype"/>
          <w:color w:val="000000" w:themeColor="text1"/>
        </w:rPr>
      </w:pPr>
      <w:r w:rsidRPr="000571D5">
        <w:rPr>
          <w:rFonts w:ascii="Palatino Linotype" w:hAnsi="Palatino Linotype" w:cs="Garamond"/>
          <w:color w:val="000000" w:themeColor="text1"/>
        </w:rPr>
        <w:t xml:space="preserve">D.14-12-039 states that a PSC may be </w:t>
      </w:r>
      <w:r w:rsidR="005557DB" w:rsidRPr="000571D5">
        <w:rPr>
          <w:rFonts w:ascii="Palatino Linotype" w:hAnsi="Palatino Linotype" w:cs="Garamond"/>
          <w:color w:val="000000" w:themeColor="text1"/>
        </w:rPr>
        <w:t xml:space="preserve">an </w:t>
      </w:r>
      <w:r w:rsidRPr="000571D5">
        <w:rPr>
          <w:rFonts w:ascii="Palatino Linotype" w:hAnsi="Palatino Linotype" w:cs="Garamond"/>
          <w:color w:val="000000" w:themeColor="text1"/>
        </w:rPr>
        <w:t>eligible</w:t>
      </w:r>
      <w:r w:rsidR="005557DB" w:rsidRPr="000571D5">
        <w:rPr>
          <w:rFonts w:ascii="Palatino Linotype" w:hAnsi="Palatino Linotype" w:cs="Garamond"/>
          <w:color w:val="000000" w:themeColor="text1"/>
        </w:rPr>
        <w:t xml:space="preserve"> applicant</w:t>
      </w:r>
      <w:r w:rsidRPr="000571D5">
        <w:rPr>
          <w:rFonts w:ascii="Palatino Linotype" w:hAnsi="Palatino Linotype" w:cs="Garamond"/>
          <w:color w:val="000000" w:themeColor="text1"/>
        </w:rPr>
        <w:t xml:space="preserve"> if it has not denied an ISP access to its property to provide broadband Internet service and no ISP challenged this statement.</w:t>
      </w:r>
    </w:p>
    <w:p w14:paraId="3212092E" w14:textId="77777777" w:rsidR="00BE5488" w:rsidRPr="000571D5" w:rsidRDefault="00BE5488" w:rsidP="00B8240F">
      <w:pPr>
        <w:pStyle w:val="ListParagraph"/>
        <w:rPr>
          <w:rFonts w:ascii="Palatino Linotype" w:hAnsi="Palatino Linotype" w:cs="Palatino Linotype"/>
          <w:color w:val="000000" w:themeColor="text1"/>
        </w:rPr>
      </w:pPr>
    </w:p>
    <w:p w14:paraId="78F709B1" w14:textId="77777777" w:rsidR="00BE5488" w:rsidRPr="000571D5" w:rsidRDefault="00E532A0" w:rsidP="00B8240F">
      <w:pPr>
        <w:numPr>
          <w:ilvl w:val="0"/>
          <w:numId w:val="42"/>
        </w:numPr>
        <w:rPr>
          <w:rFonts w:ascii="Palatino Linotype" w:hAnsi="Palatino Linotype" w:cs="Garamond"/>
          <w:color w:val="000000" w:themeColor="text1"/>
        </w:rPr>
      </w:pPr>
      <w:r w:rsidRPr="000571D5">
        <w:rPr>
          <w:rFonts w:ascii="Palatino Linotype" w:hAnsi="Palatino Linotype" w:cs="Garamond"/>
          <w:color w:val="000000" w:themeColor="text1"/>
        </w:rPr>
        <w:t>On January 15, 2015, HACSB (Lynwood and North E Street projects) submitted applications for CASF funding.  On October 1, 2015, CHW (Northwest Manors II projects at two locations) and Eden (Hayward Senior, Warner Creek, Jasmine Square, Monticelli, Rancho Park, Royal Court, Wheeler Manor 650 5th Street Wheeler Manor 651 6th Street projects) submitted applications for CASF funding.</w:t>
      </w:r>
    </w:p>
    <w:p w14:paraId="383BBF4A" w14:textId="77777777" w:rsidR="00BE5488" w:rsidRPr="000571D5" w:rsidRDefault="00E532A0" w:rsidP="00B8240F">
      <w:pPr>
        <w:ind w:left="720"/>
        <w:rPr>
          <w:rFonts w:ascii="Palatino Linotype" w:hAnsi="Palatino Linotype"/>
          <w:color w:val="000000" w:themeColor="text1"/>
        </w:rPr>
      </w:pPr>
      <w:r w:rsidRPr="000571D5">
        <w:rPr>
          <w:rFonts w:ascii="Palatino Linotype" w:hAnsi="Palatino Linotype"/>
          <w:color w:val="000000" w:themeColor="text1"/>
        </w:rPr>
        <w:t xml:space="preserve">  </w:t>
      </w:r>
    </w:p>
    <w:p w14:paraId="67265A9D" w14:textId="77777777" w:rsidR="00D64A70" w:rsidRPr="000571D5" w:rsidRDefault="00D64A70" w:rsidP="00D64A70">
      <w:pPr>
        <w:pStyle w:val="Default"/>
        <w:numPr>
          <w:ilvl w:val="0"/>
          <w:numId w:val="42"/>
        </w:numPr>
        <w:rPr>
          <w:rFonts w:ascii="Palatino Linotype" w:hAnsi="Palatino Linotype" w:cs="Palatino Linotype"/>
          <w:color w:val="000000" w:themeColor="text1"/>
        </w:rPr>
      </w:pPr>
      <w:r w:rsidRPr="000571D5">
        <w:rPr>
          <w:rFonts w:ascii="Palatino Linotype" w:hAnsi="Palatino Linotype"/>
          <w:color w:val="000000" w:themeColor="text1"/>
        </w:rPr>
        <w:t>HACSB, CHW and Eden have declared that they have not denied an ISP access to its property to provide broadband Internet service and no ISP challenged this statement.</w:t>
      </w:r>
    </w:p>
    <w:p w14:paraId="456F25FB" w14:textId="77777777" w:rsidR="00BE5488" w:rsidRPr="000571D5" w:rsidRDefault="00BE5488" w:rsidP="00B8240F">
      <w:pPr>
        <w:pStyle w:val="Default"/>
        <w:ind w:left="720"/>
        <w:rPr>
          <w:rFonts w:ascii="Palatino Linotype" w:hAnsi="Palatino Linotype" w:cs="Palatino Linotype"/>
          <w:color w:val="000000" w:themeColor="text1"/>
        </w:rPr>
      </w:pPr>
    </w:p>
    <w:p w14:paraId="5410EC11" w14:textId="77777777" w:rsidR="00BE5488" w:rsidRPr="000571D5" w:rsidRDefault="00E532A0" w:rsidP="00B8240F">
      <w:pPr>
        <w:pStyle w:val="Default"/>
        <w:numPr>
          <w:ilvl w:val="0"/>
          <w:numId w:val="42"/>
        </w:numPr>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CD staff received challenges to two HACSB projects from Charter Communications.  CD received challenges from Charter for CHW’s two projects.  CD also received challenges to Eden’s projects from Charter Communications (six projects) and Comcast Corporation (two projects).  </w:t>
      </w:r>
    </w:p>
    <w:p w14:paraId="283D38DF" w14:textId="77777777" w:rsidR="00BE5488" w:rsidRPr="000571D5" w:rsidRDefault="00BE5488" w:rsidP="00B8240F">
      <w:pPr>
        <w:rPr>
          <w:rFonts w:ascii="Palatino Linotype" w:hAnsi="Palatino Linotype" w:cs="Palatino Linotype"/>
          <w:color w:val="000000" w:themeColor="text1"/>
        </w:rPr>
      </w:pPr>
    </w:p>
    <w:p w14:paraId="4FBB7DAE" w14:textId="77777777" w:rsidR="00E04F09" w:rsidRPr="000571D5" w:rsidRDefault="00E532A0" w:rsidP="00A63691">
      <w:pPr>
        <w:pStyle w:val="Default"/>
        <w:numPr>
          <w:ilvl w:val="0"/>
          <w:numId w:val="42"/>
        </w:numPr>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Challenges submitted were based on </w:t>
      </w:r>
      <w:r w:rsidR="00E04F09" w:rsidRPr="000571D5">
        <w:rPr>
          <w:rFonts w:ascii="Palatino Linotype" w:hAnsi="Palatino Linotype" w:cs="Palatino Linotype"/>
          <w:color w:val="000000" w:themeColor="text1"/>
        </w:rPr>
        <w:t xml:space="preserve">grounds that an ISP already provides </w:t>
      </w:r>
      <w:r w:rsidR="00A63691" w:rsidRPr="00A63691">
        <w:rPr>
          <w:rFonts w:ascii="Palatino Linotype" w:hAnsi="Palatino Linotype" w:cs="Palatino Linotype"/>
          <w:color w:val="000000" w:themeColor="text1"/>
        </w:rPr>
        <w:t>services at the PSC (the PSCs are “wired”).</w:t>
      </w:r>
    </w:p>
    <w:p w14:paraId="66D15EAA" w14:textId="77777777" w:rsidR="00E04F09" w:rsidRPr="000571D5" w:rsidRDefault="00E04F09" w:rsidP="00B8240F">
      <w:pPr>
        <w:pStyle w:val="ListParagraph"/>
        <w:rPr>
          <w:rFonts w:ascii="Palatino Linotype" w:hAnsi="Palatino Linotype" w:cs="Palatino Linotype"/>
          <w:color w:val="000000" w:themeColor="text1"/>
        </w:rPr>
      </w:pPr>
    </w:p>
    <w:p w14:paraId="1B0D4782" w14:textId="1B7A1F52" w:rsidR="00BE5488" w:rsidRPr="00153ADD" w:rsidRDefault="00E532A0" w:rsidP="00B8240F">
      <w:pPr>
        <w:pStyle w:val="ListParagraph"/>
        <w:numPr>
          <w:ilvl w:val="0"/>
          <w:numId w:val="42"/>
        </w:numPr>
        <w:tabs>
          <w:tab w:val="right" w:pos="10080"/>
        </w:tabs>
        <w:rPr>
          <w:rFonts w:ascii="Palatino Linotype" w:hAnsi="Palatino Linotype" w:cs="Palatino Linotype"/>
          <w:color w:val="000000" w:themeColor="text1"/>
        </w:rPr>
      </w:pPr>
      <w:r w:rsidRPr="00153ADD">
        <w:rPr>
          <w:rFonts w:ascii="Palatino Linotype" w:hAnsi="Palatino Linotype"/>
          <w:color w:val="000000" w:themeColor="text1"/>
        </w:rPr>
        <w:t>HACSB, CHW and Eden asserted that although the units may have wiring to support broadband Internet service, residents do not subscribe to that service because the</w:t>
      </w:r>
      <w:r w:rsidR="003F5D2C" w:rsidRPr="00153ADD">
        <w:rPr>
          <w:rFonts w:ascii="Palatino Linotype" w:hAnsi="Palatino Linotype"/>
          <w:color w:val="000000" w:themeColor="text1"/>
        </w:rPr>
        <w:t xml:space="preserve">y cannot afford the services.  </w:t>
      </w:r>
    </w:p>
    <w:p w14:paraId="371054DF" w14:textId="77777777" w:rsidR="00153ADD" w:rsidRPr="00153ADD" w:rsidRDefault="00153ADD" w:rsidP="00153ADD">
      <w:pPr>
        <w:tabs>
          <w:tab w:val="right" w:pos="10080"/>
        </w:tabs>
        <w:rPr>
          <w:rFonts w:ascii="Palatino Linotype" w:hAnsi="Palatino Linotype" w:cs="Palatino Linotype"/>
          <w:color w:val="000000" w:themeColor="text1"/>
        </w:rPr>
      </w:pPr>
    </w:p>
    <w:p w14:paraId="677D192C" w14:textId="77777777" w:rsidR="00932C69" w:rsidRPr="000571D5" w:rsidRDefault="00E532A0" w:rsidP="002506CF">
      <w:pPr>
        <w:numPr>
          <w:ilvl w:val="0"/>
          <w:numId w:val="42"/>
        </w:numPr>
        <w:autoSpaceDE w:val="0"/>
        <w:autoSpaceDN w:val="0"/>
        <w:adjustRightInd w:val="0"/>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Based on CD’s review of project engineering documents and photos, research and staff having inspected urban public housing locations, CD concludes that nearly all Public Housing application locations are wired. </w:t>
      </w:r>
    </w:p>
    <w:p w14:paraId="453B89BF" w14:textId="77777777" w:rsidR="00BE5488" w:rsidRPr="000571D5" w:rsidRDefault="00BE5488" w:rsidP="00B8240F">
      <w:pPr>
        <w:autoSpaceDE w:val="0"/>
        <w:autoSpaceDN w:val="0"/>
        <w:adjustRightInd w:val="0"/>
        <w:ind w:left="720"/>
        <w:rPr>
          <w:rFonts w:ascii="Palatino Linotype" w:hAnsi="Palatino Linotype" w:cs="Palatino Linotype"/>
          <w:color w:val="000000" w:themeColor="text1"/>
        </w:rPr>
      </w:pPr>
    </w:p>
    <w:p w14:paraId="18203949" w14:textId="77777777" w:rsidR="005B203F" w:rsidRPr="000571D5" w:rsidRDefault="005B203F" w:rsidP="002506CF">
      <w:pPr>
        <w:numPr>
          <w:ilvl w:val="0"/>
          <w:numId w:val="42"/>
        </w:numPr>
        <w:autoSpaceDE w:val="0"/>
        <w:autoSpaceDN w:val="0"/>
        <w:adjustRightInd w:val="0"/>
        <w:rPr>
          <w:rFonts w:ascii="Palatino Linotype" w:hAnsi="Palatino Linotype" w:cs="Palatino Linotype"/>
          <w:color w:val="000000" w:themeColor="text1"/>
        </w:rPr>
      </w:pPr>
      <w:r w:rsidRPr="000571D5">
        <w:rPr>
          <w:rFonts w:ascii="Palatino Linotype" w:hAnsi="Palatino Linotype"/>
          <w:color w:val="000000" w:themeColor="text1"/>
        </w:rPr>
        <w:t xml:space="preserve">The expedited review requirements do not state how a wired facility should be treated.  </w:t>
      </w:r>
    </w:p>
    <w:p w14:paraId="27425148" w14:textId="77777777" w:rsidR="00BE5488" w:rsidRPr="000571D5" w:rsidRDefault="00BE5488" w:rsidP="00B8240F">
      <w:pPr>
        <w:rPr>
          <w:rFonts w:ascii="Palatino Linotype" w:hAnsi="Palatino Linotype"/>
          <w:color w:val="000000" w:themeColor="text1"/>
        </w:rPr>
      </w:pPr>
    </w:p>
    <w:p w14:paraId="3634EDA1" w14:textId="77777777" w:rsidR="00725836" w:rsidRPr="000571D5" w:rsidRDefault="00E532A0" w:rsidP="00846D53">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t xml:space="preserve">Based on its review, CD determined that all 12 projects meet eligibility requirements.  CD further determined that the proposed projects qualify for funding under D.14-12-039.  </w:t>
      </w:r>
    </w:p>
    <w:p w14:paraId="278D155A" w14:textId="77777777" w:rsidR="00846D53" w:rsidRPr="000571D5" w:rsidRDefault="00846D53" w:rsidP="00846D53">
      <w:pPr>
        <w:pStyle w:val="ListParagraph"/>
        <w:rPr>
          <w:rFonts w:ascii="Palatino Linotype" w:eastAsia="Times New Roman" w:hAnsi="Palatino Linotype" w:cs="Palatino Linotype"/>
          <w:color w:val="000000" w:themeColor="text1"/>
        </w:rPr>
      </w:pPr>
    </w:p>
    <w:p w14:paraId="6A78EBB2" w14:textId="77777777" w:rsidR="00846D53" w:rsidRPr="000571D5" w:rsidRDefault="00E532A0" w:rsidP="00846D53">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t>The Commission has determined that these projects are categorically exempt from CEQA review, under section 15301 regarding exemption for existing facilities and section 15303 regarding minor modifications to existing structures.</w:t>
      </w:r>
    </w:p>
    <w:p w14:paraId="3BF6E8E0" w14:textId="77777777" w:rsidR="00846D53" w:rsidRPr="000571D5" w:rsidRDefault="00846D53" w:rsidP="00846D53">
      <w:pPr>
        <w:pStyle w:val="ListParagraph"/>
        <w:rPr>
          <w:rFonts w:ascii="Palatino Linotype" w:hAnsi="Palatino Linotype" w:cs="Palatino Linotype"/>
          <w:color w:val="000000" w:themeColor="text1"/>
        </w:rPr>
      </w:pPr>
    </w:p>
    <w:p w14:paraId="0A50B1B8" w14:textId="77777777" w:rsidR="00846D53" w:rsidRPr="000571D5" w:rsidRDefault="00E532A0" w:rsidP="00846D53">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hAnsi="Palatino Linotype" w:cs="Palatino Linotype"/>
          <w:color w:val="000000" w:themeColor="text1"/>
        </w:rPr>
        <w:t>The applicants are</w:t>
      </w:r>
      <w:r w:rsidRPr="000571D5">
        <w:rPr>
          <w:rFonts w:ascii="Palatino Linotype" w:eastAsia="Times New Roman" w:hAnsi="Palatino Linotype" w:cs="Palatino Linotype"/>
          <w:color w:val="000000" w:themeColor="text1"/>
        </w:rPr>
        <w:t xml:space="preserve"> required to comply with all guidelines, requirements, and conditions associated with the granting of CASF funds as specified in D.14-12-039. </w:t>
      </w:r>
    </w:p>
    <w:p w14:paraId="54BE993D" w14:textId="77777777" w:rsidR="00846D53" w:rsidRPr="000571D5" w:rsidRDefault="00846D53" w:rsidP="00846D53">
      <w:pPr>
        <w:autoSpaceDE w:val="0"/>
        <w:autoSpaceDN w:val="0"/>
        <w:adjustRightInd w:val="0"/>
        <w:rPr>
          <w:rFonts w:ascii="Palatino Linotype" w:hAnsi="Palatino Linotype" w:cs="Palatino Linotype"/>
          <w:color w:val="000000" w:themeColor="text1"/>
        </w:rPr>
      </w:pPr>
    </w:p>
    <w:p w14:paraId="2F09983F" w14:textId="511FE155" w:rsidR="00846D53" w:rsidRPr="000571D5" w:rsidRDefault="00E532A0" w:rsidP="00846D53">
      <w:pPr>
        <w:numPr>
          <w:ilvl w:val="0"/>
          <w:numId w:val="42"/>
        </w:numPr>
        <w:autoSpaceDE w:val="0"/>
        <w:autoSpaceDN w:val="0"/>
        <w:adjustRightInd w:val="0"/>
        <w:rPr>
          <w:rFonts w:ascii="Palatino Linotype" w:hAnsi="Palatino Linotype"/>
          <w:color w:val="000000" w:themeColor="text1"/>
        </w:rPr>
      </w:pPr>
      <w:r w:rsidRPr="000571D5">
        <w:rPr>
          <w:rFonts w:ascii="Palatino Linotype" w:hAnsi="Palatino Linotype"/>
          <w:color w:val="000000" w:themeColor="text1"/>
        </w:rPr>
        <w:t xml:space="preserve">A notice letter was e-mailed on </w:t>
      </w:r>
      <w:r w:rsidR="00153ADD">
        <w:rPr>
          <w:rFonts w:ascii="Palatino Linotype" w:hAnsi="Palatino Linotype"/>
          <w:color w:val="000000" w:themeColor="text1"/>
        </w:rPr>
        <w:t xml:space="preserve">05/06/2016 </w:t>
      </w:r>
      <w:r w:rsidRPr="000571D5">
        <w:rPr>
          <w:rFonts w:ascii="Palatino Linotype" w:hAnsi="Palatino Linotype"/>
          <w:color w:val="000000" w:themeColor="text1"/>
        </w:rPr>
        <w:t xml:space="preserve">informing all applicants filing for CASF funding, parties on the CASF distribution list of the availability of the draft of this Resolution for public comments at the Commission’s website http://www.cpuc.ca.gov/PUC/documents/.  This letter also informed parties that the final confirmed Resolution adopted by the Commission will be posted and available at this same website. </w:t>
      </w:r>
    </w:p>
    <w:p w14:paraId="1E226F9F" w14:textId="77777777" w:rsidR="00846D53" w:rsidRPr="000571D5" w:rsidRDefault="00846D53" w:rsidP="00846D53">
      <w:pPr>
        <w:tabs>
          <w:tab w:val="left" w:pos="240"/>
          <w:tab w:val="left" w:pos="720"/>
          <w:tab w:val="right" w:pos="10080"/>
        </w:tabs>
        <w:jc w:val="both"/>
        <w:rPr>
          <w:rFonts w:ascii="Palatino Linotype" w:hAnsi="Palatino Linotype"/>
          <w:b/>
          <w:color w:val="000000" w:themeColor="text1"/>
        </w:rPr>
      </w:pPr>
    </w:p>
    <w:p w14:paraId="2A20EC39" w14:textId="77777777"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THERFORE, IT IS ORDERED that</w:t>
      </w:r>
      <w:r w:rsidRPr="000571D5">
        <w:rPr>
          <w:rFonts w:ascii="Palatino Linotype" w:hAnsi="Palatino Linotype"/>
          <w:color w:val="000000" w:themeColor="text1"/>
        </w:rPr>
        <w:t>:</w:t>
      </w:r>
    </w:p>
    <w:p w14:paraId="4C1308CB" w14:textId="77777777"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14:paraId="11453588" w14:textId="77777777" w:rsidR="00846D53" w:rsidRPr="000571D5" w:rsidRDefault="00846D53" w:rsidP="00D4308A">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The Commission shall award </w:t>
      </w:r>
      <w:r w:rsidR="00725836" w:rsidRPr="000571D5">
        <w:rPr>
          <w:rFonts w:ascii="Palatino Linotype" w:hAnsi="Palatino Linotype" w:cs="Palatino Linotype"/>
          <w:color w:val="000000" w:themeColor="text1"/>
        </w:rPr>
        <w:t xml:space="preserve">$23,357 to the </w:t>
      </w:r>
      <w:r w:rsidR="00E532A0" w:rsidRPr="000571D5">
        <w:rPr>
          <w:rFonts w:ascii="Palatino Linotype" w:hAnsi="Palatino Linotype"/>
          <w:color w:val="000000" w:themeColor="text1"/>
        </w:rPr>
        <w:t>Housing Authority of the County of San Bernardino</w:t>
      </w:r>
      <w:r w:rsidR="00725836" w:rsidRPr="000571D5">
        <w:rPr>
          <w:rFonts w:ascii="Palatino Linotype" w:hAnsi="Palatino Linotype" w:cs="Palatino Linotype"/>
          <w:color w:val="000000" w:themeColor="text1"/>
        </w:rPr>
        <w:t xml:space="preserve"> for the Lynwood ($8,960) and North E Street projects ($14,397); </w:t>
      </w:r>
      <w:r w:rsidRPr="000571D5">
        <w:rPr>
          <w:rFonts w:ascii="Palatino Linotype" w:hAnsi="Palatino Linotype" w:cs="Palatino Linotype"/>
          <w:color w:val="000000" w:themeColor="text1"/>
        </w:rPr>
        <w:t>$</w:t>
      </w:r>
      <w:r w:rsidR="00991BD1" w:rsidRPr="000571D5">
        <w:rPr>
          <w:rFonts w:ascii="Palatino Linotype" w:hAnsi="Palatino Linotype" w:cs="Palatino Linotype"/>
          <w:color w:val="000000" w:themeColor="text1"/>
        </w:rPr>
        <w:t>26,400</w:t>
      </w:r>
      <w:r w:rsidRPr="000571D5">
        <w:rPr>
          <w:rFonts w:ascii="Palatino Linotype" w:hAnsi="Palatino Linotype" w:cs="Palatino Linotype"/>
          <w:color w:val="000000" w:themeColor="text1"/>
        </w:rPr>
        <w:t xml:space="preserve"> to </w:t>
      </w:r>
      <w:r w:rsidR="00991BD1" w:rsidRPr="000571D5">
        <w:rPr>
          <w:rFonts w:ascii="Palatino Linotype" w:hAnsi="Palatino Linotype" w:cs="Palatino Linotype"/>
          <w:color w:val="000000" w:themeColor="text1"/>
        </w:rPr>
        <w:t>Community Housing Works</w:t>
      </w:r>
      <w:r w:rsidRPr="000571D5">
        <w:rPr>
          <w:rFonts w:ascii="Palatino Linotype" w:hAnsi="Palatino Linotype" w:cs="Palatino Linotype"/>
          <w:color w:val="000000" w:themeColor="text1"/>
        </w:rPr>
        <w:t xml:space="preserve"> for the </w:t>
      </w:r>
      <w:r w:rsidR="00991BD1" w:rsidRPr="000571D5">
        <w:rPr>
          <w:rFonts w:ascii="Palatino Linotype" w:hAnsi="Palatino Linotype" w:cs="Palatino Linotype"/>
          <w:color w:val="000000" w:themeColor="text1"/>
        </w:rPr>
        <w:t>Northwest Manors II (Mountain) ($15,600) and Northwest Manors II (Raymond) ($10,800) projects</w:t>
      </w:r>
      <w:r w:rsidRPr="000571D5">
        <w:rPr>
          <w:rFonts w:ascii="Palatino Linotype" w:hAnsi="Palatino Linotype" w:cs="Palatino Linotype"/>
          <w:color w:val="000000" w:themeColor="text1"/>
        </w:rPr>
        <w:t>; $</w:t>
      </w:r>
      <w:r w:rsidR="00991BD1" w:rsidRPr="000571D5">
        <w:rPr>
          <w:rFonts w:ascii="Palatino Linotype" w:hAnsi="Palatino Linotype" w:cs="Palatino Linotype"/>
          <w:color w:val="000000" w:themeColor="text1"/>
        </w:rPr>
        <w:t>190,036</w:t>
      </w:r>
      <w:r w:rsidRPr="000571D5">
        <w:rPr>
          <w:rFonts w:ascii="Palatino Linotype" w:hAnsi="Palatino Linotype" w:cs="Palatino Linotype"/>
          <w:color w:val="000000" w:themeColor="text1"/>
        </w:rPr>
        <w:t xml:space="preserve"> to </w:t>
      </w:r>
      <w:r w:rsidR="00991BD1" w:rsidRPr="000571D5">
        <w:rPr>
          <w:rFonts w:ascii="Palatino Linotype" w:hAnsi="Palatino Linotype" w:cs="Palatino Linotype"/>
          <w:color w:val="000000" w:themeColor="text1"/>
        </w:rPr>
        <w:t>Eden Housing</w:t>
      </w:r>
      <w:r w:rsidRPr="000571D5">
        <w:rPr>
          <w:rFonts w:ascii="Palatino Linotype" w:hAnsi="Palatino Linotype" w:cs="Palatino Linotype"/>
          <w:color w:val="000000" w:themeColor="text1"/>
        </w:rPr>
        <w:t xml:space="preserve">, Inc. for the </w:t>
      </w:r>
      <w:r w:rsidR="00991BD1" w:rsidRPr="000571D5">
        <w:rPr>
          <w:rFonts w:ascii="Palatino Linotype" w:hAnsi="Palatino Linotype" w:cs="Palatino Linotype"/>
          <w:color w:val="000000" w:themeColor="text1"/>
        </w:rPr>
        <w:t>Hayward Senior ($24,375), Warner Creek</w:t>
      </w:r>
      <w:r w:rsidR="00D4308A" w:rsidRPr="000571D5">
        <w:rPr>
          <w:rFonts w:ascii="Palatino Linotype" w:hAnsi="Palatino Linotype" w:cs="Palatino Linotype"/>
          <w:color w:val="000000" w:themeColor="text1"/>
        </w:rPr>
        <w:t xml:space="preserve"> ($25,358</w:t>
      </w:r>
      <w:r w:rsidR="00991BD1" w:rsidRPr="000571D5">
        <w:rPr>
          <w:rFonts w:ascii="Palatino Linotype" w:hAnsi="Palatino Linotype" w:cs="Palatino Linotype"/>
          <w:color w:val="000000" w:themeColor="text1"/>
        </w:rPr>
        <w:t>), Jasmine Square ($28,</w:t>
      </w:r>
      <w:r w:rsidR="00D4308A" w:rsidRPr="000571D5">
        <w:rPr>
          <w:rFonts w:ascii="Palatino Linotype" w:hAnsi="Palatino Linotype" w:cs="Palatino Linotype"/>
          <w:color w:val="000000" w:themeColor="text1"/>
        </w:rPr>
        <w:t>029</w:t>
      </w:r>
      <w:r w:rsidR="00991BD1" w:rsidRPr="000571D5">
        <w:rPr>
          <w:rFonts w:ascii="Palatino Linotype" w:hAnsi="Palatino Linotype" w:cs="Palatino Linotype"/>
          <w:color w:val="000000" w:themeColor="text1"/>
        </w:rPr>
        <w:t>), Monticelli ($23,195), Rancho Park ($24,</w:t>
      </w:r>
      <w:r w:rsidR="00D4308A" w:rsidRPr="000571D5">
        <w:rPr>
          <w:rFonts w:ascii="Palatino Linotype" w:hAnsi="Palatino Linotype" w:cs="Palatino Linotype"/>
          <w:color w:val="000000" w:themeColor="text1"/>
        </w:rPr>
        <w:t>195</w:t>
      </w:r>
      <w:r w:rsidR="00991BD1" w:rsidRPr="000571D5">
        <w:rPr>
          <w:rFonts w:ascii="Palatino Linotype" w:hAnsi="Palatino Linotype" w:cs="Palatino Linotype"/>
          <w:color w:val="000000" w:themeColor="text1"/>
        </w:rPr>
        <w:t>), Royal Court</w:t>
      </w:r>
      <w:r w:rsidR="00D4308A" w:rsidRPr="000571D5">
        <w:rPr>
          <w:rFonts w:ascii="Palatino Linotype" w:hAnsi="Palatino Linotype" w:cs="Palatino Linotype"/>
          <w:color w:val="000000" w:themeColor="text1"/>
        </w:rPr>
        <w:t xml:space="preserve"> ($19,028</w:t>
      </w:r>
      <w:r w:rsidR="00991BD1" w:rsidRPr="000571D5">
        <w:rPr>
          <w:rFonts w:ascii="Palatino Linotype" w:hAnsi="Palatino Linotype" w:cs="Palatino Linotype"/>
          <w:color w:val="000000" w:themeColor="text1"/>
        </w:rPr>
        <w:t>), Wheeler Manor 650 5th Street (</w:t>
      </w:r>
      <w:r w:rsidR="00D4308A" w:rsidRPr="000571D5">
        <w:rPr>
          <w:rFonts w:ascii="Palatino Linotype" w:hAnsi="Palatino Linotype" w:cs="Palatino Linotype"/>
          <w:color w:val="000000" w:themeColor="text1"/>
        </w:rPr>
        <w:t>$10,151)</w:t>
      </w:r>
      <w:r w:rsidRPr="000571D5">
        <w:rPr>
          <w:rFonts w:ascii="Palatino Linotype" w:hAnsi="Palatino Linotype" w:cs="Palatino Linotype"/>
          <w:color w:val="000000" w:themeColor="text1"/>
        </w:rPr>
        <w:t>; a grant total award of</w:t>
      </w:r>
      <w:r w:rsidR="00D4308A" w:rsidRPr="000571D5">
        <w:rPr>
          <w:rFonts w:ascii="Palatino Linotype" w:hAnsi="Palatino Linotype" w:cs="Palatino Linotype"/>
          <w:color w:val="000000" w:themeColor="text1"/>
        </w:rPr>
        <w:t xml:space="preserve"> $239,793</w:t>
      </w:r>
      <w:r w:rsidRPr="000571D5">
        <w:rPr>
          <w:rFonts w:ascii="Palatino Linotype" w:hAnsi="Palatino Linotype" w:cs="Palatino Linotype"/>
          <w:color w:val="000000" w:themeColor="text1"/>
        </w:rPr>
        <w:t xml:space="preserve">.  All awards are based on the descriptions of the projects as described herein and summarized in Appendix </w:t>
      </w:r>
      <w:r w:rsidR="00E95EB4">
        <w:rPr>
          <w:rFonts w:ascii="Palatino Linotype" w:hAnsi="Palatino Linotype" w:cs="Palatino Linotype"/>
          <w:color w:val="000000" w:themeColor="text1"/>
        </w:rPr>
        <w:t>B</w:t>
      </w:r>
      <w:r w:rsidRPr="000571D5">
        <w:rPr>
          <w:rFonts w:ascii="Palatino Linotype" w:hAnsi="Palatino Linotype" w:cs="Palatino Linotype"/>
          <w:color w:val="000000" w:themeColor="text1"/>
        </w:rPr>
        <w:t xml:space="preserve"> of this Resolution.</w:t>
      </w:r>
    </w:p>
    <w:p w14:paraId="27235775" w14:textId="77777777" w:rsidR="00846D53" w:rsidRPr="000571D5" w:rsidRDefault="00677FA7" w:rsidP="00846D53">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G</w:t>
      </w:r>
      <w:r w:rsidR="00846D53" w:rsidRPr="000571D5">
        <w:rPr>
          <w:rFonts w:ascii="Palatino Linotype" w:hAnsi="Palatino Linotype" w:cs="Palatino Linotype"/>
          <w:color w:val="000000" w:themeColor="text1"/>
        </w:rPr>
        <w:t>rant payment</w:t>
      </w:r>
      <w:r w:rsidRPr="000571D5">
        <w:rPr>
          <w:rFonts w:ascii="Palatino Linotype" w:hAnsi="Palatino Linotype" w:cs="Palatino Linotype"/>
          <w:color w:val="000000" w:themeColor="text1"/>
        </w:rPr>
        <w:t>s</w:t>
      </w:r>
      <w:r w:rsidR="00846D53" w:rsidRPr="000571D5">
        <w:rPr>
          <w:rFonts w:ascii="Palatino Linotype" w:hAnsi="Palatino Linotype" w:cs="Palatino Linotype"/>
          <w:color w:val="000000" w:themeColor="text1"/>
        </w:rPr>
        <w:t xml:space="preserve"> of</w:t>
      </w:r>
      <w:r w:rsidRPr="000571D5">
        <w:rPr>
          <w:rFonts w:ascii="Palatino Linotype" w:hAnsi="Palatino Linotype" w:cs="Palatino Linotype"/>
          <w:color w:val="000000" w:themeColor="text1"/>
        </w:rPr>
        <w:t xml:space="preserve"> up to a total of</w:t>
      </w:r>
      <w:r w:rsidR="00846D53" w:rsidRPr="000571D5">
        <w:rPr>
          <w:rFonts w:ascii="Palatino Linotype" w:hAnsi="Palatino Linotype" w:cs="Palatino Linotype"/>
          <w:color w:val="000000" w:themeColor="text1"/>
        </w:rPr>
        <w:t xml:space="preserve"> $</w:t>
      </w:r>
      <w:r w:rsidR="00D4308A" w:rsidRPr="000571D5">
        <w:rPr>
          <w:rFonts w:ascii="Palatino Linotype" w:hAnsi="Palatino Linotype" w:cs="Palatino Linotype"/>
          <w:color w:val="000000" w:themeColor="text1"/>
        </w:rPr>
        <w:t xml:space="preserve">239,793 </w:t>
      </w:r>
      <w:r w:rsidR="00846D53" w:rsidRPr="000571D5">
        <w:rPr>
          <w:rFonts w:ascii="Palatino Linotype" w:hAnsi="Palatino Linotype" w:cs="Palatino Linotype"/>
          <w:color w:val="000000" w:themeColor="text1"/>
        </w:rPr>
        <w:t>for these public housing projects shall be paid out of the CASF Public Housing Account in accordance with the guidelines adopted in D.14-12-039, including compliance with CEQA.</w:t>
      </w:r>
    </w:p>
    <w:p w14:paraId="11DEEE10" w14:textId="77777777" w:rsidR="00846D53" w:rsidRPr="000571D5" w:rsidRDefault="00846D53" w:rsidP="00846D53">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Payments to the CASF recipient shall be in accordance with Section X of Appendix B of D.14-12-039 and in accordance with the process defined in the “Payments” section of this Resolution. </w:t>
      </w:r>
    </w:p>
    <w:p w14:paraId="5B7F0D45" w14:textId="09F1C27F" w:rsidR="00BE5488" w:rsidRPr="00153ADD" w:rsidRDefault="00846D53" w:rsidP="00153ADD">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The CASF fund recipients shall comply with all guidelines, requirements and conditions associated with the CASF funds award as specified in D.14-12-039. </w:t>
      </w:r>
    </w:p>
    <w:p w14:paraId="3E23EC44" w14:textId="0F23B6C6" w:rsidR="00E04F09" w:rsidRPr="00153ADD" w:rsidRDefault="00725836" w:rsidP="00153ADD">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sidRPr="000571D5">
        <w:rPr>
          <w:rFonts w:ascii="Palatino Linotype" w:hAnsi="Palatino Linotype" w:cs="Palatino Linotype"/>
          <w:color w:val="000000" w:themeColor="text1"/>
        </w:rPr>
        <w:t>The Commission denies the challenges of Charter</w:t>
      </w:r>
      <w:r w:rsidR="00922DD4">
        <w:rPr>
          <w:rFonts w:ascii="Palatino Linotype" w:hAnsi="Palatino Linotype" w:cs="Palatino Linotype"/>
          <w:color w:val="000000" w:themeColor="text1"/>
        </w:rPr>
        <w:t xml:space="preserve"> </w:t>
      </w:r>
      <w:r w:rsidRPr="000571D5">
        <w:rPr>
          <w:rFonts w:ascii="Palatino Linotype" w:hAnsi="Palatino Linotype" w:cs="Palatino Linotype"/>
          <w:color w:val="000000" w:themeColor="text1"/>
        </w:rPr>
        <w:t>and Comcast.</w:t>
      </w:r>
    </w:p>
    <w:p w14:paraId="032BCE90" w14:textId="77777777" w:rsidR="00E04F09" w:rsidRPr="000571D5" w:rsidRDefault="00E04F09" w:rsidP="00D4308A">
      <w:pPr>
        <w:numPr>
          <w:ilvl w:val="1"/>
          <w:numId w:val="8"/>
        </w:numPr>
        <w:autoSpaceDE w:val="0"/>
        <w:autoSpaceDN w:val="0"/>
        <w:adjustRightInd w:val="0"/>
        <w:ind w:left="720" w:right="180"/>
        <w:rPr>
          <w:rFonts w:ascii="Palatino Linotype" w:hAnsi="Palatino Linotype" w:cs="Palatino Linotype"/>
          <w:color w:val="000000" w:themeColor="text1"/>
        </w:rPr>
      </w:pPr>
      <w:r w:rsidRPr="000571D5">
        <w:rPr>
          <w:rFonts w:ascii="Palatino Linotype" w:hAnsi="Palatino Linotype"/>
          <w:color w:val="000000" w:themeColor="text1"/>
        </w:rPr>
        <w:t xml:space="preserve">The Commission </w:t>
      </w:r>
      <w:r w:rsidR="00A63691">
        <w:rPr>
          <w:rFonts w:ascii="Palatino Linotype" w:hAnsi="Palatino Linotype"/>
          <w:color w:val="000000" w:themeColor="text1"/>
        </w:rPr>
        <w:t>adopts the revised Expedited Review Criteria as set forth in Appendix A</w:t>
      </w:r>
      <w:r w:rsidR="004C29A8">
        <w:rPr>
          <w:rFonts w:ascii="Palatino Linotype" w:hAnsi="Palatino Linotype"/>
          <w:color w:val="000000" w:themeColor="text1"/>
        </w:rPr>
        <w:t xml:space="preserve"> of this Resolution</w:t>
      </w:r>
      <w:r w:rsidR="00A63691">
        <w:rPr>
          <w:rFonts w:ascii="Palatino Linotype" w:hAnsi="Palatino Linotype"/>
          <w:color w:val="000000" w:themeColor="text1"/>
        </w:rPr>
        <w:t xml:space="preserve">, which </w:t>
      </w:r>
      <w:r w:rsidRPr="000571D5">
        <w:rPr>
          <w:rFonts w:ascii="Palatino Linotype" w:hAnsi="Palatino Linotype"/>
          <w:color w:val="000000" w:themeColor="text1"/>
        </w:rPr>
        <w:t xml:space="preserve">delegates </w:t>
      </w:r>
      <w:r w:rsidR="00EA30B6">
        <w:rPr>
          <w:rFonts w:ascii="Palatino Linotype" w:hAnsi="Palatino Linotype"/>
          <w:color w:val="000000" w:themeColor="text1"/>
        </w:rPr>
        <w:t xml:space="preserve">to </w:t>
      </w:r>
      <w:r w:rsidRPr="000571D5">
        <w:rPr>
          <w:rFonts w:ascii="Palatino Linotype" w:hAnsi="Palatino Linotype"/>
          <w:color w:val="000000" w:themeColor="text1"/>
        </w:rPr>
        <w:t>CD staff the authority to approve applications via expedited review</w:t>
      </w:r>
      <w:r w:rsidR="00EA30B6">
        <w:rPr>
          <w:rFonts w:ascii="Palatino Linotype" w:hAnsi="Palatino Linotype"/>
          <w:color w:val="000000" w:themeColor="text1"/>
        </w:rPr>
        <w:t xml:space="preserve"> even if the facility is wired</w:t>
      </w:r>
      <w:r w:rsidRPr="000571D5">
        <w:rPr>
          <w:rFonts w:ascii="Palatino Linotype" w:hAnsi="Palatino Linotype"/>
          <w:color w:val="000000" w:themeColor="text1"/>
        </w:rPr>
        <w:t>.</w:t>
      </w:r>
    </w:p>
    <w:p w14:paraId="42A02655" w14:textId="77777777" w:rsidR="00846D53" w:rsidRPr="000571D5" w:rsidRDefault="00846D53" w:rsidP="00846D53">
      <w:pPr>
        <w:tabs>
          <w:tab w:val="left" w:pos="240"/>
          <w:tab w:val="left" w:pos="720"/>
          <w:tab w:val="right" w:pos="10080"/>
        </w:tabs>
        <w:spacing w:after="120"/>
        <w:jc w:val="both"/>
        <w:rPr>
          <w:rFonts w:ascii="Palatino Linotype" w:hAnsi="Palatino Linotype"/>
          <w:color w:val="000000" w:themeColor="text1"/>
        </w:rPr>
      </w:pPr>
    </w:p>
    <w:p w14:paraId="14EB5151" w14:textId="77777777"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This Resolution is effective today.</w:t>
      </w:r>
    </w:p>
    <w:p w14:paraId="229B5104" w14:textId="77777777"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14:paraId="3B7FCFF5" w14:textId="1F2ADA55"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 xml:space="preserve">I hereby certify that this Resolution was adopted by the Public Utilities Commission at its regular meeting on </w:t>
      </w:r>
      <w:r w:rsidR="00072772">
        <w:rPr>
          <w:rFonts w:ascii="Palatino Linotype" w:hAnsi="Palatino Linotype"/>
          <w:color w:val="000000" w:themeColor="text1"/>
        </w:rPr>
        <w:t>June 9</w:t>
      </w:r>
      <w:r w:rsidR="00FF5722">
        <w:rPr>
          <w:rFonts w:ascii="Palatino Linotype" w:hAnsi="Palatino Linotype"/>
          <w:color w:val="000000" w:themeColor="text1"/>
        </w:rPr>
        <w:t xml:space="preserve">, 2016.  </w:t>
      </w:r>
      <w:r w:rsidRPr="000571D5">
        <w:rPr>
          <w:rFonts w:ascii="Palatino Linotype" w:hAnsi="Palatino Linotype"/>
          <w:color w:val="000000" w:themeColor="text1"/>
        </w:rPr>
        <w:t>The following Commissioners approved it:</w:t>
      </w:r>
    </w:p>
    <w:p w14:paraId="3159CB1D" w14:textId="77777777" w:rsidR="00846D53" w:rsidRPr="00B8240F" w:rsidRDefault="00846D53" w:rsidP="00846D53">
      <w:pPr>
        <w:tabs>
          <w:tab w:val="right" w:pos="10080"/>
        </w:tabs>
        <w:rPr>
          <w:rFonts w:ascii="Palatino Linotype" w:hAnsi="Palatino Linotype"/>
          <w:color w:val="000000" w:themeColor="text1"/>
        </w:rPr>
      </w:pPr>
    </w:p>
    <w:p w14:paraId="5CD1DA98" w14:textId="77777777" w:rsidR="00846D53" w:rsidRPr="00B8240F" w:rsidRDefault="00846D53" w:rsidP="00846D53">
      <w:pPr>
        <w:tabs>
          <w:tab w:val="right" w:pos="10080"/>
        </w:tabs>
        <w:rPr>
          <w:rFonts w:ascii="Palatino Linotype" w:hAnsi="Palatino Linotype"/>
          <w:color w:val="000000" w:themeColor="text1"/>
        </w:rPr>
      </w:pPr>
    </w:p>
    <w:p w14:paraId="79BBE8DC" w14:textId="77777777" w:rsidR="00846D53" w:rsidRPr="00B8240F" w:rsidRDefault="00E532A0" w:rsidP="00846D53">
      <w:pPr>
        <w:tabs>
          <w:tab w:val="right" w:pos="8640"/>
        </w:tabs>
        <w:jc w:val="both"/>
        <w:rPr>
          <w:rFonts w:ascii="Palatino Linotype" w:hAnsi="Palatino Linotype"/>
          <w:color w:val="000000" w:themeColor="text1"/>
        </w:rPr>
      </w:pPr>
      <w:r w:rsidRPr="00B8240F">
        <w:rPr>
          <w:rFonts w:ascii="Palatino Linotype" w:hAnsi="Palatino Linotype"/>
          <w:color w:val="000000" w:themeColor="text1"/>
        </w:rPr>
        <w:tab/>
        <w:t>______________________________</w:t>
      </w:r>
    </w:p>
    <w:p w14:paraId="38E1327D" w14:textId="77777777" w:rsidR="00846D53" w:rsidRPr="00B8240F" w:rsidRDefault="00E532A0" w:rsidP="00846D53">
      <w:pPr>
        <w:tabs>
          <w:tab w:val="left" w:pos="2790"/>
          <w:tab w:val="right" w:pos="7800"/>
        </w:tabs>
        <w:ind w:left="2610" w:firstLine="1980"/>
        <w:jc w:val="center"/>
        <w:rPr>
          <w:rFonts w:ascii="Palatino Linotype" w:hAnsi="Palatino Linotype"/>
          <w:color w:val="000000" w:themeColor="text1"/>
        </w:rPr>
      </w:pPr>
      <w:r w:rsidRPr="00B8240F">
        <w:rPr>
          <w:rFonts w:ascii="Palatino Linotype" w:hAnsi="Palatino Linotype"/>
          <w:color w:val="000000" w:themeColor="text1"/>
        </w:rPr>
        <w:t>TIMOTHY J. SULLIVAN</w:t>
      </w:r>
    </w:p>
    <w:p w14:paraId="325AB4E9" w14:textId="77777777" w:rsidR="00846D53" w:rsidRPr="00B8240F" w:rsidRDefault="00E532A0" w:rsidP="00846D53">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t xml:space="preserve">Executive Director   </w:t>
      </w:r>
    </w:p>
    <w:p w14:paraId="5CDB1DC4" w14:textId="77777777" w:rsidR="00846D53" w:rsidRPr="00B8240F" w:rsidRDefault="00846D53" w:rsidP="00846D53">
      <w:pPr>
        <w:rPr>
          <w:rFonts w:ascii="Palatino Linotype" w:hAnsi="Palatino Linotype"/>
          <w:color w:val="000000" w:themeColor="text1"/>
        </w:rPr>
      </w:pPr>
    </w:p>
    <w:p w14:paraId="5D11E136" w14:textId="77777777" w:rsidR="00846D53" w:rsidRPr="00B8240F" w:rsidRDefault="00846D53" w:rsidP="00846D53">
      <w:pPr>
        <w:rPr>
          <w:rFonts w:ascii="Palatino Linotype" w:hAnsi="Palatino Linotype"/>
          <w:color w:val="000000" w:themeColor="text1"/>
        </w:rPr>
      </w:pPr>
    </w:p>
    <w:p w14:paraId="11F9BBDF" w14:textId="77777777" w:rsidR="00846D53" w:rsidRPr="00B8240F" w:rsidRDefault="00846D53" w:rsidP="00846D53">
      <w:pPr>
        <w:rPr>
          <w:rFonts w:ascii="Palatino Linotype" w:hAnsi="Palatino Linotype"/>
          <w:color w:val="000000" w:themeColor="text1"/>
        </w:rPr>
      </w:pPr>
    </w:p>
    <w:p w14:paraId="34A91907" w14:textId="77777777" w:rsidR="00846D53" w:rsidRPr="00B8240F" w:rsidRDefault="00846D53" w:rsidP="00846D53">
      <w:pPr>
        <w:rPr>
          <w:rFonts w:ascii="Palatino Linotype" w:hAnsi="Palatino Linotype"/>
          <w:color w:val="000000" w:themeColor="text1"/>
        </w:rPr>
      </w:pPr>
    </w:p>
    <w:p w14:paraId="5631F22A" w14:textId="77777777" w:rsidR="00846D53" w:rsidRPr="00B8240F" w:rsidRDefault="00846D53" w:rsidP="00846D53">
      <w:pPr>
        <w:rPr>
          <w:rFonts w:ascii="Palatino Linotype" w:hAnsi="Palatino Linotype"/>
          <w:color w:val="000000" w:themeColor="text1"/>
        </w:rPr>
        <w:sectPr w:rsidR="00846D53" w:rsidRPr="00B8240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p w14:paraId="70A4EBC8" w14:textId="77777777" w:rsidR="0048796B" w:rsidRDefault="0048796B" w:rsidP="00846D53">
      <w:pPr>
        <w:rPr>
          <w:rFonts w:ascii="Palatino Linotype" w:hAnsi="Palatino Linotype"/>
          <w:color w:val="000000" w:themeColor="text1"/>
        </w:rPr>
        <w:sectPr w:rsidR="0048796B">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5524202E" w14:textId="36DA52BD" w:rsidR="00846D53" w:rsidRPr="00B8240F" w:rsidRDefault="00846D53" w:rsidP="00846D53">
      <w:pPr>
        <w:rPr>
          <w:rFonts w:ascii="Palatino Linotype" w:hAnsi="Palatino Linotype"/>
          <w:color w:val="000000" w:themeColor="text1"/>
        </w:rPr>
      </w:pPr>
    </w:p>
    <w:p w14:paraId="65F36644" w14:textId="77777777" w:rsidR="00846D53" w:rsidRPr="00B8240F" w:rsidRDefault="00846D53" w:rsidP="00846D53">
      <w:pPr>
        <w:rPr>
          <w:rFonts w:ascii="Palatino Linotype" w:hAnsi="Palatino Linotype"/>
          <w:color w:val="000000" w:themeColor="text1"/>
        </w:rPr>
      </w:pPr>
    </w:p>
    <w:p w14:paraId="45A72B93" w14:textId="77777777" w:rsidR="00846D53" w:rsidRPr="00B8240F" w:rsidRDefault="00846D53" w:rsidP="00846D53">
      <w:pPr>
        <w:rPr>
          <w:rFonts w:ascii="Palatino Linotype" w:hAnsi="Palatino Linotype"/>
          <w:color w:val="000000" w:themeColor="text1"/>
        </w:rPr>
      </w:pPr>
    </w:p>
    <w:p w14:paraId="393F7D52" w14:textId="77777777" w:rsidR="00846D53" w:rsidRPr="00B8240F" w:rsidRDefault="00846D53" w:rsidP="00846D53">
      <w:pPr>
        <w:rPr>
          <w:rFonts w:ascii="Palatino Linotype" w:hAnsi="Palatino Linotype"/>
          <w:color w:val="000000" w:themeColor="text1"/>
        </w:rPr>
      </w:pPr>
    </w:p>
    <w:p w14:paraId="53B7813D" w14:textId="77777777" w:rsidR="00846D53" w:rsidRPr="00B8240F" w:rsidRDefault="00846D53" w:rsidP="00846D53">
      <w:pPr>
        <w:rPr>
          <w:rFonts w:ascii="Palatino Linotype" w:hAnsi="Palatino Linotype"/>
          <w:color w:val="000000" w:themeColor="text1"/>
        </w:rPr>
      </w:pPr>
    </w:p>
    <w:p w14:paraId="41E5E1D1" w14:textId="77777777" w:rsidR="00846D53" w:rsidRPr="00B8240F" w:rsidRDefault="00846D53" w:rsidP="00846D53">
      <w:pPr>
        <w:rPr>
          <w:rFonts w:ascii="Palatino Linotype" w:hAnsi="Palatino Linotype"/>
          <w:color w:val="000000" w:themeColor="text1"/>
        </w:rPr>
      </w:pPr>
    </w:p>
    <w:p w14:paraId="2B14F4E8" w14:textId="77777777" w:rsidR="00846D53" w:rsidRPr="00B8240F" w:rsidRDefault="00846D53" w:rsidP="00846D53">
      <w:pPr>
        <w:rPr>
          <w:rFonts w:ascii="Palatino Linotype" w:hAnsi="Palatino Linotype"/>
          <w:color w:val="000000" w:themeColor="text1"/>
        </w:rPr>
      </w:pPr>
    </w:p>
    <w:p w14:paraId="5E0423EC" w14:textId="77777777" w:rsidR="00846D53" w:rsidRPr="00B8240F" w:rsidRDefault="00846D53" w:rsidP="00846D53">
      <w:pPr>
        <w:rPr>
          <w:rFonts w:ascii="Palatino Linotype" w:hAnsi="Palatino Linotype"/>
          <w:color w:val="000000" w:themeColor="text1"/>
        </w:rPr>
      </w:pPr>
    </w:p>
    <w:p w14:paraId="5FE3050D" w14:textId="77777777" w:rsidR="00846D53" w:rsidRPr="00B8240F" w:rsidRDefault="00846D53" w:rsidP="00846D53">
      <w:pPr>
        <w:rPr>
          <w:rFonts w:ascii="Palatino Linotype" w:hAnsi="Palatino Linotype"/>
          <w:color w:val="000000" w:themeColor="text1"/>
        </w:rPr>
      </w:pPr>
    </w:p>
    <w:p w14:paraId="2345A847" w14:textId="77777777" w:rsidR="00846D53" w:rsidRPr="00B8240F" w:rsidRDefault="00846D53" w:rsidP="00846D53">
      <w:pPr>
        <w:rPr>
          <w:rFonts w:ascii="Palatino Linotype" w:hAnsi="Palatino Linotype"/>
          <w:color w:val="000000" w:themeColor="text1"/>
        </w:rPr>
      </w:pPr>
    </w:p>
    <w:p w14:paraId="42557C7E" w14:textId="77777777" w:rsidR="00846D53" w:rsidRPr="00B8240F" w:rsidRDefault="00846D53" w:rsidP="00846D53">
      <w:pPr>
        <w:rPr>
          <w:rFonts w:ascii="Palatino Linotype" w:hAnsi="Palatino Linotype"/>
          <w:color w:val="000000" w:themeColor="text1"/>
        </w:rPr>
      </w:pPr>
    </w:p>
    <w:p w14:paraId="6495B94D" w14:textId="77777777" w:rsidR="00846D53" w:rsidRPr="00B8240F" w:rsidRDefault="00846D53" w:rsidP="00846D53">
      <w:pPr>
        <w:rPr>
          <w:rFonts w:ascii="Palatino Linotype" w:hAnsi="Palatino Linotype"/>
          <w:color w:val="000000" w:themeColor="text1"/>
        </w:rPr>
      </w:pPr>
    </w:p>
    <w:p w14:paraId="5EF29C68" w14:textId="77777777" w:rsidR="00846D53" w:rsidRPr="00B8240F" w:rsidRDefault="00846D53" w:rsidP="00846D53">
      <w:pPr>
        <w:rPr>
          <w:rFonts w:ascii="Palatino Linotype" w:hAnsi="Palatino Linotype"/>
          <w:color w:val="000000" w:themeColor="text1"/>
        </w:rPr>
      </w:pPr>
    </w:p>
    <w:p w14:paraId="1C672F07" w14:textId="77777777" w:rsidR="00846D53" w:rsidRPr="00B8240F" w:rsidRDefault="00E532A0" w:rsidP="00846D53">
      <w:pPr>
        <w:jc w:val="center"/>
        <w:rPr>
          <w:rFonts w:ascii="Palatino Linotype" w:hAnsi="Palatino Linotype"/>
          <w:color w:val="000000" w:themeColor="text1"/>
          <w:sz w:val="28"/>
          <w:szCs w:val="28"/>
        </w:rPr>
      </w:pPr>
      <w:r w:rsidRPr="00B8240F">
        <w:rPr>
          <w:rFonts w:ascii="Palatino Linotype" w:hAnsi="Palatino Linotype"/>
          <w:color w:val="000000" w:themeColor="text1"/>
          <w:sz w:val="28"/>
          <w:szCs w:val="28"/>
        </w:rPr>
        <w:t>APPENDIX</w:t>
      </w:r>
    </w:p>
    <w:p w14:paraId="3D83F2F0" w14:textId="77777777" w:rsidR="00846D53" w:rsidRPr="00B8240F" w:rsidRDefault="00846D53" w:rsidP="00846D53">
      <w:pPr>
        <w:jc w:val="center"/>
        <w:rPr>
          <w:rFonts w:ascii="Palatino Linotype" w:hAnsi="Palatino Linotype"/>
          <w:color w:val="000000" w:themeColor="text1"/>
          <w:sz w:val="28"/>
          <w:szCs w:val="28"/>
        </w:rPr>
      </w:pPr>
    </w:p>
    <w:p w14:paraId="0A0BC166" w14:textId="77777777" w:rsidR="00846D53" w:rsidRPr="00B8240F" w:rsidRDefault="00846D53" w:rsidP="00846D53">
      <w:pPr>
        <w:jc w:val="center"/>
        <w:rPr>
          <w:rFonts w:ascii="Palatino Linotype" w:hAnsi="Palatino Linotype"/>
          <w:color w:val="000000" w:themeColor="text1"/>
          <w:sz w:val="28"/>
          <w:szCs w:val="28"/>
        </w:rPr>
      </w:pPr>
    </w:p>
    <w:p w14:paraId="0007223A" w14:textId="77777777" w:rsidR="00846D53" w:rsidRPr="00B8240F" w:rsidRDefault="00846D53" w:rsidP="00846D53">
      <w:pPr>
        <w:jc w:val="center"/>
        <w:rPr>
          <w:rFonts w:ascii="Palatino Linotype" w:hAnsi="Palatino Linotype"/>
          <w:color w:val="000000" w:themeColor="text1"/>
        </w:rPr>
        <w:sectPr w:rsidR="00846D53" w:rsidRPr="00B8240F">
          <w:pgSz w:w="12240" w:h="15840"/>
          <w:pgMar w:top="1440" w:right="1440" w:bottom="1440" w:left="1440" w:header="720" w:footer="720" w:gutter="0"/>
          <w:pgNumType w:start="1"/>
          <w:cols w:space="720"/>
          <w:titlePg/>
          <w:docGrid w:linePitch="360"/>
        </w:sectPr>
      </w:pPr>
    </w:p>
    <w:p w14:paraId="2CB8B914" w14:textId="77777777" w:rsidR="00B703A4" w:rsidRPr="00B8240F" w:rsidRDefault="00B703A4" w:rsidP="00B703A4">
      <w:pPr>
        <w:keepNext/>
        <w:keepLines/>
        <w:jc w:val="center"/>
        <w:rPr>
          <w:rFonts w:ascii="Palatino Linotype" w:hAnsi="Palatino Linotype"/>
          <w:b/>
          <w:color w:val="000000" w:themeColor="text1"/>
        </w:rPr>
      </w:pPr>
      <w:r>
        <w:rPr>
          <w:rFonts w:ascii="Palatino Linotype" w:hAnsi="Palatino Linotype"/>
          <w:b/>
          <w:color w:val="000000" w:themeColor="text1"/>
        </w:rPr>
        <w:t>APPENDIX A</w:t>
      </w:r>
    </w:p>
    <w:p w14:paraId="45A0FBF9" w14:textId="77777777" w:rsidR="00B703A4" w:rsidRPr="00B8240F" w:rsidRDefault="00B703A4" w:rsidP="00B703A4">
      <w:pPr>
        <w:keepNext/>
        <w:keepLines/>
        <w:jc w:val="center"/>
        <w:rPr>
          <w:rFonts w:ascii="Palatino Linotype" w:hAnsi="Palatino Linotype"/>
          <w:b/>
          <w:color w:val="000000" w:themeColor="text1"/>
        </w:rPr>
      </w:pPr>
      <w:r w:rsidRPr="00B8240F">
        <w:rPr>
          <w:rFonts w:ascii="Palatino Linotype" w:hAnsi="Palatino Linotype"/>
          <w:b/>
          <w:color w:val="000000" w:themeColor="text1"/>
        </w:rPr>
        <w:t>Resolution T-17515</w:t>
      </w:r>
    </w:p>
    <w:p w14:paraId="4BEF606A" w14:textId="77777777" w:rsidR="00B703A4" w:rsidRDefault="00072772" w:rsidP="00B703A4">
      <w:pPr>
        <w:keepNext/>
        <w:keepLines/>
        <w:jc w:val="center"/>
        <w:rPr>
          <w:rFonts w:ascii="Palatino Linotype" w:hAnsi="Palatino Linotype"/>
          <w:b/>
          <w:color w:val="000000" w:themeColor="text1"/>
        </w:rPr>
      </w:pPr>
      <w:r>
        <w:rPr>
          <w:rFonts w:ascii="Palatino Linotype" w:hAnsi="Palatino Linotype"/>
          <w:b/>
          <w:color w:val="000000" w:themeColor="text1"/>
        </w:rPr>
        <w:t>Revised</w:t>
      </w:r>
      <w:r w:rsidR="00B703A4">
        <w:rPr>
          <w:rFonts w:ascii="Palatino Linotype" w:hAnsi="Palatino Linotype"/>
          <w:b/>
          <w:color w:val="000000" w:themeColor="text1"/>
        </w:rPr>
        <w:t xml:space="preserve"> Expedited Review </w:t>
      </w:r>
      <w:r>
        <w:rPr>
          <w:rFonts w:ascii="Palatino Linotype" w:hAnsi="Palatino Linotype"/>
          <w:b/>
          <w:color w:val="000000" w:themeColor="text1"/>
        </w:rPr>
        <w:t>Criteria</w:t>
      </w:r>
    </w:p>
    <w:p w14:paraId="39529DFF" w14:textId="77777777" w:rsidR="00072772" w:rsidRDefault="00072772" w:rsidP="00B703A4">
      <w:pPr>
        <w:keepNext/>
        <w:keepLines/>
        <w:jc w:val="center"/>
        <w:rPr>
          <w:rFonts w:ascii="Palatino Linotype" w:hAnsi="Palatino Linotype"/>
          <w:b/>
          <w:color w:val="000000" w:themeColor="text1"/>
        </w:rPr>
      </w:pPr>
    </w:p>
    <w:p w14:paraId="31841129" w14:textId="77777777" w:rsidR="00072772" w:rsidRPr="00072772" w:rsidRDefault="00072772" w:rsidP="00072772">
      <w:pPr>
        <w:pStyle w:val="Heading4"/>
        <w:numPr>
          <w:ilvl w:val="0"/>
          <w:numId w:val="47"/>
        </w:numPr>
        <w:tabs>
          <w:tab w:val="clear" w:pos="1800"/>
          <w:tab w:val="clear" w:pos="8820"/>
          <w:tab w:val="left" w:pos="360"/>
          <w:tab w:val="num" w:pos="720"/>
        </w:tabs>
        <w:suppressAutoHyphens/>
        <w:spacing w:before="0" w:after="0"/>
        <w:ind w:left="720"/>
        <w:rPr>
          <w:rFonts w:ascii="Palatino Linotype" w:hAnsi="Palatino Linotype" w:cs="Garamond"/>
          <w:sz w:val="24"/>
          <w:szCs w:val="24"/>
        </w:rPr>
      </w:pPr>
      <w:bookmarkStart w:id="2" w:name="_Toc397436506"/>
      <w:r w:rsidRPr="00072772">
        <w:rPr>
          <w:rFonts w:ascii="Palatino Linotype" w:hAnsi="Palatino Linotype" w:cs="Garamond"/>
          <w:sz w:val="24"/>
          <w:szCs w:val="24"/>
        </w:rPr>
        <w:t>Expedited Review</w:t>
      </w:r>
      <w:bookmarkEnd w:id="2"/>
    </w:p>
    <w:p w14:paraId="32931D59" w14:textId="77777777" w:rsidR="00072772" w:rsidRPr="00072772" w:rsidRDefault="00072772" w:rsidP="00072772">
      <w:pPr>
        <w:ind w:right="-14"/>
        <w:rPr>
          <w:rFonts w:ascii="Palatino Linotype" w:hAnsi="Palatino Linotype" w:cs="Garamond"/>
        </w:rPr>
      </w:pPr>
    </w:p>
    <w:p w14:paraId="50D9B5CC" w14:textId="77777777" w:rsidR="00072772" w:rsidRPr="00072772" w:rsidRDefault="00072772" w:rsidP="00072772">
      <w:pPr>
        <w:ind w:right="-14"/>
        <w:rPr>
          <w:rFonts w:ascii="Palatino Linotype" w:hAnsi="Palatino Linotype" w:cs="Garamond"/>
        </w:rPr>
      </w:pPr>
      <w:r w:rsidRPr="00072772">
        <w:rPr>
          <w:rFonts w:ascii="Palatino Linotype" w:hAnsi="Palatino Linotype" w:cs="Garamond"/>
        </w:rPr>
        <w:t>The Commission delegates to CD staff the authority to approve applications that meet all of the following criteria:</w:t>
      </w:r>
    </w:p>
    <w:p w14:paraId="4B20447A" w14:textId="77777777" w:rsidR="00072772" w:rsidRPr="00072772" w:rsidRDefault="00072772" w:rsidP="00072772">
      <w:pPr>
        <w:ind w:right="-14"/>
        <w:rPr>
          <w:rFonts w:ascii="Palatino Linotype" w:hAnsi="Palatino Linotype" w:cs="Garamond"/>
        </w:rPr>
      </w:pPr>
    </w:p>
    <w:p w14:paraId="2FEFCF58" w14:textId="77777777" w:rsidR="00072772" w:rsidRPr="00072772" w:rsidRDefault="00072772" w:rsidP="00072772">
      <w:pPr>
        <w:ind w:right="-14"/>
        <w:rPr>
          <w:rFonts w:ascii="Palatino Linotype" w:hAnsi="Palatino Linotype" w:cs="Garamond"/>
        </w:rPr>
      </w:pPr>
      <w:r w:rsidRPr="00072772">
        <w:rPr>
          <w:rFonts w:ascii="Palatino Linotype" w:hAnsi="Palatino Linotype" w:cs="Garamond"/>
          <w:u w:val="single"/>
        </w:rPr>
        <w:t>Infrastructure Projects</w:t>
      </w:r>
    </w:p>
    <w:p w14:paraId="1DF22056" w14:textId="77777777" w:rsidR="00072772" w:rsidRPr="00B8240F" w:rsidRDefault="00072772" w:rsidP="00072772">
      <w:pPr>
        <w:rPr>
          <w:rFonts w:ascii="Palatino Linotype" w:hAnsi="Palatino Linotype"/>
          <w:color w:val="000000" w:themeColor="text1"/>
        </w:rPr>
      </w:pPr>
    </w:p>
    <w:p w14:paraId="6CCF5403" w14:textId="77777777" w:rsidR="00072772" w:rsidRPr="00072772" w:rsidRDefault="00072772" w:rsidP="00072772">
      <w:pPr>
        <w:numPr>
          <w:ilvl w:val="0"/>
          <w:numId w:val="45"/>
        </w:numPr>
        <w:suppressAutoHyphens/>
        <w:rPr>
          <w:rFonts w:ascii="Palatino Linotype" w:hAnsi="Palatino Linotype" w:cs="Garamond"/>
          <w:color w:val="000000" w:themeColor="text1"/>
          <w:szCs w:val="26"/>
        </w:rPr>
      </w:pPr>
      <w:r w:rsidRPr="00B8240F">
        <w:rPr>
          <w:rFonts w:ascii="Palatino Linotype" w:hAnsi="Palatino Linotype" w:cs="Garamond"/>
          <w:color w:val="000000" w:themeColor="text1"/>
        </w:rPr>
        <w:t xml:space="preserve">Applicant meets the eligibility requirements under P.U. Code § 281 (f)(2). </w:t>
      </w:r>
    </w:p>
    <w:p w14:paraId="68D6EFF2" w14:textId="77777777" w:rsidR="00072772" w:rsidRPr="00A63691" w:rsidRDefault="00072772" w:rsidP="00072772">
      <w:pPr>
        <w:numPr>
          <w:ilvl w:val="0"/>
          <w:numId w:val="45"/>
        </w:numPr>
        <w:suppressAutoHyphens/>
        <w:rPr>
          <w:rFonts w:ascii="Palatino Linotype" w:hAnsi="Palatino Linotype" w:cs="Garamond"/>
          <w:color w:val="000000" w:themeColor="text1"/>
          <w:u w:val="single"/>
        </w:rPr>
      </w:pPr>
      <w:r w:rsidRPr="00A63691">
        <w:rPr>
          <w:rFonts w:ascii="Palatino Linotype" w:hAnsi="Palatino Linotype" w:cs="Garamond"/>
          <w:color w:val="000000" w:themeColor="text1"/>
          <w:u w:val="single"/>
        </w:rPr>
        <w:t>Property the application proposes to serve is wired as defined in Section III or unwired.</w:t>
      </w:r>
    </w:p>
    <w:p w14:paraId="18C016AB" w14:textId="77777777" w:rsidR="00072772"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declares that it has not denied an ISP access to its property to provide broadband Internet service and no ISP challenged this statement; if an ISP challenged an application alleging it was denied access to a PSC, CD staff determined the denial was reasonable. </w:t>
      </w:r>
    </w:p>
    <w:p w14:paraId="1C326C59"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requests a grant of less than $75,000 in CASF Housing Account infrastructure grant funds per project. </w:t>
      </w:r>
    </w:p>
    <w:p w14:paraId="55735E15"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For projects connecting 51-100 PSC units, proposed project costs $450 per unit or less.</w:t>
      </w:r>
    </w:p>
    <w:p w14:paraId="45ED3DF8"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For projects connecting 101 PSC units and more proposed project costs $300 per unit or less. </w:t>
      </w:r>
    </w:p>
    <w:p w14:paraId="396F33FA"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The buildings included in the application meet standards for acceptable basic living conditions as determined under HUD’s Uniform Physical Condition Standards or similar guidelines provided by other housing funding agencies in the State.</w:t>
      </w:r>
    </w:p>
    <w:p w14:paraId="7A29D256"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Existing property infrastructure requires no significant upgrades to install wiring, equipment and other electronics funded under this grant</w:t>
      </w:r>
    </w:p>
    <w:p w14:paraId="31772940"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expects property to be in residential use for at least the next 10 years. </w:t>
      </w:r>
    </w:p>
    <w:p w14:paraId="43764767"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Property qualifies for an exemption pursuant to CEQA Guidelines § 15300.2.</w:t>
      </w:r>
    </w:p>
    <w:p w14:paraId="2B9E1B60"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For wireless networking projects, equipment will at least meet the 802.11n standard. </w:t>
      </w:r>
    </w:p>
    <w:p w14:paraId="6B8D0D5C"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attests it will operate and maintain project equipment and technology for at least five years after completion and that it has sufficient funds and warranty to do so, including replacing equipment as needed, and a maintenance agreement and budget have been submitted.</w:t>
      </w:r>
    </w:p>
    <w:p w14:paraId="1D467A4F"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Proposed project network is capable of offering residents Internet service speeds of at least 6mbps downstream/1.5mbps upstream which is supported with appropriate documentation.</w:t>
      </w:r>
    </w:p>
    <w:p w14:paraId="33CEF427" w14:textId="77777777" w:rsidR="00072772" w:rsidRPr="00B8240F" w:rsidRDefault="00072772" w:rsidP="00072772">
      <w:pPr>
        <w:numPr>
          <w:ilvl w:val="0"/>
          <w:numId w:val="45"/>
        </w:numPr>
        <w:suppressAutoHyphens/>
        <w:ind w:right="-14"/>
        <w:rPr>
          <w:rFonts w:ascii="Palatino Linotype" w:hAnsi="Palatino Linotype" w:cs="Garamond"/>
          <w:color w:val="000000" w:themeColor="text1"/>
        </w:rPr>
      </w:pPr>
      <w:r w:rsidRPr="00B8240F">
        <w:rPr>
          <w:rFonts w:ascii="Palatino Linotype" w:hAnsi="Palatino Linotype" w:cs="Garamond"/>
          <w:color w:val="000000" w:themeColor="text1"/>
        </w:rPr>
        <w:t>Applicant commits to provide residents with minimum download speeds of 1.5 mbps per unit, during average peak utilization periods, subject to reasonable network management practices.</w:t>
      </w:r>
    </w:p>
    <w:p w14:paraId="257952A3" w14:textId="77777777" w:rsidR="00072772" w:rsidRPr="00B8240F" w:rsidRDefault="00072772" w:rsidP="00072772">
      <w:pPr>
        <w:numPr>
          <w:ilvl w:val="0"/>
          <w:numId w:val="45"/>
        </w:numPr>
        <w:suppressAutoHyphens/>
        <w:ind w:right="-14"/>
        <w:rPr>
          <w:rFonts w:ascii="Palatino Linotype" w:hAnsi="Palatino Linotype" w:cs="Garamond"/>
          <w:color w:val="000000" w:themeColor="text1"/>
        </w:rPr>
      </w:pPr>
      <w:r w:rsidRPr="00B8240F">
        <w:rPr>
          <w:rFonts w:ascii="Palatino Linotype" w:hAnsi="Palatino Linotype" w:cs="Garamond"/>
          <w:color w:val="000000" w:themeColor="text1"/>
        </w:rPr>
        <w:t>Residents will be charged no more than $20 per month for Internet service.</w:t>
      </w:r>
    </w:p>
    <w:p w14:paraId="3A640238"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 xml:space="preserve">Applicant has signed an affidavit agreeing to abide by Commission rules of practice and procedure; P.U. Code §§ 2111 and 2108; and to quarterly reports and submission of annual recertification/audit documents. </w:t>
      </w:r>
    </w:p>
    <w:p w14:paraId="29B5F15E"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agrees to complete project within 12 months.</w:t>
      </w:r>
    </w:p>
    <w:p w14:paraId="43F96084"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has identified its bandwidth source, either at the MPOE or its wireless equivalent.</w:t>
      </w:r>
    </w:p>
    <w:p w14:paraId="50F878BA" w14:textId="77777777" w:rsidR="00072772" w:rsidRPr="00B8240F" w:rsidRDefault="00072772" w:rsidP="00072772">
      <w:pPr>
        <w:numPr>
          <w:ilvl w:val="0"/>
          <w:numId w:val="45"/>
        </w:numPr>
        <w:suppressAutoHyphens/>
        <w:rPr>
          <w:rFonts w:ascii="Palatino Linotype" w:hAnsi="Palatino Linotype" w:cs="Garamond"/>
          <w:color w:val="000000" w:themeColor="text1"/>
        </w:rPr>
      </w:pPr>
      <w:r w:rsidRPr="00B8240F">
        <w:rPr>
          <w:rFonts w:ascii="Palatino Linotype" w:hAnsi="Palatino Linotype" w:cs="Garamond"/>
          <w:color w:val="000000" w:themeColor="text1"/>
        </w:rPr>
        <w:t>Applicant agrees to secure project funded hardware to prevent theft and vandalism.</w:t>
      </w:r>
      <w:r w:rsidRPr="00B8240F">
        <w:rPr>
          <w:rStyle w:val="FootnoteReference"/>
          <w:rFonts w:ascii="Palatino Linotype" w:hAnsi="Palatino Linotype"/>
          <w:color w:val="000000" w:themeColor="text1"/>
        </w:rPr>
        <w:t xml:space="preserve"> </w:t>
      </w:r>
    </w:p>
    <w:p w14:paraId="673C4A10" w14:textId="77777777" w:rsidR="00072772" w:rsidRDefault="00072772" w:rsidP="00072772">
      <w:pPr>
        <w:keepNext/>
        <w:keepLines/>
        <w:rPr>
          <w:rFonts w:ascii="Palatino Linotype" w:hAnsi="Palatino Linotype"/>
          <w:b/>
          <w:color w:val="000000" w:themeColor="text1"/>
        </w:rPr>
      </w:pPr>
    </w:p>
    <w:p w14:paraId="0EF2477E" w14:textId="77777777" w:rsidR="00072772" w:rsidRPr="00B8240F" w:rsidRDefault="00072772" w:rsidP="00B703A4">
      <w:pPr>
        <w:keepNext/>
        <w:keepLines/>
        <w:jc w:val="center"/>
        <w:rPr>
          <w:rFonts w:ascii="Palatino Linotype" w:hAnsi="Palatino Linotype"/>
          <w:b/>
          <w:color w:val="000000" w:themeColor="text1"/>
        </w:rPr>
      </w:pPr>
    </w:p>
    <w:p w14:paraId="7FAD7407" w14:textId="77777777" w:rsidR="00B703A4" w:rsidRDefault="00B703A4" w:rsidP="00846D53">
      <w:pPr>
        <w:keepNext/>
        <w:keepLines/>
        <w:jc w:val="center"/>
        <w:rPr>
          <w:rFonts w:ascii="Palatino Linotype" w:hAnsi="Palatino Linotype"/>
          <w:b/>
          <w:color w:val="000000" w:themeColor="text1"/>
        </w:rPr>
        <w:sectPr w:rsidR="00B703A4">
          <w:headerReference w:type="first" r:id="rId20"/>
          <w:footerReference w:type="first" r:id="rId21"/>
          <w:pgSz w:w="12240" w:h="15840"/>
          <w:pgMar w:top="1440" w:right="1440" w:bottom="1440" w:left="1440" w:header="720" w:footer="720" w:gutter="0"/>
          <w:pgNumType w:start="1"/>
          <w:cols w:space="720"/>
          <w:titlePg/>
          <w:docGrid w:linePitch="360"/>
        </w:sectPr>
      </w:pPr>
    </w:p>
    <w:p w14:paraId="3C4926C8" w14:textId="77777777" w:rsidR="00846D53" w:rsidRPr="00B8240F" w:rsidRDefault="00B703A4" w:rsidP="00846D53">
      <w:pPr>
        <w:keepNext/>
        <w:keepLines/>
        <w:jc w:val="center"/>
        <w:rPr>
          <w:rFonts w:ascii="Palatino Linotype" w:hAnsi="Palatino Linotype"/>
          <w:b/>
          <w:color w:val="000000" w:themeColor="text1"/>
        </w:rPr>
      </w:pPr>
      <w:r>
        <w:rPr>
          <w:rFonts w:ascii="Palatino Linotype" w:hAnsi="Palatino Linotype"/>
          <w:b/>
          <w:color w:val="000000" w:themeColor="text1"/>
        </w:rPr>
        <w:t>APPENDIX B</w:t>
      </w:r>
    </w:p>
    <w:p w14:paraId="5D619268" w14:textId="77777777" w:rsidR="00846D53" w:rsidRPr="00B8240F" w:rsidRDefault="00E532A0" w:rsidP="00846D53">
      <w:pPr>
        <w:keepNext/>
        <w:keepLines/>
        <w:jc w:val="center"/>
        <w:rPr>
          <w:rFonts w:ascii="Palatino Linotype" w:hAnsi="Palatino Linotype"/>
          <w:b/>
          <w:color w:val="000000" w:themeColor="text1"/>
        </w:rPr>
      </w:pPr>
      <w:r w:rsidRPr="00B8240F">
        <w:rPr>
          <w:rFonts w:ascii="Palatino Linotype" w:hAnsi="Palatino Linotype"/>
          <w:b/>
          <w:color w:val="000000" w:themeColor="text1"/>
        </w:rPr>
        <w:t>Resolution T-17515</w:t>
      </w:r>
    </w:p>
    <w:p w14:paraId="033A9220" w14:textId="77777777" w:rsidR="00846D53" w:rsidRPr="00B8240F" w:rsidRDefault="00F75592" w:rsidP="00846D53">
      <w:pPr>
        <w:keepNext/>
        <w:keepLines/>
        <w:jc w:val="center"/>
        <w:rPr>
          <w:rFonts w:ascii="Palatino Linotype" w:hAnsi="Palatino Linotype"/>
          <w:b/>
          <w:color w:val="000000" w:themeColor="text1"/>
        </w:rPr>
      </w:pPr>
      <w:r>
        <w:rPr>
          <w:rFonts w:ascii="Palatino Linotype" w:hAnsi="Palatino Linotype"/>
          <w:b/>
          <w:color w:val="000000" w:themeColor="text1"/>
        </w:rPr>
        <w:t xml:space="preserve">HACSB, CHW and </w:t>
      </w:r>
      <w:r w:rsidR="00E532A0" w:rsidRPr="00B8240F">
        <w:rPr>
          <w:rFonts w:ascii="Palatino Linotype" w:hAnsi="Palatino Linotype"/>
          <w:b/>
          <w:color w:val="000000" w:themeColor="text1"/>
        </w:rPr>
        <w:t>Eden Public Housing Infrastructure Projects</w:t>
      </w:r>
    </w:p>
    <w:p w14:paraId="79049024" w14:textId="77777777" w:rsidR="00846D53" w:rsidRPr="00B8240F" w:rsidRDefault="00E532A0" w:rsidP="00846D53">
      <w:pPr>
        <w:keepNext/>
        <w:keepLines/>
        <w:jc w:val="center"/>
        <w:rPr>
          <w:rFonts w:ascii="Palatino Linotype" w:hAnsi="Palatino Linotype"/>
          <w:b/>
          <w:color w:val="000000" w:themeColor="text1"/>
        </w:rPr>
      </w:pPr>
      <w:r w:rsidRPr="00B8240F">
        <w:rPr>
          <w:rFonts w:ascii="Palatino Linotype" w:hAnsi="Palatino Linotype"/>
          <w:b/>
          <w:color w:val="000000" w:themeColor="text1"/>
        </w:rPr>
        <w:t>CASF Applicant Key Information</w:t>
      </w:r>
    </w:p>
    <w:p w14:paraId="3F1AAFF7" w14:textId="77777777" w:rsidR="00846D53" w:rsidRDefault="00846D53" w:rsidP="005C3C8A">
      <w:pPr>
        <w:jc w:val="center"/>
        <w:rPr>
          <w:rFonts w:ascii="Palatino Linotype" w:hAnsi="Palatino Linotype"/>
          <w:color w:val="000000" w:themeColor="text1"/>
        </w:rPr>
      </w:pPr>
    </w:p>
    <w:p w14:paraId="7DDD5D16" w14:textId="77777777" w:rsidR="002D021D" w:rsidRPr="00B8240F" w:rsidRDefault="002D021D" w:rsidP="005C3C8A">
      <w:pPr>
        <w:jc w:val="center"/>
        <w:rPr>
          <w:rFonts w:ascii="Palatino Linotype" w:hAnsi="Palatino Linotype"/>
          <w:color w:val="000000" w:themeColor="text1"/>
        </w:rPr>
      </w:pPr>
    </w:p>
    <w:p w14:paraId="30490456" w14:textId="77777777" w:rsidR="005C3C8A" w:rsidRPr="00B8240F" w:rsidRDefault="00BE5488" w:rsidP="00C15F8D">
      <w:pPr>
        <w:jc w:val="center"/>
        <w:rPr>
          <w:rFonts w:ascii="Palatino Linotype" w:hAnsi="Palatino Linotype"/>
          <w:color w:val="000000" w:themeColor="text1"/>
        </w:rPr>
      </w:pPr>
      <w:r w:rsidRPr="00B8240F">
        <w:rPr>
          <w:rFonts w:ascii="Palatino Linotype" w:hAnsi="Palatino Linotype"/>
          <w:noProof/>
          <w:color w:val="000000" w:themeColor="text1"/>
        </w:rPr>
        <w:drawing>
          <wp:inline distT="0" distB="0" distL="0" distR="0" wp14:anchorId="04E640D5" wp14:editId="1051DF88">
            <wp:extent cx="5838825" cy="2676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676525"/>
                    </a:xfrm>
                    <a:prstGeom prst="rect">
                      <a:avLst/>
                    </a:prstGeom>
                    <a:noFill/>
                    <a:ln>
                      <a:noFill/>
                    </a:ln>
                  </pic:spPr>
                </pic:pic>
              </a:graphicData>
            </a:graphic>
          </wp:inline>
        </w:drawing>
      </w:r>
    </w:p>
    <w:p w14:paraId="7C382E15" w14:textId="77777777" w:rsidR="00B8061C" w:rsidRDefault="00B8061C" w:rsidP="00C15F8D">
      <w:pPr>
        <w:jc w:val="center"/>
        <w:rPr>
          <w:rFonts w:ascii="Palatino Linotype" w:hAnsi="Palatino Linotype"/>
          <w:color w:val="000000" w:themeColor="text1"/>
        </w:rPr>
      </w:pPr>
    </w:p>
    <w:p w14:paraId="124CC97A" w14:textId="77777777" w:rsidR="002D021D" w:rsidRDefault="002D021D" w:rsidP="00C15F8D">
      <w:pPr>
        <w:jc w:val="center"/>
        <w:rPr>
          <w:rFonts w:ascii="Palatino Linotype" w:hAnsi="Palatino Linotype"/>
          <w:color w:val="000000" w:themeColor="text1"/>
        </w:rPr>
      </w:pPr>
    </w:p>
    <w:p w14:paraId="26DA0BE3" w14:textId="77777777" w:rsidR="002D021D" w:rsidRPr="00B8240F" w:rsidRDefault="002D021D" w:rsidP="00C15F8D">
      <w:pPr>
        <w:jc w:val="center"/>
        <w:rPr>
          <w:rFonts w:ascii="Palatino Linotype" w:hAnsi="Palatino Linotype"/>
          <w:color w:val="000000" w:themeColor="text1"/>
        </w:rPr>
      </w:pPr>
    </w:p>
    <w:p w14:paraId="1606D0A5" w14:textId="77777777" w:rsidR="00846D53" w:rsidRPr="00B8240F" w:rsidRDefault="002D021D" w:rsidP="002D021D">
      <w:pPr>
        <w:tabs>
          <w:tab w:val="right" w:pos="7920"/>
        </w:tabs>
        <w:jc w:val="center"/>
        <w:rPr>
          <w:rFonts w:ascii="Palatino Linotype" w:hAnsi="Palatino Linotype"/>
          <w:color w:val="000000" w:themeColor="text1"/>
        </w:rPr>
      </w:pPr>
      <w:r w:rsidRPr="00B8240F">
        <w:rPr>
          <w:rFonts w:ascii="Palatino Linotype" w:hAnsi="Palatino Linotype"/>
          <w:noProof/>
          <w:color w:val="000000" w:themeColor="text1"/>
        </w:rPr>
        <w:drawing>
          <wp:inline distT="0" distB="0" distL="0" distR="0" wp14:anchorId="2FF92811" wp14:editId="0482EED8">
            <wp:extent cx="5838825" cy="2181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8825" cy="2181225"/>
                    </a:xfrm>
                    <a:prstGeom prst="rect">
                      <a:avLst/>
                    </a:prstGeom>
                    <a:noFill/>
                    <a:ln>
                      <a:noFill/>
                    </a:ln>
                  </pic:spPr>
                </pic:pic>
              </a:graphicData>
            </a:graphic>
          </wp:inline>
        </w:drawing>
      </w:r>
    </w:p>
    <w:p w14:paraId="1E7F00DE" w14:textId="77777777" w:rsidR="00846D53" w:rsidRPr="00B8240F" w:rsidRDefault="002D021D" w:rsidP="005C3C8A">
      <w:pPr>
        <w:tabs>
          <w:tab w:val="right" w:pos="7920"/>
        </w:tabs>
        <w:jc w:val="center"/>
        <w:rPr>
          <w:rFonts w:ascii="Palatino Linotype" w:hAnsi="Palatino Linotype"/>
          <w:color w:val="000000" w:themeColor="text1"/>
        </w:rPr>
      </w:pPr>
      <w:r w:rsidRPr="00B8240F">
        <w:rPr>
          <w:rFonts w:ascii="Palatino Linotype" w:hAnsi="Palatino Linotype"/>
          <w:noProof/>
          <w:color w:val="000000" w:themeColor="text1"/>
        </w:rPr>
        <w:drawing>
          <wp:inline distT="0" distB="0" distL="0" distR="0" wp14:anchorId="2E117FB4" wp14:editId="705CEECF">
            <wp:extent cx="5838825" cy="6981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8825" cy="6981825"/>
                    </a:xfrm>
                    <a:prstGeom prst="rect">
                      <a:avLst/>
                    </a:prstGeom>
                    <a:noFill/>
                    <a:ln>
                      <a:noFill/>
                    </a:ln>
                  </pic:spPr>
                </pic:pic>
              </a:graphicData>
            </a:graphic>
          </wp:inline>
        </w:drawing>
      </w:r>
    </w:p>
    <w:p w14:paraId="0950FD99" w14:textId="77777777" w:rsidR="00846D53" w:rsidRPr="00B8240F" w:rsidRDefault="00846D53" w:rsidP="00846D53">
      <w:pPr>
        <w:tabs>
          <w:tab w:val="right" w:pos="7920"/>
        </w:tabs>
        <w:rPr>
          <w:rFonts w:ascii="Palatino Linotype" w:hAnsi="Palatino Linotype"/>
          <w:color w:val="000000" w:themeColor="text1"/>
        </w:rPr>
      </w:pPr>
    </w:p>
    <w:p w14:paraId="031D8BDC" w14:textId="77777777" w:rsidR="00846D53" w:rsidRPr="00B8240F" w:rsidRDefault="00846D53" w:rsidP="00846D53">
      <w:pPr>
        <w:tabs>
          <w:tab w:val="right" w:pos="7920"/>
        </w:tabs>
        <w:rPr>
          <w:rFonts w:ascii="Palatino Linotype" w:hAnsi="Palatino Linotype"/>
          <w:color w:val="000000" w:themeColor="text1"/>
        </w:rPr>
      </w:pPr>
    </w:p>
    <w:p w14:paraId="1F8B3005" w14:textId="77777777" w:rsidR="00846D53" w:rsidRPr="00B8240F" w:rsidRDefault="00846D53" w:rsidP="00846D53">
      <w:pPr>
        <w:tabs>
          <w:tab w:val="right" w:pos="7920"/>
        </w:tabs>
        <w:rPr>
          <w:rFonts w:ascii="Palatino Linotype" w:hAnsi="Palatino Linotype"/>
          <w:color w:val="000000" w:themeColor="text1"/>
        </w:rPr>
      </w:pPr>
    </w:p>
    <w:p w14:paraId="39BDF308" w14:textId="77777777" w:rsidR="00846D53" w:rsidRPr="00B8240F" w:rsidRDefault="00846D53" w:rsidP="00846D53">
      <w:pPr>
        <w:tabs>
          <w:tab w:val="right" w:pos="7920"/>
        </w:tabs>
        <w:rPr>
          <w:rFonts w:ascii="Palatino Linotype" w:hAnsi="Palatino Linotype"/>
          <w:color w:val="000000" w:themeColor="text1"/>
        </w:rPr>
        <w:sectPr w:rsidR="00846D53" w:rsidRPr="00B8240F">
          <w:footerReference w:type="default" r:id="rId25"/>
          <w:footerReference w:type="first" r:id="rId26"/>
          <w:pgSz w:w="12240" w:h="15840"/>
          <w:pgMar w:top="1440" w:right="1440" w:bottom="1440" w:left="1440" w:header="720" w:footer="720" w:gutter="0"/>
          <w:pgNumType w:start="1"/>
          <w:cols w:space="720"/>
          <w:titlePg/>
          <w:docGrid w:linePitch="360"/>
        </w:sectPr>
      </w:pPr>
    </w:p>
    <w:p w14:paraId="472141C3" w14:textId="77777777" w:rsidR="00846D53" w:rsidRPr="00B8240F" w:rsidRDefault="00B703A4" w:rsidP="00846D53">
      <w:pPr>
        <w:jc w:val="center"/>
        <w:rPr>
          <w:rFonts w:ascii="Palatino Linotype" w:hAnsi="Palatino Linotype"/>
          <w:b/>
          <w:bCs/>
          <w:color w:val="000000" w:themeColor="text1"/>
          <w:sz w:val="28"/>
          <w:szCs w:val="28"/>
        </w:rPr>
      </w:pPr>
      <w:r>
        <w:rPr>
          <w:rFonts w:ascii="Palatino Linotype" w:hAnsi="Palatino Linotype"/>
          <w:b/>
          <w:bCs/>
          <w:color w:val="000000" w:themeColor="text1"/>
          <w:sz w:val="28"/>
          <w:szCs w:val="28"/>
        </w:rPr>
        <w:t>APPENDIX C</w:t>
      </w:r>
    </w:p>
    <w:p w14:paraId="61E4B718" w14:textId="77777777" w:rsidR="00846D53" w:rsidRPr="00B8240F" w:rsidRDefault="00E532A0" w:rsidP="00846D53">
      <w:pPr>
        <w:ind w:left="7200" w:hanging="7200"/>
        <w:jc w:val="center"/>
        <w:rPr>
          <w:rFonts w:ascii="Palatino Linotype" w:hAnsi="Palatino Linotype"/>
          <w:b/>
          <w:bCs/>
          <w:color w:val="000000" w:themeColor="text1"/>
        </w:rPr>
      </w:pPr>
      <w:r w:rsidRPr="00B8240F">
        <w:rPr>
          <w:rFonts w:ascii="Palatino Linotype" w:hAnsi="Palatino Linotype"/>
          <w:b/>
          <w:bCs/>
          <w:color w:val="000000" w:themeColor="text1"/>
        </w:rPr>
        <w:t xml:space="preserve">Resolution T-17515 </w:t>
      </w:r>
    </w:p>
    <w:p w14:paraId="1E510B15" w14:textId="77777777" w:rsidR="00846D53" w:rsidRPr="00B8240F" w:rsidRDefault="00E532A0" w:rsidP="00846D53">
      <w:pPr>
        <w:jc w:val="center"/>
        <w:rPr>
          <w:rFonts w:ascii="Palatino Linotype" w:hAnsi="Palatino Linotype"/>
          <w:b/>
          <w:bCs/>
          <w:color w:val="000000" w:themeColor="text1"/>
        </w:rPr>
      </w:pPr>
      <w:r w:rsidRPr="00B8240F">
        <w:rPr>
          <w:rFonts w:ascii="Palatino Linotype" w:hAnsi="Palatino Linotype"/>
          <w:b/>
          <w:bCs/>
          <w:color w:val="000000" w:themeColor="text1"/>
        </w:rPr>
        <w:t>Public Housing Projects Locations</w:t>
      </w:r>
    </w:p>
    <w:p w14:paraId="2622E5AB" w14:textId="77777777" w:rsidR="00944C1D" w:rsidRPr="00B8240F" w:rsidRDefault="000454E8" w:rsidP="00846D53">
      <w:pPr>
        <w:tabs>
          <w:tab w:val="right" w:pos="7920"/>
        </w:tabs>
        <w:jc w:val="center"/>
        <w:rPr>
          <w:rFonts w:ascii="Palatino Linotype" w:hAnsi="Palatino Linotype"/>
          <w:color w:val="000000" w:themeColor="text1"/>
        </w:rPr>
      </w:pPr>
      <w:r>
        <w:rPr>
          <w:rFonts w:ascii="Palatino Linotype" w:hAnsi="Palatino Linotype"/>
          <w:noProof/>
          <w:color w:val="000000" w:themeColor="text1"/>
        </w:rPr>
        <w:drawing>
          <wp:inline distT="0" distB="0" distL="0" distR="0" wp14:anchorId="384273E9" wp14:editId="68657D18">
            <wp:extent cx="5780204" cy="7480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F Public Housing Grants (2016.06.09).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81636" cy="7482153"/>
                    </a:xfrm>
                    <a:prstGeom prst="rect">
                      <a:avLst/>
                    </a:prstGeom>
                  </pic:spPr>
                </pic:pic>
              </a:graphicData>
            </a:graphic>
          </wp:inline>
        </w:drawing>
      </w:r>
    </w:p>
    <w:sectPr w:rsidR="00944C1D" w:rsidRPr="00B8240F" w:rsidSect="00283F7A">
      <w:headerReference w:type="first" r:id="rId28"/>
      <w:footerReference w:type="firs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9C032" w14:textId="77777777" w:rsidR="00746E67" w:rsidRDefault="00746E67">
      <w:r>
        <w:separator/>
      </w:r>
    </w:p>
  </w:endnote>
  <w:endnote w:type="continuationSeparator" w:id="0">
    <w:p w14:paraId="1F345B08" w14:textId="77777777" w:rsidR="00746E67" w:rsidRDefault="007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9C3E" w14:textId="77777777" w:rsidR="00AB2FC5" w:rsidRDefault="00AB2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4700" w14:textId="77777777" w:rsidR="00D863AC" w:rsidRPr="003B1DBD" w:rsidRDefault="00D863AC" w:rsidP="003B1DBD">
    <w:pPr>
      <w:pStyle w:val="Footer"/>
    </w:pPr>
    <w:r>
      <w:tab/>
    </w:r>
    <w:r w:rsidR="00B14F9E">
      <w:rPr>
        <w:rStyle w:val="PageNumber"/>
      </w:rPr>
      <w:fldChar w:fldCharType="begin"/>
    </w:r>
    <w:r>
      <w:rPr>
        <w:rStyle w:val="PageNumber"/>
      </w:rPr>
      <w:instrText xml:space="preserve"> PAGE </w:instrText>
    </w:r>
    <w:r w:rsidR="00B14F9E">
      <w:rPr>
        <w:rStyle w:val="PageNumber"/>
      </w:rPr>
      <w:fldChar w:fldCharType="separate"/>
    </w:r>
    <w:r w:rsidR="00C100AD">
      <w:rPr>
        <w:rStyle w:val="PageNumber"/>
        <w:noProof/>
      </w:rPr>
      <w:t>2</w:t>
    </w:r>
    <w:r w:rsidR="00B14F9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BB22F" w14:textId="7D4513D1" w:rsidR="00F05EFD" w:rsidRDefault="00F05EFD">
    <w:pPr>
      <w:pStyle w:val="Footer"/>
    </w:pPr>
    <w:r w:rsidRPr="00F05EFD">
      <w:t>161678135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1029A" w14:textId="77777777" w:rsidR="00D863AC" w:rsidRDefault="00072772" w:rsidP="00283F7A">
    <w:pPr>
      <w:pStyle w:val="Footer"/>
      <w:jc w:val="center"/>
    </w:pPr>
    <w:r>
      <w:t>A</w:t>
    </w:r>
    <w:r w:rsidR="00D863AC">
      <w:t xml:space="preserve"> - </w:t>
    </w:r>
    <w:r w:rsidR="00BA4417">
      <w:fldChar w:fldCharType="begin"/>
    </w:r>
    <w:r w:rsidR="00BA4417">
      <w:instrText xml:space="preserve"> PAGE   \* MERGEFORMAT </w:instrText>
    </w:r>
    <w:r w:rsidR="00BA4417">
      <w:fldChar w:fldCharType="separate"/>
    </w:r>
    <w:r w:rsidR="005F4DF0">
      <w:rPr>
        <w:noProof/>
      </w:rPr>
      <w:t>2</w:t>
    </w:r>
    <w:r w:rsidR="00BA4417">
      <w:rPr>
        <w:noProof/>
      </w:rPr>
      <w:fldChar w:fldCharType="end"/>
    </w:r>
  </w:p>
  <w:p w14:paraId="10DDCF20" w14:textId="77777777" w:rsidR="00D863AC" w:rsidRPr="003B1DBD" w:rsidRDefault="00D863AC" w:rsidP="00283F7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D597" w14:textId="77777777" w:rsidR="00D863AC" w:rsidRDefault="00D863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43252" w14:textId="77777777" w:rsidR="00D863AC" w:rsidRDefault="00B703A4" w:rsidP="00283F7A">
    <w:pPr>
      <w:pStyle w:val="Footer"/>
      <w:jc w:val="center"/>
    </w:pPr>
    <w:r>
      <w:t>A</w:t>
    </w:r>
    <w:r w:rsidR="00D863AC">
      <w:t xml:space="preserve"> - </w:t>
    </w:r>
    <w:r w:rsidR="00BA4417">
      <w:fldChar w:fldCharType="begin"/>
    </w:r>
    <w:r w:rsidR="00BA4417">
      <w:instrText xml:space="preserve"> PAGE   \* MERGEFORMAT </w:instrText>
    </w:r>
    <w:r w:rsidR="00BA4417">
      <w:fldChar w:fldCharType="separate"/>
    </w:r>
    <w:r w:rsidR="005F4DF0">
      <w:rPr>
        <w:noProof/>
      </w:rPr>
      <w:t>1</w:t>
    </w:r>
    <w:r w:rsidR="00BA4417">
      <w:rPr>
        <w:noProof/>
      </w:rPr>
      <w:fldChar w:fldCharType="end"/>
    </w:r>
  </w:p>
  <w:p w14:paraId="5B8B2FA8" w14:textId="77777777" w:rsidR="00D863AC" w:rsidRDefault="00D863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DE905" w14:textId="77777777" w:rsidR="00072772" w:rsidRDefault="00072772" w:rsidP="00283F7A">
    <w:pPr>
      <w:pStyle w:val="Footer"/>
      <w:jc w:val="center"/>
    </w:pPr>
    <w:r>
      <w:t xml:space="preserve">B - </w:t>
    </w:r>
    <w:r w:rsidR="00BA4417">
      <w:fldChar w:fldCharType="begin"/>
    </w:r>
    <w:r w:rsidR="00BA4417">
      <w:instrText xml:space="preserve"> PAGE   \* MERGEFORMAT </w:instrText>
    </w:r>
    <w:r w:rsidR="00BA4417">
      <w:fldChar w:fldCharType="separate"/>
    </w:r>
    <w:r w:rsidR="005F4DF0">
      <w:rPr>
        <w:noProof/>
      </w:rPr>
      <w:t>2</w:t>
    </w:r>
    <w:r w:rsidR="00BA4417">
      <w:rPr>
        <w:noProof/>
      </w:rPr>
      <w:fldChar w:fldCharType="end"/>
    </w:r>
  </w:p>
  <w:p w14:paraId="550136A3" w14:textId="77777777" w:rsidR="00072772" w:rsidRPr="003B1DBD" w:rsidRDefault="00072772" w:rsidP="00283F7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847A" w14:textId="77777777" w:rsidR="00B703A4" w:rsidRDefault="00B703A4" w:rsidP="00283F7A">
    <w:pPr>
      <w:pStyle w:val="Footer"/>
      <w:jc w:val="center"/>
    </w:pPr>
    <w:r>
      <w:t xml:space="preserve">B - </w:t>
    </w:r>
    <w:r w:rsidR="00BA4417">
      <w:fldChar w:fldCharType="begin"/>
    </w:r>
    <w:r w:rsidR="00BA4417">
      <w:instrText xml:space="preserve"> PAGE   \* MERGEFORMAT </w:instrText>
    </w:r>
    <w:r w:rsidR="00BA4417">
      <w:fldChar w:fldCharType="separate"/>
    </w:r>
    <w:r w:rsidR="005F4DF0">
      <w:rPr>
        <w:noProof/>
      </w:rPr>
      <w:t>1</w:t>
    </w:r>
    <w:r w:rsidR="00BA4417">
      <w:rPr>
        <w:noProof/>
      </w:rPr>
      <w:fldChar w:fldCharType="end"/>
    </w:r>
  </w:p>
  <w:p w14:paraId="1BB92F30" w14:textId="77777777" w:rsidR="00B703A4" w:rsidRDefault="00B703A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96F3" w14:textId="77777777" w:rsidR="00D863AC" w:rsidRDefault="00B703A4" w:rsidP="00283F7A">
    <w:pPr>
      <w:pStyle w:val="Footer"/>
      <w:jc w:val="center"/>
    </w:pPr>
    <w:r>
      <w:t>C</w:t>
    </w:r>
    <w:r w:rsidR="00D863AC">
      <w:t xml:space="preserve"> - </w:t>
    </w:r>
    <w:r w:rsidR="00BA4417">
      <w:fldChar w:fldCharType="begin"/>
    </w:r>
    <w:r w:rsidR="00BA4417">
      <w:instrText xml:space="preserve"> PAGE   \* MERGEFORMAT </w:instrText>
    </w:r>
    <w:r w:rsidR="00BA4417">
      <w:fldChar w:fldCharType="separate"/>
    </w:r>
    <w:r w:rsidR="005F4DF0">
      <w:rPr>
        <w:noProof/>
      </w:rPr>
      <w:t>1</w:t>
    </w:r>
    <w:r w:rsidR="00BA4417">
      <w:rPr>
        <w:noProof/>
      </w:rPr>
      <w:fldChar w:fldCharType="end"/>
    </w:r>
  </w:p>
  <w:p w14:paraId="3DF3E2A3" w14:textId="77777777" w:rsidR="00D863AC" w:rsidRDefault="00D86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1E6DB" w14:textId="77777777" w:rsidR="00746E67" w:rsidRDefault="00746E67">
      <w:r>
        <w:separator/>
      </w:r>
    </w:p>
  </w:footnote>
  <w:footnote w:type="continuationSeparator" w:id="0">
    <w:p w14:paraId="65308942" w14:textId="77777777" w:rsidR="00746E67" w:rsidRDefault="00746E67">
      <w:r>
        <w:continuationSeparator/>
      </w:r>
    </w:p>
  </w:footnote>
  <w:footnote w:id="1">
    <w:p w14:paraId="79B16E2F" w14:textId="77777777" w:rsidR="00D863AC" w:rsidRPr="00444C84" w:rsidRDefault="00D863AC">
      <w:pPr>
        <w:pStyle w:val="FootnoteText"/>
      </w:pPr>
      <w:r w:rsidRPr="00372019">
        <w:rPr>
          <w:rStyle w:val="FootnoteReference"/>
        </w:rPr>
        <w:footnoteRef/>
      </w:r>
      <w:r w:rsidRPr="00372019">
        <w:t xml:space="preserve">Challenges are based on the grounds that an ISP already provides </w:t>
      </w:r>
      <w:r>
        <w:t xml:space="preserve">services </w:t>
      </w:r>
      <w:r w:rsidRPr="00372019">
        <w:t xml:space="preserve">at the PSC </w:t>
      </w:r>
      <w:r>
        <w:t>(</w:t>
      </w:r>
      <w:r w:rsidRPr="00372019">
        <w:t>the PSCs are “</w:t>
      </w:r>
      <w:r w:rsidRPr="00444C84">
        <w:t>wired”</w:t>
      </w:r>
      <w:r>
        <w:t>).</w:t>
      </w:r>
    </w:p>
  </w:footnote>
  <w:footnote w:id="2">
    <w:p w14:paraId="26DCF956" w14:textId="77777777" w:rsidR="00D863AC" w:rsidRPr="00392F9A" w:rsidRDefault="00D863AC" w:rsidP="00846D53">
      <w:pPr>
        <w:pStyle w:val="Default"/>
        <w:rPr>
          <w:rFonts w:ascii="Times New Roman" w:hAnsi="Times New Roman" w:cs="Times New Roman"/>
          <w:sz w:val="20"/>
          <w:szCs w:val="20"/>
        </w:rPr>
      </w:pPr>
      <w:r w:rsidRPr="00392F9A">
        <w:rPr>
          <w:rStyle w:val="FootnoteReference"/>
          <w:rFonts w:ascii="Times New Roman" w:hAnsi="Times New Roman" w:cs="Times New Roman"/>
          <w:sz w:val="20"/>
          <w:szCs w:val="20"/>
        </w:rPr>
        <w:footnoteRef/>
      </w:r>
      <w:r w:rsidR="00E95EB4">
        <w:rPr>
          <w:rFonts w:ascii="Times New Roman" w:hAnsi="Times New Roman" w:cs="Times New Roman"/>
          <w:sz w:val="20"/>
          <w:szCs w:val="20"/>
        </w:rPr>
        <w:t xml:space="preserve">P.U. </w:t>
      </w:r>
      <w:r w:rsidR="00631D66">
        <w:rPr>
          <w:rFonts w:ascii="Times New Roman" w:hAnsi="Times New Roman" w:cs="Times New Roman"/>
          <w:sz w:val="20"/>
          <w:szCs w:val="20"/>
        </w:rPr>
        <w:t>Code § 281</w:t>
      </w:r>
      <w:r w:rsidRPr="00372019">
        <w:rPr>
          <w:rFonts w:ascii="Times New Roman" w:hAnsi="Times New Roman" w:cs="Times New Roman"/>
          <w:sz w:val="20"/>
          <w:szCs w:val="20"/>
        </w:rPr>
        <w:t>(h)(1)(B)(i) and (ii).</w:t>
      </w:r>
      <w:r w:rsidRPr="00392F9A">
        <w:rPr>
          <w:rFonts w:ascii="Times New Roman" w:hAnsi="Times New Roman" w:cs="Times New Roman"/>
          <w:sz w:val="20"/>
          <w:szCs w:val="20"/>
        </w:rPr>
        <w:t xml:space="preserve">  </w:t>
      </w:r>
    </w:p>
  </w:footnote>
  <w:footnote w:id="3">
    <w:p w14:paraId="06562041" w14:textId="77777777" w:rsidR="00D863AC" w:rsidRPr="00904782" w:rsidRDefault="00D863AC" w:rsidP="00846D53">
      <w:pPr>
        <w:pStyle w:val="FootnoteText"/>
      </w:pPr>
      <w:r w:rsidRPr="00372019">
        <w:rPr>
          <w:rStyle w:val="FootnoteReference"/>
        </w:rPr>
        <w:footnoteRef/>
      </w:r>
      <w:r w:rsidRPr="00372019">
        <w:t xml:space="preserve">D.14-12-039, CASF Broadband Public Housing Account Application Requirements and Guidelines, Appendix B, </w:t>
      </w:r>
      <w:r w:rsidRPr="00904782">
        <w:t>(“Guidelines” or “Appendix</w:t>
      </w:r>
      <w:r w:rsidR="00631D66">
        <w:t xml:space="preserve"> B”), p. </w:t>
      </w:r>
      <w:r w:rsidRPr="00904782">
        <w:t>B13. References hereafter may be a part of the Guidelines/Appendix B adopted by D.14-12-039.</w:t>
      </w:r>
    </w:p>
  </w:footnote>
  <w:footnote w:id="4">
    <w:p w14:paraId="31200015" w14:textId="77777777" w:rsidR="00D863AC" w:rsidRPr="00904782" w:rsidRDefault="00D863AC" w:rsidP="00E208A8">
      <w:pPr>
        <w:pStyle w:val="FootnoteText"/>
      </w:pPr>
      <w:r w:rsidRPr="00372019">
        <w:rPr>
          <w:rStyle w:val="FootnoteReference"/>
        </w:rPr>
        <w:footnoteRef/>
      </w:r>
      <w:r w:rsidRPr="00372019">
        <w:t xml:space="preserve"> T-17506 “Approval of funding for the public housing infrastructure grant applications of Better Opportunity </w:t>
      </w:r>
      <w:r w:rsidRPr="00904782">
        <w:t>Builder (Brierwood project), Silvercrest Inc. (Pacific Gardens and Yosemite Village projects), Housing Authority City of Los Angeles (San Fernando Gardens project), and Self-Help Enterprises (Rancho Lindo, Rolling Hills and Solinas Village projects) from the CASF BPHA Infrastructure Grant Program in the amount of $421,257,50.”</w:t>
      </w:r>
    </w:p>
  </w:footnote>
  <w:footnote w:id="5">
    <w:p w14:paraId="33AFEE63" w14:textId="77777777" w:rsidR="00D863AC" w:rsidRPr="00922DD4" w:rsidRDefault="00D863AC" w:rsidP="00392F9A">
      <w:pPr>
        <w:pStyle w:val="Default"/>
        <w:rPr>
          <w:rFonts w:ascii="Times New Roman" w:hAnsi="Times New Roman" w:cs="Times New Roman"/>
          <w:color w:val="000000" w:themeColor="text1"/>
          <w:sz w:val="20"/>
          <w:szCs w:val="20"/>
        </w:rPr>
      </w:pPr>
      <w:r w:rsidRPr="00392F9A">
        <w:rPr>
          <w:rStyle w:val="FootnoteReference"/>
          <w:rFonts w:ascii="Times New Roman" w:hAnsi="Times New Roman" w:cs="Times New Roman"/>
          <w:sz w:val="20"/>
          <w:szCs w:val="20"/>
        </w:rPr>
        <w:footnoteRef/>
      </w:r>
      <w:r w:rsidRPr="00392F9A">
        <w:rPr>
          <w:rFonts w:ascii="Times New Roman" w:hAnsi="Times New Roman" w:cs="Times New Roman"/>
          <w:sz w:val="20"/>
          <w:szCs w:val="20"/>
        </w:rPr>
        <w:t xml:space="preserve"> Of the 372 projects received, 5</w:t>
      </w:r>
      <w:r>
        <w:rPr>
          <w:rFonts w:ascii="Times New Roman" w:hAnsi="Times New Roman" w:cs="Times New Roman"/>
          <w:sz w:val="20"/>
          <w:szCs w:val="20"/>
        </w:rPr>
        <w:t>4</w:t>
      </w:r>
      <w:r w:rsidRPr="00392F9A">
        <w:rPr>
          <w:rFonts w:ascii="Times New Roman" w:hAnsi="Times New Roman" w:cs="Times New Roman"/>
          <w:sz w:val="20"/>
          <w:szCs w:val="20"/>
        </w:rPr>
        <w:t xml:space="preserve"> were challenged by an ISP </w:t>
      </w:r>
      <w:r w:rsidRPr="00372019">
        <w:rPr>
          <w:rFonts w:ascii="Times New Roman" w:hAnsi="Times New Roman" w:cs="Times New Roman"/>
          <w:sz w:val="20"/>
          <w:szCs w:val="20"/>
        </w:rPr>
        <w:t xml:space="preserve">based on the grounds that an ISP already provides </w:t>
      </w:r>
      <w:r>
        <w:rPr>
          <w:rFonts w:ascii="Times New Roman" w:hAnsi="Times New Roman" w:cs="Times New Roman"/>
          <w:sz w:val="20"/>
          <w:szCs w:val="20"/>
        </w:rPr>
        <w:t xml:space="preserve">services </w:t>
      </w:r>
      <w:r w:rsidRPr="00372019">
        <w:rPr>
          <w:rFonts w:ascii="Times New Roman" w:hAnsi="Times New Roman" w:cs="Times New Roman"/>
          <w:sz w:val="20"/>
          <w:szCs w:val="20"/>
        </w:rPr>
        <w:t xml:space="preserve">at the PSC </w:t>
      </w:r>
      <w:r>
        <w:rPr>
          <w:rFonts w:ascii="Times New Roman" w:hAnsi="Times New Roman" w:cs="Times New Roman"/>
          <w:sz w:val="20"/>
          <w:szCs w:val="20"/>
        </w:rPr>
        <w:t>(</w:t>
      </w:r>
      <w:r w:rsidRPr="00372019">
        <w:rPr>
          <w:rFonts w:ascii="Times New Roman" w:hAnsi="Times New Roman" w:cs="Times New Roman"/>
          <w:sz w:val="20"/>
          <w:szCs w:val="20"/>
        </w:rPr>
        <w:t>the PSCs are “wired”</w:t>
      </w:r>
      <w:r>
        <w:rPr>
          <w:rFonts w:ascii="Times New Roman" w:hAnsi="Times New Roman" w:cs="Times New Roman"/>
          <w:sz w:val="20"/>
          <w:szCs w:val="20"/>
        </w:rPr>
        <w:t>).</w:t>
      </w:r>
      <w:r w:rsidRPr="00392F9A">
        <w:rPr>
          <w:rFonts w:ascii="Times New Roman" w:hAnsi="Times New Roman" w:cs="Times New Roman"/>
          <w:sz w:val="20"/>
          <w:szCs w:val="20"/>
        </w:rPr>
        <w:t xml:space="preserve">  </w:t>
      </w:r>
      <w:r>
        <w:rPr>
          <w:rFonts w:ascii="Times New Roman" w:hAnsi="Times New Roman" w:cs="Times New Roman"/>
          <w:sz w:val="20"/>
          <w:szCs w:val="20"/>
        </w:rPr>
        <w:t>Two</w:t>
      </w:r>
      <w:r w:rsidRPr="00392F9A">
        <w:rPr>
          <w:rFonts w:ascii="Times New Roman" w:hAnsi="Times New Roman" w:cs="Times New Roman"/>
          <w:sz w:val="20"/>
          <w:szCs w:val="20"/>
        </w:rPr>
        <w:t xml:space="preserve"> challenges were upheld on the grounds that </w:t>
      </w:r>
      <w:r w:rsidRPr="00392F9A">
        <w:rPr>
          <w:rFonts w:ascii="Times New Roman" w:hAnsi="Times New Roman" w:cs="Times New Roman"/>
          <w:color w:val="000000" w:themeColor="text1"/>
          <w:sz w:val="20"/>
          <w:szCs w:val="20"/>
        </w:rPr>
        <w:t xml:space="preserve">the ISP provides service to existing customers and that the ISP can provide service to 100% of the units.  </w:t>
      </w:r>
    </w:p>
  </w:footnote>
  <w:footnote w:id="6">
    <w:p w14:paraId="7F590DC0" w14:textId="77777777" w:rsidR="00D863AC" w:rsidRPr="00372019" w:rsidRDefault="00D863AC" w:rsidP="001B6793">
      <w:pPr>
        <w:pStyle w:val="FootnoteText"/>
      </w:pPr>
      <w:r w:rsidRPr="00372019">
        <w:rPr>
          <w:rStyle w:val="FootnoteReference"/>
        </w:rPr>
        <w:footnoteRef/>
      </w:r>
      <w:r w:rsidRPr="00372019">
        <w:t xml:space="preserve"> D.14-12-039, Appendix B.</w:t>
      </w:r>
    </w:p>
  </w:footnote>
  <w:footnote w:id="7">
    <w:p w14:paraId="16716B06" w14:textId="77777777" w:rsidR="00D863AC" w:rsidRPr="00904782" w:rsidRDefault="00D863AC" w:rsidP="00DE73D1">
      <w:pPr>
        <w:pStyle w:val="FootnoteText"/>
      </w:pPr>
      <w:r w:rsidRPr="00904782">
        <w:rPr>
          <w:rStyle w:val="FootnoteReference"/>
        </w:rPr>
        <w:footnoteRef/>
      </w:r>
      <w:r w:rsidRPr="00904782">
        <w:t xml:space="preserve"> D.14-12-039, Appendix B.  </w:t>
      </w:r>
      <w:r w:rsidR="00E95EB4">
        <w:t>P.U.</w:t>
      </w:r>
      <w:r w:rsidRPr="00904782">
        <w:t xml:space="preserve"> Code section 281(h)(3) further states, “Not more than twenty million dollars shall be available to grants and loans to a publicly supported community to finance a project to connect a broadband network to that publicly supported community.”  This section does not define the meaning of “to connect a broadband network” nor is it clear that this would limit the program only to the repair of inadequate wiring. </w:t>
      </w:r>
    </w:p>
  </w:footnote>
  <w:footnote w:id="8">
    <w:p w14:paraId="18238ACA" w14:textId="77777777" w:rsidR="00D863AC" w:rsidRPr="00904782" w:rsidRDefault="00D863AC" w:rsidP="00DE73D1">
      <w:pPr>
        <w:pStyle w:val="FootnoteText"/>
      </w:pPr>
      <w:r w:rsidRPr="00904782">
        <w:rPr>
          <w:rStyle w:val="FootnoteReference"/>
        </w:rPr>
        <w:footnoteRef/>
      </w:r>
      <w:r w:rsidRPr="00904782">
        <w:t xml:space="preserve"> The public housing contractors have stated that their deployments do not interfere with the continued availability of pre-existing ISP services to residential units.</w:t>
      </w:r>
    </w:p>
  </w:footnote>
  <w:footnote w:id="9">
    <w:p w14:paraId="26903768" w14:textId="77777777" w:rsidR="00D863AC" w:rsidRPr="00904782" w:rsidRDefault="00D863AC">
      <w:pPr>
        <w:pStyle w:val="FootnoteText"/>
      </w:pPr>
      <w:r w:rsidRPr="00904782">
        <w:rPr>
          <w:rStyle w:val="FootnoteReference"/>
        </w:rPr>
        <w:footnoteRef/>
      </w:r>
      <w:r w:rsidRPr="00904782">
        <w:t xml:space="preserve"> D.14-12-039, Appendix B, </w:t>
      </w:r>
      <w:r w:rsidR="00631D66">
        <w:t xml:space="preserve">p. </w:t>
      </w:r>
      <w:r w:rsidRPr="00904782">
        <w:t>B14, which requires the applicant to identify its bandwidth source, either at the MPOE or its wireless equivalent.</w:t>
      </w:r>
    </w:p>
  </w:footnote>
  <w:footnote w:id="10">
    <w:p w14:paraId="05AA6A53" w14:textId="77777777" w:rsidR="00D863AC" w:rsidRPr="00904782" w:rsidRDefault="00D863AC" w:rsidP="005D3F92">
      <w:pPr>
        <w:pStyle w:val="FootnoteText"/>
      </w:pPr>
      <w:r w:rsidRPr="00904782">
        <w:rPr>
          <w:rStyle w:val="FootnoteReference"/>
        </w:rPr>
        <w:footnoteRef/>
      </w:r>
      <w:r w:rsidRPr="00904782">
        <w:t xml:space="preserve"> Housing unit numbers provided by HUD.  The housing choice voucher program is a federal government program which assists very low-income families, the elderly, and the disabled to afford decent, safe, and sanitary housing in the private market.  </w:t>
      </w:r>
    </w:p>
  </w:footnote>
  <w:footnote w:id="11">
    <w:p w14:paraId="75BDA7F3" w14:textId="6A8ACC8A" w:rsidR="00D863AC" w:rsidRPr="00904782" w:rsidRDefault="00D863AC" w:rsidP="005D3F92">
      <w:pPr>
        <w:pStyle w:val="FootnoteText"/>
      </w:pPr>
      <w:r w:rsidRPr="00904782">
        <w:rPr>
          <w:rStyle w:val="FootnoteReference"/>
        </w:rPr>
        <w:footnoteRef/>
      </w:r>
      <w:r w:rsidRPr="00904782">
        <w:t xml:space="preserve"> Number served indicated in the HACSB 2015 annual report (</w:t>
      </w:r>
      <w:hyperlink r:id="rId1" w:history="1">
        <w:r w:rsidRPr="00904782">
          <w:rPr>
            <w:rStyle w:val="Hyperlink"/>
          </w:rPr>
          <w:t>http://ww2.hacsb.com/news-reports/annual-reports</w:t>
        </w:r>
      </w:hyperlink>
      <w:r w:rsidRPr="00904782">
        <w:t>); Waitlist number provided by HACSB Deputy Director Rishad Mitha.</w:t>
      </w:r>
    </w:p>
  </w:footnote>
  <w:footnote w:id="12">
    <w:p w14:paraId="07E0FF28" w14:textId="77777777" w:rsidR="00D863AC" w:rsidRPr="00904782" w:rsidRDefault="00D863AC" w:rsidP="005D3F92">
      <w:pPr>
        <w:pStyle w:val="FootnoteText"/>
      </w:pPr>
      <w:r w:rsidRPr="00904782">
        <w:rPr>
          <w:rStyle w:val="FootnoteReference"/>
        </w:rPr>
        <w:footnoteRef/>
      </w:r>
      <w:r w:rsidRPr="00904782">
        <w:t xml:space="preserve"> As indicated by the applicant through provided circulars and direct communication.</w:t>
      </w:r>
    </w:p>
  </w:footnote>
  <w:footnote w:id="13">
    <w:p w14:paraId="5DA947F8" w14:textId="18FFBCC5" w:rsidR="00D863AC" w:rsidRPr="00904782" w:rsidRDefault="00D863AC">
      <w:pPr>
        <w:pStyle w:val="FootnoteText"/>
      </w:pPr>
      <w:r w:rsidRPr="00904782">
        <w:rPr>
          <w:rStyle w:val="FootnoteReference"/>
        </w:rPr>
        <w:footnoteRef/>
      </w:r>
      <w:r w:rsidRPr="00904782">
        <w:t xml:space="preserve"> Accessible on the Eden Housing website, </w:t>
      </w:r>
      <w:hyperlink r:id="rId2" w:history="1">
        <w:r w:rsidRPr="00904782">
          <w:rPr>
            <w:rStyle w:val="Hyperlink"/>
          </w:rPr>
          <w:t>http://www.edenhousing.org/</w:t>
        </w:r>
      </w:hyperlink>
      <w:r w:rsidRPr="00904782">
        <w:t xml:space="preserve">.  </w:t>
      </w:r>
    </w:p>
  </w:footnote>
  <w:footnote w:id="14">
    <w:p w14:paraId="423AD5E7" w14:textId="77777777" w:rsidR="00D863AC" w:rsidRPr="00904782" w:rsidRDefault="00D863AC" w:rsidP="000438D0">
      <w:pPr>
        <w:pStyle w:val="FootnoteText"/>
      </w:pPr>
      <w:r w:rsidRPr="00904782">
        <w:rPr>
          <w:rStyle w:val="FootnoteReference"/>
        </w:rPr>
        <w:footnoteRef/>
      </w:r>
      <w:r w:rsidRPr="00904782">
        <w:t xml:space="preserve"> </w:t>
      </w:r>
      <w:r w:rsidR="00711245" w:rsidRPr="00904782">
        <w:t xml:space="preserve">Backhaul refers to the side of the network that communicates with the global Internet.  </w:t>
      </w:r>
      <w:r w:rsidR="00711245">
        <w:t>In this situation, b</w:t>
      </w:r>
      <w:r w:rsidRPr="00904782">
        <w:t xml:space="preserve">ackhaul is provided by the contractor who will build out a point-to-point wireless system (not part of the grant) to deliver the backhaul to the property.    </w:t>
      </w:r>
    </w:p>
  </w:footnote>
  <w:footnote w:id="15">
    <w:p w14:paraId="662CCC77" w14:textId="77777777" w:rsidR="00D863AC" w:rsidRPr="00904782" w:rsidRDefault="00D863AC" w:rsidP="000438D0">
      <w:pPr>
        <w:pStyle w:val="FootnoteText"/>
      </w:pPr>
      <w:r w:rsidRPr="00904782">
        <w:rPr>
          <w:rStyle w:val="FootnoteReference"/>
        </w:rPr>
        <w:footnoteRef/>
      </w:r>
      <w:r w:rsidRPr="00904782">
        <w:t xml:space="preserve"> The installation of DSL may occur in buildings where there is existing DSL offered by an ISP.  Such installation does not impact any existing service.    </w:t>
      </w:r>
    </w:p>
  </w:footnote>
  <w:footnote w:id="16">
    <w:p w14:paraId="5FACF15B" w14:textId="77777777" w:rsidR="00D863AC" w:rsidRPr="00904782" w:rsidRDefault="00D863AC" w:rsidP="009A5C3A">
      <w:pPr>
        <w:pStyle w:val="FootnoteText"/>
      </w:pPr>
      <w:r w:rsidRPr="00904782">
        <w:rPr>
          <w:rStyle w:val="FootnoteReference"/>
        </w:rPr>
        <w:footnoteRef/>
      </w:r>
      <w:r w:rsidRPr="00904782">
        <w:t xml:space="preserve"> A mesh network is composed of small radio transmitters (nodes) that function in the same way as a wireless router.  Nodes use a common WiFi standard (802.11n) to communicate wirelessly with end users and with each other.  These nodes dynamically route communications from the end user to the gateway router, finding the shortest and safest route.  </w:t>
      </w:r>
    </w:p>
  </w:footnote>
  <w:footnote w:id="17">
    <w:p w14:paraId="08B42121" w14:textId="77777777" w:rsidR="00D863AC" w:rsidRPr="00904782" w:rsidRDefault="00D863AC" w:rsidP="000438D0">
      <w:pPr>
        <w:pStyle w:val="FootnoteText"/>
      </w:pPr>
      <w:r w:rsidRPr="00904782">
        <w:rPr>
          <w:rStyle w:val="FootnoteReference"/>
        </w:rPr>
        <w:footnoteRef/>
      </w:r>
      <w:r w:rsidRPr="00904782">
        <w:t xml:space="preserve"> Contractor Greenfield Communications tier rates download/upload:  Basic: $20 per month 10 mbps/5 mbps; Intermediate: $32.99 per month 15 mbps/10 mbps; Unlimited: $40 per month 20 mbps/10mbps.  </w:t>
      </w:r>
    </w:p>
  </w:footnote>
  <w:footnote w:id="18">
    <w:p w14:paraId="0167A624" w14:textId="22FD1B31" w:rsidR="00D863AC" w:rsidRPr="00904782" w:rsidRDefault="00D863AC" w:rsidP="000A7114">
      <w:pPr>
        <w:pStyle w:val="FootnoteText"/>
      </w:pPr>
      <w:r w:rsidRPr="00904782">
        <w:rPr>
          <w:rStyle w:val="FootnoteReference"/>
        </w:rPr>
        <w:footnoteRef/>
      </w:r>
      <w:r w:rsidRPr="00904782">
        <w:t xml:space="preserve"> </w:t>
      </w:r>
      <w:hyperlink r:id="rId3" w:history="1">
        <w:r w:rsidRPr="00904782">
          <w:rPr>
            <w:rStyle w:val="Hyperlink"/>
          </w:rPr>
          <w:t>http://www.cpuc.ca.gov/General.aspx?id=908</w:t>
        </w:r>
      </w:hyperlink>
      <w:r w:rsidRPr="00904782">
        <w:t xml:space="preserve"> </w:t>
      </w:r>
    </w:p>
  </w:footnote>
  <w:footnote w:id="19">
    <w:p w14:paraId="005D5A92" w14:textId="77777777" w:rsidR="00D863AC" w:rsidRPr="00904782" w:rsidRDefault="00D863AC" w:rsidP="00763D1D">
      <w:pPr>
        <w:pStyle w:val="FootnoteText"/>
      </w:pPr>
      <w:r w:rsidRPr="00904782">
        <w:rPr>
          <w:rStyle w:val="FootnoteReference"/>
        </w:rPr>
        <w:footnoteRef/>
      </w:r>
      <w:r>
        <w:t xml:space="preserve"> </w:t>
      </w:r>
      <w:r w:rsidR="00E95EB4">
        <w:t>P.U.</w:t>
      </w:r>
      <w:r>
        <w:t xml:space="preserve"> Code § 281</w:t>
      </w:r>
      <w:r w:rsidRPr="00904782">
        <w:t xml:space="preserve">(h)(3).  </w:t>
      </w:r>
    </w:p>
  </w:footnote>
  <w:footnote w:id="20">
    <w:p w14:paraId="18683BF4" w14:textId="77777777" w:rsidR="00D863AC" w:rsidRPr="00904782" w:rsidRDefault="00D863AC" w:rsidP="003D2625">
      <w:pPr>
        <w:pStyle w:val="FootnoteText"/>
      </w:pPr>
      <w:r w:rsidRPr="00904782">
        <w:rPr>
          <w:rStyle w:val="FootnoteReference"/>
        </w:rPr>
        <w:footnoteRef/>
      </w:r>
      <w:r w:rsidRPr="00904782">
        <w:t xml:space="preserve"> D.14-12-039, Appendix B, pp. B13-14.</w:t>
      </w:r>
    </w:p>
  </w:footnote>
  <w:footnote w:id="21">
    <w:p w14:paraId="71D0C55B" w14:textId="77777777" w:rsidR="00D863AC" w:rsidRPr="00904782" w:rsidRDefault="00D863AC" w:rsidP="00EE38A2">
      <w:pPr>
        <w:pStyle w:val="FootnoteText"/>
      </w:pPr>
      <w:r w:rsidRPr="00904782">
        <w:rPr>
          <w:rStyle w:val="FootnoteReference"/>
        </w:rPr>
        <w:footnoteRef/>
      </w:r>
      <w:r>
        <w:t xml:space="preserve"> </w:t>
      </w:r>
      <w:r w:rsidR="00E95EB4">
        <w:t>P.U.</w:t>
      </w:r>
      <w:r w:rsidRPr="00904782">
        <w:t xml:space="preserve"> Code § 281(h)(3)  </w:t>
      </w:r>
    </w:p>
  </w:footnote>
  <w:footnote w:id="22">
    <w:p w14:paraId="713033F5" w14:textId="77777777" w:rsidR="00D863AC" w:rsidRPr="00904782" w:rsidRDefault="00D863AC">
      <w:pPr>
        <w:pStyle w:val="FootnoteText"/>
      </w:pPr>
      <w:r w:rsidRPr="00904782">
        <w:rPr>
          <w:rStyle w:val="FootnoteReference"/>
        </w:rPr>
        <w:footnoteRef/>
      </w:r>
      <w:r>
        <w:t xml:space="preserve"> </w:t>
      </w:r>
      <w:r w:rsidR="00E95EB4">
        <w:t>P.U.</w:t>
      </w:r>
      <w:r>
        <w:t xml:space="preserve"> Code § 281(h)(3); </w:t>
      </w:r>
      <w:r w:rsidRPr="00904782">
        <w:t>D.14-12-039, Appendix B, p. B13.</w:t>
      </w:r>
    </w:p>
  </w:footnote>
  <w:footnote w:id="23">
    <w:p w14:paraId="6146409A" w14:textId="77777777" w:rsidR="00D863AC" w:rsidRPr="00904782" w:rsidRDefault="00D863AC">
      <w:pPr>
        <w:pStyle w:val="FootnoteText"/>
      </w:pPr>
      <w:r w:rsidRPr="00904782">
        <w:rPr>
          <w:rStyle w:val="FootnoteReference"/>
        </w:rPr>
        <w:footnoteRef/>
      </w:r>
      <w:r w:rsidRPr="00904782">
        <w:t xml:space="preserve"> CD staff released its Final Staff Report Proposing Rules to Implement Program Changes to the California Advances Services Fund Initiated by AB 1299 in September 2014.  (D.14-12-039, Attachment A.)  The Final Staff Report further proposed a challenge process for BPHA for provider claims that they already provide access to the property in </w:t>
      </w:r>
      <w:r w:rsidR="00922DD4" w:rsidRPr="00904782">
        <w:t>question;</w:t>
      </w:r>
      <w:r w:rsidRPr="00904782">
        <w:t xml:space="preserve"> however, D.14-12-039 did n</w:t>
      </w:r>
      <w:r w:rsidR="00922DD4">
        <w:t xml:space="preserve">ot adopt this recommendation.  </w:t>
      </w:r>
      <w:r w:rsidRPr="00904782">
        <w:t>In D.14-12-039, the Commission adopted the Guidelines, which further amend the Final Staff Report and which represent requirements fo</w:t>
      </w:r>
      <w:r>
        <w:t>r eligibility under the BPHA.</w:t>
      </w:r>
    </w:p>
  </w:footnote>
  <w:footnote w:id="24">
    <w:p w14:paraId="5F2944DC" w14:textId="77777777" w:rsidR="00D863AC" w:rsidRDefault="00D863AC">
      <w:pPr>
        <w:pStyle w:val="FootnoteText"/>
      </w:pPr>
      <w:r>
        <w:rPr>
          <w:rStyle w:val="FootnoteReference"/>
        </w:rPr>
        <w:footnoteRef/>
      </w:r>
      <w:r>
        <w:t xml:space="preserve"> </w:t>
      </w:r>
      <w:r w:rsidR="00E95EB4">
        <w:t>P.U.</w:t>
      </w:r>
      <w:r>
        <w:t xml:space="preserve"> Code </w:t>
      </w:r>
      <w:r w:rsidRPr="00904782">
        <w:t>§</w:t>
      </w:r>
      <w:r>
        <w:t xml:space="preserve"> 281(h)(3); D.14-12-039, Appendix B, p. B13.</w:t>
      </w:r>
    </w:p>
  </w:footnote>
  <w:footnote w:id="25">
    <w:p w14:paraId="4D43A1DC" w14:textId="77777777" w:rsidR="00D863AC" w:rsidRPr="00904782" w:rsidRDefault="00D863AC">
      <w:pPr>
        <w:pStyle w:val="FootnoteText"/>
      </w:pPr>
      <w:r w:rsidRPr="00904782">
        <w:rPr>
          <w:rStyle w:val="FootnoteReference"/>
        </w:rPr>
        <w:footnoteRef/>
      </w:r>
      <w:r w:rsidRPr="00904782">
        <w:t xml:space="preserve"> </w:t>
      </w:r>
      <w:r w:rsidR="00922DD4" w:rsidRPr="00904782">
        <w:t>CD notes that Section 281(b)(2) states “In approving infrastructure projects, the commission shall give priority to projects that provide last-mile broadband access and any party challenging an application, the opportunity to demonstrate actual levels of broadban</w:t>
      </w:r>
      <w:r w:rsidR="00922DD4">
        <w:t>d service in the project area…</w:t>
      </w:r>
      <w:r w:rsidR="00922DD4" w:rsidRPr="00904782">
        <w:t xml:space="preserve">” </w:t>
      </w:r>
      <w:r w:rsidRPr="00904782">
        <w:t>CD distinguishes this provision from the BPHA, and acknowledges there is specific criteria set forth for the BPHA that differs from the statue as a whol</w:t>
      </w:r>
      <w:r>
        <w:t xml:space="preserve">e.  (Section 281(h)(3).)  CD </w:t>
      </w:r>
      <w:r w:rsidRPr="00904782">
        <w:t xml:space="preserve">further believes that Section 281(b)(2) does not apply to the BPHA nor does it serve as a basis to challenge an application given that the BPHA does not include projects that provide last mile broadband access to households that are unserved, and the actual levels of broadband service in the project areas are lower than levels required for other accounts.  </w:t>
      </w:r>
    </w:p>
  </w:footnote>
  <w:footnote w:id="26">
    <w:p w14:paraId="36A54B04" w14:textId="77777777" w:rsidR="00D863AC" w:rsidRDefault="00D863AC">
      <w:pPr>
        <w:pStyle w:val="FootnoteText"/>
      </w:pPr>
      <w:r>
        <w:rPr>
          <w:rStyle w:val="FootnoteReference"/>
        </w:rPr>
        <w:footnoteRef/>
      </w:r>
      <w:r>
        <w:t xml:space="preserve"> D.14-12-039, Appendix B, pp. B 13-14.</w:t>
      </w:r>
    </w:p>
  </w:footnote>
  <w:footnote w:id="27">
    <w:p w14:paraId="7E3BA6F9" w14:textId="77777777" w:rsidR="00D863AC" w:rsidRPr="00904782" w:rsidRDefault="00D863AC" w:rsidP="00846D53">
      <w:pPr>
        <w:pStyle w:val="FootnoteText"/>
      </w:pPr>
      <w:r w:rsidRPr="00904782">
        <w:rPr>
          <w:rStyle w:val="FootnoteReference"/>
        </w:rPr>
        <w:footnoteRef/>
      </w:r>
      <w:r w:rsidRPr="00904782">
        <w:t xml:space="preserve"> </w:t>
      </w:r>
      <w:r w:rsidR="00E95EB4">
        <w:t>P.U.</w:t>
      </w:r>
      <w:r w:rsidRPr="00904782">
        <w:t xml:space="preserve"> Code § 270.</w:t>
      </w:r>
    </w:p>
  </w:footnote>
  <w:footnote w:id="28">
    <w:p w14:paraId="5181AC72" w14:textId="77777777" w:rsidR="00D863AC" w:rsidRPr="00904782" w:rsidRDefault="00D863AC" w:rsidP="00846D53">
      <w:pPr>
        <w:pStyle w:val="FootnoteText"/>
      </w:pPr>
      <w:r w:rsidRPr="00904782">
        <w:rPr>
          <w:rStyle w:val="FootnoteReference"/>
        </w:rPr>
        <w:footnoteRef/>
      </w:r>
      <w:r w:rsidRPr="00904782">
        <w:t xml:space="preserve"> D.14-12-039, Appendix B, p. B15.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F7FBC" w14:textId="77777777" w:rsidR="00AB2FC5" w:rsidRDefault="00AB2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1B677" w14:textId="77777777" w:rsidR="00D863AC" w:rsidRPr="00674E84" w:rsidRDefault="00D863AC"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T-17515</w:t>
    </w:r>
    <w:r>
      <w:rPr>
        <w:rFonts w:ascii="Palatino" w:hAnsi="Palatino"/>
      </w:rPr>
      <w:tab/>
      <w:t>DRAFT</w:t>
    </w:r>
    <w:r>
      <w:rPr>
        <w:rFonts w:ascii="Palatino" w:hAnsi="Palatino"/>
      </w:rPr>
      <w:tab/>
    </w:r>
    <w:r>
      <w:rPr>
        <w:rFonts w:ascii="Palatino" w:hAnsi="Palatino"/>
      </w:rPr>
      <w:tab/>
      <w:t xml:space="preserve">      </w:t>
    </w:r>
    <w:r w:rsidR="00072772">
      <w:rPr>
        <w:rFonts w:ascii="Palatino" w:hAnsi="Palatino"/>
      </w:rPr>
      <w:t>6/9</w:t>
    </w:r>
    <w:r>
      <w:rPr>
        <w:rFonts w:ascii="Palatino" w:hAnsi="Palatino"/>
      </w:rPr>
      <w:t xml:space="preserve">/16  </w:t>
    </w:r>
    <w:r>
      <w:rPr>
        <w:b/>
      </w:rPr>
      <w:tab/>
    </w:r>
  </w:p>
  <w:p w14:paraId="4C21F3F5" w14:textId="77777777" w:rsidR="00D863AC" w:rsidRDefault="00D863AC" w:rsidP="003B1DBD">
    <w:pPr>
      <w:pStyle w:val="Header"/>
      <w:tabs>
        <w:tab w:val="clear" w:pos="8640"/>
        <w:tab w:val="right" w:pos="9360"/>
      </w:tabs>
    </w:pPr>
    <w:r>
      <w:t>CD/WG1</w:t>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3962" w14:textId="25974261" w:rsidR="00D863AC" w:rsidRPr="00674E84" w:rsidRDefault="00D863AC" w:rsidP="003C722F">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T-17515</w:t>
    </w:r>
    <w:r>
      <w:rPr>
        <w:rFonts w:ascii="Palatino" w:hAnsi="Palatino"/>
      </w:rPr>
      <w:tab/>
      <w:t>DRAFT</w:t>
    </w:r>
    <w:r>
      <w:rPr>
        <w:rFonts w:ascii="Palatino" w:hAnsi="Palatino"/>
      </w:rPr>
      <w:tab/>
    </w:r>
    <w:r>
      <w:rPr>
        <w:rFonts w:ascii="Palatino" w:hAnsi="Palatino"/>
      </w:rPr>
      <w:tab/>
      <w:t xml:space="preserve">      Agenda ID#</w:t>
    </w:r>
    <w:r w:rsidR="0048796B">
      <w:rPr>
        <w:rFonts w:ascii="Palatino" w:hAnsi="Palatino"/>
      </w:rPr>
      <w:t>14877</w:t>
    </w:r>
    <w:r>
      <w:rPr>
        <w:rFonts w:ascii="Palatino" w:hAnsi="Palatino"/>
      </w:rPr>
      <w:t xml:space="preserve">  </w:t>
    </w:r>
    <w:r>
      <w:rPr>
        <w:b/>
      </w:rPr>
      <w:tab/>
    </w:r>
  </w:p>
  <w:p w14:paraId="741239B8" w14:textId="77777777" w:rsidR="00D863AC" w:rsidRDefault="00D863AC" w:rsidP="003C722F">
    <w:pPr>
      <w:pStyle w:val="Header"/>
    </w:pPr>
    <w:r>
      <w:t>CD/WG1</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BF190" w14:textId="77777777" w:rsidR="00D863AC" w:rsidRPr="00674E84" w:rsidRDefault="00D863AC"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T-17515</w:t>
    </w:r>
    <w:r>
      <w:rPr>
        <w:rFonts w:ascii="Palatino" w:hAnsi="Palatino"/>
      </w:rPr>
      <w:tab/>
    </w:r>
    <w:r>
      <w:rPr>
        <w:rFonts w:ascii="Palatino" w:hAnsi="Palatino"/>
      </w:rPr>
      <w:tab/>
      <w:t xml:space="preserve">      </w:t>
    </w:r>
    <w:r>
      <w:rPr>
        <w:b/>
      </w:rPr>
      <w:tab/>
    </w:r>
  </w:p>
  <w:p w14:paraId="4EAEDEFA" w14:textId="77777777" w:rsidR="00D863AC" w:rsidRDefault="00D863AC" w:rsidP="003B1DBD">
    <w:pPr>
      <w:pStyle w:val="Header"/>
      <w:tabs>
        <w:tab w:val="clear" w:pos="8640"/>
        <w:tab w:val="right" w:pos="9360"/>
      </w:tabs>
    </w:pPr>
    <w:r>
      <w:t>CD/WG1</w:t>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AD749" w14:textId="77777777" w:rsidR="00D863AC" w:rsidRPr="00166DE1" w:rsidRDefault="00D863AC" w:rsidP="00166D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35DC" w14:textId="77777777" w:rsidR="00D863AC" w:rsidRPr="00EA49DC" w:rsidRDefault="00D863AC" w:rsidP="003C58E4">
    <w:pPr>
      <w:pStyle w:val="Header"/>
      <w:rPr>
        <w:sz w:val="22"/>
        <w:szCs w:val="22"/>
      </w:rPr>
    </w:pPr>
    <w:r w:rsidRPr="00EA49DC">
      <w:rPr>
        <w:sz w:val="22"/>
        <w:szCs w:val="22"/>
      </w:rPr>
      <w:t>Resolution T-17</w:t>
    </w:r>
    <w:r>
      <w:rPr>
        <w:sz w:val="22"/>
        <w:szCs w:val="22"/>
      </w:rPr>
      <w:t>515</w:t>
    </w:r>
    <w:r w:rsidRPr="00EA49DC">
      <w:rPr>
        <w:sz w:val="22"/>
        <w:szCs w:val="22"/>
      </w:rPr>
      <w:tab/>
    </w:r>
    <w:r w:rsidRPr="00EA49DC">
      <w:rPr>
        <w:sz w:val="22"/>
        <w:szCs w:val="22"/>
      </w:rPr>
      <w:tab/>
    </w:r>
  </w:p>
  <w:p w14:paraId="2AD7E8BA" w14:textId="77777777" w:rsidR="00D863AC" w:rsidRDefault="00D863AC" w:rsidP="003C58E4">
    <w:pPr>
      <w:pStyle w:val="Header"/>
    </w:pPr>
    <w:r>
      <w:rPr>
        <w:sz w:val="22"/>
        <w:szCs w:val="22"/>
      </w:rPr>
      <w:t>CD/WG1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3F6A" w14:textId="77777777" w:rsidR="00D863AC" w:rsidRPr="00EA49DC" w:rsidRDefault="00D863AC" w:rsidP="003C58E4">
    <w:pPr>
      <w:pStyle w:val="Header"/>
      <w:rPr>
        <w:sz w:val="22"/>
        <w:szCs w:val="22"/>
      </w:rPr>
    </w:pPr>
    <w:r w:rsidRPr="00EA49DC">
      <w:rPr>
        <w:sz w:val="22"/>
        <w:szCs w:val="22"/>
      </w:rPr>
      <w:t>Resolution T-17</w:t>
    </w:r>
    <w:r>
      <w:rPr>
        <w:sz w:val="22"/>
        <w:szCs w:val="22"/>
      </w:rPr>
      <w:t>515</w:t>
    </w:r>
    <w:r w:rsidRPr="00EA49DC">
      <w:rPr>
        <w:sz w:val="22"/>
        <w:szCs w:val="22"/>
      </w:rPr>
      <w:tab/>
    </w:r>
    <w:r w:rsidRPr="00EA49DC">
      <w:rPr>
        <w:sz w:val="22"/>
        <w:szCs w:val="22"/>
      </w:rPr>
      <w:tab/>
    </w:r>
  </w:p>
  <w:p w14:paraId="65BCC003" w14:textId="77777777" w:rsidR="00D863AC" w:rsidRDefault="00D863AC" w:rsidP="003C58E4">
    <w:pPr>
      <w:pStyle w:val="Header"/>
    </w:pPr>
    <w:r>
      <w:rPr>
        <w:sz w:val="22"/>
        <w:szCs w:val="22"/>
      </w:rPr>
      <w:t>CD/WG1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26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nsid w:val="0000000B"/>
    <w:multiLevelType w:val="singleLevel"/>
    <w:tmpl w:val="0000000B"/>
    <w:name w:val="WW8Num12"/>
    <w:lvl w:ilvl="0">
      <w:start w:val="1"/>
      <w:numFmt w:val="bullet"/>
      <w:lvlText w:val=""/>
      <w:lvlJc w:val="left"/>
      <w:pPr>
        <w:tabs>
          <w:tab w:val="num" w:pos="0"/>
        </w:tabs>
        <w:ind w:left="1080" w:hanging="360"/>
      </w:pPr>
      <w:rPr>
        <w:rFonts w:ascii="Wingdings" w:hAnsi="Wingdings" w:cs="Wingdings" w:hint="default"/>
        <w:color w:val="auto"/>
        <w:sz w:val="24"/>
        <w:szCs w:val="24"/>
      </w:rPr>
    </w:lvl>
  </w:abstractNum>
  <w:abstractNum w:abstractNumId="3">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4">
    <w:nsid w:val="07211AEE"/>
    <w:multiLevelType w:val="hybridMultilevel"/>
    <w:tmpl w:val="D0CEE69C"/>
    <w:lvl w:ilvl="0" w:tplc="F44C94EC">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8F26794"/>
    <w:multiLevelType w:val="hybridMultilevel"/>
    <w:tmpl w:val="7026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F4DE4"/>
    <w:multiLevelType w:val="hybridMultilevel"/>
    <w:tmpl w:val="4D88E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84C1B"/>
    <w:multiLevelType w:val="hybridMultilevel"/>
    <w:tmpl w:val="796A6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A333C"/>
    <w:multiLevelType w:val="hybridMultilevel"/>
    <w:tmpl w:val="C2327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4121A"/>
    <w:multiLevelType w:val="hybridMultilevel"/>
    <w:tmpl w:val="43A6B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000B2"/>
    <w:multiLevelType w:val="hybridMultilevel"/>
    <w:tmpl w:val="C3C616DA"/>
    <w:lvl w:ilvl="0" w:tplc="E9C605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90CDB"/>
    <w:multiLevelType w:val="hybridMultilevel"/>
    <w:tmpl w:val="FA7E3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E17BC"/>
    <w:multiLevelType w:val="hybridMultilevel"/>
    <w:tmpl w:val="14543830"/>
    <w:lvl w:ilvl="0" w:tplc="E98A193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D3A71"/>
    <w:multiLevelType w:val="hybridMultilevel"/>
    <w:tmpl w:val="83D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C0B68"/>
    <w:multiLevelType w:val="hybridMultilevel"/>
    <w:tmpl w:val="17BA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11BB7"/>
    <w:multiLevelType w:val="hybridMultilevel"/>
    <w:tmpl w:val="C56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610040"/>
    <w:multiLevelType w:val="hybridMultilevel"/>
    <w:tmpl w:val="561AA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22F7A"/>
    <w:multiLevelType w:val="hybridMultilevel"/>
    <w:tmpl w:val="94B8E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E473A"/>
    <w:multiLevelType w:val="hybridMultilevel"/>
    <w:tmpl w:val="644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0508F"/>
    <w:multiLevelType w:val="hybridMultilevel"/>
    <w:tmpl w:val="ED58F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05C46"/>
    <w:multiLevelType w:val="hybridMultilevel"/>
    <w:tmpl w:val="D94AA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A36BE"/>
    <w:multiLevelType w:val="hybridMultilevel"/>
    <w:tmpl w:val="E750AA5A"/>
    <w:lvl w:ilvl="0" w:tplc="33BC3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23FB7"/>
    <w:multiLevelType w:val="hybridMultilevel"/>
    <w:tmpl w:val="19B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77945"/>
    <w:multiLevelType w:val="hybridMultilevel"/>
    <w:tmpl w:val="F35EDDDA"/>
    <w:lvl w:ilvl="0" w:tplc="9390A1DC">
      <w:start w:val="1"/>
      <w:numFmt w:val="decimal"/>
      <w:lvlText w:val="%1."/>
      <w:lvlJc w:val="left"/>
      <w:pPr>
        <w:tabs>
          <w:tab w:val="num" w:pos="240"/>
        </w:tabs>
        <w:ind w:left="240" w:hanging="600"/>
      </w:pPr>
      <w:rPr>
        <w:rFonts w:ascii="Palatino Linotype" w:eastAsia="Times New Roman" w:hAnsi="Palatino Linotype" w:cs="Times New Roman"/>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E9806F9"/>
    <w:multiLevelType w:val="hybridMultilevel"/>
    <w:tmpl w:val="3F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E565B"/>
    <w:multiLevelType w:val="hybridMultilevel"/>
    <w:tmpl w:val="E3B08222"/>
    <w:lvl w:ilvl="0" w:tplc="1924E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1026A2"/>
    <w:multiLevelType w:val="hybridMultilevel"/>
    <w:tmpl w:val="B494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EB7C69"/>
    <w:multiLevelType w:val="hybridMultilevel"/>
    <w:tmpl w:val="356AB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70F80"/>
    <w:multiLevelType w:val="hybridMultilevel"/>
    <w:tmpl w:val="ACDE3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759A5"/>
    <w:multiLevelType w:val="hybridMultilevel"/>
    <w:tmpl w:val="0568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45AEB"/>
    <w:multiLevelType w:val="hybridMultilevel"/>
    <w:tmpl w:val="5D2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04EB9"/>
    <w:multiLevelType w:val="hybridMultilevel"/>
    <w:tmpl w:val="8BF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575A1B"/>
    <w:multiLevelType w:val="hybridMultilevel"/>
    <w:tmpl w:val="45B8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96866"/>
    <w:multiLevelType w:val="hybridMultilevel"/>
    <w:tmpl w:val="7146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E6706"/>
    <w:multiLevelType w:val="hybridMultilevel"/>
    <w:tmpl w:val="E5C443C8"/>
    <w:lvl w:ilvl="0" w:tplc="32460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44280F"/>
    <w:multiLevelType w:val="hybridMultilevel"/>
    <w:tmpl w:val="473E8062"/>
    <w:lvl w:ilvl="0" w:tplc="F436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560BC4"/>
    <w:multiLevelType w:val="hybridMultilevel"/>
    <w:tmpl w:val="EC087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C46083"/>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C61B0B"/>
    <w:multiLevelType w:val="hybridMultilevel"/>
    <w:tmpl w:val="940AC9CE"/>
    <w:lvl w:ilvl="0" w:tplc="99B2C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44C53"/>
    <w:multiLevelType w:val="hybridMultilevel"/>
    <w:tmpl w:val="83BC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3A172E"/>
    <w:multiLevelType w:val="hybridMultilevel"/>
    <w:tmpl w:val="241C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8327DC"/>
    <w:multiLevelType w:val="hybridMultilevel"/>
    <w:tmpl w:val="20D26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B51924"/>
    <w:multiLevelType w:val="hybridMultilevel"/>
    <w:tmpl w:val="0F7A3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85BC8"/>
    <w:multiLevelType w:val="hybridMultilevel"/>
    <w:tmpl w:val="A93E5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23"/>
  </w:num>
  <w:num w:numId="4">
    <w:abstractNumId w:val="15"/>
  </w:num>
  <w:num w:numId="5">
    <w:abstractNumId w:val="40"/>
  </w:num>
  <w:num w:numId="6">
    <w:abstractNumId w:val="13"/>
  </w:num>
  <w:num w:numId="7">
    <w:abstractNumId w:val="28"/>
  </w:num>
  <w:num w:numId="8">
    <w:abstractNumId w:val="42"/>
  </w:num>
  <w:num w:numId="9">
    <w:abstractNumId w:val="5"/>
  </w:num>
  <w:num w:numId="10">
    <w:abstractNumId w:val="30"/>
  </w:num>
  <w:num w:numId="11">
    <w:abstractNumId w:val="0"/>
  </w:num>
  <w:num w:numId="12">
    <w:abstractNumId w:val="12"/>
  </w:num>
  <w:num w:numId="13">
    <w:abstractNumId w:val="41"/>
  </w:num>
  <w:num w:numId="14">
    <w:abstractNumId w:val="25"/>
  </w:num>
  <w:num w:numId="15">
    <w:abstractNumId w:val="32"/>
  </w:num>
  <w:num w:numId="16">
    <w:abstractNumId w:val="31"/>
  </w:num>
  <w:num w:numId="17">
    <w:abstractNumId w:val="26"/>
  </w:num>
  <w:num w:numId="18">
    <w:abstractNumId w:val="39"/>
  </w:num>
  <w:num w:numId="19">
    <w:abstractNumId w:val="22"/>
  </w:num>
  <w:num w:numId="20">
    <w:abstractNumId w:val="35"/>
  </w:num>
  <w:num w:numId="21">
    <w:abstractNumId w:val="44"/>
  </w:num>
  <w:num w:numId="22">
    <w:abstractNumId w:val="33"/>
  </w:num>
  <w:num w:numId="23">
    <w:abstractNumId w:val="46"/>
  </w:num>
  <w:num w:numId="24">
    <w:abstractNumId w:val="34"/>
  </w:num>
  <w:num w:numId="25">
    <w:abstractNumId w:val="21"/>
  </w:num>
  <w:num w:numId="26">
    <w:abstractNumId w:val="9"/>
  </w:num>
  <w:num w:numId="27">
    <w:abstractNumId w:val="27"/>
  </w:num>
  <w:num w:numId="28">
    <w:abstractNumId w:val="8"/>
  </w:num>
  <w:num w:numId="29">
    <w:abstractNumId w:val="16"/>
  </w:num>
  <w:num w:numId="30">
    <w:abstractNumId w:val="43"/>
  </w:num>
  <w:num w:numId="31">
    <w:abstractNumId w:val="11"/>
  </w:num>
  <w:num w:numId="32">
    <w:abstractNumId w:val="6"/>
  </w:num>
  <w:num w:numId="33">
    <w:abstractNumId w:val="14"/>
  </w:num>
  <w:num w:numId="34">
    <w:abstractNumId w:val="19"/>
  </w:num>
  <w:num w:numId="35">
    <w:abstractNumId w:val="7"/>
  </w:num>
  <w:num w:numId="36">
    <w:abstractNumId w:val="17"/>
  </w:num>
  <w:num w:numId="37">
    <w:abstractNumId w:val="37"/>
  </w:num>
  <w:num w:numId="38">
    <w:abstractNumId w:val="29"/>
  </w:num>
  <w:num w:numId="39">
    <w:abstractNumId w:val="20"/>
  </w:num>
  <w:num w:numId="40">
    <w:abstractNumId w:val="36"/>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8"/>
  </w:num>
  <w:num w:numId="44">
    <w:abstractNumId w:val="10"/>
  </w:num>
  <w:num w:numId="45">
    <w:abstractNumId w:val="2"/>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676"/>
    <w:rsid w:val="00003997"/>
    <w:rsid w:val="00003B52"/>
    <w:rsid w:val="0000410B"/>
    <w:rsid w:val="00005A55"/>
    <w:rsid w:val="00006AE0"/>
    <w:rsid w:val="00013029"/>
    <w:rsid w:val="00013DE0"/>
    <w:rsid w:val="00014683"/>
    <w:rsid w:val="000148A8"/>
    <w:rsid w:val="000156EC"/>
    <w:rsid w:val="00015AD3"/>
    <w:rsid w:val="0001673D"/>
    <w:rsid w:val="0001742D"/>
    <w:rsid w:val="0001798F"/>
    <w:rsid w:val="00021927"/>
    <w:rsid w:val="00021C9C"/>
    <w:rsid w:val="00021D1D"/>
    <w:rsid w:val="00023A7C"/>
    <w:rsid w:val="00024AFF"/>
    <w:rsid w:val="0002754E"/>
    <w:rsid w:val="000279D2"/>
    <w:rsid w:val="0003197C"/>
    <w:rsid w:val="000325A8"/>
    <w:rsid w:val="00033467"/>
    <w:rsid w:val="000369E7"/>
    <w:rsid w:val="000405FD"/>
    <w:rsid w:val="0004177E"/>
    <w:rsid w:val="00042335"/>
    <w:rsid w:val="000438D0"/>
    <w:rsid w:val="00045062"/>
    <w:rsid w:val="000454E8"/>
    <w:rsid w:val="00045654"/>
    <w:rsid w:val="000462B4"/>
    <w:rsid w:val="000468A4"/>
    <w:rsid w:val="0005508C"/>
    <w:rsid w:val="000559CD"/>
    <w:rsid w:val="00055A75"/>
    <w:rsid w:val="000571D5"/>
    <w:rsid w:val="0006023A"/>
    <w:rsid w:val="00061C68"/>
    <w:rsid w:val="0006338B"/>
    <w:rsid w:val="00063659"/>
    <w:rsid w:val="000652D7"/>
    <w:rsid w:val="000652EA"/>
    <w:rsid w:val="00065CA3"/>
    <w:rsid w:val="00066B61"/>
    <w:rsid w:val="00067039"/>
    <w:rsid w:val="00072772"/>
    <w:rsid w:val="000733B2"/>
    <w:rsid w:val="0007379A"/>
    <w:rsid w:val="00073EC5"/>
    <w:rsid w:val="00074DC7"/>
    <w:rsid w:val="000751EA"/>
    <w:rsid w:val="00075B1E"/>
    <w:rsid w:val="00075FA1"/>
    <w:rsid w:val="00076162"/>
    <w:rsid w:val="00076B51"/>
    <w:rsid w:val="00077CEE"/>
    <w:rsid w:val="000800CC"/>
    <w:rsid w:val="00080294"/>
    <w:rsid w:val="00080840"/>
    <w:rsid w:val="00082101"/>
    <w:rsid w:val="000827F0"/>
    <w:rsid w:val="00082FA3"/>
    <w:rsid w:val="00084C73"/>
    <w:rsid w:val="00085712"/>
    <w:rsid w:val="000859EC"/>
    <w:rsid w:val="00087431"/>
    <w:rsid w:val="00087AFA"/>
    <w:rsid w:val="00090BDA"/>
    <w:rsid w:val="00092868"/>
    <w:rsid w:val="00092F18"/>
    <w:rsid w:val="00095112"/>
    <w:rsid w:val="00095A4F"/>
    <w:rsid w:val="000960F4"/>
    <w:rsid w:val="0009641A"/>
    <w:rsid w:val="00096DEF"/>
    <w:rsid w:val="000A059A"/>
    <w:rsid w:val="000A08C2"/>
    <w:rsid w:val="000A1D9F"/>
    <w:rsid w:val="000A250F"/>
    <w:rsid w:val="000A2836"/>
    <w:rsid w:val="000A67E7"/>
    <w:rsid w:val="000A7114"/>
    <w:rsid w:val="000A77DF"/>
    <w:rsid w:val="000B02D8"/>
    <w:rsid w:val="000B0987"/>
    <w:rsid w:val="000B1441"/>
    <w:rsid w:val="000B1EDE"/>
    <w:rsid w:val="000B2233"/>
    <w:rsid w:val="000B41DB"/>
    <w:rsid w:val="000B4D28"/>
    <w:rsid w:val="000B57FA"/>
    <w:rsid w:val="000B5A0D"/>
    <w:rsid w:val="000B6DD6"/>
    <w:rsid w:val="000B7070"/>
    <w:rsid w:val="000C0B92"/>
    <w:rsid w:val="000C0BC3"/>
    <w:rsid w:val="000C0FF3"/>
    <w:rsid w:val="000C2EB3"/>
    <w:rsid w:val="000C2FAB"/>
    <w:rsid w:val="000C4AD3"/>
    <w:rsid w:val="000C6055"/>
    <w:rsid w:val="000C70EF"/>
    <w:rsid w:val="000C7C37"/>
    <w:rsid w:val="000D1240"/>
    <w:rsid w:val="000D1C66"/>
    <w:rsid w:val="000D20AF"/>
    <w:rsid w:val="000D2598"/>
    <w:rsid w:val="000D4060"/>
    <w:rsid w:val="000D4A96"/>
    <w:rsid w:val="000D55C3"/>
    <w:rsid w:val="000D650C"/>
    <w:rsid w:val="000D66D1"/>
    <w:rsid w:val="000E0402"/>
    <w:rsid w:val="000E0614"/>
    <w:rsid w:val="000E159D"/>
    <w:rsid w:val="000E2FED"/>
    <w:rsid w:val="000E3EDA"/>
    <w:rsid w:val="000E4644"/>
    <w:rsid w:val="000E75B5"/>
    <w:rsid w:val="000F0161"/>
    <w:rsid w:val="000F11B6"/>
    <w:rsid w:val="000F32F8"/>
    <w:rsid w:val="000F4098"/>
    <w:rsid w:val="000F5608"/>
    <w:rsid w:val="0010055A"/>
    <w:rsid w:val="00100743"/>
    <w:rsid w:val="00100C10"/>
    <w:rsid w:val="00100C5F"/>
    <w:rsid w:val="001010D8"/>
    <w:rsid w:val="00102405"/>
    <w:rsid w:val="00103570"/>
    <w:rsid w:val="0010358E"/>
    <w:rsid w:val="00103642"/>
    <w:rsid w:val="00104186"/>
    <w:rsid w:val="00110237"/>
    <w:rsid w:val="00110655"/>
    <w:rsid w:val="00110B18"/>
    <w:rsid w:val="00110B51"/>
    <w:rsid w:val="0011387A"/>
    <w:rsid w:val="00113B18"/>
    <w:rsid w:val="00116F74"/>
    <w:rsid w:val="00117B3E"/>
    <w:rsid w:val="00117ED0"/>
    <w:rsid w:val="001201C6"/>
    <w:rsid w:val="00121866"/>
    <w:rsid w:val="001222D7"/>
    <w:rsid w:val="001229E3"/>
    <w:rsid w:val="001269A2"/>
    <w:rsid w:val="001269D6"/>
    <w:rsid w:val="001273CE"/>
    <w:rsid w:val="001276D7"/>
    <w:rsid w:val="001305B0"/>
    <w:rsid w:val="00131F8D"/>
    <w:rsid w:val="0013453C"/>
    <w:rsid w:val="00135FA2"/>
    <w:rsid w:val="00140B72"/>
    <w:rsid w:val="00143642"/>
    <w:rsid w:val="00143BFA"/>
    <w:rsid w:val="00145AEE"/>
    <w:rsid w:val="00146F8B"/>
    <w:rsid w:val="00153665"/>
    <w:rsid w:val="00153ADD"/>
    <w:rsid w:val="001566BE"/>
    <w:rsid w:val="0015670C"/>
    <w:rsid w:val="001618B7"/>
    <w:rsid w:val="00162B96"/>
    <w:rsid w:val="00163250"/>
    <w:rsid w:val="00163600"/>
    <w:rsid w:val="001640E9"/>
    <w:rsid w:val="00165068"/>
    <w:rsid w:val="001662FB"/>
    <w:rsid w:val="001663BD"/>
    <w:rsid w:val="00166DE1"/>
    <w:rsid w:val="00167A40"/>
    <w:rsid w:val="00170847"/>
    <w:rsid w:val="00174A2A"/>
    <w:rsid w:val="001766F3"/>
    <w:rsid w:val="00181A72"/>
    <w:rsid w:val="00182DB2"/>
    <w:rsid w:val="00182EBA"/>
    <w:rsid w:val="00184602"/>
    <w:rsid w:val="00184806"/>
    <w:rsid w:val="00184DCB"/>
    <w:rsid w:val="00185A5C"/>
    <w:rsid w:val="00190B50"/>
    <w:rsid w:val="00190C5E"/>
    <w:rsid w:val="001923DE"/>
    <w:rsid w:val="00192D5B"/>
    <w:rsid w:val="00193202"/>
    <w:rsid w:val="00193DF5"/>
    <w:rsid w:val="001A1B03"/>
    <w:rsid w:val="001A1E18"/>
    <w:rsid w:val="001A288A"/>
    <w:rsid w:val="001A3951"/>
    <w:rsid w:val="001A3C1B"/>
    <w:rsid w:val="001A3DF0"/>
    <w:rsid w:val="001A57F1"/>
    <w:rsid w:val="001A62D9"/>
    <w:rsid w:val="001A6DE6"/>
    <w:rsid w:val="001A78FD"/>
    <w:rsid w:val="001A7EFF"/>
    <w:rsid w:val="001B0554"/>
    <w:rsid w:val="001B11E8"/>
    <w:rsid w:val="001B2F83"/>
    <w:rsid w:val="001B3E27"/>
    <w:rsid w:val="001B60C6"/>
    <w:rsid w:val="001B6793"/>
    <w:rsid w:val="001C306E"/>
    <w:rsid w:val="001C44DB"/>
    <w:rsid w:val="001D0707"/>
    <w:rsid w:val="001D16C7"/>
    <w:rsid w:val="001D1A3D"/>
    <w:rsid w:val="001D1AFD"/>
    <w:rsid w:val="001D44F7"/>
    <w:rsid w:val="001D4A9D"/>
    <w:rsid w:val="001D4D97"/>
    <w:rsid w:val="001D5232"/>
    <w:rsid w:val="001D68DB"/>
    <w:rsid w:val="001D7C29"/>
    <w:rsid w:val="001E03B0"/>
    <w:rsid w:val="001E48DE"/>
    <w:rsid w:val="001E5083"/>
    <w:rsid w:val="001E6E92"/>
    <w:rsid w:val="001E6F18"/>
    <w:rsid w:val="001E703C"/>
    <w:rsid w:val="001F1A0F"/>
    <w:rsid w:val="001F48E8"/>
    <w:rsid w:val="002012B2"/>
    <w:rsid w:val="00201DE8"/>
    <w:rsid w:val="00202B68"/>
    <w:rsid w:val="00202C9D"/>
    <w:rsid w:val="00203986"/>
    <w:rsid w:val="0020535F"/>
    <w:rsid w:val="00206249"/>
    <w:rsid w:val="00207690"/>
    <w:rsid w:val="00207E5D"/>
    <w:rsid w:val="002103DF"/>
    <w:rsid w:val="00211DF2"/>
    <w:rsid w:val="0021297A"/>
    <w:rsid w:val="00214D26"/>
    <w:rsid w:val="00214D4D"/>
    <w:rsid w:val="002156E5"/>
    <w:rsid w:val="00215FA9"/>
    <w:rsid w:val="00216FE5"/>
    <w:rsid w:val="00217FDE"/>
    <w:rsid w:val="002207C0"/>
    <w:rsid w:val="002215CC"/>
    <w:rsid w:val="0022674E"/>
    <w:rsid w:val="00226EED"/>
    <w:rsid w:val="00232130"/>
    <w:rsid w:val="00232764"/>
    <w:rsid w:val="00233272"/>
    <w:rsid w:val="00237715"/>
    <w:rsid w:val="00237742"/>
    <w:rsid w:val="00242C36"/>
    <w:rsid w:val="002441CD"/>
    <w:rsid w:val="00244364"/>
    <w:rsid w:val="00244581"/>
    <w:rsid w:val="00244AAB"/>
    <w:rsid w:val="00244B94"/>
    <w:rsid w:val="00247D33"/>
    <w:rsid w:val="002506CF"/>
    <w:rsid w:val="00251BF9"/>
    <w:rsid w:val="00251C41"/>
    <w:rsid w:val="002526A8"/>
    <w:rsid w:val="00253F1A"/>
    <w:rsid w:val="00255A75"/>
    <w:rsid w:val="00256084"/>
    <w:rsid w:val="0026237F"/>
    <w:rsid w:val="00264221"/>
    <w:rsid w:val="00264E2F"/>
    <w:rsid w:val="0026641C"/>
    <w:rsid w:val="00266D56"/>
    <w:rsid w:val="0026725A"/>
    <w:rsid w:val="002677E7"/>
    <w:rsid w:val="00270458"/>
    <w:rsid w:val="00270868"/>
    <w:rsid w:val="00270E32"/>
    <w:rsid w:val="002714F4"/>
    <w:rsid w:val="00272CF9"/>
    <w:rsid w:val="00273534"/>
    <w:rsid w:val="00274665"/>
    <w:rsid w:val="0027645A"/>
    <w:rsid w:val="00276E56"/>
    <w:rsid w:val="0028078D"/>
    <w:rsid w:val="002810E1"/>
    <w:rsid w:val="00282263"/>
    <w:rsid w:val="00282D23"/>
    <w:rsid w:val="00283CB9"/>
    <w:rsid w:val="00283F7A"/>
    <w:rsid w:val="00286995"/>
    <w:rsid w:val="00286EA2"/>
    <w:rsid w:val="002870AB"/>
    <w:rsid w:val="00291E92"/>
    <w:rsid w:val="002934FF"/>
    <w:rsid w:val="00294495"/>
    <w:rsid w:val="002965F6"/>
    <w:rsid w:val="002966D2"/>
    <w:rsid w:val="00296AA4"/>
    <w:rsid w:val="00296B11"/>
    <w:rsid w:val="00297046"/>
    <w:rsid w:val="002A2154"/>
    <w:rsid w:val="002A223D"/>
    <w:rsid w:val="002A3E4F"/>
    <w:rsid w:val="002A59E5"/>
    <w:rsid w:val="002A6A19"/>
    <w:rsid w:val="002A77D8"/>
    <w:rsid w:val="002A7D53"/>
    <w:rsid w:val="002B0A85"/>
    <w:rsid w:val="002B0E96"/>
    <w:rsid w:val="002B1B55"/>
    <w:rsid w:val="002B1EED"/>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3F7D"/>
    <w:rsid w:val="002C4017"/>
    <w:rsid w:val="002C5C4D"/>
    <w:rsid w:val="002C6527"/>
    <w:rsid w:val="002D021D"/>
    <w:rsid w:val="002D10C7"/>
    <w:rsid w:val="002D1F69"/>
    <w:rsid w:val="002D3441"/>
    <w:rsid w:val="002D5B98"/>
    <w:rsid w:val="002D6FB4"/>
    <w:rsid w:val="002E1C8A"/>
    <w:rsid w:val="002E335F"/>
    <w:rsid w:val="002E3409"/>
    <w:rsid w:val="002E4377"/>
    <w:rsid w:val="002E600A"/>
    <w:rsid w:val="002E63DD"/>
    <w:rsid w:val="002E669B"/>
    <w:rsid w:val="002E76AF"/>
    <w:rsid w:val="002F0E02"/>
    <w:rsid w:val="002F0E17"/>
    <w:rsid w:val="002F0E71"/>
    <w:rsid w:val="002F28FD"/>
    <w:rsid w:val="002F3667"/>
    <w:rsid w:val="002F3985"/>
    <w:rsid w:val="002F4305"/>
    <w:rsid w:val="002F6439"/>
    <w:rsid w:val="002F6CEC"/>
    <w:rsid w:val="002F7682"/>
    <w:rsid w:val="0030302B"/>
    <w:rsid w:val="003044BB"/>
    <w:rsid w:val="00305CEA"/>
    <w:rsid w:val="00307160"/>
    <w:rsid w:val="0030733F"/>
    <w:rsid w:val="00307C38"/>
    <w:rsid w:val="0031182A"/>
    <w:rsid w:val="00311D69"/>
    <w:rsid w:val="003135A8"/>
    <w:rsid w:val="003141C7"/>
    <w:rsid w:val="00314C76"/>
    <w:rsid w:val="0032025F"/>
    <w:rsid w:val="00320F01"/>
    <w:rsid w:val="003216F9"/>
    <w:rsid w:val="00324BAE"/>
    <w:rsid w:val="00325D76"/>
    <w:rsid w:val="00325EE1"/>
    <w:rsid w:val="00331192"/>
    <w:rsid w:val="00331F7F"/>
    <w:rsid w:val="00332E3F"/>
    <w:rsid w:val="00333AC3"/>
    <w:rsid w:val="003351B8"/>
    <w:rsid w:val="00335508"/>
    <w:rsid w:val="0033784B"/>
    <w:rsid w:val="00337AAE"/>
    <w:rsid w:val="00341766"/>
    <w:rsid w:val="003425B6"/>
    <w:rsid w:val="00343BA7"/>
    <w:rsid w:val="0035176E"/>
    <w:rsid w:val="00351BD8"/>
    <w:rsid w:val="00353776"/>
    <w:rsid w:val="003538F7"/>
    <w:rsid w:val="00356D69"/>
    <w:rsid w:val="003572F4"/>
    <w:rsid w:val="003617FD"/>
    <w:rsid w:val="003622CA"/>
    <w:rsid w:val="0036307D"/>
    <w:rsid w:val="0036365C"/>
    <w:rsid w:val="00364CDC"/>
    <w:rsid w:val="00365860"/>
    <w:rsid w:val="00365E36"/>
    <w:rsid w:val="003668C1"/>
    <w:rsid w:val="00366CB8"/>
    <w:rsid w:val="00370A8B"/>
    <w:rsid w:val="00370BD8"/>
    <w:rsid w:val="00371EAF"/>
    <w:rsid w:val="00371F99"/>
    <w:rsid w:val="00372019"/>
    <w:rsid w:val="00376A93"/>
    <w:rsid w:val="00377A83"/>
    <w:rsid w:val="00377CE8"/>
    <w:rsid w:val="0038027C"/>
    <w:rsid w:val="0038070E"/>
    <w:rsid w:val="00380821"/>
    <w:rsid w:val="00381DF2"/>
    <w:rsid w:val="0038236E"/>
    <w:rsid w:val="00383D23"/>
    <w:rsid w:val="003841F1"/>
    <w:rsid w:val="00384874"/>
    <w:rsid w:val="00384E20"/>
    <w:rsid w:val="0038504D"/>
    <w:rsid w:val="00385735"/>
    <w:rsid w:val="0038649F"/>
    <w:rsid w:val="00392B8A"/>
    <w:rsid w:val="00392F9A"/>
    <w:rsid w:val="00393248"/>
    <w:rsid w:val="00393564"/>
    <w:rsid w:val="00394ACC"/>
    <w:rsid w:val="00394DE3"/>
    <w:rsid w:val="0039669C"/>
    <w:rsid w:val="003A0774"/>
    <w:rsid w:val="003A091C"/>
    <w:rsid w:val="003A0BC6"/>
    <w:rsid w:val="003A1AF8"/>
    <w:rsid w:val="003A3CF3"/>
    <w:rsid w:val="003A4A78"/>
    <w:rsid w:val="003A5008"/>
    <w:rsid w:val="003A55F7"/>
    <w:rsid w:val="003A5CB0"/>
    <w:rsid w:val="003A5DE7"/>
    <w:rsid w:val="003A6902"/>
    <w:rsid w:val="003A6C2D"/>
    <w:rsid w:val="003A6D87"/>
    <w:rsid w:val="003B19EF"/>
    <w:rsid w:val="003B1C79"/>
    <w:rsid w:val="003B1DBD"/>
    <w:rsid w:val="003B29D5"/>
    <w:rsid w:val="003B2A63"/>
    <w:rsid w:val="003B2B57"/>
    <w:rsid w:val="003B33C6"/>
    <w:rsid w:val="003B4995"/>
    <w:rsid w:val="003B5C1B"/>
    <w:rsid w:val="003B642F"/>
    <w:rsid w:val="003B69FE"/>
    <w:rsid w:val="003C4421"/>
    <w:rsid w:val="003C58E4"/>
    <w:rsid w:val="003C5B61"/>
    <w:rsid w:val="003C6DE2"/>
    <w:rsid w:val="003C6FB3"/>
    <w:rsid w:val="003C7207"/>
    <w:rsid w:val="003C722F"/>
    <w:rsid w:val="003D08E5"/>
    <w:rsid w:val="003D16A6"/>
    <w:rsid w:val="003D17C3"/>
    <w:rsid w:val="003D2625"/>
    <w:rsid w:val="003D519C"/>
    <w:rsid w:val="003D6CA2"/>
    <w:rsid w:val="003D7151"/>
    <w:rsid w:val="003D7FB4"/>
    <w:rsid w:val="003E0292"/>
    <w:rsid w:val="003E0382"/>
    <w:rsid w:val="003E07AB"/>
    <w:rsid w:val="003E17DC"/>
    <w:rsid w:val="003E1831"/>
    <w:rsid w:val="003E3266"/>
    <w:rsid w:val="003E3F4C"/>
    <w:rsid w:val="003E63D3"/>
    <w:rsid w:val="003E7A0E"/>
    <w:rsid w:val="003F32B9"/>
    <w:rsid w:val="003F46B2"/>
    <w:rsid w:val="003F5D2C"/>
    <w:rsid w:val="003F6369"/>
    <w:rsid w:val="003F6483"/>
    <w:rsid w:val="003F726F"/>
    <w:rsid w:val="00401874"/>
    <w:rsid w:val="00401BE8"/>
    <w:rsid w:val="00401CF4"/>
    <w:rsid w:val="00403EA9"/>
    <w:rsid w:val="004049C6"/>
    <w:rsid w:val="0040641C"/>
    <w:rsid w:val="0040671E"/>
    <w:rsid w:val="0040798B"/>
    <w:rsid w:val="004108EF"/>
    <w:rsid w:val="00410CD8"/>
    <w:rsid w:val="00411470"/>
    <w:rsid w:val="0041213E"/>
    <w:rsid w:val="00412F0C"/>
    <w:rsid w:val="004137CE"/>
    <w:rsid w:val="00413F83"/>
    <w:rsid w:val="00414329"/>
    <w:rsid w:val="00416BCE"/>
    <w:rsid w:val="00417D34"/>
    <w:rsid w:val="004208A4"/>
    <w:rsid w:val="004223FA"/>
    <w:rsid w:val="00423013"/>
    <w:rsid w:val="00425092"/>
    <w:rsid w:val="0042582E"/>
    <w:rsid w:val="00430F6B"/>
    <w:rsid w:val="004313BE"/>
    <w:rsid w:val="00431C1C"/>
    <w:rsid w:val="00431E97"/>
    <w:rsid w:val="004322AA"/>
    <w:rsid w:val="00432918"/>
    <w:rsid w:val="00432E27"/>
    <w:rsid w:val="00433A5D"/>
    <w:rsid w:val="00434F84"/>
    <w:rsid w:val="00437A54"/>
    <w:rsid w:val="004405C8"/>
    <w:rsid w:val="00441080"/>
    <w:rsid w:val="00441828"/>
    <w:rsid w:val="00444C84"/>
    <w:rsid w:val="004460F5"/>
    <w:rsid w:val="00447354"/>
    <w:rsid w:val="0044745E"/>
    <w:rsid w:val="00447757"/>
    <w:rsid w:val="00447D9E"/>
    <w:rsid w:val="004506BC"/>
    <w:rsid w:val="004525D5"/>
    <w:rsid w:val="004556BF"/>
    <w:rsid w:val="004565FD"/>
    <w:rsid w:val="00456C0B"/>
    <w:rsid w:val="00460A96"/>
    <w:rsid w:val="00462307"/>
    <w:rsid w:val="00464AA3"/>
    <w:rsid w:val="004661C8"/>
    <w:rsid w:val="00466C47"/>
    <w:rsid w:val="00466CC1"/>
    <w:rsid w:val="00470B99"/>
    <w:rsid w:val="00471C19"/>
    <w:rsid w:val="0047228D"/>
    <w:rsid w:val="004733A3"/>
    <w:rsid w:val="00473483"/>
    <w:rsid w:val="00475465"/>
    <w:rsid w:val="004756A6"/>
    <w:rsid w:val="004804B2"/>
    <w:rsid w:val="004807E9"/>
    <w:rsid w:val="00480DAB"/>
    <w:rsid w:val="00481BE0"/>
    <w:rsid w:val="004850E3"/>
    <w:rsid w:val="00486CA5"/>
    <w:rsid w:val="0048741E"/>
    <w:rsid w:val="00487964"/>
    <w:rsid w:val="0048796B"/>
    <w:rsid w:val="00487C1A"/>
    <w:rsid w:val="0049085A"/>
    <w:rsid w:val="00491861"/>
    <w:rsid w:val="00491DF0"/>
    <w:rsid w:val="00493F9A"/>
    <w:rsid w:val="0049572F"/>
    <w:rsid w:val="00495DE8"/>
    <w:rsid w:val="0049613F"/>
    <w:rsid w:val="00496A96"/>
    <w:rsid w:val="00497803"/>
    <w:rsid w:val="004A47D3"/>
    <w:rsid w:val="004A4A27"/>
    <w:rsid w:val="004A592E"/>
    <w:rsid w:val="004A61AF"/>
    <w:rsid w:val="004B0566"/>
    <w:rsid w:val="004B0D49"/>
    <w:rsid w:val="004B2C64"/>
    <w:rsid w:val="004B301D"/>
    <w:rsid w:val="004B3623"/>
    <w:rsid w:val="004B420A"/>
    <w:rsid w:val="004B4716"/>
    <w:rsid w:val="004B540E"/>
    <w:rsid w:val="004B5DBC"/>
    <w:rsid w:val="004B73AB"/>
    <w:rsid w:val="004C1E71"/>
    <w:rsid w:val="004C2098"/>
    <w:rsid w:val="004C2884"/>
    <w:rsid w:val="004C29A8"/>
    <w:rsid w:val="004C38FB"/>
    <w:rsid w:val="004C41F3"/>
    <w:rsid w:val="004C55AA"/>
    <w:rsid w:val="004C5D85"/>
    <w:rsid w:val="004C6385"/>
    <w:rsid w:val="004D0355"/>
    <w:rsid w:val="004D0676"/>
    <w:rsid w:val="004D0EA2"/>
    <w:rsid w:val="004D1A2C"/>
    <w:rsid w:val="004D1C04"/>
    <w:rsid w:val="004D4CD4"/>
    <w:rsid w:val="004D5ACD"/>
    <w:rsid w:val="004D5FE9"/>
    <w:rsid w:val="004E017C"/>
    <w:rsid w:val="004E11A3"/>
    <w:rsid w:val="004F1B47"/>
    <w:rsid w:val="004F4506"/>
    <w:rsid w:val="004F5439"/>
    <w:rsid w:val="004F5BD8"/>
    <w:rsid w:val="004F63CB"/>
    <w:rsid w:val="004F641C"/>
    <w:rsid w:val="004F7125"/>
    <w:rsid w:val="005019C0"/>
    <w:rsid w:val="00502078"/>
    <w:rsid w:val="005033C6"/>
    <w:rsid w:val="00504A6A"/>
    <w:rsid w:val="00505D99"/>
    <w:rsid w:val="005101E4"/>
    <w:rsid w:val="005105A4"/>
    <w:rsid w:val="005119D4"/>
    <w:rsid w:val="005125F9"/>
    <w:rsid w:val="00514C74"/>
    <w:rsid w:val="00517D21"/>
    <w:rsid w:val="00520C68"/>
    <w:rsid w:val="005214D8"/>
    <w:rsid w:val="005216E0"/>
    <w:rsid w:val="00521A69"/>
    <w:rsid w:val="00522680"/>
    <w:rsid w:val="00522D2E"/>
    <w:rsid w:val="0052355A"/>
    <w:rsid w:val="00525A45"/>
    <w:rsid w:val="00526A73"/>
    <w:rsid w:val="00530150"/>
    <w:rsid w:val="00530433"/>
    <w:rsid w:val="00530884"/>
    <w:rsid w:val="00532A5E"/>
    <w:rsid w:val="00532A90"/>
    <w:rsid w:val="00536317"/>
    <w:rsid w:val="00536E1B"/>
    <w:rsid w:val="00537DD0"/>
    <w:rsid w:val="0054230D"/>
    <w:rsid w:val="00542D44"/>
    <w:rsid w:val="00542E7F"/>
    <w:rsid w:val="005457A7"/>
    <w:rsid w:val="005457E1"/>
    <w:rsid w:val="005458E0"/>
    <w:rsid w:val="005460FA"/>
    <w:rsid w:val="005465B5"/>
    <w:rsid w:val="005500D5"/>
    <w:rsid w:val="005542E8"/>
    <w:rsid w:val="00554779"/>
    <w:rsid w:val="005547B2"/>
    <w:rsid w:val="005557DB"/>
    <w:rsid w:val="00555C5A"/>
    <w:rsid w:val="005562A9"/>
    <w:rsid w:val="00557C93"/>
    <w:rsid w:val="005602C2"/>
    <w:rsid w:val="00560555"/>
    <w:rsid w:val="005653A8"/>
    <w:rsid w:val="0056563B"/>
    <w:rsid w:val="005661CB"/>
    <w:rsid w:val="00566A90"/>
    <w:rsid w:val="00566B63"/>
    <w:rsid w:val="0056702C"/>
    <w:rsid w:val="00570A36"/>
    <w:rsid w:val="00571827"/>
    <w:rsid w:val="0057339F"/>
    <w:rsid w:val="00573B60"/>
    <w:rsid w:val="00573DAA"/>
    <w:rsid w:val="00575067"/>
    <w:rsid w:val="00575509"/>
    <w:rsid w:val="00575BC4"/>
    <w:rsid w:val="0057732C"/>
    <w:rsid w:val="005774EF"/>
    <w:rsid w:val="0058004F"/>
    <w:rsid w:val="005824A4"/>
    <w:rsid w:val="00582907"/>
    <w:rsid w:val="00583768"/>
    <w:rsid w:val="00583885"/>
    <w:rsid w:val="005841B6"/>
    <w:rsid w:val="00586EE9"/>
    <w:rsid w:val="005911BA"/>
    <w:rsid w:val="00592EF8"/>
    <w:rsid w:val="00594ECB"/>
    <w:rsid w:val="005953D1"/>
    <w:rsid w:val="005966E8"/>
    <w:rsid w:val="00596A04"/>
    <w:rsid w:val="005A04F5"/>
    <w:rsid w:val="005A0672"/>
    <w:rsid w:val="005A11DF"/>
    <w:rsid w:val="005A253B"/>
    <w:rsid w:val="005A2607"/>
    <w:rsid w:val="005A2BB3"/>
    <w:rsid w:val="005A34C8"/>
    <w:rsid w:val="005A447C"/>
    <w:rsid w:val="005A4649"/>
    <w:rsid w:val="005A480F"/>
    <w:rsid w:val="005A4A84"/>
    <w:rsid w:val="005A54F9"/>
    <w:rsid w:val="005A5ED2"/>
    <w:rsid w:val="005B149E"/>
    <w:rsid w:val="005B1DE3"/>
    <w:rsid w:val="005B203F"/>
    <w:rsid w:val="005B356A"/>
    <w:rsid w:val="005B3BCE"/>
    <w:rsid w:val="005B6135"/>
    <w:rsid w:val="005B7B0E"/>
    <w:rsid w:val="005C0244"/>
    <w:rsid w:val="005C14FC"/>
    <w:rsid w:val="005C21A8"/>
    <w:rsid w:val="005C2F37"/>
    <w:rsid w:val="005C3120"/>
    <w:rsid w:val="005C3C8A"/>
    <w:rsid w:val="005C6667"/>
    <w:rsid w:val="005C7FD6"/>
    <w:rsid w:val="005D1112"/>
    <w:rsid w:val="005D3AB7"/>
    <w:rsid w:val="005D3F92"/>
    <w:rsid w:val="005D47F6"/>
    <w:rsid w:val="005D5790"/>
    <w:rsid w:val="005D5D73"/>
    <w:rsid w:val="005D5FBC"/>
    <w:rsid w:val="005D7362"/>
    <w:rsid w:val="005D7462"/>
    <w:rsid w:val="005E18AA"/>
    <w:rsid w:val="005E2630"/>
    <w:rsid w:val="005E28F2"/>
    <w:rsid w:val="005E3427"/>
    <w:rsid w:val="005E3BEA"/>
    <w:rsid w:val="005E47F3"/>
    <w:rsid w:val="005E50EB"/>
    <w:rsid w:val="005E5539"/>
    <w:rsid w:val="005E74EF"/>
    <w:rsid w:val="005F22A0"/>
    <w:rsid w:val="005F2C47"/>
    <w:rsid w:val="005F3DD2"/>
    <w:rsid w:val="005F4551"/>
    <w:rsid w:val="005F481B"/>
    <w:rsid w:val="005F4ABD"/>
    <w:rsid w:val="005F4DF0"/>
    <w:rsid w:val="005F53EC"/>
    <w:rsid w:val="005F586A"/>
    <w:rsid w:val="005F72EB"/>
    <w:rsid w:val="005F73CD"/>
    <w:rsid w:val="005F7980"/>
    <w:rsid w:val="006000AA"/>
    <w:rsid w:val="00601112"/>
    <w:rsid w:val="006011D9"/>
    <w:rsid w:val="00601BC1"/>
    <w:rsid w:val="0060266F"/>
    <w:rsid w:val="00602AD5"/>
    <w:rsid w:val="00603C55"/>
    <w:rsid w:val="006047C8"/>
    <w:rsid w:val="00604FD5"/>
    <w:rsid w:val="006063E0"/>
    <w:rsid w:val="00606DEE"/>
    <w:rsid w:val="006102BA"/>
    <w:rsid w:val="00611B10"/>
    <w:rsid w:val="00613BA2"/>
    <w:rsid w:val="00614E4B"/>
    <w:rsid w:val="006150A9"/>
    <w:rsid w:val="00615B1A"/>
    <w:rsid w:val="006230BA"/>
    <w:rsid w:val="0062387C"/>
    <w:rsid w:val="00623EA6"/>
    <w:rsid w:val="00625DB3"/>
    <w:rsid w:val="006264FD"/>
    <w:rsid w:val="006265AF"/>
    <w:rsid w:val="0063092E"/>
    <w:rsid w:val="006313F1"/>
    <w:rsid w:val="006319A8"/>
    <w:rsid w:val="00631BBC"/>
    <w:rsid w:val="00631D2B"/>
    <w:rsid w:val="00631D66"/>
    <w:rsid w:val="00632B48"/>
    <w:rsid w:val="00632D4B"/>
    <w:rsid w:val="00634567"/>
    <w:rsid w:val="0063468F"/>
    <w:rsid w:val="0063634A"/>
    <w:rsid w:val="00641D26"/>
    <w:rsid w:val="006420F3"/>
    <w:rsid w:val="0064661A"/>
    <w:rsid w:val="00651727"/>
    <w:rsid w:val="00653211"/>
    <w:rsid w:val="00653237"/>
    <w:rsid w:val="00654010"/>
    <w:rsid w:val="00654CBE"/>
    <w:rsid w:val="00655D56"/>
    <w:rsid w:val="006602E7"/>
    <w:rsid w:val="00661E9E"/>
    <w:rsid w:val="00662D18"/>
    <w:rsid w:val="00662D96"/>
    <w:rsid w:val="00664A24"/>
    <w:rsid w:val="00667C68"/>
    <w:rsid w:val="00674E84"/>
    <w:rsid w:val="00675476"/>
    <w:rsid w:val="00677FA7"/>
    <w:rsid w:val="0068148A"/>
    <w:rsid w:val="00681FEE"/>
    <w:rsid w:val="0068329C"/>
    <w:rsid w:val="00683B9E"/>
    <w:rsid w:val="00685EA6"/>
    <w:rsid w:val="00686BEF"/>
    <w:rsid w:val="00686C01"/>
    <w:rsid w:val="00687489"/>
    <w:rsid w:val="00690387"/>
    <w:rsid w:val="00690E20"/>
    <w:rsid w:val="00693211"/>
    <w:rsid w:val="00693B4A"/>
    <w:rsid w:val="006940DE"/>
    <w:rsid w:val="00695678"/>
    <w:rsid w:val="00695ECC"/>
    <w:rsid w:val="00695F7D"/>
    <w:rsid w:val="006A1C1B"/>
    <w:rsid w:val="006A21B1"/>
    <w:rsid w:val="006A2DC0"/>
    <w:rsid w:val="006A5046"/>
    <w:rsid w:val="006A5A78"/>
    <w:rsid w:val="006A755E"/>
    <w:rsid w:val="006A7D90"/>
    <w:rsid w:val="006B096B"/>
    <w:rsid w:val="006B231F"/>
    <w:rsid w:val="006B329B"/>
    <w:rsid w:val="006B5441"/>
    <w:rsid w:val="006B74CE"/>
    <w:rsid w:val="006B74FF"/>
    <w:rsid w:val="006B7B58"/>
    <w:rsid w:val="006C03CE"/>
    <w:rsid w:val="006C0DE5"/>
    <w:rsid w:val="006C240B"/>
    <w:rsid w:val="006C4293"/>
    <w:rsid w:val="006C56A9"/>
    <w:rsid w:val="006C730B"/>
    <w:rsid w:val="006C7B18"/>
    <w:rsid w:val="006D2264"/>
    <w:rsid w:val="006D3CAE"/>
    <w:rsid w:val="006D52DD"/>
    <w:rsid w:val="006D7C7C"/>
    <w:rsid w:val="006E02B8"/>
    <w:rsid w:val="006E2E6D"/>
    <w:rsid w:val="006E3152"/>
    <w:rsid w:val="006E38C7"/>
    <w:rsid w:val="006F05C2"/>
    <w:rsid w:val="006F2FE5"/>
    <w:rsid w:val="006F36FE"/>
    <w:rsid w:val="006F49F6"/>
    <w:rsid w:val="006F4D57"/>
    <w:rsid w:val="006F52DD"/>
    <w:rsid w:val="006F52F1"/>
    <w:rsid w:val="006F5337"/>
    <w:rsid w:val="006F6321"/>
    <w:rsid w:val="006F73AF"/>
    <w:rsid w:val="006F7AB8"/>
    <w:rsid w:val="0070015F"/>
    <w:rsid w:val="007013D8"/>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29F1"/>
    <w:rsid w:val="00722F91"/>
    <w:rsid w:val="00723302"/>
    <w:rsid w:val="00723905"/>
    <w:rsid w:val="00724EB4"/>
    <w:rsid w:val="00725836"/>
    <w:rsid w:val="00726883"/>
    <w:rsid w:val="007306F5"/>
    <w:rsid w:val="00730A90"/>
    <w:rsid w:val="00732EAA"/>
    <w:rsid w:val="0073310E"/>
    <w:rsid w:val="007349B8"/>
    <w:rsid w:val="00737A79"/>
    <w:rsid w:val="0074116E"/>
    <w:rsid w:val="007446CB"/>
    <w:rsid w:val="00744C38"/>
    <w:rsid w:val="0074527A"/>
    <w:rsid w:val="0074556C"/>
    <w:rsid w:val="00745B57"/>
    <w:rsid w:val="0074602E"/>
    <w:rsid w:val="00746D9D"/>
    <w:rsid w:val="00746E67"/>
    <w:rsid w:val="00750DCE"/>
    <w:rsid w:val="00751FD6"/>
    <w:rsid w:val="0075279F"/>
    <w:rsid w:val="00753400"/>
    <w:rsid w:val="00753C02"/>
    <w:rsid w:val="00755AA1"/>
    <w:rsid w:val="00761132"/>
    <w:rsid w:val="007618E8"/>
    <w:rsid w:val="00761E3A"/>
    <w:rsid w:val="007627F3"/>
    <w:rsid w:val="00762859"/>
    <w:rsid w:val="00762EE9"/>
    <w:rsid w:val="00763D1D"/>
    <w:rsid w:val="00765334"/>
    <w:rsid w:val="00767241"/>
    <w:rsid w:val="00767CF4"/>
    <w:rsid w:val="00770899"/>
    <w:rsid w:val="00771F09"/>
    <w:rsid w:val="00774E0A"/>
    <w:rsid w:val="00776993"/>
    <w:rsid w:val="007778BE"/>
    <w:rsid w:val="007813FC"/>
    <w:rsid w:val="00781C51"/>
    <w:rsid w:val="00783382"/>
    <w:rsid w:val="00783975"/>
    <w:rsid w:val="00785764"/>
    <w:rsid w:val="00785B06"/>
    <w:rsid w:val="00785D46"/>
    <w:rsid w:val="00787917"/>
    <w:rsid w:val="00790C13"/>
    <w:rsid w:val="007911DA"/>
    <w:rsid w:val="00792928"/>
    <w:rsid w:val="00792BCD"/>
    <w:rsid w:val="0079326B"/>
    <w:rsid w:val="007947D9"/>
    <w:rsid w:val="007972AA"/>
    <w:rsid w:val="00797762"/>
    <w:rsid w:val="007A197C"/>
    <w:rsid w:val="007A22B5"/>
    <w:rsid w:val="007A3D24"/>
    <w:rsid w:val="007A4017"/>
    <w:rsid w:val="007A7030"/>
    <w:rsid w:val="007A71A0"/>
    <w:rsid w:val="007B1142"/>
    <w:rsid w:val="007B170B"/>
    <w:rsid w:val="007B187C"/>
    <w:rsid w:val="007B1CC1"/>
    <w:rsid w:val="007B36F7"/>
    <w:rsid w:val="007B3B73"/>
    <w:rsid w:val="007B41CE"/>
    <w:rsid w:val="007B43E9"/>
    <w:rsid w:val="007B4CCE"/>
    <w:rsid w:val="007B5D39"/>
    <w:rsid w:val="007B697E"/>
    <w:rsid w:val="007C01F3"/>
    <w:rsid w:val="007C0EBA"/>
    <w:rsid w:val="007C132B"/>
    <w:rsid w:val="007C2985"/>
    <w:rsid w:val="007C29C1"/>
    <w:rsid w:val="007C345C"/>
    <w:rsid w:val="007C3DF9"/>
    <w:rsid w:val="007C4CEC"/>
    <w:rsid w:val="007C5062"/>
    <w:rsid w:val="007C514A"/>
    <w:rsid w:val="007C558F"/>
    <w:rsid w:val="007D0B1F"/>
    <w:rsid w:val="007D25B5"/>
    <w:rsid w:val="007D2C67"/>
    <w:rsid w:val="007D3920"/>
    <w:rsid w:val="007D3C37"/>
    <w:rsid w:val="007D464D"/>
    <w:rsid w:val="007D62EC"/>
    <w:rsid w:val="007E0E3E"/>
    <w:rsid w:val="007E2C80"/>
    <w:rsid w:val="007E380E"/>
    <w:rsid w:val="007E521E"/>
    <w:rsid w:val="007E5635"/>
    <w:rsid w:val="007F02B3"/>
    <w:rsid w:val="007F1BE4"/>
    <w:rsid w:val="007F4E64"/>
    <w:rsid w:val="007F5473"/>
    <w:rsid w:val="007F5E6D"/>
    <w:rsid w:val="007F7F69"/>
    <w:rsid w:val="008004CD"/>
    <w:rsid w:val="00800C4B"/>
    <w:rsid w:val="00801313"/>
    <w:rsid w:val="00801471"/>
    <w:rsid w:val="008021DB"/>
    <w:rsid w:val="008038B9"/>
    <w:rsid w:val="00803AD6"/>
    <w:rsid w:val="0080435C"/>
    <w:rsid w:val="00804A0D"/>
    <w:rsid w:val="00804BD7"/>
    <w:rsid w:val="00804D5E"/>
    <w:rsid w:val="00805512"/>
    <w:rsid w:val="00806691"/>
    <w:rsid w:val="00812288"/>
    <w:rsid w:val="00812FA8"/>
    <w:rsid w:val="00814701"/>
    <w:rsid w:val="00814E1E"/>
    <w:rsid w:val="00815068"/>
    <w:rsid w:val="008228C6"/>
    <w:rsid w:val="00823CEC"/>
    <w:rsid w:val="00823D04"/>
    <w:rsid w:val="00824D51"/>
    <w:rsid w:val="00827D88"/>
    <w:rsid w:val="00827FED"/>
    <w:rsid w:val="00830034"/>
    <w:rsid w:val="00830F69"/>
    <w:rsid w:val="00832108"/>
    <w:rsid w:val="0083393C"/>
    <w:rsid w:val="00833B95"/>
    <w:rsid w:val="00833E06"/>
    <w:rsid w:val="00834C44"/>
    <w:rsid w:val="00835641"/>
    <w:rsid w:val="00835A29"/>
    <w:rsid w:val="00836861"/>
    <w:rsid w:val="0083724E"/>
    <w:rsid w:val="00841DC2"/>
    <w:rsid w:val="0084416A"/>
    <w:rsid w:val="008469D5"/>
    <w:rsid w:val="00846D53"/>
    <w:rsid w:val="008472AE"/>
    <w:rsid w:val="008505A1"/>
    <w:rsid w:val="008523BB"/>
    <w:rsid w:val="0085306F"/>
    <w:rsid w:val="008532C4"/>
    <w:rsid w:val="008552B4"/>
    <w:rsid w:val="0085694B"/>
    <w:rsid w:val="0086045F"/>
    <w:rsid w:val="00862166"/>
    <w:rsid w:val="00862617"/>
    <w:rsid w:val="00865756"/>
    <w:rsid w:val="008659B5"/>
    <w:rsid w:val="00866C8D"/>
    <w:rsid w:val="00866ED0"/>
    <w:rsid w:val="00867C47"/>
    <w:rsid w:val="008715CF"/>
    <w:rsid w:val="0087174D"/>
    <w:rsid w:val="008722AB"/>
    <w:rsid w:val="00874149"/>
    <w:rsid w:val="0087606D"/>
    <w:rsid w:val="00876619"/>
    <w:rsid w:val="00876C39"/>
    <w:rsid w:val="008774A7"/>
    <w:rsid w:val="00877FB6"/>
    <w:rsid w:val="00880676"/>
    <w:rsid w:val="0088098E"/>
    <w:rsid w:val="008811DC"/>
    <w:rsid w:val="00881567"/>
    <w:rsid w:val="00881DAD"/>
    <w:rsid w:val="00881EA8"/>
    <w:rsid w:val="00882025"/>
    <w:rsid w:val="008831F5"/>
    <w:rsid w:val="008840D1"/>
    <w:rsid w:val="0088475C"/>
    <w:rsid w:val="00884F26"/>
    <w:rsid w:val="008855FD"/>
    <w:rsid w:val="008861DD"/>
    <w:rsid w:val="00886625"/>
    <w:rsid w:val="00887A5F"/>
    <w:rsid w:val="00890A55"/>
    <w:rsid w:val="00891301"/>
    <w:rsid w:val="00893952"/>
    <w:rsid w:val="00894BFD"/>
    <w:rsid w:val="00895099"/>
    <w:rsid w:val="00895B3C"/>
    <w:rsid w:val="008964F2"/>
    <w:rsid w:val="00897054"/>
    <w:rsid w:val="008A0BE7"/>
    <w:rsid w:val="008A16B2"/>
    <w:rsid w:val="008A1D07"/>
    <w:rsid w:val="008A4A25"/>
    <w:rsid w:val="008A5134"/>
    <w:rsid w:val="008A7670"/>
    <w:rsid w:val="008B1240"/>
    <w:rsid w:val="008B5956"/>
    <w:rsid w:val="008B7E67"/>
    <w:rsid w:val="008C0254"/>
    <w:rsid w:val="008C2670"/>
    <w:rsid w:val="008C3B07"/>
    <w:rsid w:val="008C4B7F"/>
    <w:rsid w:val="008C5AB7"/>
    <w:rsid w:val="008C7435"/>
    <w:rsid w:val="008C7F70"/>
    <w:rsid w:val="008D016C"/>
    <w:rsid w:val="008D1410"/>
    <w:rsid w:val="008D1E4D"/>
    <w:rsid w:val="008D2F68"/>
    <w:rsid w:val="008D4B69"/>
    <w:rsid w:val="008D5A37"/>
    <w:rsid w:val="008D6D9E"/>
    <w:rsid w:val="008D7A56"/>
    <w:rsid w:val="008E44B5"/>
    <w:rsid w:val="008E6E9A"/>
    <w:rsid w:val="008F152F"/>
    <w:rsid w:val="008F303C"/>
    <w:rsid w:val="008F3E58"/>
    <w:rsid w:val="008F51FC"/>
    <w:rsid w:val="008F7740"/>
    <w:rsid w:val="008F7AF4"/>
    <w:rsid w:val="0090072E"/>
    <w:rsid w:val="00900FF0"/>
    <w:rsid w:val="0090308C"/>
    <w:rsid w:val="009030CB"/>
    <w:rsid w:val="00903187"/>
    <w:rsid w:val="00904782"/>
    <w:rsid w:val="00904831"/>
    <w:rsid w:val="00905594"/>
    <w:rsid w:val="00905F9C"/>
    <w:rsid w:val="00907850"/>
    <w:rsid w:val="00911F41"/>
    <w:rsid w:val="009132F6"/>
    <w:rsid w:val="009145E2"/>
    <w:rsid w:val="00914F1A"/>
    <w:rsid w:val="00917373"/>
    <w:rsid w:val="00920722"/>
    <w:rsid w:val="00920C35"/>
    <w:rsid w:val="00920E3B"/>
    <w:rsid w:val="00921164"/>
    <w:rsid w:val="00922C60"/>
    <w:rsid w:val="00922C8E"/>
    <w:rsid w:val="00922DD2"/>
    <w:rsid w:val="00922DD4"/>
    <w:rsid w:val="00924FD6"/>
    <w:rsid w:val="0092502F"/>
    <w:rsid w:val="00925D97"/>
    <w:rsid w:val="009262FF"/>
    <w:rsid w:val="00926C83"/>
    <w:rsid w:val="009275F3"/>
    <w:rsid w:val="009279C8"/>
    <w:rsid w:val="00930BA0"/>
    <w:rsid w:val="00930F1C"/>
    <w:rsid w:val="00930F93"/>
    <w:rsid w:val="00931CF4"/>
    <w:rsid w:val="00932C69"/>
    <w:rsid w:val="00932D8C"/>
    <w:rsid w:val="00933608"/>
    <w:rsid w:val="009358B4"/>
    <w:rsid w:val="00935E50"/>
    <w:rsid w:val="009360B7"/>
    <w:rsid w:val="00936508"/>
    <w:rsid w:val="009367A2"/>
    <w:rsid w:val="00937B3E"/>
    <w:rsid w:val="00940145"/>
    <w:rsid w:val="00941A31"/>
    <w:rsid w:val="00944152"/>
    <w:rsid w:val="0094449E"/>
    <w:rsid w:val="00944609"/>
    <w:rsid w:val="00944C1D"/>
    <w:rsid w:val="00944FEA"/>
    <w:rsid w:val="00945345"/>
    <w:rsid w:val="00947268"/>
    <w:rsid w:val="0095096E"/>
    <w:rsid w:val="00950BBE"/>
    <w:rsid w:val="0095130C"/>
    <w:rsid w:val="00951BC6"/>
    <w:rsid w:val="0095266D"/>
    <w:rsid w:val="009530D6"/>
    <w:rsid w:val="00953E5E"/>
    <w:rsid w:val="00954C9B"/>
    <w:rsid w:val="00954E74"/>
    <w:rsid w:val="00956000"/>
    <w:rsid w:val="00956129"/>
    <w:rsid w:val="0095677D"/>
    <w:rsid w:val="009567EC"/>
    <w:rsid w:val="00956990"/>
    <w:rsid w:val="00962F7C"/>
    <w:rsid w:val="00964812"/>
    <w:rsid w:val="00964D03"/>
    <w:rsid w:val="009650D4"/>
    <w:rsid w:val="00966A5C"/>
    <w:rsid w:val="0096772C"/>
    <w:rsid w:val="00972DEE"/>
    <w:rsid w:val="00973311"/>
    <w:rsid w:val="00974999"/>
    <w:rsid w:val="00974ACE"/>
    <w:rsid w:val="0097528D"/>
    <w:rsid w:val="00975ECF"/>
    <w:rsid w:val="009776B7"/>
    <w:rsid w:val="0097789A"/>
    <w:rsid w:val="0097794B"/>
    <w:rsid w:val="0098337A"/>
    <w:rsid w:val="009836CA"/>
    <w:rsid w:val="0098374E"/>
    <w:rsid w:val="00984713"/>
    <w:rsid w:val="009867CE"/>
    <w:rsid w:val="00987E10"/>
    <w:rsid w:val="00991AD6"/>
    <w:rsid w:val="00991BD1"/>
    <w:rsid w:val="00992861"/>
    <w:rsid w:val="00993005"/>
    <w:rsid w:val="00994E11"/>
    <w:rsid w:val="009976B6"/>
    <w:rsid w:val="009979BA"/>
    <w:rsid w:val="009A0097"/>
    <w:rsid w:val="009A0643"/>
    <w:rsid w:val="009A0BB2"/>
    <w:rsid w:val="009A19CA"/>
    <w:rsid w:val="009A1D50"/>
    <w:rsid w:val="009A317A"/>
    <w:rsid w:val="009A3D15"/>
    <w:rsid w:val="009A5C3A"/>
    <w:rsid w:val="009A68B6"/>
    <w:rsid w:val="009A6A5E"/>
    <w:rsid w:val="009A7D04"/>
    <w:rsid w:val="009B1FAF"/>
    <w:rsid w:val="009B2C5D"/>
    <w:rsid w:val="009B3AFF"/>
    <w:rsid w:val="009B40C7"/>
    <w:rsid w:val="009B4AB8"/>
    <w:rsid w:val="009B5522"/>
    <w:rsid w:val="009B68C3"/>
    <w:rsid w:val="009C0068"/>
    <w:rsid w:val="009C1673"/>
    <w:rsid w:val="009C1E88"/>
    <w:rsid w:val="009C1F5C"/>
    <w:rsid w:val="009C2505"/>
    <w:rsid w:val="009C3D7C"/>
    <w:rsid w:val="009C48E3"/>
    <w:rsid w:val="009C7B4C"/>
    <w:rsid w:val="009D1965"/>
    <w:rsid w:val="009D1C51"/>
    <w:rsid w:val="009D1D7D"/>
    <w:rsid w:val="009D2719"/>
    <w:rsid w:val="009D2B72"/>
    <w:rsid w:val="009D359F"/>
    <w:rsid w:val="009D3E24"/>
    <w:rsid w:val="009D440D"/>
    <w:rsid w:val="009D4B34"/>
    <w:rsid w:val="009D573D"/>
    <w:rsid w:val="009E0332"/>
    <w:rsid w:val="009E1427"/>
    <w:rsid w:val="009E174C"/>
    <w:rsid w:val="009E30B4"/>
    <w:rsid w:val="009E4ED9"/>
    <w:rsid w:val="009E5238"/>
    <w:rsid w:val="009E537E"/>
    <w:rsid w:val="009E62D7"/>
    <w:rsid w:val="009F2CC4"/>
    <w:rsid w:val="009F342E"/>
    <w:rsid w:val="009F3B34"/>
    <w:rsid w:val="009F71E4"/>
    <w:rsid w:val="009F786C"/>
    <w:rsid w:val="00A022D6"/>
    <w:rsid w:val="00A02644"/>
    <w:rsid w:val="00A0313D"/>
    <w:rsid w:val="00A04AD5"/>
    <w:rsid w:val="00A061B3"/>
    <w:rsid w:val="00A10583"/>
    <w:rsid w:val="00A10CE1"/>
    <w:rsid w:val="00A112B6"/>
    <w:rsid w:val="00A1134C"/>
    <w:rsid w:val="00A11A44"/>
    <w:rsid w:val="00A1213F"/>
    <w:rsid w:val="00A124E3"/>
    <w:rsid w:val="00A13596"/>
    <w:rsid w:val="00A1392A"/>
    <w:rsid w:val="00A14EA9"/>
    <w:rsid w:val="00A15A88"/>
    <w:rsid w:val="00A15B2A"/>
    <w:rsid w:val="00A1684D"/>
    <w:rsid w:val="00A16C01"/>
    <w:rsid w:val="00A20AD9"/>
    <w:rsid w:val="00A20BD0"/>
    <w:rsid w:val="00A22C86"/>
    <w:rsid w:val="00A22E7E"/>
    <w:rsid w:val="00A2330D"/>
    <w:rsid w:val="00A2416E"/>
    <w:rsid w:val="00A304DB"/>
    <w:rsid w:val="00A308C0"/>
    <w:rsid w:val="00A3147E"/>
    <w:rsid w:val="00A31926"/>
    <w:rsid w:val="00A32356"/>
    <w:rsid w:val="00A32550"/>
    <w:rsid w:val="00A326B0"/>
    <w:rsid w:val="00A334F4"/>
    <w:rsid w:val="00A34799"/>
    <w:rsid w:val="00A35255"/>
    <w:rsid w:val="00A36694"/>
    <w:rsid w:val="00A374AD"/>
    <w:rsid w:val="00A37945"/>
    <w:rsid w:val="00A37AFF"/>
    <w:rsid w:val="00A37CDD"/>
    <w:rsid w:val="00A40BDC"/>
    <w:rsid w:val="00A43A84"/>
    <w:rsid w:val="00A5018C"/>
    <w:rsid w:val="00A50961"/>
    <w:rsid w:val="00A5131C"/>
    <w:rsid w:val="00A51421"/>
    <w:rsid w:val="00A515AB"/>
    <w:rsid w:val="00A539C9"/>
    <w:rsid w:val="00A547B0"/>
    <w:rsid w:val="00A54F67"/>
    <w:rsid w:val="00A55793"/>
    <w:rsid w:val="00A61631"/>
    <w:rsid w:val="00A616A3"/>
    <w:rsid w:val="00A632DD"/>
    <w:rsid w:val="00A633DD"/>
    <w:rsid w:val="00A63691"/>
    <w:rsid w:val="00A6418F"/>
    <w:rsid w:val="00A644F5"/>
    <w:rsid w:val="00A67E14"/>
    <w:rsid w:val="00A70342"/>
    <w:rsid w:val="00A72618"/>
    <w:rsid w:val="00A72BE4"/>
    <w:rsid w:val="00A743D9"/>
    <w:rsid w:val="00A750C8"/>
    <w:rsid w:val="00A7520A"/>
    <w:rsid w:val="00A75E46"/>
    <w:rsid w:val="00A7656E"/>
    <w:rsid w:val="00A80433"/>
    <w:rsid w:val="00A81390"/>
    <w:rsid w:val="00A81B41"/>
    <w:rsid w:val="00A8215B"/>
    <w:rsid w:val="00A840AE"/>
    <w:rsid w:val="00A843E5"/>
    <w:rsid w:val="00A844DC"/>
    <w:rsid w:val="00A85D0A"/>
    <w:rsid w:val="00A8710A"/>
    <w:rsid w:val="00A87A39"/>
    <w:rsid w:val="00A90318"/>
    <w:rsid w:val="00A90AFA"/>
    <w:rsid w:val="00A910BF"/>
    <w:rsid w:val="00A93837"/>
    <w:rsid w:val="00A939A6"/>
    <w:rsid w:val="00A95450"/>
    <w:rsid w:val="00A96502"/>
    <w:rsid w:val="00A9685D"/>
    <w:rsid w:val="00AA2180"/>
    <w:rsid w:val="00AA57BB"/>
    <w:rsid w:val="00AA60C1"/>
    <w:rsid w:val="00AA6467"/>
    <w:rsid w:val="00AB02EC"/>
    <w:rsid w:val="00AB1457"/>
    <w:rsid w:val="00AB1B1B"/>
    <w:rsid w:val="00AB2438"/>
    <w:rsid w:val="00AB2FC5"/>
    <w:rsid w:val="00AB3838"/>
    <w:rsid w:val="00AB4374"/>
    <w:rsid w:val="00AB6D1D"/>
    <w:rsid w:val="00AB79B3"/>
    <w:rsid w:val="00AC1090"/>
    <w:rsid w:val="00AC11B1"/>
    <w:rsid w:val="00AC2103"/>
    <w:rsid w:val="00AC42F4"/>
    <w:rsid w:val="00AC5BF1"/>
    <w:rsid w:val="00AC6583"/>
    <w:rsid w:val="00AC6F36"/>
    <w:rsid w:val="00AD0F72"/>
    <w:rsid w:val="00AD10A9"/>
    <w:rsid w:val="00AD10F8"/>
    <w:rsid w:val="00AD29EB"/>
    <w:rsid w:val="00AD2DC9"/>
    <w:rsid w:val="00AD4848"/>
    <w:rsid w:val="00AD689F"/>
    <w:rsid w:val="00AD79F2"/>
    <w:rsid w:val="00AE00DF"/>
    <w:rsid w:val="00AE227A"/>
    <w:rsid w:val="00AE301E"/>
    <w:rsid w:val="00AE3313"/>
    <w:rsid w:val="00AE3F78"/>
    <w:rsid w:val="00AE4CC2"/>
    <w:rsid w:val="00AE61FB"/>
    <w:rsid w:val="00AE628A"/>
    <w:rsid w:val="00AE6929"/>
    <w:rsid w:val="00AF171E"/>
    <w:rsid w:val="00AF2B07"/>
    <w:rsid w:val="00AF7429"/>
    <w:rsid w:val="00AF7658"/>
    <w:rsid w:val="00AF7F41"/>
    <w:rsid w:val="00B01586"/>
    <w:rsid w:val="00B02B66"/>
    <w:rsid w:val="00B03420"/>
    <w:rsid w:val="00B03E3E"/>
    <w:rsid w:val="00B048CB"/>
    <w:rsid w:val="00B04B78"/>
    <w:rsid w:val="00B0638C"/>
    <w:rsid w:val="00B10711"/>
    <w:rsid w:val="00B1262C"/>
    <w:rsid w:val="00B14F9E"/>
    <w:rsid w:val="00B17D45"/>
    <w:rsid w:val="00B17FE8"/>
    <w:rsid w:val="00B207F1"/>
    <w:rsid w:val="00B21A86"/>
    <w:rsid w:val="00B22338"/>
    <w:rsid w:val="00B24BD4"/>
    <w:rsid w:val="00B25A45"/>
    <w:rsid w:val="00B25EFF"/>
    <w:rsid w:val="00B31262"/>
    <w:rsid w:val="00B33F21"/>
    <w:rsid w:val="00B34B5D"/>
    <w:rsid w:val="00B34C03"/>
    <w:rsid w:val="00B35B3A"/>
    <w:rsid w:val="00B36491"/>
    <w:rsid w:val="00B41384"/>
    <w:rsid w:val="00B41A0A"/>
    <w:rsid w:val="00B43E05"/>
    <w:rsid w:val="00B45172"/>
    <w:rsid w:val="00B45F0B"/>
    <w:rsid w:val="00B4612C"/>
    <w:rsid w:val="00B4627E"/>
    <w:rsid w:val="00B475F5"/>
    <w:rsid w:val="00B47808"/>
    <w:rsid w:val="00B53483"/>
    <w:rsid w:val="00B54130"/>
    <w:rsid w:val="00B54C47"/>
    <w:rsid w:val="00B5558E"/>
    <w:rsid w:val="00B562CE"/>
    <w:rsid w:val="00B56324"/>
    <w:rsid w:val="00B56C70"/>
    <w:rsid w:val="00B604DA"/>
    <w:rsid w:val="00B61C31"/>
    <w:rsid w:val="00B64AF2"/>
    <w:rsid w:val="00B65D45"/>
    <w:rsid w:val="00B66F91"/>
    <w:rsid w:val="00B66FC6"/>
    <w:rsid w:val="00B6739A"/>
    <w:rsid w:val="00B67B0D"/>
    <w:rsid w:val="00B703A4"/>
    <w:rsid w:val="00B7084E"/>
    <w:rsid w:val="00B72DE1"/>
    <w:rsid w:val="00B72F1B"/>
    <w:rsid w:val="00B745BD"/>
    <w:rsid w:val="00B75490"/>
    <w:rsid w:val="00B754F8"/>
    <w:rsid w:val="00B7583E"/>
    <w:rsid w:val="00B762B2"/>
    <w:rsid w:val="00B76929"/>
    <w:rsid w:val="00B77B88"/>
    <w:rsid w:val="00B8061C"/>
    <w:rsid w:val="00B8240F"/>
    <w:rsid w:val="00B833B0"/>
    <w:rsid w:val="00B835BE"/>
    <w:rsid w:val="00B836FA"/>
    <w:rsid w:val="00B84931"/>
    <w:rsid w:val="00B85F8B"/>
    <w:rsid w:val="00B87FA8"/>
    <w:rsid w:val="00B90CC6"/>
    <w:rsid w:val="00B924E4"/>
    <w:rsid w:val="00B97E53"/>
    <w:rsid w:val="00BA0578"/>
    <w:rsid w:val="00BA2905"/>
    <w:rsid w:val="00BA36D6"/>
    <w:rsid w:val="00BA4417"/>
    <w:rsid w:val="00BA508B"/>
    <w:rsid w:val="00BA62B5"/>
    <w:rsid w:val="00BA6453"/>
    <w:rsid w:val="00BA7C6C"/>
    <w:rsid w:val="00BB0AC5"/>
    <w:rsid w:val="00BB0C66"/>
    <w:rsid w:val="00BB63CA"/>
    <w:rsid w:val="00BB693F"/>
    <w:rsid w:val="00BB7D91"/>
    <w:rsid w:val="00BC151D"/>
    <w:rsid w:val="00BC19C1"/>
    <w:rsid w:val="00BC1BA6"/>
    <w:rsid w:val="00BC1E3D"/>
    <w:rsid w:val="00BC4ADD"/>
    <w:rsid w:val="00BC4EB8"/>
    <w:rsid w:val="00BC6317"/>
    <w:rsid w:val="00BC7A95"/>
    <w:rsid w:val="00BD0D00"/>
    <w:rsid w:val="00BD10B4"/>
    <w:rsid w:val="00BD3059"/>
    <w:rsid w:val="00BD5B72"/>
    <w:rsid w:val="00BD5D61"/>
    <w:rsid w:val="00BD69A4"/>
    <w:rsid w:val="00BD7211"/>
    <w:rsid w:val="00BD7AE9"/>
    <w:rsid w:val="00BE02D7"/>
    <w:rsid w:val="00BE070D"/>
    <w:rsid w:val="00BE1821"/>
    <w:rsid w:val="00BE20BC"/>
    <w:rsid w:val="00BE29BB"/>
    <w:rsid w:val="00BE2A3F"/>
    <w:rsid w:val="00BE348A"/>
    <w:rsid w:val="00BE4737"/>
    <w:rsid w:val="00BE4846"/>
    <w:rsid w:val="00BE5488"/>
    <w:rsid w:val="00BE64FE"/>
    <w:rsid w:val="00BE6751"/>
    <w:rsid w:val="00BE6D93"/>
    <w:rsid w:val="00BE7908"/>
    <w:rsid w:val="00BF0B45"/>
    <w:rsid w:val="00BF13CB"/>
    <w:rsid w:val="00BF1CE0"/>
    <w:rsid w:val="00BF27C9"/>
    <w:rsid w:val="00BF28A8"/>
    <w:rsid w:val="00BF326B"/>
    <w:rsid w:val="00BF3522"/>
    <w:rsid w:val="00BF4421"/>
    <w:rsid w:val="00BF51B2"/>
    <w:rsid w:val="00BF5275"/>
    <w:rsid w:val="00BF59FD"/>
    <w:rsid w:val="00BF677B"/>
    <w:rsid w:val="00BF71E4"/>
    <w:rsid w:val="00BF7BE3"/>
    <w:rsid w:val="00C0032C"/>
    <w:rsid w:val="00C00488"/>
    <w:rsid w:val="00C02987"/>
    <w:rsid w:val="00C03834"/>
    <w:rsid w:val="00C048D3"/>
    <w:rsid w:val="00C04F55"/>
    <w:rsid w:val="00C0763E"/>
    <w:rsid w:val="00C07BE2"/>
    <w:rsid w:val="00C100AD"/>
    <w:rsid w:val="00C11734"/>
    <w:rsid w:val="00C125BE"/>
    <w:rsid w:val="00C13190"/>
    <w:rsid w:val="00C14CD7"/>
    <w:rsid w:val="00C15F8D"/>
    <w:rsid w:val="00C17559"/>
    <w:rsid w:val="00C17959"/>
    <w:rsid w:val="00C20C5E"/>
    <w:rsid w:val="00C21148"/>
    <w:rsid w:val="00C21B6B"/>
    <w:rsid w:val="00C2281D"/>
    <w:rsid w:val="00C23A69"/>
    <w:rsid w:val="00C24388"/>
    <w:rsid w:val="00C25507"/>
    <w:rsid w:val="00C261DB"/>
    <w:rsid w:val="00C26CF7"/>
    <w:rsid w:val="00C272CA"/>
    <w:rsid w:val="00C27827"/>
    <w:rsid w:val="00C32B8B"/>
    <w:rsid w:val="00C33A25"/>
    <w:rsid w:val="00C34B9C"/>
    <w:rsid w:val="00C34C23"/>
    <w:rsid w:val="00C35103"/>
    <w:rsid w:val="00C352D3"/>
    <w:rsid w:val="00C35D87"/>
    <w:rsid w:val="00C402DB"/>
    <w:rsid w:val="00C4047B"/>
    <w:rsid w:val="00C40FA2"/>
    <w:rsid w:val="00C441A2"/>
    <w:rsid w:val="00C45B92"/>
    <w:rsid w:val="00C45EAD"/>
    <w:rsid w:val="00C505CD"/>
    <w:rsid w:val="00C5133A"/>
    <w:rsid w:val="00C51CF9"/>
    <w:rsid w:val="00C52037"/>
    <w:rsid w:val="00C54D23"/>
    <w:rsid w:val="00C55D29"/>
    <w:rsid w:val="00C56731"/>
    <w:rsid w:val="00C57230"/>
    <w:rsid w:val="00C62631"/>
    <w:rsid w:val="00C642A6"/>
    <w:rsid w:val="00C653F6"/>
    <w:rsid w:val="00C663D1"/>
    <w:rsid w:val="00C66B06"/>
    <w:rsid w:val="00C70A4E"/>
    <w:rsid w:val="00C70D56"/>
    <w:rsid w:val="00C70DA2"/>
    <w:rsid w:val="00C71333"/>
    <w:rsid w:val="00C714D1"/>
    <w:rsid w:val="00C71D03"/>
    <w:rsid w:val="00C720C2"/>
    <w:rsid w:val="00C75555"/>
    <w:rsid w:val="00C76B58"/>
    <w:rsid w:val="00C77022"/>
    <w:rsid w:val="00C7735E"/>
    <w:rsid w:val="00C77D2E"/>
    <w:rsid w:val="00C80588"/>
    <w:rsid w:val="00C8177A"/>
    <w:rsid w:val="00C81A63"/>
    <w:rsid w:val="00C859A5"/>
    <w:rsid w:val="00C85E2B"/>
    <w:rsid w:val="00C8699E"/>
    <w:rsid w:val="00C869CB"/>
    <w:rsid w:val="00C86F49"/>
    <w:rsid w:val="00C87049"/>
    <w:rsid w:val="00C87A8B"/>
    <w:rsid w:val="00C90225"/>
    <w:rsid w:val="00C91C6E"/>
    <w:rsid w:val="00C93035"/>
    <w:rsid w:val="00C930EC"/>
    <w:rsid w:val="00C93390"/>
    <w:rsid w:val="00C93D78"/>
    <w:rsid w:val="00CA0418"/>
    <w:rsid w:val="00CA0A91"/>
    <w:rsid w:val="00CA0BB0"/>
    <w:rsid w:val="00CA0FEA"/>
    <w:rsid w:val="00CA1DD8"/>
    <w:rsid w:val="00CA2659"/>
    <w:rsid w:val="00CA323B"/>
    <w:rsid w:val="00CA3675"/>
    <w:rsid w:val="00CA3A6F"/>
    <w:rsid w:val="00CA40CA"/>
    <w:rsid w:val="00CA43A4"/>
    <w:rsid w:val="00CA63B0"/>
    <w:rsid w:val="00CA6D87"/>
    <w:rsid w:val="00CA7B4F"/>
    <w:rsid w:val="00CA7DE3"/>
    <w:rsid w:val="00CB6550"/>
    <w:rsid w:val="00CB678D"/>
    <w:rsid w:val="00CB7109"/>
    <w:rsid w:val="00CB7206"/>
    <w:rsid w:val="00CB7813"/>
    <w:rsid w:val="00CC1834"/>
    <w:rsid w:val="00CC1AA1"/>
    <w:rsid w:val="00CC2DE2"/>
    <w:rsid w:val="00CC3EF6"/>
    <w:rsid w:val="00CC4889"/>
    <w:rsid w:val="00CC4974"/>
    <w:rsid w:val="00CC5F1B"/>
    <w:rsid w:val="00CC7D37"/>
    <w:rsid w:val="00CD0CCE"/>
    <w:rsid w:val="00CD2A77"/>
    <w:rsid w:val="00CD2DF4"/>
    <w:rsid w:val="00CD3399"/>
    <w:rsid w:val="00CD3C65"/>
    <w:rsid w:val="00CD4572"/>
    <w:rsid w:val="00CD464D"/>
    <w:rsid w:val="00CD51DF"/>
    <w:rsid w:val="00CD5558"/>
    <w:rsid w:val="00CD56D6"/>
    <w:rsid w:val="00CD7401"/>
    <w:rsid w:val="00CD7E73"/>
    <w:rsid w:val="00CE002D"/>
    <w:rsid w:val="00CE117E"/>
    <w:rsid w:val="00CE322C"/>
    <w:rsid w:val="00CE3283"/>
    <w:rsid w:val="00CE32AC"/>
    <w:rsid w:val="00CE39E2"/>
    <w:rsid w:val="00CE4D3A"/>
    <w:rsid w:val="00CE7678"/>
    <w:rsid w:val="00CF008F"/>
    <w:rsid w:val="00CF08FB"/>
    <w:rsid w:val="00CF0C48"/>
    <w:rsid w:val="00CF0ECD"/>
    <w:rsid w:val="00CF1974"/>
    <w:rsid w:val="00CF2430"/>
    <w:rsid w:val="00CF7385"/>
    <w:rsid w:val="00D0027E"/>
    <w:rsid w:val="00D00BC1"/>
    <w:rsid w:val="00D0158A"/>
    <w:rsid w:val="00D0215D"/>
    <w:rsid w:val="00D02736"/>
    <w:rsid w:val="00D05035"/>
    <w:rsid w:val="00D066D8"/>
    <w:rsid w:val="00D07A63"/>
    <w:rsid w:val="00D10110"/>
    <w:rsid w:val="00D11BF6"/>
    <w:rsid w:val="00D1268A"/>
    <w:rsid w:val="00D149D4"/>
    <w:rsid w:val="00D15098"/>
    <w:rsid w:val="00D168AD"/>
    <w:rsid w:val="00D16F23"/>
    <w:rsid w:val="00D1775C"/>
    <w:rsid w:val="00D207ED"/>
    <w:rsid w:val="00D22718"/>
    <w:rsid w:val="00D23A75"/>
    <w:rsid w:val="00D24D67"/>
    <w:rsid w:val="00D25179"/>
    <w:rsid w:val="00D261C3"/>
    <w:rsid w:val="00D26C41"/>
    <w:rsid w:val="00D275F4"/>
    <w:rsid w:val="00D27C9B"/>
    <w:rsid w:val="00D3010C"/>
    <w:rsid w:val="00D320D6"/>
    <w:rsid w:val="00D34DE0"/>
    <w:rsid w:val="00D3639F"/>
    <w:rsid w:val="00D37A4C"/>
    <w:rsid w:val="00D40243"/>
    <w:rsid w:val="00D405AC"/>
    <w:rsid w:val="00D41569"/>
    <w:rsid w:val="00D4308A"/>
    <w:rsid w:val="00D444E0"/>
    <w:rsid w:val="00D44D41"/>
    <w:rsid w:val="00D45639"/>
    <w:rsid w:val="00D4579A"/>
    <w:rsid w:val="00D45963"/>
    <w:rsid w:val="00D464C9"/>
    <w:rsid w:val="00D477D1"/>
    <w:rsid w:val="00D5091E"/>
    <w:rsid w:val="00D51A00"/>
    <w:rsid w:val="00D525BD"/>
    <w:rsid w:val="00D53805"/>
    <w:rsid w:val="00D54FAC"/>
    <w:rsid w:val="00D564BD"/>
    <w:rsid w:val="00D571F6"/>
    <w:rsid w:val="00D578CC"/>
    <w:rsid w:val="00D61153"/>
    <w:rsid w:val="00D6240A"/>
    <w:rsid w:val="00D63652"/>
    <w:rsid w:val="00D64A70"/>
    <w:rsid w:val="00D657C4"/>
    <w:rsid w:val="00D66957"/>
    <w:rsid w:val="00D67A02"/>
    <w:rsid w:val="00D714C5"/>
    <w:rsid w:val="00D71ABC"/>
    <w:rsid w:val="00D71F27"/>
    <w:rsid w:val="00D7249E"/>
    <w:rsid w:val="00D75C91"/>
    <w:rsid w:val="00D76086"/>
    <w:rsid w:val="00D766C2"/>
    <w:rsid w:val="00D80D62"/>
    <w:rsid w:val="00D80F1C"/>
    <w:rsid w:val="00D840C3"/>
    <w:rsid w:val="00D85D69"/>
    <w:rsid w:val="00D863AC"/>
    <w:rsid w:val="00D863D3"/>
    <w:rsid w:val="00D90311"/>
    <w:rsid w:val="00D91F57"/>
    <w:rsid w:val="00D92A09"/>
    <w:rsid w:val="00D93A70"/>
    <w:rsid w:val="00D95354"/>
    <w:rsid w:val="00D96183"/>
    <w:rsid w:val="00D96B5A"/>
    <w:rsid w:val="00D96F63"/>
    <w:rsid w:val="00D97E4A"/>
    <w:rsid w:val="00DA13F9"/>
    <w:rsid w:val="00DA17E9"/>
    <w:rsid w:val="00DA3373"/>
    <w:rsid w:val="00DA47C0"/>
    <w:rsid w:val="00DA4BA3"/>
    <w:rsid w:val="00DA526C"/>
    <w:rsid w:val="00DA53C4"/>
    <w:rsid w:val="00DA6C03"/>
    <w:rsid w:val="00DA7FCC"/>
    <w:rsid w:val="00DB04DC"/>
    <w:rsid w:val="00DB0C8F"/>
    <w:rsid w:val="00DB128F"/>
    <w:rsid w:val="00DB1469"/>
    <w:rsid w:val="00DB20C3"/>
    <w:rsid w:val="00DB303E"/>
    <w:rsid w:val="00DB39CA"/>
    <w:rsid w:val="00DB408E"/>
    <w:rsid w:val="00DB415B"/>
    <w:rsid w:val="00DB4E25"/>
    <w:rsid w:val="00DC081C"/>
    <w:rsid w:val="00DC1CFE"/>
    <w:rsid w:val="00DC219E"/>
    <w:rsid w:val="00DC2B68"/>
    <w:rsid w:val="00DC2CB8"/>
    <w:rsid w:val="00DC3BBC"/>
    <w:rsid w:val="00DC4011"/>
    <w:rsid w:val="00DC69A1"/>
    <w:rsid w:val="00DD056F"/>
    <w:rsid w:val="00DD0908"/>
    <w:rsid w:val="00DD1171"/>
    <w:rsid w:val="00DD1BDD"/>
    <w:rsid w:val="00DD1E1F"/>
    <w:rsid w:val="00DD277E"/>
    <w:rsid w:val="00DD2956"/>
    <w:rsid w:val="00DD2B50"/>
    <w:rsid w:val="00DD3076"/>
    <w:rsid w:val="00DD315D"/>
    <w:rsid w:val="00DD364A"/>
    <w:rsid w:val="00DD439B"/>
    <w:rsid w:val="00DD481F"/>
    <w:rsid w:val="00DD56F2"/>
    <w:rsid w:val="00DD6BAA"/>
    <w:rsid w:val="00DE0920"/>
    <w:rsid w:val="00DE1A4E"/>
    <w:rsid w:val="00DE31DE"/>
    <w:rsid w:val="00DE571E"/>
    <w:rsid w:val="00DE5987"/>
    <w:rsid w:val="00DE73D1"/>
    <w:rsid w:val="00DE7CEE"/>
    <w:rsid w:val="00DF074E"/>
    <w:rsid w:val="00DF0AF1"/>
    <w:rsid w:val="00DF2B46"/>
    <w:rsid w:val="00DF37D8"/>
    <w:rsid w:val="00DF3D56"/>
    <w:rsid w:val="00DF491C"/>
    <w:rsid w:val="00DF4B96"/>
    <w:rsid w:val="00DF5D41"/>
    <w:rsid w:val="00E019D4"/>
    <w:rsid w:val="00E02CCF"/>
    <w:rsid w:val="00E04F09"/>
    <w:rsid w:val="00E06623"/>
    <w:rsid w:val="00E066B1"/>
    <w:rsid w:val="00E06E9D"/>
    <w:rsid w:val="00E07F03"/>
    <w:rsid w:val="00E123B4"/>
    <w:rsid w:val="00E133F8"/>
    <w:rsid w:val="00E1474E"/>
    <w:rsid w:val="00E154CF"/>
    <w:rsid w:val="00E1598E"/>
    <w:rsid w:val="00E15C66"/>
    <w:rsid w:val="00E16A40"/>
    <w:rsid w:val="00E170FE"/>
    <w:rsid w:val="00E171C4"/>
    <w:rsid w:val="00E1764E"/>
    <w:rsid w:val="00E17818"/>
    <w:rsid w:val="00E2059B"/>
    <w:rsid w:val="00E208A8"/>
    <w:rsid w:val="00E209A5"/>
    <w:rsid w:val="00E22213"/>
    <w:rsid w:val="00E22E65"/>
    <w:rsid w:val="00E25053"/>
    <w:rsid w:val="00E2551A"/>
    <w:rsid w:val="00E27FE9"/>
    <w:rsid w:val="00E30391"/>
    <w:rsid w:val="00E31FC0"/>
    <w:rsid w:val="00E32273"/>
    <w:rsid w:val="00E33039"/>
    <w:rsid w:val="00E330A5"/>
    <w:rsid w:val="00E3628A"/>
    <w:rsid w:val="00E36EEC"/>
    <w:rsid w:val="00E40524"/>
    <w:rsid w:val="00E432A9"/>
    <w:rsid w:val="00E43879"/>
    <w:rsid w:val="00E44CF6"/>
    <w:rsid w:val="00E457CB"/>
    <w:rsid w:val="00E46CCD"/>
    <w:rsid w:val="00E50C52"/>
    <w:rsid w:val="00E532A0"/>
    <w:rsid w:val="00E5352B"/>
    <w:rsid w:val="00E548A3"/>
    <w:rsid w:val="00E5507C"/>
    <w:rsid w:val="00E561AC"/>
    <w:rsid w:val="00E5693B"/>
    <w:rsid w:val="00E578AD"/>
    <w:rsid w:val="00E57DCB"/>
    <w:rsid w:val="00E61A26"/>
    <w:rsid w:val="00E62AD3"/>
    <w:rsid w:val="00E6363C"/>
    <w:rsid w:val="00E656FC"/>
    <w:rsid w:val="00E66378"/>
    <w:rsid w:val="00E668DB"/>
    <w:rsid w:val="00E67A7D"/>
    <w:rsid w:val="00E70E86"/>
    <w:rsid w:val="00E70EB7"/>
    <w:rsid w:val="00E71BA4"/>
    <w:rsid w:val="00E73A34"/>
    <w:rsid w:val="00E74AC3"/>
    <w:rsid w:val="00E75305"/>
    <w:rsid w:val="00E768DA"/>
    <w:rsid w:val="00E76F0E"/>
    <w:rsid w:val="00E77E37"/>
    <w:rsid w:val="00E826A2"/>
    <w:rsid w:val="00E82B8B"/>
    <w:rsid w:val="00E82EDC"/>
    <w:rsid w:val="00E83CA8"/>
    <w:rsid w:val="00E8416F"/>
    <w:rsid w:val="00E844FF"/>
    <w:rsid w:val="00E8462A"/>
    <w:rsid w:val="00E84B06"/>
    <w:rsid w:val="00E86BB3"/>
    <w:rsid w:val="00E87D00"/>
    <w:rsid w:val="00E87F04"/>
    <w:rsid w:val="00E91C47"/>
    <w:rsid w:val="00E92997"/>
    <w:rsid w:val="00E934E1"/>
    <w:rsid w:val="00E93B63"/>
    <w:rsid w:val="00E95EB4"/>
    <w:rsid w:val="00E96399"/>
    <w:rsid w:val="00E96FA0"/>
    <w:rsid w:val="00EA0225"/>
    <w:rsid w:val="00EA0F20"/>
    <w:rsid w:val="00EA30B6"/>
    <w:rsid w:val="00EA30C5"/>
    <w:rsid w:val="00EA50AF"/>
    <w:rsid w:val="00EA5B59"/>
    <w:rsid w:val="00EA76B5"/>
    <w:rsid w:val="00EA7A24"/>
    <w:rsid w:val="00EB02FA"/>
    <w:rsid w:val="00EB1E39"/>
    <w:rsid w:val="00EB4467"/>
    <w:rsid w:val="00EB49EA"/>
    <w:rsid w:val="00EB5B64"/>
    <w:rsid w:val="00EB68D5"/>
    <w:rsid w:val="00EB7DD4"/>
    <w:rsid w:val="00EB7FEB"/>
    <w:rsid w:val="00EC00BC"/>
    <w:rsid w:val="00EC0DBD"/>
    <w:rsid w:val="00EC0E78"/>
    <w:rsid w:val="00EC119F"/>
    <w:rsid w:val="00EC27B7"/>
    <w:rsid w:val="00EC66E8"/>
    <w:rsid w:val="00EC6B1D"/>
    <w:rsid w:val="00EC6F2C"/>
    <w:rsid w:val="00ED0159"/>
    <w:rsid w:val="00ED0969"/>
    <w:rsid w:val="00ED3709"/>
    <w:rsid w:val="00ED4A32"/>
    <w:rsid w:val="00ED5197"/>
    <w:rsid w:val="00ED5324"/>
    <w:rsid w:val="00ED5E0D"/>
    <w:rsid w:val="00ED65D0"/>
    <w:rsid w:val="00EE0383"/>
    <w:rsid w:val="00EE38A2"/>
    <w:rsid w:val="00EE4556"/>
    <w:rsid w:val="00EE5E0B"/>
    <w:rsid w:val="00EE6185"/>
    <w:rsid w:val="00EE64EC"/>
    <w:rsid w:val="00EE72B9"/>
    <w:rsid w:val="00EE7695"/>
    <w:rsid w:val="00EF1812"/>
    <w:rsid w:val="00EF206A"/>
    <w:rsid w:val="00EF4640"/>
    <w:rsid w:val="00EF564C"/>
    <w:rsid w:val="00EF5812"/>
    <w:rsid w:val="00EF71AC"/>
    <w:rsid w:val="00EF7317"/>
    <w:rsid w:val="00F004F1"/>
    <w:rsid w:val="00F0157E"/>
    <w:rsid w:val="00F0232C"/>
    <w:rsid w:val="00F03620"/>
    <w:rsid w:val="00F0482E"/>
    <w:rsid w:val="00F04BDE"/>
    <w:rsid w:val="00F05079"/>
    <w:rsid w:val="00F05EFD"/>
    <w:rsid w:val="00F077D9"/>
    <w:rsid w:val="00F07939"/>
    <w:rsid w:val="00F11BF2"/>
    <w:rsid w:val="00F130B8"/>
    <w:rsid w:val="00F13571"/>
    <w:rsid w:val="00F1364B"/>
    <w:rsid w:val="00F1546E"/>
    <w:rsid w:val="00F16642"/>
    <w:rsid w:val="00F172F9"/>
    <w:rsid w:val="00F17ECF"/>
    <w:rsid w:val="00F20835"/>
    <w:rsid w:val="00F21AE1"/>
    <w:rsid w:val="00F223A5"/>
    <w:rsid w:val="00F229D3"/>
    <w:rsid w:val="00F24C66"/>
    <w:rsid w:val="00F25917"/>
    <w:rsid w:val="00F25D8F"/>
    <w:rsid w:val="00F26BDC"/>
    <w:rsid w:val="00F3099B"/>
    <w:rsid w:val="00F31D6E"/>
    <w:rsid w:val="00F35665"/>
    <w:rsid w:val="00F360E4"/>
    <w:rsid w:val="00F40843"/>
    <w:rsid w:val="00F415AC"/>
    <w:rsid w:val="00F42234"/>
    <w:rsid w:val="00F43D76"/>
    <w:rsid w:val="00F43DEC"/>
    <w:rsid w:val="00F43EA8"/>
    <w:rsid w:val="00F45638"/>
    <w:rsid w:val="00F45897"/>
    <w:rsid w:val="00F47278"/>
    <w:rsid w:val="00F508DF"/>
    <w:rsid w:val="00F54F34"/>
    <w:rsid w:val="00F57454"/>
    <w:rsid w:val="00F60949"/>
    <w:rsid w:val="00F61362"/>
    <w:rsid w:val="00F616A7"/>
    <w:rsid w:val="00F62444"/>
    <w:rsid w:val="00F62F3D"/>
    <w:rsid w:val="00F64587"/>
    <w:rsid w:val="00F64824"/>
    <w:rsid w:val="00F6531E"/>
    <w:rsid w:val="00F667C0"/>
    <w:rsid w:val="00F66A7D"/>
    <w:rsid w:val="00F6773A"/>
    <w:rsid w:val="00F67E95"/>
    <w:rsid w:val="00F72FE1"/>
    <w:rsid w:val="00F73828"/>
    <w:rsid w:val="00F75592"/>
    <w:rsid w:val="00F76BBE"/>
    <w:rsid w:val="00F80633"/>
    <w:rsid w:val="00F811B8"/>
    <w:rsid w:val="00F815E8"/>
    <w:rsid w:val="00F81BB5"/>
    <w:rsid w:val="00F82ADB"/>
    <w:rsid w:val="00F860D8"/>
    <w:rsid w:val="00F864FF"/>
    <w:rsid w:val="00F87AC5"/>
    <w:rsid w:val="00F90362"/>
    <w:rsid w:val="00F90839"/>
    <w:rsid w:val="00F91060"/>
    <w:rsid w:val="00F91676"/>
    <w:rsid w:val="00F96BD9"/>
    <w:rsid w:val="00F97097"/>
    <w:rsid w:val="00F9714B"/>
    <w:rsid w:val="00F97890"/>
    <w:rsid w:val="00FA0A70"/>
    <w:rsid w:val="00FA0C39"/>
    <w:rsid w:val="00FA0DCE"/>
    <w:rsid w:val="00FA2E35"/>
    <w:rsid w:val="00FA3534"/>
    <w:rsid w:val="00FA48EF"/>
    <w:rsid w:val="00FA4A50"/>
    <w:rsid w:val="00FA4B80"/>
    <w:rsid w:val="00FA6646"/>
    <w:rsid w:val="00FB0AAC"/>
    <w:rsid w:val="00FB265E"/>
    <w:rsid w:val="00FB2F1F"/>
    <w:rsid w:val="00FB2F7A"/>
    <w:rsid w:val="00FB2FFC"/>
    <w:rsid w:val="00FB4C59"/>
    <w:rsid w:val="00FB4F60"/>
    <w:rsid w:val="00FB6357"/>
    <w:rsid w:val="00FB71EE"/>
    <w:rsid w:val="00FC0FA5"/>
    <w:rsid w:val="00FC25F0"/>
    <w:rsid w:val="00FC3380"/>
    <w:rsid w:val="00FC3E14"/>
    <w:rsid w:val="00FC4A99"/>
    <w:rsid w:val="00FC5AE4"/>
    <w:rsid w:val="00FC6AE0"/>
    <w:rsid w:val="00FD0EB3"/>
    <w:rsid w:val="00FD2075"/>
    <w:rsid w:val="00FD6727"/>
    <w:rsid w:val="00FE0ACE"/>
    <w:rsid w:val="00FE3A1B"/>
    <w:rsid w:val="00FE4EF8"/>
    <w:rsid w:val="00FE512A"/>
    <w:rsid w:val="00FE5EC0"/>
    <w:rsid w:val="00FE7712"/>
    <w:rsid w:val="00FF10D4"/>
    <w:rsid w:val="00FF18C8"/>
    <w:rsid w:val="00FF1A0F"/>
    <w:rsid w:val="00FF429E"/>
    <w:rsid w:val="00FF4A61"/>
    <w:rsid w:val="00FF5205"/>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14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uc.ca.gov/" TargetMode="Externa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5.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puc.ca.gov/General.aspx?id=908" TargetMode="External"/><Relationship Id="rId2" Type="http://schemas.openxmlformats.org/officeDocument/2006/relationships/hyperlink" Target="http://www.edenhousing.org/" TargetMode="External"/><Relationship Id="rId1" Type="http://schemas.openxmlformats.org/officeDocument/2006/relationships/hyperlink" Target="http://ww2.hacsb.com/news-report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4847</Words>
  <Characters>26659</Characters>
  <Application>Microsoft Office Word</Application>
  <DocSecurity>0</DocSecurity>
  <Lines>607</Lines>
  <Paragraphs>153</Paragraphs>
  <ScaleCrop>false</ScaleCrop>
  <HeadingPairs>
    <vt:vector size="2" baseType="variant">
      <vt:variant>
        <vt:lpstr>Title</vt:lpstr>
      </vt:variant>
      <vt:variant>
        <vt:i4>1</vt:i4>
      </vt:variant>
    </vt:vector>
  </HeadingPairs>
  <TitlesOfParts>
    <vt:vector size="1" baseType="lpstr">
      <vt:lpstr>ResolutionTemplate(Comment)</vt:lpstr>
    </vt:vector>
  </TitlesOfParts>
  <Manager/>
  <Company/>
  <LinksUpToDate>false</LinksUpToDate>
  <CharactersWithSpaces>31593</CharactersWithSpaces>
  <SharedDoc>false</SharedDoc>
  <HyperlinkBase> </HyperlinkBase>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
  <cp:keywords> </cp:keywords>
  <dc:description> </dc:description>
  <cp:lastModifiedBy/>
  <cp:revision>1</cp:revision>
  <cp:lastPrinted>2016-05-05T21:47:00Z</cp:lastPrinted>
  <dcterms:created xsi:type="dcterms:W3CDTF">2016-05-06T16:51:00Z</dcterms:created>
  <dcterms:modified xsi:type="dcterms:W3CDTF">2016-05-06T16:51:00Z</dcterms:modified>
  <cp:category> </cp:category>
  <cp:contentStatus> </cp:contentStatus>
</cp:coreProperties>
</file>