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6B" w:rsidRPr="007654FF" w:rsidRDefault="00E459E2" w:rsidP="007654FF">
      <w:pPr>
        <w:tabs>
          <w:tab w:val="left" w:pos="2160"/>
          <w:tab w:val="left" w:pos="5760"/>
        </w:tabs>
        <w:rPr>
          <w:szCs w:val="26"/>
        </w:rPr>
      </w:pPr>
      <w:bookmarkStart w:id="0" w:name="_GoBack"/>
      <w:bookmarkEnd w:id="0"/>
      <w:r>
        <w:t>ALJ/MLC/ar9</w:t>
      </w:r>
      <w:r w:rsidR="007E6E0C">
        <w:tab/>
      </w:r>
      <w:r w:rsidR="007654FF">
        <w:tab/>
      </w:r>
      <w:r w:rsidR="007654FF" w:rsidRPr="007654FF">
        <w:rPr>
          <w:rFonts w:ascii="Helvetica" w:hAnsi="Helvetica"/>
          <w:b/>
          <w:szCs w:val="26"/>
        </w:rPr>
        <w:t>Date of Issuance 5/19/2016</w:t>
      </w:r>
    </w:p>
    <w:p w:rsidR="007654FF" w:rsidRDefault="007654FF" w:rsidP="007654FF">
      <w:pPr>
        <w:tabs>
          <w:tab w:val="left" w:pos="2160"/>
          <w:tab w:val="left" w:pos="6120"/>
        </w:tabs>
      </w:pPr>
    </w:p>
    <w:p w:rsidR="00B30FF9" w:rsidRDefault="00B30FF9"/>
    <w:p w:rsidR="00B30FF9" w:rsidRPr="007654FF" w:rsidRDefault="007654FF" w:rsidP="007E6E0C">
      <w:pPr>
        <w:tabs>
          <w:tab w:val="left" w:pos="2880"/>
        </w:tabs>
        <w:suppressAutoHyphens/>
        <w:rPr>
          <w:b/>
          <w:sz w:val="20"/>
        </w:rPr>
      </w:pPr>
      <w:r>
        <w:t>Decision 16-05-006  May 12, 2016</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328"/>
        <w:gridCol w:w="3917"/>
      </w:tblGrid>
      <w:tr w:rsidR="000B7B13" w:rsidRPr="003B4A70" w:rsidTr="00C15735">
        <w:tc>
          <w:tcPr>
            <w:tcW w:w="5328" w:type="dxa"/>
            <w:tcBorders>
              <w:bottom w:val="single" w:sz="6" w:space="0" w:color="auto"/>
              <w:right w:val="single" w:sz="6" w:space="0" w:color="auto"/>
            </w:tcBorders>
          </w:tcPr>
          <w:p w:rsidR="000B7B13" w:rsidRDefault="000B7B13" w:rsidP="000B7B13">
            <w:pPr>
              <w:pStyle w:val="Default"/>
              <w:rPr>
                <w:rFonts w:ascii="Palatino" w:hAnsi="Palatino" w:cs="Times New Roman"/>
                <w:color w:val="auto"/>
                <w:sz w:val="26"/>
                <w:szCs w:val="20"/>
              </w:rPr>
            </w:pPr>
            <w:r>
              <w:rPr>
                <w:rFonts w:ascii="Palatino" w:hAnsi="Palatino" w:cs="Times New Roman"/>
                <w:color w:val="auto"/>
                <w:sz w:val="26"/>
                <w:szCs w:val="20"/>
              </w:rPr>
              <w:t>Application of San Diego Gas &amp; Electric Company (U902E) for Authority to Implement Optional Pilot Program to Increase Customer Access to Solar Generated Electricity.</w:t>
            </w:r>
          </w:p>
          <w:p w:rsidR="000B7B13" w:rsidRPr="003B4A70" w:rsidRDefault="000B7B13" w:rsidP="00C15735">
            <w:pPr>
              <w:tabs>
                <w:tab w:val="left" w:pos="4575"/>
              </w:tabs>
            </w:pPr>
          </w:p>
        </w:tc>
        <w:tc>
          <w:tcPr>
            <w:tcW w:w="3917" w:type="dxa"/>
            <w:tcBorders>
              <w:left w:val="nil"/>
            </w:tcBorders>
          </w:tcPr>
          <w:p w:rsidR="000B7B13" w:rsidRPr="003B4A70" w:rsidRDefault="000B7B13" w:rsidP="00C15735">
            <w:pPr>
              <w:jc w:val="center"/>
            </w:pPr>
          </w:p>
          <w:p w:rsidR="000B7B13" w:rsidRDefault="000B7B13" w:rsidP="000B7B13">
            <w:pPr>
              <w:pStyle w:val="Default"/>
              <w:jc w:val="center"/>
              <w:rPr>
                <w:rFonts w:ascii="Palatino" w:hAnsi="Palatino" w:cs="Times New Roman"/>
                <w:color w:val="auto"/>
                <w:sz w:val="26"/>
                <w:szCs w:val="20"/>
              </w:rPr>
            </w:pPr>
            <w:r>
              <w:rPr>
                <w:rFonts w:ascii="Palatino" w:hAnsi="Palatino" w:cs="Times New Roman"/>
                <w:color w:val="auto"/>
                <w:sz w:val="26"/>
                <w:szCs w:val="20"/>
              </w:rPr>
              <w:t>Application 12-01-008</w:t>
            </w:r>
          </w:p>
          <w:p w:rsidR="000B7B13" w:rsidRPr="003B4A70" w:rsidRDefault="000B7B13" w:rsidP="000B7B13">
            <w:pPr>
              <w:jc w:val="center"/>
            </w:pPr>
            <w:r>
              <w:t>(Filed January 17, 2012)</w:t>
            </w:r>
          </w:p>
        </w:tc>
      </w:tr>
      <w:tr w:rsidR="000B7B13" w:rsidRPr="003B4A70" w:rsidTr="00C15735">
        <w:tc>
          <w:tcPr>
            <w:tcW w:w="5328" w:type="dxa"/>
            <w:tcBorders>
              <w:bottom w:val="single" w:sz="6" w:space="0" w:color="auto"/>
              <w:right w:val="single" w:sz="6" w:space="0" w:color="auto"/>
            </w:tcBorders>
          </w:tcPr>
          <w:p w:rsidR="000B7B13" w:rsidRPr="003B4A70" w:rsidRDefault="000B7B13" w:rsidP="00C15735">
            <w:pPr>
              <w:tabs>
                <w:tab w:val="left" w:pos="4575"/>
              </w:tabs>
            </w:pPr>
          </w:p>
          <w:p w:rsidR="000B7B13" w:rsidRDefault="000B7B13" w:rsidP="00040CE2">
            <w:pPr>
              <w:tabs>
                <w:tab w:val="left" w:pos="4575"/>
              </w:tabs>
            </w:pPr>
            <w:r w:rsidRPr="003B4A70">
              <w:t>And Related Matters.</w:t>
            </w:r>
          </w:p>
          <w:p w:rsidR="00040CE2" w:rsidRPr="003B4A70" w:rsidRDefault="00040CE2" w:rsidP="00040CE2">
            <w:pPr>
              <w:tabs>
                <w:tab w:val="left" w:pos="4575"/>
              </w:tabs>
            </w:pPr>
          </w:p>
        </w:tc>
        <w:tc>
          <w:tcPr>
            <w:tcW w:w="3917" w:type="dxa"/>
            <w:tcBorders>
              <w:left w:val="nil"/>
            </w:tcBorders>
          </w:tcPr>
          <w:p w:rsidR="000B7B13" w:rsidRDefault="000B7B13" w:rsidP="00040CE2">
            <w:pPr>
              <w:pStyle w:val="Default"/>
              <w:spacing w:before="120"/>
              <w:jc w:val="center"/>
              <w:rPr>
                <w:rFonts w:ascii="Palatino" w:hAnsi="Palatino" w:cs="Times New Roman"/>
                <w:color w:val="auto"/>
                <w:sz w:val="26"/>
                <w:szCs w:val="20"/>
              </w:rPr>
            </w:pPr>
            <w:r>
              <w:rPr>
                <w:rFonts w:ascii="Palatino" w:hAnsi="Palatino" w:cs="Times New Roman"/>
                <w:color w:val="auto"/>
                <w:sz w:val="26"/>
                <w:szCs w:val="20"/>
              </w:rPr>
              <w:t>Application 12-04-020</w:t>
            </w:r>
          </w:p>
          <w:p w:rsidR="000B7B13" w:rsidRPr="003B4A70" w:rsidRDefault="000B7B13" w:rsidP="000B7B13">
            <w:pPr>
              <w:jc w:val="center"/>
            </w:pPr>
            <w:r>
              <w:t>Application 14-01-007</w:t>
            </w:r>
          </w:p>
        </w:tc>
      </w:tr>
    </w:tbl>
    <w:p w:rsidR="000B7B13" w:rsidRDefault="000B7B13">
      <w:pPr>
        <w:suppressAutoHyphens/>
      </w:pPr>
    </w:p>
    <w:p w:rsidR="00E459E2" w:rsidRDefault="00E459E2">
      <w:pPr>
        <w:suppressAutoHyphens/>
      </w:pPr>
    </w:p>
    <w:p w:rsidR="00C15735" w:rsidRDefault="00E459E2" w:rsidP="00C15735">
      <w:pPr>
        <w:pStyle w:val="Heading1"/>
        <w:numPr>
          <w:ilvl w:val="0"/>
          <w:numId w:val="0"/>
        </w:numPr>
        <w:jc w:val="center"/>
      </w:pPr>
      <w:bookmarkStart w:id="1" w:name="_Toc448133291"/>
      <w:r>
        <w:t>DECISION ADDRESSING PARTICIPATION OF ENHANCED COMMUNITY RENEWABLES PROJECTS IN THE RENEWABLE AUCTION MECHANISM AND OTHER REFINEMENTS TO THE GREEN TARIFF SHARED RENEWABLES PROG</w:t>
      </w:r>
      <w:r w:rsidR="00736BB6">
        <w:t>R</w:t>
      </w:r>
      <w:r>
        <w:t>AM</w:t>
      </w:r>
      <w:bookmarkEnd w:id="1"/>
      <w:r>
        <w:t xml:space="preserve"> </w:t>
      </w:r>
    </w:p>
    <w:p w:rsidR="00C15735" w:rsidRPr="00C15735" w:rsidRDefault="00C15735" w:rsidP="00C15735"/>
    <w:p w:rsidR="00C15735" w:rsidRPr="00C15735" w:rsidRDefault="00C15735" w:rsidP="00C15735"/>
    <w:p w:rsidR="00C15735" w:rsidRDefault="00C15735" w:rsidP="00C15735"/>
    <w:p w:rsidR="00C15735" w:rsidRPr="00C15735" w:rsidRDefault="00C15735" w:rsidP="00C15735">
      <w:pPr>
        <w:sectPr w:rsidR="00C15735" w:rsidRPr="00C1573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E62AC" w:rsidRDefault="00C15735">
      <w:pPr>
        <w:pStyle w:val="TOC1"/>
        <w:rPr>
          <w:rFonts w:asciiTheme="minorHAnsi" w:hAnsiTheme="minorHAnsi" w:cstheme="minorBidi"/>
          <w:sz w:val="22"/>
          <w:szCs w:val="22"/>
          <w:lang w:eastAsia="ja-JP"/>
        </w:rPr>
      </w:pPr>
      <w:r>
        <w:rPr>
          <w:b/>
        </w:rPr>
        <w:lastRenderedPageBreak/>
        <w:fldChar w:fldCharType="begin"/>
      </w:r>
      <w:r>
        <w:rPr>
          <w:b/>
        </w:rPr>
        <w:instrText xml:space="preserve"> TOC \o "1-3" \h \z \t "main,1,mainex,1,dummy,1" </w:instrText>
      </w:r>
      <w:r>
        <w:rPr>
          <w:b/>
        </w:rPr>
        <w:fldChar w:fldCharType="separate"/>
      </w:r>
      <w:hyperlink w:anchor="_Toc448133291" w:history="1">
        <w:r w:rsidR="000E62AC" w:rsidRPr="00E81602">
          <w:rPr>
            <w:rStyle w:val="Hyperlink"/>
          </w:rPr>
          <w:t>DECISION ADDRESSING PARTICIPATION OF ENHANCED COMMUNITY RENEWABLES PROJECTS IN THE RENEWABLE AUCTION MECHANISM AND OTHER REFINEMENTS TO THE GREEN TARIFF SHARED RENEWABLES PROGAM</w:t>
        </w:r>
        <w:r w:rsidR="000E62AC">
          <w:rPr>
            <w:webHidden/>
          </w:rPr>
          <w:tab/>
        </w:r>
        <w:r w:rsidR="000E62AC">
          <w:rPr>
            <w:webHidden/>
          </w:rPr>
          <w:fldChar w:fldCharType="begin"/>
        </w:r>
        <w:r w:rsidR="000E62AC">
          <w:rPr>
            <w:webHidden/>
          </w:rPr>
          <w:instrText xml:space="preserve"> PAGEREF _Toc448133291 \h </w:instrText>
        </w:r>
        <w:r w:rsidR="000E62AC">
          <w:rPr>
            <w:webHidden/>
          </w:rPr>
        </w:r>
        <w:r w:rsidR="000E62AC">
          <w:rPr>
            <w:webHidden/>
          </w:rPr>
          <w:fldChar w:fldCharType="separate"/>
        </w:r>
        <w:r w:rsidR="00432C0F">
          <w:rPr>
            <w:webHidden/>
          </w:rPr>
          <w:t>1</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293" w:history="1">
        <w:r w:rsidR="000E62AC" w:rsidRPr="00E81602">
          <w:rPr>
            <w:rStyle w:val="Hyperlink"/>
          </w:rPr>
          <w:t>Summary</w:t>
        </w:r>
        <w:r w:rsidR="000E62AC">
          <w:rPr>
            <w:webHidden/>
          </w:rPr>
          <w:tab/>
        </w:r>
        <w:r w:rsidR="000E62AC">
          <w:rPr>
            <w:webHidden/>
          </w:rPr>
          <w:fldChar w:fldCharType="begin"/>
        </w:r>
        <w:r w:rsidR="000E62AC">
          <w:rPr>
            <w:webHidden/>
          </w:rPr>
          <w:instrText xml:space="preserve"> PAGEREF _Toc448133293 \h </w:instrText>
        </w:r>
        <w:r w:rsidR="000E62AC">
          <w:rPr>
            <w:webHidden/>
          </w:rPr>
        </w:r>
        <w:r w:rsidR="000E62AC">
          <w:rPr>
            <w:webHidden/>
          </w:rPr>
          <w:fldChar w:fldCharType="separate"/>
        </w:r>
        <w:r>
          <w:rPr>
            <w:webHidden/>
          </w:rPr>
          <w:t>2</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294" w:history="1">
        <w:r w:rsidR="000E62AC" w:rsidRPr="00E81602">
          <w:rPr>
            <w:rStyle w:val="Hyperlink"/>
          </w:rPr>
          <w:t>1.</w:t>
        </w:r>
        <w:r w:rsidR="000E62AC">
          <w:rPr>
            <w:rFonts w:asciiTheme="minorHAnsi" w:hAnsiTheme="minorHAnsi" w:cstheme="minorBidi"/>
            <w:sz w:val="22"/>
            <w:szCs w:val="22"/>
            <w:lang w:eastAsia="ja-JP"/>
          </w:rPr>
          <w:tab/>
        </w:r>
        <w:r w:rsidR="000E62AC" w:rsidRPr="00E81602">
          <w:rPr>
            <w:rStyle w:val="Hyperlink"/>
          </w:rPr>
          <w:t>Background</w:t>
        </w:r>
        <w:r w:rsidR="000E62AC">
          <w:rPr>
            <w:webHidden/>
          </w:rPr>
          <w:tab/>
        </w:r>
        <w:r w:rsidR="000E62AC">
          <w:rPr>
            <w:webHidden/>
          </w:rPr>
          <w:fldChar w:fldCharType="begin"/>
        </w:r>
        <w:r w:rsidR="000E62AC">
          <w:rPr>
            <w:webHidden/>
          </w:rPr>
          <w:instrText xml:space="preserve"> PAGEREF _Toc448133294 \h </w:instrText>
        </w:r>
        <w:r w:rsidR="000E62AC">
          <w:rPr>
            <w:webHidden/>
          </w:rPr>
        </w:r>
        <w:r w:rsidR="000E62AC">
          <w:rPr>
            <w:webHidden/>
          </w:rPr>
          <w:fldChar w:fldCharType="separate"/>
        </w:r>
        <w:r>
          <w:rPr>
            <w:webHidden/>
          </w:rPr>
          <w:t>3</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295" w:history="1">
        <w:r w:rsidR="000E62AC" w:rsidRPr="00E81602">
          <w:rPr>
            <w:rStyle w:val="Hyperlink"/>
          </w:rPr>
          <w:t>2.</w:t>
        </w:r>
        <w:r w:rsidR="000E62AC">
          <w:rPr>
            <w:rFonts w:asciiTheme="minorHAnsi" w:hAnsiTheme="minorHAnsi" w:cstheme="minorBidi"/>
            <w:sz w:val="22"/>
            <w:szCs w:val="22"/>
            <w:lang w:eastAsia="ja-JP"/>
          </w:rPr>
          <w:tab/>
        </w:r>
        <w:r w:rsidR="000E62AC" w:rsidRPr="00E81602">
          <w:rPr>
            <w:rStyle w:val="Hyperlink"/>
          </w:rPr>
          <w:t>Issues Before the Commission</w:t>
        </w:r>
        <w:r w:rsidR="000E62AC">
          <w:rPr>
            <w:webHidden/>
          </w:rPr>
          <w:tab/>
        </w:r>
        <w:r w:rsidR="000E62AC">
          <w:rPr>
            <w:webHidden/>
          </w:rPr>
          <w:fldChar w:fldCharType="begin"/>
        </w:r>
        <w:r w:rsidR="000E62AC">
          <w:rPr>
            <w:webHidden/>
          </w:rPr>
          <w:instrText xml:space="preserve"> PAGEREF _Toc448133295 \h </w:instrText>
        </w:r>
        <w:r w:rsidR="000E62AC">
          <w:rPr>
            <w:webHidden/>
          </w:rPr>
        </w:r>
        <w:r w:rsidR="000E62AC">
          <w:rPr>
            <w:webHidden/>
          </w:rPr>
          <w:fldChar w:fldCharType="separate"/>
        </w:r>
        <w:r>
          <w:rPr>
            <w:webHidden/>
          </w:rPr>
          <w:t>5</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296" w:history="1">
        <w:r w:rsidR="000E62AC" w:rsidRPr="00E81602">
          <w:rPr>
            <w:rStyle w:val="Hyperlink"/>
          </w:rPr>
          <w:t>3.</w:t>
        </w:r>
        <w:r w:rsidR="000E62AC">
          <w:rPr>
            <w:rFonts w:asciiTheme="minorHAnsi" w:hAnsiTheme="minorHAnsi" w:cstheme="minorBidi"/>
            <w:sz w:val="22"/>
            <w:szCs w:val="22"/>
            <w:lang w:eastAsia="ja-JP"/>
          </w:rPr>
          <w:tab/>
        </w:r>
        <w:r w:rsidR="000E62AC" w:rsidRPr="00E81602">
          <w:rPr>
            <w:rStyle w:val="Hyperlink"/>
          </w:rPr>
          <w:t>Discussion and Analysis</w:t>
        </w:r>
        <w:r w:rsidR="000E62AC">
          <w:rPr>
            <w:webHidden/>
          </w:rPr>
          <w:tab/>
        </w:r>
        <w:r w:rsidR="000E62AC">
          <w:rPr>
            <w:webHidden/>
          </w:rPr>
          <w:fldChar w:fldCharType="begin"/>
        </w:r>
        <w:r w:rsidR="000E62AC">
          <w:rPr>
            <w:webHidden/>
          </w:rPr>
          <w:instrText xml:space="preserve"> PAGEREF _Toc448133296 \h </w:instrText>
        </w:r>
        <w:r w:rsidR="000E62AC">
          <w:rPr>
            <w:webHidden/>
          </w:rPr>
        </w:r>
        <w:r w:rsidR="000E62AC">
          <w:rPr>
            <w:webHidden/>
          </w:rPr>
          <w:fldChar w:fldCharType="separate"/>
        </w:r>
        <w:r>
          <w:rPr>
            <w:webHidden/>
          </w:rPr>
          <w:t>7</w:t>
        </w:r>
        <w:r w:rsidR="000E62AC">
          <w:rPr>
            <w:webHidden/>
          </w:rPr>
          <w:fldChar w:fldCharType="end"/>
        </w:r>
      </w:hyperlink>
    </w:p>
    <w:p w:rsidR="000E62AC" w:rsidRDefault="00432C0F">
      <w:pPr>
        <w:pStyle w:val="TOC2"/>
        <w:rPr>
          <w:rFonts w:asciiTheme="minorHAnsi" w:hAnsiTheme="minorHAnsi" w:cstheme="minorBidi"/>
          <w:sz w:val="22"/>
          <w:szCs w:val="22"/>
          <w:lang w:eastAsia="ja-JP"/>
        </w:rPr>
      </w:pPr>
      <w:hyperlink w:anchor="_Toc448133297" w:history="1">
        <w:r w:rsidR="000E62AC" w:rsidRPr="00E81602">
          <w:rPr>
            <w:rStyle w:val="Hyperlink"/>
          </w:rPr>
          <w:t>3.1.</w:t>
        </w:r>
        <w:r w:rsidR="000E62AC">
          <w:rPr>
            <w:rFonts w:asciiTheme="minorHAnsi" w:hAnsiTheme="minorHAnsi" w:cstheme="minorBidi"/>
            <w:sz w:val="22"/>
            <w:szCs w:val="22"/>
            <w:lang w:eastAsia="ja-JP"/>
          </w:rPr>
          <w:tab/>
        </w:r>
        <w:r w:rsidR="000E62AC" w:rsidRPr="00E81602">
          <w:rPr>
            <w:rStyle w:val="Hyperlink"/>
          </w:rPr>
          <w:t xml:space="preserve">Changes to Promote Procurement of  </w:t>
        </w:r>
        <w:r w:rsidR="000E62AC">
          <w:rPr>
            <w:rStyle w:val="Hyperlink"/>
          </w:rPr>
          <w:br/>
        </w:r>
        <w:r w:rsidR="000E62AC" w:rsidRPr="00E81602">
          <w:rPr>
            <w:rStyle w:val="Hyperlink"/>
          </w:rPr>
          <w:t>Enhanced Community Renewables Projects</w:t>
        </w:r>
        <w:r w:rsidR="000E62AC">
          <w:rPr>
            <w:webHidden/>
          </w:rPr>
          <w:tab/>
        </w:r>
        <w:r w:rsidR="000E62AC">
          <w:rPr>
            <w:webHidden/>
          </w:rPr>
          <w:fldChar w:fldCharType="begin"/>
        </w:r>
        <w:r w:rsidR="000E62AC">
          <w:rPr>
            <w:webHidden/>
          </w:rPr>
          <w:instrText xml:space="preserve"> PAGEREF _Toc448133297 \h </w:instrText>
        </w:r>
        <w:r w:rsidR="000E62AC">
          <w:rPr>
            <w:webHidden/>
          </w:rPr>
        </w:r>
        <w:r w:rsidR="000E62AC">
          <w:rPr>
            <w:webHidden/>
          </w:rPr>
          <w:fldChar w:fldCharType="separate"/>
        </w:r>
        <w:r>
          <w:rPr>
            <w:webHidden/>
          </w:rPr>
          <w:t>8</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298" w:history="1">
        <w:r w:rsidR="000E62AC" w:rsidRPr="00E81602">
          <w:rPr>
            <w:rStyle w:val="Hyperlink"/>
          </w:rPr>
          <w:t>3.1.1.</w:t>
        </w:r>
        <w:r w:rsidR="000E62AC">
          <w:rPr>
            <w:rFonts w:asciiTheme="minorHAnsi" w:hAnsiTheme="minorHAnsi" w:cstheme="minorBidi"/>
            <w:sz w:val="22"/>
            <w:szCs w:val="22"/>
            <w:lang w:eastAsia="ja-JP"/>
          </w:rPr>
          <w:tab/>
        </w:r>
        <w:r w:rsidR="000E62AC" w:rsidRPr="00E81602">
          <w:rPr>
            <w:rStyle w:val="Hyperlink"/>
          </w:rPr>
          <w:t>Implementation</w:t>
        </w:r>
        <w:r w:rsidR="000E62AC">
          <w:rPr>
            <w:webHidden/>
          </w:rPr>
          <w:tab/>
        </w:r>
        <w:r w:rsidR="000E62AC">
          <w:rPr>
            <w:webHidden/>
          </w:rPr>
          <w:fldChar w:fldCharType="begin"/>
        </w:r>
        <w:r w:rsidR="000E62AC">
          <w:rPr>
            <w:webHidden/>
          </w:rPr>
          <w:instrText xml:space="preserve"> PAGEREF _Toc448133298 \h </w:instrText>
        </w:r>
        <w:r w:rsidR="000E62AC">
          <w:rPr>
            <w:webHidden/>
          </w:rPr>
        </w:r>
        <w:r w:rsidR="000E62AC">
          <w:rPr>
            <w:webHidden/>
          </w:rPr>
          <w:fldChar w:fldCharType="separate"/>
        </w:r>
        <w:r>
          <w:rPr>
            <w:webHidden/>
          </w:rPr>
          <w:t>18</w:t>
        </w:r>
        <w:r w:rsidR="000E62AC">
          <w:rPr>
            <w:webHidden/>
          </w:rPr>
          <w:fldChar w:fldCharType="end"/>
        </w:r>
      </w:hyperlink>
    </w:p>
    <w:p w:rsidR="000E62AC" w:rsidRDefault="00432C0F">
      <w:pPr>
        <w:pStyle w:val="TOC2"/>
        <w:rPr>
          <w:rFonts w:asciiTheme="minorHAnsi" w:hAnsiTheme="minorHAnsi" w:cstheme="minorBidi"/>
          <w:sz w:val="22"/>
          <w:szCs w:val="22"/>
          <w:lang w:eastAsia="ja-JP"/>
        </w:rPr>
      </w:pPr>
      <w:hyperlink w:anchor="_Toc448133299" w:history="1">
        <w:r w:rsidR="000E62AC" w:rsidRPr="00E81602">
          <w:rPr>
            <w:rStyle w:val="Hyperlink"/>
          </w:rPr>
          <w:t>3.2.</w:t>
        </w:r>
        <w:r w:rsidR="000E62AC">
          <w:rPr>
            <w:rFonts w:asciiTheme="minorHAnsi" w:hAnsiTheme="minorHAnsi" w:cstheme="minorBidi"/>
            <w:sz w:val="22"/>
            <w:szCs w:val="22"/>
            <w:lang w:eastAsia="ja-JP"/>
          </w:rPr>
          <w:tab/>
        </w:r>
        <w:r w:rsidR="000E62AC" w:rsidRPr="00E81602">
          <w:rPr>
            <w:rStyle w:val="Hyperlink"/>
          </w:rPr>
          <w:t xml:space="preserve">Changes to the GTSR Program That Improve Affordability, </w:t>
        </w:r>
        <w:r w:rsidR="000E62AC">
          <w:rPr>
            <w:rStyle w:val="Hyperlink"/>
          </w:rPr>
          <w:br/>
        </w:r>
        <w:r w:rsidR="000E62AC" w:rsidRPr="00E81602">
          <w:rPr>
            <w:rStyle w:val="Hyperlink"/>
          </w:rPr>
          <w:t>Longevity, and Understandability of the Program</w:t>
        </w:r>
        <w:r w:rsidR="000E62AC">
          <w:rPr>
            <w:webHidden/>
          </w:rPr>
          <w:tab/>
        </w:r>
        <w:r w:rsidR="000E62AC">
          <w:rPr>
            <w:webHidden/>
          </w:rPr>
          <w:fldChar w:fldCharType="begin"/>
        </w:r>
        <w:r w:rsidR="000E62AC">
          <w:rPr>
            <w:webHidden/>
          </w:rPr>
          <w:instrText xml:space="preserve"> PAGEREF _Toc448133299 \h </w:instrText>
        </w:r>
        <w:r w:rsidR="000E62AC">
          <w:rPr>
            <w:webHidden/>
          </w:rPr>
        </w:r>
        <w:r w:rsidR="000E62AC">
          <w:rPr>
            <w:webHidden/>
          </w:rPr>
          <w:fldChar w:fldCharType="separate"/>
        </w:r>
        <w:r>
          <w:rPr>
            <w:webHidden/>
          </w:rPr>
          <w:t>19</w:t>
        </w:r>
        <w:r w:rsidR="000E62AC">
          <w:rPr>
            <w:webHidden/>
          </w:rPr>
          <w:fldChar w:fldCharType="end"/>
        </w:r>
      </w:hyperlink>
    </w:p>
    <w:p w:rsidR="000E62AC" w:rsidRDefault="00432C0F">
      <w:pPr>
        <w:pStyle w:val="TOC2"/>
        <w:rPr>
          <w:rFonts w:asciiTheme="minorHAnsi" w:hAnsiTheme="minorHAnsi" w:cstheme="minorBidi"/>
          <w:sz w:val="22"/>
          <w:szCs w:val="22"/>
          <w:lang w:eastAsia="ja-JP"/>
        </w:rPr>
      </w:pPr>
      <w:hyperlink w:anchor="_Toc448133300" w:history="1">
        <w:r w:rsidR="000E62AC" w:rsidRPr="00E81602">
          <w:rPr>
            <w:rStyle w:val="Hyperlink"/>
          </w:rPr>
          <w:t>3.3.</w:t>
        </w:r>
        <w:r w:rsidR="000E62AC">
          <w:rPr>
            <w:rFonts w:asciiTheme="minorHAnsi" w:hAnsiTheme="minorHAnsi" w:cstheme="minorBidi"/>
            <w:sz w:val="22"/>
            <w:szCs w:val="22"/>
            <w:lang w:eastAsia="ja-JP"/>
          </w:rPr>
          <w:tab/>
        </w:r>
        <w:r w:rsidR="000E62AC" w:rsidRPr="00E81602">
          <w:rPr>
            <w:rStyle w:val="Hyperlink"/>
          </w:rPr>
          <w:t>Pricing, Ratemaking, and Rate Design</w:t>
        </w:r>
        <w:r w:rsidR="000E62AC">
          <w:rPr>
            <w:webHidden/>
          </w:rPr>
          <w:tab/>
        </w:r>
        <w:r w:rsidR="000E62AC">
          <w:rPr>
            <w:webHidden/>
          </w:rPr>
          <w:fldChar w:fldCharType="begin"/>
        </w:r>
        <w:r w:rsidR="000E62AC">
          <w:rPr>
            <w:webHidden/>
          </w:rPr>
          <w:instrText xml:space="preserve"> PAGEREF _Toc448133300 \h </w:instrText>
        </w:r>
        <w:r w:rsidR="000E62AC">
          <w:rPr>
            <w:webHidden/>
          </w:rPr>
        </w:r>
        <w:r w:rsidR="000E62AC">
          <w:rPr>
            <w:webHidden/>
          </w:rPr>
          <w:fldChar w:fldCharType="separate"/>
        </w:r>
        <w:r>
          <w:rPr>
            <w:webHidden/>
          </w:rPr>
          <w:t>22</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1" w:history="1">
        <w:r w:rsidR="000E62AC" w:rsidRPr="00E81602">
          <w:rPr>
            <w:rStyle w:val="Hyperlink"/>
          </w:rPr>
          <w:t>3.3.1.</w:t>
        </w:r>
        <w:r w:rsidR="000E62AC">
          <w:rPr>
            <w:rFonts w:asciiTheme="minorHAnsi" w:hAnsiTheme="minorHAnsi" w:cstheme="minorBidi"/>
            <w:sz w:val="22"/>
            <w:szCs w:val="22"/>
            <w:lang w:eastAsia="ja-JP"/>
          </w:rPr>
          <w:tab/>
        </w:r>
        <w:r w:rsidR="000E62AC" w:rsidRPr="00E81602">
          <w:rPr>
            <w:rStyle w:val="Hyperlink"/>
          </w:rPr>
          <w:t>Valuing a Renewable Energy Credit</w:t>
        </w:r>
        <w:r w:rsidR="000E62AC">
          <w:rPr>
            <w:webHidden/>
          </w:rPr>
          <w:tab/>
        </w:r>
        <w:r w:rsidR="000E62AC">
          <w:rPr>
            <w:webHidden/>
          </w:rPr>
          <w:fldChar w:fldCharType="begin"/>
        </w:r>
        <w:r w:rsidR="000E62AC">
          <w:rPr>
            <w:webHidden/>
          </w:rPr>
          <w:instrText xml:space="preserve"> PAGEREF _Toc448133301 \h </w:instrText>
        </w:r>
        <w:r w:rsidR="000E62AC">
          <w:rPr>
            <w:webHidden/>
          </w:rPr>
        </w:r>
        <w:r w:rsidR="000E62AC">
          <w:rPr>
            <w:webHidden/>
          </w:rPr>
          <w:fldChar w:fldCharType="separate"/>
        </w:r>
        <w:r>
          <w:rPr>
            <w:webHidden/>
          </w:rPr>
          <w:t>22</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2" w:history="1">
        <w:r w:rsidR="000E62AC" w:rsidRPr="00E81602">
          <w:rPr>
            <w:rStyle w:val="Hyperlink"/>
          </w:rPr>
          <w:t>3.3.2.</w:t>
        </w:r>
        <w:r w:rsidR="000E62AC">
          <w:rPr>
            <w:rFonts w:asciiTheme="minorHAnsi" w:hAnsiTheme="minorHAnsi" w:cstheme="minorBidi"/>
            <w:sz w:val="22"/>
            <w:szCs w:val="22"/>
            <w:lang w:eastAsia="ja-JP"/>
          </w:rPr>
          <w:tab/>
        </w:r>
        <w:r w:rsidR="000E62AC" w:rsidRPr="00E81602">
          <w:rPr>
            <w:rStyle w:val="Hyperlink"/>
          </w:rPr>
          <w:t>Reflecting Rate Design Elements from Other Proceedings</w:t>
        </w:r>
        <w:r w:rsidR="000E62AC">
          <w:rPr>
            <w:webHidden/>
          </w:rPr>
          <w:tab/>
        </w:r>
        <w:r w:rsidR="000E62AC">
          <w:rPr>
            <w:webHidden/>
          </w:rPr>
          <w:fldChar w:fldCharType="begin"/>
        </w:r>
        <w:r w:rsidR="000E62AC">
          <w:rPr>
            <w:webHidden/>
          </w:rPr>
          <w:instrText xml:space="preserve"> PAGEREF _Toc448133302 \h </w:instrText>
        </w:r>
        <w:r w:rsidR="000E62AC">
          <w:rPr>
            <w:webHidden/>
          </w:rPr>
        </w:r>
        <w:r w:rsidR="000E62AC">
          <w:rPr>
            <w:webHidden/>
          </w:rPr>
          <w:fldChar w:fldCharType="separate"/>
        </w:r>
        <w:r>
          <w:rPr>
            <w:webHidden/>
          </w:rPr>
          <w:t>24</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3" w:history="1">
        <w:r w:rsidR="000E62AC" w:rsidRPr="00E81602">
          <w:rPr>
            <w:rStyle w:val="Hyperlink"/>
          </w:rPr>
          <w:t>3.3.3.</w:t>
        </w:r>
        <w:r w:rsidR="000E62AC">
          <w:rPr>
            <w:rFonts w:asciiTheme="minorHAnsi" w:hAnsiTheme="minorHAnsi" w:cstheme="minorBidi"/>
            <w:sz w:val="22"/>
            <w:szCs w:val="22"/>
            <w:lang w:eastAsia="ja-JP"/>
          </w:rPr>
          <w:tab/>
        </w:r>
        <w:r w:rsidR="000E62AC" w:rsidRPr="00E81602">
          <w:rPr>
            <w:rStyle w:val="Hyperlink"/>
          </w:rPr>
          <w:t>Threshold for Allocation of Overhead Costs</w:t>
        </w:r>
        <w:r w:rsidR="000E62AC">
          <w:rPr>
            <w:webHidden/>
          </w:rPr>
          <w:tab/>
        </w:r>
        <w:r w:rsidR="000E62AC">
          <w:rPr>
            <w:webHidden/>
          </w:rPr>
          <w:fldChar w:fldCharType="begin"/>
        </w:r>
        <w:r w:rsidR="000E62AC">
          <w:rPr>
            <w:webHidden/>
          </w:rPr>
          <w:instrText xml:space="preserve"> PAGEREF _Toc448133303 \h </w:instrText>
        </w:r>
        <w:r w:rsidR="000E62AC">
          <w:rPr>
            <w:webHidden/>
          </w:rPr>
        </w:r>
        <w:r w:rsidR="000E62AC">
          <w:rPr>
            <w:webHidden/>
          </w:rPr>
          <w:fldChar w:fldCharType="separate"/>
        </w:r>
        <w:r>
          <w:rPr>
            <w:webHidden/>
          </w:rPr>
          <w:t>24</w:t>
        </w:r>
        <w:r w:rsidR="000E62AC">
          <w:rPr>
            <w:webHidden/>
          </w:rPr>
          <w:fldChar w:fldCharType="end"/>
        </w:r>
      </w:hyperlink>
    </w:p>
    <w:p w:rsidR="000E62AC" w:rsidRDefault="00432C0F">
      <w:pPr>
        <w:pStyle w:val="TOC2"/>
        <w:rPr>
          <w:rFonts w:asciiTheme="minorHAnsi" w:hAnsiTheme="minorHAnsi" w:cstheme="minorBidi"/>
          <w:sz w:val="22"/>
          <w:szCs w:val="22"/>
          <w:lang w:eastAsia="ja-JP"/>
        </w:rPr>
      </w:pPr>
      <w:hyperlink w:anchor="_Toc448133304" w:history="1">
        <w:r w:rsidR="000E62AC" w:rsidRPr="00E81602">
          <w:rPr>
            <w:rStyle w:val="Hyperlink"/>
          </w:rPr>
          <w:t>3.4.</w:t>
        </w:r>
        <w:r w:rsidR="000E62AC">
          <w:rPr>
            <w:rFonts w:asciiTheme="minorHAnsi" w:hAnsiTheme="minorHAnsi" w:cstheme="minorBidi"/>
            <w:sz w:val="22"/>
            <w:szCs w:val="22"/>
            <w:lang w:eastAsia="ja-JP"/>
          </w:rPr>
          <w:tab/>
        </w:r>
        <w:r w:rsidR="000E62AC" w:rsidRPr="00E81602">
          <w:rPr>
            <w:rStyle w:val="Hyperlink"/>
          </w:rPr>
          <w:t>Estimating</w:t>
        </w:r>
        <w:r w:rsidR="000E62AC">
          <w:rPr>
            <w:rStyle w:val="Hyperlink"/>
          </w:rPr>
          <w:t xml:space="preserve"> Bill Credits and Charges </w:t>
        </w:r>
        <w:r w:rsidR="000E62AC">
          <w:rPr>
            <w:rStyle w:val="Hyperlink"/>
          </w:rPr>
          <w:br/>
          <w:t xml:space="preserve">Over </w:t>
        </w:r>
        <w:r w:rsidR="000E62AC" w:rsidRPr="00E81602">
          <w:rPr>
            <w:rStyle w:val="Hyperlink"/>
          </w:rPr>
          <w:t>20 Years Consistent with SB 793</w:t>
        </w:r>
        <w:r w:rsidR="000E62AC">
          <w:rPr>
            <w:webHidden/>
          </w:rPr>
          <w:tab/>
        </w:r>
        <w:r w:rsidR="000E62AC">
          <w:rPr>
            <w:webHidden/>
          </w:rPr>
          <w:fldChar w:fldCharType="begin"/>
        </w:r>
        <w:r w:rsidR="000E62AC">
          <w:rPr>
            <w:webHidden/>
          </w:rPr>
          <w:instrText xml:space="preserve"> PAGEREF _Toc448133304 \h </w:instrText>
        </w:r>
        <w:r w:rsidR="000E62AC">
          <w:rPr>
            <w:webHidden/>
          </w:rPr>
        </w:r>
        <w:r w:rsidR="000E62AC">
          <w:rPr>
            <w:webHidden/>
          </w:rPr>
          <w:fldChar w:fldCharType="separate"/>
        </w:r>
        <w:r>
          <w:rPr>
            <w:webHidden/>
          </w:rPr>
          <w:t>25</w:t>
        </w:r>
        <w:r w:rsidR="000E62AC">
          <w:rPr>
            <w:webHidden/>
          </w:rPr>
          <w:fldChar w:fldCharType="end"/>
        </w:r>
      </w:hyperlink>
    </w:p>
    <w:p w:rsidR="000E62AC" w:rsidRDefault="00432C0F">
      <w:pPr>
        <w:pStyle w:val="TOC2"/>
        <w:rPr>
          <w:rFonts w:asciiTheme="minorHAnsi" w:hAnsiTheme="minorHAnsi" w:cstheme="minorBidi"/>
          <w:sz w:val="22"/>
          <w:szCs w:val="22"/>
          <w:lang w:eastAsia="ja-JP"/>
        </w:rPr>
      </w:pPr>
      <w:hyperlink w:anchor="_Toc448133305" w:history="1">
        <w:r w:rsidR="000E62AC" w:rsidRPr="00E81602">
          <w:rPr>
            <w:rStyle w:val="Hyperlink"/>
          </w:rPr>
          <w:t>3.5.</w:t>
        </w:r>
        <w:r w:rsidR="000E62AC">
          <w:rPr>
            <w:rFonts w:asciiTheme="minorHAnsi" w:hAnsiTheme="minorHAnsi" w:cstheme="minorBidi"/>
            <w:sz w:val="22"/>
            <w:szCs w:val="22"/>
            <w:lang w:eastAsia="ja-JP"/>
          </w:rPr>
          <w:tab/>
        </w:r>
        <w:r w:rsidR="000E62AC" w:rsidRPr="00E81602">
          <w:rPr>
            <w:rStyle w:val="Hyperlink"/>
          </w:rPr>
          <w:t>Miscellaneous Items</w:t>
        </w:r>
        <w:r w:rsidR="000E62AC">
          <w:rPr>
            <w:webHidden/>
          </w:rPr>
          <w:tab/>
        </w:r>
        <w:r w:rsidR="000E62AC">
          <w:rPr>
            <w:webHidden/>
          </w:rPr>
          <w:fldChar w:fldCharType="begin"/>
        </w:r>
        <w:r w:rsidR="000E62AC">
          <w:rPr>
            <w:webHidden/>
          </w:rPr>
          <w:instrText xml:space="preserve"> PAGEREF _Toc448133305 \h </w:instrText>
        </w:r>
        <w:r w:rsidR="000E62AC">
          <w:rPr>
            <w:webHidden/>
          </w:rPr>
        </w:r>
        <w:r w:rsidR="000E62AC">
          <w:rPr>
            <w:webHidden/>
          </w:rPr>
          <w:fldChar w:fldCharType="separate"/>
        </w:r>
        <w:r>
          <w:rPr>
            <w:webHidden/>
          </w:rPr>
          <w:t>29</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6" w:history="1">
        <w:r w:rsidR="000E62AC" w:rsidRPr="00E81602">
          <w:rPr>
            <w:rStyle w:val="Hyperlink"/>
          </w:rPr>
          <w:t>3.5.1.</w:t>
        </w:r>
        <w:r w:rsidR="000E62AC">
          <w:rPr>
            <w:rFonts w:asciiTheme="minorHAnsi" w:hAnsiTheme="minorHAnsi" w:cstheme="minorBidi"/>
            <w:sz w:val="22"/>
            <w:szCs w:val="22"/>
            <w:lang w:eastAsia="ja-JP"/>
          </w:rPr>
          <w:tab/>
        </w:r>
        <w:r w:rsidR="000E62AC" w:rsidRPr="00E81602">
          <w:rPr>
            <w:rStyle w:val="Hyperlink"/>
          </w:rPr>
          <w:t>Implementation of CalEnviroScreen</w:t>
        </w:r>
        <w:r w:rsidR="000E62AC">
          <w:rPr>
            <w:webHidden/>
          </w:rPr>
          <w:tab/>
        </w:r>
        <w:r w:rsidR="000E62AC">
          <w:rPr>
            <w:webHidden/>
          </w:rPr>
          <w:fldChar w:fldCharType="begin"/>
        </w:r>
        <w:r w:rsidR="000E62AC">
          <w:rPr>
            <w:webHidden/>
          </w:rPr>
          <w:instrText xml:space="preserve"> PAGEREF _Toc448133306 \h </w:instrText>
        </w:r>
        <w:r w:rsidR="000E62AC">
          <w:rPr>
            <w:webHidden/>
          </w:rPr>
        </w:r>
        <w:r w:rsidR="000E62AC">
          <w:rPr>
            <w:webHidden/>
          </w:rPr>
          <w:fldChar w:fldCharType="separate"/>
        </w:r>
        <w:r>
          <w:rPr>
            <w:webHidden/>
          </w:rPr>
          <w:t>29</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7" w:history="1">
        <w:r w:rsidR="000E62AC" w:rsidRPr="00E81602">
          <w:rPr>
            <w:rStyle w:val="Hyperlink"/>
          </w:rPr>
          <w:t>3.5.2.</w:t>
        </w:r>
        <w:r w:rsidR="000E62AC">
          <w:rPr>
            <w:rFonts w:asciiTheme="minorHAnsi" w:hAnsiTheme="minorHAnsi" w:cstheme="minorBidi"/>
            <w:sz w:val="22"/>
            <w:szCs w:val="22"/>
            <w:lang w:eastAsia="ja-JP"/>
          </w:rPr>
          <w:tab/>
        </w:r>
        <w:r w:rsidR="000E62AC" w:rsidRPr="00E81602">
          <w:rPr>
            <w:rStyle w:val="Hyperlink"/>
          </w:rPr>
          <w:t xml:space="preserve">Calculating the Greenhouse Gas Emission </w:t>
        </w:r>
        <w:r w:rsidR="000E62AC">
          <w:rPr>
            <w:rStyle w:val="Hyperlink"/>
          </w:rPr>
          <w:br/>
        </w:r>
        <w:r w:rsidR="000E62AC">
          <w:rPr>
            <w:rStyle w:val="Hyperlink"/>
          </w:rPr>
          <w:tab/>
        </w:r>
        <w:r w:rsidR="000E62AC" w:rsidRPr="00E81602">
          <w:rPr>
            <w:rStyle w:val="Hyperlink"/>
          </w:rPr>
          <w:t>Rate for Retail Electricity Projects</w:t>
        </w:r>
        <w:r w:rsidR="000E62AC">
          <w:rPr>
            <w:webHidden/>
          </w:rPr>
          <w:tab/>
        </w:r>
        <w:r w:rsidR="000E62AC">
          <w:rPr>
            <w:webHidden/>
          </w:rPr>
          <w:fldChar w:fldCharType="begin"/>
        </w:r>
        <w:r w:rsidR="000E62AC">
          <w:rPr>
            <w:webHidden/>
          </w:rPr>
          <w:instrText xml:space="preserve"> PAGEREF _Toc448133307 \h </w:instrText>
        </w:r>
        <w:r w:rsidR="000E62AC">
          <w:rPr>
            <w:webHidden/>
          </w:rPr>
        </w:r>
        <w:r w:rsidR="000E62AC">
          <w:rPr>
            <w:webHidden/>
          </w:rPr>
          <w:fldChar w:fldCharType="separate"/>
        </w:r>
        <w:r>
          <w:rPr>
            <w:webHidden/>
          </w:rPr>
          <w:t>30</w:t>
        </w:r>
        <w:r w:rsidR="000E62AC">
          <w:rPr>
            <w:webHidden/>
          </w:rPr>
          <w:fldChar w:fldCharType="end"/>
        </w:r>
      </w:hyperlink>
    </w:p>
    <w:p w:rsidR="000E62AC" w:rsidRDefault="00432C0F">
      <w:pPr>
        <w:pStyle w:val="TOC3"/>
        <w:rPr>
          <w:rFonts w:asciiTheme="minorHAnsi" w:hAnsiTheme="minorHAnsi" w:cstheme="minorBidi"/>
          <w:sz w:val="22"/>
          <w:szCs w:val="22"/>
          <w:lang w:eastAsia="ja-JP"/>
        </w:rPr>
      </w:pPr>
      <w:hyperlink w:anchor="_Toc448133308" w:history="1">
        <w:r w:rsidR="000E62AC" w:rsidRPr="00E81602">
          <w:rPr>
            <w:rStyle w:val="Hyperlink"/>
          </w:rPr>
          <w:t>3.5.3.</w:t>
        </w:r>
        <w:r w:rsidR="000E62AC">
          <w:rPr>
            <w:rFonts w:asciiTheme="minorHAnsi" w:hAnsiTheme="minorHAnsi" w:cstheme="minorBidi"/>
            <w:sz w:val="22"/>
            <w:szCs w:val="22"/>
            <w:lang w:eastAsia="ja-JP"/>
          </w:rPr>
          <w:tab/>
        </w:r>
        <w:r w:rsidR="000E62AC" w:rsidRPr="00E81602">
          <w:rPr>
            <w:rStyle w:val="Hyperlink"/>
          </w:rPr>
          <w:t xml:space="preserve">Objective Standards to Evaluate </w:t>
        </w:r>
        <w:r w:rsidR="000E62AC">
          <w:rPr>
            <w:rStyle w:val="Hyperlink"/>
          </w:rPr>
          <w:br/>
        </w:r>
        <w:r w:rsidR="000E62AC">
          <w:rPr>
            <w:rStyle w:val="Hyperlink"/>
          </w:rPr>
          <w:tab/>
        </w:r>
        <w:r w:rsidR="000E62AC" w:rsidRPr="00E81602">
          <w:rPr>
            <w:rStyle w:val="Hyperlink"/>
          </w:rPr>
          <w:t xml:space="preserve">andAccept Securities Opinions from </w:t>
        </w:r>
        <w:r w:rsidR="000E62AC">
          <w:rPr>
            <w:rStyle w:val="Hyperlink"/>
          </w:rPr>
          <w:br/>
        </w:r>
        <w:r w:rsidR="000E62AC">
          <w:rPr>
            <w:rStyle w:val="Hyperlink"/>
          </w:rPr>
          <w:tab/>
        </w:r>
        <w:r w:rsidR="000E62AC" w:rsidRPr="00E81602">
          <w:rPr>
            <w:rStyle w:val="Hyperlink"/>
          </w:rPr>
          <w:t>Law Firms Outside of the AmLaw 100</w:t>
        </w:r>
        <w:r w:rsidR="000E62AC">
          <w:rPr>
            <w:webHidden/>
          </w:rPr>
          <w:tab/>
        </w:r>
        <w:r w:rsidR="000E62AC">
          <w:rPr>
            <w:webHidden/>
          </w:rPr>
          <w:fldChar w:fldCharType="begin"/>
        </w:r>
        <w:r w:rsidR="000E62AC">
          <w:rPr>
            <w:webHidden/>
          </w:rPr>
          <w:instrText xml:space="preserve"> PAGEREF _Toc448133308 \h </w:instrText>
        </w:r>
        <w:r w:rsidR="000E62AC">
          <w:rPr>
            <w:webHidden/>
          </w:rPr>
        </w:r>
        <w:r w:rsidR="000E62AC">
          <w:rPr>
            <w:webHidden/>
          </w:rPr>
          <w:fldChar w:fldCharType="separate"/>
        </w:r>
        <w:r>
          <w:rPr>
            <w:webHidden/>
          </w:rPr>
          <w:t>33</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09" w:history="1">
        <w:r w:rsidR="000E62AC" w:rsidRPr="00E81602">
          <w:rPr>
            <w:rStyle w:val="Hyperlink"/>
          </w:rPr>
          <w:t>4.</w:t>
        </w:r>
        <w:r w:rsidR="000E62AC">
          <w:rPr>
            <w:rFonts w:asciiTheme="minorHAnsi" w:hAnsiTheme="minorHAnsi" w:cstheme="minorBidi"/>
            <w:sz w:val="22"/>
            <w:szCs w:val="22"/>
            <w:lang w:eastAsia="ja-JP"/>
          </w:rPr>
          <w:tab/>
        </w:r>
        <w:r w:rsidR="000E62AC" w:rsidRPr="00E81602">
          <w:rPr>
            <w:rStyle w:val="Hyperlink"/>
          </w:rPr>
          <w:t>Safety Considerations</w:t>
        </w:r>
        <w:r w:rsidR="000E62AC">
          <w:rPr>
            <w:webHidden/>
          </w:rPr>
          <w:tab/>
        </w:r>
        <w:r w:rsidR="000E62AC">
          <w:rPr>
            <w:webHidden/>
          </w:rPr>
          <w:fldChar w:fldCharType="begin"/>
        </w:r>
        <w:r w:rsidR="000E62AC">
          <w:rPr>
            <w:webHidden/>
          </w:rPr>
          <w:instrText xml:space="preserve"> PAGEREF _Toc448133309 \h </w:instrText>
        </w:r>
        <w:r w:rsidR="000E62AC">
          <w:rPr>
            <w:webHidden/>
          </w:rPr>
        </w:r>
        <w:r w:rsidR="000E62AC">
          <w:rPr>
            <w:webHidden/>
          </w:rPr>
          <w:fldChar w:fldCharType="separate"/>
        </w:r>
        <w:r>
          <w:rPr>
            <w:webHidden/>
          </w:rPr>
          <w:t>34</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0" w:history="1">
        <w:r w:rsidR="000E62AC" w:rsidRPr="00E81602">
          <w:rPr>
            <w:rStyle w:val="Hyperlink"/>
          </w:rPr>
          <w:t>5.</w:t>
        </w:r>
        <w:r w:rsidR="000E62AC">
          <w:rPr>
            <w:rFonts w:asciiTheme="minorHAnsi" w:hAnsiTheme="minorHAnsi" w:cstheme="minorBidi"/>
            <w:sz w:val="22"/>
            <w:szCs w:val="22"/>
            <w:lang w:eastAsia="ja-JP"/>
          </w:rPr>
          <w:tab/>
        </w:r>
        <w:r w:rsidR="000E62AC" w:rsidRPr="00E81602">
          <w:rPr>
            <w:rStyle w:val="Hyperlink"/>
          </w:rPr>
          <w:t>Outstanding Procedural Matters</w:t>
        </w:r>
        <w:r w:rsidR="000E62AC">
          <w:rPr>
            <w:webHidden/>
          </w:rPr>
          <w:tab/>
        </w:r>
        <w:r w:rsidR="000E62AC">
          <w:rPr>
            <w:webHidden/>
          </w:rPr>
          <w:fldChar w:fldCharType="begin"/>
        </w:r>
        <w:r w:rsidR="000E62AC">
          <w:rPr>
            <w:webHidden/>
          </w:rPr>
          <w:instrText xml:space="preserve"> PAGEREF _Toc448133310 \h </w:instrText>
        </w:r>
        <w:r w:rsidR="000E62AC">
          <w:rPr>
            <w:webHidden/>
          </w:rPr>
        </w:r>
        <w:r w:rsidR="000E62AC">
          <w:rPr>
            <w:webHidden/>
          </w:rPr>
          <w:fldChar w:fldCharType="separate"/>
        </w:r>
        <w:r>
          <w:rPr>
            <w:webHidden/>
          </w:rPr>
          <w:t>35</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1" w:history="1">
        <w:r w:rsidR="000E62AC" w:rsidRPr="00E81602">
          <w:rPr>
            <w:rStyle w:val="Hyperlink"/>
          </w:rPr>
          <w:t>6.</w:t>
        </w:r>
        <w:r w:rsidR="000E62AC">
          <w:rPr>
            <w:rFonts w:asciiTheme="minorHAnsi" w:hAnsiTheme="minorHAnsi" w:cstheme="minorBidi"/>
            <w:sz w:val="22"/>
            <w:szCs w:val="22"/>
            <w:lang w:eastAsia="ja-JP"/>
          </w:rPr>
          <w:tab/>
        </w:r>
        <w:r w:rsidR="000E62AC" w:rsidRPr="00E81602">
          <w:rPr>
            <w:rStyle w:val="Hyperlink"/>
          </w:rPr>
          <w:t>Categorization and Need for Hearing</w:t>
        </w:r>
        <w:r w:rsidR="000E62AC">
          <w:rPr>
            <w:webHidden/>
          </w:rPr>
          <w:tab/>
        </w:r>
        <w:r w:rsidR="000E62AC">
          <w:rPr>
            <w:webHidden/>
          </w:rPr>
          <w:fldChar w:fldCharType="begin"/>
        </w:r>
        <w:r w:rsidR="000E62AC">
          <w:rPr>
            <w:webHidden/>
          </w:rPr>
          <w:instrText xml:space="preserve"> PAGEREF _Toc448133311 \h </w:instrText>
        </w:r>
        <w:r w:rsidR="000E62AC">
          <w:rPr>
            <w:webHidden/>
          </w:rPr>
        </w:r>
        <w:r w:rsidR="000E62AC">
          <w:rPr>
            <w:webHidden/>
          </w:rPr>
          <w:fldChar w:fldCharType="separate"/>
        </w:r>
        <w:r>
          <w:rPr>
            <w:webHidden/>
          </w:rPr>
          <w:t>35</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2" w:history="1">
        <w:r w:rsidR="000E62AC" w:rsidRPr="00E81602">
          <w:rPr>
            <w:rStyle w:val="Hyperlink"/>
          </w:rPr>
          <w:t>7.</w:t>
        </w:r>
        <w:r w:rsidR="000E62AC">
          <w:rPr>
            <w:rFonts w:asciiTheme="minorHAnsi" w:hAnsiTheme="minorHAnsi" w:cstheme="minorBidi"/>
            <w:sz w:val="22"/>
            <w:szCs w:val="22"/>
            <w:lang w:eastAsia="ja-JP"/>
          </w:rPr>
          <w:tab/>
        </w:r>
        <w:r w:rsidR="000E62AC" w:rsidRPr="00E81602">
          <w:rPr>
            <w:rStyle w:val="Hyperlink"/>
          </w:rPr>
          <w:t>Comments on Proposed Decision</w:t>
        </w:r>
        <w:r w:rsidR="000E62AC">
          <w:rPr>
            <w:webHidden/>
          </w:rPr>
          <w:tab/>
        </w:r>
        <w:r w:rsidR="000E62AC">
          <w:rPr>
            <w:webHidden/>
          </w:rPr>
          <w:fldChar w:fldCharType="begin"/>
        </w:r>
        <w:r w:rsidR="000E62AC">
          <w:rPr>
            <w:webHidden/>
          </w:rPr>
          <w:instrText xml:space="preserve"> PAGEREF _Toc448133312 \h </w:instrText>
        </w:r>
        <w:r w:rsidR="000E62AC">
          <w:rPr>
            <w:webHidden/>
          </w:rPr>
        </w:r>
        <w:r w:rsidR="000E62AC">
          <w:rPr>
            <w:webHidden/>
          </w:rPr>
          <w:fldChar w:fldCharType="separate"/>
        </w:r>
        <w:r>
          <w:rPr>
            <w:webHidden/>
          </w:rPr>
          <w:t>35</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3" w:history="1">
        <w:r w:rsidR="000E62AC" w:rsidRPr="00E81602">
          <w:rPr>
            <w:rStyle w:val="Hyperlink"/>
          </w:rPr>
          <w:t>8.</w:t>
        </w:r>
        <w:r w:rsidR="000E62AC">
          <w:rPr>
            <w:rFonts w:asciiTheme="minorHAnsi" w:hAnsiTheme="minorHAnsi" w:cstheme="minorBidi"/>
            <w:sz w:val="22"/>
            <w:szCs w:val="22"/>
            <w:lang w:eastAsia="ja-JP"/>
          </w:rPr>
          <w:tab/>
        </w:r>
        <w:r w:rsidR="000E62AC" w:rsidRPr="00E81602">
          <w:rPr>
            <w:rStyle w:val="Hyperlink"/>
          </w:rPr>
          <w:t>Assignment of Proceeding</w:t>
        </w:r>
        <w:r w:rsidR="000E62AC">
          <w:rPr>
            <w:webHidden/>
          </w:rPr>
          <w:tab/>
        </w:r>
        <w:r w:rsidR="000E62AC">
          <w:rPr>
            <w:webHidden/>
          </w:rPr>
          <w:fldChar w:fldCharType="begin"/>
        </w:r>
        <w:r w:rsidR="000E62AC">
          <w:rPr>
            <w:webHidden/>
          </w:rPr>
          <w:instrText xml:space="preserve"> PAGEREF _Toc448133313 \h </w:instrText>
        </w:r>
        <w:r w:rsidR="000E62AC">
          <w:rPr>
            <w:webHidden/>
          </w:rPr>
        </w:r>
        <w:r w:rsidR="000E62AC">
          <w:rPr>
            <w:webHidden/>
          </w:rPr>
          <w:fldChar w:fldCharType="separate"/>
        </w:r>
        <w:r>
          <w:rPr>
            <w:webHidden/>
          </w:rPr>
          <w:t>37</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4" w:history="1">
        <w:r w:rsidR="000E62AC" w:rsidRPr="00E81602">
          <w:rPr>
            <w:rStyle w:val="Hyperlink"/>
          </w:rPr>
          <w:t>Findings of Fact</w:t>
        </w:r>
        <w:r w:rsidR="000E62AC">
          <w:rPr>
            <w:webHidden/>
          </w:rPr>
          <w:tab/>
        </w:r>
        <w:r w:rsidR="000E62AC">
          <w:rPr>
            <w:webHidden/>
          </w:rPr>
          <w:fldChar w:fldCharType="begin"/>
        </w:r>
        <w:r w:rsidR="000E62AC">
          <w:rPr>
            <w:webHidden/>
          </w:rPr>
          <w:instrText xml:space="preserve"> PAGEREF _Toc448133314 \h </w:instrText>
        </w:r>
        <w:r w:rsidR="000E62AC">
          <w:rPr>
            <w:webHidden/>
          </w:rPr>
        </w:r>
        <w:r w:rsidR="000E62AC">
          <w:rPr>
            <w:webHidden/>
          </w:rPr>
          <w:fldChar w:fldCharType="separate"/>
        </w:r>
        <w:r>
          <w:rPr>
            <w:webHidden/>
          </w:rPr>
          <w:t>37</w:t>
        </w:r>
        <w:r w:rsidR="000E62AC">
          <w:rPr>
            <w:webHidden/>
          </w:rPr>
          <w:fldChar w:fldCharType="end"/>
        </w:r>
      </w:hyperlink>
    </w:p>
    <w:p w:rsidR="000E62AC" w:rsidRDefault="00432C0F">
      <w:pPr>
        <w:pStyle w:val="TOC1"/>
        <w:rPr>
          <w:rFonts w:asciiTheme="minorHAnsi" w:hAnsiTheme="minorHAnsi" w:cstheme="minorBidi"/>
          <w:sz w:val="22"/>
          <w:szCs w:val="22"/>
          <w:lang w:eastAsia="ja-JP"/>
        </w:rPr>
      </w:pPr>
      <w:hyperlink w:anchor="_Toc448133315" w:history="1">
        <w:r w:rsidR="000E62AC" w:rsidRPr="00E81602">
          <w:rPr>
            <w:rStyle w:val="Hyperlink"/>
          </w:rPr>
          <w:t>Conclusions of Law</w:t>
        </w:r>
        <w:r w:rsidR="000E62AC">
          <w:rPr>
            <w:webHidden/>
          </w:rPr>
          <w:tab/>
        </w:r>
        <w:r w:rsidR="000E62AC">
          <w:rPr>
            <w:webHidden/>
          </w:rPr>
          <w:fldChar w:fldCharType="begin"/>
        </w:r>
        <w:r w:rsidR="000E62AC">
          <w:rPr>
            <w:webHidden/>
          </w:rPr>
          <w:instrText xml:space="preserve"> PAGEREF _Toc448133315 \h </w:instrText>
        </w:r>
        <w:r w:rsidR="000E62AC">
          <w:rPr>
            <w:webHidden/>
          </w:rPr>
        </w:r>
        <w:r w:rsidR="000E62AC">
          <w:rPr>
            <w:webHidden/>
          </w:rPr>
          <w:fldChar w:fldCharType="separate"/>
        </w:r>
        <w:r>
          <w:rPr>
            <w:webHidden/>
          </w:rPr>
          <w:t>39</w:t>
        </w:r>
        <w:r w:rsidR="000E62AC">
          <w:rPr>
            <w:webHidden/>
          </w:rPr>
          <w:fldChar w:fldCharType="end"/>
        </w:r>
      </w:hyperlink>
    </w:p>
    <w:p w:rsidR="00C15735" w:rsidRDefault="00432C0F" w:rsidP="00432B6A">
      <w:pPr>
        <w:pStyle w:val="TOC1"/>
      </w:pPr>
      <w:hyperlink w:anchor="_Toc448133316" w:history="1">
        <w:r w:rsidR="000E62AC" w:rsidRPr="00E81602">
          <w:rPr>
            <w:rStyle w:val="Hyperlink"/>
          </w:rPr>
          <w:t>ORDER</w:t>
        </w:r>
        <w:r w:rsidR="000E62AC">
          <w:rPr>
            <w:rStyle w:val="Hyperlink"/>
          </w:rPr>
          <w:tab/>
        </w:r>
        <w:r w:rsidR="000E62AC">
          <w:rPr>
            <w:webHidden/>
          </w:rPr>
          <w:tab/>
        </w:r>
        <w:r w:rsidR="000E62AC">
          <w:rPr>
            <w:webHidden/>
          </w:rPr>
          <w:fldChar w:fldCharType="begin"/>
        </w:r>
        <w:r w:rsidR="000E62AC">
          <w:rPr>
            <w:webHidden/>
          </w:rPr>
          <w:instrText xml:space="preserve"> PAGEREF _Toc448133316 \h </w:instrText>
        </w:r>
        <w:r w:rsidR="000E62AC">
          <w:rPr>
            <w:webHidden/>
          </w:rPr>
        </w:r>
        <w:r w:rsidR="000E62AC">
          <w:rPr>
            <w:webHidden/>
          </w:rPr>
          <w:fldChar w:fldCharType="separate"/>
        </w:r>
        <w:r>
          <w:rPr>
            <w:webHidden/>
          </w:rPr>
          <w:t>41</w:t>
        </w:r>
        <w:r w:rsidR="000E62AC">
          <w:rPr>
            <w:webHidden/>
          </w:rPr>
          <w:fldChar w:fldCharType="end"/>
        </w:r>
      </w:hyperlink>
      <w:r w:rsidR="00C15735">
        <w:rPr>
          <w:b/>
        </w:rPr>
        <w:fldChar w:fldCharType="end"/>
      </w:r>
    </w:p>
    <w:p w:rsidR="00C15735" w:rsidRPr="00C15735" w:rsidRDefault="00C15735" w:rsidP="00C15735">
      <w:pPr>
        <w:pStyle w:val="standard"/>
        <w:rPr>
          <w:sz w:val="24"/>
        </w:rPr>
        <w:sectPr w:rsidR="00C15735" w:rsidRPr="00C15735">
          <w:headerReference w:type="first" r:id="rId14"/>
          <w:footerReference w:type="first" r:id="rId15"/>
          <w:pgSz w:w="12240" w:h="15840" w:code="1"/>
          <w:pgMar w:top="1152" w:right="1440" w:bottom="1440" w:left="1440" w:header="720" w:footer="720" w:gutter="0"/>
          <w:pgNumType w:start="1"/>
          <w:cols w:space="720"/>
          <w:titlePg/>
        </w:sectPr>
      </w:pPr>
    </w:p>
    <w:p w:rsidR="00134E7B" w:rsidRDefault="00A72B72" w:rsidP="00C15735">
      <w:pPr>
        <w:pStyle w:val="Heading1"/>
        <w:numPr>
          <w:ilvl w:val="0"/>
          <w:numId w:val="0"/>
        </w:numPr>
        <w:jc w:val="center"/>
        <w:rPr>
          <w:b w:val="0"/>
        </w:rPr>
      </w:pPr>
      <w:bookmarkStart w:id="2" w:name="_Toc448091069"/>
      <w:bookmarkStart w:id="3" w:name="_Toc448091252"/>
      <w:bookmarkStart w:id="4" w:name="_Toc448133292"/>
      <w:r>
        <w:lastRenderedPageBreak/>
        <w:t xml:space="preserve">DECISION ADDRESSING PARTICIPATION OF </w:t>
      </w:r>
      <w:r w:rsidR="00DE4479">
        <w:t>ENHANCED COMMUNITY RENEWABLES PROJECTS</w:t>
      </w:r>
      <w:r>
        <w:t xml:space="preserve"> IN THE RENEWABLE AUCTION MECHANISM AND OTHER REFINEMENTS TO THE GREEN TARIFF SHARED RENEWABLES PROG</w:t>
      </w:r>
      <w:r w:rsidR="00DE4479">
        <w:t>AM</w:t>
      </w:r>
      <w:bookmarkEnd w:id="2"/>
      <w:bookmarkEnd w:id="3"/>
      <w:bookmarkEnd w:id="4"/>
    </w:p>
    <w:p w:rsidR="00B30FF9" w:rsidRDefault="00B30FF9" w:rsidP="00010D63">
      <w:pPr>
        <w:pStyle w:val="Heading1"/>
        <w:numPr>
          <w:ilvl w:val="0"/>
          <w:numId w:val="0"/>
        </w:numPr>
        <w:ind w:left="720" w:hanging="720"/>
      </w:pPr>
      <w:bookmarkStart w:id="5" w:name="_Toc448133293"/>
      <w:bookmarkStart w:id="6" w:name="_Toc370798910"/>
      <w:r>
        <w:t>Summary</w:t>
      </w:r>
      <w:bookmarkEnd w:id="5"/>
    </w:p>
    <w:bookmarkEnd w:id="6"/>
    <w:p w:rsidR="00CD69C7" w:rsidRDefault="00CD69C7" w:rsidP="000C4A1E">
      <w:pPr>
        <w:pStyle w:val="standard"/>
      </w:pPr>
      <w:r w:rsidRPr="00CD69C7">
        <w:t xml:space="preserve">The Green Tariff allows </w:t>
      </w:r>
      <w:r w:rsidR="00667087">
        <w:t xml:space="preserve">investor-owned utility </w:t>
      </w:r>
      <w:r w:rsidRPr="00CD69C7">
        <w:t xml:space="preserve">customers to purchase energy </w:t>
      </w:r>
      <w:r w:rsidR="00667087">
        <w:t xml:space="preserve">from a portfolio of sources </w:t>
      </w:r>
      <w:r w:rsidRPr="00CD69C7">
        <w:t xml:space="preserve">with a greater share of renewables than </w:t>
      </w:r>
      <w:r w:rsidR="00667087">
        <w:t xml:space="preserve">is offered in </w:t>
      </w:r>
      <w:r w:rsidRPr="00CD69C7">
        <w:t>the utility</w:t>
      </w:r>
      <w:r w:rsidR="00667087">
        <w:t>’s standard</w:t>
      </w:r>
      <w:r w:rsidRPr="00CD69C7">
        <w:t xml:space="preserve"> portfolio. </w:t>
      </w:r>
      <w:r w:rsidR="005C1FDB">
        <w:t xml:space="preserve"> </w:t>
      </w:r>
      <w:r w:rsidRPr="00CD69C7">
        <w:t xml:space="preserve">The Enhanced Community Renewables option allows customers to purchase renewable energy from </w:t>
      </w:r>
      <w:r w:rsidR="00667087">
        <w:t xml:space="preserve">specific </w:t>
      </w:r>
      <w:r w:rsidRPr="00CD69C7">
        <w:t>community-based renewable generation projects.</w:t>
      </w:r>
      <w:r>
        <w:t xml:space="preserve"> </w:t>
      </w:r>
      <w:r w:rsidR="005C1FDB">
        <w:t xml:space="preserve"> </w:t>
      </w:r>
      <w:r w:rsidR="00123680">
        <w:t>Jointly these two options are called the Green Tariff Shared Renewables</w:t>
      </w:r>
      <w:r w:rsidR="00EC570D">
        <w:t xml:space="preserve"> (GTSR)</w:t>
      </w:r>
      <w:r w:rsidR="00123680">
        <w:t xml:space="preserve"> program. </w:t>
      </w:r>
      <w:r w:rsidR="005C1FDB">
        <w:t xml:space="preserve"> </w:t>
      </w:r>
      <w:r>
        <w:t>In this decision we</w:t>
      </w:r>
      <w:r w:rsidR="00123680">
        <w:t xml:space="preserve"> </w:t>
      </w:r>
      <w:r w:rsidR="00221B57">
        <w:t>refine</w:t>
      </w:r>
      <w:r w:rsidR="00123680">
        <w:t xml:space="preserve"> the </w:t>
      </w:r>
      <w:r w:rsidR="00EC570D">
        <w:t>GTSR</w:t>
      </w:r>
      <w:r w:rsidR="00F77928">
        <w:t xml:space="preserve"> </w:t>
      </w:r>
      <w:r w:rsidR="00657114">
        <w:t xml:space="preserve">program adopted in Decision </w:t>
      </w:r>
      <w:r w:rsidR="00123680">
        <w:t>15-01-051 to</w:t>
      </w:r>
      <w:r>
        <w:t>:</w:t>
      </w:r>
    </w:p>
    <w:p w:rsidR="00316C5F" w:rsidRDefault="00316C5F" w:rsidP="00EC570D">
      <w:pPr>
        <w:pStyle w:val="standard"/>
        <w:numPr>
          <w:ilvl w:val="0"/>
          <w:numId w:val="20"/>
        </w:numPr>
        <w:spacing w:after="120" w:line="240" w:lineRule="auto"/>
        <w:ind w:left="1080"/>
      </w:pPr>
      <w:r>
        <w:t xml:space="preserve">Allow Enhanced Community Renewables projects between 500 kilowatts and 20 megawatts and Enhanced Community </w:t>
      </w:r>
      <w:r w:rsidR="00657114">
        <w:br/>
      </w:r>
      <w:r>
        <w:t>Renewables-Environmental Justice projects between 500 kilowatts and one megawatt to participate in Renewable Auction Mechanism solicitations;</w:t>
      </w:r>
    </w:p>
    <w:p w:rsidR="00A11C50" w:rsidRDefault="00716760" w:rsidP="00EC570D">
      <w:pPr>
        <w:pStyle w:val="standard"/>
        <w:numPr>
          <w:ilvl w:val="0"/>
          <w:numId w:val="20"/>
        </w:numPr>
        <w:spacing w:after="120" w:line="240" w:lineRule="auto"/>
        <w:ind w:left="1080"/>
      </w:pPr>
      <w:r>
        <w:t xml:space="preserve">Direct </w:t>
      </w:r>
      <w:r w:rsidR="000852E5">
        <w:t>Pacific Gas and Electric Company</w:t>
      </w:r>
      <w:r w:rsidR="00657114">
        <w:t xml:space="preserve"> (PG&amp;E)</w:t>
      </w:r>
      <w:r w:rsidR="000852E5">
        <w:t>,</w:t>
      </w:r>
      <w:r>
        <w:t xml:space="preserve"> S</w:t>
      </w:r>
      <w:r w:rsidR="000852E5">
        <w:t xml:space="preserve">outhern </w:t>
      </w:r>
      <w:r>
        <w:t>C</w:t>
      </w:r>
      <w:r w:rsidR="000852E5">
        <w:t xml:space="preserve">alifornia </w:t>
      </w:r>
      <w:r>
        <w:t>E</w:t>
      </w:r>
      <w:r w:rsidR="000852E5">
        <w:t>dison Company</w:t>
      </w:r>
      <w:r w:rsidR="00657114">
        <w:t>(SCE)</w:t>
      </w:r>
      <w:r>
        <w:t>, and S</w:t>
      </w:r>
      <w:r w:rsidR="000852E5">
        <w:t xml:space="preserve">an </w:t>
      </w:r>
      <w:r>
        <w:t>D</w:t>
      </w:r>
      <w:r w:rsidR="000852E5">
        <w:t xml:space="preserve">iego </w:t>
      </w:r>
      <w:r>
        <w:t>G</w:t>
      </w:r>
      <w:r w:rsidR="000852E5">
        <w:t xml:space="preserve">as </w:t>
      </w:r>
      <w:r>
        <w:t>&amp;</w:t>
      </w:r>
      <w:r w:rsidR="000852E5">
        <w:t xml:space="preserve"> </w:t>
      </w:r>
      <w:r>
        <w:t>E</w:t>
      </w:r>
      <w:r w:rsidR="000852E5">
        <w:t>lectric Company</w:t>
      </w:r>
      <w:r w:rsidR="00657114">
        <w:t xml:space="preserve"> (SDG&amp;E)</w:t>
      </w:r>
      <w:r>
        <w:t xml:space="preserve"> to hold </w:t>
      </w:r>
      <w:r w:rsidR="000852E5">
        <w:t>two R</w:t>
      </w:r>
      <w:r w:rsidR="00DE4479">
        <w:t>enewable Auction Mechanism</w:t>
      </w:r>
      <w:r w:rsidR="00457351">
        <w:t xml:space="preserve"> solicitation</w:t>
      </w:r>
      <w:r w:rsidR="000852E5">
        <w:t>s</w:t>
      </w:r>
      <w:r>
        <w:t xml:space="preserve"> a year</w:t>
      </w:r>
      <w:r w:rsidR="00221B57">
        <w:t xml:space="preserve"> for</w:t>
      </w:r>
      <w:r>
        <w:t xml:space="preserve"> </w:t>
      </w:r>
      <w:r w:rsidR="00E11386">
        <w:t>Enhanced Community Renewables</w:t>
      </w:r>
      <w:r w:rsidR="003464F6">
        <w:t xml:space="preserve"> projects</w:t>
      </w:r>
      <w:r w:rsidR="00123680">
        <w:t>;</w:t>
      </w:r>
      <w:r w:rsidR="00A72B72">
        <w:t xml:space="preserve"> </w:t>
      </w:r>
    </w:p>
    <w:p w:rsidR="004E3D27" w:rsidRDefault="00930C29" w:rsidP="00EC570D">
      <w:pPr>
        <w:pStyle w:val="standard"/>
        <w:numPr>
          <w:ilvl w:val="0"/>
          <w:numId w:val="20"/>
        </w:numPr>
        <w:spacing w:after="120" w:line="240" w:lineRule="auto"/>
        <w:ind w:left="1080"/>
      </w:pPr>
      <w:r>
        <w:t xml:space="preserve">Establish minimum capacity offerings for the Enhanced Community Renewables Renewable Auction Mechanism solicitations with a maximum </w:t>
      </w:r>
      <w:r w:rsidR="00221B57">
        <w:t xml:space="preserve">award </w:t>
      </w:r>
      <w:r>
        <w:t xml:space="preserve">price set at </w:t>
      </w:r>
      <w:r w:rsidR="00221B57" w:rsidRPr="00221B57">
        <w:t xml:space="preserve">or below </w:t>
      </w:r>
      <w:r w:rsidR="00221B57">
        <w:t>a</w:t>
      </w:r>
      <w:r w:rsidR="00221B57" w:rsidRPr="00221B57">
        <w:t xml:space="preserve"> </w:t>
      </w:r>
      <w:r w:rsidR="00221B57">
        <w:t xml:space="preserve">specified </w:t>
      </w:r>
      <w:r w:rsidR="00221B57" w:rsidRPr="00221B57">
        <w:t>percent</w:t>
      </w:r>
      <w:r w:rsidR="00221B57">
        <w:t>age</w:t>
      </w:r>
      <w:r w:rsidR="00221B57" w:rsidRPr="00221B57">
        <w:t xml:space="preserve"> of the maximum ex</w:t>
      </w:r>
      <w:r w:rsidR="00684CA0">
        <w:t>ecuted contract price in either</w:t>
      </w:r>
      <w:r w:rsidR="00684CA0">
        <w:rPr>
          <w:rFonts w:hint="eastAsia"/>
          <w:lang w:eastAsia="ja-JP"/>
        </w:rPr>
        <w:t xml:space="preserve"> the Renewable Auction Mechanism </w:t>
      </w:r>
      <w:r w:rsidR="00221B57" w:rsidRPr="00221B57">
        <w:t>as-available peaking category</w:t>
      </w:r>
      <w:r w:rsidR="00684CA0">
        <w:rPr>
          <w:rFonts w:hint="eastAsia"/>
          <w:lang w:eastAsia="ja-JP"/>
        </w:rPr>
        <w:t>, or the Green Tariff program, whichever is most recent</w:t>
      </w:r>
      <w:r w:rsidR="00221B57">
        <w:t>;</w:t>
      </w:r>
    </w:p>
    <w:p w:rsidR="00221B57" w:rsidRPr="00221B57" w:rsidRDefault="00221B57" w:rsidP="00EC570D">
      <w:pPr>
        <w:numPr>
          <w:ilvl w:val="0"/>
          <w:numId w:val="20"/>
        </w:numPr>
        <w:spacing w:after="120"/>
        <w:ind w:left="1080"/>
      </w:pPr>
      <w:r w:rsidRPr="00221B57">
        <w:t>Direct PG&amp;E, SCE, and SDG&amp;E to file Advice Letters to modify their Enhanced Community Renewables riders consistent with this decision;</w:t>
      </w:r>
    </w:p>
    <w:p w:rsidR="00F77928" w:rsidRDefault="00F77928" w:rsidP="00EC570D">
      <w:pPr>
        <w:pStyle w:val="standard"/>
      </w:pPr>
      <w:r>
        <w:t xml:space="preserve">In addition, we adopt a </w:t>
      </w:r>
      <w:r w:rsidR="00A564DD">
        <w:t>f</w:t>
      </w:r>
      <w:r>
        <w:t>orecasting methodology to establish a 20 year estimate of bill credits and cha</w:t>
      </w:r>
      <w:r w:rsidR="00617A02">
        <w:t>r</w:t>
      </w:r>
      <w:r>
        <w:t>ges for the Green Tariff Shared Renewables program as required in Senate Bill 793 (Wolk, Stats. 2015, ch. 587).</w:t>
      </w:r>
    </w:p>
    <w:p w:rsidR="00CD69C7" w:rsidRDefault="00E11386" w:rsidP="00EC570D">
      <w:pPr>
        <w:pStyle w:val="standard"/>
      </w:pPr>
      <w:r>
        <w:lastRenderedPageBreak/>
        <w:t>These proceedings are closed.</w:t>
      </w:r>
    </w:p>
    <w:p w:rsidR="00B30FF9" w:rsidRDefault="00B30FF9">
      <w:pPr>
        <w:pStyle w:val="Heading1"/>
      </w:pPr>
      <w:bookmarkStart w:id="7" w:name="_Toc448133294"/>
      <w:r>
        <w:t>Background</w:t>
      </w:r>
      <w:bookmarkEnd w:id="7"/>
    </w:p>
    <w:p w:rsidR="00CB0AF3" w:rsidRDefault="00D26954" w:rsidP="00CB0AF3">
      <w:pPr>
        <w:pStyle w:val="standard"/>
      </w:pPr>
      <w:r>
        <w:t xml:space="preserve">This </w:t>
      </w:r>
      <w:r w:rsidR="00F45493">
        <w:t>decision</w:t>
      </w:r>
      <w:r>
        <w:t xml:space="preserve"> is part of the Commission’s efforts to implement Senate Bill (SB) 43</w:t>
      </w:r>
      <w:r w:rsidR="00F45493">
        <w:t xml:space="preserve"> </w:t>
      </w:r>
      <w:r w:rsidR="00F45493" w:rsidRPr="00F45493">
        <w:t>(Wolk, Stats. 2013, ch. 413)</w:t>
      </w:r>
      <w:r>
        <w:t xml:space="preserve">.  </w:t>
      </w:r>
      <w:r w:rsidR="00F45493">
        <w:t xml:space="preserve">SB 43 directed the three largest electrical utilities to implement the Green Tariff Shared Renewables (GTSR) Program.  As set forth in the statute, the GTSR Program included two components:  (1) a Green Tariff component and (2) an </w:t>
      </w:r>
      <w:r w:rsidR="003464F6">
        <w:t>E</w:t>
      </w:r>
      <w:r w:rsidR="00F45493">
        <w:t xml:space="preserve">nhanced </w:t>
      </w:r>
      <w:r w:rsidR="003464F6">
        <w:t>C</w:t>
      </w:r>
      <w:r w:rsidR="00F45493">
        <w:t xml:space="preserve">ommunity </w:t>
      </w:r>
      <w:r w:rsidR="003464F6">
        <w:t>R</w:t>
      </w:r>
      <w:r w:rsidR="00F45493">
        <w:t xml:space="preserve">enewables component. </w:t>
      </w:r>
      <w:r w:rsidR="00657114">
        <w:t xml:space="preserve"> </w:t>
      </w:r>
      <w:r w:rsidR="00F45493">
        <w:t xml:space="preserve">The Green Tariff allows customers to purchase energy </w:t>
      </w:r>
      <w:r w:rsidR="00667087">
        <w:t xml:space="preserve">from a portfolio of sources </w:t>
      </w:r>
      <w:r w:rsidR="00F45493">
        <w:t>with a greater share of renewables</w:t>
      </w:r>
      <w:r w:rsidR="00C542FB">
        <w:t xml:space="preserve"> </w:t>
      </w:r>
      <w:r w:rsidR="003464F6">
        <w:t xml:space="preserve">from the local investor owned utility </w:t>
      </w:r>
      <w:r w:rsidR="00C542FB">
        <w:t>than</w:t>
      </w:r>
      <w:r w:rsidR="003464F6">
        <w:t xml:space="preserve"> is offered in</w:t>
      </w:r>
      <w:r w:rsidR="00C542FB">
        <w:t xml:space="preserve"> the</w:t>
      </w:r>
      <w:r w:rsidR="003464F6">
        <w:t xml:space="preserve"> utility’s</w:t>
      </w:r>
      <w:r w:rsidR="00C542FB">
        <w:t xml:space="preserve"> standard portfolio</w:t>
      </w:r>
      <w:r w:rsidR="00F45493">
        <w:t xml:space="preserve">. </w:t>
      </w:r>
      <w:r w:rsidR="00657114">
        <w:t xml:space="preserve"> </w:t>
      </w:r>
      <w:r w:rsidR="00F45493">
        <w:t xml:space="preserve">The Enhanced Community Renewables option allows customers to purchase renewable energy from </w:t>
      </w:r>
      <w:r w:rsidR="00667087">
        <w:t xml:space="preserve">specific </w:t>
      </w:r>
      <w:r w:rsidR="00F45493">
        <w:t>community-based</w:t>
      </w:r>
      <w:r w:rsidR="00C542FB">
        <w:t xml:space="preserve"> renewable generation</w:t>
      </w:r>
      <w:r w:rsidR="00F45493">
        <w:t xml:space="preserve"> projects. </w:t>
      </w:r>
      <w:r w:rsidR="00657114">
        <w:t xml:space="preserve"> Decision (D.) </w:t>
      </w:r>
      <w:r w:rsidR="00F45493">
        <w:t>15-01-051</w:t>
      </w:r>
      <w:r>
        <w:t xml:space="preserve"> approv</w:t>
      </w:r>
      <w:r w:rsidR="00F45493">
        <w:t>ed</w:t>
      </w:r>
      <w:r>
        <w:t xml:space="preserve"> </w:t>
      </w:r>
      <w:r w:rsidR="00F45493">
        <w:t>a</w:t>
      </w:r>
      <w:r>
        <w:t xml:space="preserve"> Green Tariff Shared Renewables Program for San Diego Gas &amp; Electric Company (SDG&amp;E), Pacific Gas and Electric Company (PG&amp;E), and Southern California Edison Company (SCE</w:t>
      </w:r>
      <w:r w:rsidR="00CB0AF3">
        <w:t>)</w:t>
      </w:r>
      <w:r>
        <w:t xml:space="preserve"> and set forth the steps for PG&amp;E, SCE, and SDG&amp;E (collectively</w:t>
      </w:r>
      <w:r w:rsidR="00657114">
        <w:t xml:space="preserve">, </w:t>
      </w:r>
      <w:r>
        <w:t xml:space="preserve">investor-owned utilities or IOUs) to start to implement their Green Tariff and </w:t>
      </w:r>
      <w:r w:rsidR="00E11386">
        <w:t>Enhanced Community Renewables</w:t>
      </w:r>
      <w:r>
        <w:t xml:space="preserve"> programs, including procuring resources that qualify for the reservations set forth in Section 2833(d).</w:t>
      </w:r>
      <w:r w:rsidR="006127B4">
        <w:rPr>
          <w:rStyle w:val="FootnoteReference"/>
        </w:rPr>
        <w:footnoteReference w:id="2"/>
      </w:r>
      <w:r>
        <w:t xml:space="preserve">  </w:t>
      </w:r>
    </w:p>
    <w:p w:rsidR="00C90540" w:rsidRDefault="00D26954" w:rsidP="00CB0AF3">
      <w:pPr>
        <w:pStyle w:val="standard"/>
      </w:pPr>
      <w:r>
        <w:t xml:space="preserve">D.15-01-051 </w:t>
      </w:r>
      <w:r w:rsidR="00C542FB">
        <w:t>established Phase IV to</w:t>
      </w:r>
      <w:r>
        <w:t xml:space="preserve"> exam</w:t>
      </w:r>
      <w:r w:rsidR="00C542FB">
        <w:t>ine</w:t>
      </w:r>
      <w:r>
        <w:t xml:space="preserve"> additional </w:t>
      </w:r>
      <w:r w:rsidR="00C542FB">
        <w:t>ways</w:t>
      </w:r>
      <w:r>
        <w:t xml:space="preserve"> to optimize participation in the GTSR Program.</w:t>
      </w:r>
      <w:r w:rsidR="00F45493">
        <w:t xml:space="preserve"> </w:t>
      </w:r>
      <w:r w:rsidR="00657114">
        <w:t xml:space="preserve"> </w:t>
      </w:r>
      <w:r w:rsidR="00FC4423">
        <w:t xml:space="preserve">A Joint Assigned Commissioner and Administrative Law Judge Scoping Ruling for Phase IV of this proceeding issued </w:t>
      </w:r>
      <w:r w:rsidR="00FC4423">
        <w:lastRenderedPageBreak/>
        <w:t xml:space="preserve">April 15, 2015. </w:t>
      </w:r>
      <w:r w:rsidR="008D07D8">
        <w:t xml:space="preserve"> </w:t>
      </w:r>
      <w:r w:rsidR="00FC4423">
        <w:t xml:space="preserve">That Scoping Ruling identified near term </w:t>
      </w:r>
      <w:r w:rsidR="00D3544B">
        <w:t xml:space="preserve">program design </w:t>
      </w:r>
      <w:r w:rsidR="00FC4423">
        <w:t>issues (Track A) and long</w:t>
      </w:r>
      <w:r w:rsidR="00D3544B">
        <w:t xml:space="preserve"> term</w:t>
      </w:r>
      <w:r w:rsidR="00FC4423">
        <w:t xml:space="preserve"> implementation issues (Track B)</w:t>
      </w:r>
      <w:r w:rsidR="00DB21FB">
        <w:t xml:space="preserve"> </w:t>
      </w:r>
      <w:r w:rsidR="00D3544B">
        <w:t>intended</w:t>
      </w:r>
      <w:r w:rsidR="00DB21FB">
        <w:t xml:space="preserve"> to refine implementation of the Green Tariff Shared Renewables Program</w:t>
      </w:r>
      <w:r w:rsidR="00FC4423">
        <w:t xml:space="preserve">. </w:t>
      </w:r>
      <w:r w:rsidR="008D07D8">
        <w:t xml:space="preserve"> </w:t>
      </w:r>
      <w:r w:rsidR="00FC4423">
        <w:t xml:space="preserve">A subsequent Administrative Law Judge Ruling issued October 26, 2015 </w:t>
      </w:r>
      <w:r w:rsidR="00D3544B">
        <w:t>included</w:t>
      </w:r>
      <w:r w:rsidR="00FC4423">
        <w:t xml:space="preserve"> additional issues following the adoption of </w:t>
      </w:r>
      <w:r w:rsidR="00EC570D">
        <w:t>SB</w:t>
      </w:r>
      <w:r w:rsidR="00FC4423">
        <w:t>793 (Wolk, Stat</w:t>
      </w:r>
      <w:r w:rsidR="00F77928">
        <w:t>s</w:t>
      </w:r>
      <w:r w:rsidR="00FC4423">
        <w:t>. 2015, ch. 587).</w:t>
      </w:r>
      <w:r w:rsidR="00DB21FB">
        <w:t xml:space="preserve"> </w:t>
      </w:r>
      <w:r w:rsidR="008D07D8">
        <w:t xml:space="preserve"> </w:t>
      </w:r>
      <w:r w:rsidR="00842BEF">
        <w:t>The issues before us in Phase IV have been addressed by parties via comments in response to the</w:t>
      </w:r>
      <w:r w:rsidR="00CB0AF3">
        <w:t xml:space="preserve"> two</w:t>
      </w:r>
      <w:r w:rsidR="00842BEF">
        <w:t xml:space="preserve"> Rulings just described</w:t>
      </w:r>
      <w:r w:rsidR="00D3544B">
        <w:t xml:space="preserve"> and workshops held</w:t>
      </w:r>
      <w:r w:rsidR="009E599B">
        <w:t xml:space="preserve"> June 29, 2015, October 12, 2015</w:t>
      </w:r>
      <w:r w:rsidR="00D3544B">
        <w:t xml:space="preserve"> </w:t>
      </w:r>
      <w:r w:rsidR="009E599B">
        <w:t xml:space="preserve">and </w:t>
      </w:r>
      <w:r w:rsidR="00D3544B">
        <w:t>January 5, 2016</w:t>
      </w:r>
      <w:r w:rsidR="00D04DDB">
        <w:t>; no hearings were held related to these issues</w:t>
      </w:r>
      <w:r w:rsidR="00842BEF">
        <w:t>.</w:t>
      </w:r>
    </w:p>
    <w:p w:rsidR="00494E56" w:rsidRDefault="00C90540" w:rsidP="00C90540">
      <w:pPr>
        <w:pStyle w:val="standard"/>
      </w:pPr>
      <w:r>
        <w:t xml:space="preserve">As </w:t>
      </w:r>
      <w:r w:rsidR="00C542FB">
        <w:t>anticipated</w:t>
      </w:r>
      <w:r>
        <w:t xml:space="preserve"> in the Scoping Ruling, much of 2015 was focus</w:t>
      </w:r>
      <w:r w:rsidR="00F45493">
        <w:t>ed</w:t>
      </w:r>
      <w:r>
        <w:t xml:space="preserve"> on:  (a)</w:t>
      </w:r>
      <w:r w:rsidR="00727169">
        <w:t> </w:t>
      </w:r>
      <w:r>
        <w:t xml:space="preserve">providing feedback to the IOUs on topics in the implementation Advice Letters; (b) timely filing of the </w:t>
      </w:r>
      <w:r w:rsidR="00D3544B">
        <w:t>Customer-Side, Joint Procurement, and Marketing I</w:t>
      </w:r>
      <w:r>
        <w:t>mplementation Advice Letters; and (c) review and comment on the implementation Advice Letters.</w:t>
      </w:r>
      <w:r w:rsidR="005C1FDB">
        <w:t xml:space="preserve"> </w:t>
      </w:r>
      <w:r>
        <w:t xml:space="preserve"> The Advice Letters were resolved by Resolution E-4734 on </w:t>
      </w:r>
      <w:r w:rsidR="00D26954">
        <w:t>October 1, 2015</w:t>
      </w:r>
      <w:r>
        <w:t xml:space="preserve">. </w:t>
      </w:r>
    </w:p>
    <w:p w:rsidR="00494E56" w:rsidRDefault="00CB0AF3" w:rsidP="00C90540">
      <w:pPr>
        <w:pStyle w:val="standard"/>
      </w:pPr>
      <w:r>
        <w:t xml:space="preserve">Among other tasks, </w:t>
      </w:r>
      <w:r w:rsidR="00494E56">
        <w:t xml:space="preserve">D.15-01-051 directed the utilities to enter into advance procurement </w:t>
      </w:r>
      <w:r w:rsidR="00D3544B">
        <w:t xml:space="preserve">for projects </w:t>
      </w:r>
      <w:r w:rsidR="00494E56">
        <w:t>to supply their Green Tariff option.</w:t>
      </w:r>
      <w:r w:rsidR="00494E56">
        <w:rPr>
          <w:rStyle w:val="FootnoteReference"/>
        </w:rPr>
        <w:footnoteReference w:id="3"/>
      </w:r>
      <w:r w:rsidR="00494E56">
        <w:t xml:space="preserve"> </w:t>
      </w:r>
      <w:r w:rsidR="008D07D8">
        <w:t xml:space="preserve"> </w:t>
      </w:r>
      <w:r w:rsidR="00494E56">
        <w:t xml:space="preserve">PG&amp;E is the only utility to report enrollment in its Green Tariff option as of February </w:t>
      </w:r>
      <w:r w:rsidR="00E653CE">
        <w:t>2</w:t>
      </w:r>
      <w:r w:rsidR="00494E56">
        <w:t>9, 2016 (</w:t>
      </w:r>
      <w:r w:rsidR="0085274D">
        <w:rPr>
          <w:i/>
        </w:rPr>
        <w:t>S</w:t>
      </w:r>
      <w:r w:rsidR="00494E56" w:rsidRPr="0085274D">
        <w:rPr>
          <w:i/>
        </w:rPr>
        <w:t>ee</w:t>
      </w:r>
      <w:r w:rsidR="00494E56">
        <w:t xml:space="preserve"> PG&amp;E </w:t>
      </w:r>
      <w:r w:rsidR="00E962E6">
        <w:t xml:space="preserve">Progress </w:t>
      </w:r>
      <w:r w:rsidR="00494E56">
        <w:t xml:space="preserve">Report </w:t>
      </w:r>
      <w:r w:rsidR="00C06A5E">
        <w:t>of March 28, 2016</w:t>
      </w:r>
      <w:r w:rsidR="00494E56">
        <w:t xml:space="preserve">). </w:t>
      </w:r>
      <w:r w:rsidR="005C1FDB">
        <w:t xml:space="preserve"> </w:t>
      </w:r>
      <w:r w:rsidR="00494E56">
        <w:t xml:space="preserve">PG&amp;E estimates enrolled capacity at 1.207 </w:t>
      </w:r>
      <w:r w:rsidR="004A3735">
        <w:t>megawatts (</w:t>
      </w:r>
      <w:r w:rsidR="00494E56">
        <w:t>MW</w:t>
      </w:r>
      <w:r w:rsidR="004A3735">
        <w:t>)</w:t>
      </w:r>
      <w:r w:rsidR="00494E56">
        <w:t xml:space="preserve"> for residential customers and 6.605 for non-residential </w:t>
      </w:r>
      <w:r w:rsidR="00494E56">
        <w:lastRenderedPageBreak/>
        <w:t>customers.</w:t>
      </w:r>
      <w:r w:rsidR="00494E56">
        <w:rPr>
          <w:rStyle w:val="FootnoteReference"/>
        </w:rPr>
        <w:footnoteReference w:id="4"/>
      </w:r>
      <w:r w:rsidR="00494E56">
        <w:t xml:space="preserve"> </w:t>
      </w:r>
      <w:r w:rsidR="008D07D8">
        <w:t xml:space="preserve"> </w:t>
      </w:r>
      <w:r w:rsidR="00780C19">
        <w:t xml:space="preserve">No </w:t>
      </w:r>
      <w:r w:rsidR="00E11386">
        <w:t>Enhanced Community Renewables</w:t>
      </w:r>
      <w:r w:rsidR="00780C19">
        <w:t xml:space="preserve"> projects were reported in the </w:t>
      </w:r>
      <w:r w:rsidR="00C06A5E">
        <w:t>March</w:t>
      </w:r>
      <w:r w:rsidR="00780C19">
        <w:t xml:space="preserve"> 2016 reports.</w:t>
      </w:r>
    </w:p>
    <w:p w:rsidR="00B30FF9" w:rsidRDefault="00B30FF9">
      <w:pPr>
        <w:pStyle w:val="Heading1"/>
      </w:pPr>
      <w:bookmarkStart w:id="8" w:name="_Toc448133295"/>
      <w:r>
        <w:t>Issues Before the Commission</w:t>
      </w:r>
      <w:bookmarkEnd w:id="8"/>
    </w:p>
    <w:p w:rsidR="00360BDC" w:rsidRDefault="00CB0AF3">
      <w:pPr>
        <w:pStyle w:val="standard"/>
      </w:pPr>
      <w:r>
        <w:t xml:space="preserve">Phase IV was established to address potential refinements to the GTSR </w:t>
      </w:r>
      <w:r w:rsidR="00FE7422">
        <w:t xml:space="preserve">program </w:t>
      </w:r>
      <w:r>
        <w:t xml:space="preserve">based on implementation experience, or in some cases where there was insufficient information to </w:t>
      </w:r>
      <w:r w:rsidR="00FE7422">
        <w:t>resolve</w:t>
      </w:r>
      <w:r>
        <w:t xml:space="preserve"> an issue definitively in earlier decision</w:t>
      </w:r>
      <w:r w:rsidR="00FE7422">
        <w:t>s</w:t>
      </w:r>
      <w:r>
        <w:t xml:space="preserve">. </w:t>
      </w:r>
      <w:r w:rsidR="005C1FDB">
        <w:t xml:space="preserve"> </w:t>
      </w:r>
      <w:r>
        <w:t xml:space="preserve">The Scoping Memo and ALJ Ruling laid out the issues, most of which derive from language in D.15-01-051 that identified areas for further exploration. </w:t>
      </w:r>
      <w:r w:rsidR="005C1FDB">
        <w:t xml:space="preserve"> </w:t>
      </w:r>
      <w:r w:rsidR="00587A49" w:rsidRPr="00587A49">
        <w:t xml:space="preserve">This decision addresses the </w:t>
      </w:r>
      <w:r w:rsidR="00642274">
        <w:t xml:space="preserve">identified </w:t>
      </w:r>
      <w:r w:rsidR="00587A49" w:rsidRPr="00587A49">
        <w:t>Phase IV Track A and B issues, as well as the issues added by the October 26, 2015 Ruling</w:t>
      </w:r>
      <w:r w:rsidR="00590E77">
        <w:t xml:space="preserve"> (ALJ Ruling)</w:t>
      </w:r>
      <w:r w:rsidR="00587A49" w:rsidRPr="00587A49">
        <w:t>.</w:t>
      </w:r>
      <w:r w:rsidR="00587A49">
        <w:t xml:space="preserve"> </w:t>
      </w:r>
      <w:r w:rsidR="005C1FDB">
        <w:t xml:space="preserve"> </w:t>
      </w:r>
      <w:r w:rsidR="00360BDC">
        <w:t>Track A was</w:t>
      </w:r>
      <w:r w:rsidR="00E570E2">
        <w:t xml:space="preserve"> </w:t>
      </w:r>
      <w:r w:rsidR="00360BDC">
        <w:t>to address the following issues:</w:t>
      </w:r>
    </w:p>
    <w:p w:rsidR="00360BDC" w:rsidRDefault="00360BDC" w:rsidP="007F5613">
      <w:pPr>
        <w:pStyle w:val="standard"/>
        <w:numPr>
          <w:ilvl w:val="0"/>
          <w:numId w:val="7"/>
        </w:numPr>
        <w:spacing w:after="120" w:line="240" w:lineRule="auto"/>
        <w:ind w:left="1080" w:right="1440"/>
      </w:pPr>
      <w:r>
        <w:t>Options for customers to lock-in rates and have long-term contracts;</w:t>
      </w:r>
    </w:p>
    <w:p w:rsidR="00360BDC" w:rsidRDefault="00360BDC" w:rsidP="007F5613">
      <w:pPr>
        <w:pStyle w:val="standard"/>
        <w:numPr>
          <w:ilvl w:val="0"/>
          <w:numId w:val="7"/>
        </w:numPr>
        <w:spacing w:after="120" w:line="240" w:lineRule="auto"/>
        <w:ind w:left="1080" w:right="1440"/>
      </w:pPr>
      <w:r>
        <w:t>Options to make the GTSR Program affordable to more customers;</w:t>
      </w:r>
    </w:p>
    <w:p w:rsidR="00360BDC" w:rsidRDefault="00360BDC" w:rsidP="007F5613">
      <w:pPr>
        <w:pStyle w:val="standard"/>
        <w:numPr>
          <w:ilvl w:val="0"/>
          <w:numId w:val="7"/>
        </w:numPr>
        <w:spacing w:after="120" w:line="240" w:lineRule="auto"/>
        <w:ind w:left="1080" w:right="1440"/>
      </w:pPr>
      <w:r>
        <w:t>U</w:t>
      </w:r>
      <w:r w:rsidRPr="00E66E3D">
        <w:t xml:space="preserve">se of </w:t>
      </w:r>
      <w:r w:rsidR="004B51AB">
        <w:t xml:space="preserve">the </w:t>
      </w:r>
      <w:r>
        <w:t xml:space="preserve">Renewables Auction Mechanism </w:t>
      </w:r>
      <w:r w:rsidRPr="00E66E3D">
        <w:t xml:space="preserve">to procure </w:t>
      </w:r>
      <w:r w:rsidR="00E11386">
        <w:t>Enhanced Community Renewables</w:t>
      </w:r>
      <w:r w:rsidRPr="00E66E3D">
        <w:t xml:space="preserve"> projects</w:t>
      </w:r>
      <w:r>
        <w:t>;</w:t>
      </w:r>
    </w:p>
    <w:p w:rsidR="00360BDC" w:rsidRDefault="00360BDC" w:rsidP="007F5613">
      <w:pPr>
        <w:pStyle w:val="standard"/>
        <w:numPr>
          <w:ilvl w:val="0"/>
          <w:numId w:val="7"/>
        </w:numPr>
        <w:spacing w:after="120" w:line="240" w:lineRule="auto"/>
        <w:ind w:left="1080" w:right="1440"/>
      </w:pPr>
      <w:r>
        <w:t>Mechanism to include rate design elements from other proceedings (such as the Renewable Integration Charge);</w:t>
      </w:r>
    </w:p>
    <w:p w:rsidR="00360BDC" w:rsidRDefault="00360BDC" w:rsidP="007F5613">
      <w:pPr>
        <w:pStyle w:val="standard"/>
        <w:numPr>
          <w:ilvl w:val="0"/>
          <w:numId w:val="7"/>
        </w:numPr>
        <w:spacing w:after="120" w:line="240" w:lineRule="auto"/>
        <w:ind w:left="1080" w:right="1440"/>
      </w:pPr>
      <w:r w:rsidRPr="00E66E3D">
        <w:t>Determining the market value of a Renewable Energy</w:t>
      </w:r>
      <w:r>
        <w:t xml:space="preserve"> Credit;</w:t>
      </w:r>
    </w:p>
    <w:p w:rsidR="00360BDC" w:rsidRDefault="00360BDC" w:rsidP="007F5613">
      <w:pPr>
        <w:pStyle w:val="standard"/>
        <w:numPr>
          <w:ilvl w:val="0"/>
          <w:numId w:val="7"/>
        </w:numPr>
        <w:spacing w:after="120" w:line="240" w:lineRule="auto"/>
        <w:ind w:left="1080" w:right="1440"/>
      </w:pPr>
      <w:r>
        <w:t>Implementation of CalEnviroScreen;</w:t>
      </w:r>
    </w:p>
    <w:p w:rsidR="00360BDC" w:rsidRDefault="00360BDC" w:rsidP="007F5613">
      <w:pPr>
        <w:pStyle w:val="standard"/>
        <w:numPr>
          <w:ilvl w:val="0"/>
          <w:numId w:val="7"/>
        </w:numPr>
        <w:spacing w:after="120" w:line="240" w:lineRule="auto"/>
        <w:ind w:left="1080" w:right="1440"/>
      </w:pPr>
      <w:r>
        <w:lastRenderedPageBreak/>
        <w:t>T</w:t>
      </w:r>
      <w:r w:rsidRPr="00E66E3D">
        <w:t>hreshold at which the Commission should revisit</w:t>
      </w:r>
      <w:r>
        <w:t xml:space="preserve"> allocation of overhead costs between participating and non-participating customers;</w:t>
      </w:r>
    </w:p>
    <w:p w:rsidR="00360BDC" w:rsidRDefault="00360BDC" w:rsidP="007F5613">
      <w:pPr>
        <w:pStyle w:val="standard"/>
        <w:numPr>
          <w:ilvl w:val="0"/>
          <w:numId w:val="7"/>
        </w:numPr>
        <w:spacing w:after="120" w:line="240" w:lineRule="auto"/>
        <w:ind w:left="1080" w:right="1440"/>
      </w:pPr>
      <w:r>
        <w:t xml:space="preserve">Following determination of the statutory requirements for applying the </w:t>
      </w:r>
      <w:r w:rsidR="00FE7422">
        <w:t>California Alternative Rates for Energy (</w:t>
      </w:r>
      <w:r>
        <w:t>CARE</w:t>
      </w:r>
      <w:r w:rsidR="00FE7422">
        <w:t>)</w:t>
      </w:r>
      <w:r>
        <w:t xml:space="preserve"> discount to the GTSR Program in </w:t>
      </w:r>
      <w:r w:rsidR="001473D8">
        <w:t>Application (</w:t>
      </w:r>
      <w:r>
        <w:t>A.</w:t>
      </w:r>
      <w:r w:rsidR="001473D8">
        <w:t>) </w:t>
      </w:r>
      <w:r>
        <w:t>14-11-007, approve a CARE discount structure for the GTSR Program;</w:t>
      </w:r>
    </w:p>
    <w:p w:rsidR="00360BDC" w:rsidRDefault="00360BDC" w:rsidP="007F5613">
      <w:pPr>
        <w:pStyle w:val="standard"/>
        <w:numPr>
          <w:ilvl w:val="0"/>
          <w:numId w:val="7"/>
        </w:numPr>
        <w:spacing w:after="120" w:line="240" w:lineRule="auto"/>
        <w:ind w:left="1080" w:right="1440"/>
      </w:pPr>
      <w:r w:rsidRPr="00E66E3D">
        <w:t>Alternat</w:t>
      </w:r>
      <w:r>
        <w:t xml:space="preserve">ive </w:t>
      </w:r>
      <w:r w:rsidR="00E11386">
        <w:t>Enhanced Community Renewables</w:t>
      </w:r>
      <w:r>
        <w:t xml:space="preserve"> transactions structures; and</w:t>
      </w:r>
    </w:p>
    <w:p w:rsidR="00360BDC" w:rsidRDefault="00360BDC" w:rsidP="007F5613">
      <w:pPr>
        <w:pStyle w:val="standard"/>
        <w:numPr>
          <w:ilvl w:val="0"/>
          <w:numId w:val="7"/>
        </w:numPr>
        <w:spacing w:after="120" w:line="240" w:lineRule="auto"/>
        <w:ind w:left="1080" w:right="1440" w:hanging="540"/>
      </w:pPr>
      <w:r>
        <w:t>Safety issues related to or raised by the Track A issues.</w:t>
      </w:r>
    </w:p>
    <w:p w:rsidR="00E570E2" w:rsidRDefault="00E570E2" w:rsidP="00727169">
      <w:pPr>
        <w:pStyle w:val="standard"/>
        <w:keepNext/>
        <w:keepLines/>
      </w:pPr>
      <w:r>
        <w:t>The ALJ Ruling added the following topics:</w:t>
      </w:r>
    </w:p>
    <w:p w:rsidR="00E570E2" w:rsidRDefault="00E570E2" w:rsidP="008D07D8">
      <w:pPr>
        <w:pStyle w:val="standard"/>
        <w:numPr>
          <w:ilvl w:val="0"/>
          <w:numId w:val="27"/>
        </w:numPr>
        <w:spacing w:after="120" w:line="240" w:lineRule="auto"/>
        <w:ind w:left="1080" w:right="1440"/>
      </w:pPr>
      <w:r>
        <w:t>Implementing an</w:t>
      </w:r>
      <w:r w:rsidRPr="00E570E2">
        <w:t xml:space="preserve"> </w:t>
      </w:r>
      <w:r>
        <w:t xml:space="preserve">estimate of reasonably anticipated bill credits and bill charges, as determined by the </w:t>
      </w:r>
      <w:r w:rsidR="00FE7422">
        <w:t>C</w:t>
      </w:r>
      <w:r>
        <w:t>ommission, for a period of up to 20 years per SB 793; and</w:t>
      </w:r>
    </w:p>
    <w:p w:rsidR="00E570E2" w:rsidRDefault="00E570E2" w:rsidP="008D07D8">
      <w:pPr>
        <w:pStyle w:val="standard"/>
        <w:numPr>
          <w:ilvl w:val="0"/>
          <w:numId w:val="27"/>
        </w:numPr>
        <w:spacing w:after="120" w:line="240" w:lineRule="auto"/>
        <w:ind w:left="1080" w:right="1440"/>
      </w:pPr>
      <w:r>
        <w:t>Whether the Renewable Auction Mechanism is a reasonable procurement tool for Enhanced Community Renewables projects.</w:t>
      </w:r>
    </w:p>
    <w:p w:rsidR="00BF7A1D" w:rsidRDefault="00BF7A1D" w:rsidP="00727169">
      <w:pPr>
        <w:pStyle w:val="standard"/>
        <w:keepNext/>
        <w:keepLines/>
        <w:spacing w:after="120" w:line="240" w:lineRule="auto"/>
        <w:ind w:left="720" w:right="1440" w:firstLine="0"/>
      </w:pPr>
      <w:r>
        <w:t>Track B was to address:</w:t>
      </w:r>
    </w:p>
    <w:p w:rsidR="00BF7A1D" w:rsidRDefault="00BF7A1D" w:rsidP="007F5613">
      <w:pPr>
        <w:pStyle w:val="standard"/>
        <w:numPr>
          <w:ilvl w:val="0"/>
          <w:numId w:val="22"/>
        </w:numPr>
        <w:spacing w:after="120" w:line="240" w:lineRule="auto"/>
        <w:ind w:left="1080" w:right="1440"/>
      </w:pPr>
      <w:r w:rsidRPr="00E66E3D">
        <w:t>Consi</w:t>
      </w:r>
      <w:r>
        <w:t>deration of sub-500 kilowatt projects;</w:t>
      </w:r>
    </w:p>
    <w:p w:rsidR="00BF7A1D" w:rsidRDefault="00BF7A1D" w:rsidP="007F5613">
      <w:pPr>
        <w:pStyle w:val="standard"/>
        <w:numPr>
          <w:ilvl w:val="0"/>
          <w:numId w:val="22"/>
        </w:numPr>
        <w:spacing w:after="120" w:line="240" w:lineRule="auto"/>
        <w:ind w:left="1080" w:right="1440"/>
      </w:pPr>
      <w:r w:rsidRPr="00E66E3D">
        <w:t>Procurement of renewable resources other than solar;</w:t>
      </w:r>
    </w:p>
    <w:p w:rsidR="00BF7A1D" w:rsidRDefault="00BF7A1D" w:rsidP="007F5613">
      <w:pPr>
        <w:pStyle w:val="standard"/>
        <w:numPr>
          <w:ilvl w:val="0"/>
          <w:numId w:val="22"/>
        </w:numPr>
        <w:spacing w:after="120" w:line="240" w:lineRule="auto"/>
        <w:ind w:left="1080" w:right="1440"/>
      </w:pPr>
      <w:r w:rsidRPr="00E66E3D">
        <w:t>Optimizing procurement under the GTSR Program</w:t>
      </w:r>
      <w:r>
        <w:t>, including u</w:t>
      </w:r>
      <w:r w:rsidRPr="00E66E3D">
        <w:t>tilizing other mechanisms for procurement aside from</w:t>
      </w:r>
      <w:r>
        <w:t xml:space="preserve"> </w:t>
      </w:r>
      <w:r w:rsidRPr="00E66E3D">
        <w:t>Renewables Portfolio Standard solicitation based</w:t>
      </w:r>
      <w:r>
        <w:t xml:space="preserve"> </w:t>
      </w:r>
      <w:r w:rsidRPr="00E66E3D">
        <w:t xml:space="preserve">on </w:t>
      </w:r>
      <w:r w:rsidR="004B51AB">
        <w:t xml:space="preserve">the </w:t>
      </w:r>
      <w:r w:rsidR="00DE4479">
        <w:t>Renewable Auction Mechanism</w:t>
      </w:r>
      <w:r w:rsidRPr="00E66E3D">
        <w:t xml:space="preserve"> model</w:t>
      </w:r>
      <w:r>
        <w:t>;</w:t>
      </w:r>
    </w:p>
    <w:p w:rsidR="00BF7A1D" w:rsidRDefault="00BF7A1D" w:rsidP="007F5613">
      <w:pPr>
        <w:pStyle w:val="standard"/>
        <w:numPr>
          <w:ilvl w:val="0"/>
          <w:numId w:val="22"/>
        </w:numPr>
        <w:spacing w:after="120" w:line="240" w:lineRule="auto"/>
        <w:ind w:left="1080" w:right="1440"/>
      </w:pPr>
      <w:r>
        <w:t xml:space="preserve">Adoption of a uniform methodology for calculating the </w:t>
      </w:r>
      <w:r w:rsidR="00DA6DAB">
        <w:t>greenhouse gas</w:t>
      </w:r>
      <w:r>
        <w:t xml:space="preserve"> emissions rate associated with various retail electricity products;</w:t>
      </w:r>
    </w:p>
    <w:p w:rsidR="00BF7A1D" w:rsidRDefault="00BF7A1D" w:rsidP="007F5613">
      <w:pPr>
        <w:pStyle w:val="standard"/>
        <w:numPr>
          <w:ilvl w:val="0"/>
          <w:numId w:val="22"/>
        </w:numPr>
        <w:spacing w:after="120" w:line="240" w:lineRule="auto"/>
        <w:ind w:left="1080" w:right="1440"/>
      </w:pPr>
      <w:r>
        <w:t>In light of Distribution Resources Plans, more accurately reflecting distribution costs and benefits of GTSR projects;</w:t>
      </w:r>
    </w:p>
    <w:p w:rsidR="00BF7A1D" w:rsidRDefault="00BF7A1D" w:rsidP="007F5613">
      <w:pPr>
        <w:pStyle w:val="standard"/>
        <w:numPr>
          <w:ilvl w:val="0"/>
          <w:numId w:val="22"/>
        </w:numPr>
        <w:spacing w:after="120" w:line="240" w:lineRule="auto"/>
        <w:ind w:left="1080" w:right="1440"/>
      </w:pPr>
      <w:r w:rsidRPr="00E66E3D">
        <w:t>Criteria for d</w:t>
      </w:r>
      <w:r>
        <w:t>emonstrating community interest;</w:t>
      </w:r>
    </w:p>
    <w:p w:rsidR="00BF7A1D" w:rsidRDefault="00BF7A1D" w:rsidP="007F5613">
      <w:pPr>
        <w:pStyle w:val="standard"/>
        <w:numPr>
          <w:ilvl w:val="0"/>
          <w:numId w:val="22"/>
        </w:numPr>
        <w:spacing w:after="120" w:line="240" w:lineRule="auto"/>
        <w:ind w:left="1080" w:right="1440"/>
      </w:pPr>
      <w:r w:rsidRPr="00E66E3D">
        <w:t>Additional definitions of “community” for purposes of</w:t>
      </w:r>
      <w:r>
        <w:t xml:space="preserve"> </w:t>
      </w:r>
      <w:r w:rsidRPr="00E66E3D">
        <w:t xml:space="preserve">siting </w:t>
      </w:r>
      <w:r w:rsidR="00E11386">
        <w:t>Enhanced Community Renewables</w:t>
      </w:r>
      <w:r w:rsidRPr="00E66E3D">
        <w:t xml:space="preserve"> projects;</w:t>
      </w:r>
    </w:p>
    <w:p w:rsidR="00BF7A1D" w:rsidRDefault="00BF7A1D" w:rsidP="007F5613">
      <w:pPr>
        <w:pStyle w:val="standard"/>
        <w:numPr>
          <w:ilvl w:val="0"/>
          <w:numId w:val="22"/>
        </w:numPr>
        <w:spacing w:after="120" w:line="240" w:lineRule="auto"/>
        <w:ind w:left="1080" w:right="1440"/>
      </w:pPr>
      <w:r>
        <w:lastRenderedPageBreak/>
        <w:t>Additional objective standards to evaluate and accept securities opinions from</w:t>
      </w:r>
      <w:r w:rsidR="00727169">
        <w:t xml:space="preserve"> law firms outside of the AmLaw </w:t>
      </w:r>
      <w:r>
        <w:t>100;</w:t>
      </w:r>
    </w:p>
    <w:p w:rsidR="00BF7A1D" w:rsidRDefault="00BF7A1D" w:rsidP="007F5613">
      <w:pPr>
        <w:pStyle w:val="standard"/>
        <w:numPr>
          <w:ilvl w:val="0"/>
          <w:numId w:val="22"/>
        </w:numPr>
        <w:spacing w:after="120" w:line="240" w:lineRule="auto"/>
        <w:ind w:left="1080" w:right="1440"/>
      </w:pPr>
      <w:r>
        <w:t xml:space="preserve">Prioritizing </w:t>
      </w:r>
      <w:r w:rsidR="00E11386">
        <w:t>Environmental Justice</w:t>
      </w:r>
      <w:r>
        <w:t xml:space="preserve"> Projects</w:t>
      </w:r>
      <w:r w:rsidR="00740B4B">
        <w:t>;</w:t>
      </w:r>
      <w:r w:rsidR="00FE7422">
        <w:rPr>
          <w:rStyle w:val="FootnoteReference"/>
        </w:rPr>
        <w:footnoteReference w:id="5"/>
      </w:r>
      <w:r>
        <w:t xml:space="preserve"> and</w:t>
      </w:r>
    </w:p>
    <w:p w:rsidR="00BF7A1D" w:rsidRPr="00E60BE1" w:rsidRDefault="00BF7A1D" w:rsidP="000C4A1E">
      <w:pPr>
        <w:pStyle w:val="standard"/>
        <w:numPr>
          <w:ilvl w:val="0"/>
          <w:numId w:val="22"/>
        </w:numPr>
        <w:spacing w:after="120" w:line="240" w:lineRule="auto"/>
        <w:ind w:left="1080" w:right="1440" w:hanging="450"/>
      </w:pPr>
      <w:r>
        <w:t>Safety issues related to or raised by the Track B issues.</w:t>
      </w:r>
    </w:p>
    <w:p w:rsidR="00B30FF9" w:rsidRDefault="00E962E6">
      <w:pPr>
        <w:pStyle w:val="standard"/>
      </w:pPr>
      <w:r>
        <w:t>Because we resolve all</w:t>
      </w:r>
      <w:r w:rsidR="00446061">
        <w:t xml:space="preserve"> </w:t>
      </w:r>
      <w:r w:rsidR="004E3D27">
        <w:t xml:space="preserve">remaining </w:t>
      </w:r>
      <w:r w:rsidR="00446061">
        <w:t>issues</w:t>
      </w:r>
      <w:r w:rsidR="00DF2732">
        <w:t xml:space="preserve"> identified</w:t>
      </w:r>
      <w:r w:rsidR="00446061">
        <w:t xml:space="preserve"> </w:t>
      </w:r>
      <w:r w:rsidR="004E3D27">
        <w:t>as with</w:t>
      </w:r>
      <w:r w:rsidR="00446061">
        <w:t xml:space="preserve">in </w:t>
      </w:r>
      <w:r w:rsidR="004E3D27">
        <w:t>the scope of this proceeding,</w:t>
      </w:r>
      <w:r w:rsidR="00446061">
        <w:t xml:space="preserve"> and a number of these issues are interrelated, we address</w:t>
      </w:r>
      <w:r w:rsidR="00587A49">
        <w:t xml:space="preserve"> </w:t>
      </w:r>
      <w:r w:rsidR="00446061">
        <w:t>related</w:t>
      </w:r>
      <w:r w:rsidR="00587A49">
        <w:t xml:space="preserve"> issues </w:t>
      </w:r>
      <w:r w:rsidR="00446061">
        <w:t xml:space="preserve">together, rather than </w:t>
      </w:r>
      <w:r w:rsidR="00DF2732">
        <w:t>retaining</w:t>
      </w:r>
      <w:r w:rsidR="00446061">
        <w:t xml:space="preserve"> the order that they were listed</w:t>
      </w:r>
      <w:r w:rsidR="00DF2732">
        <w:t xml:space="preserve"> in the scoping process</w:t>
      </w:r>
      <w:r w:rsidR="00587A49">
        <w:t>.</w:t>
      </w:r>
      <w:r w:rsidR="00CB0AF3">
        <w:t xml:space="preserve"> </w:t>
      </w:r>
    </w:p>
    <w:p w:rsidR="00B30FF9" w:rsidRDefault="00B30FF9">
      <w:pPr>
        <w:pStyle w:val="Heading1"/>
      </w:pPr>
      <w:bookmarkStart w:id="9" w:name="_Toc448133296"/>
      <w:r>
        <w:t>Discussion and Analysis</w:t>
      </w:r>
      <w:bookmarkEnd w:id="9"/>
    </w:p>
    <w:p w:rsidR="00E962E6" w:rsidRDefault="00E962E6" w:rsidP="006D0DA8">
      <w:pPr>
        <w:pStyle w:val="standard"/>
      </w:pPr>
      <w:r>
        <w:t>The issues before</w:t>
      </w:r>
      <w:r w:rsidR="007F2695">
        <w:t xml:space="preserve"> us</w:t>
      </w:r>
      <w:r>
        <w:t xml:space="preserve"> fall into </w:t>
      </w:r>
      <w:r w:rsidR="006B6284">
        <w:t xml:space="preserve">five </w:t>
      </w:r>
      <w:r>
        <w:t>primary buckets</w:t>
      </w:r>
      <w:r w:rsidR="00DB4733">
        <w:t>:</w:t>
      </w:r>
      <w:r w:rsidR="00252553">
        <w:rPr>
          <w:rStyle w:val="FootnoteReference"/>
        </w:rPr>
        <w:footnoteReference w:id="6"/>
      </w:r>
    </w:p>
    <w:p w:rsidR="00E962E6" w:rsidRDefault="00B26FE1" w:rsidP="00DB4733">
      <w:pPr>
        <w:pStyle w:val="standard"/>
        <w:numPr>
          <w:ilvl w:val="0"/>
          <w:numId w:val="23"/>
        </w:numPr>
        <w:spacing w:after="120" w:line="240" w:lineRule="auto"/>
      </w:pPr>
      <w:r>
        <w:t>Changes to the GTSR</w:t>
      </w:r>
      <w:r w:rsidR="00F43A72">
        <w:t xml:space="preserve"> program</w:t>
      </w:r>
      <w:r>
        <w:t xml:space="preserve"> to improve the structure, eligibility,</w:t>
      </w:r>
      <w:r w:rsidR="00774E62">
        <w:t xml:space="preserve"> duration,</w:t>
      </w:r>
      <w:r>
        <w:t xml:space="preserve"> and method for procuring </w:t>
      </w:r>
      <w:r w:rsidR="00E11386">
        <w:t>Enhanced Community Renewables</w:t>
      </w:r>
      <w:r>
        <w:t xml:space="preserve"> projects;</w:t>
      </w:r>
    </w:p>
    <w:p w:rsidR="00B26FE1" w:rsidRDefault="00B26FE1" w:rsidP="00DB4733">
      <w:pPr>
        <w:pStyle w:val="standard"/>
        <w:numPr>
          <w:ilvl w:val="0"/>
          <w:numId w:val="23"/>
        </w:numPr>
        <w:spacing w:after="120" w:line="240" w:lineRule="auto"/>
      </w:pPr>
      <w:r>
        <w:t>Changes to the GTSR program that improve affordability or longevity of the program</w:t>
      </w:r>
      <w:r w:rsidR="00F43A72">
        <w:t>;</w:t>
      </w:r>
      <w:r>
        <w:t xml:space="preserve"> </w:t>
      </w:r>
    </w:p>
    <w:p w:rsidR="00B26FE1" w:rsidRDefault="003B38FB" w:rsidP="00DB4733">
      <w:pPr>
        <w:pStyle w:val="standard"/>
        <w:numPr>
          <w:ilvl w:val="0"/>
          <w:numId w:val="23"/>
        </w:numPr>
        <w:spacing w:after="120" w:line="240" w:lineRule="auto"/>
      </w:pPr>
      <w:r>
        <w:t>Pricing, r</w:t>
      </w:r>
      <w:r w:rsidR="00B26FE1">
        <w:t>atemaking</w:t>
      </w:r>
      <w:r w:rsidR="005425E3">
        <w:t>,</w:t>
      </w:r>
      <w:r w:rsidR="00B26FE1">
        <w:t xml:space="preserve"> </w:t>
      </w:r>
      <w:r w:rsidR="005425E3">
        <w:t>and</w:t>
      </w:r>
      <w:r w:rsidR="00B26FE1">
        <w:t xml:space="preserve"> rate design</w:t>
      </w:r>
      <w:r w:rsidR="00F43A72">
        <w:t>;</w:t>
      </w:r>
      <w:r w:rsidR="00B26FE1">
        <w:t xml:space="preserve"> </w:t>
      </w:r>
    </w:p>
    <w:p w:rsidR="00B26FE1" w:rsidRDefault="008F3C92" w:rsidP="00DB4733">
      <w:pPr>
        <w:pStyle w:val="standard"/>
        <w:numPr>
          <w:ilvl w:val="0"/>
          <w:numId w:val="23"/>
        </w:numPr>
        <w:spacing w:after="120" w:line="240" w:lineRule="auto"/>
      </w:pPr>
      <w:r>
        <w:t xml:space="preserve">SB 793 </w:t>
      </w:r>
      <w:r w:rsidR="00FC1B47">
        <w:t>Forecasting Methodology</w:t>
      </w:r>
      <w:r w:rsidR="00F43A72">
        <w:t>; and</w:t>
      </w:r>
      <w:r>
        <w:t xml:space="preserve"> </w:t>
      </w:r>
    </w:p>
    <w:p w:rsidR="00B26FE1" w:rsidRPr="006D0DA8" w:rsidRDefault="008F3C92" w:rsidP="00DB4733">
      <w:pPr>
        <w:pStyle w:val="standard"/>
        <w:numPr>
          <w:ilvl w:val="0"/>
          <w:numId w:val="23"/>
        </w:numPr>
        <w:spacing w:after="120" w:line="240" w:lineRule="auto"/>
      </w:pPr>
      <w:r>
        <w:t>Miscellaneous</w:t>
      </w:r>
      <w:r w:rsidR="00740B4B">
        <w:t>.</w:t>
      </w:r>
    </w:p>
    <w:p w:rsidR="00DF2732" w:rsidRDefault="00DF2732" w:rsidP="006D0DA8">
      <w:pPr>
        <w:pStyle w:val="Heading2"/>
      </w:pPr>
      <w:bookmarkStart w:id="10" w:name="_Toc448133297"/>
      <w:r>
        <w:lastRenderedPageBreak/>
        <w:t xml:space="preserve">Changes to </w:t>
      </w:r>
      <w:r w:rsidR="00FC1B47">
        <w:t>Promote Procurement of</w:t>
      </w:r>
      <w:r w:rsidR="004E3D27">
        <w:t xml:space="preserve"> </w:t>
      </w:r>
      <w:r w:rsidR="009A6466">
        <w:br/>
      </w:r>
      <w:r>
        <w:t>Enhanced Community Renewables Project</w:t>
      </w:r>
      <w:r w:rsidR="004E3D27">
        <w:t>s</w:t>
      </w:r>
      <w:bookmarkEnd w:id="10"/>
      <w:r>
        <w:t xml:space="preserve"> </w:t>
      </w:r>
    </w:p>
    <w:p w:rsidR="00DF2732" w:rsidRDefault="00DF2732" w:rsidP="00DF2732">
      <w:pPr>
        <w:pStyle w:val="standard"/>
      </w:pPr>
      <w:r>
        <w:t xml:space="preserve">A number of the issues identified for Phase IV relate to refining the structure, eligibility, and method for procuring </w:t>
      </w:r>
      <w:r w:rsidR="00E11386">
        <w:t>Enhanced Community Renewables</w:t>
      </w:r>
      <w:r>
        <w:t xml:space="preserve"> projects. </w:t>
      </w:r>
      <w:r w:rsidR="005C1FDB">
        <w:t xml:space="preserve"> </w:t>
      </w:r>
      <w:r>
        <w:t xml:space="preserve">As currently structured, </w:t>
      </w:r>
      <w:r w:rsidR="00E11386">
        <w:t>Enhanced Community Renewables</w:t>
      </w:r>
      <w:r>
        <w:t xml:space="preserve"> projects can only be procured by bidding into the </w:t>
      </w:r>
      <w:r w:rsidR="00DE4479">
        <w:t>Renewable Market Adjusting Tariff (</w:t>
      </w:r>
      <w:r>
        <w:t>ReMAT</w:t>
      </w:r>
      <w:r w:rsidR="00DE4479">
        <w:t>)</w:t>
      </w:r>
      <w:r>
        <w:t xml:space="preserve"> program</w:t>
      </w:r>
      <w:r w:rsidR="00754C88">
        <w:t xml:space="preserve">, </w:t>
      </w:r>
      <w:r w:rsidR="00791754">
        <w:t>which has</w:t>
      </w:r>
      <w:r w:rsidR="00754C88">
        <w:t xml:space="preserve"> a maximum eligible </w:t>
      </w:r>
      <w:r w:rsidR="00791754">
        <w:t>project capacity</w:t>
      </w:r>
      <w:r w:rsidR="00754C88">
        <w:t xml:space="preserve"> of 3 MW</w:t>
      </w:r>
      <w:r w:rsidR="00791754">
        <w:t>.</w:t>
      </w:r>
      <w:r w:rsidR="00754C88">
        <w:t xml:space="preserve"> </w:t>
      </w:r>
      <w:r w:rsidR="005C1FDB">
        <w:t xml:space="preserve"> </w:t>
      </w:r>
      <w:r w:rsidR="009D2F58">
        <w:t>The</w:t>
      </w:r>
      <w:r w:rsidR="0040532B">
        <w:t xml:space="preserve"> </w:t>
      </w:r>
      <w:r w:rsidR="00DE4479">
        <w:t>Renewable Auction Mechanism allows projects of a larger size to bid and</w:t>
      </w:r>
      <w:r w:rsidR="00D0753A">
        <w:t xml:space="preserve"> reflects market prices bid by generators at the time of the auction</w:t>
      </w:r>
      <w:r w:rsidR="00DE4479">
        <w:t>.</w:t>
      </w:r>
      <w:r w:rsidR="0040532B">
        <w:t xml:space="preserve"> </w:t>
      </w:r>
      <w:r w:rsidR="005C1FDB">
        <w:t xml:space="preserve"> </w:t>
      </w:r>
      <w:r w:rsidR="0040532B">
        <w:t xml:space="preserve">ReMAT </w:t>
      </w:r>
      <w:r w:rsidR="009D2F58">
        <w:t>prices</w:t>
      </w:r>
      <w:r w:rsidR="00730A90">
        <w:t xml:space="preserve"> begin at an administratively established price with incremental increases or decreases to the price</w:t>
      </w:r>
      <w:r w:rsidR="009D2F58">
        <w:t xml:space="preserve"> based on </w:t>
      </w:r>
      <w:r w:rsidR="00730A90">
        <w:t xml:space="preserve">the number of participating </w:t>
      </w:r>
      <w:r w:rsidR="00F43A72">
        <w:t>projects</w:t>
      </w:r>
      <w:r w:rsidR="00730A90">
        <w:t>.</w:t>
      </w:r>
      <w:r w:rsidR="009D2F58">
        <w:t xml:space="preserve"> </w:t>
      </w:r>
      <w:r w:rsidR="005C1FDB">
        <w:t xml:space="preserve"> </w:t>
      </w:r>
      <w:r w:rsidR="00DE7D9D">
        <w:t>R</w:t>
      </w:r>
      <w:r w:rsidR="00EB50FC">
        <w:t>elying</w:t>
      </w:r>
      <w:r w:rsidR="00884019">
        <w:t xml:space="preserve"> solely </w:t>
      </w:r>
      <w:r w:rsidR="00EB50FC">
        <w:t>on</w:t>
      </w:r>
      <w:r w:rsidR="00884019">
        <w:t xml:space="preserve"> the ReMAT as a means of </w:t>
      </w:r>
      <w:r w:rsidR="00E11386">
        <w:t>Enhanced Community Renewables</w:t>
      </w:r>
      <w:r w:rsidR="00EE3DED">
        <w:t xml:space="preserve"> </w:t>
      </w:r>
      <w:r w:rsidR="00884019">
        <w:t>procurement does not support the success of the GTSR program</w:t>
      </w:r>
      <w:r w:rsidR="00D47AEA">
        <w:t xml:space="preserve">, especially in light of the limited duration of the program, which </w:t>
      </w:r>
      <w:r w:rsidR="00F43A72">
        <w:t>will</w:t>
      </w:r>
      <w:r w:rsidR="00D47AEA">
        <w:t xml:space="preserve"> sunset on December 31, 2018</w:t>
      </w:r>
      <w:r w:rsidR="00884019">
        <w:t>.</w:t>
      </w:r>
      <w:r w:rsidR="009A6466">
        <w:t xml:space="preserve"> </w:t>
      </w:r>
      <w:r w:rsidR="00884019">
        <w:t xml:space="preserve"> Therefore, many of the parties’ comments focused on whether </w:t>
      </w:r>
      <w:r w:rsidR="00E11386">
        <w:t>Enhanced Community Renewables</w:t>
      </w:r>
      <w:r w:rsidR="00884019">
        <w:t xml:space="preserve"> projects</w:t>
      </w:r>
      <w:r w:rsidR="00F43A72" w:rsidRPr="00F43A72">
        <w:t xml:space="preserve"> </w:t>
      </w:r>
      <w:r w:rsidR="00F43A72">
        <w:t>should be procured through the Renewable Auction Mechanism</w:t>
      </w:r>
      <w:r w:rsidR="00884019">
        <w:t>.</w:t>
      </w:r>
    </w:p>
    <w:p w:rsidR="00EB50FC" w:rsidRDefault="005D1B49" w:rsidP="00DF2732">
      <w:pPr>
        <w:pStyle w:val="standard"/>
      </w:pPr>
      <w:r>
        <w:t>A threshold issue</w:t>
      </w:r>
      <w:r w:rsidR="00EB50FC">
        <w:t xml:space="preserve"> before us</w:t>
      </w:r>
      <w:r>
        <w:t xml:space="preserve"> is whether we should direct the utilities to hold a </w:t>
      </w:r>
      <w:r w:rsidR="00DE4479">
        <w:t>Renewable Auction Mechanism</w:t>
      </w:r>
      <w:r>
        <w:t xml:space="preserve"> solicitation specific to </w:t>
      </w:r>
      <w:r w:rsidR="00E11386">
        <w:t>Enhanced Community Renewables</w:t>
      </w:r>
      <w:r>
        <w:t xml:space="preserve"> and </w:t>
      </w:r>
      <w:r w:rsidR="00E11386">
        <w:t>Enhanced Community Renewables</w:t>
      </w:r>
      <w:r>
        <w:t>-</w:t>
      </w:r>
      <w:r w:rsidR="00E11386">
        <w:t>Environmental Justice</w:t>
      </w:r>
      <w:r w:rsidR="00BE3D70">
        <w:rPr>
          <w:rStyle w:val="FootnoteReference"/>
        </w:rPr>
        <w:footnoteReference w:id="7"/>
      </w:r>
      <w:r>
        <w:t xml:space="preserve"> projects.</w:t>
      </w:r>
      <w:r w:rsidR="00594311">
        <w:rPr>
          <w:rStyle w:val="FootnoteReference"/>
        </w:rPr>
        <w:footnoteReference w:id="8"/>
      </w:r>
      <w:r>
        <w:t xml:space="preserve"> </w:t>
      </w:r>
      <w:r w:rsidR="000E3A1C">
        <w:t xml:space="preserve"> </w:t>
      </w:r>
      <w:r w:rsidR="00EB50FC" w:rsidRPr="00EB50FC">
        <w:t xml:space="preserve">PG&amp;E, SDG&amp;E, SCE, </w:t>
      </w:r>
      <w:r w:rsidR="00DE4479">
        <w:t>Solar Energy Industries Association (SEIA)</w:t>
      </w:r>
      <w:r w:rsidR="00DE4479" w:rsidRPr="00EB50FC">
        <w:t xml:space="preserve">, </w:t>
      </w:r>
      <w:r w:rsidR="00DE4479">
        <w:t xml:space="preserve">The </w:t>
      </w:r>
      <w:r w:rsidR="00DE4479">
        <w:lastRenderedPageBreak/>
        <w:t>Utility Reform Network (</w:t>
      </w:r>
      <w:r w:rsidR="00EB50FC" w:rsidRPr="00EB50FC">
        <w:t>TURN</w:t>
      </w:r>
      <w:r w:rsidR="00DE4479">
        <w:t>)</w:t>
      </w:r>
      <w:r w:rsidR="00EB50FC" w:rsidRPr="00EB50FC">
        <w:t xml:space="preserve">, </w:t>
      </w:r>
      <w:r w:rsidR="00060807">
        <w:t xml:space="preserve">and </w:t>
      </w:r>
      <w:r w:rsidR="00F43A72">
        <w:t xml:space="preserve">the </w:t>
      </w:r>
      <w:r w:rsidR="00DE4479">
        <w:t>Office of Ratepayer Advocates (</w:t>
      </w:r>
      <w:r w:rsidR="00EB50FC" w:rsidRPr="00EB50FC">
        <w:t>ORA</w:t>
      </w:r>
      <w:r w:rsidR="00DE4479">
        <w:t>)</w:t>
      </w:r>
      <w:r w:rsidR="00EB50FC">
        <w:t xml:space="preserve"> all support using the </w:t>
      </w:r>
      <w:r w:rsidR="00DE4479">
        <w:t>Renewable Auction Mechanism</w:t>
      </w:r>
      <w:r w:rsidR="00EB50FC">
        <w:t xml:space="preserve"> to procure </w:t>
      </w:r>
      <w:r w:rsidR="00E11386">
        <w:t>Enhanced Community Renewables</w:t>
      </w:r>
      <w:r w:rsidR="00EB50FC">
        <w:t xml:space="preserve"> projects</w:t>
      </w:r>
      <w:r w:rsidR="00F43A72">
        <w:t xml:space="preserve"> although some, like PG&amp;E, support retaining a 3 MW project capacity limit</w:t>
      </w:r>
      <w:r w:rsidR="00EB50FC">
        <w:t>.</w:t>
      </w:r>
      <w:r w:rsidR="00EB50FC" w:rsidRPr="00EB50FC">
        <w:t xml:space="preserve"> </w:t>
      </w:r>
      <w:r w:rsidR="005C1FDB">
        <w:t xml:space="preserve"> </w:t>
      </w:r>
      <w:r w:rsidR="00EB50FC">
        <w:t xml:space="preserve">They argue that </w:t>
      </w:r>
      <w:r w:rsidR="00DE4479">
        <w:t>the Renewable Auction Mechanism</w:t>
      </w:r>
      <w:r w:rsidR="00EB50FC">
        <w:t xml:space="preserve"> is a </w:t>
      </w:r>
      <w:r w:rsidR="00DE4479">
        <w:t>Commission</w:t>
      </w:r>
      <w:r w:rsidR="00EB50FC" w:rsidRPr="00EB50FC">
        <w:t>-approved, tested</w:t>
      </w:r>
      <w:r w:rsidR="00F43A72">
        <w:t>, predictable</w:t>
      </w:r>
      <w:r w:rsidR="00EB50FC">
        <w:t>,</w:t>
      </w:r>
      <w:r w:rsidR="00F43A72">
        <w:t xml:space="preserve"> and</w:t>
      </w:r>
      <w:r w:rsidR="00EB50FC">
        <w:t xml:space="preserve"> successful mechanism</w:t>
      </w:r>
      <w:r w:rsidR="00F43A72">
        <w:t xml:space="preserve">. </w:t>
      </w:r>
      <w:r w:rsidR="005C1FDB">
        <w:t xml:space="preserve"> </w:t>
      </w:r>
      <w:r w:rsidR="00F43A72">
        <w:t xml:space="preserve">Unlike ReMAT, </w:t>
      </w:r>
      <w:r w:rsidR="00BE3D70">
        <w:t>the Renewable Auction Mechanism imposes</w:t>
      </w:r>
      <w:r w:rsidR="00EB50FC" w:rsidRPr="00EB50FC">
        <w:t xml:space="preserve"> no ongoing </w:t>
      </w:r>
      <w:r w:rsidR="00BE3D70">
        <w:t xml:space="preserve">developer </w:t>
      </w:r>
      <w:r w:rsidR="00EB50FC" w:rsidRPr="00EB50FC">
        <w:t>obligation to participate</w:t>
      </w:r>
      <w:r w:rsidR="00EB50FC">
        <w:t>,</w:t>
      </w:r>
      <w:r w:rsidR="00EB50FC" w:rsidRPr="00EB50FC">
        <w:t xml:space="preserve"> doesn’t require developers to maintain interconnection obligations in perpetuity, and ensures the lowest price through a competitive bidding process</w:t>
      </w:r>
      <w:r w:rsidR="00EB50FC">
        <w:t xml:space="preserve">. </w:t>
      </w:r>
      <w:r w:rsidR="005C1FDB">
        <w:t xml:space="preserve"> </w:t>
      </w:r>
      <w:r w:rsidR="00594311">
        <w:t xml:space="preserve">In addition, </w:t>
      </w:r>
      <w:r w:rsidR="00DE4479">
        <w:t>the Renewable Auction Mechanism</w:t>
      </w:r>
      <w:r w:rsidR="00594311">
        <w:t xml:space="preserve"> can easily accommodate larger projects bidding in, whereas ReMAT is limited to </w:t>
      </w:r>
      <w:r w:rsidR="00BE3D70">
        <w:t xml:space="preserve">projects with </w:t>
      </w:r>
      <w:r w:rsidR="00594311">
        <w:t>a maximum</w:t>
      </w:r>
      <w:r w:rsidR="00BE3D70">
        <w:t xml:space="preserve"> capacity</w:t>
      </w:r>
      <w:r w:rsidR="00594311">
        <w:t xml:space="preserve"> of 3 MW. </w:t>
      </w:r>
      <w:r w:rsidR="005C1FDB">
        <w:t xml:space="preserve"> </w:t>
      </w:r>
      <w:r w:rsidR="00060807">
        <w:t>S</w:t>
      </w:r>
      <w:r w:rsidR="00EB50FC">
        <w:t>ome parties favor use of ReMAT, arguing</w:t>
      </w:r>
      <w:r w:rsidR="00BE3D70">
        <w:t xml:space="preserve"> that</w:t>
      </w:r>
      <w:r w:rsidR="00060807">
        <w:t xml:space="preserve"> smaller projects, </w:t>
      </w:r>
      <w:r w:rsidR="00693C94">
        <w:t>including those sited in</w:t>
      </w:r>
      <w:r w:rsidR="00EB50FC">
        <w:t xml:space="preserve"> </w:t>
      </w:r>
      <w:r w:rsidR="00E11386">
        <w:t>Environmental Justice</w:t>
      </w:r>
      <w:r w:rsidR="00EB50FC" w:rsidRPr="00EB50FC">
        <w:t xml:space="preserve"> </w:t>
      </w:r>
      <w:r w:rsidR="00693C94">
        <w:t>areas</w:t>
      </w:r>
      <w:r w:rsidR="00060807">
        <w:t>, will result in more local community benefits</w:t>
      </w:r>
      <w:r w:rsidR="00693C94">
        <w:t>, such as</w:t>
      </w:r>
      <w:r w:rsidR="00060807">
        <w:t xml:space="preserve"> through job creation, that are unlikely to occur as project size expands</w:t>
      </w:r>
      <w:r w:rsidR="00EB50FC">
        <w:t>.</w:t>
      </w:r>
      <w:r w:rsidR="00D016A1" w:rsidRPr="00D016A1">
        <w:t xml:space="preserve"> </w:t>
      </w:r>
      <w:r w:rsidR="005C1FDB">
        <w:t xml:space="preserve"> </w:t>
      </w:r>
      <w:r w:rsidR="00D016A1">
        <w:t xml:space="preserve">Some parties suggest that </w:t>
      </w:r>
      <w:r w:rsidR="00E11386">
        <w:t>Enhanced Community Renewables</w:t>
      </w:r>
      <w:r w:rsidR="00D016A1" w:rsidRPr="00D016A1">
        <w:t xml:space="preserve"> projects should not have to participate in auctions and </w:t>
      </w:r>
      <w:r w:rsidR="00060807">
        <w:t xml:space="preserve">should </w:t>
      </w:r>
      <w:r w:rsidR="00D016A1" w:rsidRPr="00D016A1">
        <w:t xml:space="preserve">be able to execute </w:t>
      </w:r>
      <w:r w:rsidR="000D53FC">
        <w:t>power purchase agreements</w:t>
      </w:r>
      <w:r w:rsidR="00D016A1" w:rsidRPr="00D016A1">
        <w:t xml:space="preserve"> once they have met the minimum </w:t>
      </w:r>
      <w:r w:rsidR="00E11386">
        <w:t>Enhanced Community Renewables</w:t>
      </w:r>
      <w:r w:rsidR="00D016A1" w:rsidRPr="00D016A1">
        <w:t xml:space="preserve"> development requirements</w:t>
      </w:r>
      <w:r w:rsidR="00D016A1">
        <w:t xml:space="preserve">. </w:t>
      </w:r>
      <w:r w:rsidR="005C1FDB">
        <w:t xml:space="preserve"> </w:t>
      </w:r>
      <w:r w:rsidR="00D016A1">
        <w:t xml:space="preserve">This recommendation runs afoul of </w:t>
      </w:r>
      <w:r w:rsidR="005C7885">
        <w:t>§</w:t>
      </w:r>
      <w:r w:rsidR="00727169">
        <w:t xml:space="preserve"> </w:t>
      </w:r>
      <w:r w:rsidR="005C7885">
        <w:t xml:space="preserve">2833(c) which requires use of tools and mechanisms approved by the Commission for purposes of meeting the procurement requirements of the California Renewable Portfolio Standard Program, and therefore we do not consider it. </w:t>
      </w:r>
    </w:p>
    <w:p w:rsidR="00113197" w:rsidRDefault="005A2B49" w:rsidP="00DF2732">
      <w:pPr>
        <w:pStyle w:val="standard"/>
      </w:pPr>
      <w:r>
        <w:t>O</w:t>
      </w:r>
      <w:r w:rsidR="000340A5">
        <w:t>ne of o</w:t>
      </w:r>
      <w:r>
        <w:t>ur goal</w:t>
      </w:r>
      <w:r w:rsidR="000340A5">
        <w:t>s</w:t>
      </w:r>
      <w:r>
        <w:t xml:space="preserve"> in this decision is to promote the participation in the GTSR</w:t>
      </w:r>
      <w:r w:rsidR="000D53FC">
        <w:t xml:space="preserve"> program</w:t>
      </w:r>
      <w:r>
        <w:t xml:space="preserve"> by </w:t>
      </w:r>
      <w:r w:rsidR="00E11386">
        <w:t>Enhanced Community Renewables</w:t>
      </w:r>
      <w:r>
        <w:t xml:space="preserve"> projects. </w:t>
      </w:r>
      <w:r w:rsidR="005C1FDB">
        <w:t xml:space="preserve"> </w:t>
      </w:r>
      <w:r>
        <w:t xml:space="preserve">In addition, we want </w:t>
      </w:r>
      <w:r w:rsidR="000A1F7B">
        <w:t xml:space="preserve">to encourage </w:t>
      </w:r>
      <w:r>
        <w:t xml:space="preserve">disadvantaged communities to share in the benefits of local renewable development. </w:t>
      </w:r>
      <w:r w:rsidR="005C1FDB">
        <w:t xml:space="preserve"> </w:t>
      </w:r>
      <w:r>
        <w:t xml:space="preserve">We also want to ensure that non-participating utility ratepayers do not subsidize the GTSR program. </w:t>
      </w:r>
      <w:r w:rsidR="005C1FDB">
        <w:t xml:space="preserve"> </w:t>
      </w:r>
      <w:r>
        <w:t xml:space="preserve">This balancing act is tricky. </w:t>
      </w:r>
      <w:r w:rsidR="005C1FDB">
        <w:t xml:space="preserve"> </w:t>
      </w:r>
      <w:r>
        <w:t xml:space="preserve">We </w:t>
      </w:r>
      <w:r>
        <w:lastRenderedPageBreak/>
        <w:t xml:space="preserve">must expand opportunities for </w:t>
      </w:r>
      <w:r w:rsidR="00E11386">
        <w:t>Enhanced Community Renewables</w:t>
      </w:r>
      <w:r>
        <w:t xml:space="preserve"> and </w:t>
      </w:r>
      <w:r w:rsidR="00E11386">
        <w:t>Enhanced Community Renewables</w:t>
      </w:r>
      <w:r>
        <w:t>-</w:t>
      </w:r>
      <w:r w:rsidR="00E11386">
        <w:t>Environmental Justice</w:t>
      </w:r>
      <w:r>
        <w:t xml:space="preserve"> developers to find customers to participate, and simultaneously limit utility </w:t>
      </w:r>
      <w:r w:rsidR="00903D77">
        <w:t xml:space="preserve">ratepayer </w:t>
      </w:r>
      <w:r>
        <w:t xml:space="preserve">exposure to </w:t>
      </w:r>
      <w:r w:rsidR="000C4A1E">
        <w:t>non</w:t>
      </w:r>
      <w:r w:rsidR="000C4A1E">
        <w:noBreakHyphen/>
      </w:r>
      <w:r w:rsidR="00903D77">
        <w:t xml:space="preserve">performing or under-enrolled </w:t>
      </w:r>
      <w:r w:rsidR="00E11386">
        <w:t>Enhanced Community Renewables</w:t>
      </w:r>
      <w:r w:rsidR="00903D77">
        <w:t xml:space="preserve"> and </w:t>
      </w:r>
      <w:r w:rsidR="00E11386">
        <w:t>Enhanced Community Renewables</w:t>
      </w:r>
      <w:r w:rsidR="00903D77">
        <w:t>-</w:t>
      </w:r>
      <w:r w:rsidR="00E11386">
        <w:t>Environmental Justice</w:t>
      </w:r>
      <w:r w:rsidR="00903D77">
        <w:t xml:space="preserve"> projects.</w:t>
      </w:r>
      <w:r>
        <w:t xml:space="preserve"> </w:t>
      </w:r>
      <w:r w:rsidR="005C1FDB">
        <w:t xml:space="preserve"> </w:t>
      </w:r>
      <w:r w:rsidR="00113197">
        <w:t xml:space="preserve">We must also overcome </w:t>
      </w:r>
      <w:r w:rsidR="000A1F7B">
        <w:t xml:space="preserve">potential </w:t>
      </w:r>
      <w:r w:rsidR="00113197">
        <w:t>utility resistance to opening this market to third party providers.</w:t>
      </w:r>
    </w:p>
    <w:p w:rsidR="00416E7F" w:rsidRPr="009A6466" w:rsidRDefault="00113197" w:rsidP="00CE6C32">
      <w:pPr>
        <w:pStyle w:val="standard"/>
      </w:pPr>
      <w:r>
        <w:t>In order to accomplish this balancing act, w</w:t>
      </w:r>
      <w:r w:rsidR="005D1B49">
        <w:t>e direct PG&amp;E, SCE, and SDG&amp;E to</w:t>
      </w:r>
      <w:r w:rsidR="000D53FC">
        <w:t xml:space="preserve"> each</w:t>
      </w:r>
      <w:r w:rsidR="005D1B49">
        <w:t xml:space="preserve"> hold two </w:t>
      </w:r>
      <w:r w:rsidR="00DE4479">
        <w:t>Renewable Auction Mechanism</w:t>
      </w:r>
      <w:r w:rsidR="005D1B49">
        <w:t xml:space="preserve"> solicitations each year to procure </w:t>
      </w:r>
      <w:r w:rsidR="00E11386">
        <w:t>Enhanced Community Renewables</w:t>
      </w:r>
      <w:r w:rsidR="005D1B49">
        <w:t xml:space="preserve"> and </w:t>
      </w:r>
      <w:r w:rsidR="00E11386">
        <w:t>Enhanced Community Renewables</w:t>
      </w:r>
      <w:r w:rsidR="005D1B49">
        <w:t>-</w:t>
      </w:r>
      <w:r w:rsidR="00E11386">
        <w:t>Environmental Justice</w:t>
      </w:r>
      <w:r w:rsidR="005D1B49">
        <w:t xml:space="preserve"> projects until the program sunsets in December</w:t>
      </w:r>
      <w:r w:rsidR="00CC2FAD">
        <w:t xml:space="preserve"> </w:t>
      </w:r>
      <w:r w:rsidR="005D1B49">
        <w:t>31, 2018.</w:t>
      </w:r>
      <w:r w:rsidR="0074037A">
        <w:rPr>
          <w:rStyle w:val="FootnoteReference"/>
        </w:rPr>
        <w:footnoteReference w:id="9"/>
      </w:r>
      <w:r w:rsidR="00642274">
        <w:t xml:space="preserve"> </w:t>
      </w:r>
      <w:r w:rsidR="00EC570D">
        <w:t xml:space="preserve"> </w:t>
      </w:r>
      <w:r w:rsidR="00642274">
        <w:t>The first auction should occur no later than August 31, 2016.</w:t>
      </w:r>
      <w:r w:rsidR="005D1B49">
        <w:t xml:space="preserve"> </w:t>
      </w:r>
      <w:r w:rsidR="005C1FDB">
        <w:t xml:space="preserve"> </w:t>
      </w:r>
      <w:r w:rsidR="005D1B49">
        <w:t xml:space="preserve">The </w:t>
      </w:r>
      <w:r w:rsidR="000D53FC">
        <w:t xml:space="preserve">minimum </w:t>
      </w:r>
      <w:r w:rsidR="005D1B49">
        <w:t>capacity offered at each solicitation should be</w:t>
      </w:r>
      <w:r w:rsidR="000D019D">
        <w:t xml:space="preserve"> </w:t>
      </w:r>
      <w:r w:rsidR="005100C1">
        <w:t>75</w:t>
      </w:r>
      <w:r w:rsidR="000D019D">
        <w:t xml:space="preserve"> MW for PG&amp;E</w:t>
      </w:r>
      <w:r w:rsidR="000D53FC">
        <w:t xml:space="preserve"> and</w:t>
      </w:r>
      <w:r w:rsidR="000D019D">
        <w:t xml:space="preserve"> SCE, and</w:t>
      </w:r>
      <w:r w:rsidR="000D53FC">
        <w:t xml:space="preserve"> 20 MW for </w:t>
      </w:r>
      <w:r w:rsidR="000D019D">
        <w:t>SDG&amp;E,</w:t>
      </w:r>
      <w:r w:rsidR="001136D6">
        <w:t xml:space="preserve"> </w:t>
      </w:r>
      <w:r w:rsidR="000D019D">
        <w:t>up to</w:t>
      </w:r>
      <w:r w:rsidR="005D1B49">
        <w:t xml:space="preserve"> the total </w:t>
      </w:r>
      <w:r w:rsidR="001136D6">
        <w:t xml:space="preserve">remaining </w:t>
      </w:r>
      <w:r w:rsidR="005D1B49">
        <w:t>unsubscribed capacity for each utility’s GTSR program at that point in time</w:t>
      </w:r>
      <w:r w:rsidR="00DE7D9D">
        <w:t xml:space="preserve"> at the utility’s discretion</w:t>
      </w:r>
      <w:r w:rsidR="005D1B49">
        <w:t>.</w:t>
      </w:r>
      <w:r w:rsidR="00A26788">
        <w:rPr>
          <w:rStyle w:val="FootnoteReference"/>
        </w:rPr>
        <w:footnoteReference w:id="10"/>
      </w:r>
      <w:r w:rsidR="00235110">
        <w:t xml:space="preserve"> </w:t>
      </w:r>
      <w:r w:rsidR="009A6466">
        <w:t xml:space="preserve"> </w:t>
      </w:r>
      <w:r w:rsidR="00235110" w:rsidRPr="009A6466">
        <w:t xml:space="preserve">The final solicitation of 2018 shall offer all remaining unsubscribed capacity up for bid. </w:t>
      </w:r>
      <w:r w:rsidR="005C1FDB">
        <w:t xml:space="preserve"> </w:t>
      </w:r>
    </w:p>
    <w:p w:rsidR="00740B4B" w:rsidRDefault="00F13DDC" w:rsidP="00CE6C32">
      <w:pPr>
        <w:pStyle w:val="standard"/>
      </w:pPr>
      <w:r w:rsidRPr="009A6466">
        <w:lastRenderedPageBreak/>
        <w:t xml:space="preserve">If Enhanced Community Renewables projects meet their minimum subscription thresholds in the early years of their contracts but produce energy in excess of their subscriber load, the utilities will pay for that excess energy at the bid price from the Renewable </w:t>
      </w:r>
      <w:r w:rsidR="00667087">
        <w:t>Auction</w:t>
      </w:r>
      <w:r w:rsidR="00667087" w:rsidRPr="009A6466">
        <w:t xml:space="preserve"> </w:t>
      </w:r>
      <w:r w:rsidRPr="009A6466">
        <w:t>Mechanism solicitation</w:t>
      </w:r>
      <w:r w:rsidR="00667087">
        <w:t xml:space="preserve">. </w:t>
      </w:r>
      <w:r w:rsidR="00667087" w:rsidRPr="009A6466">
        <w:t xml:space="preserve">In the first year of the contract this excess energy payment could be paid for </w:t>
      </w:r>
      <w:r w:rsidR="00DE7D9D">
        <w:t>55</w:t>
      </w:r>
      <w:r w:rsidR="00DE7D9D" w:rsidRPr="009A6466">
        <w:t xml:space="preserve"> </w:t>
      </w:r>
      <w:r w:rsidR="00667087" w:rsidRPr="009A6466">
        <w:t>percent of the contracted capacity, but by the fourth yea</w:t>
      </w:r>
      <w:r w:rsidR="00667087">
        <w:t>r the exposure is only for five </w:t>
      </w:r>
      <w:r w:rsidR="00667087" w:rsidRPr="009A6466">
        <w:t xml:space="preserve">percent of the contracted capacity. </w:t>
      </w:r>
      <w:r w:rsidR="00667087">
        <w:t xml:space="preserve"> In order to protect non-participating customers, particularly in the early years of Enhanced Community Renewables project operations</w:t>
      </w:r>
      <w:r w:rsidRPr="009A6466">
        <w:t xml:space="preserve">, </w:t>
      </w:r>
      <w:r w:rsidR="00667087">
        <w:t>we</w:t>
      </w:r>
      <w:r w:rsidRPr="009A6466">
        <w:t xml:space="preserve"> set a maximum award price at or below a specified percentage of the maximum executed contract price </w:t>
      </w:r>
      <w:r w:rsidR="00923E04">
        <w:t>from</w:t>
      </w:r>
      <w:r w:rsidRPr="009A6466">
        <w:t xml:space="preserve"> the most recent</w:t>
      </w:r>
      <w:r w:rsidR="00923E04">
        <w:t xml:space="preserve"> round of procurement for either the</w:t>
      </w:r>
      <w:r w:rsidRPr="009A6466">
        <w:t xml:space="preserve"> </w:t>
      </w:r>
      <w:r w:rsidR="00923E04" w:rsidRPr="009A6466">
        <w:t>Renewable Auction Mechanism</w:t>
      </w:r>
      <w:r w:rsidR="00923E04">
        <w:t>’s</w:t>
      </w:r>
      <w:r w:rsidR="00923E04" w:rsidRPr="009A6466">
        <w:t xml:space="preserve"> </w:t>
      </w:r>
      <w:r w:rsidR="00DE7D9D">
        <w:t>all source</w:t>
      </w:r>
      <w:r w:rsidR="00D321AE">
        <w:rPr>
          <w:rStyle w:val="FootnoteReference"/>
        </w:rPr>
        <w:footnoteReference w:id="11"/>
      </w:r>
      <w:r w:rsidR="00DE7D9D">
        <w:t xml:space="preserve"> </w:t>
      </w:r>
      <w:r w:rsidRPr="009A6466">
        <w:t xml:space="preserve">as-available peaking category or </w:t>
      </w:r>
      <w:r w:rsidR="00923E04">
        <w:t>Green Tariff program, whichever is most recent at the time of the Enhanced Community Renewables auction</w:t>
      </w:r>
      <w:r w:rsidR="00DE7D9D">
        <w:t xml:space="preserve"> up to the capacity offered at that solicitation</w:t>
      </w:r>
      <w:r w:rsidRPr="009A6466">
        <w:t>.</w:t>
      </w:r>
      <w:r w:rsidR="005C1FDB">
        <w:t xml:space="preserve"> </w:t>
      </w:r>
      <w:r w:rsidRPr="009A6466">
        <w:t xml:space="preserve"> </w:t>
      </w:r>
    </w:p>
    <w:p w:rsidR="00F13DDC" w:rsidRDefault="00923E04" w:rsidP="00CE6C32">
      <w:pPr>
        <w:pStyle w:val="standard"/>
      </w:pPr>
      <w:r w:rsidRPr="009A6466">
        <w:t>The utilities are directed to award contracts to all Enhanced Community Renewables projects whose bid price is at or below 120 percent of the maximum executed contract price</w:t>
      </w:r>
      <w:r w:rsidR="00DE7D9D">
        <w:t xml:space="preserve"> up to the capacity offered at that solicitation</w:t>
      </w:r>
      <w:r w:rsidRPr="009A6466">
        <w:t xml:space="preserve">. </w:t>
      </w:r>
      <w:r>
        <w:t xml:space="preserve"> </w:t>
      </w:r>
      <w:r w:rsidRPr="009A6466">
        <w:t>For Enhanced Community Renewables-Environmental Justice projects, the utilities must award contract</w:t>
      </w:r>
      <w:r w:rsidR="00740B4B">
        <w:t>s</w:t>
      </w:r>
      <w:r w:rsidRPr="009A6466">
        <w:t xml:space="preserve"> to all projects whose bid price is at or below 200 percent of the maximum executed contract price</w:t>
      </w:r>
      <w:r w:rsidR="00BF17D0" w:rsidRPr="00BF17D0">
        <w:t xml:space="preserve"> up to the</w:t>
      </w:r>
      <w:r w:rsidR="00BF17D0">
        <w:t xml:space="preserve"> Environmental Justice</w:t>
      </w:r>
      <w:r w:rsidR="00BF17D0" w:rsidRPr="00BF17D0">
        <w:t xml:space="preserve"> capacity offered at that solicitation</w:t>
      </w:r>
      <w:r w:rsidRPr="009A6466">
        <w:t>.</w:t>
      </w:r>
      <w:r>
        <w:t xml:space="preserve"> B</w:t>
      </w:r>
      <w:r w:rsidR="00F13DDC" w:rsidRPr="009A6466">
        <w:t xml:space="preserve">ecause bidders do not know the maximum price the utility will pay as the maximum awarded contract prices are confidential and projects will compete with other projects to be awarded the offered capacity, we </w:t>
      </w:r>
      <w:r w:rsidR="00F13DDC" w:rsidRPr="009A6466">
        <w:lastRenderedPageBreak/>
        <w:t xml:space="preserve">expect bid prices for non-Environmental Justice projects to be competitive and comparable to recent Renewable Auction Mechanism </w:t>
      </w:r>
      <w:r w:rsidR="00740B4B">
        <w:t>prices</w:t>
      </w:r>
      <w:r w:rsidR="00F13DDC" w:rsidRPr="009A6466">
        <w:t>, resulting in limited ratepayer exposure to excess energy costs.</w:t>
      </w:r>
    </w:p>
    <w:p w:rsidR="000D53FC" w:rsidRDefault="00235110" w:rsidP="00CE6C32">
      <w:pPr>
        <w:pStyle w:val="standard"/>
      </w:pPr>
      <w:r>
        <w:t>Establishing</w:t>
      </w:r>
      <w:r w:rsidR="000D53FC" w:rsidRPr="000D53FC">
        <w:t xml:space="preserve"> minimum</w:t>
      </w:r>
      <w:r w:rsidR="00EB758D">
        <w:t xml:space="preserve"> </w:t>
      </w:r>
      <w:r w:rsidR="00EB758D" w:rsidRPr="000D53FC">
        <w:t>capacity</w:t>
      </w:r>
      <w:r w:rsidR="000D53FC" w:rsidRPr="000D53FC">
        <w:t xml:space="preserve"> procurement targets at each </w:t>
      </w:r>
      <w:r w:rsidR="00EB758D">
        <w:t>Renewable Auction Mechanism</w:t>
      </w:r>
      <w:r w:rsidR="000D53FC" w:rsidRPr="000D53FC">
        <w:t xml:space="preserve"> solicitation will set the GTSR program on a track to satisfy the 600 MW capacity target authorized by SB 43.  In addition, </w:t>
      </w:r>
      <w:r w:rsidR="00EB758D">
        <w:t>Renewable Auction Mechanism</w:t>
      </w:r>
      <w:r w:rsidR="00EB758D" w:rsidRPr="000D53FC">
        <w:t xml:space="preserve"> </w:t>
      </w:r>
      <w:r w:rsidR="000D53FC" w:rsidRPr="000D53FC">
        <w:t xml:space="preserve">solicitations that focus solely on Enhanced </w:t>
      </w:r>
      <w:r w:rsidR="00EB758D" w:rsidRPr="000D53FC">
        <w:t>Community</w:t>
      </w:r>
      <w:r w:rsidR="000D53FC" w:rsidRPr="000D53FC">
        <w:t xml:space="preserve"> Renewables procurement will provide ample opportunity for Enhanced Community Renewables-Environmental Justice projects to participate.</w:t>
      </w:r>
      <w:r w:rsidR="00DE7D9D">
        <w:t xml:space="preserve"> We clarify that we do not require the utilities to procure Enhanced Community Renewables projects using </w:t>
      </w:r>
      <w:r w:rsidR="002934A2">
        <w:t>ReMAT solicitations or hold parallel ReMAT and Renewable Auction Mechanism solicitations</w:t>
      </w:r>
      <w:r w:rsidR="00740B4B">
        <w:t>,</w:t>
      </w:r>
      <w:r w:rsidR="002934A2">
        <w:t xml:space="preserve"> but they may do so at their discretion.</w:t>
      </w:r>
    </w:p>
    <w:p w:rsidR="00CE6C32" w:rsidRDefault="009D2F58" w:rsidP="00CE6C32">
      <w:pPr>
        <w:pStyle w:val="standard"/>
      </w:pPr>
      <w:r>
        <w:t>In the event that the</w:t>
      </w:r>
      <w:r w:rsidR="0085274D">
        <w:t xml:space="preserve"> </w:t>
      </w:r>
      <w:r w:rsidR="002934A2">
        <w:t>minimum</w:t>
      </w:r>
      <w:r w:rsidR="005917A5">
        <w:t xml:space="preserve"> capacity from the prior solicitation</w:t>
      </w:r>
      <w:r w:rsidR="002934A2">
        <w:t xml:space="preserve"> is not awarded</w:t>
      </w:r>
      <w:r w:rsidR="005917A5">
        <w:t>, that capacity should be added to the minimum offer</w:t>
      </w:r>
      <w:r w:rsidR="00A17A8B">
        <w:t xml:space="preserve"> in the next solicitation</w:t>
      </w:r>
      <w:r w:rsidR="005917A5">
        <w:t>.</w:t>
      </w:r>
      <w:r w:rsidR="005917A5">
        <w:rPr>
          <w:rStyle w:val="FootnoteReference"/>
        </w:rPr>
        <w:footnoteReference w:id="12"/>
      </w:r>
      <w:r w:rsidR="005D1B49">
        <w:t xml:space="preserve"> </w:t>
      </w:r>
      <w:r w:rsidR="00EC570D">
        <w:t xml:space="preserve"> </w:t>
      </w:r>
      <w:r w:rsidR="005D1B49">
        <w:t>Each solicitation should</w:t>
      </w:r>
      <w:r w:rsidR="00970E4C">
        <w:t xml:space="preserve"> be open to </w:t>
      </w:r>
      <w:r w:rsidR="00E11386">
        <w:t>Enhanced Community Renewables</w:t>
      </w:r>
      <w:r w:rsidR="00970E4C">
        <w:t xml:space="preserve"> projects </w:t>
      </w:r>
      <w:r w:rsidR="00A17A8B">
        <w:t xml:space="preserve">sized </w:t>
      </w:r>
      <w:r w:rsidR="00970E4C">
        <w:t xml:space="preserve">between 500 </w:t>
      </w:r>
      <w:r w:rsidR="004A3735">
        <w:t>kilowatts (</w:t>
      </w:r>
      <w:r w:rsidR="00970E4C">
        <w:t>kW</w:t>
      </w:r>
      <w:r w:rsidR="004A3735">
        <w:t>)</w:t>
      </w:r>
      <w:r w:rsidR="00970E4C">
        <w:t xml:space="preserve"> and 20 MW and </w:t>
      </w:r>
      <w:r w:rsidR="00E11386">
        <w:t>Enhanced Community Renewables</w:t>
      </w:r>
      <w:r w:rsidR="00970E4C">
        <w:t>-</w:t>
      </w:r>
      <w:r w:rsidR="00E11386">
        <w:t>Environmental Justice</w:t>
      </w:r>
      <w:r w:rsidR="00970E4C">
        <w:t xml:space="preserve"> projects</w:t>
      </w:r>
      <w:r w:rsidR="00A17A8B">
        <w:t xml:space="preserve"> sized </w:t>
      </w:r>
      <w:r w:rsidR="00740B4B">
        <w:t xml:space="preserve">between </w:t>
      </w:r>
      <w:r w:rsidR="00A17A8B">
        <w:t>500 kW</w:t>
      </w:r>
      <w:r w:rsidR="00970E4C">
        <w:t xml:space="preserve"> </w:t>
      </w:r>
      <w:r w:rsidR="00740B4B">
        <w:t>and</w:t>
      </w:r>
      <w:r w:rsidR="00970E4C">
        <w:t xml:space="preserve"> </w:t>
      </w:r>
      <w:r w:rsidR="00144C8B">
        <w:t xml:space="preserve">1 </w:t>
      </w:r>
      <w:r w:rsidR="00970E4C">
        <w:t>MW</w:t>
      </w:r>
      <w:r w:rsidR="00381EAE">
        <w:t xml:space="preserve"> consistent with §2833(b)</w:t>
      </w:r>
      <w:r w:rsidR="00970E4C">
        <w:t xml:space="preserve">. </w:t>
      </w:r>
      <w:r w:rsidR="005C1FDB">
        <w:t xml:space="preserve"> </w:t>
      </w:r>
      <w:r w:rsidR="00CE6C32">
        <w:t xml:space="preserve">Our goal is to utilize the existing mechanisms as they stand at the time of the </w:t>
      </w:r>
      <w:r w:rsidR="00DE4479">
        <w:t>Renewable Auction Mechanism</w:t>
      </w:r>
      <w:r w:rsidR="00CE6C32">
        <w:t xml:space="preserve"> or ReMAT solicitations, </w:t>
      </w:r>
      <w:r w:rsidR="00A17A8B">
        <w:t>without change</w:t>
      </w:r>
      <w:r w:rsidR="00CE6C32">
        <w:t>, to the greatest extent possible.</w:t>
      </w:r>
      <w:r w:rsidR="005C1FDB">
        <w:t xml:space="preserve"> </w:t>
      </w:r>
      <w:r w:rsidR="00CE6C32">
        <w:t xml:space="preserve"> By opening the </w:t>
      </w:r>
      <w:r w:rsidR="00DE4479">
        <w:t>Renewable Auction Mechanism</w:t>
      </w:r>
      <w:r w:rsidR="00CE6C32">
        <w:t xml:space="preserve"> to </w:t>
      </w:r>
      <w:r w:rsidR="00E11386">
        <w:t>Enhanced Community Renewables</w:t>
      </w:r>
      <w:r w:rsidR="00CE6C32">
        <w:t xml:space="preserve"> projects we have also effectively opened eligibility to other non-solar projects to </w:t>
      </w:r>
      <w:r w:rsidR="00CE6C32">
        <w:lastRenderedPageBreak/>
        <w:t>participate in GTSR.</w:t>
      </w:r>
      <w:r w:rsidR="00CE6C32">
        <w:rPr>
          <w:rStyle w:val="FootnoteReference"/>
        </w:rPr>
        <w:footnoteReference w:id="13"/>
      </w:r>
      <w:r w:rsidR="00CE6C32">
        <w:t xml:space="preserve"> </w:t>
      </w:r>
      <w:r w:rsidR="00EC570D">
        <w:t xml:space="preserve"> </w:t>
      </w:r>
      <w:r w:rsidR="00CE6C32">
        <w:t xml:space="preserve">The same eligibility standards that apply to resources that participate in </w:t>
      </w:r>
      <w:r w:rsidR="00DE4479">
        <w:t>Renewable Auction Mechanism</w:t>
      </w:r>
      <w:r w:rsidR="00CE6C32">
        <w:t xml:space="preserve"> solicitations should apply</w:t>
      </w:r>
      <w:r w:rsidR="00025173">
        <w:t xml:space="preserve"> to those that participate</w:t>
      </w:r>
      <w:r w:rsidR="00CE6C32">
        <w:t xml:space="preserve"> in </w:t>
      </w:r>
      <w:r w:rsidR="00E11386">
        <w:t>Enhanced Community Renewables</w:t>
      </w:r>
      <w:r w:rsidR="00CE6C32">
        <w:t xml:space="preserve"> and </w:t>
      </w:r>
      <w:r w:rsidR="00E11386">
        <w:t>Enhanced Community Renewables</w:t>
      </w:r>
      <w:r w:rsidR="00CE6C32">
        <w:t>-</w:t>
      </w:r>
      <w:r w:rsidR="00E11386">
        <w:t>Environmental Justice</w:t>
      </w:r>
      <w:r w:rsidR="00CE6C32">
        <w:t xml:space="preserve"> </w:t>
      </w:r>
      <w:r w:rsidR="00DE4479">
        <w:t>Renewable Auction Mechanism</w:t>
      </w:r>
      <w:r w:rsidR="00CE6C32">
        <w:t xml:space="preserve"> solicitations. </w:t>
      </w:r>
      <w:r w:rsidR="005C1FDB">
        <w:t xml:space="preserve"> </w:t>
      </w:r>
      <w:r w:rsidR="00CE6C32">
        <w:t>To the extent that a technology cannot participate in</w:t>
      </w:r>
      <w:r w:rsidR="004B51AB">
        <w:t xml:space="preserve"> the</w:t>
      </w:r>
      <w:r w:rsidR="00CE6C32">
        <w:t xml:space="preserve"> </w:t>
      </w:r>
      <w:r w:rsidR="00DE4479">
        <w:t>Renewable Auction Mechanism</w:t>
      </w:r>
      <w:r w:rsidR="00CE6C32">
        <w:t xml:space="preserve"> generally, it may not participate in the </w:t>
      </w:r>
      <w:r w:rsidR="00E11386">
        <w:t>Enhanced Community Renewables</w:t>
      </w:r>
      <w:r w:rsidR="00CE6C32">
        <w:t xml:space="preserve"> or </w:t>
      </w:r>
      <w:r w:rsidR="00E11386">
        <w:t>Enhanced Community Renewables</w:t>
      </w:r>
      <w:r w:rsidR="00CE6C32">
        <w:t>-</w:t>
      </w:r>
      <w:r w:rsidR="00E11386">
        <w:t>Environmental Justice</w:t>
      </w:r>
      <w:r w:rsidR="00CE6C32">
        <w:t xml:space="preserve"> </w:t>
      </w:r>
      <w:r w:rsidR="00DE4479">
        <w:t>Renewable Auction Mechanism</w:t>
      </w:r>
      <w:r w:rsidR="00CE6C32">
        <w:t xml:space="preserve"> solicitation. </w:t>
      </w:r>
    </w:p>
    <w:p w:rsidR="00DF2732" w:rsidRDefault="00970E4C" w:rsidP="00DF2732">
      <w:pPr>
        <w:pStyle w:val="standard"/>
      </w:pPr>
      <w:r>
        <w:t xml:space="preserve">In the event that the </w:t>
      </w:r>
      <w:r w:rsidR="002934A2">
        <w:t xml:space="preserve">capacity </w:t>
      </w:r>
      <w:r w:rsidR="001136D6">
        <w:t>offered</w:t>
      </w:r>
      <w:r>
        <w:t xml:space="preserve"> </w:t>
      </w:r>
      <w:r w:rsidR="002934A2">
        <w:t xml:space="preserve">by the utility </w:t>
      </w:r>
      <w:r>
        <w:t xml:space="preserve">in a given </w:t>
      </w:r>
      <w:r w:rsidR="00DE4479">
        <w:t>Renewable Auction Mechanism</w:t>
      </w:r>
      <w:r>
        <w:t xml:space="preserve"> solicitation</w:t>
      </w:r>
      <w:r w:rsidR="002934A2" w:rsidRPr="002934A2">
        <w:t xml:space="preserve"> </w:t>
      </w:r>
      <w:r w:rsidR="002934A2">
        <w:t>is exceeded</w:t>
      </w:r>
      <w:r>
        <w:t xml:space="preserve">, </w:t>
      </w:r>
      <w:r w:rsidR="00025173">
        <w:t xml:space="preserve">capacity will be awarded first </w:t>
      </w:r>
      <w:r>
        <w:t xml:space="preserve">to </w:t>
      </w:r>
      <w:r w:rsidR="008A56CB">
        <w:t>the least</w:t>
      </w:r>
      <w:r w:rsidR="00025173">
        <w:t>-</w:t>
      </w:r>
      <w:r w:rsidR="008A56CB">
        <w:t>cost</w:t>
      </w:r>
      <w:r w:rsidR="00025173">
        <w:t xml:space="preserve"> </w:t>
      </w:r>
      <w:r w:rsidR="008A56CB">
        <w:t>best</w:t>
      </w:r>
      <w:r w:rsidR="00025173">
        <w:t>-</w:t>
      </w:r>
      <w:r w:rsidR="008A56CB">
        <w:t>fit</w:t>
      </w:r>
      <w:r w:rsidR="0048209D" w:rsidRPr="0048209D">
        <w:t xml:space="preserve"> </w:t>
      </w:r>
      <w:r w:rsidR="00E11386">
        <w:t>Enhanced Community Renewables</w:t>
      </w:r>
      <w:r>
        <w:t>-</w:t>
      </w:r>
      <w:r w:rsidR="00E11386">
        <w:t>Environmental Justice</w:t>
      </w:r>
      <w:r>
        <w:t xml:space="preserve"> projects</w:t>
      </w:r>
      <w:r w:rsidR="0048209D">
        <w:t>,</w:t>
      </w:r>
      <w:r w:rsidR="0048209D" w:rsidRPr="0048209D">
        <w:t xml:space="preserve"> </w:t>
      </w:r>
      <w:r w:rsidR="0048209D">
        <w:t>within</w:t>
      </w:r>
      <w:r w:rsidR="0048209D" w:rsidRPr="0048209D">
        <w:t xml:space="preserve"> the price limiter described earlier</w:t>
      </w:r>
      <w:r w:rsidR="0048209D">
        <w:t>,</w:t>
      </w:r>
      <w:r>
        <w:t xml:space="preserve"> up to the </w:t>
      </w:r>
      <w:r w:rsidR="00E11386">
        <w:t>Environmental Justice</w:t>
      </w:r>
      <w:r>
        <w:t xml:space="preserve"> reservation amount</w:t>
      </w:r>
      <w:r w:rsidR="00113197">
        <w:t xml:space="preserve"> established in D.15-01-051</w:t>
      </w:r>
      <w:r w:rsidR="00740B4B">
        <w:t>,</w:t>
      </w:r>
      <w:r w:rsidR="00415945">
        <w:rPr>
          <w:rStyle w:val="FootnoteReference"/>
        </w:rPr>
        <w:footnoteReference w:id="14"/>
      </w:r>
      <w:r>
        <w:t xml:space="preserve"> and then all </w:t>
      </w:r>
      <w:r w:rsidR="008A56CB">
        <w:t xml:space="preserve">remaining </w:t>
      </w:r>
      <w:r>
        <w:t>projects</w:t>
      </w:r>
      <w:r w:rsidR="008A56CB">
        <w:t xml:space="preserve"> (both </w:t>
      </w:r>
      <w:r w:rsidR="00E11386">
        <w:t>Enhanced Community Renewables</w:t>
      </w:r>
      <w:r w:rsidR="008A56CB">
        <w:t xml:space="preserve"> and </w:t>
      </w:r>
      <w:r w:rsidR="00E11386">
        <w:t>Enhanced Community Renewables</w:t>
      </w:r>
      <w:r w:rsidR="008A56CB">
        <w:t>-</w:t>
      </w:r>
      <w:r w:rsidR="00E11386">
        <w:t>Environmental Justice</w:t>
      </w:r>
      <w:r w:rsidR="008A56CB">
        <w:t>)</w:t>
      </w:r>
      <w:r>
        <w:t xml:space="preserve"> are to be evaluated against one another on a least cost best fit basis</w:t>
      </w:r>
      <w:r w:rsidR="005917A5">
        <w:t xml:space="preserve"> using the least cost best fit methodology approved in each utility’s annual Renewable Portfolio Standard Plan filings</w:t>
      </w:r>
      <w:r w:rsidR="0048209D">
        <w:t xml:space="preserve"> up to the price limiters described earlier</w:t>
      </w:r>
      <w:r>
        <w:t>.</w:t>
      </w:r>
      <w:r>
        <w:rPr>
          <w:rStyle w:val="FootnoteReference"/>
        </w:rPr>
        <w:footnoteReference w:id="15"/>
      </w:r>
      <w:r w:rsidR="00166E2F">
        <w:t xml:space="preserve"> </w:t>
      </w:r>
      <w:r w:rsidR="002934A2">
        <w:t xml:space="preserve"> In response to comments on the </w:t>
      </w:r>
      <w:r w:rsidR="00740B4B">
        <w:t>P</w:t>
      </w:r>
      <w:r w:rsidR="002934A2">
        <w:t xml:space="preserve">roposed </w:t>
      </w:r>
      <w:r w:rsidR="00740B4B">
        <w:t>D</w:t>
      </w:r>
      <w:r w:rsidR="002934A2">
        <w:t xml:space="preserve">ecision, we </w:t>
      </w:r>
      <w:r w:rsidR="002934A2">
        <w:lastRenderedPageBreak/>
        <w:t xml:space="preserve">clarify that </w:t>
      </w:r>
      <w:r w:rsidR="00740B4B">
        <w:t>a</w:t>
      </w:r>
      <w:r w:rsidR="002934A2">
        <w:t xml:space="preserve"> utility is not obligated to award bids beyond the amount of capacity on offer in that particular solicitation, but it may acquire additional capacity beyond the minimum offered at its discretion. We do not require the utilities to apportion the Enhance Community Renewable</w:t>
      </w:r>
      <w:r w:rsidR="0085274D">
        <w:t>s</w:t>
      </w:r>
      <w:r w:rsidR="002934A2">
        <w:t xml:space="preserve"> Environmental Justice capacity established in D.15-01-051 across solicitations, but allow them to do so at </w:t>
      </w:r>
      <w:r w:rsidR="00740B4B">
        <w:t>their</w:t>
      </w:r>
      <w:r w:rsidR="002934A2">
        <w:t xml:space="preserve"> discretion.</w:t>
      </w:r>
    </w:p>
    <w:p w:rsidR="00235110" w:rsidRDefault="00113197" w:rsidP="00DF2732">
      <w:pPr>
        <w:pStyle w:val="standard"/>
      </w:pPr>
      <w:r>
        <w:t xml:space="preserve">Rather than setting aside a specific portion of the total GTSR program reservation for the </w:t>
      </w:r>
      <w:r w:rsidR="00E11386">
        <w:t>Enhanced Community Renewables</w:t>
      </w:r>
      <w:r>
        <w:t xml:space="preserve"> or Green Tariff options, this method of awarding the GTSR allocation places the priority on </w:t>
      </w:r>
      <w:r w:rsidR="00923E04">
        <w:t xml:space="preserve">increasing the likelihood that the full 600 MW of GTSR capacity, particularly </w:t>
      </w:r>
      <w:r>
        <w:t xml:space="preserve">the </w:t>
      </w:r>
      <w:r w:rsidR="00E11386">
        <w:t>Enhanced Community Renewables</w:t>
      </w:r>
      <w:r>
        <w:t>-</w:t>
      </w:r>
      <w:r w:rsidR="00E11386">
        <w:t>Environmental Justice</w:t>
      </w:r>
      <w:r>
        <w:t xml:space="preserve"> reservation, </w:t>
      </w:r>
      <w:r w:rsidR="00923E04">
        <w:t>will be awarded by the time the program sunsets at the end of 2018</w:t>
      </w:r>
      <w:r>
        <w:t xml:space="preserve">. </w:t>
      </w:r>
    </w:p>
    <w:p w:rsidR="00740B4B" w:rsidRDefault="00FE726D" w:rsidP="00DF2732">
      <w:pPr>
        <w:pStyle w:val="standard"/>
      </w:pPr>
      <w:r>
        <w:t>N</w:t>
      </w:r>
      <w:r w:rsidR="00166E2F">
        <w:t xml:space="preserve">on-participating customers are protected </w:t>
      </w:r>
      <w:r w:rsidR="00AA3321">
        <w:t xml:space="preserve">by </w:t>
      </w:r>
      <w:r w:rsidR="00BC6B67">
        <w:t xml:space="preserve">limiting exposure to the </w:t>
      </w:r>
      <w:r w:rsidR="00EE1EA3">
        <w:t xml:space="preserve">Enhanced Community Renewable project’s </w:t>
      </w:r>
      <w:r w:rsidR="00BC6B67">
        <w:t xml:space="preserve">bid price to </w:t>
      </w:r>
      <w:r w:rsidR="00416E7F">
        <w:t xml:space="preserve">between </w:t>
      </w:r>
      <w:r w:rsidR="002934A2">
        <w:t xml:space="preserve">55 </w:t>
      </w:r>
      <w:r w:rsidR="00416E7F">
        <w:t>percent (first year) and</w:t>
      </w:r>
      <w:r w:rsidR="00BC6B67">
        <w:t xml:space="preserve"> five percent</w:t>
      </w:r>
      <w:r w:rsidR="00416E7F">
        <w:t xml:space="preserve"> (fourth year)</w:t>
      </w:r>
      <w:r w:rsidR="00BC6B67">
        <w:t xml:space="preserve"> of a project’s capacity when minimum subscription levels are met and paying the lesser of the Enhanced Community Renewables project </w:t>
      </w:r>
      <w:r w:rsidR="00AA3321">
        <w:t>bid price</w:t>
      </w:r>
      <w:r w:rsidR="00A1528C">
        <w:t xml:space="preserve"> (subject to the limiter described earlier)</w:t>
      </w:r>
      <w:r w:rsidR="00AA3321">
        <w:t xml:space="preserve"> or </w:t>
      </w:r>
      <w:r w:rsidR="00EE1EA3">
        <w:t xml:space="preserve">the </w:t>
      </w:r>
      <w:r w:rsidR="00785962">
        <w:t>hourly day-ahead</w:t>
      </w:r>
      <w:r w:rsidR="00EE1EA3">
        <w:t xml:space="preserve"> </w:t>
      </w:r>
      <w:r w:rsidR="00EE1EA3" w:rsidRPr="00EE1EA3">
        <w:t>Default Load Aggregation Point</w:t>
      </w:r>
      <w:r w:rsidR="00785962">
        <w:t xml:space="preserve"> </w:t>
      </w:r>
      <w:r w:rsidR="00EE1EA3">
        <w:t>(</w:t>
      </w:r>
      <w:r w:rsidR="00AA3321">
        <w:t>DLAP</w:t>
      </w:r>
      <w:r w:rsidR="00EE1EA3">
        <w:t>)</w:t>
      </w:r>
      <w:r w:rsidR="00785962">
        <w:t xml:space="preserve"> price</w:t>
      </w:r>
      <w:r w:rsidR="00642391">
        <w:rPr>
          <w:rStyle w:val="FootnoteReference"/>
        </w:rPr>
        <w:footnoteReference w:id="16"/>
      </w:r>
      <w:r w:rsidR="00EE1EA3">
        <w:t xml:space="preserve"> </w:t>
      </w:r>
      <w:r w:rsidR="00AA3321">
        <w:t xml:space="preserve">+ </w:t>
      </w:r>
      <w:r w:rsidR="00EE1EA3">
        <w:t>Renewable Energy Credit (</w:t>
      </w:r>
      <w:r w:rsidR="00AA3321">
        <w:t>REC</w:t>
      </w:r>
      <w:r w:rsidR="00EE1EA3">
        <w:t>)</w:t>
      </w:r>
      <w:r w:rsidR="00642391" w:rsidRPr="00642391">
        <w:rPr>
          <w:rStyle w:val="FootnoteReference"/>
        </w:rPr>
        <w:t xml:space="preserve"> </w:t>
      </w:r>
      <w:r w:rsidR="00642391">
        <w:rPr>
          <w:rStyle w:val="FootnoteReference"/>
        </w:rPr>
        <w:footnoteReference w:id="17"/>
      </w:r>
      <w:r w:rsidR="00AA3321">
        <w:t xml:space="preserve"> </w:t>
      </w:r>
      <w:r w:rsidR="00BC6B67">
        <w:t>for unsubscribed energy when minimum subscription levels are not met</w:t>
      </w:r>
      <w:r>
        <w:t>.</w:t>
      </w:r>
      <w:r w:rsidR="005C1FDB">
        <w:t xml:space="preserve"> </w:t>
      </w:r>
      <w:r>
        <w:t xml:space="preserve"> </w:t>
      </w:r>
      <w:r w:rsidR="00166E2F">
        <w:t xml:space="preserve">Because </w:t>
      </w:r>
      <w:r w:rsidR="00AA3321">
        <w:t xml:space="preserve">we expect </w:t>
      </w:r>
      <w:r w:rsidR="00E11386">
        <w:t>Enhanced Community Renewables</w:t>
      </w:r>
      <w:r w:rsidR="00166E2F">
        <w:t xml:space="preserve"> </w:t>
      </w:r>
      <w:r w:rsidR="00166E2F">
        <w:lastRenderedPageBreak/>
        <w:t>projects will</w:t>
      </w:r>
      <w:r w:rsidR="00DC024A">
        <w:t xml:space="preserve"> plan to fully </w:t>
      </w:r>
      <w:r w:rsidR="00166E2F">
        <w:t xml:space="preserve">recover their costs from their customer subscriber base, </w:t>
      </w:r>
      <w:r w:rsidR="00DC024A">
        <w:t>we expect that many bidders will bid at or near a zero price in order to ensure their project</w:t>
      </w:r>
      <w:r w:rsidR="009623B5">
        <w:t>s</w:t>
      </w:r>
      <w:r w:rsidR="00DC024A">
        <w:t xml:space="preserve"> </w:t>
      </w:r>
      <w:r w:rsidR="009623B5">
        <w:t>are</w:t>
      </w:r>
      <w:r w:rsidR="00DC024A">
        <w:t xml:space="preserve"> selected</w:t>
      </w:r>
      <w:r w:rsidR="00785962">
        <w:t>.</w:t>
      </w:r>
      <w:r w:rsidR="005C1FDB">
        <w:t xml:space="preserve"> </w:t>
      </w:r>
      <w:r w:rsidR="00DC024A">
        <w:t xml:space="preserve"> Limiting the unsubscribed energy price to the maximum of </w:t>
      </w:r>
      <w:r w:rsidR="009623B5">
        <w:t xml:space="preserve">hourly day-ahead </w:t>
      </w:r>
      <w:r w:rsidR="00DC024A">
        <w:t>DLAP + REC</w:t>
      </w:r>
      <w:r w:rsidR="009623B5">
        <w:t xml:space="preserve"> for projects not meeting the minimum subscription levels</w:t>
      </w:r>
      <w:r w:rsidR="00166E2F">
        <w:t xml:space="preserve"> </w:t>
      </w:r>
      <w:r w:rsidR="00DC024A">
        <w:t xml:space="preserve">also </w:t>
      </w:r>
      <w:r w:rsidR="00166E2F">
        <w:t>provide</w:t>
      </w:r>
      <w:r w:rsidR="00DC024A">
        <w:t>s</w:t>
      </w:r>
      <w:r w:rsidR="00166E2F">
        <w:t xml:space="preserve"> motivation to the </w:t>
      </w:r>
      <w:r w:rsidR="00E11386">
        <w:t>Enhanced Community Renewables</w:t>
      </w:r>
      <w:r w:rsidR="00166E2F">
        <w:t xml:space="preserve"> developers not to overbid capacity</w:t>
      </w:r>
      <w:r w:rsidR="00557F65">
        <w:t xml:space="preserve"> in the </w:t>
      </w:r>
      <w:r w:rsidR="00DE4479">
        <w:t>Renewable Auction Mechanism</w:t>
      </w:r>
      <w:r w:rsidR="00557F65">
        <w:t xml:space="preserve"> beyond the level they will be able to subscribe. </w:t>
      </w:r>
      <w:r w:rsidR="005C1FDB">
        <w:t xml:space="preserve"> </w:t>
      </w:r>
    </w:p>
    <w:p w:rsidR="00915E80" w:rsidRDefault="00ED6838" w:rsidP="00DF2732">
      <w:pPr>
        <w:pStyle w:val="standard"/>
      </w:pPr>
      <w:r>
        <w:t xml:space="preserve">After reviewing the comments and options suggested to redefine </w:t>
      </w:r>
      <w:r w:rsidR="009623B5">
        <w:t xml:space="preserve">the hourly </w:t>
      </w:r>
      <w:r>
        <w:t>DLAP</w:t>
      </w:r>
      <w:r w:rsidR="009623B5">
        <w:t xml:space="preserve"> price</w:t>
      </w:r>
      <w:r>
        <w:t xml:space="preserve">, we find no compelling reason to modify our decision to utilize </w:t>
      </w:r>
      <w:r w:rsidR="00144C8B">
        <w:t>hourly day</w:t>
      </w:r>
      <w:r w:rsidR="00144C8B">
        <w:noBreakHyphen/>
      </w:r>
      <w:r w:rsidR="009623B5">
        <w:t xml:space="preserve">ahead </w:t>
      </w:r>
      <w:r>
        <w:t xml:space="preserve">DLAP + REC as the unsubscribed energy price. </w:t>
      </w:r>
      <w:r w:rsidR="005C1FDB">
        <w:t xml:space="preserve"> </w:t>
      </w:r>
      <w:r>
        <w:t xml:space="preserve">In the event that there is a demonstrated trend of </w:t>
      </w:r>
      <w:r w:rsidR="009623B5">
        <w:t>und</w:t>
      </w:r>
      <w:r>
        <w:t xml:space="preserve">ersubscription (beyond the </w:t>
      </w:r>
      <w:r w:rsidR="00DF0754">
        <w:t>five percent margin assumed to account for subscription changes as identified in D.15-01-051 at 63)</w:t>
      </w:r>
      <w:r>
        <w:t xml:space="preserve"> on the part of Enhanced Community Renewables providers once the program is operating, we will</w:t>
      </w:r>
      <w:r w:rsidR="00DF0754">
        <w:t xml:space="preserve"> entertain a petition to modify </w:t>
      </w:r>
      <w:r>
        <w:t xml:space="preserve">this </w:t>
      </w:r>
      <w:r w:rsidR="00740B4B">
        <w:t>outcome</w:t>
      </w:r>
      <w:r>
        <w:t xml:space="preserve">. </w:t>
      </w:r>
    </w:p>
    <w:p w:rsidR="00166E2F" w:rsidRDefault="00E240DF" w:rsidP="00DF2732">
      <w:pPr>
        <w:pStyle w:val="standard"/>
      </w:pPr>
      <w:r>
        <w:t xml:space="preserve">For </w:t>
      </w:r>
      <w:r w:rsidR="00E11386">
        <w:t>Enhanced Community Renewables</w:t>
      </w:r>
      <w:r>
        <w:t>-</w:t>
      </w:r>
      <w:r w:rsidR="00E11386">
        <w:t>Environmental Justice</w:t>
      </w:r>
      <w:r>
        <w:t xml:space="preserve"> projects, we recognize that part of the purpose behind establishing a capacity carve out</w:t>
      </w:r>
      <w:r w:rsidRPr="00E240DF">
        <w:t xml:space="preserve"> </w:t>
      </w:r>
      <w:r>
        <w:t xml:space="preserve">in the statute for projects located in </w:t>
      </w:r>
      <w:r w:rsidR="00E11386">
        <w:t>Environmental Justice</w:t>
      </w:r>
      <w:r>
        <w:t xml:space="preserve"> areas is to ensure that disadvantaged communities share in the benefits of renewable development</w:t>
      </w:r>
      <w:r w:rsidR="00C06528">
        <w:t xml:space="preserve"> through</w:t>
      </w:r>
      <w:r w:rsidR="00524AD1">
        <w:t xml:space="preserve"> potential</w:t>
      </w:r>
      <w:r w:rsidR="00C06528">
        <w:t xml:space="preserve"> creation of jobs and </w:t>
      </w:r>
      <w:r w:rsidR="00524AD1">
        <w:t xml:space="preserve">future </w:t>
      </w:r>
      <w:r w:rsidR="00C06528">
        <w:t>tax revenue in disadvantaged areas</w:t>
      </w:r>
      <w:r>
        <w:t xml:space="preserve">. </w:t>
      </w:r>
      <w:r w:rsidR="00275C7B">
        <w:t xml:space="preserve"> </w:t>
      </w:r>
      <w:r w:rsidR="003654CC">
        <w:t>Like</w:t>
      </w:r>
      <w:r>
        <w:t xml:space="preserve"> non-</w:t>
      </w:r>
      <w:r w:rsidR="00E11386">
        <w:t>Environmental Justice</w:t>
      </w:r>
      <w:r>
        <w:t xml:space="preserve"> </w:t>
      </w:r>
      <w:r w:rsidR="00E11386">
        <w:t>Enhanced Community Renewables</w:t>
      </w:r>
      <w:r>
        <w:t xml:space="preserve"> projects, </w:t>
      </w:r>
      <w:r w:rsidR="00E11386">
        <w:t>Enhanced Community Renewables</w:t>
      </w:r>
      <w:r w:rsidR="003654CC">
        <w:t>-</w:t>
      </w:r>
      <w:r w:rsidR="00E11386">
        <w:t>Environmental Justice</w:t>
      </w:r>
      <w:r w:rsidR="003654CC">
        <w:t xml:space="preserve"> projects </w:t>
      </w:r>
      <w:r>
        <w:t xml:space="preserve">have a requirement that at least </w:t>
      </w:r>
      <w:r w:rsidR="003654CC">
        <w:t>three</w:t>
      </w:r>
      <w:r>
        <w:t xml:space="preserve"> customer</w:t>
      </w:r>
      <w:r w:rsidR="003654CC">
        <w:t>s</w:t>
      </w:r>
      <w:r>
        <w:t xml:space="preserve"> </w:t>
      </w:r>
      <w:r w:rsidR="008C49E5">
        <w:t xml:space="preserve">be located within the geographic proximity of the project. </w:t>
      </w:r>
      <w:r w:rsidR="00275C7B">
        <w:t xml:space="preserve"> </w:t>
      </w:r>
      <w:r w:rsidR="00E11386">
        <w:t>Enhanced Community Renewables</w:t>
      </w:r>
      <w:r w:rsidR="00DA2842">
        <w:t>-</w:t>
      </w:r>
      <w:r w:rsidR="00E11386">
        <w:t>Environmental Justice</w:t>
      </w:r>
      <w:r w:rsidR="00DA2842">
        <w:t xml:space="preserve"> projects are </w:t>
      </w:r>
      <w:r w:rsidR="003654CC">
        <w:t xml:space="preserve">also </w:t>
      </w:r>
      <w:r w:rsidR="00DA2842">
        <w:t>limited by statute to projects of 1 MW or less</w:t>
      </w:r>
      <w:r w:rsidR="00381EAE">
        <w:t xml:space="preserve"> per §</w:t>
      </w:r>
      <w:r w:rsidR="00144C8B">
        <w:t> </w:t>
      </w:r>
      <w:r w:rsidR="00381EAE">
        <w:t>2833(b)</w:t>
      </w:r>
      <w:r w:rsidR="00DA2842">
        <w:t xml:space="preserve">. </w:t>
      </w:r>
      <w:r w:rsidR="00B24C3C">
        <w:t xml:space="preserve"> </w:t>
      </w:r>
      <w:r w:rsidR="00AF0D51">
        <w:t xml:space="preserve">For these reasons, we </w:t>
      </w:r>
      <w:r w:rsidR="003654CC">
        <w:t>provide a preference to</w:t>
      </w:r>
      <w:r w:rsidR="00AF0D51">
        <w:t xml:space="preserve"> </w:t>
      </w:r>
      <w:r w:rsidR="00E11386">
        <w:t xml:space="preserve">Enhanced Community </w:t>
      </w:r>
      <w:r w:rsidR="00E11386">
        <w:lastRenderedPageBreak/>
        <w:t>Renewables</w:t>
      </w:r>
      <w:r w:rsidR="00AF0D51">
        <w:t>-</w:t>
      </w:r>
      <w:r w:rsidR="00E11386">
        <w:t>Environmental Justice</w:t>
      </w:r>
      <w:r w:rsidR="00AF0D51">
        <w:t xml:space="preserve"> </w:t>
      </w:r>
      <w:r w:rsidR="00524AD1">
        <w:t>projects</w:t>
      </w:r>
      <w:r w:rsidR="00AF0D51">
        <w:t xml:space="preserve"> </w:t>
      </w:r>
      <w:r w:rsidR="003654CC">
        <w:t>in the</w:t>
      </w:r>
      <w:r w:rsidR="00524AD1">
        <w:t xml:space="preserve"> bid</w:t>
      </w:r>
      <w:r w:rsidR="003654CC">
        <w:t xml:space="preserve"> selection process. </w:t>
      </w:r>
      <w:r w:rsidR="00B24C3C">
        <w:t xml:space="preserve"> </w:t>
      </w:r>
      <w:r w:rsidR="00AF0D51">
        <w:t xml:space="preserve">There will still be incentive for </w:t>
      </w:r>
      <w:r w:rsidR="00E11386">
        <w:t>Enhanced Community Renewables</w:t>
      </w:r>
      <w:r w:rsidR="00AF0D51">
        <w:t>-</w:t>
      </w:r>
      <w:r w:rsidR="00E11386">
        <w:t>Environmental Justice</w:t>
      </w:r>
      <w:r w:rsidR="00AF0D51">
        <w:t xml:space="preserve"> bidders to bid zero because if the </w:t>
      </w:r>
      <w:r w:rsidR="00E11386">
        <w:t>Environmental Justice</w:t>
      </w:r>
      <w:r w:rsidR="00AF0D51">
        <w:t xml:space="preserve"> reservation is exceeded</w:t>
      </w:r>
      <w:r w:rsidR="00524AD1">
        <w:t>,</w:t>
      </w:r>
      <w:r w:rsidR="00AF0D51">
        <w:t xml:space="preserve"> they will be evaluated on </w:t>
      </w:r>
      <w:r w:rsidR="00677CF6">
        <w:t xml:space="preserve">a </w:t>
      </w:r>
      <w:r w:rsidR="00AF0D51">
        <w:t>least</w:t>
      </w:r>
      <w:r w:rsidR="00524AD1">
        <w:t>-</w:t>
      </w:r>
      <w:r w:rsidR="00AF0D51">
        <w:t>cost best</w:t>
      </w:r>
      <w:r w:rsidR="00524AD1">
        <w:t>-</w:t>
      </w:r>
      <w:r w:rsidR="00AF0D51">
        <w:t xml:space="preserve">fit basis against projects that are </w:t>
      </w:r>
      <w:r w:rsidR="003654CC">
        <w:t>more likely</w:t>
      </w:r>
      <w:r w:rsidR="00AF0D51">
        <w:t xml:space="preserve"> to bid zero. </w:t>
      </w:r>
    </w:p>
    <w:p w:rsidR="00524AD1" w:rsidRDefault="003654CC" w:rsidP="006F4304">
      <w:pPr>
        <w:pStyle w:val="standard"/>
      </w:pPr>
      <w:r>
        <w:t xml:space="preserve">Because one of our goals is to utilize the existing </w:t>
      </w:r>
      <w:r w:rsidR="00DE4479">
        <w:t>Renewable Auction Mechanism</w:t>
      </w:r>
      <w:r>
        <w:t xml:space="preserve"> and ReMAT solicitation </w:t>
      </w:r>
      <w:r w:rsidR="00524AD1">
        <w:t>tools</w:t>
      </w:r>
      <w:r>
        <w:t xml:space="preserve"> as fully as possible, w</w:t>
      </w:r>
      <w:r w:rsidR="00AF0D51">
        <w:t xml:space="preserve">e do not modify any of the </w:t>
      </w:r>
      <w:r w:rsidR="00D04E3F">
        <w:t>viability and development</w:t>
      </w:r>
      <w:r w:rsidR="00AF0D51">
        <w:t xml:space="preserve"> requirements</w:t>
      </w:r>
      <w:r w:rsidR="00D04E3F">
        <w:t xml:space="preserve"> for an </w:t>
      </w:r>
      <w:r w:rsidR="00E11386">
        <w:t>Enhanced Community Renewables</w:t>
      </w:r>
      <w:r w:rsidR="00D04E3F">
        <w:t xml:space="preserve"> project to participate in </w:t>
      </w:r>
      <w:r w:rsidR="00524AD1">
        <w:t>a</w:t>
      </w:r>
      <w:r w:rsidR="00D04E3F">
        <w:t xml:space="preserve"> </w:t>
      </w:r>
      <w:r w:rsidR="00DE4479">
        <w:t>Renewable Auction Mechanism</w:t>
      </w:r>
      <w:r w:rsidR="00D04E3F">
        <w:t xml:space="preserve"> solicitation</w:t>
      </w:r>
      <w:r w:rsidR="00A94C11">
        <w:t>.</w:t>
      </w:r>
      <w:r>
        <w:t xml:space="preserve"> </w:t>
      </w:r>
      <w:r w:rsidR="00F51936">
        <w:t xml:space="preserve"> </w:t>
      </w:r>
      <w:r>
        <w:t>Criteria like onsite control and meeting interconnection requirements</w:t>
      </w:r>
      <w:r w:rsidR="00A94C11">
        <w:t xml:space="preserve"> </w:t>
      </w:r>
      <w:r>
        <w:t>serve as an effective screen for ensuring only viable projects are selected.</w:t>
      </w:r>
      <w:r w:rsidR="005C1FDB">
        <w:t xml:space="preserve"> </w:t>
      </w:r>
      <w:r>
        <w:t xml:space="preserve"> </w:t>
      </w:r>
      <w:r w:rsidR="00A94C11">
        <w:t>In addition, we do not modify the community interest requirements adopted in D.15-01-051 and Resolution E-4734</w:t>
      </w:r>
      <w:r w:rsidR="0080671E">
        <w:rPr>
          <w:rStyle w:val="FootnoteReference"/>
        </w:rPr>
        <w:footnoteReference w:id="18"/>
      </w:r>
      <w:r w:rsidR="00A94C11">
        <w:t xml:space="preserve"> for </w:t>
      </w:r>
      <w:r w:rsidR="00524AD1">
        <w:t xml:space="preserve">Enhanced Community Renewables </w:t>
      </w:r>
      <w:r w:rsidR="00A94C11">
        <w:t>projects.</w:t>
      </w:r>
      <w:r w:rsidR="00A94C11">
        <w:rPr>
          <w:rStyle w:val="FootnoteReference"/>
        </w:rPr>
        <w:footnoteReference w:id="19"/>
      </w:r>
      <w:r w:rsidR="00A94C11">
        <w:t xml:space="preserve"> </w:t>
      </w:r>
    </w:p>
    <w:p w:rsidR="006F4304" w:rsidRDefault="006F4304" w:rsidP="006F4304">
      <w:pPr>
        <w:pStyle w:val="standard"/>
      </w:pPr>
      <w:r>
        <w:t>SDG&amp;E has recommended revisions to its Schedule ECR-PDT to allow for consistent treatment of Enhanced Community Renewables projects located in Imperial Valley</w:t>
      </w:r>
      <w:r w:rsidR="00633908">
        <w:rPr>
          <w:rStyle w:val="FootnoteReference"/>
        </w:rPr>
        <w:footnoteReference w:id="20"/>
      </w:r>
      <w:r>
        <w:t xml:space="preserve"> as was adopted in D.15-01-051 for SDG&amp;E’s Green Tariff program. </w:t>
      </w:r>
      <w:r w:rsidR="00275C7B">
        <w:t xml:space="preserve"> </w:t>
      </w:r>
      <w:r>
        <w:t xml:space="preserve">SDG&amp;E argues that the same limitations on permitting and land availability that the Commission found compelling for Green Tariff supply </w:t>
      </w:r>
      <w:r w:rsidR="00677CF6">
        <w:t xml:space="preserve">are </w:t>
      </w:r>
      <w:r>
        <w:t xml:space="preserve">valid for Enhanced Community Renewables projects. </w:t>
      </w:r>
      <w:r w:rsidR="005C1FDB">
        <w:t xml:space="preserve"> </w:t>
      </w:r>
      <w:r>
        <w:t xml:space="preserve">ORA filed in support of </w:t>
      </w:r>
      <w:r>
        <w:lastRenderedPageBreak/>
        <w:t>this exception and no party opposed it.</w:t>
      </w:r>
      <w:r w:rsidR="000A1F7B">
        <w:rPr>
          <w:rStyle w:val="FootnoteReference"/>
        </w:rPr>
        <w:footnoteReference w:id="21"/>
      </w:r>
      <w:r>
        <w:t xml:space="preserve"> </w:t>
      </w:r>
      <w:r w:rsidR="005C1FDB">
        <w:t xml:space="preserve"> </w:t>
      </w:r>
      <w:r>
        <w:t>Therefore, we will allow Enhanced Community Renewables projects located in Imperial Valley to count towards SDG&amp;E’s GTSR reservation and direct SDG&amp;E to incorporate the edits to its ECR-PDT set forth on pages 10-13 of its November 9, 2015 Opening Comments on Phase IV Track B Scope</w:t>
      </w:r>
      <w:r w:rsidR="00524AD1">
        <w:t xml:space="preserve"> in its Advice Letter filing</w:t>
      </w:r>
      <w:r>
        <w:t xml:space="preserve">. </w:t>
      </w:r>
    </w:p>
    <w:p w:rsidR="00A94C11" w:rsidRDefault="000A65BC" w:rsidP="000A65BC">
      <w:pPr>
        <w:pStyle w:val="standard"/>
      </w:pPr>
      <w:r>
        <w:t>To ensure that larger projects do not target only a few large commercial or industrial customers</w:t>
      </w:r>
      <w:r w:rsidR="002934A2">
        <w:t xml:space="preserve"> and to promote the community aspect of these projects</w:t>
      </w:r>
      <w:r>
        <w:t>,</w:t>
      </w:r>
      <w:r w:rsidRPr="00A94C11">
        <w:t xml:space="preserve"> </w:t>
      </w:r>
      <w:r>
        <w:t>f</w:t>
      </w:r>
      <w:r w:rsidR="00A94C11" w:rsidRPr="00A94C11">
        <w:t>or projects</w:t>
      </w:r>
      <w:r w:rsidR="00A94C11">
        <w:t xml:space="preserve"> between 3 and 20 MW</w:t>
      </w:r>
      <w:r>
        <w:t xml:space="preserve">, we adopt SEIA’s recommendation that we increase the minimum number of required subscribers as project size increases (i.e., 3 subscribers for 3 MW projects but 20 subscribers for 20 MW projects). </w:t>
      </w:r>
      <w:r w:rsidR="000F26E5">
        <w:t>At least 50% (by number of customers) and at least 1/6</w:t>
      </w:r>
      <w:r w:rsidR="000F26E5" w:rsidRPr="004F076E">
        <w:rPr>
          <w:vertAlign w:val="superscript"/>
        </w:rPr>
        <w:t>th</w:t>
      </w:r>
      <w:r w:rsidR="000F26E5">
        <w:t xml:space="preserve"> (by load) of the demonstrated community interest in the project should come from residential customers.</w:t>
      </w:r>
      <w:r w:rsidR="00275C7B">
        <w:t xml:space="preserve"> </w:t>
      </w:r>
      <w:r w:rsidR="00A94C11">
        <w:t xml:space="preserve">As required by </w:t>
      </w:r>
      <w:r w:rsidR="00853D74">
        <w:t>§</w:t>
      </w:r>
      <w:r w:rsidR="00275C7B">
        <w:t xml:space="preserve"> </w:t>
      </w:r>
      <w:r w:rsidR="00853D74">
        <w:t>2833(h),</w:t>
      </w:r>
      <w:r w:rsidR="00A94C11">
        <w:t xml:space="preserve"> individual subscribers are limited to 2 MW of load.</w:t>
      </w:r>
      <w:r w:rsidR="001D483F">
        <w:t xml:space="preserve"> </w:t>
      </w:r>
      <w:r w:rsidR="00275C7B">
        <w:t xml:space="preserve"> </w:t>
      </w:r>
      <w:r w:rsidR="001D483F">
        <w:t>Because the Enhanced Community Renewables program is in its infancy, we will not require bidders to include a demonstration of community interest in its bid, but instead, an</w:t>
      </w:r>
      <w:r w:rsidR="002C38E2">
        <w:t xml:space="preserve"> </w:t>
      </w:r>
      <w:r w:rsidR="00E11386">
        <w:t>Enhanced Community Renewables</w:t>
      </w:r>
      <w:r w:rsidR="001D483F">
        <w:t xml:space="preserve"> project</w:t>
      </w:r>
      <w:r w:rsidR="00F625CE">
        <w:t xml:space="preserve"> must demonstrate fulfillment of its c</w:t>
      </w:r>
      <w:r w:rsidR="00F625CE" w:rsidRPr="00F625CE">
        <w:t xml:space="preserve">ommunity interest requirements within </w:t>
      </w:r>
      <w:r w:rsidR="000F26E5">
        <w:t>60 </w:t>
      </w:r>
      <w:r w:rsidR="00F625CE" w:rsidRPr="00F625CE">
        <w:t xml:space="preserve">days of </w:t>
      </w:r>
      <w:r w:rsidR="000F26E5">
        <w:t>notification of</w:t>
      </w:r>
      <w:r w:rsidR="00F625CE" w:rsidRPr="00F625CE">
        <w:t xml:space="preserve"> </w:t>
      </w:r>
      <w:r w:rsidR="00524AD1">
        <w:t xml:space="preserve">contract award through the </w:t>
      </w:r>
      <w:r w:rsidR="00DE4479">
        <w:t>Renewable Auction Mechanism</w:t>
      </w:r>
      <w:r w:rsidR="00F625CE" w:rsidRPr="00F625CE">
        <w:t xml:space="preserve"> or </w:t>
      </w:r>
      <w:r w:rsidR="00F625CE">
        <w:t xml:space="preserve">the awarded capacity will </w:t>
      </w:r>
      <w:r w:rsidR="001D483F">
        <w:t>be assigned</w:t>
      </w:r>
      <w:r w:rsidR="00F625CE">
        <w:t xml:space="preserve"> to the</w:t>
      </w:r>
      <w:r w:rsidR="00F625CE" w:rsidRPr="00F625CE">
        <w:t xml:space="preserve"> next</w:t>
      </w:r>
      <w:r w:rsidR="00524AD1">
        <w:t xml:space="preserve"> highest ranking</w:t>
      </w:r>
      <w:r w:rsidR="00F625CE" w:rsidRPr="00F625CE">
        <w:t xml:space="preserve"> </w:t>
      </w:r>
      <w:r w:rsidR="00F625CE">
        <w:t>least</w:t>
      </w:r>
      <w:r w:rsidR="00524AD1">
        <w:t>-</w:t>
      </w:r>
      <w:r w:rsidR="00F625CE">
        <w:t>cost best</w:t>
      </w:r>
      <w:r w:rsidR="00524AD1">
        <w:t>-</w:t>
      </w:r>
      <w:r w:rsidR="00F625CE">
        <w:t xml:space="preserve">fit </w:t>
      </w:r>
      <w:r w:rsidR="00524AD1">
        <w:t xml:space="preserve">Enhanced Community Renewables </w:t>
      </w:r>
      <w:r w:rsidR="00F625CE" w:rsidRPr="00F625CE">
        <w:t xml:space="preserve">project in </w:t>
      </w:r>
      <w:r w:rsidR="00F625CE">
        <w:t xml:space="preserve">the </w:t>
      </w:r>
      <w:r w:rsidR="00F625CE" w:rsidRPr="00F625CE">
        <w:t>queue</w:t>
      </w:r>
      <w:r w:rsidR="00F625CE">
        <w:t>.</w:t>
      </w:r>
    </w:p>
    <w:p w:rsidR="00754C88" w:rsidRDefault="00754C88" w:rsidP="00754C88">
      <w:pPr>
        <w:pStyle w:val="standard"/>
      </w:pPr>
      <w:r>
        <w:t xml:space="preserve">The parties split on whether sub-500 kW projects should be allowed </w:t>
      </w:r>
      <w:r w:rsidR="00CA3340">
        <w:t xml:space="preserve">to participate in GTSR, either as an </w:t>
      </w:r>
      <w:r w:rsidR="00E11386">
        <w:t>Enhanced Community Renewables</w:t>
      </w:r>
      <w:r w:rsidR="00CA3340">
        <w:t xml:space="preserve"> project or in support of a utility Green Tariff.</w:t>
      </w:r>
      <w:r w:rsidR="00103C51">
        <w:rPr>
          <w:rStyle w:val="FootnoteReference"/>
        </w:rPr>
        <w:footnoteReference w:id="22"/>
      </w:r>
      <w:r w:rsidR="00CA3340">
        <w:t xml:space="preserve"> </w:t>
      </w:r>
      <w:r w:rsidR="00275C7B">
        <w:t xml:space="preserve"> </w:t>
      </w:r>
      <w:r w:rsidR="005A359E">
        <w:t xml:space="preserve">Parties supporting inclusion of smaller </w:t>
      </w:r>
      <w:r w:rsidR="005A359E">
        <w:lastRenderedPageBreak/>
        <w:t>projects believe that inclusion can offer additional siting options in densely populated areas</w:t>
      </w:r>
      <w:r w:rsidR="00054377">
        <w:t>.</w:t>
      </w:r>
      <w:r w:rsidR="00275C7B">
        <w:t xml:space="preserve">  </w:t>
      </w:r>
      <w:r w:rsidR="00054377">
        <w:t xml:space="preserve">They believe that given the short duration of the </w:t>
      </w:r>
      <w:r w:rsidR="00BA700B">
        <w:t>program</w:t>
      </w:r>
      <w:r w:rsidR="00054377">
        <w:t xml:space="preserve"> and the lack of </w:t>
      </w:r>
      <w:r w:rsidR="00BA700B">
        <w:t xml:space="preserve">a </w:t>
      </w:r>
      <w:r w:rsidR="00054377">
        <w:t>statutory lower limit</w:t>
      </w:r>
      <w:r w:rsidR="0087051B">
        <w:t xml:space="preserve"> on project size</w:t>
      </w:r>
      <w:r w:rsidR="00054377">
        <w:t xml:space="preserve">, all potential bidders should be allowed to participate. </w:t>
      </w:r>
      <w:r w:rsidR="00275C7B">
        <w:t xml:space="preserve"> </w:t>
      </w:r>
      <w:r w:rsidR="00054377">
        <w:t xml:space="preserve">Opponents of inclusion note that </w:t>
      </w:r>
      <w:r w:rsidR="00A35342">
        <w:t xml:space="preserve">the California </w:t>
      </w:r>
      <w:r w:rsidR="00677CF6">
        <w:t xml:space="preserve">Independent </w:t>
      </w:r>
      <w:r w:rsidR="00A35342">
        <w:t>System Operator (</w:t>
      </w:r>
      <w:r w:rsidR="00054377">
        <w:t>CAISO</w:t>
      </w:r>
      <w:r w:rsidR="00A35342">
        <w:t>)</w:t>
      </w:r>
      <w:r w:rsidR="00054377">
        <w:t xml:space="preserve"> requires a minimum of 500 kW</w:t>
      </w:r>
      <w:r w:rsidR="00BF72A0">
        <w:t xml:space="preserve"> aggregated load</w:t>
      </w:r>
      <w:r w:rsidR="00054377">
        <w:t xml:space="preserve"> to participate in its markets which means that sub-500 kW projects will have to </w:t>
      </w:r>
      <w:r w:rsidR="00BA700B">
        <w:t xml:space="preserve">be </w:t>
      </w:r>
      <w:r w:rsidR="00054377">
        <w:t>aggregated</w:t>
      </w:r>
      <w:r w:rsidR="00BA700B">
        <w:t xml:space="preserve">. </w:t>
      </w:r>
      <w:r w:rsidR="005C1FDB">
        <w:t xml:space="preserve"> </w:t>
      </w:r>
      <w:r w:rsidR="00BA700B">
        <w:t>This scenario would</w:t>
      </w:r>
      <w:r w:rsidR="00054377">
        <w:t xml:space="preserve"> add additional fixed telemetry costs, reducing economic viability</w:t>
      </w:r>
      <w:r w:rsidR="00BA700B">
        <w:t xml:space="preserve"> of sub-500 kW projects</w:t>
      </w:r>
      <w:r w:rsidR="00054377">
        <w:t xml:space="preserve">. </w:t>
      </w:r>
      <w:r w:rsidR="005C1FDB">
        <w:t xml:space="preserve"> </w:t>
      </w:r>
      <w:r w:rsidR="00054377">
        <w:t>They note that aggregation</w:t>
      </w:r>
      <w:r w:rsidR="00054377" w:rsidRPr="00054377">
        <w:t xml:space="preserve"> </w:t>
      </w:r>
      <w:r w:rsidR="00054377">
        <w:t xml:space="preserve">of </w:t>
      </w:r>
      <w:r w:rsidR="00054377" w:rsidRPr="00054377">
        <w:t>distribution-level resources is still under review and metering</w:t>
      </w:r>
      <w:r w:rsidR="00677CF6">
        <w:t xml:space="preserve"> and </w:t>
      </w:r>
      <w:r w:rsidR="00054377" w:rsidRPr="00054377">
        <w:t>telemetry proposals have not been finalized</w:t>
      </w:r>
      <w:r w:rsidR="00054377">
        <w:t xml:space="preserve"> as part of the </w:t>
      </w:r>
      <w:r w:rsidR="0087051B" w:rsidRPr="0087051B">
        <w:t>CAISO’s Distributed Energy Resource Provider Proceeding</w:t>
      </w:r>
      <w:r w:rsidR="00677CF6">
        <w:t>.</w:t>
      </w:r>
      <w:r w:rsidR="000F26E5">
        <w:t xml:space="preserve"> </w:t>
      </w:r>
      <w:r w:rsidR="00677CF6">
        <w:t>T</w:t>
      </w:r>
      <w:r w:rsidR="00054377">
        <w:t>hus it would be premature to open the GTSR procurement process to sub-500 kW projects.</w:t>
      </w:r>
    </w:p>
    <w:p w:rsidR="00054377" w:rsidRPr="00754C88" w:rsidRDefault="00054377" w:rsidP="00754C88">
      <w:pPr>
        <w:pStyle w:val="standard"/>
      </w:pPr>
      <w:r>
        <w:t xml:space="preserve">Given the lack of established rules for participation of </w:t>
      </w:r>
      <w:r w:rsidR="00BA700B">
        <w:t>projects</w:t>
      </w:r>
      <w:r>
        <w:t xml:space="preserve"> less than 500 kW in size</w:t>
      </w:r>
      <w:r w:rsidR="00BF72A0">
        <w:t xml:space="preserve"> in both the </w:t>
      </w:r>
      <w:r w:rsidR="00DE4479">
        <w:t>Renewable Auction Mechanism</w:t>
      </w:r>
      <w:r w:rsidR="00BF72A0">
        <w:t xml:space="preserve"> and ReMAT solicitations</w:t>
      </w:r>
      <w:r w:rsidR="00241B46">
        <w:t>,</w:t>
      </w:r>
      <w:r>
        <w:t xml:space="preserve"> the requirement </w:t>
      </w:r>
      <w:r w:rsidR="00BF72A0">
        <w:t>of a minimum load of</w:t>
      </w:r>
      <w:r>
        <w:t xml:space="preserve"> 500 kW to</w:t>
      </w:r>
      <w:r w:rsidR="00BF72A0">
        <w:t xml:space="preserve"> receive a CAISO meter and</w:t>
      </w:r>
      <w:r>
        <w:t xml:space="preserve"> participate in CAISO markets</w:t>
      </w:r>
      <w:r w:rsidR="00241B46">
        <w:t xml:space="preserve">, and the lack of participation of </w:t>
      </w:r>
      <w:r w:rsidR="00E11386">
        <w:t>Enhanced Community Renewables</w:t>
      </w:r>
      <w:r w:rsidR="00241B46">
        <w:t xml:space="preserve"> projects that are less than 3 MW</w:t>
      </w:r>
      <w:r w:rsidR="00BA700B">
        <w:t xml:space="preserve"> to date</w:t>
      </w:r>
      <w:r w:rsidR="00241B46">
        <w:t xml:space="preserve">, we find that it is premature to allow participation of sub-500 kW projects in GTSR. </w:t>
      </w:r>
      <w:r w:rsidR="000F26E5">
        <w:t>If the CAISO Distributed Energy Resource Provider proceeding resolves issues surrounding participation of sub-500 kW projects in the market, the utilities should file, within 30 days, Advice Letters to modify their Enhanced Community Renewables rider to expand eligibility accordingly.</w:t>
      </w:r>
    </w:p>
    <w:p w:rsidR="002A20ED" w:rsidRDefault="002A20ED" w:rsidP="00827063">
      <w:pPr>
        <w:pStyle w:val="Heading3"/>
      </w:pPr>
      <w:bookmarkStart w:id="11" w:name="_Toc448133298"/>
      <w:r>
        <w:t>Implementation</w:t>
      </w:r>
      <w:bookmarkEnd w:id="11"/>
    </w:p>
    <w:p w:rsidR="002A20ED" w:rsidRPr="00A94C11" w:rsidRDefault="00457CCF" w:rsidP="00F11236">
      <w:pPr>
        <w:pStyle w:val="standard"/>
      </w:pPr>
      <w:r>
        <w:t xml:space="preserve">Allowing Enhanced Community Renewables projects to participate in </w:t>
      </w:r>
      <w:r w:rsidR="00BA700B">
        <w:t xml:space="preserve">the Renewable Auction Mechanism </w:t>
      </w:r>
      <w:r>
        <w:t xml:space="preserve">requires that the </w:t>
      </w:r>
      <w:r w:rsidR="00F11236">
        <w:t xml:space="preserve">IOUs submit </w:t>
      </w:r>
      <w:r>
        <w:t xml:space="preserve">a proposed </w:t>
      </w:r>
      <w:r w:rsidR="00F11236">
        <w:t xml:space="preserve">rider to be used with </w:t>
      </w:r>
      <w:r>
        <w:t xml:space="preserve">their </w:t>
      </w:r>
      <w:r w:rsidR="00F11236">
        <w:t>standard R</w:t>
      </w:r>
      <w:r w:rsidR="00A1528C">
        <w:t xml:space="preserve">enewable </w:t>
      </w:r>
      <w:r w:rsidR="00F11236">
        <w:t>A</w:t>
      </w:r>
      <w:r w:rsidR="00A1528C">
        <w:t xml:space="preserve">uction </w:t>
      </w:r>
      <w:r w:rsidR="00F11236">
        <w:t>M</w:t>
      </w:r>
      <w:r w:rsidR="00A1528C">
        <w:t>echanism</w:t>
      </w:r>
      <w:r w:rsidR="00F11236">
        <w:t xml:space="preserve"> contract</w:t>
      </w:r>
      <w:r>
        <w:t xml:space="preserve">s. </w:t>
      </w:r>
      <w:r w:rsidR="00FE1D63">
        <w:t xml:space="preserve"> </w:t>
      </w:r>
      <w:r>
        <w:lastRenderedPageBreak/>
        <w:t>Therefore we direct PG&amp;E, SCE, and SDG&amp;E, to file</w:t>
      </w:r>
      <w:r w:rsidR="00F11236">
        <w:t xml:space="preserve"> a </w:t>
      </w:r>
      <w:r>
        <w:t>Ti</w:t>
      </w:r>
      <w:r w:rsidR="00F11236">
        <w:t xml:space="preserve">er 2 </w:t>
      </w:r>
      <w:r>
        <w:t>Advice Letter</w:t>
      </w:r>
      <w:r w:rsidR="00BA700B">
        <w:t xml:space="preserve"> by June 15, 2016</w:t>
      </w:r>
      <w:r>
        <w:t xml:space="preserve"> to implement the provisions described above</w:t>
      </w:r>
      <w:r w:rsidR="00F11236">
        <w:t xml:space="preserve">. </w:t>
      </w:r>
      <w:r w:rsidR="004A7AFE" w:rsidRPr="004A7AFE">
        <w:t xml:space="preserve">To the extent that the ReMAT riders need to be updated by the utilities to reflect </w:t>
      </w:r>
      <w:r w:rsidR="004A7AFE">
        <w:t>the adopted REC value</w:t>
      </w:r>
      <w:r w:rsidR="004A7AFE" w:rsidRPr="004A7AFE">
        <w:t xml:space="preserve">, the utilities should </w:t>
      </w:r>
      <w:r w:rsidR="004A7AFE">
        <w:t>file a rider to reflect that contract term.</w:t>
      </w:r>
      <w:r w:rsidR="00FE1D63">
        <w:t xml:space="preserve"> </w:t>
      </w:r>
      <w:r w:rsidR="00F11236">
        <w:t xml:space="preserve">If the </w:t>
      </w:r>
      <w:r>
        <w:t>C</w:t>
      </w:r>
      <w:r w:rsidR="00F11236">
        <w:t xml:space="preserve">ommission approves the </w:t>
      </w:r>
      <w:r>
        <w:t>Advice Letter</w:t>
      </w:r>
      <w:r w:rsidR="00F11236">
        <w:t xml:space="preserve"> </w:t>
      </w:r>
      <w:r w:rsidR="00BA700B">
        <w:t>on or before</w:t>
      </w:r>
      <w:r w:rsidR="00F11236">
        <w:t xml:space="preserve"> July </w:t>
      </w:r>
      <w:r w:rsidR="00BA700B">
        <w:t>3</w:t>
      </w:r>
      <w:r w:rsidR="00F11236">
        <w:t xml:space="preserve">1, 2016, the IOUs should commence </w:t>
      </w:r>
      <w:r>
        <w:t xml:space="preserve">their first Renewable Auction Mechanism </w:t>
      </w:r>
      <w:r w:rsidR="00F11236">
        <w:t>solicitation</w:t>
      </w:r>
      <w:r>
        <w:t xml:space="preserve"> for Enhanced Community Renewables and Enhanced Community Renewables- Environmental Justice projects</w:t>
      </w:r>
      <w:r w:rsidR="00F11236">
        <w:t xml:space="preserve"> </w:t>
      </w:r>
      <w:r>
        <w:t>no later than</w:t>
      </w:r>
      <w:r w:rsidR="00F11236">
        <w:t xml:space="preserve"> August</w:t>
      </w:r>
      <w:r>
        <w:t xml:space="preserve"> 31, 2016</w:t>
      </w:r>
      <w:r w:rsidR="00F11236">
        <w:t xml:space="preserve">. </w:t>
      </w:r>
      <w:r w:rsidR="00FE1D63">
        <w:t xml:space="preserve"> </w:t>
      </w:r>
      <w:r w:rsidR="00275C7B">
        <w:t xml:space="preserve"> </w:t>
      </w:r>
      <w:r w:rsidR="00F11236">
        <w:t xml:space="preserve">If the Commission does not approve the </w:t>
      </w:r>
      <w:r>
        <w:t>Advice Letters</w:t>
      </w:r>
      <w:r w:rsidR="00F11236">
        <w:t xml:space="preserve"> </w:t>
      </w:r>
      <w:r w:rsidR="00BA700B">
        <w:t>on or before</w:t>
      </w:r>
      <w:r w:rsidR="00F11236">
        <w:t xml:space="preserve"> July</w:t>
      </w:r>
      <w:r w:rsidR="00BA700B">
        <w:t xml:space="preserve"> 3</w:t>
      </w:r>
      <w:r w:rsidR="00F11236">
        <w:t>1, 2016, the IOUs should commence the</w:t>
      </w:r>
      <w:r>
        <w:t>ir first</w:t>
      </w:r>
      <w:r w:rsidR="00F11236">
        <w:t xml:space="preserve"> solicitation </w:t>
      </w:r>
      <w:r w:rsidR="00740B4B">
        <w:t xml:space="preserve">no later than </w:t>
      </w:r>
      <w:r w:rsidR="000F26E5">
        <w:t>30 days</w:t>
      </w:r>
      <w:r w:rsidR="00F11236">
        <w:t xml:space="preserve"> after the </w:t>
      </w:r>
      <w:r>
        <w:t>Advice Letters are</w:t>
      </w:r>
      <w:r w:rsidR="00F11236">
        <w:t xml:space="preserve"> approved. </w:t>
      </w:r>
      <w:r w:rsidR="005C1FDB">
        <w:t xml:space="preserve"> </w:t>
      </w:r>
      <w:r>
        <w:t>Contracts awarded in each solicitation should also be s</w:t>
      </w:r>
      <w:r w:rsidR="00F11236">
        <w:t>ubmit</w:t>
      </w:r>
      <w:r>
        <w:t>ted</w:t>
      </w:r>
      <w:r w:rsidR="00BA700B">
        <w:t xml:space="preserve"> for Commission approval</w:t>
      </w:r>
      <w:r w:rsidR="00F11236">
        <w:t xml:space="preserve"> through a Tier </w:t>
      </w:r>
      <w:r>
        <w:t>2</w:t>
      </w:r>
      <w:r w:rsidR="00F11236">
        <w:t xml:space="preserve"> </w:t>
      </w:r>
      <w:r>
        <w:t>Advice Letter</w:t>
      </w:r>
      <w:r w:rsidR="00BA700B">
        <w:t xml:space="preserve"> process</w:t>
      </w:r>
      <w:r>
        <w:t>.</w:t>
      </w:r>
      <w:r w:rsidR="00616C6B">
        <w:t xml:space="preserve"> </w:t>
      </w:r>
      <w:r w:rsidR="005C1FDB">
        <w:t xml:space="preserve"> </w:t>
      </w:r>
      <w:r w:rsidR="00F11236" w:rsidRPr="00616C6B">
        <w:t xml:space="preserve">From 2017 onwards, the </w:t>
      </w:r>
      <w:r w:rsidR="00A1528C">
        <w:t>utilities</w:t>
      </w:r>
      <w:r w:rsidR="00F11236" w:rsidRPr="00616C6B">
        <w:t xml:space="preserve"> should submit </w:t>
      </w:r>
      <w:r w:rsidR="00A1528C">
        <w:t>revisions to the Enhanced Community Renewables rider</w:t>
      </w:r>
      <w:r w:rsidR="00F11236" w:rsidRPr="00616C6B">
        <w:t xml:space="preserve"> with their annual R</w:t>
      </w:r>
      <w:r w:rsidR="00C00129">
        <w:t xml:space="preserve">enewable </w:t>
      </w:r>
      <w:r w:rsidR="00F11236" w:rsidRPr="00616C6B">
        <w:t>P</w:t>
      </w:r>
      <w:r w:rsidR="00C00129">
        <w:t xml:space="preserve">ortfolio </w:t>
      </w:r>
      <w:r w:rsidR="00F11236" w:rsidRPr="00616C6B">
        <w:t>S</w:t>
      </w:r>
      <w:r w:rsidR="00C00129">
        <w:t>tandard</w:t>
      </w:r>
      <w:r w:rsidR="00F11236" w:rsidRPr="00616C6B">
        <w:t xml:space="preserve"> procurement plans for Commission approval.</w:t>
      </w:r>
    </w:p>
    <w:p w:rsidR="002717D1" w:rsidRDefault="002717D1" w:rsidP="00144C8B">
      <w:pPr>
        <w:pStyle w:val="Heading2"/>
        <w:ind w:right="1440"/>
      </w:pPr>
      <w:bookmarkStart w:id="12" w:name="_Toc448133299"/>
      <w:r>
        <w:t xml:space="preserve">Changes to the GTSR </w:t>
      </w:r>
      <w:r w:rsidR="00A07ED5">
        <w:t>P</w:t>
      </w:r>
      <w:r>
        <w:t xml:space="preserve">rogram </w:t>
      </w:r>
      <w:r w:rsidR="00A07ED5">
        <w:t>T</w:t>
      </w:r>
      <w:r>
        <w:t xml:space="preserve">hat </w:t>
      </w:r>
      <w:r w:rsidR="00A07ED5">
        <w:t>I</w:t>
      </w:r>
      <w:r>
        <w:t xml:space="preserve">mprove </w:t>
      </w:r>
      <w:r w:rsidR="00A07ED5">
        <w:t>A</w:t>
      </w:r>
      <w:r>
        <w:t>ffordability</w:t>
      </w:r>
      <w:r w:rsidR="00114B71">
        <w:t>,</w:t>
      </w:r>
      <w:r>
        <w:t xml:space="preserve"> </w:t>
      </w:r>
      <w:r w:rsidR="00A07ED5">
        <w:t>L</w:t>
      </w:r>
      <w:r>
        <w:t>ongevity</w:t>
      </w:r>
      <w:r w:rsidR="00114B71">
        <w:t>, and Understandability</w:t>
      </w:r>
      <w:r>
        <w:t xml:space="preserve"> of the </w:t>
      </w:r>
      <w:r w:rsidR="00A07ED5">
        <w:t>P</w:t>
      </w:r>
      <w:r>
        <w:t>rogram</w:t>
      </w:r>
      <w:r w:rsidR="002A20ED">
        <w:rPr>
          <w:rStyle w:val="FootnoteReference"/>
        </w:rPr>
        <w:footnoteReference w:id="23"/>
      </w:r>
      <w:bookmarkEnd w:id="12"/>
    </w:p>
    <w:p w:rsidR="00DF2732" w:rsidRDefault="00AE0621" w:rsidP="00DF2732">
      <w:pPr>
        <w:pStyle w:val="standard"/>
      </w:pPr>
      <w:r>
        <w:t xml:space="preserve">The genesis of </w:t>
      </w:r>
      <w:r w:rsidR="002A20ED">
        <w:t>this issue</w:t>
      </w:r>
      <w:r>
        <w:t xml:space="preserve"> stemmed from comments on the proposed decision tha</w:t>
      </w:r>
      <w:r w:rsidR="006F2C78">
        <w:t xml:space="preserve">t ultimately became D.15-01-051. </w:t>
      </w:r>
      <w:r w:rsidR="007D198D">
        <w:t xml:space="preserve"> </w:t>
      </w:r>
      <w:r w:rsidR="006F2C78">
        <w:t xml:space="preserve">At the time, </w:t>
      </w:r>
      <w:r w:rsidR="007A1271">
        <w:t>California Environmental Justice Alliance (</w:t>
      </w:r>
      <w:r w:rsidR="004B51AB">
        <w:t>CEJA</w:t>
      </w:r>
      <w:r w:rsidR="007A1271">
        <w:t>)</w:t>
      </w:r>
      <w:r>
        <w:t xml:space="preserve"> recommended that the Commission consider other mechanisms to make the GTSR program more accessible, consistent with §2833(j).  </w:t>
      </w:r>
      <w:r w:rsidR="006F2C78">
        <w:t>The resulting</w:t>
      </w:r>
      <w:r w:rsidR="00DF2732">
        <w:t xml:space="preserve"> proposals cover a broad range of options.  PG&amp;E</w:t>
      </w:r>
      <w:r w:rsidR="006F2C78">
        <w:t xml:space="preserve"> and SCE</w:t>
      </w:r>
      <w:r w:rsidR="00DF2732">
        <w:t xml:space="preserve"> suggest giving customer</w:t>
      </w:r>
      <w:r w:rsidR="006F2C78">
        <w:t>s</w:t>
      </w:r>
      <w:r w:rsidR="00DF2732">
        <w:t xml:space="preserve"> the option to participate </w:t>
      </w:r>
      <w:r w:rsidR="002A20ED">
        <w:t xml:space="preserve">for </w:t>
      </w:r>
      <w:r w:rsidR="00DF2732">
        <w:t>50</w:t>
      </w:r>
      <w:r w:rsidR="00144C8B">
        <w:t xml:space="preserve"> percent</w:t>
      </w:r>
      <w:r w:rsidR="002A20ED">
        <w:t xml:space="preserve"> </w:t>
      </w:r>
      <w:r w:rsidR="002A20ED">
        <w:lastRenderedPageBreak/>
        <w:t>of their energy requirements</w:t>
      </w:r>
      <w:r w:rsidR="00DF2732">
        <w:t xml:space="preserve"> </w:t>
      </w:r>
      <w:r w:rsidR="002A20ED">
        <w:t>with the remaining 50</w:t>
      </w:r>
      <w:r w:rsidR="00144C8B">
        <w:t xml:space="preserve"> percent </w:t>
      </w:r>
      <w:r w:rsidR="002A20ED">
        <w:t xml:space="preserve">of their energy requirements being met through </w:t>
      </w:r>
      <w:r w:rsidR="00C90968">
        <w:t xml:space="preserve">utility </w:t>
      </w:r>
      <w:r w:rsidR="002A20ED">
        <w:t>bundled service</w:t>
      </w:r>
      <w:r w:rsidR="00DF2732">
        <w:t>.</w:t>
      </w:r>
      <w:r w:rsidR="005C1FDB">
        <w:t xml:space="preserve"> </w:t>
      </w:r>
      <w:r w:rsidR="00DF2732">
        <w:t xml:space="preserve"> ORA and SDG&amp;E suggested the use of CPUC-approved procurement mechanisms to reduce admin</w:t>
      </w:r>
      <w:r w:rsidR="004F5351">
        <w:t>istrative</w:t>
      </w:r>
      <w:r w:rsidR="00DF2732">
        <w:t xml:space="preserve"> costs. </w:t>
      </w:r>
      <w:r w:rsidR="007D198D">
        <w:t xml:space="preserve"> </w:t>
      </w:r>
      <w:r w:rsidR="004B51AB">
        <w:t>CEJA</w:t>
      </w:r>
      <w:r w:rsidR="00DF2732">
        <w:t xml:space="preserve"> suggested a “blended” portfolio and pricing, </w:t>
      </w:r>
      <w:r w:rsidR="00C90968">
        <w:t xml:space="preserve">assigning </w:t>
      </w:r>
      <w:r w:rsidR="00DF2732">
        <w:t>marketing and admin</w:t>
      </w:r>
      <w:r w:rsidR="00C90968">
        <w:t>istrative</w:t>
      </w:r>
      <w:r w:rsidR="00DF2732">
        <w:t xml:space="preserve"> costs to shareholders, removal of </w:t>
      </w:r>
      <w:r w:rsidR="00C90968">
        <w:t xml:space="preserve">the </w:t>
      </w:r>
      <w:r w:rsidR="00DF2732">
        <w:t>PCIA</w:t>
      </w:r>
      <w:r w:rsidR="00C90968">
        <w:t xml:space="preserve"> charge</w:t>
      </w:r>
      <w:r w:rsidR="00DF2732">
        <w:t xml:space="preserve">, and additional subsidies. </w:t>
      </w:r>
      <w:r w:rsidR="005C1FDB">
        <w:t xml:space="preserve"> </w:t>
      </w:r>
      <w:r w:rsidR="00DF2732">
        <w:t xml:space="preserve">Greenlining suggests that CARE and </w:t>
      </w:r>
      <w:r w:rsidR="00447F1A" w:rsidRPr="00447F1A">
        <w:t xml:space="preserve">Family Electric Rate Assistance </w:t>
      </w:r>
      <w:r w:rsidR="00447F1A">
        <w:t xml:space="preserve">(FERA) </w:t>
      </w:r>
      <w:r w:rsidR="00DF2732">
        <w:t>discounts be carried over to GTSR</w:t>
      </w:r>
      <w:r w:rsidR="00C90968">
        <w:t xml:space="preserve"> customers</w:t>
      </w:r>
      <w:r w:rsidR="00DF2732">
        <w:t xml:space="preserve">.  Clean Coalition suggests a monetized locational benefit.  </w:t>
      </w:r>
    </w:p>
    <w:p w:rsidR="00DF2732" w:rsidRDefault="00DF2732" w:rsidP="00DF2732">
      <w:pPr>
        <w:pStyle w:val="standard"/>
      </w:pPr>
      <w:r>
        <w:t>We find that the options present</w:t>
      </w:r>
      <w:r w:rsidR="006F2C78">
        <w:t>ed</w:t>
      </w:r>
      <w:r>
        <w:t xml:space="preserve"> are insufficiently developed at this time</w:t>
      </w:r>
      <w:r w:rsidR="006F2C78">
        <w:t xml:space="preserve"> to adopt specific affordability initiatives.</w:t>
      </w:r>
      <w:r>
        <w:t xml:space="preserve"> </w:t>
      </w:r>
      <w:r w:rsidR="005C1FDB">
        <w:t xml:space="preserve"> </w:t>
      </w:r>
      <w:r w:rsidR="004F5351">
        <w:t>The most viable appears to be applying CARE and FERA discounts to the GTSR program which D.15-01-051 deferred</w:t>
      </w:r>
      <w:r w:rsidR="002A20ED">
        <w:t xml:space="preserve"> to</w:t>
      </w:r>
      <w:r w:rsidR="004F5351">
        <w:t xml:space="preserve"> A.14-11-007</w:t>
      </w:r>
      <w:r w:rsidR="00740B4B">
        <w:t>,</w:t>
      </w:r>
      <w:r w:rsidR="004F5351">
        <w:t xml:space="preserve"> et al.</w:t>
      </w:r>
      <w:r w:rsidR="004F5351">
        <w:rPr>
          <w:rStyle w:val="FootnoteReference"/>
        </w:rPr>
        <w:footnoteReference w:id="24"/>
      </w:r>
      <w:r w:rsidR="004F5351">
        <w:t xml:space="preserve"> </w:t>
      </w:r>
      <w:r w:rsidR="007D198D">
        <w:t xml:space="preserve"> </w:t>
      </w:r>
      <w:r w:rsidR="004F5351">
        <w:t>We do not revisit that decision today.</w:t>
      </w:r>
      <w:r w:rsidR="00C90968">
        <w:t xml:space="preserve"> </w:t>
      </w:r>
      <w:r w:rsidR="007D198D">
        <w:t xml:space="preserve"> </w:t>
      </w:r>
      <w:r w:rsidR="00C90968">
        <w:t>When a final decision has been approved in A.14-11-007</w:t>
      </w:r>
      <w:r w:rsidR="00740B4B">
        <w:t>,</w:t>
      </w:r>
      <w:r w:rsidR="00C90968">
        <w:t xml:space="preserve"> et al</w:t>
      </w:r>
      <w:r w:rsidR="007D198D">
        <w:t>.</w:t>
      </w:r>
      <w:r w:rsidR="00C90968">
        <w:t xml:space="preserve">, PG&amp;E, SCE, and SDG&amp;E </w:t>
      </w:r>
      <w:r w:rsidR="000F26E5">
        <w:t xml:space="preserve">will </w:t>
      </w:r>
      <w:r w:rsidR="00C90968">
        <w:t xml:space="preserve">file Tier </w:t>
      </w:r>
      <w:r w:rsidR="000F26E5">
        <w:t xml:space="preserve">3 </w:t>
      </w:r>
      <w:r w:rsidR="00C90968">
        <w:t>Advice Letters to apply Commission approved CARE and FERA discounts to GTSR program participants</w:t>
      </w:r>
      <w:r w:rsidR="000F26E5">
        <w:t xml:space="preserve"> as required in D.15-01-051</w:t>
      </w:r>
      <w:r w:rsidR="00C90968">
        <w:t>.</w:t>
      </w:r>
    </w:p>
    <w:p w:rsidR="00AE0621" w:rsidRDefault="000F2CE3" w:rsidP="00AE0621">
      <w:pPr>
        <w:pStyle w:val="standard"/>
      </w:pPr>
      <w:r>
        <w:t xml:space="preserve">D.15-01-051 </w:t>
      </w:r>
      <w:r w:rsidR="00677CF6">
        <w:t>did not</w:t>
      </w:r>
      <w:r>
        <w:t xml:space="preserve"> require</w:t>
      </w:r>
      <w:r w:rsidR="00677CF6">
        <w:t xml:space="preserve"> either</w:t>
      </w:r>
      <w:r>
        <w:t xml:space="preserve"> a </w:t>
      </w:r>
      <w:r w:rsidR="00B46877">
        <w:t xml:space="preserve">minimum </w:t>
      </w:r>
      <w:r>
        <w:t xml:space="preserve">one-year </w:t>
      </w:r>
      <w:r w:rsidR="00B46877">
        <w:t>term for enrolling in the Green Tariff or early termination fees, although both remain option</w:t>
      </w:r>
      <w:r w:rsidR="00F66F0A">
        <w:t>s</w:t>
      </w:r>
      <w:r w:rsidR="00B46877">
        <w:t xml:space="preserve"> that the utilities may utilize, as long as the utility can demonstrate ratepayer indifference between participating and non-participating customers when </w:t>
      </w:r>
      <w:r w:rsidR="00E11386">
        <w:t xml:space="preserve">Green Tariff </w:t>
      </w:r>
      <w:r w:rsidR="00B46877">
        <w:t>subscribers leave the program.</w:t>
      </w:r>
      <w:r w:rsidR="003226A9">
        <w:t xml:space="preserve"> </w:t>
      </w:r>
      <w:r w:rsidR="007D198D">
        <w:t xml:space="preserve"> </w:t>
      </w:r>
      <w:r w:rsidR="003226A9">
        <w:t>Phase IV, Track A, Issue 1 requested parties to comment on whether utilities should offer o</w:t>
      </w:r>
      <w:r w:rsidR="00AE0621">
        <w:t>ptions for customers to lock-in rates and have long-term</w:t>
      </w:r>
      <w:r w:rsidR="007D198D">
        <w:t xml:space="preserve"> </w:t>
      </w:r>
      <w:r w:rsidR="00AE0621">
        <w:t>contracts</w:t>
      </w:r>
      <w:r w:rsidR="003226A9">
        <w:t>.</w:t>
      </w:r>
      <w:r w:rsidR="00930070">
        <w:rPr>
          <w:rStyle w:val="FootnoteReference"/>
        </w:rPr>
        <w:footnoteReference w:id="25"/>
      </w:r>
      <w:r w:rsidR="00E85ABD">
        <w:t xml:space="preserve"> </w:t>
      </w:r>
      <w:r w:rsidR="000E3A1C">
        <w:t xml:space="preserve"> </w:t>
      </w:r>
      <w:r w:rsidR="00AE0621">
        <w:t xml:space="preserve">SDG&amp;E, </w:t>
      </w:r>
      <w:r w:rsidR="004B51AB">
        <w:t>CEJA</w:t>
      </w:r>
      <w:r w:rsidR="00AE0621">
        <w:t>,</w:t>
      </w:r>
      <w:r w:rsidR="00F66F0A">
        <w:t xml:space="preserve"> and</w:t>
      </w:r>
      <w:r w:rsidR="00AE0621">
        <w:t xml:space="preserve"> </w:t>
      </w:r>
      <w:r w:rsidR="000E3A1C">
        <w:t xml:space="preserve">the Sustainable </w:t>
      </w:r>
      <w:r w:rsidR="009A6466">
        <w:lastRenderedPageBreak/>
        <w:t>Econ</w:t>
      </w:r>
      <w:r w:rsidR="009E104E">
        <w:t>o</w:t>
      </w:r>
      <w:r w:rsidR="009A6466">
        <w:t>mics</w:t>
      </w:r>
      <w:r w:rsidR="000E3A1C">
        <w:t xml:space="preserve"> Law Center (SELC)</w:t>
      </w:r>
      <w:r w:rsidR="00AE0621">
        <w:t xml:space="preserve"> support locked-in rates suggest</w:t>
      </w:r>
      <w:r w:rsidR="00DB07D2">
        <w:t>ing</w:t>
      </w:r>
      <w:r w:rsidR="00AE0621">
        <w:t xml:space="preserve"> that long-term contracts with locked-in rates may appeal to commercial and industrial customers, remove the uncertainty associated with fluctuating rates, and match the long-term commitments from the IOUs to the </w:t>
      </w:r>
      <w:r w:rsidR="00E11386">
        <w:t>Enhanced Community Renewables</w:t>
      </w:r>
      <w:r w:rsidR="00AE0621">
        <w:t xml:space="preserve"> developers.  </w:t>
      </w:r>
      <w:r w:rsidR="00C90968">
        <w:t>These p</w:t>
      </w:r>
      <w:r w:rsidR="00AE0621">
        <w:t xml:space="preserve">arties suggest that rate stability could be especially attractive to lower income customers.  </w:t>
      </w:r>
      <w:r w:rsidR="00C90968">
        <w:t>P</w:t>
      </w:r>
      <w:r w:rsidR="00AE0621">
        <w:t>arties opposing this concept, including ORA and SCE, suggest that long-term contracts with locked-in rates provide a level of price assurance</w:t>
      </w:r>
      <w:r w:rsidR="00EB0188">
        <w:t xml:space="preserve"> to </w:t>
      </w:r>
      <w:r w:rsidR="00E11386">
        <w:t>Enhanced Community Renewables</w:t>
      </w:r>
      <w:r w:rsidR="00EB0188">
        <w:t xml:space="preserve"> customers</w:t>
      </w:r>
      <w:r w:rsidR="00AE0621">
        <w:t xml:space="preserve"> that exceeds </w:t>
      </w:r>
      <w:r w:rsidR="008150F0">
        <w:t xml:space="preserve">the price assurance provided to non-participating customers, </w:t>
      </w:r>
      <w:r w:rsidR="00AE0621">
        <w:t>increas</w:t>
      </w:r>
      <w:r w:rsidR="008150F0">
        <w:t>ing</w:t>
      </w:r>
      <w:r w:rsidR="00AE0621">
        <w:t xml:space="preserve"> the risk of </w:t>
      </w:r>
      <w:r w:rsidR="008150F0">
        <w:t xml:space="preserve">revenue </w:t>
      </w:r>
      <w:r w:rsidR="00AE0621">
        <w:t>undercollecti</w:t>
      </w:r>
      <w:r w:rsidR="008150F0">
        <w:t>o</w:t>
      </w:r>
      <w:r w:rsidR="00AE0621">
        <w:t xml:space="preserve">n </w:t>
      </w:r>
      <w:r w:rsidR="00EB0188">
        <w:t>and</w:t>
      </w:r>
      <w:r w:rsidR="00AE0621">
        <w:t xml:space="preserve"> shif</w:t>
      </w:r>
      <w:r w:rsidR="008150F0">
        <w:t>ts</w:t>
      </w:r>
      <w:r w:rsidR="00AE0621">
        <w:t xml:space="preserve"> costs to the gener</w:t>
      </w:r>
      <w:r w:rsidR="001473D8">
        <w:t>al body of ratepayers.</w:t>
      </w:r>
    </w:p>
    <w:p w:rsidR="00AE0621" w:rsidRDefault="00AE0621" w:rsidP="00AE0621">
      <w:pPr>
        <w:pStyle w:val="standard"/>
      </w:pPr>
      <w:r>
        <w:t xml:space="preserve">We find it reasonable to allow </w:t>
      </w:r>
      <w:r w:rsidR="00E11386">
        <w:t>Enhanced Community Renewables</w:t>
      </w:r>
      <w:r>
        <w:t xml:space="preserve"> customers to sign-up for contracts</w:t>
      </w:r>
      <w:r w:rsidR="00592589">
        <w:t xml:space="preserve"> with their provider for</w:t>
      </w:r>
      <w:r>
        <w:t xml:space="preserve"> up to 20 years</w:t>
      </w:r>
      <w:r w:rsidR="00592589">
        <w:t xml:space="preserve"> as this is a </w:t>
      </w:r>
      <w:r w:rsidR="008150F0">
        <w:t xml:space="preserve">mutual, </w:t>
      </w:r>
      <w:r w:rsidR="00592589">
        <w:t xml:space="preserve">private arrangement. </w:t>
      </w:r>
      <w:r w:rsidR="000E3A1C">
        <w:t xml:space="preserve"> </w:t>
      </w:r>
      <w:r w:rsidR="00592589">
        <w:t>However, potential subscribers must understand that the</w:t>
      </w:r>
      <w:r w:rsidR="008150F0">
        <w:t xml:space="preserve"> </w:t>
      </w:r>
      <w:r w:rsidR="00592589">
        <w:t>r</w:t>
      </w:r>
      <w:r w:rsidR="008150F0">
        <w:t>ates offered under a</w:t>
      </w:r>
      <w:r>
        <w:t xml:space="preserve"> </w:t>
      </w:r>
      <w:r w:rsidR="00592589">
        <w:t>private agreement</w:t>
      </w:r>
      <w:r>
        <w:t xml:space="preserve"> may not </w:t>
      </w:r>
      <w:r w:rsidR="00592589">
        <w:t>ultimately</w:t>
      </w:r>
      <w:r>
        <w:t xml:space="preserve"> be cheaper than </w:t>
      </w:r>
      <w:r w:rsidR="008150F0">
        <w:t>those offered under utility</w:t>
      </w:r>
      <w:r>
        <w:t xml:space="preserve"> service</w:t>
      </w:r>
      <w:r w:rsidR="00BD0B9E">
        <w:t>.</w:t>
      </w:r>
      <w:r w:rsidR="000A1F7B">
        <w:rPr>
          <w:rStyle w:val="FootnoteReference"/>
        </w:rPr>
        <w:footnoteReference w:id="26"/>
      </w:r>
      <w:r>
        <w:t xml:space="preserve"> </w:t>
      </w:r>
      <w:r w:rsidR="005C1FDB">
        <w:t xml:space="preserve"> </w:t>
      </w:r>
      <w:r w:rsidR="00592589">
        <w:t xml:space="preserve">The only aspect of service that can be locked in for up to 20 years is the </w:t>
      </w:r>
      <w:r w:rsidR="008150F0">
        <w:t xml:space="preserve">generation rate component of the subscriber’s bill.  This rate component shall be a term in the </w:t>
      </w:r>
      <w:r w:rsidR="00592589">
        <w:t xml:space="preserve">agreement between the subscriber and the </w:t>
      </w:r>
      <w:r w:rsidR="00E11386">
        <w:t>Enhanced Community Renewables</w:t>
      </w:r>
      <w:r w:rsidR="00592589">
        <w:t xml:space="preserve"> </w:t>
      </w:r>
      <w:r w:rsidR="008150F0">
        <w:t>provider.</w:t>
      </w:r>
      <w:r w:rsidR="00592589">
        <w:t xml:space="preserve"> </w:t>
      </w:r>
      <w:r w:rsidR="005C1FDB">
        <w:t xml:space="preserve"> </w:t>
      </w:r>
      <w:r w:rsidR="008150F0">
        <w:t>Aside from locked in generation rates that may be negotiated in Enhanced Community Renewables customer developer agreements</w:t>
      </w:r>
      <w:r w:rsidR="00592589">
        <w:t>, all</w:t>
      </w:r>
      <w:r w:rsidR="008150F0">
        <w:t xml:space="preserve"> other</w:t>
      </w:r>
      <w:r>
        <w:t xml:space="preserve"> GTSR rate components </w:t>
      </w:r>
      <w:r w:rsidR="0017510E">
        <w:t>remain</w:t>
      </w:r>
      <w:r>
        <w:t xml:space="preserve"> variable. </w:t>
      </w:r>
    </w:p>
    <w:p w:rsidR="008150F0" w:rsidRDefault="008150F0" w:rsidP="00AE0621">
      <w:pPr>
        <w:pStyle w:val="standard"/>
      </w:pPr>
      <w:r>
        <w:lastRenderedPageBreak/>
        <w:t xml:space="preserve">Green Tariff customers </w:t>
      </w:r>
      <w:r w:rsidR="00596240">
        <w:t>have the option of remaining enrolled in their respective utilities</w:t>
      </w:r>
      <w:r w:rsidR="002C60C6">
        <w:t>’</w:t>
      </w:r>
      <w:r w:rsidR="00596240">
        <w:t xml:space="preserve"> Green Tariff program on a month-to-month basis after the first year of enrollment.  We clarify that Green Tariff customers may continue to subscribe to the Green Tariff program for a period of up to 20 years, as required by SB 793.  This necessitates that each utility’s SB 43 Green Tariff program </w:t>
      </w:r>
      <w:r w:rsidR="002C60C6">
        <w:t>will</w:t>
      </w:r>
      <w:r w:rsidR="00596240">
        <w:t xml:space="preserve"> remain in effect until at least 20 years after the date that the final subscriber enrolls.</w:t>
      </w:r>
    </w:p>
    <w:p w:rsidR="002717D1" w:rsidRDefault="003B38FB" w:rsidP="002717D1">
      <w:pPr>
        <w:pStyle w:val="Heading2"/>
      </w:pPr>
      <w:bookmarkStart w:id="13" w:name="_Toc448133300"/>
      <w:r>
        <w:t xml:space="preserve">Pricing, </w:t>
      </w:r>
      <w:r w:rsidR="002717D1" w:rsidRPr="002717D1">
        <w:t>Ratemaking</w:t>
      </w:r>
      <w:r w:rsidR="005425E3">
        <w:t>,</w:t>
      </w:r>
      <w:r w:rsidR="002717D1" w:rsidRPr="002717D1">
        <w:t xml:space="preserve"> </w:t>
      </w:r>
      <w:r w:rsidR="005425E3">
        <w:t>and</w:t>
      </w:r>
      <w:r w:rsidR="002717D1" w:rsidRPr="002717D1">
        <w:t xml:space="preserve"> </w:t>
      </w:r>
      <w:r>
        <w:t>R</w:t>
      </w:r>
      <w:r w:rsidR="002717D1" w:rsidRPr="002717D1">
        <w:t xml:space="preserve">ate </w:t>
      </w:r>
      <w:r>
        <w:t>D</w:t>
      </w:r>
      <w:r w:rsidR="002717D1" w:rsidRPr="002717D1">
        <w:t>esign</w:t>
      </w:r>
      <w:bookmarkEnd w:id="13"/>
      <w:r w:rsidR="002717D1" w:rsidRPr="002717D1">
        <w:t xml:space="preserve"> </w:t>
      </w:r>
    </w:p>
    <w:p w:rsidR="00E85ABD" w:rsidRPr="00E85ABD" w:rsidRDefault="00E85ABD" w:rsidP="00E85ABD">
      <w:pPr>
        <w:pStyle w:val="standard"/>
      </w:pPr>
      <w:r>
        <w:t xml:space="preserve">The Scoping Memo and ALJ Ruling identified a number of pricing, ratemaking, and rate design related issues to be resolved in Phase IV. </w:t>
      </w:r>
      <w:r w:rsidR="005C1FDB">
        <w:t xml:space="preserve"> </w:t>
      </w:r>
      <w:r>
        <w:t xml:space="preserve">In addition, while Phase IV was pending SB 793 was adopted, which added a requirement that a participating utility’s </w:t>
      </w:r>
      <w:r w:rsidR="002C60C6">
        <w:t>G</w:t>
      </w:r>
      <w:r>
        <w:t xml:space="preserve">reen </w:t>
      </w:r>
      <w:r w:rsidR="002C60C6">
        <w:t>T</w:t>
      </w:r>
      <w:r>
        <w:t xml:space="preserve">ariff </w:t>
      </w:r>
      <w:r w:rsidR="002C60C6">
        <w:t>S</w:t>
      </w:r>
      <w:r>
        <w:t xml:space="preserve">hared </w:t>
      </w:r>
      <w:r w:rsidR="002C60C6">
        <w:t>R</w:t>
      </w:r>
      <w:r>
        <w:t xml:space="preserve">enewables program permit a participating customer to subscribe to the program and be provided with a nonbinding estimate of reasonably anticipated bill credits and bill charges, as determined by the </w:t>
      </w:r>
      <w:r w:rsidR="002C60C6">
        <w:t>C</w:t>
      </w:r>
      <w:r>
        <w:t>ommission, for a period of up to 20 years.</w:t>
      </w:r>
    </w:p>
    <w:p w:rsidR="003B38FB" w:rsidRPr="0025162A" w:rsidRDefault="003B38FB" w:rsidP="003B38FB">
      <w:pPr>
        <w:pStyle w:val="Heading3"/>
      </w:pPr>
      <w:bookmarkStart w:id="14" w:name="_Toc448133301"/>
      <w:r>
        <w:t>V</w:t>
      </w:r>
      <w:r w:rsidRPr="0025162A">
        <w:t>alu</w:t>
      </w:r>
      <w:r w:rsidR="00E85ABD">
        <w:t>ing</w:t>
      </w:r>
      <w:r w:rsidRPr="0025162A">
        <w:t xml:space="preserve"> a Renewable Energy Credit</w:t>
      </w:r>
      <w:r>
        <w:rPr>
          <w:rStyle w:val="FootnoteReference"/>
        </w:rPr>
        <w:footnoteReference w:id="27"/>
      </w:r>
      <w:bookmarkEnd w:id="14"/>
    </w:p>
    <w:p w:rsidR="003B38FB" w:rsidRDefault="002C60C6" w:rsidP="003B38FB">
      <w:pPr>
        <w:spacing w:line="360" w:lineRule="auto"/>
        <w:ind w:firstLine="720"/>
      </w:pPr>
      <w:r>
        <w:t>I</w:t>
      </w:r>
      <w:r w:rsidR="003B38FB">
        <w:t xml:space="preserve">f an </w:t>
      </w:r>
      <w:r w:rsidR="00E11386">
        <w:t>Enhanced Community Renewables</w:t>
      </w:r>
      <w:r w:rsidR="003B38FB">
        <w:t xml:space="preserve"> project produces unsubscribed renewable energy in excess of its customer requirements, when </w:t>
      </w:r>
      <w:r>
        <w:t>the excess</w:t>
      </w:r>
      <w:r w:rsidR="003B38FB">
        <w:t xml:space="preserve"> energy is transferred to the utility, the utility also receives the </w:t>
      </w:r>
      <w:r>
        <w:t>REC</w:t>
      </w:r>
      <w:r w:rsidR="003B38FB">
        <w:t xml:space="preserve"> associated with that energy.</w:t>
      </w:r>
      <w:r>
        <w:rPr>
          <w:rStyle w:val="FootnoteReference"/>
        </w:rPr>
        <w:footnoteReference w:id="28"/>
      </w:r>
      <w:r w:rsidR="003B38FB">
        <w:t xml:space="preserve"> </w:t>
      </w:r>
      <w:r w:rsidR="00EC570D">
        <w:t xml:space="preserve"> </w:t>
      </w:r>
      <w:r w:rsidR="003B38FB">
        <w:t xml:space="preserve">A REC is a certificate for energy produced by a renewable project that is tradable and used to demonstrate compliance with the Renewable Portfolio Standard </w:t>
      </w:r>
      <w:r>
        <w:t>requirement</w:t>
      </w:r>
      <w:r w:rsidR="003B38FB">
        <w:t xml:space="preserve">. </w:t>
      </w:r>
      <w:r w:rsidR="005C1FDB">
        <w:t xml:space="preserve"> </w:t>
      </w:r>
      <w:r w:rsidR="003B38FB">
        <w:t xml:space="preserve">Because the REC has value to ratepayers in meeting </w:t>
      </w:r>
      <w:r w:rsidR="003B38FB">
        <w:lastRenderedPageBreak/>
        <w:t>R</w:t>
      </w:r>
      <w:r w:rsidR="00C00129">
        <w:t xml:space="preserve">enewable </w:t>
      </w:r>
      <w:r w:rsidR="003B38FB">
        <w:t>P</w:t>
      </w:r>
      <w:r w:rsidR="00C00129">
        <w:t xml:space="preserve">ortfolio </w:t>
      </w:r>
      <w:r w:rsidR="003B38FB">
        <w:t>S</w:t>
      </w:r>
      <w:r w:rsidR="00C00129">
        <w:t>tandard</w:t>
      </w:r>
      <w:r w:rsidR="003B38FB">
        <w:t xml:space="preserve"> compliance requirements, utility ratepayers should pay the </w:t>
      </w:r>
      <w:r w:rsidR="00E11386">
        <w:t>Enhanced Community Renewables</w:t>
      </w:r>
      <w:r>
        <w:t xml:space="preserve"> developers</w:t>
      </w:r>
      <w:r w:rsidR="003B38FB">
        <w:t xml:space="preserve"> for the value of the REC. </w:t>
      </w:r>
      <w:r w:rsidR="005C1FDB">
        <w:t xml:space="preserve"> </w:t>
      </w:r>
      <w:r w:rsidR="003B38FB">
        <w:t xml:space="preserve">The parties have proposed a range of methodologies and values for a REC associated with an </w:t>
      </w:r>
      <w:r w:rsidR="00E11386">
        <w:t>Enhanced Community Renewable</w:t>
      </w:r>
      <w:r>
        <w:t xml:space="preserve"> project</w:t>
      </w:r>
      <w:r w:rsidR="003B38FB">
        <w:t xml:space="preserve">’s unsubscribed energy. </w:t>
      </w:r>
      <w:r w:rsidR="005C1FDB">
        <w:t xml:space="preserve"> </w:t>
      </w:r>
      <w:r w:rsidR="003B38FB">
        <w:t>The proposed approaches</w:t>
      </w:r>
      <w:r>
        <w:t xml:space="preserve"> for pricing RECs</w:t>
      </w:r>
      <w:r w:rsidR="003B38FB">
        <w:t xml:space="preserve"> range from</w:t>
      </w:r>
      <w:r>
        <w:t xml:space="preserve"> the</w:t>
      </w:r>
      <w:r w:rsidR="003B38FB">
        <w:t xml:space="preserve"> use of the</w:t>
      </w:r>
      <w:r w:rsidR="003B38FB" w:rsidRPr="00224595">
        <w:t xml:space="preserve"> Green-e National Solar</w:t>
      </w:r>
      <w:r w:rsidR="003B38FB">
        <w:t xml:space="preserve"> average price (</w:t>
      </w:r>
      <w:r w:rsidR="00624617">
        <w:t>October 2015 price of $2.88/MWh</w:t>
      </w:r>
      <w:r w:rsidR="003B38FB">
        <w:t>)</w:t>
      </w:r>
      <w:r w:rsidR="00624617">
        <w:rPr>
          <w:rStyle w:val="FootnoteReference"/>
        </w:rPr>
        <w:footnoteReference w:id="29"/>
      </w:r>
      <w:r w:rsidR="003B38FB">
        <w:t xml:space="preserve"> to the use of the average </w:t>
      </w:r>
      <w:r>
        <w:t>Western Electricity Coordinating Council</w:t>
      </w:r>
      <w:r w:rsidR="003B38FB">
        <w:t xml:space="preserve"> renewable price premium (</w:t>
      </w:r>
      <w:r w:rsidR="00624617">
        <w:t>October 2015 price of $16.45/MWh</w:t>
      </w:r>
      <w:r w:rsidR="003B38FB">
        <w:t>).</w:t>
      </w:r>
      <w:r w:rsidR="00624617">
        <w:rPr>
          <w:rStyle w:val="FootnoteReference"/>
        </w:rPr>
        <w:footnoteReference w:id="30"/>
      </w:r>
      <w:r w:rsidR="003B38FB">
        <w:t xml:space="preserve"> </w:t>
      </w:r>
      <w:r w:rsidR="000E3A1C">
        <w:t xml:space="preserve"> </w:t>
      </w:r>
      <w:r w:rsidR="003B38FB">
        <w:t xml:space="preserve">All proposed approaches to pricing suffer from being difficult to verify, non-transparent, and not California specific. </w:t>
      </w:r>
      <w:r w:rsidR="000E3A1C">
        <w:t xml:space="preserve"> </w:t>
      </w:r>
      <w:r w:rsidR="003B38FB">
        <w:t>In reply comments, SCE propose</w:t>
      </w:r>
      <w:r w:rsidR="000B28AD">
        <w:t>s</w:t>
      </w:r>
      <w:r w:rsidR="003B38FB">
        <w:t xml:space="preserve"> that the Commission adopt a REC value of $10/MWh</w:t>
      </w:r>
      <w:r w:rsidR="000B28AD" w:rsidRPr="000B28AD">
        <w:t xml:space="preserve"> </w:t>
      </w:r>
      <w:r w:rsidR="000B28AD">
        <w:t>as a</w:t>
      </w:r>
      <w:r w:rsidR="00DC6EC2">
        <w:t>n administratively simple compromise.</w:t>
      </w:r>
      <w:r w:rsidR="003B38FB">
        <w:t xml:space="preserve"> </w:t>
      </w:r>
      <w:r w:rsidR="005C1FDB">
        <w:t xml:space="preserve"> </w:t>
      </w:r>
      <w:r w:rsidR="00DC6EC2">
        <w:t>W</w:t>
      </w:r>
      <w:r w:rsidR="003B38FB">
        <w:t xml:space="preserve">e adopt that recommendation </w:t>
      </w:r>
      <w:r w:rsidR="000B28AD">
        <w:t xml:space="preserve">as the REC value </w:t>
      </w:r>
      <w:r w:rsidR="003B38FB">
        <w:t xml:space="preserve">for </w:t>
      </w:r>
      <w:r w:rsidR="00E11386">
        <w:t>Enhanced Community Renewables</w:t>
      </w:r>
      <w:r w:rsidR="003B38FB">
        <w:t xml:space="preserve"> unsubscribed energy</w:t>
      </w:r>
      <w:r w:rsidR="000B28AD">
        <w:t xml:space="preserve"> at this time</w:t>
      </w:r>
      <w:r w:rsidR="003B38FB">
        <w:t xml:space="preserve">. </w:t>
      </w:r>
      <w:r w:rsidR="000E3A1C">
        <w:t xml:space="preserve"> </w:t>
      </w:r>
      <w:r w:rsidR="000B28AD">
        <w:t>Because the market for RECs is evolving, we direct SCE to convene a working group</w:t>
      </w:r>
      <w:r w:rsidR="002C2355">
        <w:t xml:space="preserve"> </w:t>
      </w:r>
      <w:r w:rsidR="000B28AD">
        <w:t>in April 2017 to evaluate and assess the accuracy and efficacy of the $10/MWh REC value and to file a May 15, 2017 compliance report in this docket summarizing the perspectives of the parties, including relevant supporting documentation, about the ongoing validity of the adopted REC value.</w:t>
      </w:r>
      <w:r w:rsidR="000340A5">
        <w:rPr>
          <w:rStyle w:val="FootnoteReference"/>
        </w:rPr>
        <w:footnoteReference w:id="31"/>
      </w:r>
      <w:r w:rsidR="000B28AD">
        <w:t xml:space="preserve"> </w:t>
      </w:r>
      <w:r w:rsidR="00EC570D">
        <w:t xml:space="preserve"> </w:t>
      </w:r>
      <w:r w:rsidR="000B28AD">
        <w:t xml:space="preserve">Following </w:t>
      </w:r>
      <w:r w:rsidR="002C2355">
        <w:t xml:space="preserve">issuance of </w:t>
      </w:r>
      <w:r w:rsidR="000B28AD">
        <w:t>the compliance report, any party that recommends a change to the REC value</w:t>
      </w:r>
      <w:r w:rsidR="00641B4A">
        <w:t xml:space="preserve"> may do so through a petition to modify this </w:t>
      </w:r>
      <w:r w:rsidR="00740B4B">
        <w:t>outcome</w:t>
      </w:r>
      <w:r w:rsidR="00641B4A">
        <w:t>.</w:t>
      </w:r>
    </w:p>
    <w:p w:rsidR="006D0DA8" w:rsidRDefault="00B1259F" w:rsidP="002717D1">
      <w:pPr>
        <w:pStyle w:val="Heading3"/>
      </w:pPr>
      <w:bookmarkStart w:id="15" w:name="_Toc448133302"/>
      <w:r>
        <w:lastRenderedPageBreak/>
        <w:t>Reflecting</w:t>
      </w:r>
      <w:r w:rsidR="006D0DA8">
        <w:t xml:space="preserve"> </w:t>
      </w:r>
      <w:r>
        <w:t>R</w:t>
      </w:r>
      <w:r w:rsidR="006D0DA8">
        <w:t xml:space="preserve">ate </w:t>
      </w:r>
      <w:r>
        <w:t>D</w:t>
      </w:r>
      <w:r w:rsidR="006D0DA8">
        <w:t xml:space="preserve">esign </w:t>
      </w:r>
      <w:r>
        <w:t>E</w:t>
      </w:r>
      <w:r w:rsidR="006D0DA8">
        <w:t xml:space="preserve">lements from </w:t>
      </w:r>
      <w:r>
        <w:t>O</w:t>
      </w:r>
      <w:r w:rsidR="006D0DA8">
        <w:t xml:space="preserve">ther </w:t>
      </w:r>
      <w:r>
        <w:t>P</w:t>
      </w:r>
      <w:r w:rsidR="006D0DA8">
        <w:t>roceedings</w:t>
      </w:r>
      <w:r>
        <w:rPr>
          <w:rStyle w:val="FootnoteReference"/>
        </w:rPr>
        <w:footnoteReference w:id="32"/>
      </w:r>
      <w:bookmarkEnd w:id="15"/>
    </w:p>
    <w:p w:rsidR="00B1259F" w:rsidRPr="00B1259F" w:rsidRDefault="00B1259F" w:rsidP="00B1259F">
      <w:pPr>
        <w:pStyle w:val="standard"/>
      </w:pPr>
      <w:r>
        <w:t xml:space="preserve">The GTSR programs rely on a number of externally calculated or adopted inputs to calculate the credits and charges a GTSR participant receives on its bill. </w:t>
      </w:r>
      <w:r w:rsidR="005C1FDB">
        <w:t xml:space="preserve"> </w:t>
      </w:r>
      <w:r>
        <w:t>For example, the Renewable Integration Charge</w:t>
      </w:r>
      <w:r w:rsidR="002C2355">
        <w:t xml:space="preserve"> (RIC)</w:t>
      </w:r>
      <w:r>
        <w:t xml:space="preserve"> is currently set at zero but the Commission could adopt a RIC </w:t>
      </w:r>
      <w:r w:rsidR="00825306">
        <w:t>consistent with</w:t>
      </w:r>
      <w:r>
        <w:t xml:space="preserve"> D.14-11-042 for use in the GTSR program</w:t>
      </w:r>
      <w:r w:rsidR="00825306" w:rsidRPr="00825306">
        <w:t xml:space="preserve"> </w:t>
      </w:r>
      <w:r w:rsidR="00825306">
        <w:t>as set forth in D.15-01-051</w:t>
      </w:r>
      <w:r>
        <w:t>.</w:t>
      </w:r>
      <w:r w:rsidR="008B1852">
        <w:t xml:space="preserve"> </w:t>
      </w:r>
      <w:r w:rsidR="000E3A1C">
        <w:t xml:space="preserve"> </w:t>
      </w:r>
      <w:r w:rsidR="008B1852">
        <w:t>Consistent with D.15-01-051, the utilities would then file a Tier 3 Advice Letter setting forth how the RIC will be allocated to customers.</w:t>
      </w:r>
      <w:r w:rsidR="008B1852">
        <w:rPr>
          <w:rStyle w:val="FootnoteReference"/>
        </w:rPr>
        <w:footnoteReference w:id="33"/>
      </w:r>
      <w:r w:rsidR="000E3A1C">
        <w:t xml:space="preserve"> </w:t>
      </w:r>
      <w:r>
        <w:t xml:space="preserve"> D.15-01-051 determined that incorporating charges</w:t>
      </w:r>
      <w:r w:rsidR="00160DEE">
        <w:t>, other than the RIC,</w:t>
      </w:r>
      <w:r>
        <w:t xml:space="preserve"> should be reviewed through an application,</w:t>
      </w:r>
      <w:r w:rsidR="00160DEE">
        <w:rPr>
          <w:rStyle w:val="FootnoteReference"/>
        </w:rPr>
        <w:footnoteReference w:id="34"/>
      </w:r>
      <w:r>
        <w:t xml:space="preserve"> but that credits should be </w:t>
      </w:r>
      <w:r w:rsidR="002C2355">
        <w:t>proposed in</w:t>
      </w:r>
      <w:r>
        <w:t xml:space="preserve"> a Tier</w:t>
      </w:r>
      <w:r w:rsidR="00160DEE">
        <w:t xml:space="preserve"> 2 or</w:t>
      </w:r>
      <w:r>
        <w:t xml:space="preserve"> 3 Advice Letter</w:t>
      </w:r>
      <w:r w:rsidR="00160DEE">
        <w:t xml:space="preserve"> depending on the type of credit</w:t>
      </w:r>
      <w:r>
        <w:t>.</w:t>
      </w:r>
      <w:r w:rsidR="00160DEE">
        <w:rPr>
          <w:rStyle w:val="FootnoteReference"/>
        </w:rPr>
        <w:footnoteReference w:id="35"/>
      </w:r>
      <w:r>
        <w:t xml:space="preserve"> </w:t>
      </w:r>
      <w:r w:rsidR="00EC570D">
        <w:t xml:space="preserve"> </w:t>
      </w:r>
      <w:r w:rsidR="008756AE">
        <w:t>Some parties recommend integrating updates to these various charges and credits via advice letter or the annual electric rate update proceeding,</w:t>
      </w:r>
      <w:r w:rsidR="00017B59">
        <w:t xml:space="preserve"> reflecting the RIC adder specifically into bid evaluation methodology,</w:t>
      </w:r>
      <w:r w:rsidR="008756AE">
        <w:t xml:space="preserve"> or retaining the methodology adopted in D.15-01-051.</w:t>
      </w:r>
      <w:r w:rsidR="008B1852">
        <w:t xml:space="preserve"> </w:t>
      </w:r>
      <w:r w:rsidR="000E3A1C">
        <w:t xml:space="preserve"> </w:t>
      </w:r>
      <w:r w:rsidR="008B1852">
        <w:t>We see no compelling reason presented in the comments to change our prior decision on how to integrate charges and credits.</w:t>
      </w:r>
    </w:p>
    <w:p w:rsidR="00B0691B" w:rsidRDefault="00B0691B" w:rsidP="00B0691B">
      <w:pPr>
        <w:pStyle w:val="Heading3"/>
      </w:pPr>
      <w:bookmarkStart w:id="16" w:name="_Toc448133303"/>
      <w:r>
        <w:t xml:space="preserve">Threshold </w:t>
      </w:r>
      <w:r w:rsidR="00E47F4E">
        <w:t>for A</w:t>
      </w:r>
      <w:r>
        <w:t xml:space="preserve">llocation of </w:t>
      </w:r>
      <w:r w:rsidR="00E47F4E">
        <w:t>O</w:t>
      </w:r>
      <w:r>
        <w:t xml:space="preserve">verhead </w:t>
      </w:r>
      <w:r w:rsidR="00E47F4E">
        <w:t>C</w:t>
      </w:r>
      <w:r>
        <w:t>osts</w:t>
      </w:r>
      <w:bookmarkEnd w:id="16"/>
      <w:r>
        <w:t xml:space="preserve"> </w:t>
      </w:r>
    </w:p>
    <w:p w:rsidR="00B0691B" w:rsidRDefault="00E47F4E" w:rsidP="00B0691B">
      <w:pPr>
        <w:pStyle w:val="standard"/>
      </w:pPr>
      <w:r>
        <w:t xml:space="preserve">SB 43 requires participating customers to pay the administrative costs of the GTSR program. </w:t>
      </w:r>
      <w:r w:rsidR="005C1FDB">
        <w:t xml:space="preserve"> </w:t>
      </w:r>
      <w:r>
        <w:t xml:space="preserve">D.15-01-051 determined that it was premature to perform any allocation of </w:t>
      </w:r>
      <w:r w:rsidR="001B3DD5">
        <w:t>overhead</w:t>
      </w:r>
      <w:r>
        <w:t xml:space="preserve"> costs</w:t>
      </w:r>
      <w:r w:rsidR="00E03541">
        <w:t xml:space="preserve"> </w:t>
      </w:r>
      <w:r>
        <w:t xml:space="preserve">but </w:t>
      </w:r>
      <w:r w:rsidR="00E03541">
        <w:t>required</w:t>
      </w:r>
      <w:r>
        <w:t xml:space="preserve"> the utilities to track their </w:t>
      </w:r>
      <w:r>
        <w:lastRenderedPageBreak/>
        <w:t>incremental costs associated with the GTSR program in memorandum accounts</w:t>
      </w:r>
      <w:r w:rsidR="00E03541">
        <w:t xml:space="preserve"> for future recovery</w:t>
      </w:r>
      <w:r>
        <w:t xml:space="preserve">, </w:t>
      </w:r>
      <w:r w:rsidR="00E03541">
        <w:t>and</w:t>
      </w:r>
      <w:r>
        <w:t xml:space="preserve"> </w:t>
      </w:r>
      <w:r w:rsidR="001A103B">
        <w:t>established cost recovery mechanisms</w:t>
      </w:r>
      <w:r w:rsidR="001B3DD5">
        <w:t xml:space="preserve"> for incremental costs</w:t>
      </w:r>
      <w:r w:rsidR="001A103B">
        <w:t xml:space="preserve">. </w:t>
      </w:r>
      <w:r w:rsidR="000E3A1C">
        <w:t xml:space="preserve"> </w:t>
      </w:r>
      <w:r w:rsidR="001A103B">
        <w:t xml:space="preserve">The Scoping Memo </w:t>
      </w:r>
      <w:r>
        <w:t xml:space="preserve">allowed parties to suggest a threshold for when </w:t>
      </w:r>
      <w:r w:rsidR="00E03541">
        <w:t>the Commission should revisit it</w:t>
      </w:r>
      <w:r w:rsidR="001B3DD5">
        <w:t>s</w:t>
      </w:r>
      <w:r w:rsidR="00E03541">
        <w:t xml:space="preserve"> determination </w:t>
      </w:r>
      <w:r w:rsidR="002C2355">
        <w:t xml:space="preserve">to </w:t>
      </w:r>
      <w:r w:rsidR="001B3DD5">
        <w:t>not allocat</w:t>
      </w:r>
      <w:r w:rsidR="002C2355">
        <w:t>e</w:t>
      </w:r>
      <w:r w:rsidR="001B3DD5">
        <w:t xml:space="preserve"> overhead costs to GTSR program participants</w:t>
      </w:r>
      <w:r w:rsidR="00E03541">
        <w:t>.</w:t>
      </w:r>
      <w:r w:rsidR="00E03541">
        <w:rPr>
          <w:rStyle w:val="FootnoteReference"/>
        </w:rPr>
        <w:footnoteReference w:id="36"/>
      </w:r>
      <w:r w:rsidR="00E03541">
        <w:t xml:space="preserve"> </w:t>
      </w:r>
      <w:r w:rsidR="000E3A1C">
        <w:t xml:space="preserve"> </w:t>
      </w:r>
      <w:r w:rsidR="00E03541">
        <w:t>Although some parties support establishment of a threshold or triggering level</w:t>
      </w:r>
      <w:r w:rsidR="001A103B">
        <w:t xml:space="preserve"> of </w:t>
      </w:r>
      <w:r w:rsidR="008D156E">
        <w:t xml:space="preserve">departing load </w:t>
      </w:r>
      <w:r w:rsidR="007B3266">
        <w:t>f</w:t>
      </w:r>
      <w:r w:rsidR="00E03541">
        <w:t xml:space="preserve">or revisiting this determination, none of the comments suggested a specific trigger level. </w:t>
      </w:r>
      <w:r w:rsidR="005C1FDB">
        <w:t xml:space="preserve"> </w:t>
      </w:r>
      <w:r w:rsidR="00E03541">
        <w:t>Because these programs remain in their infancy</w:t>
      </w:r>
      <w:r w:rsidR="001B3DD5">
        <w:t xml:space="preserve"> and</w:t>
      </w:r>
      <w:r w:rsidR="00E03541">
        <w:t xml:space="preserve"> no specific triggers were recommended, we make no changes to </w:t>
      </w:r>
      <w:r w:rsidR="001A103B">
        <w:t>our determination in D.15-01-051.</w:t>
      </w:r>
    </w:p>
    <w:p w:rsidR="006D0DA8" w:rsidRDefault="00383659" w:rsidP="006D0DA8">
      <w:pPr>
        <w:pStyle w:val="Heading2"/>
      </w:pPr>
      <w:bookmarkStart w:id="17" w:name="_Toc448133304"/>
      <w:r>
        <w:t xml:space="preserve">Estimating Bill Credits and Charges Over </w:t>
      </w:r>
      <w:r w:rsidR="000E3A1C">
        <w:br/>
      </w:r>
      <w:r>
        <w:t xml:space="preserve">20 Years Consistent with </w:t>
      </w:r>
      <w:r w:rsidR="001473D8">
        <w:t>SB</w:t>
      </w:r>
      <w:r>
        <w:t xml:space="preserve"> 793</w:t>
      </w:r>
      <w:r>
        <w:rPr>
          <w:rStyle w:val="FootnoteReference"/>
        </w:rPr>
        <w:footnoteReference w:id="37"/>
      </w:r>
      <w:bookmarkEnd w:id="17"/>
    </w:p>
    <w:p w:rsidR="00A73C14" w:rsidRDefault="00A73C14" w:rsidP="00114B71">
      <w:pPr>
        <w:pStyle w:val="standard"/>
      </w:pPr>
      <w:r>
        <w:t xml:space="preserve">Because we direct PG&amp;E, SCE, and SDG&amp;E to allow customers to enroll </w:t>
      </w:r>
      <w:r w:rsidR="00677CF6">
        <w:t>i</w:t>
      </w:r>
      <w:r>
        <w:t xml:space="preserve">n the </w:t>
      </w:r>
      <w:r w:rsidR="00677CF6">
        <w:t>GTSR</w:t>
      </w:r>
      <w:r>
        <w:t xml:space="preserve"> programs for up to 20 years, we must adopt a framework for providing potential subscribers with a forecast of bill credits and charges</w:t>
      </w:r>
      <w:r w:rsidR="00C85FB3">
        <w:t xml:space="preserve"> available </w:t>
      </w:r>
      <w:r w:rsidR="002C2355">
        <w:t>under</w:t>
      </w:r>
      <w:r w:rsidR="00C85FB3">
        <w:t xml:space="preserve"> the GTSR program</w:t>
      </w:r>
      <w:r>
        <w:t xml:space="preserve">. </w:t>
      </w:r>
      <w:r w:rsidR="000E3A1C">
        <w:t xml:space="preserve"> </w:t>
      </w:r>
      <w:r>
        <w:t xml:space="preserve">Parties generally agree that estimating these credits and </w:t>
      </w:r>
      <w:r w:rsidR="001473D8">
        <w:t>charges for 20 years (or even 5 </w:t>
      </w:r>
      <w:r>
        <w:t xml:space="preserve">to 10 years) is challenging and unlikely to be accurate. </w:t>
      </w:r>
      <w:r w:rsidR="000E3A1C">
        <w:t xml:space="preserve"> </w:t>
      </w:r>
      <w:r w:rsidR="00C85FB3">
        <w:t>In light of the inherent inaccuracy of the forecasts of these credits and charge</w:t>
      </w:r>
      <w:r w:rsidR="002C2355">
        <w:t>s</w:t>
      </w:r>
      <w:r w:rsidR="00C85FB3">
        <w:t xml:space="preserve">, we will </w:t>
      </w:r>
      <w:r>
        <w:t xml:space="preserve">adopt a starting price for each credit or charge with defined escalators. </w:t>
      </w:r>
      <w:r w:rsidR="005C1FDB">
        <w:t xml:space="preserve"> </w:t>
      </w:r>
      <w:r>
        <w:t xml:space="preserve">This approach results in a simple </w:t>
      </w:r>
      <w:r w:rsidR="00AD26F7">
        <w:t xml:space="preserve">to understand forecast, that allows customers to more effectively evaluate their options </w:t>
      </w:r>
      <w:r w:rsidR="00F14D9B">
        <w:t>over</w:t>
      </w:r>
      <w:r w:rsidR="00AD26F7">
        <w:t xml:space="preserve"> an inherently uncertain time frame.</w:t>
      </w:r>
    </w:p>
    <w:p w:rsidR="00A320AA" w:rsidRDefault="00114B71" w:rsidP="00450890">
      <w:pPr>
        <w:pStyle w:val="standard"/>
      </w:pPr>
      <w:r w:rsidRPr="00114B71">
        <w:t xml:space="preserve">Resolution E-4734 </w:t>
      </w:r>
      <w:r w:rsidR="00BF57B5">
        <w:t xml:space="preserve">requires </w:t>
      </w:r>
      <w:r w:rsidRPr="00114B71">
        <w:t xml:space="preserve">that the utilities break down individual </w:t>
      </w:r>
      <w:r w:rsidR="00A73C14">
        <w:t>bill</w:t>
      </w:r>
      <w:r w:rsidRPr="00114B71">
        <w:t xml:space="preserve"> components and </w:t>
      </w:r>
      <w:r w:rsidR="00BF57B5">
        <w:t xml:space="preserve">publish </w:t>
      </w:r>
      <w:r w:rsidR="001473D8">
        <w:t>their 10-</w:t>
      </w:r>
      <w:r w:rsidRPr="00114B71">
        <w:t>year historical trends</w:t>
      </w:r>
      <w:r w:rsidR="00AD26F7">
        <w:t xml:space="preserve"> where possible</w:t>
      </w:r>
      <w:r w:rsidR="00C85FB3">
        <w:t>.</w:t>
      </w:r>
      <w:r w:rsidR="000941A8">
        <w:t xml:space="preserve"> </w:t>
      </w:r>
      <w:r w:rsidR="005C1FDB">
        <w:t xml:space="preserve"> </w:t>
      </w:r>
      <w:r w:rsidR="000941A8">
        <w:t xml:space="preserve">The </w:t>
      </w:r>
      <w:r w:rsidR="000941A8">
        <w:lastRenderedPageBreak/>
        <w:t xml:space="preserve">utilities have implemented this requirement and trend information is now available on each of their websites. </w:t>
      </w:r>
      <w:r w:rsidR="000E3A1C">
        <w:t xml:space="preserve"> </w:t>
      </w:r>
      <w:r w:rsidR="00C85FB3">
        <w:t>A</w:t>
      </w:r>
      <w:r w:rsidR="00AD26F7">
        <w:t xml:space="preserve">s suggested by TURN, we will rely on the rolling five year average from the trend analysis to set the escalator for the </w:t>
      </w:r>
      <w:r w:rsidR="000941A8">
        <w:t>Class Average Generation rate</w:t>
      </w:r>
      <w:r w:rsidRPr="00114B71">
        <w:t>.</w:t>
      </w:r>
      <w:r w:rsidR="000941A8">
        <w:t xml:space="preserve"> </w:t>
      </w:r>
      <w:r w:rsidR="000E3A1C">
        <w:t xml:space="preserve"> </w:t>
      </w:r>
      <w:r w:rsidR="000941A8">
        <w:t xml:space="preserve">In addition, it appears that there is data available for trend purposes for the Resource Adequacy charges, Grid Management (CAISO) charges, Western Renewable Energy </w:t>
      </w:r>
      <w:r w:rsidR="002C2355">
        <w:t xml:space="preserve">Generation </w:t>
      </w:r>
      <w:r w:rsidR="000941A8">
        <w:t>Information System charg</w:t>
      </w:r>
      <w:r w:rsidR="00450890">
        <w:t>es, and the Power Charge Indifference Adjustment (PCIA).</w:t>
      </w:r>
    </w:p>
    <w:p w:rsidR="00654E06" w:rsidRPr="00275C7B" w:rsidRDefault="00450890" w:rsidP="00450890">
      <w:pPr>
        <w:pStyle w:val="standard"/>
      </w:pPr>
      <w:r>
        <w:t xml:space="preserve">In each of these cases, the utilities should utilize the 2016 price as the starting point for the 20 year forecasts and escalate based on the five year rolling average. </w:t>
      </w:r>
      <w:r w:rsidR="000E3A1C">
        <w:t xml:space="preserve"> </w:t>
      </w:r>
      <w:r w:rsidR="00654E06" w:rsidRPr="00275C7B">
        <w:t>Because the methodology for developing the escalator was not defined, we establish the definition as follows:</w:t>
      </w:r>
    </w:p>
    <w:p w:rsidR="00654E06" w:rsidRPr="001473D8" w:rsidRDefault="00654E06" w:rsidP="00654E06">
      <w:pPr>
        <w:pStyle w:val="standard"/>
        <w:ind w:firstLine="0"/>
        <w:rPr>
          <w:sz w:val="10"/>
        </w:rPr>
      </w:pPr>
    </w:p>
    <w:p w:rsidR="00654E06" w:rsidRPr="00275C7B" w:rsidRDefault="00654E06" w:rsidP="001473D8">
      <w:pPr>
        <w:pStyle w:val="standard"/>
        <w:spacing w:line="240" w:lineRule="auto"/>
        <w:ind w:firstLine="0"/>
        <w:jc w:val="center"/>
      </w:pPr>
      <w:r w:rsidRPr="00275C7B">
        <w:t xml:space="preserve">YearX Escalator = </w:t>
      </w:r>
      <w:r w:rsidRPr="00275C7B">
        <w:rPr>
          <w:u w:val="single"/>
        </w:rPr>
        <w:t xml:space="preserve"> </w:t>
      </w:r>
      <w:r w:rsidR="00042C5C" w:rsidRPr="00275C7B">
        <w:rPr>
          <w:u w:val="single"/>
        </w:rPr>
        <w:t xml:space="preserve"> </w:t>
      </w:r>
      <w:r w:rsidRPr="00275C7B">
        <w:rPr>
          <w:u w:val="single"/>
        </w:rPr>
        <w:t xml:space="preserve">   </w:t>
      </w:r>
      <w:r w:rsidR="00042C5C" w:rsidRPr="00275C7B">
        <w:rPr>
          <w:u w:val="single"/>
        </w:rPr>
        <w:t xml:space="preserve"> </w:t>
      </w:r>
      <w:r w:rsidRPr="00275C7B">
        <w:rPr>
          <w:u w:val="single"/>
        </w:rPr>
        <w:t xml:space="preserve">average YearX-4 </w:t>
      </w:r>
      <w:r w:rsidR="00042C5C" w:rsidRPr="00275C7B">
        <w:rPr>
          <w:u w:val="single"/>
        </w:rPr>
        <w:t>through</w:t>
      </w:r>
      <w:r w:rsidRPr="00275C7B">
        <w:rPr>
          <w:u w:val="single"/>
        </w:rPr>
        <w:t xml:space="preserve"> YearX   </w:t>
      </w:r>
      <w:r w:rsidR="00042C5C" w:rsidRPr="00275C7B">
        <w:rPr>
          <w:u w:val="single"/>
        </w:rPr>
        <w:t xml:space="preserve"> </w:t>
      </w:r>
      <w:r w:rsidRPr="00275C7B">
        <w:rPr>
          <w:u w:val="single"/>
        </w:rPr>
        <w:tab/>
      </w:r>
      <w:r w:rsidR="00042C5C" w:rsidRPr="00275C7B">
        <w:rPr>
          <w:u w:val="single"/>
        </w:rPr>
        <w:t xml:space="preserve">   </w:t>
      </w:r>
      <w:r w:rsidRPr="00275C7B">
        <w:t xml:space="preserve">   ^  (1/5)</w:t>
      </w:r>
    </w:p>
    <w:p w:rsidR="00654E06" w:rsidRPr="00275C7B" w:rsidRDefault="000C4A1E" w:rsidP="000E62AC">
      <w:pPr>
        <w:pStyle w:val="standard"/>
        <w:spacing w:line="240" w:lineRule="auto"/>
        <w:ind w:left="1440"/>
      </w:pPr>
      <w:r>
        <w:t xml:space="preserve">    </w:t>
      </w:r>
      <w:r w:rsidR="00677CF6">
        <w:t xml:space="preserve">            </w:t>
      </w:r>
      <w:r w:rsidR="00654E06" w:rsidRPr="00275C7B">
        <w:t xml:space="preserve">average YearX-9 </w:t>
      </w:r>
      <w:r w:rsidR="00042C5C" w:rsidRPr="00275C7B">
        <w:t xml:space="preserve">through </w:t>
      </w:r>
      <w:r w:rsidR="00654E06" w:rsidRPr="00275C7B">
        <w:t>YearX-5</w:t>
      </w:r>
    </w:p>
    <w:p w:rsidR="00654E06" w:rsidRPr="00275C7B" w:rsidRDefault="00654E06" w:rsidP="001473D8">
      <w:pPr>
        <w:pStyle w:val="standard"/>
        <w:jc w:val="center"/>
      </w:pPr>
    </w:p>
    <w:p w:rsidR="00450890" w:rsidRDefault="00E32B08" w:rsidP="00450890">
      <w:pPr>
        <w:pStyle w:val="standard"/>
      </w:pPr>
      <w:r w:rsidRPr="00275C7B">
        <w:t>For Resource Adequacy charges, Grid Management (CAISO) charges, and Western Renewable Energy Generation Information System charges this is fairly straightforward</w:t>
      </w:r>
      <w:r w:rsidR="00042C5C" w:rsidRPr="00275C7B">
        <w:t xml:space="preserve"> because there is one rate adopted each year</w:t>
      </w:r>
      <w:r w:rsidRPr="00275C7B">
        <w:t xml:space="preserve">. </w:t>
      </w:r>
      <w:r w:rsidR="000E3A1C">
        <w:t xml:space="preserve"> </w:t>
      </w:r>
      <w:r w:rsidRPr="00275C7B">
        <w:t xml:space="preserve">Because the PCIA has different pricing based on when a customer </w:t>
      </w:r>
      <w:r w:rsidR="00042C5C" w:rsidRPr="00275C7B">
        <w:t>leaves</w:t>
      </w:r>
      <w:r w:rsidRPr="00275C7B">
        <w:t xml:space="preserve"> the system (referred to as a “vintage”)</w:t>
      </w:r>
      <w:r w:rsidR="00042C5C" w:rsidRPr="00275C7B">
        <w:t xml:space="preserve"> and is differentiated by customer class</w:t>
      </w:r>
      <w:r w:rsidRPr="00275C7B">
        <w:t xml:space="preserve">, the forecasting for the PCIA requires further explanation. </w:t>
      </w:r>
      <w:r w:rsidR="000E3A1C">
        <w:t xml:space="preserve"> </w:t>
      </w:r>
      <w:r w:rsidRPr="00275C7B">
        <w:t xml:space="preserve">For the PCIA, the adopted </w:t>
      </w:r>
      <w:r w:rsidR="007B746D" w:rsidRPr="00275C7B">
        <w:t>vintage rate</w:t>
      </w:r>
      <w:r w:rsidR="00042C5C" w:rsidRPr="00275C7B">
        <w:t xml:space="preserve"> by class</w:t>
      </w:r>
      <w:r w:rsidR="007B746D" w:rsidRPr="00275C7B">
        <w:t xml:space="preserve"> for the year of the forecast should be used as the starting point, for example, the </w:t>
      </w:r>
      <w:r w:rsidRPr="00275C7B">
        <w:t xml:space="preserve">rate for “PCIA Vintage 2016” </w:t>
      </w:r>
      <w:r w:rsidR="007B746D" w:rsidRPr="00275C7B">
        <w:t>would be the starting point for</w:t>
      </w:r>
      <w:r w:rsidRPr="00275C7B">
        <w:t xml:space="preserve"> the 2016 forecast. </w:t>
      </w:r>
      <w:r w:rsidR="000E3A1C">
        <w:t xml:space="preserve"> </w:t>
      </w:r>
      <w:r w:rsidR="007B746D" w:rsidRPr="00275C7B">
        <w:t xml:space="preserve">To calculate </w:t>
      </w:r>
      <w:r w:rsidR="00042C5C" w:rsidRPr="00275C7B">
        <w:t xml:space="preserve">the </w:t>
      </w:r>
      <w:r w:rsidR="007B746D" w:rsidRPr="00275C7B">
        <w:t xml:space="preserve">five year average to develop a </w:t>
      </w:r>
      <w:r w:rsidR="002D1052" w:rsidRPr="00275C7B">
        <w:t xml:space="preserve">PCIA </w:t>
      </w:r>
      <w:r w:rsidR="007B746D" w:rsidRPr="00275C7B">
        <w:t>price forecast escalator, the utility should use the</w:t>
      </w:r>
      <w:r w:rsidR="002D1052" w:rsidRPr="00275C7B">
        <w:t xml:space="preserve"> sales weighted average of all customer class rates from the</w:t>
      </w:r>
      <w:r w:rsidR="00042C5C" w:rsidRPr="00275C7B">
        <w:t xml:space="preserve"> first year </w:t>
      </w:r>
      <w:r w:rsidR="002D1052" w:rsidRPr="00275C7B">
        <w:t>of</w:t>
      </w:r>
      <w:r w:rsidR="00042C5C" w:rsidRPr="00275C7B">
        <w:t xml:space="preserve"> the applicable years </w:t>
      </w:r>
      <w:r w:rsidR="007B122F">
        <w:t>v</w:t>
      </w:r>
      <w:r w:rsidR="00042C5C" w:rsidRPr="00275C7B">
        <w:t>intage</w:t>
      </w:r>
      <w:r w:rsidR="007B746D" w:rsidRPr="00275C7B">
        <w:t>, for example,</w:t>
      </w:r>
      <w:r w:rsidR="00450890" w:rsidRPr="00275C7B">
        <w:t xml:space="preserve"> </w:t>
      </w:r>
      <w:r w:rsidR="00A01A07">
        <w:t xml:space="preserve">to calculate the numerator </w:t>
      </w:r>
      <w:r w:rsidR="00450890" w:rsidRPr="00275C7B">
        <w:lastRenderedPageBreak/>
        <w:t xml:space="preserve">for 2016, the </w:t>
      </w:r>
      <w:r w:rsidR="002D1052" w:rsidRPr="00275C7B">
        <w:t xml:space="preserve">first year rates from </w:t>
      </w:r>
      <w:r w:rsidR="007B746D" w:rsidRPr="00275C7B">
        <w:t xml:space="preserve">PCIA </w:t>
      </w:r>
      <w:r w:rsidR="007B122F">
        <w:t>v</w:t>
      </w:r>
      <w:r w:rsidR="007B746D" w:rsidRPr="00275C7B">
        <w:t xml:space="preserve">intage </w:t>
      </w:r>
      <w:r w:rsidR="00450890" w:rsidRPr="00275C7B">
        <w:t>2012</w:t>
      </w:r>
      <w:r w:rsidR="002D1052" w:rsidRPr="00275C7B">
        <w:t>, 2013, 2014, 2015, and 2016</w:t>
      </w:r>
      <w:r w:rsidR="00450890" w:rsidRPr="00275C7B">
        <w:t xml:space="preserve"> </w:t>
      </w:r>
      <w:r w:rsidR="007B746D" w:rsidRPr="00275C7B">
        <w:t xml:space="preserve">would be used </w:t>
      </w:r>
      <w:r w:rsidR="002D1052" w:rsidRPr="00275C7B">
        <w:t>for</w:t>
      </w:r>
      <w:r w:rsidR="00042C5C" w:rsidRPr="00275C7B">
        <w:t xml:space="preserve"> the </w:t>
      </w:r>
      <w:r w:rsidR="00450890" w:rsidRPr="00275C7B">
        <w:t>escalator</w:t>
      </w:r>
      <w:r w:rsidR="002D1052" w:rsidRPr="00275C7B">
        <w:t xml:space="preserve"> formula</w:t>
      </w:r>
      <w:r w:rsidR="00450890" w:rsidRPr="00275C7B">
        <w:t>.</w:t>
      </w:r>
      <w:r w:rsidR="00AB4038" w:rsidRPr="00275C7B">
        <w:rPr>
          <w:rStyle w:val="FootnoteReference"/>
        </w:rPr>
        <w:footnoteReference w:id="38"/>
      </w:r>
    </w:p>
    <w:p w:rsidR="0039640F" w:rsidRDefault="001416B2" w:rsidP="00114B71">
      <w:pPr>
        <w:pStyle w:val="standard"/>
        <w:rPr>
          <w:lang w:eastAsia="ja-JP"/>
        </w:rPr>
      </w:pPr>
      <w:r>
        <w:t xml:space="preserve">The </w:t>
      </w:r>
      <w:r w:rsidR="00E32F72" w:rsidRPr="00E32F72">
        <w:t xml:space="preserve">Renewable Energy Value </w:t>
      </w:r>
      <w:r w:rsidR="00E32F72">
        <w:t>A</w:t>
      </w:r>
      <w:r w:rsidR="00A320AA">
        <w:t>djustment</w:t>
      </w:r>
      <w:r w:rsidR="00684CA0">
        <w:rPr>
          <w:rFonts w:hint="eastAsia"/>
          <w:lang w:eastAsia="ja-JP"/>
        </w:rPr>
        <w:t>,</w:t>
      </w:r>
      <w:r w:rsidR="00E32F72">
        <w:rPr>
          <w:rStyle w:val="FootnoteReference"/>
        </w:rPr>
        <w:footnoteReference w:id="39"/>
      </w:r>
      <w:r w:rsidR="00A320AA">
        <w:t xml:space="preserve"> Renewable Integration </w:t>
      </w:r>
      <w:r w:rsidR="00825306">
        <w:t>Charge,</w:t>
      </w:r>
      <w:r w:rsidR="00684CA0">
        <w:rPr>
          <w:rFonts w:hint="eastAsia"/>
          <w:lang w:eastAsia="ja-JP"/>
        </w:rPr>
        <w:t xml:space="preserve"> </w:t>
      </w:r>
      <w:r w:rsidR="00A320AA">
        <w:t>Program Administration and Marketing</w:t>
      </w:r>
      <w:r w:rsidR="00825306">
        <w:t>,</w:t>
      </w:r>
      <w:r w:rsidR="00A320AA">
        <w:t xml:space="preserve"> and </w:t>
      </w:r>
      <w:r w:rsidR="00E50907">
        <w:rPr>
          <w:rFonts w:hint="eastAsia"/>
          <w:lang w:eastAsia="ja-JP"/>
        </w:rPr>
        <w:t xml:space="preserve">Renewable </w:t>
      </w:r>
      <w:r w:rsidR="00E50907">
        <w:rPr>
          <w:lang w:eastAsia="ja-JP"/>
        </w:rPr>
        <w:t>P</w:t>
      </w:r>
      <w:r w:rsidR="00684CA0">
        <w:rPr>
          <w:rFonts w:hint="eastAsia"/>
          <w:lang w:eastAsia="ja-JP"/>
        </w:rPr>
        <w:t>ower Rate</w:t>
      </w:r>
      <w:r w:rsidR="00684CA0">
        <w:rPr>
          <w:rStyle w:val="FootnoteReference"/>
          <w:lang w:eastAsia="ja-JP"/>
        </w:rPr>
        <w:footnoteReference w:id="40"/>
      </w:r>
      <w:r w:rsidR="00684CA0">
        <w:rPr>
          <w:rFonts w:hint="eastAsia"/>
          <w:lang w:eastAsia="ja-JP"/>
        </w:rPr>
        <w:t xml:space="preserve"> </w:t>
      </w:r>
      <w:r w:rsidR="00A320AA">
        <w:t>(Green Tariff only)</w:t>
      </w:r>
      <w:r w:rsidR="00825306" w:rsidRPr="00825306">
        <w:t xml:space="preserve"> do not have five years of data available</w:t>
      </w:r>
      <w:r w:rsidR="00A320AA">
        <w:t xml:space="preserve">. </w:t>
      </w:r>
      <w:r w:rsidR="000E3A1C">
        <w:t xml:space="preserve"> </w:t>
      </w:r>
      <w:r w:rsidR="00A320AA">
        <w:t xml:space="preserve">The utilities should apply the </w:t>
      </w:r>
      <w:r w:rsidR="00633908" w:rsidRPr="00633908">
        <w:t xml:space="preserve">average of the prior year’s third quarter </w:t>
      </w:r>
      <w:r w:rsidR="00A320AA">
        <w:t>Consumer Price Index</w:t>
      </w:r>
      <w:r w:rsidR="00633908" w:rsidRPr="00633908">
        <w:t xml:space="preserve"> for Urban Wage Earners and Clerical Workers (CPI-W)</w:t>
      </w:r>
      <w:r w:rsidR="00A320AA">
        <w:t xml:space="preserve"> as an escalator to all but the </w:t>
      </w:r>
      <w:r w:rsidR="00684CA0">
        <w:rPr>
          <w:rFonts w:hint="eastAsia"/>
          <w:lang w:eastAsia="ja-JP"/>
        </w:rPr>
        <w:t>Renewable Power Rate.</w:t>
      </w:r>
    </w:p>
    <w:p w:rsidR="00684CA0" w:rsidRDefault="00684CA0" w:rsidP="00114B71">
      <w:pPr>
        <w:pStyle w:val="standard"/>
        <w:rPr>
          <w:lang w:eastAsia="ja-JP"/>
        </w:rPr>
      </w:pPr>
      <w:r>
        <w:rPr>
          <w:rFonts w:hint="eastAsia"/>
          <w:lang w:eastAsia="ja-JP"/>
        </w:rPr>
        <w:t>There</w:t>
      </w:r>
      <w:r w:rsidR="007B122F">
        <w:t xml:space="preserve"> is not a historical </w:t>
      </w:r>
      <w:r>
        <w:rPr>
          <w:rFonts w:hint="eastAsia"/>
          <w:lang w:eastAsia="ja-JP"/>
        </w:rPr>
        <w:t xml:space="preserve">Renewable Power Rate, and there is a downward trend in solar prices.  </w:t>
      </w:r>
      <w:r>
        <w:rPr>
          <w:lang w:eastAsia="ja-JP"/>
        </w:rPr>
        <w:t>I</w:t>
      </w:r>
      <w:r>
        <w:rPr>
          <w:rFonts w:hint="eastAsia"/>
          <w:lang w:eastAsia="ja-JP"/>
        </w:rPr>
        <w:t>n addition, the standard terms of a Renewable Auction Mechanism contract do not contain an escalator for generation pricing.  Therefore, we adopt a zero escalator for the Renewable Power Rate 20 year forecast.</w:t>
      </w:r>
    </w:p>
    <w:p w:rsidR="00114B71" w:rsidRDefault="001416B2" w:rsidP="00114B71">
      <w:pPr>
        <w:pStyle w:val="standard"/>
      </w:pPr>
      <w:r>
        <w:t xml:space="preserve">Because the </w:t>
      </w:r>
      <w:r w:rsidR="006C49DC">
        <w:t>GTSR</w:t>
      </w:r>
      <w:r>
        <w:t xml:space="preserve"> is scheduled to sunset </w:t>
      </w:r>
      <w:r w:rsidR="006C49DC">
        <w:t xml:space="preserve">December 31, </w:t>
      </w:r>
      <w:r>
        <w:t xml:space="preserve">2018, the utilities </w:t>
      </w:r>
      <w:r w:rsidR="007F6F3D" w:rsidRPr="002C2355">
        <w:t>are only required to update the forecast charges and credits once per year.</w:t>
      </w:r>
      <w:r w:rsidR="005C1FDB">
        <w:t xml:space="preserve"> </w:t>
      </w:r>
      <w:r w:rsidR="007F6F3D" w:rsidRPr="002C2355">
        <w:t xml:space="preserve"> The annual updates should reflect any changes to the values of the credits that have </w:t>
      </w:r>
      <w:r w:rsidR="007F6F3D" w:rsidRPr="002C2355">
        <w:lastRenderedPageBreak/>
        <w:t>occurred during the previous year.</w:t>
      </w:r>
      <w:r w:rsidR="007F6F3D">
        <w:rPr>
          <w:rStyle w:val="FootnoteReference"/>
        </w:rPr>
        <w:footnoteReference w:id="41"/>
      </w:r>
      <w:r w:rsidR="007F6F3D">
        <w:t xml:space="preserve"> </w:t>
      </w:r>
      <w:r w:rsidR="000E3A1C">
        <w:t xml:space="preserve"> </w:t>
      </w:r>
      <w:r w:rsidR="00C4349D">
        <w:t>The forecasts should be filed via Tier 1 Advice Letter, and upon approval by the Commission should be published online and incorporated into the utilities’ educational materials.</w:t>
      </w:r>
      <w:r w:rsidR="005C1FDB">
        <w:t xml:space="preserve"> </w:t>
      </w:r>
      <w:r w:rsidR="00C4349D">
        <w:t xml:space="preserve"> </w:t>
      </w:r>
      <w:r w:rsidR="006C49DC">
        <w:t>F</w:t>
      </w:r>
      <w:r>
        <w:t>or 2016</w:t>
      </w:r>
      <w:r w:rsidR="006C49DC">
        <w:t>, the forecast should be</w:t>
      </w:r>
      <w:r w:rsidR="00C4349D">
        <w:t xml:space="preserve"> published</w:t>
      </w:r>
      <w:r w:rsidR="006C49DC">
        <w:t xml:space="preserve"> within 60 days of the date of this </w:t>
      </w:r>
      <w:r w:rsidR="00740B4B">
        <w:t>Decision</w:t>
      </w:r>
      <w:r w:rsidR="006C49DC">
        <w:t xml:space="preserve">. </w:t>
      </w:r>
      <w:r w:rsidR="000E3A1C">
        <w:t xml:space="preserve"> </w:t>
      </w:r>
      <w:r w:rsidR="00C4349D">
        <w:t>The</w:t>
      </w:r>
      <w:r>
        <w:t xml:space="preserve"> 2017 and 2018</w:t>
      </w:r>
      <w:r w:rsidR="006C49DC">
        <w:t xml:space="preserve"> forecasts should be published no later than February</w:t>
      </w:r>
      <w:r>
        <w:t>.</w:t>
      </w:r>
    </w:p>
    <w:p w:rsidR="002C60C6" w:rsidRDefault="002C60C6" w:rsidP="002C60C6">
      <w:pPr>
        <w:pStyle w:val="standard"/>
      </w:pPr>
      <w:r>
        <w:t>Nothing in the legislative history of SB 793 appears to require a specific format for presentation of future estimates of bill charges or credits.</w:t>
      </w:r>
      <w:r>
        <w:rPr>
          <w:rStyle w:val="FootnoteReference"/>
        </w:rPr>
        <w:footnoteReference w:id="42"/>
      </w:r>
      <w:r>
        <w:t xml:space="preserve"> </w:t>
      </w:r>
      <w:r w:rsidR="000E3A1C">
        <w:t xml:space="preserve"> </w:t>
      </w:r>
      <w:r>
        <w:t xml:space="preserve">Parties generally support web-based presentation of </w:t>
      </w:r>
      <w:r w:rsidR="007A0965">
        <w:t xml:space="preserve">forecasted </w:t>
      </w:r>
      <w:r>
        <w:t>charges and credits forecast either from each utility’s main GTSR page or linking to a separate site from that main page.</w:t>
      </w:r>
      <w:r w:rsidR="005C1FDB">
        <w:t xml:space="preserve"> </w:t>
      </w:r>
      <w:r>
        <w:t xml:space="preserve"> All parties support the concept that forecasts and </w:t>
      </w:r>
      <w:r w:rsidR="007A0965">
        <w:t xml:space="preserve">explanatory </w:t>
      </w:r>
      <w:r>
        <w:t xml:space="preserve">language be easy to understand and make clear that the estimates are non-binding. </w:t>
      </w:r>
      <w:r w:rsidR="000E3A1C">
        <w:t xml:space="preserve"> </w:t>
      </w:r>
      <w:r>
        <w:t xml:space="preserve">SEIA suggests that utilities report prior year actual bill prices as compared to their forecasts as a reality check. </w:t>
      </w:r>
    </w:p>
    <w:p w:rsidR="002C60C6" w:rsidRDefault="002C60C6" w:rsidP="002C60C6">
      <w:pPr>
        <w:pStyle w:val="standard"/>
      </w:pPr>
      <w:r>
        <w:t xml:space="preserve">We agree that a link </w:t>
      </w:r>
      <w:r w:rsidRPr="00610277">
        <w:t xml:space="preserve">from </w:t>
      </w:r>
      <w:r>
        <w:t xml:space="preserve">the </w:t>
      </w:r>
      <w:r w:rsidRPr="00610277">
        <w:t xml:space="preserve">main GTSR </w:t>
      </w:r>
      <w:r>
        <w:t>web</w:t>
      </w:r>
      <w:r w:rsidRPr="00610277">
        <w:t xml:space="preserve">site to a separate webpage that has rate forecasts with proper citations </w:t>
      </w:r>
      <w:r>
        <w:t>emphasizes</w:t>
      </w:r>
      <w:r w:rsidRPr="00610277">
        <w:t xml:space="preserve"> that they are non-binding estimates</w:t>
      </w:r>
      <w:r>
        <w:t xml:space="preserve"> and may be simpler in light of the amount of information that needs to be conveyed</w:t>
      </w:r>
      <w:r w:rsidRPr="00610277">
        <w:t xml:space="preserve">. </w:t>
      </w:r>
      <w:r w:rsidR="005C1FDB">
        <w:t xml:space="preserve"> </w:t>
      </w:r>
      <w:r>
        <w:t xml:space="preserve">The webpage </w:t>
      </w:r>
      <w:r w:rsidR="0039640F">
        <w:t xml:space="preserve">must </w:t>
      </w:r>
      <w:r>
        <w:t>be clear about the non-binding nature of the forecasts and</w:t>
      </w:r>
      <w:r w:rsidRPr="00114B71">
        <w:t xml:space="preserve"> </w:t>
      </w:r>
      <w:r>
        <w:t xml:space="preserve">private agreements with an Enhanced Community Renewables provider may not ultimately be cheaper than utility service. </w:t>
      </w:r>
      <w:r w:rsidR="005C1FDB">
        <w:t xml:space="preserve"> </w:t>
      </w:r>
      <w:r>
        <w:t xml:space="preserve">We direct the utilities to convene an informational session to demonstrate their websites to interested parties within 45 days of the date of this </w:t>
      </w:r>
      <w:r w:rsidR="00740B4B">
        <w:t>Decision</w:t>
      </w:r>
      <w:r>
        <w:t>.</w:t>
      </w:r>
    </w:p>
    <w:p w:rsidR="00785045" w:rsidRDefault="00785045" w:rsidP="001D67DC">
      <w:pPr>
        <w:pStyle w:val="Heading2"/>
      </w:pPr>
      <w:bookmarkStart w:id="18" w:name="_Toc448133305"/>
      <w:r>
        <w:lastRenderedPageBreak/>
        <w:t>Miscellaneous Items</w:t>
      </w:r>
      <w:bookmarkEnd w:id="18"/>
    </w:p>
    <w:p w:rsidR="001D67DC" w:rsidRDefault="001D67DC" w:rsidP="00785045">
      <w:pPr>
        <w:pStyle w:val="Heading3"/>
      </w:pPr>
      <w:bookmarkStart w:id="19" w:name="_Toc448133306"/>
      <w:r>
        <w:t>Implementation of CalEnviroScreen</w:t>
      </w:r>
      <w:bookmarkEnd w:id="19"/>
    </w:p>
    <w:p w:rsidR="001D67DC" w:rsidRDefault="001D67DC" w:rsidP="001D67DC">
      <w:pPr>
        <w:pStyle w:val="standard"/>
      </w:pPr>
      <w:r>
        <w:t>D.15-01-051 deferred the determination of the appropriate way to apply the CalEnviroScreen tool when identifying areas eligible for projects under the Environmental Justice reservation specified in SB 43 to Phase IV.</w:t>
      </w:r>
      <w:r w:rsidR="0078677D">
        <w:rPr>
          <w:rStyle w:val="FootnoteReference"/>
        </w:rPr>
        <w:footnoteReference w:id="43"/>
      </w:r>
      <w:r>
        <w:t xml:space="preserve"> </w:t>
      </w:r>
      <w:r w:rsidR="009A6466">
        <w:t xml:space="preserve"> </w:t>
      </w:r>
      <w:r>
        <w:t xml:space="preserve">At the Prehearing Conference, the parties </w:t>
      </w:r>
      <w:r w:rsidR="0039640F">
        <w:t xml:space="preserve">stated </w:t>
      </w:r>
      <w:r>
        <w:t xml:space="preserve">that this issue could be resolved quickly </w:t>
      </w:r>
      <w:r w:rsidR="00C4349D">
        <w:t>in</w:t>
      </w:r>
      <w:r>
        <w:t xml:space="preserve"> a workshop process by a working group of interested parties, followed by a joint filing. </w:t>
      </w:r>
      <w:r w:rsidR="005C1FDB">
        <w:t xml:space="preserve"> </w:t>
      </w:r>
      <w:r>
        <w:t>A working group was formed in April 2015 and included participation from 1) California Env</w:t>
      </w:r>
      <w:r w:rsidR="009E104E">
        <w:t>ironmental Justice Alliance, 2) </w:t>
      </w:r>
      <w:r>
        <w:t>Clean Coalition, 3) Greenlining Institute, 4) Sustainable Economies Law Center, and 5) the three IOUs.</w:t>
      </w:r>
      <w:r w:rsidR="005C1FDB">
        <w:t xml:space="preserve"> </w:t>
      </w:r>
      <w:r>
        <w:t xml:space="preserve"> </w:t>
      </w:r>
      <w:r w:rsidR="00C4349D">
        <w:t>W</w:t>
      </w:r>
      <w:r>
        <w:t>orking group conference calls were held on May 1, May 18, and May 28</w:t>
      </w:r>
      <w:r w:rsidR="003D3FD5">
        <w:t>, 2015</w:t>
      </w:r>
      <w:r>
        <w:t xml:space="preserve">, culminating in </w:t>
      </w:r>
      <w:r w:rsidR="003D3FD5">
        <w:t>a</w:t>
      </w:r>
      <w:r>
        <w:t xml:space="preserve"> June 1, 2015 workshop at the Commission. </w:t>
      </w:r>
      <w:r w:rsidR="005C1FDB">
        <w:t xml:space="preserve"> </w:t>
      </w:r>
      <w:r>
        <w:t>The recommendation of the worki</w:t>
      </w:r>
      <w:r w:rsidR="005C1FDB">
        <w:t xml:space="preserve">ng group is described in a </w:t>
      </w:r>
      <w:r w:rsidR="005C1FDB" w:rsidRPr="005C1FDB">
        <w:t>June</w:t>
      </w:r>
      <w:r w:rsidR="005C1FDB">
        <w:t> </w:t>
      </w:r>
      <w:r w:rsidRPr="005C1FDB">
        <w:t>15</w:t>
      </w:r>
      <w:r>
        <w:t>, 2015 Joint Statement.</w:t>
      </w:r>
    </w:p>
    <w:p w:rsidR="001D67DC" w:rsidRDefault="001D67DC" w:rsidP="001D67DC">
      <w:pPr>
        <w:pStyle w:val="standard"/>
      </w:pPr>
      <w:r>
        <w:t xml:space="preserve">The CalEnviroScreen tool identifies and ranks disadvantaged California communities that are disproportionately burdened by, and sensitive to, multiple sources of pollution. </w:t>
      </w:r>
      <w:r w:rsidR="005C1FDB">
        <w:t xml:space="preserve"> </w:t>
      </w:r>
      <w:r>
        <w:t>The working group parties a</w:t>
      </w:r>
      <w:r w:rsidR="005C1FDB">
        <w:t>gree that, consistent with D.15</w:t>
      </w:r>
      <w:r w:rsidR="005C1FDB">
        <w:noBreakHyphen/>
      </w:r>
      <w:r>
        <w:t>01-051, the IOUs should use the current version of CalEnviroScreen</w:t>
      </w:r>
      <w:r w:rsidR="00C4349D">
        <w:rPr>
          <w:rStyle w:val="FootnoteReference"/>
        </w:rPr>
        <w:footnoteReference w:id="44"/>
      </w:r>
      <w:r>
        <w:t xml:space="preserve"> to select eligible census tracts for </w:t>
      </w:r>
      <w:r w:rsidR="00E11386">
        <w:t>Environmental Justice</w:t>
      </w:r>
      <w:r>
        <w:t xml:space="preserve"> reservations for the solicitation at issue. </w:t>
      </w:r>
      <w:r w:rsidR="005C1FDB">
        <w:t xml:space="preserve"> </w:t>
      </w:r>
      <w:r>
        <w:t xml:space="preserve">The working group recommends that once </w:t>
      </w:r>
      <w:r w:rsidR="00E11386">
        <w:t>Environmental Justice</w:t>
      </w:r>
      <w:r>
        <w:t xml:space="preserve"> reservation eligible census tracts are </w:t>
      </w:r>
      <w:r w:rsidR="0039640F">
        <w:t xml:space="preserve">established </w:t>
      </w:r>
      <w:r>
        <w:t xml:space="preserve">for a given solicitation, they should not change even if there are subsequent changes to the </w:t>
      </w:r>
      <w:r>
        <w:lastRenderedPageBreak/>
        <w:t xml:space="preserve">CalEnviroScreen tool or other </w:t>
      </w:r>
      <w:r w:rsidR="00E11386">
        <w:t>Environmental Justice</w:t>
      </w:r>
      <w:r>
        <w:t xml:space="preserve"> criteria before the solicitation is concluded. </w:t>
      </w:r>
    </w:p>
    <w:p w:rsidR="00D96176" w:rsidRPr="006D0DA8" w:rsidRDefault="001D67DC" w:rsidP="001D67DC">
      <w:pPr>
        <w:pStyle w:val="standard"/>
      </w:pPr>
      <w:r>
        <w:t>Because utilities will be making procurement decisions and entering into agreements with counterparties based upon the approved rules at the outset of every solicitation, we agree that it is important that the rules not change midstream.</w:t>
      </w:r>
      <w:r w:rsidR="009A6466">
        <w:t xml:space="preserve"> </w:t>
      </w:r>
      <w:r>
        <w:t xml:space="preserve"> Should a project be deemed to count towards the </w:t>
      </w:r>
      <w:r w:rsidR="00E11386">
        <w:t>Environmental Justice</w:t>
      </w:r>
      <w:r>
        <w:t xml:space="preserve"> reservation of the GTSR Program based upon the approved rules at the time of the solicitation, that project should continue to be considered as such, even if the </w:t>
      </w:r>
      <w:r w:rsidR="00C4349D">
        <w:t xml:space="preserve">CalEnviroScreen </w:t>
      </w:r>
      <w:r>
        <w:t xml:space="preserve">tool is amended, or other changes occur in regards to the definition of Environmental Justice under the GTSR </w:t>
      </w:r>
      <w:r w:rsidR="00CC1BA9">
        <w:t>p</w:t>
      </w:r>
      <w:r>
        <w:t>rogram.</w:t>
      </w:r>
      <w:r w:rsidR="005C1FDB">
        <w:t xml:space="preserve"> </w:t>
      </w:r>
      <w:r>
        <w:t xml:space="preserve"> Future solicitations will use the then-current version of C</w:t>
      </w:r>
      <w:r w:rsidR="00FB5655">
        <w:t>alEnviroScreen</w:t>
      </w:r>
      <w:r>
        <w:t>.</w:t>
      </w:r>
    </w:p>
    <w:p w:rsidR="006D0DA8" w:rsidRDefault="00D13B59" w:rsidP="009E104E">
      <w:pPr>
        <w:pStyle w:val="Heading3"/>
        <w:ind w:right="1440"/>
      </w:pPr>
      <w:bookmarkStart w:id="20" w:name="_Toc448133307"/>
      <w:r>
        <w:t xml:space="preserve">Calculating </w:t>
      </w:r>
      <w:r w:rsidR="007A0965">
        <w:t xml:space="preserve">the </w:t>
      </w:r>
      <w:r>
        <w:t>Greenhouse Gas Emission Rate for Retail Electricity Projects</w:t>
      </w:r>
      <w:r w:rsidR="00CD046B">
        <w:rPr>
          <w:rStyle w:val="FootnoteReference"/>
        </w:rPr>
        <w:footnoteReference w:id="45"/>
      </w:r>
      <w:bookmarkEnd w:id="20"/>
      <w:r w:rsidR="0078677D">
        <w:t xml:space="preserve"> </w:t>
      </w:r>
    </w:p>
    <w:p w:rsidR="00740B4B" w:rsidRDefault="00BE3C9F" w:rsidP="00BE3C9F">
      <w:pPr>
        <w:pStyle w:val="standard"/>
      </w:pPr>
      <w:r>
        <w:t>Section 2833(</w:t>
      </w:r>
      <w:r w:rsidR="002B4F37">
        <w:t>w</w:t>
      </w:r>
      <w:r>
        <w:t>)</w:t>
      </w:r>
      <w:r w:rsidR="007D32FE">
        <w:t xml:space="preserve"> requires</w:t>
      </w:r>
      <w:r>
        <w:t xml:space="preserve"> </w:t>
      </w:r>
      <w:r w:rsidR="007D32FE">
        <w:t>a</w:t>
      </w:r>
      <w:r>
        <w:t xml:space="preserve"> participating utility </w:t>
      </w:r>
      <w:r w:rsidR="007D32FE">
        <w:t>to</w:t>
      </w:r>
      <w:r w:rsidR="00740B4B">
        <w:t>:</w:t>
      </w:r>
      <w:r>
        <w:t xml:space="preserve"> </w:t>
      </w:r>
    </w:p>
    <w:p w:rsidR="00123546" w:rsidRDefault="00BE3C9F" w:rsidP="007654FF">
      <w:pPr>
        <w:pStyle w:val="NoSpacing"/>
        <w:ind w:left="720"/>
      </w:pPr>
      <w:r>
        <w:t xml:space="preserve">provide a municipality with aggregated consumption data for participating customers within the municipality’s jurisdiction to allow for reporting on progress toward climate action goals by the municipality. </w:t>
      </w:r>
      <w:r w:rsidR="005C1FDB">
        <w:t xml:space="preserve"> </w:t>
      </w:r>
      <w:r>
        <w:t>A participating utility shall also publicly disclose, on a geographic basis, consumption data and reductions in emissions of greenhouse gases achieved by participating customers in the utility’s green tariff shared renewables program, on an aggregated basis consistent with privacy protections as specified in Chapter 5 (commencing</w:t>
      </w:r>
      <w:r w:rsidR="009E104E">
        <w:t xml:space="preserve"> with Section 8380) of Division </w:t>
      </w:r>
      <w:r>
        <w:t>4.1.</w:t>
      </w:r>
      <w:r w:rsidR="00CD046B">
        <w:t xml:space="preserve"> </w:t>
      </w:r>
      <w:r w:rsidR="009A6466">
        <w:t xml:space="preserve"> </w:t>
      </w:r>
    </w:p>
    <w:p w:rsidR="00BE3C9F" w:rsidRDefault="007D32FE" w:rsidP="00BE3C9F">
      <w:pPr>
        <w:pStyle w:val="standard"/>
      </w:pPr>
      <w:r>
        <w:t>In order f</w:t>
      </w:r>
      <w:r w:rsidRPr="007D32FE">
        <w:t xml:space="preserve">or a </w:t>
      </w:r>
      <w:r>
        <w:t>utility</w:t>
      </w:r>
      <w:r w:rsidRPr="007D32FE">
        <w:t xml:space="preserve"> to </w:t>
      </w:r>
      <w:r>
        <w:t>calculate and disclose</w:t>
      </w:r>
      <w:r w:rsidRPr="007D32FE">
        <w:t xml:space="preserve"> </w:t>
      </w:r>
      <w:r>
        <w:t xml:space="preserve">how </w:t>
      </w:r>
      <w:r w:rsidRPr="007D32FE">
        <w:t>GTSR participant</w:t>
      </w:r>
      <w:r>
        <w:t xml:space="preserve"> </w:t>
      </w:r>
      <w:r w:rsidRPr="007D32FE">
        <w:t>consumption</w:t>
      </w:r>
      <w:r>
        <w:t xml:space="preserve"> has resulted in </w:t>
      </w:r>
      <w:r w:rsidRPr="007D32FE">
        <w:t xml:space="preserve">reductions in </w:t>
      </w:r>
      <w:r w:rsidR="00DA6DAB">
        <w:t>greenhouse gas</w:t>
      </w:r>
      <w:r w:rsidRPr="007D32FE">
        <w:t xml:space="preserve"> emissions, </w:t>
      </w:r>
      <w:r w:rsidR="00D9173A">
        <w:t xml:space="preserve">we must specify the </w:t>
      </w:r>
      <w:r w:rsidRPr="007D32FE">
        <w:t>a</w:t>
      </w:r>
      <w:r w:rsidR="00D9173A">
        <w:t>ppropriate</w:t>
      </w:r>
      <w:r w:rsidRPr="007D32FE">
        <w:t xml:space="preserve"> </w:t>
      </w:r>
      <w:r w:rsidR="00DA6DAB">
        <w:t>greenhouse gas</w:t>
      </w:r>
      <w:r w:rsidRPr="007D32FE">
        <w:t xml:space="preserve"> emissions rate </w:t>
      </w:r>
      <w:r w:rsidR="007D2AEA">
        <w:t>to use as the baseline for purposes of calculating the reduction</w:t>
      </w:r>
      <w:r w:rsidR="00F25702">
        <w:t xml:space="preserve"> and we must decide whether an Enhanced </w:t>
      </w:r>
      <w:r w:rsidR="00F25702">
        <w:lastRenderedPageBreak/>
        <w:t>Community Renewable project (or the utility’s Green Tariff</w:t>
      </w:r>
      <w:r w:rsidR="00624F37">
        <w:t xml:space="preserve"> program</w:t>
      </w:r>
      <w:r w:rsidR="00F25702">
        <w:t>) can market its greenhouse gas emissions rate to potential subscribers</w:t>
      </w:r>
      <w:r w:rsidRPr="007D32FE">
        <w:t>.</w:t>
      </w:r>
      <w:r w:rsidR="007D2AEA">
        <w:t xml:space="preserve"> </w:t>
      </w:r>
    </w:p>
    <w:p w:rsidR="002B4F37" w:rsidRDefault="006A5554" w:rsidP="006A5554">
      <w:pPr>
        <w:pStyle w:val="standard"/>
      </w:pPr>
      <w:r w:rsidRPr="006A5554">
        <w:t>In the Self-Generation Incentive Program, the Commission adopted a methodology, applicable in all Commission-jurisdictional electric utilities</w:t>
      </w:r>
      <w:r w:rsidRPr="006A5554">
        <w:rPr>
          <w:rFonts w:hint="eastAsia"/>
        </w:rPr>
        <w:t>’</w:t>
      </w:r>
      <w:r w:rsidRPr="006A5554">
        <w:t xml:space="preserve"> service territories, to estimate the emissions associated with electricity purchased from the grid so that the Commission could estimate the emission</w:t>
      </w:r>
      <w:r>
        <w:t>s</w:t>
      </w:r>
      <w:r w:rsidRPr="006A5554">
        <w:t xml:space="preserve"> avoided when customers self-generate electricity or otherwise avoid purchasing bundled electricity from the electric utilities.  This methodology was most recently revised in D.15-11-027, and i</w:t>
      </w:r>
      <w:r>
        <w:t>s</w:t>
      </w:r>
      <w:r w:rsidRPr="006A5554">
        <w:t xml:space="preserve"> based on the Commission</w:t>
      </w:r>
      <w:r w:rsidR="00123546">
        <w:t>’s</w:t>
      </w:r>
      <w:r w:rsidRPr="006A5554">
        <w:t xml:space="preserve"> assessment that </w:t>
      </w:r>
      <w:r w:rsidR="002B4F37">
        <w:t>long-term reductions in purchases of grid-delivered electricity will avoid</w:t>
      </w:r>
      <w:r w:rsidRPr="006A5554">
        <w:t xml:space="preserve"> emissions </w:t>
      </w:r>
      <w:r w:rsidR="002B4F37">
        <w:t>from existing</w:t>
      </w:r>
      <w:r w:rsidRPr="006A5554">
        <w:t xml:space="preserve"> marginal generating units</w:t>
      </w:r>
      <w:r w:rsidR="002B4F37">
        <w:t xml:space="preserve"> and the need for future capacity additions</w:t>
      </w:r>
      <w:r w:rsidRPr="006A5554">
        <w:t xml:space="preserve">, </w:t>
      </w:r>
      <w:r w:rsidR="002B4F37">
        <w:t>including</w:t>
      </w:r>
      <w:r w:rsidRPr="006A5554">
        <w:t xml:space="preserve"> renewable energy</w:t>
      </w:r>
      <w:r w:rsidR="002B4F37">
        <w:t xml:space="preserve"> capacity procured to comply with the</w:t>
      </w:r>
      <w:r w:rsidRPr="006A5554">
        <w:t xml:space="preserve"> Renewables Portfolio Standard</w:t>
      </w:r>
      <w:r w:rsidR="007A0965">
        <w:t>. The resulting marginal emission rate was adjusted by</w:t>
      </w:r>
      <w:r w:rsidRPr="006A5554">
        <w:t xml:space="preserve"> a line loss factor to account for energy lost in transmission and distribution.  Although the Commission defined this methodology to establish </w:t>
      </w:r>
      <w:r w:rsidR="007A0965" w:rsidRPr="006A5554">
        <w:t>S</w:t>
      </w:r>
      <w:r w:rsidR="007A0965">
        <w:t>elf-</w:t>
      </w:r>
      <w:r w:rsidRPr="006A5554">
        <w:t>G</w:t>
      </w:r>
      <w:r>
        <w:t xml:space="preserve">eneration </w:t>
      </w:r>
      <w:r w:rsidRPr="006A5554">
        <w:t>I</w:t>
      </w:r>
      <w:r>
        <w:t xml:space="preserve">ncentive </w:t>
      </w:r>
      <w:r w:rsidRPr="006A5554">
        <w:t>P</w:t>
      </w:r>
      <w:r>
        <w:t>rogram</w:t>
      </w:r>
      <w:r w:rsidRPr="006A5554">
        <w:t xml:space="preserve"> eligibility rules intended to ensure that project</w:t>
      </w:r>
      <w:r w:rsidR="007A0965">
        <w:t>s</w:t>
      </w:r>
      <w:r w:rsidRPr="006A5554">
        <w:t xml:space="preserve"> are net-emissions reducing, it is reasonable to apply this same methodology </w:t>
      </w:r>
      <w:r w:rsidR="002B4F37">
        <w:t>with one</w:t>
      </w:r>
      <w:r w:rsidRPr="006A5554">
        <w:t xml:space="preserve"> modification when estimating the </w:t>
      </w:r>
      <w:r>
        <w:t>greenhouse gas</w:t>
      </w:r>
      <w:r w:rsidRPr="006A5554">
        <w:t xml:space="preserve"> emission</w:t>
      </w:r>
      <w:r w:rsidR="007A0965">
        <w:t>s</w:t>
      </w:r>
      <w:r w:rsidRPr="006A5554">
        <w:t xml:space="preserve"> avoided by GSTR participants.</w:t>
      </w:r>
      <w:r w:rsidR="00F25702" w:rsidRPr="00F25702">
        <w:t xml:space="preserve"> </w:t>
      </w:r>
      <w:r w:rsidR="005C1FDB">
        <w:t xml:space="preserve"> </w:t>
      </w:r>
      <w:r w:rsidR="002B4F37">
        <w:t>Because the renewable energy used by GTSR participants is not generated on-site, it does not avoid line losses as Self-Generation Incentive Program projects do.  When estimating greenhouse gases avoided by GTSR purchases, the utilities should remove the line loss factor from the calculation.</w:t>
      </w:r>
    </w:p>
    <w:p w:rsidR="00D54639" w:rsidRDefault="002B4F37" w:rsidP="00C9512E">
      <w:pPr>
        <w:pStyle w:val="standard"/>
      </w:pPr>
      <w:r>
        <w:t>T</w:t>
      </w:r>
      <w:r w:rsidR="00F25702">
        <w:t xml:space="preserve">here is currently no statewide methodology to calculate </w:t>
      </w:r>
      <w:r w:rsidR="006715AE">
        <w:t xml:space="preserve">a </w:t>
      </w:r>
      <w:r w:rsidR="00C9512E">
        <w:t xml:space="preserve">greenhouse gas </w:t>
      </w:r>
      <w:r w:rsidR="00F25702">
        <w:t>emissions rate associated with</w:t>
      </w:r>
      <w:r w:rsidR="006715AE">
        <w:t xml:space="preserve"> </w:t>
      </w:r>
      <w:r>
        <w:t>the</w:t>
      </w:r>
      <w:r w:rsidR="006715AE">
        <w:t xml:space="preserve"> generation resources included in a load-serving entity’s retail product</w:t>
      </w:r>
      <w:r w:rsidR="004E1EF6">
        <w:t>s,</w:t>
      </w:r>
      <w:r w:rsidR="006715AE">
        <w:t xml:space="preserve"> like Enhanced Community Renewables o</w:t>
      </w:r>
      <w:r w:rsidR="004E1EF6">
        <w:t>r</w:t>
      </w:r>
      <w:r w:rsidR="006715AE">
        <w:t xml:space="preserve"> the Green Tariff.</w:t>
      </w:r>
      <w:r w:rsidR="009A6466">
        <w:t xml:space="preserve">  </w:t>
      </w:r>
      <w:r w:rsidR="00D54639" w:rsidRPr="00D54639">
        <w:t>Under current statute</w:t>
      </w:r>
      <w:r w:rsidR="00123546">
        <w:t>,</w:t>
      </w:r>
      <w:r w:rsidR="00D54639" w:rsidRPr="00D54639">
        <w:t xml:space="preserve"> all retail electricity providers are currently </w:t>
      </w:r>
      <w:r w:rsidR="00D54639" w:rsidRPr="00D54639">
        <w:lastRenderedPageBreak/>
        <w:t>required to disclose the electricity sources for each of their retail offerings to the California Energ</w:t>
      </w:r>
      <w:r w:rsidR="00D54639">
        <w:t>y Commission (CEC)</w:t>
      </w:r>
      <w:r w:rsidR="00D54639" w:rsidRPr="00D54639">
        <w:t>, which is responsible for establishing guidelines for the format of this disclosure.</w:t>
      </w:r>
      <w:r w:rsidR="00B46082">
        <w:rPr>
          <w:rStyle w:val="FootnoteReference"/>
        </w:rPr>
        <w:footnoteReference w:id="46"/>
      </w:r>
      <w:r w:rsidR="009A6466">
        <w:t xml:space="preserve">  </w:t>
      </w:r>
      <w:r w:rsidR="00D54639" w:rsidRPr="00D54639">
        <w:t>At present, the CEC</w:t>
      </w:r>
      <w:r w:rsidR="00123546">
        <w:t>’</w:t>
      </w:r>
      <w:r w:rsidR="00D54639" w:rsidRPr="00D54639">
        <w:t xml:space="preserve">s Power Source Disclosure requirements do not include an assessment of the greenhouse gas emission intensity of these retail offerings.  However, if the statute is revised to require all retail suppliers to report greenhouse emissions as part of the Power Source Disclosure requirement, or if the Commission and the CEC define consistent methods to report the emissions associated with all retail electricity products, </w:t>
      </w:r>
      <w:r w:rsidR="00B46082" w:rsidRPr="00B46082">
        <w:t xml:space="preserve">it would </w:t>
      </w:r>
      <w:r>
        <w:t xml:space="preserve">be </w:t>
      </w:r>
      <w:r w:rsidR="00B46082" w:rsidRPr="00B46082">
        <w:t>preferable for the Commission to rely on a consistent statewide method, as this would minimize duplicative reporting requirements and ensure consistency among all retail electricity providers.</w:t>
      </w:r>
    </w:p>
    <w:p w:rsidR="003B72E6" w:rsidRDefault="00C9512E" w:rsidP="00C9512E">
      <w:pPr>
        <w:pStyle w:val="standard"/>
      </w:pPr>
      <w:r>
        <w:t xml:space="preserve">Until such time as a statewide methodology is adopted for </w:t>
      </w:r>
      <w:r w:rsidR="004E1EF6">
        <w:t>calculating</w:t>
      </w:r>
      <w:r>
        <w:t xml:space="preserve"> greenhouse gas emissions</w:t>
      </w:r>
      <w:r w:rsidR="004E1EF6">
        <w:t xml:space="preserve"> associated with retail product</w:t>
      </w:r>
      <w:r w:rsidR="007A0965">
        <w:t>s</w:t>
      </w:r>
      <w:r>
        <w:t xml:space="preserve">, the GTSR program may not be marketed to potential subscribers </w:t>
      </w:r>
      <w:r w:rsidR="00144E70">
        <w:t xml:space="preserve">by making specific claims about portfolio </w:t>
      </w:r>
      <w:r w:rsidR="00DF5DA2">
        <w:t>greenhouse gas</w:t>
      </w:r>
      <w:r w:rsidR="00144E70">
        <w:t xml:space="preserve"> emissions for specific products</w:t>
      </w:r>
      <w:r w:rsidR="00DF5DA2">
        <w:t>, consistent with the direction provided in a March 17, 2015 letter by Executive Director Sullivan to Marin Clean Energy</w:t>
      </w:r>
      <w:r w:rsidR="000F26E5">
        <w:t xml:space="preserve"> (MCE)</w:t>
      </w:r>
      <w:r w:rsidR="00DF5DA2">
        <w:t>, Sonoma Clean Power, and PG&amp;E</w:t>
      </w:r>
      <w:r w:rsidR="00144E70">
        <w:t>.</w:t>
      </w:r>
      <w:r w:rsidR="00DF5DA2">
        <w:t xml:space="preserve"> </w:t>
      </w:r>
      <w:r w:rsidR="009A6466">
        <w:t xml:space="preserve"> </w:t>
      </w:r>
      <w:r w:rsidR="00DF5DA2">
        <w:t>Thus all retail suppliers (including Investor Owned Utilities, Community Choice Aggregators, Electric Service Providers, and Enhanced Community Renewables Providers) will be treated consistently.</w:t>
      </w:r>
    </w:p>
    <w:p w:rsidR="006D0DA8" w:rsidRDefault="003B38FB" w:rsidP="009E104E">
      <w:pPr>
        <w:pStyle w:val="Heading3"/>
        <w:ind w:right="1440"/>
      </w:pPr>
      <w:bookmarkStart w:id="21" w:name="_Toc448133308"/>
      <w:r>
        <w:lastRenderedPageBreak/>
        <w:t>O</w:t>
      </w:r>
      <w:r w:rsidR="006D0DA8">
        <w:t xml:space="preserve">bjective </w:t>
      </w:r>
      <w:r>
        <w:t>S</w:t>
      </w:r>
      <w:r w:rsidR="006D0DA8">
        <w:t xml:space="preserve">tandards to </w:t>
      </w:r>
      <w:r>
        <w:t>E</w:t>
      </w:r>
      <w:r w:rsidR="006D0DA8">
        <w:t xml:space="preserve">valuate and </w:t>
      </w:r>
      <w:r>
        <w:t>A</w:t>
      </w:r>
      <w:r w:rsidR="006D0DA8">
        <w:t xml:space="preserve">ccept </w:t>
      </w:r>
      <w:r>
        <w:t>S</w:t>
      </w:r>
      <w:r w:rsidR="006D0DA8">
        <w:t xml:space="preserve">ecurities </w:t>
      </w:r>
      <w:r>
        <w:t>Opinions</w:t>
      </w:r>
      <w:r w:rsidR="006D0DA8">
        <w:t xml:space="preserve"> from </w:t>
      </w:r>
      <w:r>
        <w:t>L</w:t>
      </w:r>
      <w:r w:rsidR="006D0DA8">
        <w:t xml:space="preserve">aw </w:t>
      </w:r>
      <w:r>
        <w:t>F</w:t>
      </w:r>
      <w:r w:rsidR="006D0DA8">
        <w:t xml:space="preserve">irms </w:t>
      </w:r>
      <w:r>
        <w:t>O</w:t>
      </w:r>
      <w:r w:rsidR="006D0DA8">
        <w:t>utside of the AmLaw 100</w:t>
      </w:r>
      <w:r>
        <w:rPr>
          <w:rStyle w:val="FootnoteReference"/>
        </w:rPr>
        <w:footnoteReference w:id="47"/>
      </w:r>
      <w:bookmarkEnd w:id="21"/>
      <w:r w:rsidR="0078677D">
        <w:t xml:space="preserve"> </w:t>
      </w:r>
    </w:p>
    <w:p w:rsidR="003E09EE" w:rsidRDefault="003B38FB" w:rsidP="006D0DA8">
      <w:pPr>
        <w:pStyle w:val="standard"/>
      </w:pPr>
      <w:r>
        <w:t>D.15-01-051 identified that</w:t>
      </w:r>
      <w:r w:rsidR="00FF5F46">
        <w:t xml:space="preserve"> subscriber</w:t>
      </w:r>
      <w:r>
        <w:t xml:space="preserve"> participation in </w:t>
      </w:r>
      <w:r w:rsidR="00FF5F46">
        <w:t xml:space="preserve">an </w:t>
      </w:r>
      <w:r w:rsidR="00E11386">
        <w:t>Enhanced Community Renewables</w:t>
      </w:r>
      <w:r w:rsidR="00FF5F46">
        <w:t xml:space="preserve"> contract</w:t>
      </w:r>
      <w:r>
        <w:t xml:space="preserve"> could present securities litigation risk and required </w:t>
      </w:r>
      <w:r w:rsidR="00FF5F46">
        <w:t xml:space="preserve">the </w:t>
      </w:r>
      <w:r w:rsidR="00E11386">
        <w:t>Enhanced Community Renewables</w:t>
      </w:r>
      <w:r w:rsidR="00FF5F46">
        <w:t xml:space="preserve"> developer to “include a securities opinion from an AmLaw 100 law firm stating that the arrangement complies with securities law, and that the IOU and its ratepayers are not at risk for securities claims associated with the project.”</w:t>
      </w:r>
      <w:r w:rsidR="00F0663F">
        <w:rPr>
          <w:rStyle w:val="FootnoteReference"/>
        </w:rPr>
        <w:footnoteReference w:id="48"/>
      </w:r>
      <w:r w:rsidR="00FF5F46">
        <w:t xml:space="preserve"> </w:t>
      </w:r>
      <w:r w:rsidR="009E104E">
        <w:t xml:space="preserve"> </w:t>
      </w:r>
      <w:r w:rsidR="00FF5F46">
        <w:t xml:space="preserve">In light </w:t>
      </w:r>
      <w:r w:rsidR="003E09EE">
        <w:t>of</w:t>
      </w:r>
      <w:r w:rsidR="00FF5F46">
        <w:t xml:space="preserve"> comments on the proposed decision that ultimately became D.15-01-051, the Commission</w:t>
      </w:r>
      <w:r>
        <w:t xml:space="preserve"> allowed parties to propose additional standards that can be used to evaluate and accept securities opinions from firms outside of the AmLaw 100</w:t>
      </w:r>
      <w:r w:rsidR="00291A08">
        <w:t xml:space="preserve"> in order to provide lower cost options for obtaining an opinion</w:t>
      </w:r>
      <w:r>
        <w:t>.</w:t>
      </w:r>
      <w:r w:rsidR="00FF5F46">
        <w:t xml:space="preserve"> </w:t>
      </w:r>
    </w:p>
    <w:p w:rsidR="006D0DA8" w:rsidRDefault="003E09EE" w:rsidP="006D0DA8">
      <w:pPr>
        <w:pStyle w:val="standard"/>
      </w:pPr>
      <w:r>
        <w:t>On March 22, 2016, SEIA filed a motion to adopt</w:t>
      </w:r>
      <w:r w:rsidR="001C50BA">
        <w:t xml:space="preserve"> a Safe Harbor proposal that would provide </w:t>
      </w:r>
      <w:r w:rsidR="000B0F8B">
        <w:t>two</w:t>
      </w:r>
      <w:r w:rsidR="001C50BA">
        <w:t xml:space="preserve"> alternative approach</w:t>
      </w:r>
      <w:r w:rsidR="000B0F8B">
        <w:t>es</w:t>
      </w:r>
      <w:r w:rsidR="001C50BA">
        <w:t xml:space="preserve"> to obtaining a securities opinion</w:t>
      </w:r>
      <w:r w:rsidR="000B0F8B">
        <w:t xml:space="preserve"> from a firm other than an AmLaw 100 firm</w:t>
      </w:r>
      <w:r w:rsidR="00FF5F46">
        <w:t>.</w:t>
      </w:r>
      <w:r w:rsidR="00291A08">
        <w:t xml:space="preserve"> </w:t>
      </w:r>
      <w:r w:rsidR="009A6466">
        <w:t xml:space="preserve"> </w:t>
      </w:r>
      <w:r w:rsidR="00291A08">
        <w:t xml:space="preserve">Comments on the proposal were filed on March 28, 2016 by </w:t>
      </w:r>
      <w:r w:rsidR="009E104E">
        <w:t xml:space="preserve">SELC </w:t>
      </w:r>
      <w:r w:rsidR="005D5600">
        <w:t>and jointly by PG&amp;E, SCE, and SDG&amp;E</w:t>
      </w:r>
      <w:r w:rsidR="00291A08">
        <w:t xml:space="preserve">. </w:t>
      </w:r>
      <w:r w:rsidR="005C1FDB">
        <w:t xml:space="preserve"> </w:t>
      </w:r>
      <w:r w:rsidR="005D5600">
        <w:t>The joint utility comments identify a number of points in the SEIA proposal that require additional detail to ensure that ratepayers are protected from securities risk</w:t>
      </w:r>
      <w:r w:rsidR="004C1733">
        <w:t xml:space="preserve"> and a fundamentally different view of what a safe harbor provision is designed to accomplish</w:t>
      </w:r>
      <w:r w:rsidR="005D5600">
        <w:t xml:space="preserve">. </w:t>
      </w:r>
      <w:r w:rsidR="005C1FDB">
        <w:t xml:space="preserve"> </w:t>
      </w:r>
      <w:r w:rsidR="009E104E">
        <w:t xml:space="preserve">SELC </w:t>
      </w:r>
      <w:r w:rsidR="005D5600">
        <w:t xml:space="preserve">recommends that the Commission eliminate the securities opinion requirement entirely and in the alternative offers a number of alternative approaches and requests additional opportunity for the parties to comment. </w:t>
      </w:r>
    </w:p>
    <w:p w:rsidR="00123546" w:rsidRDefault="005D5600" w:rsidP="006D0DA8">
      <w:pPr>
        <w:pStyle w:val="standard"/>
      </w:pPr>
      <w:r>
        <w:lastRenderedPageBreak/>
        <w:t xml:space="preserve">Because the proposal from SEIA came so late in this proceeding and there is no </w:t>
      </w:r>
      <w:r w:rsidR="003738C3">
        <w:t>agreement among</w:t>
      </w:r>
      <w:r>
        <w:t xml:space="preserve"> the parties, we do not adopt changes to the AmLaw</w:t>
      </w:r>
      <w:r w:rsidR="009E104E">
        <w:t> </w:t>
      </w:r>
      <w:r>
        <w:t>100 requirement at this time.</w:t>
      </w:r>
      <w:r w:rsidR="00123546">
        <w:t xml:space="preserve"> The motion is denied without prejudice.</w:t>
      </w:r>
      <w:r>
        <w:t xml:space="preserve"> </w:t>
      </w:r>
      <w:r w:rsidR="00F51936">
        <w:t xml:space="preserve"> </w:t>
      </w:r>
    </w:p>
    <w:p w:rsidR="005D5600" w:rsidRDefault="005D5600" w:rsidP="006D0DA8">
      <w:pPr>
        <w:pStyle w:val="standard"/>
      </w:pPr>
      <w:r>
        <w:t>We would welcome a full</w:t>
      </w:r>
      <w:r w:rsidR="004C1733">
        <w:t>y</w:t>
      </w:r>
      <w:r>
        <w:t xml:space="preserve"> fleshed out propos</w:t>
      </w:r>
      <w:r w:rsidR="00F51936">
        <w:t>al to modify this element of D.</w:t>
      </w:r>
      <w:r>
        <w:t>15-01-051 if the parties are able to reach agreement on a proposal to limit customer and ratepayer risk and simultaneously reduce cost to developers.</w:t>
      </w:r>
      <w:r w:rsidR="005F0323">
        <w:t xml:space="preserve"> To this end, we direct Energy Division and Legal Division to host a workshop within two months of the effective date of this </w:t>
      </w:r>
      <w:r w:rsidR="00123546">
        <w:t>D</w:t>
      </w:r>
      <w:r w:rsidR="005F0323">
        <w:t>ecision to provide a facilitated forum for the parties to discuss and develop a petition to modify D.15-01-051.</w:t>
      </w:r>
    </w:p>
    <w:p w:rsidR="0025162A" w:rsidRDefault="0025162A" w:rsidP="0025162A">
      <w:pPr>
        <w:pStyle w:val="Heading1"/>
        <w:keepLines/>
        <w:widowControl w:val="0"/>
        <w:ind w:right="2160"/>
      </w:pPr>
      <w:bookmarkStart w:id="22" w:name="_Toc407702131"/>
      <w:bookmarkStart w:id="23" w:name="_Toc448133309"/>
      <w:r>
        <w:t>Safety Considerations</w:t>
      </w:r>
      <w:bookmarkEnd w:id="22"/>
      <w:r w:rsidR="00507AA5">
        <w:rPr>
          <w:rStyle w:val="FootnoteReference"/>
        </w:rPr>
        <w:footnoteReference w:id="49"/>
      </w:r>
      <w:bookmarkEnd w:id="23"/>
    </w:p>
    <w:p w:rsidR="0025162A" w:rsidRDefault="00A7150E" w:rsidP="0025162A">
      <w:pPr>
        <w:pStyle w:val="standard"/>
      </w:pPr>
      <w:r>
        <w:t>The Scoping Ruling specifically requested parties to identify</w:t>
      </w:r>
      <w:r w:rsidR="00507AA5">
        <w:t xml:space="preserve"> safety</w:t>
      </w:r>
      <w:r>
        <w:t xml:space="preserve"> issues raised by Track A and B issues. </w:t>
      </w:r>
      <w:r w:rsidR="005C1FDB">
        <w:t xml:space="preserve"> </w:t>
      </w:r>
      <w:r>
        <w:t xml:space="preserve">No parties identified issues. </w:t>
      </w:r>
      <w:r w:rsidR="00F51936">
        <w:t xml:space="preserve"> </w:t>
      </w:r>
      <w:r>
        <w:t>Because the primary outcome of this decision is to expand the use of</w:t>
      </w:r>
      <w:r w:rsidR="004B51AB">
        <w:t xml:space="preserve"> the</w:t>
      </w:r>
      <w:r>
        <w:t xml:space="preserve"> </w:t>
      </w:r>
      <w:r w:rsidR="00DE4479">
        <w:t>Renewable Auction Mechanism</w:t>
      </w:r>
      <w:r>
        <w:t xml:space="preserve"> to procure </w:t>
      </w:r>
      <w:r w:rsidR="00E11386">
        <w:t>Enhanced Community Renewables</w:t>
      </w:r>
      <w:r>
        <w:t xml:space="preserve"> projects, the standard contract terms and conditions offered under the </w:t>
      </w:r>
      <w:r w:rsidR="00DE4479">
        <w:t>Renewable Auction Mechanism</w:t>
      </w:r>
      <w:r>
        <w:t xml:space="preserve"> address how renewable generation providers must safely connect to the utility system. </w:t>
      </w:r>
      <w:r w:rsidR="0025162A" w:rsidRPr="00E95255">
        <w:t xml:space="preserve"> </w:t>
      </w:r>
      <w:r w:rsidR="00DE4479">
        <w:t>Renewable Auction Mechanism</w:t>
      </w:r>
      <w:r w:rsidR="008634AB" w:rsidRPr="008634AB">
        <w:t xml:space="preserve"> contracts contain Commission approved safety provisions, which require, among other things, the seller to operate the generating facility in accordance with Prudent Electrical Practices, as defined in the contracts, and all applicable requirements of law, including those related to planning, construction, ownership, and/or operation of the projects.  These provisions specifically require that all sellers take a list of reasonable steps to ensure that the generation facility is operated, maintained, and </w:t>
      </w:r>
      <w:r w:rsidR="008634AB" w:rsidRPr="008634AB">
        <w:lastRenderedPageBreak/>
        <w:t>decommissioned in a safe manner.</w:t>
      </w:r>
      <w:r w:rsidR="008634AB">
        <w:t xml:space="preserve"> </w:t>
      </w:r>
      <w:r w:rsidR="005C1FDB">
        <w:t xml:space="preserve"> </w:t>
      </w:r>
      <w:r>
        <w:t xml:space="preserve">Because </w:t>
      </w:r>
      <w:r w:rsidR="00E11386">
        <w:t>Enhanced Community Renewables</w:t>
      </w:r>
      <w:r>
        <w:t xml:space="preserve"> projects will be treated consistently with other renewable generation providers, there are no unique safety issues to address.</w:t>
      </w:r>
    </w:p>
    <w:p w:rsidR="003A4BA6" w:rsidRDefault="00D51A02">
      <w:pPr>
        <w:pStyle w:val="Heading1"/>
      </w:pPr>
      <w:bookmarkStart w:id="24" w:name="_Toc448133310"/>
      <w:r>
        <w:t>Outstanding Procedural Matters</w:t>
      </w:r>
      <w:bookmarkEnd w:id="24"/>
      <w:r>
        <w:t xml:space="preserve"> </w:t>
      </w:r>
    </w:p>
    <w:p w:rsidR="007B449A" w:rsidRDefault="00EF5D42" w:rsidP="003A4BA6">
      <w:pPr>
        <w:pStyle w:val="standard"/>
      </w:pPr>
      <w:r>
        <w:t>On January 4, 2016</w:t>
      </w:r>
      <w:r w:rsidR="00F51936">
        <w:t>,</w:t>
      </w:r>
      <w:r>
        <w:t xml:space="preserve"> the </w:t>
      </w:r>
      <w:r w:rsidR="009628DE">
        <w:t>California Housing Partnership Corporation</w:t>
      </w:r>
      <w:r>
        <w:t xml:space="preserve"> filed a motion for party status in this proceeding. </w:t>
      </w:r>
      <w:r w:rsidR="005C1FDB">
        <w:t xml:space="preserve"> </w:t>
      </w:r>
      <w:r>
        <w:t xml:space="preserve">Because the time period for comments on all issues within the scope </w:t>
      </w:r>
      <w:r w:rsidR="009628DE">
        <w:t>has</w:t>
      </w:r>
      <w:r>
        <w:t xml:space="preserve"> already </w:t>
      </w:r>
      <w:r w:rsidR="009628DE">
        <w:t>passed</w:t>
      </w:r>
      <w:r>
        <w:t xml:space="preserve"> (Track A Comments were filed August 7, 2015, Track A Replies were filed August 28, 2015, Track B Comments were filed November 9, 2015, Track B Replies were filed December 9, 2015, Comments in response to the October 26, 2015 Ruling were filed November 20, 2015, and </w:t>
      </w:r>
      <w:r w:rsidR="009628DE">
        <w:t>Replies in response to the October 26, 2015 Ruling were filed December 11, 2015), we deny the motion as moot.</w:t>
      </w:r>
      <w:r>
        <w:t xml:space="preserve"> </w:t>
      </w:r>
    </w:p>
    <w:p w:rsidR="003A4BA6" w:rsidRPr="003A4BA6" w:rsidRDefault="003A4BA6" w:rsidP="003A4BA6">
      <w:pPr>
        <w:pStyle w:val="standard"/>
      </w:pPr>
      <w:r>
        <w:t xml:space="preserve">The Commission affirms all rulings made by the </w:t>
      </w:r>
      <w:r w:rsidR="009E04AE">
        <w:t xml:space="preserve">Assigned Commissioner and Assigned Administrative Law Judge. </w:t>
      </w:r>
      <w:r w:rsidR="005C1FDB">
        <w:t xml:space="preserve"> </w:t>
      </w:r>
      <w:r w:rsidR="009E04AE">
        <w:t>All motions not previously ruled on are denied as moot.</w:t>
      </w:r>
    </w:p>
    <w:p w:rsidR="00B30FF9" w:rsidRDefault="00B30FF9">
      <w:pPr>
        <w:pStyle w:val="Heading1"/>
      </w:pPr>
      <w:bookmarkStart w:id="25" w:name="_Toc448133311"/>
      <w:r>
        <w:t>Categorization and Need for Hearing</w:t>
      </w:r>
      <w:bookmarkEnd w:id="25"/>
    </w:p>
    <w:p w:rsidR="00DD0460" w:rsidRDefault="00F6447E" w:rsidP="00F6447E">
      <w:pPr>
        <w:pStyle w:val="standard"/>
      </w:pPr>
      <w:r w:rsidRPr="00A555F4">
        <w:t xml:space="preserve">In </w:t>
      </w:r>
      <w:r w:rsidR="007A0965" w:rsidRPr="00A555F4">
        <w:t>the Assigned Commissi</w:t>
      </w:r>
      <w:r w:rsidR="00A555F4">
        <w:t>o</w:t>
      </w:r>
      <w:r w:rsidR="007A0965" w:rsidRPr="00A555F4">
        <w:t>ner and Administrative Law Judge’s Scoping Ruling for Phase IV of Consolidated Proceeding</w:t>
      </w:r>
      <w:r w:rsidR="00275C7B" w:rsidRPr="00A555F4">
        <w:t xml:space="preserve"> dated </w:t>
      </w:r>
      <w:r w:rsidR="007A0965" w:rsidRPr="00A555F4">
        <w:t>April 1</w:t>
      </w:r>
      <w:r w:rsidR="00275C7B" w:rsidRPr="00A555F4">
        <w:t>5, 201</w:t>
      </w:r>
      <w:r w:rsidR="007A0965" w:rsidRPr="00A555F4">
        <w:t>5</w:t>
      </w:r>
      <w:r w:rsidRPr="00A555F4">
        <w:t xml:space="preserve">, the Commission </w:t>
      </w:r>
      <w:r w:rsidR="007A0965" w:rsidRPr="00A555F4">
        <w:t>affirmed that</w:t>
      </w:r>
      <w:r w:rsidR="00275C7B" w:rsidRPr="00A555F4">
        <w:t xml:space="preserve"> th</w:t>
      </w:r>
      <w:r w:rsidR="007A0965" w:rsidRPr="00A555F4">
        <w:t>e</w:t>
      </w:r>
      <w:r w:rsidR="00275C7B" w:rsidRPr="00A555F4">
        <w:t>s</w:t>
      </w:r>
      <w:r w:rsidR="007A0965" w:rsidRPr="00A555F4">
        <w:t>e</w:t>
      </w:r>
      <w:r w:rsidR="00275C7B" w:rsidRPr="00A555F4">
        <w:t xml:space="preserve"> Application</w:t>
      </w:r>
      <w:r w:rsidR="007A0965" w:rsidRPr="00A555F4">
        <w:t>s</w:t>
      </w:r>
      <w:r w:rsidR="00275C7B" w:rsidRPr="00A555F4">
        <w:t xml:space="preserve"> </w:t>
      </w:r>
      <w:r w:rsidR="007A0965" w:rsidRPr="00A555F4">
        <w:t>were</w:t>
      </w:r>
      <w:r w:rsidR="00275C7B" w:rsidRPr="00A555F4">
        <w:t xml:space="preserve"> ratesettting</w:t>
      </w:r>
      <w:r w:rsidRPr="00A555F4">
        <w:t xml:space="preserve">, and </w:t>
      </w:r>
      <w:r w:rsidR="00275C7B" w:rsidRPr="00A555F4">
        <w:t xml:space="preserve">determined that hearings </w:t>
      </w:r>
      <w:r w:rsidR="007A0965" w:rsidRPr="00A555F4">
        <w:t xml:space="preserve">may not be </w:t>
      </w:r>
      <w:r w:rsidRPr="00A555F4">
        <w:t xml:space="preserve">necessary.  </w:t>
      </w:r>
      <w:r w:rsidR="007A0965" w:rsidRPr="00A555F4">
        <w:t xml:space="preserve">No hearings were held, however because no final determination was made to change the hearing determination, the </w:t>
      </w:r>
      <w:r w:rsidR="007A0965" w:rsidRPr="006D4929">
        <w:rPr>
          <w:i/>
        </w:rPr>
        <w:t xml:space="preserve">ex parte </w:t>
      </w:r>
      <w:r w:rsidR="007A0965" w:rsidRPr="00A555F4">
        <w:t>rules as set forth in Rules 8.1, 8.2, 8.3, and 8.5 and §</w:t>
      </w:r>
      <w:r w:rsidR="007A0965" w:rsidRPr="007A0965">
        <w:t>1701.3(c)</w:t>
      </w:r>
      <w:r w:rsidR="007A0965" w:rsidRPr="00A555F4">
        <w:t xml:space="preserve"> continue to apply.</w:t>
      </w:r>
    </w:p>
    <w:p w:rsidR="00B30FF9" w:rsidRDefault="00B30FF9">
      <w:pPr>
        <w:pStyle w:val="Heading1"/>
      </w:pPr>
      <w:bookmarkStart w:id="26" w:name="_Toc448133312"/>
      <w:r>
        <w:t>Comments on Proposed Decision</w:t>
      </w:r>
      <w:bookmarkEnd w:id="26"/>
    </w:p>
    <w:p w:rsidR="00B30FF9" w:rsidRDefault="00F6447E">
      <w:pPr>
        <w:pStyle w:val="standard"/>
      </w:pPr>
      <w:r>
        <w:t>The</w:t>
      </w:r>
      <w:r w:rsidR="00275C7B">
        <w:t xml:space="preserve"> </w:t>
      </w:r>
      <w:r w:rsidR="00123546">
        <w:t xml:space="preserve">Proposed Decision </w:t>
      </w:r>
      <w:r w:rsidR="00275C7B">
        <w:t xml:space="preserve">of the </w:t>
      </w:r>
      <w:r w:rsidR="009E104E">
        <w:t>Administrative Law Judge</w:t>
      </w:r>
      <w:r>
        <w:t xml:space="preserve"> in this matter was mailed to the parties in accordance with Section 311 of the Public Utilities Code and comments were allowed under Rule 14.3 of the Commission’s Rules of </w:t>
      </w:r>
      <w:r>
        <w:lastRenderedPageBreak/>
        <w:t xml:space="preserve">Practice and Procedure.  Comments were filed on </w:t>
      </w:r>
      <w:r w:rsidR="000F26E5">
        <w:t xml:space="preserve">May 2, 2016 by PG&amp;E, SCE, SDG&amp;E, ORA, TURN, SEIA, </w:t>
      </w:r>
      <w:r w:rsidR="008368EC">
        <w:t xml:space="preserve">MCE, </w:t>
      </w:r>
      <w:r w:rsidR="000F26E5">
        <w:t>CEJA, Clean Coalition</w:t>
      </w:r>
      <w:r w:rsidR="008368EC">
        <w:t>, and</w:t>
      </w:r>
      <w:r w:rsidR="008368EC" w:rsidRPr="008368EC">
        <w:t xml:space="preserve"> </w:t>
      </w:r>
      <w:r w:rsidR="008368EC">
        <w:t>SELC</w:t>
      </w:r>
      <w:r w:rsidR="000F26E5">
        <w:t xml:space="preserve">; </w:t>
      </w:r>
      <w:r>
        <w:t xml:space="preserve">and reply comments were filed on </w:t>
      </w:r>
      <w:r w:rsidR="003D58D7">
        <w:t xml:space="preserve">May 9, 2016 </w:t>
      </w:r>
      <w:r>
        <w:t xml:space="preserve">by </w:t>
      </w:r>
      <w:r w:rsidR="00861D22">
        <w:t>PG&amp;E,</w:t>
      </w:r>
      <w:r w:rsidR="00C1795E">
        <w:t xml:space="preserve"> SCE,</w:t>
      </w:r>
      <w:r w:rsidR="00861D22">
        <w:t xml:space="preserve"> </w:t>
      </w:r>
      <w:r w:rsidR="003D58D7">
        <w:t>SDG&amp;E</w:t>
      </w:r>
      <w:r w:rsidR="00861D22">
        <w:t>,</w:t>
      </w:r>
      <w:r w:rsidR="008368EC">
        <w:t xml:space="preserve"> ORA,</w:t>
      </w:r>
      <w:r w:rsidR="00861D22">
        <w:t xml:space="preserve"> SEIA</w:t>
      </w:r>
      <w:r w:rsidR="008368EC">
        <w:t xml:space="preserve">, MCE, and  jointly by </w:t>
      </w:r>
      <w:r w:rsidR="008368EC" w:rsidRPr="008368EC">
        <w:t xml:space="preserve">CEJA, </w:t>
      </w:r>
      <w:r w:rsidR="008368EC">
        <w:t>Clean Coalition</w:t>
      </w:r>
      <w:r w:rsidR="008368EC" w:rsidRPr="008368EC">
        <w:t xml:space="preserve">, </w:t>
      </w:r>
      <w:r w:rsidR="008368EC">
        <w:t>and</w:t>
      </w:r>
      <w:r w:rsidR="008368EC" w:rsidRPr="008368EC">
        <w:t xml:space="preserve"> SELC</w:t>
      </w:r>
      <w:r w:rsidR="003D58D7">
        <w:t xml:space="preserve">. </w:t>
      </w:r>
    </w:p>
    <w:p w:rsidR="000F26E5" w:rsidRDefault="000F26E5">
      <w:pPr>
        <w:pStyle w:val="standard"/>
      </w:pPr>
      <w:r>
        <w:t xml:space="preserve">We have made small changes throughout the </w:t>
      </w:r>
      <w:r w:rsidR="00123546">
        <w:t>P</w:t>
      </w:r>
      <w:r>
        <w:t xml:space="preserve">roposed </w:t>
      </w:r>
      <w:r w:rsidR="00123546">
        <w:t>D</w:t>
      </w:r>
      <w:r>
        <w:t>ecision to clarify the requirements that are established. The most significant changes:</w:t>
      </w:r>
    </w:p>
    <w:p w:rsidR="000F26E5" w:rsidRDefault="000F26E5" w:rsidP="004F076E">
      <w:pPr>
        <w:pStyle w:val="standard"/>
        <w:numPr>
          <w:ilvl w:val="0"/>
          <w:numId w:val="30"/>
        </w:numPr>
      </w:pPr>
      <w:r>
        <w:t>Clarify that the utilities need not take all bids offered by bidders during a solicitation, but rather that the utilities may decline to award capacity after the minimum capacity offered is exceeded;</w:t>
      </w:r>
    </w:p>
    <w:p w:rsidR="00FE5122" w:rsidRDefault="00FE5122" w:rsidP="004F076E">
      <w:pPr>
        <w:pStyle w:val="standard"/>
        <w:numPr>
          <w:ilvl w:val="0"/>
          <w:numId w:val="30"/>
        </w:numPr>
      </w:pPr>
      <w:r>
        <w:t>Clarify that while we require the utilities to hold two Renewable Auction Mechanism solicitations to procure Enhanced Community Renewables and Enhanced Community Renewables- Environmental Justice projects each year, we do not require the utilities to procure Enhanced Community Renewables projects using ReMAT solicitations or hold parallel ReMAT and Renewable Auction Mechanism solicitations, but they may do so at their discretion;</w:t>
      </w:r>
    </w:p>
    <w:p w:rsidR="000F26E5" w:rsidRDefault="000F26E5" w:rsidP="004F076E">
      <w:pPr>
        <w:pStyle w:val="standard"/>
        <w:numPr>
          <w:ilvl w:val="0"/>
          <w:numId w:val="30"/>
        </w:numPr>
      </w:pPr>
      <w:r>
        <w:t>Require utilities to file Tier 2 Advice Letters to expand eligibility to sub-500 kW projects within 30 days of CAISO action to include such projects in its market;</w:t>
      </w:r>
    </w:p>
    <w:p w:rsidR="000F26E5" w:rsidRDefault="000F26E5" w:rsidP="004F076E">
      <w:pPr>
        <w:pStyle w:val="standard"/>
        <w:numPr>
          <w:ilvl w:val="0"/>
          <w:numId w:val="30"/>
        </w:numPr>
      </w:pPr>
      <w:r>
        <w:t>Require that at least 50% (by number of customers) and 1/6</w:t>
      </w:r>
      <w:r w:rsidRPr="004F076E">
        <w:rPr>
          <w:vertAlign w:val="superscript"/>
        </w:rPr>
        <w:t>th</w:t>
      </w:r>
      <w:r>
        <w:t xml:space="preserve"> (by load) of the demonstrated community interest in Enhanced Community Renewables projects come from residential customers;</w:t>
      </w:r>
      <w:r w:rsidR="004A7AFE">
        <w:t xml:space="preserve"> and</w:t>
      </w:r>
    </w:p>
    <w:p w:rsidR="000F26E5" w:rsidRDefault="004A7AFE" w:rsidP="004F076E">
      <w:pPr>
        <w:pStyle w:val="standard"/>
        <w:numPr>
          <w:ilvl w:val="0"/>
          <w:numId w:val="30"/>
        </w:numPr>
      </w:pPr>
      <w:r>
        <w:t>Eliminate the requirement for the utilities to prepare an informational video regarding the rates and forecasts.</w:t>
      </w:r>
    </w:p>
    <w:p w:rsidR="00B30FF9" w:rsidRDefault="00B30FF9">
      <w:pPr>
        <w:pStyle w:val="Heading1"/>
      </w:pPr>
      <w:bookmarkStart w:id="27" w:name="_Toc448133313"/>
      <w:r>
        <w:lastRenderedPageBreak/>
        <w:t>Assignment of Proceeding</w:t>
      </w:r>
      <w:bookmarkEnd w:id="27"/>
    </w:p>
    <w:p w:rsidR="00B30FF9" w:rsidRDefault="00F4655C">
      <w:pPr>
        <w:pStyle w:val="standard"/>
      </w:pPr>
      <w:r>
        <w:t>Michael Picker</w:t>
      </w:r>
      <w:r w:rsidR="00B30FF9">
        <w:t xml:space="preserve"> is the assigned Commissioner and </w:t>
      </w:r>
      <w:r w:rsidR="009535C0">
        <w:t>Michelle Cooke</w:t>
      </w:r>
      <w:r w:rsidR="00B30FF9">
        <w:t xml:space="preserve"> is the assigned Administrative Law Judge in this proceeding.</w:t>
      </w:r>
    </w:p>
    <w:p w:rsidR="00B30FF9" w:rsidRDefault="00B30FF9">
      <w:pPr>
        <w:pStyle w:val="dummy"/>
      </w:pPr>
      <w:bookmarkStart w:id="28" w:name="_Toc450990219"/>
      <w:bookmarkStart w:id="29" w:name="_Toc451151266"/>
      <w:bookmarkStart w:id="30" w:name="_Toc448133314"/>
      <w:r>
        <w:t>Findings of Fact</w:t>
      </w:r>
      <w:bookmarkEnd w:id="28"/>
      <w:bookmarkEnd w:id="29"/>
      <w:bookmarkEnd w:id="30"/>
    </w:p>
    <w:p w:rsidR="007B3266" w:rsidRDefault="007B3266" w:rsidP="007B3266">
      <w:pPr>
        <w:pStyle w:val="num1"/>
        <w:numPr>
          <w:ilvl w:val="0"/>
          <w:numId w:val="1"/>
        </w:numPr>
      </w:pPr>
      <w:r w:rsidRPr="007B3266">
        <w:t xml:space="preserve">PG&amp;E is the only utility to report enrollment in its Green Tariff option as of February </w:t>
      </w:r>
      <w:r w:rsidR="0008744D">
        <w:t>2</w:t>
      </w:r>
      <w:r w:rsidRPr="007B3266">
        <w:t xml:space="preserve">9, 2016.  </w:t>
      </w:r>
    </w:p>
    <w:p w:rsidR="007B3266" w:rsidRDefault="007B3266" w:rsidP="007B3266">
      <w:pPr>
        <w:pStyle w:val="num1"/>
        <w:numPr>
          <w:ilvl w:val="0"/>
          <w:numId w:val="1"/>
        </w:numPr>
      </w:pPr>
      <w:r w:rsidRPr="007B3266">
        <w:t xml:space="preserve">No </w:t>
      </w:r>
      <w:r w:rsidR="00E11386">
        <w:t>Enhanced Community Renewables</w:t>
      </w:r>
      <w:r w:rsidRPr="007B3266">
        <w:t xml:space="preserve"> projects were reported </w:t>
      </w:r>
      <w:r>
        <w:t>as of</w:t>
      </w:r>
      <w:r w:rsidRPr="007B3266">
        <w:t xml:space="preserve"> February </w:t>
      </w:r>
      <w:r w:rsidR="0008744D">
        <w:t>2</w:t>
      </w:r>
      <w:r w:rsidRPr="007B3266">
        <w:t>9, 2016.</w:t>
      </w:r>
    </w:p>
    <w:p w:rsidR="00CE2231" w:rsidRDefault="00CE2231" w:rsidP="00CE2231">
      <w:pPr>
        <w:pStyle w:val="num1"/>
        <w:numPr>
          <w:ilvl w:val="0"/>
          <w:numId w:val="1"/>
        </w:numPr>
      </w:pPr>
      <w:r w:rsidRPr="00CE2231">
        <w:t xml:space="preserve">The GTSR program is </w:t>
      </w:r>
      <w:r>
        <w:t>scheduled</w:t>
      </w:r>
      <w:r w:rsidRPr="00CE2231">
        <w:t xml:space="preserve"> to sunset on December 31, 2018.</w:t>
      </w:r>
    </w:p>
    <w:p w:rsidR="00CE2231" w:rsidRDefault="00DE4479" w:rsidP="00CE2231">
      <w:pPr>
        <w:pStyle w:val="num1"/>
        <w:numPr>
          <w:ilvl w:val="0"/>
          <w:numId w:val="1"/>
        </w:numPr>
      </w:pPr>
      <w:r>
        <w:t>Renewable Auction Mechanism</w:t>
      </w:r>
      <w:r w:rsidR="00CE2231" w:rsidRPr="00CE2231">
        <w:t xml:space="preserve"> is a CPUC-approved, tested, successful mechanism that is predictable, with no ongoing </w:t>
      </w:r>
      <w:r w:rsidR="00105925">
        <w:t xml:space="preserve">developer </w:t>
      </w:r>
      <w:r w:rsidR="00CE2231" w:rsidRPr="00CE2231">
        <w:t xml:space="preserve">obligation to participate, doesn’t require developers to maintain interconnection obligations in perpetuity, and ensures the lowest price through a competitive bidding process. </w:t>
      </w:r>
    </w:p>
    <w:p w:rsidR="00CE2231" w:rsidRDefault="00105925" w:rsidP="00CE2231">
      <w:pPr>
        <w:pStyle w:val="num1"/>
        <w:numPr>
          <w:ilvl w:val="0"/>
          <w:numId w:val="1"/>
        </w:numPr>
      </w:pPr>
      <w:r>
        <w:t xml:space="preserve">The </w:t>
      </w:r>
      <w:r w:rsidR="00DE4479">
        <w:t>Renewable Auction Mechanism</w:t>
      </w:r>
      <w:r w:rsidR="00CE2231" w:rsidRPr="00CE2231">
        <w:t xml:space="preserve"> accommodate</w:t>
      </w:r>
      <w:r w:rsidR="00A555F4">
        <w:t>s</w:t>
      </w:r>
      <w:r w:rsidR="00CE2231" w:rsidRPr="00CE2231">
        <w:t xml:space="preserve"> projects </w:t>
      </w:r>
      <w:r w:rsidR="00A555F4">
        <w:t>up to 20 MW</w:t>
      </w:r>
      <w:r w:rsidR="00CE2231" w:rsidRPr="00CE2231">
        <w:t xml:space="preserve">, whereas ReMAT is limited </w:t>
      </w:r>
      <w:r w:rsidR="003639DF">
        <w:t xml:space="preserve">projects with </w:t>
      </w:r>
      <w:r w:rsidR="00CE2231" w:rsidRPr="00CE2231">
        <w:t>a maximum</w:t>
      </w:r>
      <w:r w:rsidR="003639DF">
        <w:t xml:space="preserve"> size</w:t>
      </w:r>
      <w:r w:rsidR="009E104E">
        <w:t xml:space="preserve"> of 3 </w:t>
      </w:r>
      <w:r w:rsidR="00CE2231" w:rsidRPr="00CE2231">
        <w:t>MW.</w:t>
      </w:r>
    </w:p>
    <w:p w:rsidR="00431A0E" w:rsidRDefault="00605082" w:rsidP="00CE2231">
      <w:pPr>
        <w:pStyle w:val="num1"/>
        <w:numPr>
          <w:ilvl w:val="0"/>
          <w:numId w:val="1"/>
        </w:numPr>
      </w:pPr>
      <w:r>
        <w:t xml:space="preserve">Providing preference to </w:t>
      </w:r>
      <w:r w:rsidR="00E11386">
        <w:t>Enhanced Community Renewables</w:t>
      </w:r>
      <w:r>
        <w:t>-</w:t>
      </w:r>
      <w:r w:rsidR="00E11386">
        <w:t>Environmental Justice</w:t>
      </w:r>
      <w:r>
        <w:t xml:space="preserve"> projects in the selection process promotes local renewable development benefits flowing to disadvantaged communities. </w:t>
      </w:r>
    </w:p>
    <w:p w:rsidR="003E6CB6" w:rsidRDefault="003E6CB6" w:rsidP="00CE2231">
      <w:pPr>
        <w:pStyle w:val="num1"/>
        <w:numPr>
          <w:ilvl w:val="0"/>
          <w:numId w:val="1"/>
        </w:numPr>
      </w:pPr>
      <w:r>
        <w:t xml:space="preserve">Non-participating customers are protected from rate impacts of the GTSR program by limiting exposure to Enhanced Community Renewable project’s bid price to between </w:t>
      </w:r>
      <w:r w:rsidR="00E10DC7">
        <w:t xml:space="preserve">55 </w:t>
      </w:r>
      <w:r>
        <w:t xml:space="preserve">percent (first year) and five percent (fourth year) of a project’s capacity when minimum subscription levels are met and paying the lesser of the Enhanced Community Renewables project bid price (subject to </w:t>
      </w:r>
      <w:r w:rsidR="00A555F4">
        <w:t>a maximum bid price</w:t>
      </w:r>
      <w:r>
        <w:t>) or the hourly day-ahead DLAP + REC</w:t>
      </w:r>
      <w:r w:rsidRPr="00642391">
        <w:rPr>
          <w:rStyle w:val="FootnoteReference"/>
        </w:rPr>
        <w:t xml:space="preserve"> </w:t>
      </w:r>
      <w:r>
        <w:t xml:space="preserve">for unsubscribed energy when minimum subscription levels are not met and by establishing a maximum awarded </w:t>
      </w:r>
      <w:r w:rsidR="001A5108">
        <w:t xml:space="preserve">bid </w:t>
      </w:r>
      <w:r>
        <w:t>price.</w:t>
      </w:r>
    </w:p>
    <w:p w:rsidR="00431A0E" w:rsidRDefault="00431A0E" w:rsidP="00CE2231">
      <w:pPr>
        <w:pStyle w:val="num1"/>
        <w:numPr>
          <w:ilvl w:val="0"/>
          <w:numId w:val="1"/>
        </w:numPr>
      </w:pPr>
      <w:r>
        <w:lastRenderedPageBreak/>
        <w:t>CAISO requires a minimum load of 500 kW to receive a CAISO meter and participate in CAISO markets.</w:t>
      </w:r>
    </w:p>
    <w:p w:rsidR="00D11331" w:rsidRDefault="00D11331" w:rsidP="00D11331">
      <w:pPr>
        <w:pStyle w:val="num1"/>
        <w:numPr>
          <w:ilvl w:val="0"/>
          <w:numId w:val="1"/>
        </w:numPr>
      </w:pPr>
      <w:r w:rsidRPr="00D11331">
        <w:t xml:space="preserve">In the case of SDG&amp;E, because of limitations in </w:t>
      </w:r>
      <w:r>
        <w:t>its</w:t>
      </w:r>
      <w:r w:rsidRPr="00D11331">
        <w:t xml:space="preserve"> service territory, it is reasonable to allow </w:t>
      </w:r>
      <w:r>
        <w:t>Enhance</w:t>
      </w:r>
      <w:r w:rsidR="0008744D">
        <w:t>d</w:t>
      </w:r>
      <w:r>
        <w:t xml:space="preserve"> Community Renewables </w:t>
      </w:r>
      <w:r w:rsidRPr="00D11331">
        <w:t xml:space="preserve">projects in Imperial Valley that are eligible for </w:t>
      </w:r>
      <w:r w:rsidR="00A555F4">
        <w:t xml:space="preserve">the </w:t>
      </w:r>
      <w:r w:rsidRPr="00D11331">
        <w:t>R</w:t>
      </w:r>
      <w:r w:rsidR="00A1528C">
        <w:t xml:space="preserve">enewable </w:t>
      </w:r>
      <w:r w:rsidRPr="00D11331">
        <w:t>A</w:t>
      </w:r>
      <w:r w:rsidR="00A1528C">
        <w:t xml:space="preserve">uction </w:t>
      </w:r>
      <w:r w:rsidRPr="00D11331">
        <w:t>M</w:t>
      </w:r>
      <w:r w:rsidR="00A1528C">
        <w:t>echanism</w:t>
      </w:r>
      <w:r w:rsidRPr="00D11331">
        <w:t xml:space="preserve"> to </w:t>
      </w:r>
      <w:r>
        <w:t>count towards SDG&amp;E</w:t>
      </w:r>
      <w:r w:rsidR="003639DF">
        <w:t>’s</w:t>
      </w:r>
      <w:r w:rsidRPr="00D11331">
        <w:t xml:space="preserve"> GTSR</w:t>
      </w:r>
      <w:r>
        <w:t xml:space="preserve"> </w:t>
      </w:r>
      <w:r w:rsidR="00A555F4">
        <w:t>capacity</w:t>
      </w:r>
      <w:r w:rsidRPr="00D11331">
        <w:t xml:space="preserve">. </w:t>
      </w:r>
    </w:p>
    <w:p w:rsidR="00507AA5" w:rsidRDefault="00507AA5" w:rsidP="00D11331">
      <w:pPr>
        <w:pStyle w:val="num1"/>
        <w:numPr>
          <w:ilvl w:val="0"/>
          <w:numId w:val="1"/>
        </w:numPr>
      </w:pPr>
      <w:r>
        <w:t xml:space="preserve">It is reasonable to allow </w:t>
      </w:r>
      <w:r w:rsidR="00E11386">
        <w:t>Enhanced Community Renewables</w:t>
      </w:r>
      <w:r>
        <w:t xml:space="preserve"> customers to sign-up for contracts with their </w:t>
      </w:r>
      <w:r w:rsidR="00E11386">
        <w:t>Enhanced Community Renewables</w:t>
      </w:r>
      <w:r>
        <w:t xml:space="preserve"> providers for up to 20 years as this is a private arrangement between the subscriber and their </w:t>
      </w:r>
      <w:r w:rsidR="00E11386">
        <w:t>Enhanced Community Renewables</w:t>
      </w:r>
      <w:r>
        <w:t xml:space="preserve"> provider.</w:t>
      </w:r>
    </w:p>
    <w:p w:rsidR="00507AA5" w:rsidRDefault="00507AA5" w:rsidP="00507AA5">
      <w:pPr>
        <w:pStyle w:val="num1"/>
        <w:numPr>
          <w:ilvl w:val="0"/>
          <w:numId w:val="1"/>
        </w:numPr>
      </w:pPr>
      <w:r>
        <w:t xml:space="preserve">The proposed REC </w:t>
      </w:r>
      <w:r w:rsidRPr="00507AA5">
        <w:t>pricing approaches</w:t>
      </w:r>
      <w:r>
        <w:t xml:space="preserve"> resulted in values</w:t>
      </w:r>
      <w:r w:rsidRPr="00507AA5">
        <w:t xml:space="preserve"> rang</w:t>
      </w:r>
      <w:r>
        <w:t>ing</w:t>
      </w:r>
      <w:r w:rsidRPr="00507AA5">
        <w:t xml:space="preserve"> </w:t>
      </w:r>
      <w:r>
        <w:t xml:space="preserve">from </w:t>
      </w:r>
      <w:r w:rsidRPr="00507AA5">
        <w:t>$2.88/MWh</w:t>
      </w:r>
      <w:r>
        <w:t xml:space="preserve"> to</w:t>
      </w:r>
      <w:r w:rsidRPr="00507AA5">
        <w:t xml:space="preserve"> $16.45/MWh</w:t>
      </w:r>
      <w:r>
        <w:t xml:space="preserve"> in October 2015</w:t>
      </w:r>
      <w:r w:rsidRPr="00507AA5">
        <w:t>.</w:t>
      </w:r>
    </w:p>
    <w:p w:rsidR="00860294" w:rsidRDefault="00860294" w:rsidP="00507AA5">
      <w:pPr>
        <w:pStyle w:val="num1"/>
        <w:numPr>
          <w:ilvl w:val="0"/>
          <w:numId w:val="1"/>
        </w:numPr>
      </w:pPr>
      <w:r>
        <w:t xml:space="preserve">Parties generally agree that estimating credits and charges for 20 years is challenging and unlikely to </w:t>
      </w:r>
      <w:r w:rsidR="00B42290">
        <w:t>result in</w:t>
      </w:r>
      <w:r>
        <w:t xml:space="preserve"> accurate</w:t>
      </w:r>
      <w:r w:rsidR="00B42290">
        <w:t xml:space="preserve"> forecasts</w:t>
      </w:r>
      <w:r>
        <w:t>.</w:t>
      </w:r>
    </w:p>
    <w:p w:rsidR="00EA6C5D" w:rsidRDefault="00EA6C5D" w:rsidP="00507AA5">
      <w:pPr>
        <w:pStyle w:val="num1"/>
        <w:numPr>
          <w:ilvl w:val="0"/>
          <w:numId w:val="1"/>
        </w:numPr>
      </w:pPr>
      <w:r>
        <w:t>Ten year</w:t>
      </w:r>
      <w:r w:rsidR="00A555F4">
        <w:t>s of</w:t>
      </w:r>
      <w:r>
        <w:t xml:space="preserve"> historical data</w:t>
      </w:r>
      <w:r w:rsidR="00A555F4">
        <w:t xml:space="preserve"> are</w:t>
      </w:r>
      <w:r>
        <w:t xml:space="preserve"> available for Class Average Generation rate, Resource Adequacy charges, Grid Management (CAISO) charges, Western Renewable Energy Generation Information System charges, and the Power Charge Indifference Adjustment.</w:t>
      </w:r>
    </w:p>
    <w:p w:rsidR="00EA6C5D" w:rsidRDefault="00EA6C5D" w:rsidP="00507AA5">
      <w:pPr>
        <w:pStyle w:val="num1"/>
        <w:numPr>
          <w:ilvl w:val="0"/>
          <w:numId w:val="1"/>
        </w:numPr>
      </w:pPr>
      <w:r>
        <w:t>Ten year</w:t>
      </w:r>
      <w:r w:rsidR="00A555F4">
        <w:t>s of</w:t>
      </w:r>
      <w:r>
        <w:t xml:space="preserve"> historical data </w:t>
      </w:r>
      <w:r w:rsidR="00A555F4">
        <w:t xml:space="preserve">is not </w:t>
      </w:r>
      <w:r>
        <w:t xml:space="preserve">available for the </w:t>
      </w:r>
      <w:r w:rsidR="003C2A84">
        <w:t>Renewable Energy Value Adjustment</w:t>
      </w:r>
      <w:r>
        <w:t xml:space="preserve">, Renewable Integration </w:t>
      </w:r>
      <w:r w:rsidR="00A555F4">
        <w:t>Charge</w:t>
      </w:r>
      <w:r>
        <w:t xml:space="preserve">, Program Administration and Marketing, and </w:t>
      </w:r>
      <w:r w:rsidR="00684CA0">
        <w:t xml:space="preserve">Renewable Power Rate </w:t>
      </w:r>
      <w:r>
        <w:t>(Green Tariff only).</w:t>
      </w:r>
    </w:p>
    <w:p w:rsidR="005018D2" w:rsidRDefault="005018D2" w:rsidP="005018D2">
      <w:pPr>
        <w:pStyle w:val="num1"/>
        <w:numPr>
          <w:ilvl w:val="0"/>
          <w:numId w:val="1"/>
        </w:numPr>
      </w:pPr>
      <w:r w:rsidRPr="005018D2">
        <w:t xml:space="preserve">The CEC’s Power Source Disclosure requirements do not include an assessment of the greenhouse gas emission intensity of retail electricity provider offerings.  </w:t>
      </w:r>
    </w:p>
    <w:p w:rsidR="00507AA5" w:rsidRDefault="00DE4479" w:rsidP="005018D2">
      <w:pPr>
        <w:pStyle w:val="num1"/>
        <w:numPr>
          <w:ilvl w:val="0"/>
          <w:numId w:val="1"/>
        </w:numPr>
      </w:pPr>
      <w:r>
        <w:lastRenderedPageBreak/>
        <w:t>Renewable Auction Mechanism</w:t>
      </w:r>
      <w:r w:rsidR="00507AA5">
        <w:t xml:space="preserve"> contract provisions require that all sellers take reasonable steps to ensure that the generation facility is operated, maintained, and decommissioned in a safe manner.</w:t>
      </w:r>
    </w:p>
    <w:p w:rsidR="00B30FF9" w:rsidRDefault="00B30FF9">
      <w:pPr>
        <w:pStyle w:val="dummy"/>
      </w:pPr>
      <w:bookmarkStart w:id="31" w:name="_Toc370798914"/>
      <w:bookmarkStart w:id="32" w:name="_Toc450990220"/>
      <w:bookmarkStart w:id="33" w:name="_Toc451151267"/>
      <w:bookmarkStart w:id="34" w:name="_Toc448133315"/>
      <w:r>
        <w:t>Conclusions of Law</w:t>
      </w:r>
      <w:bookmarkEnd w:id="31"/>
      <w:bookmarkEnd w:id="32"/>
      <w:bookmarkEnd w:id="33"/>
      <w:bookmarkEnd w:id="34"/>
    </w:p>
    <w:p w:rsidR="00CE2231" w:rsidRDefault="00CE2231" w:rsidP="00D71A5C">
      <w:pPr>
        <w:pStyle w:val="num1"/>
        <w:numPr>
          <w:ilvl w:val="0"/>
          <w:numId w:val="26"/>
        </w:numPr>
      </w:pPr>
      <w:r>
        <w:t xml:space="preserve">The </w:t>
      </w:r>
      <w:r w:rsidR="00306593">
        <w:t>premise t</w:t>
      </w:r>
      <w:r>
        <w:t xml:space="preserve">hat </w:t>
      </w:r>
      <w:r w:rsidR="00E11386">
        <w:t>Enhanced Community Renewables</w:t>
      </w:r>
      <w:r>
        <w:t xml:space="preserve"> projects should not have to participate in auctions is inconsistent with §2833(c).</w:t>
      </w:r>
    </w:p>
    <w:p w:rsidR="008C3D6B" w:rsidRDefault="008C3D6B" w:rsidP="00D71A5C">
      <w:pPr>
        <w:pStyle w:val="num1"/>
        <w:numPr>
          <w:ilvl w:val="0"/>
          <w:numId w:val="26"/>
        </w:numPr>
      </w:pPr>
      <w:r>
        <w:t xml:space="preserve">The utilities should hold two </w:t>
      </w:r>
      <w:r w:rsidR="00105925">
        <w:t xml:space="preserve">Enhanced Community Renewables Renewable Auction Mechanism solicitations </w:t>
      </w:r>
      <w:r w:rsidR="00A555F4">
        <w:t xml:space="preserve">each year through </w:t>
      </w:r>
      <w:r w:rsidR="00105925">
        <w:t>2018.</w:t>
      </w:r>
    </w:p>
    <w:p w:rsidR="00BD3903" w:rsidRDefault="00BD3903" w:rsidP="00D71A5C">
      <w:pPr>
        <w:pStyle w:val="num1"/>
        <w:numPr>
          <w:ilvl w:val="0"/>
          <w:numId w:val="26"/>
        </w:numPr>
      </w:pPr>
      <w:r w:rsidRPr="00BD3903">
        <w:t xml:space="preserve">Each </w:t>
      </w:r>
      <w:r w:rsidR="0008744D">
        <w:t xml:space="preserve">of the ordered Renewable Auction Mechanism </w:t>
      </w:r>
      <w:r w:rsidRPr="00BD3903">
        <w:t>solicitation</w:t>
      </w:r>
      <w:r w:rsidR="0008744D">
        <w:t>s</w:t>
      </w:r>
      <w:r w:rsidRPr="00BD3903">
        <w:t xml:space="preserve"> should be open to </w:t>
      </w:r>
      <w:r w:rsidR="00E11386">
        <w:t>Enhanced Community Renewables</w:t>
      </w:r>
      <w:r w:rsidRPr="00BD3903">
        <w:t xml:space="preserve"> projects between 500 kW and 20 MW and </w:t>
      </w:r>
      <w:r w:rsidR="00E11386">
        <w:t>Enhanced Community Renewables</w:t>
      </w:r>
      <w:r w:rsidRPr="00BD3903">
        <w:t>-</w:t>
      </w:r>
      <w:r w:rsidR="00E11386">
        <w:t>Environmental Justice</w:t>
      </w:r>
      <w:r w:rsidRPr="00BD3903">
        <w:t xml:space="preserve"> projects </w:t>
      </w:r>
      <w:r w:rsidR="00071028" w:rsidRPr="00BD3903">
        <w:t xml:space="preserve">between 500 kW and </w:t>
      </w:r>
      <w:r w:rsidRPr="00BD3903">
        <w:t xml:space="preserve">1 MW consistent with §2833(b). </w:t>
      </w:r>
    </w:p>
    <w:p w:rsidR="00BD3903" w:rsidRDefault="00BD3903" w:rsidP="00D71A5C">
      <w:pPr>
        <w:pStyle w:val="num1"/>
        <w:numPr>
          <w:ilvl w:val="0"/>
          <w:numId w:val="26"/>
        </w:numPr>
      </w:pPr>
      <w:r w:rsidRPr="00605082">
        <w:t xml:space="preserve">The same eligibility standards that apply to resources that participate in </w:t>
      </w:r>
      <w:r w:rsidR="00DE4479">
        <w:t>Renewable Auction Mechanism</w:t>
      </w:r>
      <w:r w:rsidRPr="00605082">
        <w:t xml:space="preserve"> solicitations should apply in the </w:t>
      </w:r>
      <w:r w:rsidR="00E11386">
        <w:t>Enhanced Community Renewables</w:t>
      </w:r>
      <w:r w:rsidRPr="00605082">
        <w:t xml:space="preserve"> and </w:t>
      </w:r>
      <w:r w:rsidR="00E11386">
        <w:t>Enhanced Community Renewables</w:t>
      </w:r>
      <w:r w:rsidRPr="00605082">
        <w:t>-</w:t>
      </w:r>
      <w:r w:rsidR="00E11386">
        <w:t>Environmental Justice</w:t>
      </w:r>
      <w:r w:rsidRPr="00605082">
        <w:t xml:space="preserve"> </w:t>
      </w:r>
      <w:r w:rsidR="00DE4479">
        <w:t>Renewable Auction Mechanism</w:t>
      </w:r>
      <w:r w:rsidRPr="00605082">
        <w:t xml:space="preserve"> solicitations.</w:t>
      </w:r>
    </w:p>
    <w:p w:rsidR="00105925" w:rsidRDefault="00105925" w:rsidP="00105925">
      <w:pPr>
        <w:pStyle w:val="num1"/>
        <w:numPr>
          <w:ilvl w:val="0"/>
          <w:numId w:val="26"/>
        </w:numPr>
      </w:pPr>
      <w:r>
        <w:t>Disadvantaged communities should share in the benefits of local renewable development.</w:t>
      </w:r>
    </w:p>
    <w:p w:rsidR="0014550B" w:rsidRDefault="0014550B" w:rsidP="00D71A5C">
      <w:pPr>
        <w:pStyle w:val="num1"/>
        <w:numPr>
          <w:ilvl w:val="0"/>
          <w:numId w:val="26"/>
        </w:numPr>
      </w:pPr>
      <w:r>
        <w:t xml:space="preserve">Unsubscribed energy provided by </w:t>
      </w:r>
      <w:r w:rsidR="00E11386">
        <w:t>Enhanced Community Renewables</w:t>
      </w:r>
      <w:r>
        <w:t xml:space="preserve"> and </w:t>
      </w:r>
      <w:r w:rsidR="00E11386">
        <w:t>Enhanced Community Renewables</w:t>
      </w:r>
      <w:r>
        <w:t>-</w:t>
      </w:r>
      <w:r w:rsidR="00E11386">
        <w:t>Environmental Justice</w:t>
      </w:r>
      <w:r>
        <w:t xml:space="preserve"> projects should be compensated at the lesser of the bid price or hourly day-ahead DLAP + REC</w:t>
      </w:r>
      <w:r w:rsidR="003639DF" w:rsidRPr="003639DF">
        <w:t xml:space="preserve"> </w:t>
      </w:r>
      <w:r w:rsidR="00A555F4">
        <w:t>when</w:t>
      </w:r>
      <w:r w:rsidR="003639DF">
        <w:t xml:space="preserve"> the required minimum subscription level</w:t>
      </w:r>
      <w:r w:rsidR="00A555F4">
        <w:t>s</w:t>
      </w:r>
      <w:r w:rsidR="003639DF">
        <w:t xml:space="preserve"> </w:t>
      </w:r>
      <w:r w:rsidR="00A555F4">
        <w:t xml:space="preserve">are not met </w:t>
      </w:r>
      <w:r w:rsidR="003639DF">
        <w:t xml:space="preserve">as </w:t>
      </w:r>
      <w:r w:rsidR="00A555F4">
        <w:t xml:space="preserve">described </w:t>
      </w:r>
      <w:r w:rsidR="003639DF">
        <w:t xml:space="preserve">in D.15-01-051 </w:t>
      </w:r>
      <w:r w:rsidR="007D1F0A">
        <w:t xml:space="preserve">at </w:t>
      </w:r>
      <w:r w:rsidR="003639DF">
        <w:t>63.</w:t>
      </w:r>
    </w:p>
    <w:p w:rsidR="007D1F0A" w:rsidRDefault="007D1F0A" w:rsidP="00D71A5C">
      <w:pPr>
        <w:pStyle w:val="num1"/>
        <w:numPr>
          <w:ilvl w:val="0"/>
          <w:numId w:val="26"/>
        </w:numPr>
      </w:pPr>
      <w:r>
        <w:t xml:space="preserve">To limit </w:t>
      </w:r>
      <w:r w:rsidR="003603FA">
        <w:t xml:space="preserve">non-participating </w:t>
      </w:r>
      <w:r>
        <w:t xml:space="preserve">ratepayer exposure, </w:t>
      </w:r>
      <w:r w:rsidRPr="00605082">
        <w:t>PG&amp;E, SCE, and SDG&amp;E</w:t>
      </w:r>
      <w:r>
        <w:t xml:space="preserve"> should limit contract awards to</w:t>
      </w:r>
      <w:r w:rsidRPr="00105925">
        <w:t xml:space="preserve"> Enhanced Community Renewables</w:t>
      </w:r>
      <w:r>
        <w:t xml:space="preserve"> projects whose bid price is at or below 120 percent of the maximum executed contract </w:t>
      </w:r>
      <w:r>
        <w:lastRenderedPageBreak/>
        <w:t xml:space="preserve">price in either the </w:t>
      </w:r>
      <w:r w:rsidRPr="00105925">
        <w:t>Renewable Auction Mechanism</w:t>
      </w:r>
      <w:r w:rsidR="00A555F4">
        <w:t>’s as-available peaking category</w:t>
      </w:r>
      <w:r w:rsidRPr="00105925">
        <w:t xml:space="preserve"> or </w:t>
      </w:r>
      <w:r w:rsidR="00A555F4">
        <w:t>Green Tariff program, whichever is most recent</w:t>
      </w:r>
      <w:r w:rsidRPr="00105925">
        <w:t xml:space="preserve">. </w:t>
      </w:r>
    </w:p>
    <w:p w:rsidR="007D1F0A" w:rsidRDefault="007D1F0A" w:rsidP="00A555F4">
      <w:pPr>
        <w:pStyle w:val="num1"/>
        <w:numPr>
          <w:ilvl w:val="0"/>
          <w:numId w:val="26"/>
        </w:numPr>
      </w:pPr>
      <w:r>
        <w:t xml:space="preserve">To limit </w:t>
      </w:r>
      <w:r w:rsidR="003603FA">
        <w:t xml:space="preserve">non-participating </w:t>
      </w:r>
      <w:r>
        <w:t xml:space="preserve">ratepayer exposure, </w:t>
      </w:r>
      <w:r w:rsidRPr="00605082">
        <w:t>PG&amp;E, SCE, and SDG&amp;E</w:t>
      </w:r>
      <w:r>
        <w:t xml:space="preserve"> should limit contract awards to</w:t>
      </w:r>
      <w:r w:rsidRPr="00105925">
        <w:t xml:space="preserve"> Enhanced Community Renewables</w:t>
      </w:r>
      <w:r w:rsidR="009E104E">
        <w:noBreakHyphen/>
      </w:r>
      <w:r w:rsidRPr="00105925">
        <w:t>Environmental Justice projects</w:t>
      </w:r>
      <w:r w:rsidRPr="007D1F0A">
        <w:t xml:space="preserve"> </w:t>
      </w:r>
      <w:r>
        <w:t xml:space="preserve">whose bid price is at or below </w:t>
      </w:r>
      <w:r w:rsidR="009E104E">
        <w:t>200 </w:t>
      </w:r>
      <w:r w:rsidRPr="00105925">
        <w:t xml:space="preserve">percent of the maximum executed contract price in either the </w:t>
      </w:r>
      <w:r w:rsidR="00A555F4" w:rsidRPr="00A555F4">
        <w:t>Renewable Auction Mechanism’s as-available peaking category or the Green Tariff program, whichever is most recent</w:t>
      </w:r>
      <w:r>
        <w:t>.</w:t>
      </w:r>
    </w:p>
    <w:p w:rsidR="00BB5DE9" w:rsidRDefault="00A364DD" w:rsidP="00D71A5C">
      <w:pPr>
        <w:pStyle w:val="num1"/>
        <w:numPr>
          <w:ilvl w:val="0"/>
          <w:numId w:val="26"/>
        </w:numPr>
      </w:pPr>
      <w:r w:rsidRPr="00A364DD">
        <w:t xml:space="preserve">Enhanced Community Renewables projects located in Imperial Valley </w:t>
      </w:r>
      <w:r>
        <w:t>should</w:t>
      </w:r>
      <w:r w:rsidRPr="00A364DD">
        <w:t xml:space="preserve"> </w:t>
      </w:r>
      <w:r w:rsidR="00A555F4">
        <w:t xml:space="preserve">be eligible to </w:t>
      </w:r>
      <w:r w:rsidRPr="00A364DD">
        <w:t>count towards SDG&amp;E’s GTSR reservation.</w:t>
      </w:r>
    </w:p>
    <w:p w:rsidR="00431A0E" w:rsidRDefault="00431A0E" w:rsidP="00F10743">
      <w:pPr>
        <w:pStyle w:val="num1"/>
        <w:numPr>
          <w:ilvl w:val="0"/>
          <w:numId w:val="26"/>
        </w:numPr>
        <w:ind w:firstLine="230"/>
      </w:pPr>
      <w:r>
        <w:t>To ensure that larger projects do not target only a few large customers, the minimum number of required subscribers should be increased as project size increases</w:t>
      </w:r>
      <w:r w:rsidR="00A13939">
        <w:t xml:space="preserve"> by at least one customer for each additional MW of project capacity</w:t>
      </w:r>
      <w:r>
        <w:t>.</w:t>
      </w:r>
    </w:p>
    <w:p w:rsidR="00A13939" w:rsidRDefault="00A13939" w:rsidP="00F10743">
      <w:pPr>
        <w:pStyle w:val="num1"/>
        <w:numPr>
          <w:ilvl w:val="0"/>
          <w:numId w:val="26"/>
        </w:numPr>
        <w:ind w:firstLine="230"/>
      </w:pPr>
      <w:r>
        <w:t>At least 50% (by numbe</w:t>
      </w:r>
      <w:r w:rsidR="00693650">
        <w:t>r of customers) and and least 1/</w:t>
      </w:r>
      <w:r>
        <w:t>6</w:t>
      </w:r>
      <w:r w:rsidRPr="004F076E">
        <w:rPr>
          <w:vertAlign w:val="superscript"/>
        </w:rPr>
        <w:t>th</w:t>
      </w:r>
      <w:r>
        <w:t xml:space="preserve"> of the demonstrated community interest in Enhanced Community Renewables projects should come from residential customers.</w:t>
      </w:r>
    </w:p>
    <w:p w:rsidR="00431A0E" w:rsidRDefault="00431A0E" w:rsidP="00F10743">
      <w:pPr>
        <w:pStyle w:val="num1"/>
        <w:numPr>
          <w:ilvl w:val="0"/>
          <w:numId w:val="26"/>
        </w:numPr>
        <w:ind w:firstLine="230"/>
      </w:pPr>
      <w:r>
        <w:t>It is premature to allow participation of sub-500 kW projects in GTSR.</w:t>
      </w:r>
    </w:p>
    <w:p w:rsidR="00507AA5" w:rsidRDefault="003639DF" w:rsidP="00F10743">
      <w:pPr>
        <w:pStyle w:val="num1"/>
        <w:numPr>
          <w:ilvl w:val="0"/>
          <w:numId w:val="26"/>
        </w:numPr>
        <w:ind w:firstLine="230"/>
      </w:pPr>
      <w:r>
        <w:t>L</w:t>
      </w:r>
      <w:r w:rsidR="00507AA5">
        <w:t xml:space="preserve">ocked-in rates </w:t>
      </w:r>
      <w:r>
        <w:t xml:space="preserve">would </w:t>
      </w:r>
      <w:r w:rsidR="00507AA5">
        <w:t xml:space="preserve">provide a level of price assurance to </w:t>
      </w:r>
      <w:r>
        <w:t>GTSR</w:t>
      </w:r>
      <w:r w:rsidR="00507AA5">
        <w:t xml:space="preserve"> customers that exceeds existing rate design and increases the risk of </w:t>
      </w:r>
      <w:r>
        <w:t xml:space="preserve">revenue </w:t>
      </w:r>
      <w:r w:rsidR="00507AA5">
        <w:t>undercollecti</w:t>
      </w:r>
      <w:r>
        <w:t>o</w:t>
      </w:r>
      <w:r w:rsidR="00507AA5">
        <w:t>n and shifting costs to the general body of ratepayers.</w:t>
      </w:r>
    </w:p>
    <w:p w:rsidR="00507AA5" w:rsidRDefault="00507AA5" w:rsidP="00F10743">
      <w:pPr>
        <w:pStyle w:val="num1"/>
        <w:numPr>
          <w:ilvl w:val="0"/>
          <w:numId w:val="26"/>
        </w:numPr>
        <w:ind w:firstLine="230"/>
      </w:pPr>
      <w:r>
        <w:t>The Commission should adopt a REC value of $10/MWh as a compromise.</w:t>
      </w:r>
    </w:p>
    <w:p w:rsidR="00684CA0" w:rsidRDefault="00EA6C5D" w:rsidP="00F10743">
      <w:pPr>
        <w:pStyle w:val="num1"/>
        <w:numPr>
          <w:ilvl w:val="0"/>
          <w:numId w:val="26"/>
        </w:numPr>
        <w:ind w:firstLine="230"/>
      </w:pPr>
      <w:r>
        <w:t>For charges and credits with ten years of historical data, the forecast should rely on five year rolling averages to develop an escalator to create a 20</w:t>
      </w:r>
      <w:r w:rsidR="009E104E">
        <w:noBreakHyphen/>
      </w:r>
      <w:r>
        <w:t xml:space="preserve">year forecast. </w:t>
      </w:r>
      <w:r w:rsidR="005C1FDB">
        <w:t xml:space="preserve"> </w:t>
      </w:r>
      <w:r w:rsidR="00777A4B">
        <w:t>C</w:t>
      </w:r>
      <w:r>
        <w:t>harges and credits without sufficient historical data</w:t>
      </w:r>
      <w:r w:rsidR="00C640E2">
        <w:t xml:space="preserve">, except the </w:t>
      </w:r>
      <w:r w:rsidR="00684CA0">
        <w:t>Renewable Power Rate</w:t>
      </w:r>
      <w:r w:rsidR="00777A4B">
        <w:t>, should be escalated using the</w:t>
      </w:r>
      <w:r w:rsidR="00633908">
        <w:t xml:space="preserve"> average of the prior </w:t>
      </w:r>
      <w:r w:rsidR="00633908">
        <w:lastRenderedPageBreak/>
        <w:t>year’s third quarter</w:t>
      </w:r>
      <w:r w:rsidR="00777A4B">
        <w:t xml:space="preserve"> Consumer Price Index</w:t>
      </w:r>
      <w:r w:rsidR="00633908">
        <w:t xml:space="preserve"> for Urban Wage Earners and Clerical Workers (CPI-W)</w:t>
      </w:r>
      <w:r w:rsidR="00777A4B">
        <w:t xml:space="preserve">. </w:t>
      </w:r>
      <w:r w:rsidR="005C1FDB">
        <w:t xml:space="preserve"> </w:t>
      </w:r>
      <w:r w:rsidR="00777A4B">
        <w:t xml:space="preserve">The </w:t>
      </w:r>
      <w:r w:rsidR="00684CA0">
        <w:t>Renewable Power Rate should not be escalated.</w:t>
      </w:r>
    </w:p>
    <w:p w:rsidR="00507AA5" w:rsidRDefault="00684CA0" w:rsidP="00F10743">
      <w:pPr>
        <w:pStyle w:val="num1"/>
        <w:numPr>
          <w:ilvl w:val="0"/>
          <w:numId w:val="26"/>
        </w:numPr>
        <w:ind w:firstLine="230"/>
      </w:pPr>
      <w:r w:rsidRPr="00507AA5">
        <w:t xml:space="preserve"> </w:t>
      </w:r>
      <w:r w:rsidR="00507AA5" w:rsidRPr="00507AA5">
        <w:t xml:space="preserve">Should a project be deemed to count towards the </w:t>
      </w:r>
      <w:r w:rsidR="00E11386">
        <w:t>Environmental Justice</w:t>
      </w:r>
      <w:r w:rsidR="00507AA5" w:rsidRPr="00507AA5">
        <w:t xml:space="preserve"> reservation of the GTSR Program based upon the approved rules at the time of the solicitation, that project should continue to be considered as such, even if the </w:t>
      </w:r>
      <w:r w:rsidR="003331F9">
        <w:t>CalEnviroScreen</w:t>
      </w:r>
      <w:r w:rsidR="00507AA5" w:rsidRPr="00507AA5">
        <w:t xml:space="preserve"> tool is amended, or other changes occur in regards to the definition of Environmental Justice under the GTSR Program. </w:t>
      </w:r>
    </w:p>
    <w:p w:rsidR="00686070" w:rsidRDefault="00C5527A" w:rsidP="00F10743">
      <w:pPr>
        <w:pStyle w:val="num1"/>
        <w:numPr>
          <w:ilvl w:val="0"/>
          <w:numId w:val="26"/>
        </w:numPr>
        <w:ind w:firstLine="230"/>
      </w:pPr>
      <w:r>
        <w:t xml:space="preserve">The </w:t>
      </w:r>
      <w:r w:rsidRPr="00C5527A">
        <w:t>methodology</w:t>
      </w:r>
      <w:r>
        <w:t xml:space="preserve"> established in D.15-11-027 should be adopted</w:t>
      </w:r>
      <w:r w:rsidRPr="00C5527A">
        <w:t xml:space="preserve"> </w:t>
      </w:r>
      <w:r w:rsidR="00A555F4" w:rsidRPr="00C5527A">
        <w:t>with</w:t>
      </w:r>
      <w:r w:rsidR="00A555F4">
        <w:t xml:space="preserve"> a </w:t>
      </w:r>
      <w:r w:rsidRPr="00C5527A">
        <w:t>modification</w:t>
      </w:r>
      <w:r w:rsidR="00A555F4">
        <w:t xml:space="preserve"> to remover the line loss adjustment</w:t>
      </w:r>
      <w:r>
        <w:t xml:space="preserve"> for</w:t>
      </w:r>
      <w:r w:rsidRPr="00C5527A">
        <w:t xml:space="preserve"> estimating the greenhouse gas emission avoided by GSTR participants. </w:t>
      </w:r>
    </w:p>
    <w:p w:rsidR="00507AA5" w:rsidRDefault="00507AA5" w:rsidP="00F10743">
      <w:pPr>
        <w:pStyle w:val="num1"/>
        <w:numPr>
          <w:ilvl w:val="0"/>
          <w:numId w:val="26"/>
        </w:numPr>
        <w:ind w:firstLine="230"/>
      </w:pPr>
      <w:r>
        <w:t>No unique safety issues are presented by this decision.</w:t>
      </w:r>
    </w:p>
    <w:p w:rsidR="00B30FF9" w:rsidRDefault="00B30FF9">
      <w:pPr>
        <w:pStyle w:val="mainex"/>
      </w:pPr>
      <w:bookmarkStart w:id="35" w:name="_Toc370798915"/>
      <w:bookmarkStart w:id="36" w:name="_Toc450990221"/>
      <w:bookmarkStart w:id="37" w:name="_Toc451151268"/>
      <w:bookmarkStart w:id="38" w:name="OLE_LINK1"/>
      <w:bookmarkStart w:id="39" w:name="OLE_LINK2"/>
    </w:p>
    <w:p w:rsidR="00B30FF9" w:rsidRDefault="00B30FF9">
      <w:pPr>
        <w:pStyle w:val="mainex"/>
      </w:pPr>
      <w:bookmarkStart w:id="40" w:name="_Toc448133316"/>
      <w:r>
        <w:t>ORDER</w:t>
      </w:r>
      <w:bookmarkEnd w:id="35"/>
      <w:bookmarkEnd w:id="36"/>
      <w:bookmarkEnd w:id="37"/>
      <w:bookmarkEnd w:id="40"/>
    </w:p>
    <w:bookmarkEnd w:id="38"/>
    <w:bookmarkEnd w:id="39"/>
    <w:p w:rsidR="00B30FF9" w:rsidRDefault="00B30FF9">
      <w:pPr>
        <w:pStyle w:val="Quote1"/>
      </w:pPr>
    </w:p>
    <w:p w:rsidR="00B30FF9" w:rsidRDefault="00B30FF9">
      <w:pPr>
        <w:pStyle w:val="standard"/>
        <w:keepNext/>
      </w:pPr>
      <w:r>
        <w:rPr>
          <w:b/>
        </w:rPr>
        <w:t>IT IS ORDERED</w:t>
      </w:r>
      <w:r>
        <w:t xml:space="preserve"> that:</w:t>
      </w:r>
    </w:p>
    <w:p w:rsidR="00BD3903" w:rsidRDefault="00605082" w:rsidP="00A32D7C">
      <w:pPr>
        <w:pStyle w:val="num1"/>
        <w:numPr>
          <w:ilvl w:val="0"/>
          <w:numId w:val="25"/>
        </w:numPr>
      </w:pPr>
      <w:r w:rsidRPr="00605082">
        <w:t>P</w:t>
      </w:r>
      <w:r w:rsidR="003823D8">
        <w:t xml:space="preserve">acific </w:t>
      </w:r>
      <w:r w:rsidRPr="00605082">
        <w:t>G</w:t>
      </w:r>
      <w:r w:rsidR="003823D8">
        <w:t xml:space="preserve">as and </w:t>
      </w:r>
      <w:r w:rsidRPr="00605082">
        <w:t>E</w:t>
      </w:r>
      <w:r w:rsidR="003823D8">
        <w:t>lectric Company</w:t>
      </w:r>
      <w:r w:rsidR="004641BF">
        <w:t xml:space="preserve"> (PG&amp;E)</w:t>
      </w:r>
      <w:r w:rsidRPr="00605082">
        <w:t>, S</w:t>
      </w:r>
      <w:r w:rsidR="003823D8">
        <w:t>outhern California Edison Company</w:t>
      </w:r>
      <w:r w:rsidR="004641BF">
        <w:t xml:space="preserve"> (SCE)</w:t>
      </w:r>
      <w:r w:rsidRPr="00605082">
        <w:t>, and S</w:t>
      </w:r>
      <w:r w:rsidR="003823D8">
        <w:t xml:space="preserve">an </w:t>
      </w:r>
      <w:r w:rsidRPr="00605082">
        <w:t>D</w:t>
      </w:r>
      <w:r w:rsidR="003823D8">
        <w:t xml:space="preserve">iego </w:t>
      </w:r>
      <w:r w:rsidRPr="00605082">
        <w:t>G</w:t>
      </w:r>
      <w:r w:rsidR="003823D8">
        <w:t xml:space="preserve">as </w:t>
      </w:r>
      <w:r w:rsidRPr="00605082">
        <w:t>&amp;</w:t>
      </w:r>
      <w:r w:rsidR="003823D8">
        <w:t xml:space="preserve"> </w:t>
      </w:r>
      <w:r w:rsidRPr="00605082">
        <w:t>E</w:t>
      </w:r>
      <w:r w:rsidR="003823D8">
        <w:t>lectric Company</w:t>
      </w:r>
      <w:r w:rsidRPr="00605082">
        <w:t xml:space="preserve"> </w:t>
      </w:r>
      <w:r w:rsidR="004641BF">
        <w:t xml:space="preserve">(SDG&amp;E) </w:t>
      </w:r>
      <w:r w:rsidR="00BD3903">
        <w:t>must</w:t>
      </w:r>
      <w:r w:rsidRPr="00605082">
        <w:t xml:space="preserve"> hold </w:t>
      </w:r>
      <w:r w:rsidR="004A7AFE">
        <w:t xml:space="preserve">one </w:t>
      </w:r>
      <w:r w:rsidR="00DE4479">
        <w:t>Renewable Auction Mechanism</w:t>
      </w:r>
      <w:r w:rsidRPr="00605082">
        <w:t xml:space="preserve"> solicitations</w:t>
      </w:r>
      <w:r w:rsidR="004A7AFE">
        <w:t xml:space="preserve"> in 2016 and two</w:t>
      </w:r>
      <w:r w:rsidRPr="00605082">
        <w:t xml:space="preserve"> each year</w:t>
      </w:r>
      <w:r w:rsidR="004A7AFE">
        <w:t xml:space="preserve"> thereafter</w:t>
      </w:r>
      <w:r w:rsidRPr="00605082">
        <w:t xml:space="preserve"> to procure </w:t>
      </w:r>
      <w:r w:rsidR="00E11386">
        <w:t>Enhanced Community Renewables</w:t>
      </w:r>
      <w:r w:rsidRPr="00605082">
        <w:t xml:space="preserve"> and </w:t>
      </w:r>
      <w:r w:rsidR="00E11386">
        <w:t>Enhanced Community Renewables</w:t>
      </w:r>
      <w:r w:rsidRPr="00605082">
        <w:t>-</w:t>
      </w:r>
      <w:r w:rsidR="00E11386">
        <w:t>Environmental Justice</w:t>
      </w:r>
      <w:r w:rsidRPr="00605082">
        <w:t xml:space="preserve"> projects until the program sunsets in December 31, 2018</w:t>
      </w:r>
      <w:r w:rsidR="00BD3903">
        <w:t>,</w:t>
      </w:r>
      <w:r w:rsidRPr="00605082">
        <w:t xml:space="preserve">  </w:t>
      </w:r>
      <w:r w:rsidR="00BD3903">
        <w:t>t</w:t>
      </w:r>
      <w:r w:rsidRPr="00605082">
        <w:t>he first occur</w:t>
      </w:r>
      <w:r w:rsidR="00BD3903">
        <w:t>ring</w:t>
      </w:r>
      <w:r w:rsidRPr="00605082">
        <w:t xml:space="preserve"> no later than August 31, 2016</w:t>
      </w:r>
      <w:r w:rsidR="00A13939">
        <w:t xml:space="preserve">, or </w:t>
      </w:r>
      <w:r w:rsidR="00123546">
        <w:t xml:space="preserve">no later than </w:t>
      </w:r>
      <w:r w:rsidR="00A13939">
        <w:t>30 days after approval of the Advice Letters required in Ordering Paragraph 4 if approval occurs after July 31, 2016</w:t>
      </w:r>
      <w:r w:rsidR="00BD3903">
        <w:t>, with</w:t>
      </w:r>
      <w:r w:rsidRPr="00605082">
        <w:t xml:space="preserve"> </w:t>
      </w:r>
      <w:r w:rsidR="00BD3903">
        <w:t>t</w:t>
      </w:r>
      <w:r w:rsidRPr="00605082">
        <w:t xml:space="preserve">he capacity offered at each solicitation </w:t>
      </w:r>
      <w:r w:rsidR="00BD3903">
        <w:t xml:space="preserve">being </w:t>
      </w:r>
      <w:r w:rsidRPr="00605082">
        <w:t xml:space="preserve">a minimum of 75 </w:t>
      </w:r>
      <w:r w:rsidR="003823D8">
        <w:t>megawatts</w:t>
      </w:r>
      <w:r w:rsidRPr="00605082">
        <w:t xml:space="preserve">, 75 </w:t>
      </w:r>
      <w:r w:rsidR="003823D8">
        <w:t>megawatts</w:t>
      </w:r>
      <w:r w:rsidRPr="00605082">
        <w:t xml:space="preserve">, and </w:t>
      </w:r>
      <w:r w:rsidR="00105925">
        <w:t>20</w:t>
      </w:r>
      <w:r w:rsidRPr="00605082">
        <w:t xml:space="preserve"> </w:t>
      </w:r>
      <w:r w:rsidR="003823D8">
        <w:t>megawatts</w:t>
      </w:r>
      <w:r w:rsidRPr="00605082">
        <w:t xml:space="preserve"> for </w:t>
      </w:r>
      <w:r w:rsidR="004641BF">
        <w:t>PG&amp;E, SCE, and SDG&amp;E</w:t>
      </w:r>
      <w:r w:rsidRPr="00605082">
        <w:t xml:space="preserve"> respectively, up to the total remaining unsubscribed capacity for each utility’s </w:t>
      </w:r>
      <w:r w:rsidR="008F4837">
        <w:t>Green Tariff Shared Renewables</w:t>
      </w:r>
      <w:r w:rsidRPr="00605082">
        <w:t xml:space="preserve"> program </w:t>
      </w:r>
      <w:r w:rsidRPr="00605082">
        <w:lastRenderedPageBreak/>
        <w:t>at that point in time.  In the event that ther</w:t>
      </w:r>
      <w:r w:rsidR="00A13939">
        <w:t xml:space="preserve"> minimum </w:t>
      </w:r>
      <w:r w:rsidRPr="00605082">
        <w:t>capacity from prior solicitation</w:t>
      </w:r>
      <w:r w:rsidR="00BD3903">
        <w:t>s</w:t>
      </w:r>
      <w:r w:rsidR="00A13939">
        <w:t xml:space="preserve"> is not procured</w:t>
      </w:r>
      <w:r w:rsidRPr="00605082">
        <w:t xml:space="preserve">, that capacity </w:t>
      </w:r>
      <w:r w:rsidR="00BD3903">
        <w:t>must</w:t>
      </w:r>
      <w:r w:rsidRPr="00605082">
        <w:t xml:space="preserve"> be added to the minimum offer</w:t>
      </w:r>
      <w:r w:rsidR="00123546">
        <w:t xml:space="preserve"> of the subsequent solicitation</w:t>
      </w:r>
      <w:r w:rsidRPr="00605082">
        <w:t xml:space="preserve">.  </w:t>
      </w:r>
      <w:r w:rsidR="000B1F2A">
        <w:t>The final solicitation in 2018 must offer all remaining unsubscribed capacity</w:t>
      </w:r>
      <w:r w:rsidR="00A13939">
        <w:t xml:space="preserve"> allocated for each utilities</w:t>
      </w:r>
      <w:r w:rsidR="00123546">
        <w:t>’</w:t>
      </w:r>
      <w:r w:rsidR="00A13939">
        <w:t xml:space="preserve"> Green Tariff Shared Renewables program</w:t>
      </w:r>
      <w:r w:rsidR="000B1F2A">
        <w:t xml:space="preserve"> for bid.</w:t>
      </w:r>
    </w:p>
    <w:p w:rsidR="00BD3903" w:rsidRDefault="00624F37" w:rsidP="00A32D7C">
      <w:pPr>
        <w:pStyle w:val="num1"/>
        <w:numPr>
          <w:ilvl w:val="0"/>
          <w:numId w:val="25"/>
        </w:numPr>
      </w:pPr>
      <w:r>
        <w:t xml:space="preserve">In </w:t>
      </w:r>
      <w:r w:rsidR="00A13939">
        <w:t xml:space="preserve">the event that capacity bid into </w:t>
      </w:r>
      <w:r>
        <w:t>the required Renewables Auction Mechanism solicitation</w:t>
      </w:r>
      <w:r w:rsidR="000B1F2A">
        <w:t>s</w:t>
      </w:r>
      <w:r w:rsidR="00A13939">
        <w:t xml:space="preserve"> exceeds the offered capacity for that solicitation</w:t>
      </w:r>
      <w:r>
        <w:t xml:space="preserve">, </w:t>
      </w:r>
      <w:r w:rsidR="003823D8" w:rsidRPr="00605082">
        <w:t>P</w:t>
      </w:r>
      <w:r w:rsidR="003823D8">
        <w:t xml:space="preserve">acific </w:t>
      </w:r>
      <w:r w:rsidR="003823D8" w:rsidRPr="00605082">
        <w:t>G</w:t>
      </w:r>
      <w:r w:rsidR="003823D8">
        <w:t xml:space="preserve">as and </w:t>
      </w:r>
      <w:r w:rsidR="003823D8" w:rsidRPr="00605082">
        <w:t>E</w:t>
      </w:r>
      <w:r w:rsidR="003823D8">
        <w:t>lectric Company</w:t>
      </w:r>
      <w:r w:rsidR="003823D8" w:rsidRPr="00605082">
        <w:t>, S</w:t>
      </w:r>
      <w:r w:rsidR="003823D8">
        <w:t>outhern California Edison Company</w:t>
      </w:r>
      <w:r w:rsidR="003823D8" w:rsidRPr="00605082">
        <w:t>, and S</w:t>
      </w:r>
      <w:r w:rsidR="003823D8">
        <w:t xml:space="preserve">an </w:t>
      </w:r>
      <w:r w:rsidR="003823D8" w:rsidRPr="00605082">
        <w:t>D</w:t>
      </w:r>
      <w:r w:rsidR="003823D8">
        <w:t xml:space="preserve">iego </w:t>
      </w:r>
      <w:r w:rsidR="003823D8" w:rsidRPr="00605082">
        <w:t>G</w:t>
      </w:r>
      <w:r w:rsidR="003823D8">
        <w:t xml:space="preserve">as </w:t>
      </w:r>
      <w:r w:rsidR="003823D8" w:rsidRPr="00605082">
        <w:t>&amp;</w:t>
      </w:r>
      <w:r w:rsidR="003823D8">
        <w:t xml:space="preserve"> </w:t>
      </w:r>
      <w:r w:rsidR="003823D8" w:rsidRPr="00605082">
        <w:t>E</w:t>
      </w:r>
      <w:r w:rsidR="003823D8">
        <w:t>lectric Company</w:t>
      </w:r>
      <w:r w:rsidRPr="00605082">
        <w:t xml:space="preserve"> </w:t>
      </w:r>
      <w:r>
        <w:t>must</w:t>
      </w:r>
      <w:r w:rsidRPr="00605082">
        <w:t xml:space="preserve"> </w:t>
      </w:r>
      <w:r>
        <w:t xml:space="preserve">select </w:t>
      </w:r>
      <w:r w:rsidR="00D67D08" w:rsidRPr="00D67D08">
        <w:t>least</w:t>
      </w:r>
      <w:r w:rsidR="000B1F2A">
        <w:t>-</w:t>
      </w:r>
      <w:r w:rsidR="00D67D08" w:rsidRPr="00D67D08">
        <w:t>cost best</w:t>
      </w:r>
      <w:r w:rsidR="000B1F2A">
        <w:t>-</w:t>
      </w:r>
      <w:r w:rsidR="00D67D08" w:rsidRPr="00D67D08">
        <w:t xml:space="preserve">fit </w:t>
      </w:r>
      <w:r w:rsidR="00E11386">
        <w:t>Enhanced Community Renewables</w:t>
      </w:r>
      <w:r w:rsidR="00D67D08" w:rsidRPr="00D67D08">
        <w:t>-</w:t>
      </w:r>
      <w:r w:rsidR="00E11386">
        <w:t>Environmental Justice</w:t>
      </w:r>
      <w:r w:rsidR="00D67D08" w:rsidRPr="00D67D08">
        <w:t xml:space="preserve"> projects up to the </w:t>
      </w:r>
      <w:r w:rsidR="00E11386">
        <w:t>Environmental Justice</w:t>
      </w:r>
      <w:r w:rsidR="00D67D08" w:rsidRPr="00D67D08">
        <w:t xml:space="preserve"> rese</w:t>
      </w:r>
      <w:r w:rsidR="004641BF">
        <w:t xml:space="preserve">rvation amount established in Decision </w:t>
      </w:r>
      <w:r w:rsidR="00D67D08" w:rsidRPr="00D67D08">
        <w:t xml:space="preserve">15-01-051, and then all remaining projects (both </w:t>
      </w:r>
      <w:r w:rsidR="00E11386">
        <w:t>Enhanced Community Renewables</w:t>
      </w:r>
      <w:r w:rsidR="00D67D08" w:rsidRPr="00D67D08">
        <w:t xml:space="preserve"> and </w:t>
      </w:r>
      <w:r w:rsidR="00E11386">
        <w:t>Enhanced Community Renewables</w:t>
      </w:r>
      <w:r w:rsidR="00D67D08" w:rsidRPr="00D67D08">
        <w:t>-</w:t>
      </w:r>
      <w:r w:rsidR="00E11386">
        <w:t>Environmental Justice</w:t>
      </w:r>
      <w:r w:rsidR="00D67D08" w:rsidRPr="00D67D08">
        <w:t>) are to be evaluated against one another on a least</w:t>
      </w:r>
      <w:r w:rsidR="000B1F2A">
        <w:t>-</w:t>
      </w:r>
      <w:r w:rsidR="00D67D08" w:rsidRPr="00D67D08">
        <w:t>cost best</w:t>
      </w:r>
      <w:r w:rsidR="000B1F2A">
        <w:t>-</w:t>
      </w:r>
      <w:r w:rsidR="00D67D08" w:rsidRPr="00D67D08">
        <w:t>fit basis using the least cost best fit methodology approved in each utility’s annual Renewable Portfolio Standard Plan filings</w:t>
      </w:r>
      <w:r w:rsidR="00A13939">
        <w:t xml:space="preserve"> up to the capacity offered for that solicitation</w:t>
      </w:r>
      <w:r w:rsidR="00D67D08" w:rsidRPr="00D67D08">
        <w:t>.</w:t>
      </w:r>
    </w:p>
    <w:p w:rsidR="00105925" w:rsidRDefault="003823D8" w:rsidP="00A555F4">
      <w:pPr>
        <w:pStyle w:val="num1"/>
        <w:numPr>
          <w:ilvl w:val="0"/>
          <w:numId w:val="25"/>
        </w:numPr>
      </w:pPr>
      <w:r w:rsidRPr="00605082">
        <w:t>P</w:t>
      </w:r>
      <w:r>
        <w:t xml:space="preserve">acific </w:t>
      </w:r>
      <w:r w:rsidRPr="00605082">
        <w:t>G</w:t>
      </w:r>
      <w:r>
        <w:t xml:space="preserve">as and </w:t>
      </w:r>
      <w:r w:rsidRPr="00605082">
        <w:t>E</w:t>
      </w:r>
      <w:r>
        <w:t>lectric Company</w:t>
      </w:r>
      <w:r w:rsidRPr="00605082">
        <w:t>, S</w:t>
      </w:r>
      <w:r>
        <w:t>outhern California Edison Company</w:t>
      </w:r>
      <w:r w:rsidRPr="00605082">
        <w:t>, and S</w:t>
      </w:r>
      <w:r>
        <w:t xml:space="preserve">an </w:t>
      </w:r>
      <w:r w:rsidRPr="00605082">
        <w:t>D</w:t>
      </w:r>
      <w:r>
        <w:t xml:space="preserve">iego </w:t>
      </w:r>
      <w:r w:rsidRPr="00605082">
        <w:t>G</w:t>
      </w:r>
      <w:r>
        <w:t xml:space="preserve">as </w:t>
      </w:r>
      <w:r w:rsidRPr="00605082">
        <w:t>&amp;</w:t>
      </w:r>
      <w:r>
        <w:t xml:space="preserve"> </w:t>
      </w:r>
      <w:r w:rsidRPr="00605082">
        <w:t>E</w:t>
      </w:r>
      <w:r>
        <w:t>lectric Company</w:t>
      </w:r>
      <w:r w:rsidRPr="00605082">
        <w:t xml:space="preserve"> </w:t>
      </w:r>
      <w:r w:rsidR="00105925">
        <w:t>may decline to award contracts to</w:t>
      </w:r>
      <w:r w:rsidR="00105925" w:rsidRPr="00105925">
        <w:t xml:space="preserve"> Enhanced Community Renewables</w:t>
      </w:r>
      <w:r w:rsidR="00105925">
        <w:t xml:space="preserve"> projects whose bid price exceeds 120 percent of the maximum executed contract price in either the </w:t>
      </w:r>
      <w:r w:rsidR="00A555F4" w:rsidRPr="00A555F4">
        <w:t>Renewable Auction Mechanism’s as-available peaking category or the Green Tariff program, whichever is most recent</w:t>
      </w:r>
      <w:r w:rsidR="00A555F4">
        <w:t>.</w:t>
      </w:r>
      <w:r w:rsidR="00105925" w:rsidRPr="00105925">
        <w:t xml:space="preserve"> </w:t>
      </w:r>
      <w:r w:rsidR="005C1FDB">
        <w:t xml:space="preserve"> </w:t>
      </w:r>
      <w:r w:rsidR="00105925" w:rsidRPr="00105925">
        <w:t xml:space="preserve">For Enhanced Community Renewables-Environmental Justice projects, the utilities </w:t>
      </w:r>
      <w:r w:rsidR="003E1E0E">
        <w:t>may decline to</w:t>
      </w:r>
      <w:r w:rsidR="00105925" w:rsidRPr="00105925">
        <w:t xml:space="preserve"> award contract</w:t>
      </w:r>
      <w:r w:rsidR="003E1E0E">
        <w:t>s</w:t>
      </w:r>
      <w:r w:rsidR="00105925" w:rsidRPr="00105925">
        <w:t xml:space="preserve"> to projects whose bid price </w:t>
      </w:r>
      <w:r w:rsidR="003E1E0E">
        <w:t>exceeds</w:t>
      </w:r>
      <w:r w:rsidR="00105925" w:rsidRPr="00105925">
        <w:t xml:space="preserve"> 200 percent of the maximum executed contract price in either the </w:t>
      </w:r>
      <w:r w:rsidR="00A555F4" w:rsidRPr="00A555F4">
        <w:t xml:space="preserve">Renewable Auction Mechanism’s </w:t>
      </w:r>
      <w:r w:rsidR="00A13939">
        <w:t xml:space="preserve">all source </w:t>
      </w:r>
      <w:r w:rsidR="00A555F4" w:rsidRPr="00A555F4">
        <w:t>as-available peaking category or the Green Tariff program, whichever is most recent</w:t>
      </w:r>
      <w:r w:rsidR="003E1E0E">
        <w:t>.</w:t>
      </w:r>
      <w:r w:rsidR="00A13939">
        <w:t xml:space="preserve"> The </w:t>
      </w:r>
      <w:r w:rsidR="00A13939">
        <w:lastRenderedPageBreak/>
        <w:t>utilities may decline to award contracts to projects at or below these price thresholds if procurement will exceed the capacity offered for that solicitation.</w:t>
      </w:r>
    </w:p>
    <w:p w:rsidR="002063F7" w:rsidRDefault="003823D8" w:rsidP="004A7AFE">
      <w:pPr>
        <w:pStyle w:val="num1"/>
        <w:numPr>
          <w:ilvl w:val="0"/>
          <w:numId w:val="25"/>
        </w:numPr>
      </w:pPr>
      <w:r w:rsidRPr="00605082">
        <w:t>P</w:t>
      </w:r>
      <w:r>
        <w:t xml:space="preserve">acific </w:t>
      </w:r>
      <w:r w:rsidRPr="00605082">
        <w:t>G</w:t>
      </w:r>
      <w:r>
        <w:t xml:space="preserve">as and </w:t>
      </w:r>
      <w:r w:rsidRPr="00605082">
        <w:t>E</w:t>
      </w:r>
      <w:r>
        <w:t>lectric Company</w:t>
      </w:r>
      <w:r w:rsidRPr="00605082">
        <w:t>, S</w:t>
      </w:r>
      <w:r>
        <w:t>outhern California Edison Company</w:t>
      </w:r>
      <w:r w:rsidRPr="00605082">
        <w:t>, and S</w:t>
      </w:r>
      <w:r>
        <w:t xml:space="preserve">an </w:t>
      </w:r>
      <w:r w:rsidRPr="00605082">
        <w:t>D</w:t>
      </w:r>
      <w:r>
        <w:t xml:space="preserve">iego </w:t>
      </w:r>
      <w:r w:rsidRPr="00605082">
        <w:t>G</w:t>
      </w:r>
      <w:r>
        <w:t xml:space="preserve">as </w:t>
      </w:r>
      <w:r w:rsidRPr="00605082">
        <w:t>&amp;</w:t>
      </w:r>
      <w:r>
        <w:t xml:space="preserve"> </w:t>
      </w:r>
      <w:r w:rsidRPr="00605082">
        <w:t>E</w:t>
      </w:r>
      <w:r>
        <w:t>lectric Company</w:t>
      </w:r>
      <w:r w:rsidR="00507AA5">
        <w:t xml:space="preserve"> must</w:t>
      </w:r>
      <w:r w:rsidR="002063F7">
        <w:t xml:space="preserve"> file a Tier </w:t>
      </w:r>
      <w:r w:rsidR="003331F9">
        <w:t>2</w:t>
      </w:r>
      <w:r w:rsidR="002063F7">
        <w:t xml:space="preserve"> Advice Letter</w:t>
      </w:r>
      <w:r w:rsidR="003603FA">
        <w:t xml:space="preserve"> by </w:t>
      </w:r>
      <w:r w:rsidR="000C4A1E">
        <w:t>June </w:t>
      </w:r>
      <w:r w:rsidR="003603FA">
        <w:t xml:space="preserve">15, 2016 to revise their Enhanced Community Renewables rider consistent with this </w:t>
      </w:r>
      <w:r w:rsidR="00123546">
        <w:t>Decision</w:t>
      </w:r>
      <w:r w:rsidR="003603FA">
        <w:t>.</w:t>
      </w:r>
      <w:r w:rsidR="004A7AFE" w:rsidRPr="004A7AFE">
        <w:t xml:space="preserve"> To the extent that </w:t>
      </w:r>
      <w:r w:rsidR="004A7AFE">
        <w:t>Renewable Market Adjusting Tariff</w:t>
      </w:r>
      <w:r w:rsidR="004A7AFE" w:rsidRPr="004A7AFE">
        <w:t xml:space="preserve"> riders need to be updated to reflect the adopted R</w:t>
      </w:r>
      <w:r w:rsidR="004A7AFE">
        <w:t xml:space="preserve">enewable </w:t>
      </w:r>
      <w:r w:rsidR="004A7AFE" w:rsidRPr="004A7AFE">
        <w:t>E</w:t>
      </w:r>
      <w:r w:rsidR="004A7AFE">
        <w:t xml:space="preserve">nergy </w:t>
      </w:r>
      <w:r w:rsidR="004A7AFE" w:rsidRPr="004A7AFE">
        <w:t>C</w:t>
      </w:r>
      <w:r w:rsidR="004A7AFE">
        <w:t>redit</w:t>
      </w:r>
      <w:r w:rsidR="004A7AFE" w:rsidRPr="004A7AFE">
        <w:t xml:space="preserve"> value, the utilities </w:t>
      </w:r>
      <w:r w:rsidR="004A7AFE">
        <w:t>may</w:t>
      </w:r>
      <w:r w:rsidR="004A7AFE" w:rsidRPr="004A7AFE">
        <w:t xml:space="preserve"> file a rider to </w:t>
      </w:r>
      <w:r w:rsidR="004A7AFE">
        <w:t>update</w:t>
      </w:r>
      <w:r w:rsidR="004A7AFE" w:rsidRPr="004A7AFE">
        <w:t xml:space="preserve"> that contract term.</w:t>
      </w:r>
    </w:p>
    <w:p w:rsidR="00A13939" w:rsidRDefault="00A13939" w:rsidP="00A13939">
      <w:pPr>
        <w:pStyle w:val="num1"/>
        <w:numPr>
          <w:ilvl w:val="0"/>
          <w:numId w:val="25"/>
        </w:numPr>
      </w:pPr>
      <w:r>
        <w:t xml:space="preserve">If the California Independent System Operator expands eligibility in the market to sub-500 kilowatt projects, </w:t>
      </w:r>
      <w:r w:rsidRPr="00A13939">
        <w:t xml:space="preserve">Pacific Gas and Electric Company, Southern California Edison Company, and San Diego Gas &amp; Electric Company must file a Tier 2 Advice Letter </w:t>
      </w:r>
      <w:r>
        <w:t xml:space="preserve">within 30 days of </w:t>
      </w:r>
      <w:r w:rsidRPr="00A13939">
        <w:t>California Independent System Operator</w:t>
      </w:r>
      <w:r>
        <w:t xml:space="preserve"> action</w:t>
      </w:r>
      <w:r w:rsidRPr="00A13939">
        <w:t xml:space="preserve"> to revise their Enhanced Community Renewables rider </w:t>
      </w:r>
      <w:r>
        <w:t>to allow participation by sub-500 kilowatt projects</w:t>
      </w:r>
      <w:r w:rsidRPr="00A13939">
        <w:t>.</w:t>
      </w:r>
    </w:p>
    <w:p w:rsidR="00A364DD" w:rsidRDefault="003823D8" w:rsidP="003823D8">
      <w:pPr>
        <w:pStyle w:val="num1"/>
        <w:numPr>
          <w:ilvl w:val="0"/>
          <w:numId w:val="25"/>
        </w:numPr>
      </w:pPr>
      <w:r w:rsidRPr="003823D8">
        <w:t>San Diego Gas &amp; Electric Company</w:t>
      </w:r>
      <w:r w:rsidR="00A364DD">
        <w:t>’s Advice Letter</w:t>
      </w:r>
      <w:r w:rsidR="008C502B">
        <w:t xml:space="preserve"> to implement this </w:t>
      </w:r>
      <w:r w:rsidR="00123546">
        <w:t xml:space="preserve">Decision </w:t>
      </w:r>
      <w:r w:rsidR="00A364DD">
        <w:t xml:space="preserve">must </w:t>
      </w:r>
      <w:r w:rsidR="00A364DD" w:rsidRPr="00A364DD">
        <w:t>incorporate the edits to its ECR-PDT</w:t>
      </w:r>
      <w:r w:rsidR="003738C3">
        <w:t xml:space="preserve"> tariff as</w:t>
      </w:r>
      <w:r w:rsidR="000C4A1E">
        <w:t xml:space="preserve"> set forth on pages 10</w:t>
      </w:r>
      <w:r w:rsidR="000C4A1E">
        <w:noBreakHyphen/>
      </w:r>
      <w:r w:rsidR="00A364DD" w:rsidRPr="00A364DD">
        <w:t>13 of its November 9, 2015 Opening Comments</w:t>
      </w:r>
      <w:r w:rsidR="00A364DD">
        <w:t>.</w:t>
      </w:r>
    </w:p>
    <w:p w:rsidR="006934F9" w:rsidRDefault="003823D8" w:rsidP="006934F9">
      <w:pPr>
        <w:pStyle w:val="num1"/>
        <w:numPr>
          <w:ilvl w:val="0"/>
          <w:numId w:val="25"/>
        </w:numPr>
      </w:pPr>
      <w:r w:rsidRPr="00605082">
        <w:t>P</w:t>
      </w:r>
      <w:r>
        <w:t xml:space="preserve">acific </w:t>
      </w:r>
      <w:r w:rsidRPr="00605082">
        <w:t>G</w:t>
      </w:r>
      <w:r>
        <w:t xml:space="preserve">as and </w:t>
      </w:r>
      <w:r w:rsidRPr="00605082">
        <w:t>E</w:t>
      </w:r>
      <w:r>
        <w:t>lectric Company</w:t>
      </w:r>
      <w:r w:rsidRPr="00605082">
        <w:t>, S</w:t>
      </w:r>
      <w:r>
        <w:t>outhern California Edison Company</w:t>
      </w:r>
      <w:r w:rsidRPr="00605082">
        <w:t>, and S</w:t>
      </w:r>
      <w:r>
        <w:t xml:space="preserve">an </w:t>
      </w:r>
      <w:r w:rsidRPr="00605082">
        <w:t>D</w:t>
      </w:r>
      <w:r>
        <w:t xml:space="preserve">iego </w:t>
      </w:r>
      <w:r w:rsidRPr="00605082">
        <w:t>G</w:t>
      </w:r>
      <w:r>
        <w:t xml:space="preserve">as </w:t>
      </w:r>
      <w:r w:rsidRPr="00605082">
        <w:t>&amp;</w:t>
      </w:r>
      <w:r>
        <w:t xml:space="preserve"> </w:t>
      </w:r>
      <w:r w:rsidRPr="00605082">
        <w:t>E</w:t>
      </w:r>
      <w:r>
        <w:t>lectric Company</w:t>
      </w:r>
      <w:r w:rsidRPr="00605082">
        <w:t xml:space="preserve"> </w:t>
      </w:r>
      <w:r w:rsidR="006934F9">
        <w:t xml:space="preserve">must prepare and publicly </w:t>
      </w:r>
      <w:r>
        <w:t>file</w:t>
      </w:r>
      <w:r w:rsidR="000C4A1E">
        <w:t xml:space="preserve"> a 20-</w:t>
      </w:r>
      <w:r w:rsidR="006934F9">
        <w:t>year forecast of bill credits and charges</w:t>
      </w:r>
      <w:r w:rsidRPr="003823D8">
        <w:t xml:space="preserve"> </w:t>
      </w:r>
      <w:r>
        <w:t xml:space="preserve">via Tier 1 Advice Letter, and upon approval by the Commission must publish the forecasts online </w:t>
      </w:r>
      <w:r w:rsidR="006934F9">
        <w:t xml:space="preserve">within 60 days of the date of this </w:t>
      </w:r>
      <w:r w:rsidR="00123546">
        <w:t xml:space="preserve">Decision </w:t>
      </w:r>
      <w:r w:rsidR="006934F9">
        <w:t>using the methodology described in Section 3.4.</w:t>
      </w:r>
      <w:r w:rsidR="00140EC5">
        <w:t xml:space="preserve"> </w:t>
      </w:r>
      <w:r w:rsidR="005C1FDB">
        <w:t xml:space="preserve"> </w:t>
      </w:r>
      <w:r w:rsidR="00140EC5">
        <w:t>Forecasts for 2017 and 2018 must be published no later than February each year.</w:t>
      </w:r>
    </w:p>
    <w:p w:rsidR="000F40D3" w:rsidRDefault="002063F7" w:rsidP="00A32D7C">
      <w:pPr>
        <w:pStyle w:val="num1"/>
        <w:numPr>
          <w:ilvl w:val="0"/>
          <w:numId w:val="25"/>
        </w:numPr>
      </w:pPr>
      <w:r>
        <w:t>A</w:t>
      </w:r>
      <w:r w:rsidR="00F51936">
        <w:t xml:space="preserve">ll Green Tariff Shared Renewables </w:t>
      </w:r>
      <w:r w:rsidR="00507AA5">
        <w:t>program subscribers</w:t>
      </w:r>
      <w:r>
        <w:t xml:space="preserve"> have</w:t>
      </w:r>
      <w:r w:rsidR="00507AA5">
        <w:t xml:space="preserve"> the option of remaining on the </w:t>
      </w:r>
      <w:r w:rsidR="00E11386">
        <w:t xml:space="preserve">Green Tariff </w:t>
      </w:r>
      <w:r w:rsidR="00507AA5">
        <w:t xml:space="preserve">or </w:t>
      </w:r>
      <w:r w:rsidR="00E11386">
        <w:t>Enhanced Community Renewables</w:t>
      </w:r>
      <w:r w:rsidR="00507AA5">
        <w:t xml:space="preserve"> tariffs to </w:t>
      </w:r>
      <w:r w:rsidR="00507AA5">
        <w:lastRenderedPageBreak/>
        <w:t xml:space="preserve">a period of up to 20 years, but all </w:t>
      </w:r>
      <w:r w:rsidR="008F4837">
        <w:t>Green Tariff Shared Renewables</w:t>
      </w:r>
      <w:r w:rsidR="008F4837" w:rsidRPr="00605082">
        <w:t xml:space="preserve"> </w:t>
      </w:r>
      <w:r w:rsidR="00507AA5">
        <w:t>rate components remain variable.</w:t>
      </w:r>
      <w:r w:rsidRPr="002063F7">
        <w:t xml:space="preserve"> </w:t>
      </w:r>
    </w:p>
    <w:p w:rsidR="00025F77" w:rsidRDefault="003823D8" w:rsidP="00A32D7C">
      <w:pPr>
        <w:pStyle w:val="num1"/>
        <w:numPr>
          <w:ilvl w:val="0"/>
          <w:numId w:val="25"/>
        </w:numPr>
      </w:pPr>
      <w:r w:rsidRPr="00605082">
        <w:t>P</w:t>
      </w:r>
      <w:r>
        <w:t xml:space="preserve">acific </w:t>
      </w:r>
      <w:r w:rsidRPr="00605082">
        <w:t>G</w:t>
      </w:r>
      <w:r>
        <w:t xml:space="preserve">as and </w:t>
      </w:r>
      <w:r w:rsidRPr="00605082">
        <w:t>E</w:t>
      </w:r>
      <w:r>
        <w:t>lectric Company</w:t>
      </w:r>
      <w:r w:rsidRPr="00605082">
        <w:t>, S</w:t>
      </w:r>
      <w:r>
        <w:t>outhern California Edison Company</w:t>
      </w:r>
      <w:r w:rsidRPr="00605082">
        <w:t>, and S</w:t>
      </w:r>
      <w:r>
        <w:t xml:space="preserve">an </w:t>
      </w:r>
      <w:r w:rsidRPr="00605082">
        <w:t>D</w:t>
      </w:r>
      <w:r>
        <w:t xml:space="preserve">iego </w:t>
      </w:r>
      <w:r w:rsidRPr="00605082">
        <w:t>G</w:t>
      </w:r>
      <w:r>
        <w:t xml:space="preserve">as </w:t>
      </w:r>
      <w:r w:rsidRPr="00605082">
        <w:t>&amp;</w:t>
      </w:r>
      <w:r>
        <w:t xml:space="preserve"> </w:t>
      </w:r>
      <w:r w:rsidRPr="00605082">
        <w:t>E</w:t>
      </w:r>
      <w:r>
        <w:t>lectric Company</w:t>
      </w:r>
      <w:r w:rsidRPr="00605082">
        <w:t xml:space="preserve"> </w:t>
      </w:r>
      <w:r w:rsidR="00025F77">
        <w:t xml:space="preserve">must </w:t>
      </w:r>
      <w:r w:rsidR="00025F77" w:rsidRPr="00521681">
        <w:t>convene informational session</w:t>
      </w:r>
      <w:r w:rsidR="00316C5F">
        <w:t>s</w:t>
      </w:r>
      <w:r w:rsidR="00025F77" w:rsidRPr="00521681">
        <w:t xml:space="preserve"> to demonstrate their websites</w:t>
      </w:r>
      <w:r w:rsidR="00025F77">
        <w:t xml:space="preserve"> that provide</w:t>
      </w:r>
      <w:r w:rsidR="00025F77" w:rsidRPr="00521681">
        <w:t xml:space="preserve"> </w:t>
      </w:r>
      <w:r w:rsidR="00025F77">
        <w:t>a 20 year forecast of the bill credits and charges</w:t>
      </w:r>
      <w:r w:rsidR="00025F77" w:rsidRPr="00521681">
        <w:t xml:space="preserve"> to interested parties within </w:t>
      </w:r>
      <w:r w:rsidR="000F40D3">
        <w:t>45</w:t>
      </w:r>
      <w:r w:rsidR="00025F77" w:rsidRPr="00521681">
        <w:t xml:space="preserve"> days of the date of this </w:t>
      </w:r>
      <w:r w:rsidR="00123546">
        <w:t>D</w:t>
      </w:r>
      <w:r w:rsidR="00123546" w:rsidRPr="00521681">
        <w:t>ecision</w:t>
      </w:r>
      <w:r w:rsidR="00025F77" w:rsidRPr="00521681">
        <w:t>.</w:t>
      </w:r>
    </w:p>
    <w:p w:rsidR="00507AA5" w:rsidRDefault="003823D8" w:rsidP="00A32D7C">
      <w:pPr>
        <w:pStyle w:val="num1"/>
        <w:numPr>
          <w:ilvl w:val="0"/>
          <w:numId w:val="25"/>
        </w:numPr>
      </w:pPr>
      <w:r w:rsidRPr="00605082">
        <w:t>S</w:t>
      </w:r>
      <w:r>
        <w:t xml:space="preserve">outhern California Edison Company </w:t>
      </w:r>
      <w:r w:rsidR="00507AA5">
        <w:t>must</w:t>
      </w:r>
      <w:r w:rsidR="00507AA5" w:rsidRPr="00507AA5">
        <w:t xml:space="preserve"> convene a working group in April 2017 to evaluate and assess the accuracy and efficacy of the $10/MWh </w:t>
      </w:r>
      <w:r w:rsidR="008F4837">
        <w:t>Renewable Energy Credit</w:t>
      </w:r>
      <w:r w:rsidR="00507AA5" w:rsidRPr="00507AA5">
        <w:t xml:space="preserve"> value and file a May 15, 2017 compliance report in this docket summarizing the perspectives of the parties, including relevant supporting documentation, about the ongoing validity of the adopted </w:t>
      </w:r>
      <w:r w:rsidR="008F4837">
        <w:t>Renewable Energy Credit</w:t>
      </w:r>
      <w:r w:rsidR="008F4837" w:rsidRPr="00507AA5">
        <w:t xml:space="preserve"> </w:t>
      </w:r>
      <w:r w:rsidR="00507AA5" w:rsidRPr="00507AA5">
        <w:t>value.</w:t>
      </w:r>
    </w:p>
    <w:p w:rsidR="005018D2" w:rsidRDefault="005018D2" w:rsidP="005018D2">
      <w:pPr>
        <w:pStyle w:val="num1"/>
        <w:numPr>
          <w:ilvl w:val="0"/>
          <w:numId w:val="25"/>
        </w:numPr>
      </w:pPr>
      <w:r w:rsidRPr="005018D2">
        <w:t xml:space="preserve">Until such time as a statewide methodology is adopted for calculating greenhouse gas emissions associated with a retail product, the </w:t>
      </w:r>
      <w:r w:rsidR="008F4837">
        <w:t>Green Tariff Shared Renewables</w:t>
      </w:r>
      <w:r w:rsidR="008F4837" w:rsidRPr="00605082">
        <w:t xml:space="preserve"> </w:t>
      </w:r>
      <w:r w:rsidRPr="005018D2">
        <w:t>program may not be marketed</w:t>
      </w:r>
      <w:r w:rsidR="00A13939">
        <w:t xml:space="preserve"> by any retail seller</w:t>
      </w:r>
      <w:r w:rsidRPr="005018D2">
        <w:t xml:space="preserve"> to potential subscribers by making specific claims about portfolio greenhouse gas emissions for specific products</w:t>
      </w:r>
      <w:r>
        <w:t>.</w:t>
      </w:r>
    </w:p>
    <w:p w:rsidR="002E5263" w:rsidRDefault="002E5263" w:rsidP="002E5263">
      <w:pPr>
        <w:pStyle w:val="num1"/>
        <w:numPr>
          <w:ilvl w:val="0"/>
          <w:numId w:val="25"/>
        </w:numPr>
      </w:pPr>
      <w:r w:rsidRPr="002E5263">
        <w:t>Energy Division and Legal Division</w:t>
      </w:r>
      <w:r>
        <w:t xml:space="preserve"> must</w:t>
      </w:r>
      <w:r w:rsidRPr="002E5263">
        <w:t xml:space="preserve"> host a workshop within two months of the effective date of this </w:t>
      </w:r>
      <w:r w:rsidR="00123546">
        <w:t>D</w:t>
      </w:r>
      <w:r w:rsidRPr="002E5263">
        <w:t>ecision to provide a facilitated forum for the parties to discuss and develop a petition to modify D.15-01-051</w:t>
      </w:r>
      <w:r>
        <w:t xml:space="preserve"> as it relates to the AmLaw 100 securities opinion requirement</w:t>
      </w:r>
      <w:r w:rsidRPr="002E5263">
        <w:t>.</w:t>
      </w:r>
    </w:p>
    <w:p w:rsidR="00EC0660" w:rsidRDefault="003823D8" w:rsidP="005018D2">
      <w:pPr>
        <w:pStyle w:val="num1"/>
        <w:numPr>
          <w:ilvl w:val="0"/>
          <w:numId w:val="25"/>
        </w:numPr>
        <w:sectPr w:rsidR="00EC0660" w:rsidSect="00C15735">
          <w:headerReference w:type="default" r:id="rId16"/>
          <w:headerReference w:type="first" r:id="rId17"/>
          <w:footerReference w:type="first" r:id="rId18"/>
          <w:pgSz w:w="12240" w:h="15840" w:code="1"/>
          <w:pgMar w:top="1152" w:right="1440" w:bottom="1440" w:left="1440" w:header="720" w:footer="720" w:gutter="0"/>
          <w:pgNumType w:start="2"/>
          <w:cols w:space="720"/>
          <w:titlePg/>
        </w:sectPr>
      </w:pPr>
      <w:r>
        <w:t>A</w:t>
      </w:r>
      <w:r w:rsidR="00F51936">
        <w:t>ll rulings made by the a</w:t>
      </w:r>
      <w:r w:rsidR="00316C5F">
        <w:t xml:space="preserve">ssigned Commissioner and </w:t>
      </w:r>
      <w:r w:rsidR="00F51936">
        <w:t>a</w:t>
      </w:r>
      <w:r w:rsidR="00316C5F">
        <w:t>ssigned Administrative Law Judge</w:t>
      </w:r>
      <w:r>
        <w:t xml:space="preserve"> are affirmed</w:t>
      </w:r>
      <w:r w:rsidR="00316C5F">
        <w:t xml:space="preserve">. </w:t>
      </w:r>
      <w:r w:rsidR="00F51936">
        <w:t xml:space="preserve"> </w:t>
      </w:r>
      <w:r w:rsidR="00316C5F">
        <w:t>All motions not previously ruled on are denied as moot.</w:t>
      </w:r>
    </w:p>
    <w:p w:rsidR="00B30FF9" w:rsidRDefault="00B30FF9" w:rsidP="00A32D7C">
      <w:pPr>
        <w:pStyle w:val="num1"/>
        <w:numPr>
          <w:ilvl w:val="0"/>
          <w:numId w:val="25"/>
        </w:numPr>
      </w:pPr>
      <w:r>
        <w:lastRenderedPageBreak/>
        <w:t>Application</w:t>
      </w:r>
      <w:r w:rsidR="009000DE">
        <w:t>s (A.)</w:t>
      </w:r>
      <w:r w:rsidR="009535C0">
        <w:t xml:space="preserve"> 12-01-008, A</w:t>
      </w:r>
      <w:r w:rsidR="009000DE">
        <w:t>.</w:t>
      </w:r>
      <w:r w:rsidR="009535C0">
        <w:t>12-04-020, and A</w:t>
      </w:r>
      <w:r w:rsidR="009000DE">
        <w:t>.</w:t>
      </w:r>
      <w:r w:rsidR="009535C0">
        <w:t>14-</w:t>
      </w:r>
      <w:r w:rsidR="00D16290">
        <w:t>01</w:t>
      </w:r>
      <w:r w:rsidR="009535C0">
        <w:t>-007</w:t>
      </w:r>
      <w:r>
        <w:t xml:space="preserve"> </w:t>
      </w:r>
      <w:r w:rsidR="009535C0">
        <w:t>are</w:t>
      </w:r>
      <w:r>
        <w:t xml:space="preserve"> closed.</w:t>
      </w:r>
    </w:p>
    <w:p w:rsidR="00B30FF9" w:rsidRDefault="00B30FF9">
      <w:pPr>
        <w:pStyle w:val="standard"/>
      </w:pPr>
      <w:r>
        <w:t>This order is effective today.</w:t>
      </w:r>
    </w:p>
    <w:p w:rsidR="00B30FF9" w:rsidRDefault="00B30FF9" w:rsidP="002A1142">
      <w:pPr>
        <w:pStyle w:val="standard"/>
        <w:tabs>
          <w:tab w:val="left" w:pos="5040"/>
        </w:tabs>
      </w:pPr>
      <w:r>
        <w:t>Dated</w:t>
      </w:r>
      <w:r w:rsidR="00EC0660">
        <w:t xml:space="preserve"> May 12, 2016</w:t>
      </w:r>
      <w:r w:rsidR="007E6E0C" w:rsidRPr="007E6E0C">
        <w:t>,</w:t>
      </w:r>
      <w:r>
        <w:t xml:space="preserve"> at </w:t>
      </w:r>
      <w:r w:rsidR="007D198D">
        <w:t>Sacramento</w:t>
      </w:r>
      <w:r>
        <w:t xml:space="preserve">, California. </w:t>
      </w:r>
    </w:p>
    <w:p w:rsidR="00EC0660" w:rsidRDefault="00EC0660" w:rsidP="002A1142">
      <w:pPr>
        <w:pStyle w:val="standard"/>
        <w:tabs>
          <w:tab w:val="left" w:pos="5040"/>
        </w:tabs>
      </w:pPr>
    </w:p>
    <w:p w:rsidR="00EC0660" w:rsidRDefault="00EC0660" w:rsidP="002A1142">
      <w:pPr>
        <w:pStyle w:val="standard"/>
        <w:tabs>
          <w:tab w:val="left" w:pos="5040"/>
        </w:tabs>
      </w:pPr>
    </w:p>
    <w:tbl>
      <w:tblPr>
        <w:tblW w:w="0" w:type="auto"/>
        <w:tblLook w:val="04A0" w:firstRow="1" w:lastRow="0" w:firstColumn="1" w:lastColumn="0" w:noHBand="0" w:noVBand="1"/>
      </w:tblPr>
      <w:tblGrid>
        <w:gridCol w:w="5148"/>
        <w:gridCol w:w="270"/>
        <w:gridCol w:w="4158"/>
      </w:tblGrid>
      <w:tr w:rsidR="00EC0660" w:rsidRPr="00B40E13" w:rsidTr="00D8395C">
        <w:trPr>
          <w:trHeight w:val="2205"/>
        </w:trPr>
        <w:tc>
          <w:tcPr>
            <w:tcW w:w="5148" w:type="dxa"/>
          </w:tcPr>
          <w:p w:rsidR="00EC0660" w:rsidRPr="00B40E13" w:rsidRDefault="00EC0660" w:rsidP="00D8395C">
            <w:pPr>
              <w:keepNext/>
              <w:keepLines/>
              <w:autoSpaceDE w:val="0"/>
              <w:autoSpaceDN w:val="0"/>
              <w:adjustRightInd w:val="0"/>
              <w:rPr>
                <w:rFonts w:cs="Palatino"/>
                <w:szCs w:val="26"/>
              </w:rPr>
            </w:pPr>
          </w:p>
        </w:tc>
        <w:tc>
          <w:tcPr>
            <w:tcW w:w="270" w:type="dxa"/>
          </w:tcPr>
          <w:p w:rsidR="00EC0660" w:rsidRPr="00B40E13" w:rsidRDefault="00EC0660" w:rsidP="00D8395C">
            <w:pPr>
              <w:keepNext/>
              <w:keepLines/>
              <w:autoSpaceDE w:val="0"/>
              <w:autoSpaceDN w:val="0"/>
              <w:adjustRightInd w:val="0"/>
              <w:rPr>
                <w:rFonts w:cs="Palatino"/>
                <w:szCs w:val="26"/>
              </w:rPr>
            </w:pPr>
          </w:p>
        </w:tc>
        <w:tc>
          <w:tcPr>
            <w:tcW w:w="4158" w:type="dxa"/>
            <w:hideMark/>
          </w:tcPr>
          <w:p w:rsidR="00EC0660" w:rsidRPr="00B40E13" w:rsidRDefault="00EC0660" w:rsidP="00D8395C">
            <w:pPr>
              <w:keepNext/>
              <w:keepLines/>
              <w:autoSpaceDE w:val="0"/>
              <w:autoSpaceDN w:val="0"/>
              <w:adjustRightInd w:val="0"/>
              <w:ind w:left="72"/>
              <w:rPr>
                <w:rFonts w:cs="Palatino"/>
                <w:szCs w:val="26"/>
              </w:rPr>
            </w:pPr>
            <w:r w:rsidRPr="00B40E13">
              <w:rPr>
                <w:rFonts w:cs="Palatino"/>
                <w:szCs w:val="26"/>
              </w:rPr>
              <w:t>MICHAEL PICKER</w:t>
            </w:r>
          </w:p>
          <w:p w:rsidR="00EC0660" w:rsidRPr="00B40E13" w:rsidRDefault="00EC0660" w:rsidP="00D8395C">
            <w:pPr>
              <w:keepNext/>
              <w:keepLines/>
              <w:autoSpaceDE w:val="0"/>
              <w:autoSpaceDN w:val="0"/>
              <w:adjustRightInd w:val="0"/>
              <w:ind w:left="72"/>
              <w:rPr>
                <w:rFonts w:cs="Palatino"/>
                <w:szCs w:val="26"/>
              </w:rPr>
            </w:pPr>
            <w:r w:rsidRPr="00B40E13">
              <w:rPr>
                <w:rFonts w:cs="Palatino"/>
                <w:szCs w:val="26"/>
              </w:rPr>
              <w:t xml:space="preserve">             </w:t>
            </w:r>
            <w:r w:rsidRPr="00B40E13">
              <w:rPr>
                <w:rFonts w:cs="Palatino"/>
                <w:sz w:val="34"/>
                <w:szCs w:val="26"/>
              </w:rPr>
              <w:t xml:space="preserve"> </w:t>
            </w:r>
            <w:r w:rsidRPr="00B40E13">
              <w:rPr>
                <w:rFonts w:cs="Palatino"/>
                <w:sz w:val="16"/>
                <w:szCs w:val="26"/>
              </w:rPr>
              <w:t xml:space="preserve"> </w:t>
            </w:r>
            <w:r w:rsidRPr="00B40E13">
              <w:rPr>
                <w:rFonts w:cs="Palatino"/>
                <w:szCs w:val="26"/>
              </w:rPr>
              <w:t xml:space="preserve">   President</w:t>
            </w:r>
          </w:p>
          <w:p w:rsidR="00EC0660" w:rsidRPr="00B40E13" w:rsidRDefault="00EC0660" w:rsidP="00D8395C">
            <w:pPr>
              <w:keepNext/>
              <w:keepLines/>
              <w:autoSpaceDE w:val="0"/>
              <w:autoSpaceDN w:val="0"/>
              <w:adjustRightInd w:val="0"/>
              <w:ind w:left="72"/>
              <w:rPr>
                <w:rFonts w:cs="Courier New"/>
                <w:szCs w:val="26"/>
              </w:rPr>
            </w:pPr>
            <w:r w:rsidRPr="00B40E13">
              <w:rPr>
                <w:rFonts w:cs="Courier New"/>
                <w:szCs w:val="26"/>
              </w:rPr>
              <w:t>MICHEL PETER FLORIO</w:t>
            </w:r>
          </w:p>
          <w:p w:rsidR="00EC0660" w:rsidRPr="00B40E13" w:rsidRDefault="00EC0660" w:rsidP="00D8395C">
            <w:pPr>
              <w:keepNext/>
              <w:keepLines/>
              <w:autoSpaceDE w:val="0"/>
              <w:autoSpaceDN w:val="0"/>
              <w:adjustRightInd w:val="0"/>
              <w:ind w:left="72"/>
              <w:rPr>
                <w:rFonts w:cs="Courier New"/>
                <w:szCs w:val="26"/>
              </w:rPr>
            </w:pPr>
            <w:r w:rsidRPr="00B40E13">
              <w:rPr>
                <w:rFonts w:cs="Courier New"/>
                <w:szCs w:val="26"/>
              </w:rPr>
              <w:t>CATHERINE J.K. SANDOVAL</w:t>
            </w:r>
          </w:p>
          <w:p w:rsidR="00EC0660" w:rsidRPr="00B40E13" w:rsidRDefault="00EC0660" w:rsidP="00D8395C">
            <w:pPr>
              <w:keepNext/>
              <w:keepLines/>
              <w:autoSpaceDE w:val="0"/>
              <w:autoSpaceDN w:val="0"/>
              <w:adjustRightInd w:val="0"/>
              <w:ind w:left="72"/>
              <w:rPr>
                <w:rFonts w:cs="Courier New"/>
                <w:szCs w:val="26"/>
              </w:rPr>
            </w:pPr>
            <w:r w:rsidRPr="00B40E13">
              <w:rPr>
                <w:rFonts w:cs="Courier New"/>
                <w:szCs w:val="26"/>
              </w:rPr>
              <w:t>CARLA J. PETERMAN</w:t>
            </w:r>
          </w:p>
          <w:p w:rsidR="00EC0660" w:rsidRPr="00B40E13" w:rsidRDefault="00EC0660" w:rsidP="00D8395C">
            <w:pPr>
              <w:keepNext/>
              <w:keepLines/>
              <w:autoSpaceDE w:val="0"/>
              <w:autoSpaceDN w:val="0"/>
              <w:adjustRightInd w:val="0"/>
              <w:ind w:left="72"/>
              <w:rPr>
                <w:rFonts w:cs="Courier New"/>
                <w:szCs w:val="26"/>
              </w:rPr>
            </w:pPr>
            <w:r w:rsidRPr="00B40E13">
              <w:rPr>
                <w:rFonts w:cs="Courier New"/>
                <w:szCs w:val="26"/>
              </w:rPr>
              <w:t>LIANE M. RANDOLPH</w:t>
            </w:r>
          </w:p>
          <w:p w:rsidR="00EC0660" w:rsidRPr="00B40E13" w:rsidRDefault="00EC0660" w:rsidP="00D8395C">
            <w:pPr>
              <w:keepNext/>
              <w:keepLines/>
              <w:autoSpaceDE w:val="0"/>
              <w:autoSpaceDN w:val="0"/>
              <w:adjustRightInd w:val="0"/>
              <w:ind w:left="72"/>
            </w:pPr>
            <w:r w:rsidRPr="00B40E13">
              <w:t xml:space="preserve">                            Commissioners</w:t>
            </w:r>
          </w:p>
        </w:tc>
      </w:tr>
    </w:tbl>
    <w:p w:rsidR="00EC0660" w:rsidRPr="00EC0660" w:rsidRDefault="00EC0660" w:rsidP="002A1142">
      <w:pPr>
        <w:pStyle w:val="standard"/>
        <w:tabs>
          <w:tab w:val="left" w:pos="5040"/>
        </w:tabs>
      </w:pPr>
    </w:p>
    <w:sectPr w:rsidR="00EC0660" w:rsidRPr="00EC0660" w:rsidSect="00C15735">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AF" w:rsidRDefault="00463DAF">
      <w:r>
        <w:separator/>
      </w:r>
    </w:p>
  </w:endnote>
  <w:endnote w:type="continuationSeparator" w:id="0">
    <w:p w:rsidR="00463DAF" w:rsidRDefault="004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08" w:rsidRDefault="00300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Default="00923E0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32C0F">
      <w:rPr>
        <w:rStyle w:val="PageNumber"/>
        <w:noProof/>
      </w:rPr>
      <w:t>44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Pr="00C15735" w:rsidRDefault="00EC0660" w:rsidP="00C15735">
    <w:pPr>
      <w:pStyle w:val="Footer"/>
      <w:jc w:val="left"/>
    </w:pPr>
    <w:r w:rsidRPr="00EC0660">
      <w:rPr>
        <w:sz w:val="16"/>
        <w:szCs w:val="16"/>
      </w:rPr>
      <w:t>162142830</w:t>
    </w:r>
    <w:r w:rsidR="00923E04">
      <w:tab/>
      <w:t xml:space="preserve">- </w:t>
    </w:r>
    <w:r w:rsidR="00923E04">
      <w:rPr>
        <w:rStyle w:val="PageNumber"/>
      </w:rPr>
      <w:fldChar w:fldCharType="begin"/>
    </w:r>
    <w:r w:rsidR="00923E04">
      <w:rPr>
        <w:rStyle w:val="PageNumber"/>
      </w:rPr>
      <w:instrText xml:space="preserve"> PAGE </w:instrText>
    </w:r>
    <w:r w:rsidR="00923E04">
      <w:rPr>
        <w:rStyle w:val="PageNumber"/>
      </w:rPr>
      <w:fldChar w:fldCharType="separate"/>
    </w:r>
    <w:r w:rsidR="00432C0F">
      <w:rPr>
        <w:rStyle w:val="PageNumber"/>
        <w:noProof/>
      </w:rPr>
      <w:t>1</w:t>
    </w:r>
    <w:r w:rsidR="00923E04">
      <w:rPr>
        <w:rStyle w:val="PageNumber"/>
      </w:rPr>
      <w:fldChar w:fldCharType="end"/>
    </w:r>
    <w:r w:rsidR="00923E04">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Pr="00C15735" w:rsidRDefault="00923E04" w:rsidP="00C15735">
    <w:pPr>
      <w:pStyle w:val="Footer"/>
      <w:jc w:val="left"/>
    </w:pPr>
    <w:r>
      <w:rPr>
        <w:sz w:val="16"/>
        <w:szCs w:val="16"/>
      </w:rPr>
      <w:tab/>
    </w:r>
    <w:r>
      <w:t>- i</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Pr="00C15735" w:rsidRDefault="00923E04" w:rsidP="00C15735">
    <w:pPr>
      <w:pStyle w:val="Footer"/>
      <w:jc w:val="left"/>
    </w:pPr>
    <w:r>
      <w:rPr>
        <w:sz w:val="16"/>
        <w:szCs w:val="16"/>
      </w:rPr>
      <w:tab/>
    </w:r>
    <w:r>
      <w:t xml:space="preserve">- </w:t>
    </w:r>
    <w:r>
      <w:rPr>
        <w:rStyle w:val="PageNumber"/>
      </w:rPr>
      <w:fldChar w:fldCharType="begin"/>
    </w:r>
    <w:r>
      <w:rPr>
        <w:rStyle w:val="PageNumber"/>
      </w:rPr>
      <w:instrText xml:space="preserve"> PAGE </w:instrText>
    </w:r>
    <w:r>
      <w:rPr>
        <w:rStyle w:val="PageNumber"/>
      </w:rPr>
      <w:fldChar w:fldCharType="separate"/>
    </w:r>
    <w:r w:rsidR="00432C0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AF" w:rsidRDefault="00463DAF">
      <w:r>
        <w:separator/>
      </w:r>
    </w:p>
  </w:footnote>
  <w:footnote w:type="continuationSeparator" w:id="0">
    <w:p w:rsidR="00463DAF" w:rsidRDefault="00463DAF">
      <w:r>
        <w:continuationSeparator/>
      </w:r>
    </w:p>
  </w:footnote>
  <w:footnote w:type="continuationNotice" w:id="1">
    <w:p w:rsidR="00463DAF" w:rsidRDefault="00463DAF">
      <w:pPr>
        <w:rPr>
          <w:sz w:val="22"/>
        </w:rPr>
      </w:pPr>
    </w:p>
    <w:p w:rsidR="00463DAF" w:rsidRDefault="00463DAF">
      <w:pPr>
        <w:jc w:val="right"/>
        <w:rPr>
          <w:sz w:val="22"/>
        </w:rPr>
      </w:pPr>
      <w:r>
        <w:rPr>
          <w:i/>
          <w:sz w:val="22"/>
        </w:rPr>
        <w:t>Footnote continued on next page</w:t>
      </w:r>
    </w:p>
  </w:footnote>
  <w:footnote w:id="2">
    <w:p w:rsidR="00923E04" w:rsidRPr="00657114" w:rsidRDefault="00923E04">
      <w:pPr>
        <w:pStyle w:val="FootnoteText"/>
        <w:rPr>
          <w:sz w:val="22"/>
          <w:szCs w:val="22"/>
        </w:rPr>
      </w:pPr>
      <w:r w:rsidRPr="00657114">
        <w:rPr>
          <w:rStyle w:val="FootnoteReference"/>
          <w:sz w:val="22"/>
          <w:szCs w:val="22"/>
        </w:rPr>
        <w:footnoteRef/>
      </w:r>
      <w:r w:rsidRPr="00657114">
        <w:rPr>
          <w:sz w:val="22"/>
          <w:szCs w:val="22"/>
        </w:rPr>
        <w:t xml:space="preserve"> </w:t>
      </w:r>
      <w:r>
        <w:rPr>
          <w:sz w:val="22"/>
          <w:szCs w:val="22"/>
        </w:rPr>
        <w:t xml:space="preserve"> </w:t>
      </w:r>
      <w:r w:rsidRPr="00657114">
        <w:rPr>
          <w:sz w:val="22"/>
          <w:szCs w:val="22"/>
        </w:rPr>
        <w:t xml:space="preserve">In this decision we distinguish between the Green Tariff and the Enhanced Community Renewables options and use those terms to refer to the individual programs. </w:t>
      </w:r>
      <w:r>
        <w:rPr>
          <w:sz w:val="22"/>
          <w:szCs w:val="22"/>
        </w:rPr>
        <w:t xml:space="preserve"> </w:t>
      </w:r>
      <w:r w:rsidRPr="00657114">
        <w:rPr>
          <w:sz w:val="22"/>
          <w:szCs w:val="22"/>
        </w:rPr>
        <w:t>When we use the term GTSR, we refer to the overall statutory program that includes both options.</w:t>
      </w:r>
    </w:p>
  </w:footnote>
  <w:footnote w:id="3">
    <w:p w:rsidR="00923E04" w:rsidRDefault="00923E04">
      <w:pPr>
        <w:pStyle w:val="FootnoteText"/>
      </w:pPr>
      <w:r w:rsidRPr="008D07D8">
        <w:rPr>
          <w:rStyle w:val="FootnoteReference"/>
          <w:sz w:val="22"/>
        </w:rPr>
        <w:footnoteRef/>
      </w:r>
      <w:r w:rsidRPr="008D07D8">
        <w:rPr>
          <w:sz w:val="22"/>
        </w:rPr>
        <w:t xml:space="preserve"> </w:t>
      </w:r>
      <w:r>
        <w:rPr>
          <w:sz w:val="22"/>
        </w:rPr>
        <w:t xml:space="preserve"> </w:t>
      </w:r>
      <w:r w:rsidRPr="008D07D8">
        <w:rPr>
          <w:sz w:val="22"/>
        </w:rPr>
        <w:t xml:space="preserve">The utility advance procurement activity is approved through an Advice Letter Process. </w:t>
      </w:r>
      <w:r>
        <w:rPr>
          <w:sz w:val="22"/>
        </w:rPr>
        <w:t xml:space="preserve"> </w:t>
      </w:r>
      <w:r w:rsidRPr="008D07D8">
        <w:rPr>
          <w:sz w:val="22"/>
        </w:rPr>
        <w:t xml:space="preserve">On January 22, 2016, PG&amp;E filed Advice Letter 4780-E for approval of eight contracts for 52.75 MW to serve the Green Tariff.  On February 2, 2016, SCE filed Advice Letter 3358-E for approval of a contract for 20 MW to serve the Green Tariff. </w:t>
      </w:r>
      <w:r>
        <w:rPr>
          <w:sz w:val="22"/>
        </w:rPr>
        <w:t xml:space="preserve"> </w:t>
      </w:r>
      <w:r w:rsidRPr="008D07D8">
        <w:rPr>
          <w:sz w:val="22"/>
        </w:rPr>
        <w:t xml:space="preserve">On January 15, 2016, SDG&amp;E filed Advice Letter 2849-E for approval of a contract for 20 MW to serve the Green Tariff. </w:t>
      </w:r>
    </w:p>
  </w:footnote>
  <w:footnote w:id="4">
    <w:p w:rsidR="00923E04" w:rsidRPr="008D07D8" w:rsidRDefault="00923E04">
      <w:pPr>
        <w:pStyle w:val="FootnoteText"/>
        <w:rPr>
          <w:sz w:val="22"/>
        </w:rPr>
      </w:pPr>
      <w:r>
        <w:rPr>
          <w:rStyle w:val="FootnoteReference"/>
        </w:rPr>
        <w:footnoteRef/>
      </w:r>
      <w:r>
        <w:t xml:space="preserve">  </w:t>
      </w:r>
      <w:r w:rsidRPr="008D07D8">
        <w:rPr>
          <w:sz w:val="22"/>
        </w:rPr>
        <w:t xml:space="preserve">Enrollment capacity presented in PG&amp;E’s Progress Report is calculated by converting each enrolled customer’s past twelve months of historical usage, where available, to MW using the weighted average capacity factor of the interim resources currently serving the Green Tariff program. </w:t>
      </w:r>
      <w:r>
        <w:rPr>
          <w:sz w:val="22"/>
        </w:rPr>
        <w:t xml:space="preserve"> </w:t>
      </w:r>
      <w:r w:rsidRPr="008D07D8">
        <w:rPr>
          <w:sz w:val="22"/>
        </w:rPr>
        <w:t>Because this is a new tariff, actual load is unknown.</w:t>
      </w:r>
    </w:p>
  </w:footnote>
  <w:footnote w:id="5">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0A1F7B">
        <w:rPr>
          <w:sz w:val="22"/>
        </w:rPr>
        <w:t xml:space="preserve">Unless otherwise stated, all statutory references are to the California Public Utilities Code. </w:t>
      </w:r>
      <w:r w:rsidRPr="00DB4733">
        <w:rPr>
          <w:sz w:val="22"/>
        </w:rPr>
        <w:t>Environmental Justice Projects refers to facilities sized up to one MW that are located in “the most impacted and disadvantaged communities” as</w:t>
      </w:r>
      <w:r>
        <w:rPr>
          <w:sz w:val="22"/>
        </w:rPr>
        <w:t xml:space="preserve"> described in § </w:t>
      </w:r>
      <w:r w:rsidRPr="00DB4733">
        <w:rPr>
          <w:sz w:val="22"/>
        </w:rPr>
        <w:t>2833(d)(1)(A) and defined in D.15-01-051.</w:t>
      </w:r>
    </w:p>
  </w:footnote>
  <w:footnote w:id="6">
    <w:p w:rsidR="00923E04" w:rsidRPr="00DB4733" w:rsidRDefault="00923E04" w:rsidP="00252553">
      <w:pPr>
        <w:pStyle w:val="FootnoteText"/>
        <w:rPr>
          <w:sz w:val="22"/>
        </w:rPr>
      </w:pPr>
      <w:r w:rsidRPr="00DB4733">
        <w:rPr>
          <w:rStyle w:val="FootnoteReference"/>
          <w:sz w:val="22"/>
        </w:rPr>
        <w:footnoteRef/>
      </w:r>
      <w:r>
        <w:rPr>
          <w:sz w:val="22"/>
        </w:rPr>
        <w:t xml:space="preserve"> </w:t>
      </w:r>
      <w:r w:rsidRPr="00DB4733">
        <w:rPr>
          <w:sz w:val="22"/>
        </w:rPr>
        <w:t xml:space="preserve"> Some of the scoping issues may not have been covered by the commenters. </w:t>
      </w:r>
      <w:r>
        <w:rPr>
          <w:sz w:val="22"/>
        </w:rPr>
        <w:t xml:space="preserve"> </w:t>
      </w:r>
      <w:r w:rsidRPr="00DB4733">
        <w:rPr>
          <w:sz w:val="22"/>
        </w:rPr>
        <w:t xml:space="preserve">For example, although D.15-01-051 and the Scoping Memo allowed consideration of alternative Enhanced Community Renewables transactions structures, no changes (other than allowing procurement through the Renewable Auction Mechanism) were proposed as a result of Phase IV, Track A, Issue 9. </w:t>
      </w:r>
      <w:r>
        <w:rPr>
          <w:sz w:val="22"/>
        </w:rPr>
        <w:t xml:space="preserve"> </w:t>
      </w:r>
      <w:r w:rsidRPr="00DB4733">
        <w:rPr>
          <w:sz w:val="22"/>
        </w:rPr>
        <w:t xml:space="preserve">In addition, Phase IV, Track B, Issue 5 requires action first in R.14-08-013 and therefore is not addressed here. </w:t>
      </w:r>
      <w:r>
        <w:rPr>
          <w:sz w:val="22"/>
        </w:rPr>
        <w:t xml:space="preserve"> </w:t>
      </w:r>
      <w:r w:rsidRPr="00DB4733">
        <w:rPr>
          <w:sz w:val="22"/>
        </w:rPr>
        <w:t>Parties were unanimous that the list of bill credits and charges identified in the ALJ Ruling (Issue 1.2) was comprehensive and therefore is not further addressed here.</w:t>
      </w:r>
    </w:p>
  </w:footnote>
  <w:footnote w:id="7">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Neither SB 43 nor D.15-01-051 require a specified portion of Environmental Justice projects to be either Enhanced Community Renewables or Green Tariff projects, we use “Enhanced Community Renewables-Environmental Justice” to describe projects that meet both the Enhanced Community Renewables and Environmental Justice criteria.</w:t>
      </w:r>
    </w:p>
  </w:footnote>
  <w:footnote w:id="8">
    <w:p w:rsidR="00923E04" w:rsidRDefault="00923E04">
      <w:pPr>
        <w:pStyle w:val="FootnoteText"/>
      </w:pPr>
      <w:r w:rsidRPr="00DB4733">
        <w:rPr>
          <w:rStyle w:val="FootnoteReference"/>
          <w:sz w:val="22"/>
        </w:rPr>
        <w:footnoteRef/>
      </w:r>
      <w:r>
        <w:rPr>
          <w:sz w:val="22"/>
        </w:rPr>
        <w:t xml:space="preserve">  P</w:t>
      </w:r>
      <w:r w:rsidRPr="00DB4733">
        <w:rPr>
          <w:sz w:val="22"/>
        </w:rPr>
        <w:t>hase IV, Track A, Issue 3; Phase IV, Track B, Issue 3; ALJ Ruling Issue 2.1.</w:t>
      </w:r>
    </w:p>
  </w:footnote>
  <w:footnote w:id="9">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 xml:space="preserve">D.15-01-051 at 33 directed the utilities not to start new solicitations after January 31, 2018, unless the IOU’s GTSR Program has been re-authorized or extended. </w:t>
      </w:r>
      <w:r>
        <w:rPr>
          <w:sz w:val="22"/>
        </w:rPr>
        <w:t xml:space="preserve"> </w:t>
      </w:r>
      <w:r w:rsidRPr="00DB4733">
        <w:rPr>
          <w:sz w:val="22"/>
        </w:rPr>
        <w:t>This decision provides that extension to the solicitation schedule.</w:t>
      </w:r>
      <w:r w:rsidR="004A7AFE">
        <w:rPr>
          <w:sz w:val="22"/>
        </w:rPr>
        <w:t xml:space="preserve"> We also confirm that only one solicitation need be held in 2016.</w:t>
      </w:r>
    </w:p>
  </w:footnote>
  <w:footnote w:id="10">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 xml:space="preserve">For example, PG&amp;E’s total allocation of GTSR capacity is 272 MW, with 45 MW reserved for Environmental Justice projects and 20 MW reserved for the City of Davis. </w:t>
      </w:r>
      <w:r>
        <w:rPr>
          <w:sz w:val="22"/>
        </w:rPr>
        <w:t xml:space="preserve"> </w:t>
      </w:r>
      <w:r w:rsidRPr="00DB4733">
        <w:rPr>
          <w:sz w:val="22"/>
        </w:rPr>
        <w:t>Per its February 2016 Progress Report, it has enrolled 7.8 MW on its Green Tariff, leaving 264.</w:t>
      </w:r>
      <w:r>
        <w:rPr>
          <w:sz w:val="22"/>
        </w:rPr>
        <w:t>2</w:t>
      </w:r>
      <w:r w:rsidRPr="00DB4733">
        <w:rPr>
          <w:sz w:val="22"/>
        </w:rPr>
        <w:t xml:space="preserve"> unenrolled. </w:t>
      </w:r>
      <w:r>
        <w:rPr>
          <w:sz w:val="22"/>
        </w:rPr>
        <w:t xml:space="preserve"> </w:t>
      </w:r>
      <w:r w:rsidRPr="00DB4733">
        <w:rPr>
          <w:sz w:val="22"/>
        </w:rPr>
        <w:t>A Renewable Auction Mechanism solicitation held in March 2016 could be for a maximum of 199.</w:t>
      </w:r>
      <w:r>
        <w:rPr>
          <w:sz w:val="22"/>
        </w:rPr>
        <w:t>2</w:t>
      </w:r>
      <w:r w:rsidRPr="00DB4733">
        <w:rPr>
          <w:sz w:val="22"/>
        </w:rPr>
        <w:t xml:space="preserve"> MW of Enhanced Community Renewables projects (264.</w:t>
      </w:r>
      <w:r>
        <w:rPr>
          <w:sz w:val="22"/>
        </w:rPr>
        <w:t>2</w:t>
      </w:r>
      <w:r w:rsidRPr="00DB4733">
        <w:rPr>
          <w:sz w:val="22"/>
        </w:rPr>
        <w:t xml:space="preserve"> less 45 less 20) and a maximum of 244.</w:t>
      </w:r>
      <w:r>
        <w:rPr>
          <w:sz w:val="22"/>
        </w:rPr>
        <w:t>2</w:t>
      </w:r>
      <w:r w:rsidRPr="00DB4733">
        <w:rPr>
          <w:sz w:val="22"/>
        </w:rPr>
        <w:t xml:space="preserve"> MW (264.</w:t>
      </w:r>
      <w:r>
        <w:rPr>
          <w:sz w:val="22"/>
        </w:rPr>
        <w:t>2</w:t>
      </w:r>
      <w:r w:rsidRPr="00DB4733">
        <w:rPr>
          <w:sz w:val="22"/>
        </w:rPr>
        <w:t xml:space="preserve"> less 20) Enhanced Community Renewables-Environmental Justice projects. </w:t>
      </w:r>
    </w:p>
  </w:footnote>
  <w:footnote w:id="11">
    <w:p w:rsidR="00D321AE" w:rsidRDefault="00D321AE">
      <w:pPr>
        <w:pStyle w:val="FootnoteText"/>
      </w:pPr>
      <w:r>
        <w:rPr>
          <w:rStyle w:val="FootnoteReference"/>
        </w:rPr>
        <w:footnoteRef/>
      </w:r>
      <w:r>
        <w:t xml:space="preserve"> By all source we mean a general market Renewable Auction Mechanism solicitation.</w:t>
      </w:r>
    </w:p>
  </w:footnote>
  <w:footnote w:id="12">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For example, if SCE’s first Enhanced Community Renewables solicitation is for 75 MW and only 65 MW are subscribed, the second solicitation will have a minimum capacity offer of 85</w:t>
      </w:r>
      <w:r>
        <w:rPr>
          <w:sz w:val="22"/>
        </w:rPr>
        <w:t> </w:t>
      </w:r>
      <w:r w:rsidRPr="00DB4733">
        <w:rPr>
          <w:sz w:val="22"/>
        </w:rPr>
        <w:t>MW (75 MW minimum plus 10 MW unsubscribed from solicitation 1).</w:t>
      </w:r>
    </w:p>
  </w:footnote>
  <w:footnote w:id="13">
    <w:p w:rsidR="00923E04" w:rsidRPr="00DB4733" w:rsidRDefault="00923E04" w:rsidP="00CE6C32">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Phase IV, Track B, Issue 2.</w:t>
      </w:r>
    </w:p>
  </w:footnote>
  <w:footnote w:id="14">
    <w:p w:rsidR="00923E04" w:rsidRPr="00DB4733" w:rsidRDefault="00923E04">
      <w:pPr>
        <w:pStyle w:val="FootnoteText"/>
        <w:rPr>
          <w:sz w:val="22"/>
          <w:szCs w:val="22"/>
        </w:rPr>
      </w:pPr>
      <w:r w:rsidRPr="00DB4733">
        <w:rPr>
          <w:rStyle w:val="FootnoteReference"/>
          <w:sz w:val="22"/>
          <w:szCs w:val="22"/>
        </w:rPr>
        <w:footnoteRef/>
      </w:r>
      <w:r w:rsidRPr="00DB4733">
        <w:rPr>
          <w:sz w:val="22"/>
          <w:szCs w:val="22"/>
        </w:rPr>
        <w:t xml:space="preserve"> </w:t>
      </w:r>
      <w:r>
        <w:rPr>
          <w:sz w:val="22"/>
          <w:szCs w:val="22"/>
        </w:rPr>
        <w:t xml:space="preserve"> </w:t>
      </w:r>
      <w:r w:rsidRPr="00DB4733">
        <w:rPr>
          <w:sz w:val="22"/>
          <w:szCs w:val="22"/>
        </w:rPr>
        <w:t>Phase IV, Track B, Issue 9.</w:t>
      </w:r>
    </w:p>
  </w:footnote>
  <w:footnote w:id="15">
    <w:p w:rsidR="00923E04" w:rsidRDefault="00923E04">
      <w:pPr>
        <w:pStyle w:val="FootnoteText"/>
      </w:pPr>
      <w:r w:rsidRPr="00DB4733">
        <w:rPr>
          <w:rStyle w:val="FootnoteReference"/>
          <w:sz w:val="22"/>
          <w:szCs w:val="22"/>
        </w:rPr>
        <w:footnoteRef/>
      </w:r>
      <w:r w:rsidRPr="00DB4733">
        <w:rPr>
          <w:sz w:val="22"/>
          <w:szCs w:val="22"/>
        </w:rPr>
        <w:t xml:space="preserve"> </w:t>
      </w:r>
      <w:r>
        <w:rPr>
          <w:sz w:val="22"/>
          <w:szCs w:val="22"/>
        </w:rPr>
        <w:t xml:space="preserve"> </w:t>
      </w:r>
      <w:r w:rsidRPr="00DB4733">
        <w:rPr>
          <w:sz w:val="22"/>
          <w:szCs w:val="22"/>
        </w:rPr>
        <w:t xml:space="preserve">For example, using the </w:t>
      </w:r>
      <w:r>
        <w:rPr>
          <w:sz w:val="22"/>
          <w:szCs w:val="22"/>
        </w:rPr>
        <w:t>footnote 9</w:t>
      </w:r>
      <w:r w:rsidRPr="00DB4733">
        <w:rPr>
          <w:sz w:val="22"/>
          <w:szCs w:val="22"/>
        </w:rPr>
        <w:t xml:space="preserve"> example’s figures, if there were 60 MW of Enhanced Community Renewables-Environmental Justice project capacity bid, and 130 MW of Enhanced Community Renewables project capacity bid, all 190 MW would be awarded. </w:t>
      </w:r>
      <w:r>
        <w:rPr>
          <w:sz w:val="22"/>
          <w:szCs w:val="22"/>
        </w:rPr>
        <w:t xml:space="preserve"> </w:t>
      </w:r>
      <w:r w:rsidRPr="00DB4733">
        <w:rPr>
          <w:sz w:val="22"/>
          <w:szCs w:val="22"/>
        </w:rPr>
        <w:t xml:space="preserve">If however 150 MW of Enhanced Community Renewables project capacity were bid, the total capacity bid would be 210 MW, exceeding the available unsubscribed capacity. </w:t>
      </w:r>
      <w:r>
        <w:rPr>
          <w:sz w:val="22"/>
          <w:szCs w:val="22"/>
        </w:rPr>
        <w:t xml:space="preserve"> </w:t>
      </w:r>
      <w:r w:rsidRPr="00DB4733">
        <w:rPr>
          <w:sz w:val="22"/>
          <w:szCs w:val="22"/>
        </w:rPr>
        <w:t>I</w:t>
      </w:r>
      <w:r w:rsidR="0085274D">
        <w:rPr>
          <w:sz w:val="22"/>
          <w:szCs w:val="22"/>
        </w:rPr>
        <w:t>n this case, the least-</w:t>
      </w:r>
      <w:r w:rsidRPr="00DB4733">
        <w:rPr>
          <w:sz w:val="22"/>
          <w:szCs w:val="22"/>
        </w:rPr>
        <w:t xml:space="preserve">cost best fit Enhanced Community Renewables-Environmental Justice projects that result in 45 MW capacity </w:t>
      </w:r>
      <w:r>
        <w:rPr>
          <w:sz w:val="22"/>
          <w:szCs w:val="22"/>
        </w:rPr>
        <w:t>would be</w:t>
      </w:r>
      <w:r w:rsidRPr="00DB4733">
        <w:rPr>
          <w:sz w:val="22"/>
          <w:szCs w:val="22"/>
        </w:rPr>
        <w:t xml:space="preserve"> awarded, and then all remaining projects </w:t>
      </w:r>
      <w:r>
        <w:rPr>
          <w:sz w:val="22"/>
          <w:szCs w:val="22"/>
        </w:rPr>
        <w:t>would be</w:t>
      </w:r>
      <w:r w:rsidRPr="00DB4733">
        <w:rPr>
          <w:sz w:val="22"/>
          <w:szCs w:val="22"/>
        </w:rPr>
        <w:t xml:space="preserve"> evaluated in one pool until the remaining 199.</w:t>
      </w:r>
      <w:r>
        <w:rPr>
          <w:sz w:val="22"/>
          <w:szCs w:val="22"/>
        </w:rPr>
        <w:t>2</w:t>
      </w:r>
      <w:r w:rsidRPr="00DB4733">
        <w:rPr>
          <w:sz w:val="22"/>
          <w:szCs w:val="22"/>
        </w:rPr>
        <w:t xml:space="preserve"> MW are awarded.</w:t>
      </w:r>
      <w:r>
        <w:t xml:space="preserve"> </w:t>
      </w:r>
    </w:p>
  </w:footnote>
  <w:footnote w:id="16">
    <w:p w:rsidR="00923E04" w:rsidRPr="00DB4733" w:rsidRDefault="00923E04">
      <w:pPr>
        <w:pStyle w:val="FootnoteText"/>
        <w:rPr>
          <w:sz w:val="22"/>
          <w:szCs w:val="22"/>
        </w:rPr>
      </w:pPr>
      <w:r w:rsidRPr="00DB4733">
        <w:rPr>
          <w:rStyle w:val="FootnoteReference"/>
          <w:sz w:val="22"/>
          <w:szCs w:val="22"/>
        </w:rPr>
        <w:footnoteRef/>
      </w:r>
      <w:r w:rsidRPr="00DB4733">
        <w:rPr>
          <w:sz w:val="22"/>
          <w:szCs w:val="22"/>
        </w:rPr>
        <w:t xml:space="preserve"> </w:t>
      </w:r>
      <w:r>
        <w:rPr>
          <w:sz w:val="22"/>
          <w:szCs w:val="22"/>
        </w:rPr>
        <w:t xml:space="preserve"> </w:t>
      </w:r>
      <w:r w:rsidRPr="00DB4733">
        <w:rPr>
          <w:sz w:val="22"/>
          <w:szCs w:val="22"/>
        </w:rPr>
        <w:t xml:space="preserve">There appears to be general agreement that the hourly day-ahead DLAP price is administratively simple and equitable means of fulfilling the requirement of D.15-01-051.  </w:t>
      </w:r>
      <w:r>
        <w:rPr>
          <w:sz w:val="22"/>
          <w:szCs w:val="22"/>
        </w:rPr>
        <w:t>(ALJ </w:t>
      </w:r>
      <w:r w:rsidRPr="00DB4733">
        <w:rPr>
          <w:sz w:val="22"/>
          <w:szCs w:val="22"/>
        </w:rPr>
        <w:t>Ruling Issue 2.2, bullet 1, 5 and 6.)</w:t>
      </w:r>
    </w:p>
  </w:footnote>
  <w:footnote w:id="17">
    <w:p w:rsidR="00923E04" w:rsidRDefault="00923E04" w:rsidP="00642391">
      <w:pPr>
        <w:pStyle w:val="FootnoteText"/>
      </w:pPr>
      <w:r w:rsidRPr="00DB4733">
        <w:rPr>
          <w:rStyle w:val="FootnoteReference"/>
          <w:sz w:val="22"/>
          <w:szCs w:val="22"/>
        </w:rPr>
        <w:footnoteRef/>
      </w:r>
      <w:r w:rsidRPr="00DB4733">
        <w:rPr>
          <w:sz w:val="22"/>
          <w:szCs w:val="22"/>
        </w:rPr>
        <w:t xml:space="preserve"> </w:t>
      </w:r>
      <w:r>
        <w:rPr>
          <w:sz w:val="22"/>
          <w:szCs w:val="22"/>
        </w:rPr>
        <w:t xml:space="preserve"> </w:t>
      </w:r>
      <w:r w:rsidRPr="00DB4733">
        <w:rPr>
          <w:sz w:val="22"/>
          <w:szCs w:val="22"/>
        </w:rPr>
        <w:t xml:space="preserve">As defined in D.15-01-051 at 62-63. </w:t>
      </w:r>
      <w:r>
        <w:rPr>
          <w:sz w:val="22"/>
          <w:szCs w:val="22"/>
        </w:rPr>
        <w:t xml:space="preserve"> </w:t>
      </w:r>
      <w:r w:rsidRPr="00DB4733">
        <w:rPr>
          <w:sz w:val="22"/>
          <w:szCs w:val="22"/>
        </w:rPr>
        <w:t xml:space="preserve">Through the lesser of the bid price or DLAP + REC, utilities will compensate Enhanced Community Renewables for the value of RECs associated with unsubscribed energy (Phase IV, Track A, Issue 5 and ALJ Ruling Issue 2.2, bullets 2-5). </w:t>
      </w:r>
      <w:r>
        <w:rPr>
          <w:sz w:val="22"/>
          <w:szCs w:val="22"/>
        </w:rPr>
        <w:t xml:space="preserve"> </w:t>
      </w:r>
      <w:r w:rsidRPr="00DB4733">
        <w:rPr>
          <w:sz w:val="22"/>
          <w:szCs w:val="22"/>
        </w:rPr>
        <w:t>The REC value is described in Section 3.3.1 below.</w:t>
      </w:r>
    </w:p>
  </w:footnote>
  <w:footnote w:id="18">
    <w:p w:rsidR="00923E04" w:rsidRPr="00DB4733" w:rsidRDefault="00923E04">
      <w:pPr>
        <w:pStyle w:val="FootnoteText"/>
        <w:rPr>
          <w:sz w:val="22"/>
        </w:rPr>
      </w:pPr>
      <w:r w:rsidRPr="00DB4733">
        <w:rPr>
          <w:rStyle w:val="FootnoteReference"/>
          <w:sz w:val="22"/>
        </w:rPr>
        <w:footnoteRef/>
      </w:r>
      <w:r w:rsidRPr="00DB4733">
        <w:rPr>
          <w:sz w:val="22"/>
        </w:rPr>
        <w:t xml:space="preserve"> </w:t>
      </w:r>
      <w:r>
        <w:rPr>
          <w:sz w:val="22"/>
        </w:rPr>
        <w:t xml:space="preserve"> </w:t>
      </w:r>
      <w:r w:rsidRPr="00DB4733">
        <w:rPr>
          <w:sz w:val="22"/>
        </w:rPr>
        <w:t>Except as described below for projects located in Imperial Val</w:t>
      </w:r>
      <w:r>
        <w:rPr>
          <w:sz w:val="22"/>
        </w:rPr>
        <w:t>ley and projects greater than 3 </w:t>
      </w:r>
      <w:r w:rsidRPr="00DB4733">
        <w:rPr>
          <w:sz w:val="22"/>
        </w:rPr>
        <w:t>MW.</w:t>
      </w:r>
    </w:p>
  </w:footnote>
  <w:footnote w:id="19">
    <w:p w:rsidR="00923E04" w:rsidRDefault="00923E04">
      <w:pPr>
        <w:pStyle w:val="FootnoteText"/>
      </w:pPr>
      <w:r w:rsidRPr="00DB4733">
        <w:rPr>
          <w:rStyle w:val="FootnoteReference"/>
          <w:sz w:val="22"/>
        </w:rPr>
        <w:footnoteRef/>
      </w:r>
      <w:r w:rsidRPr="00DB4733">
        <w:rPr>
          <w:sz w:val="22"/>
        </w:rPr>
        <w:t xml:space="preserve"> </w:t>
      </w:r>
      <w:r>
        <w:rPr>
          <w:sz w:val="22"/>
        </w:rPr>
        <w:t xml:space="preserve"> </w:t>
      </w:r>
      <w:r w:rsidRPr="00DB4733">
        <w:rPr>
          <w:sz w:val="22"/>
        </w:rPr>
        <w:t>Phase IV, Track B, Issues 6 and 7.</w:t>
      </w:r>
    </w:p>
  </w:footnote>
  <w:footnote w:id="20">
    <w:p w:rsidR="00633908" w:rsidRDefault="00633908">
      <w:pPr>
        <w:pStyle w:val="FootnoteText"/>
      </w:pPr>
      <w:r w:rsidRPr="0085274D">
        <w:rPr>
          <w:rStyle w:val="FootnoteReference"/>
          <w:sz w:val="22"/>
        </w:rPr>
        <w:footnoteRef/>
      </w:r>
      <w:r w:rsidRPr="0085274D">
        <w:rPr>
          <w:sz w:val="22"/>
        </w:rPr>
        <w:t xml:space="preserve"> </w:t>
      </w:r>
      <w:r w:rsidR="0085274D">
        <w:rPr>
          <w:sz w:val="22"/>
        </w:rPr>
        <w:t xml:space="preserve"> </w:t>
      </w:r>
      <w:r w:rsidRPr="0085274D">
        <w:rPr>
          <w:sz w:val="22"/>
        </w:rPr>
        <w:t xml:space="preserve">Imperial Valley is defined as </w:t>
      </w:r>
      <w:r w:rsidR="00B7414D" w:rsidRPr="0085274D">
        <w:rPr>
          <w:sz w:val="22"/>
        </w:rPr>
        <w:t>projects</w:t>
      </w:r>
      <w:r w:rsidR="00A43D6C" w:rsidRPr="0085274D">
        <w:rPr>
          <w:sz w:val="22"/>
        </w:rPr>
        <w:t xml:space="preserve"> attached to the Imperial Valley substation for purposes of GTSR participation.</w:t>
      </w:r>
    </w:p>
  </w:footnote>
  <w:footnote w:id="21">
    <w:p w:rsidR="00923E04" w:rsidRDefault="00923E04">
      <w:pPr>
        <w:pStyle w:val="FootnoteText"/>
      </w:pPr>
      <w:r w:rsidRPr="0085274D">
        <w:rPr>
          <w:rStyle w:val="FootnoteReference"/>
          <w:sz w:val="22"/>
        </w:rPr>
        <w:footnoteRef/>
      </w:r>
      <w:r w:rsidRPr="0085274D">
        <w:rPr>
          <w:sz w:val="22"/>
        </w:rPr>
        <w:t xml:space="preserve"> </w:t>
      </w:r>
      <w:r w:rsidR="0085274D">
        <w:rPr>
          <w:sz w:val="22"/>
        </w:rPr>
        <w:t xml:space="preserve"> </w:t>
      </w:r>
      <w:r w:rsidRPr="0085274D">
        <w:rPr>
          <w:sz w:val="22"/>
        </w:rPr>
        <w:t>ORA December 9, 2015 Reply Comments on Phase IV Track B Scope at 5.</w:t>
      </w:r>
    </w:p>
  </w:footnote>
  <w:footnote w:id="22">
    <w:p w:rsidR="00923E04" w:rsidRDefault="00923E04">
      <w:pPr>
        <w:pStyle w:val="FootnoteText"/>
      </w:pPr>
      <w:r w:rsidRPr="00FE1D63">
        <w:rPr>
          <w:rStyle w:val="FootnoteReference"/>
          <w:sz w:val="22"/>
        </w:rPr>
        <w:footnoteRef/>
      </w:r>
      <w:r w:rsidRPr="00FE1D63">
        <w:rPr>
          <w:sz w:val="22"/>
        </w:rPr>
        <w:t xml:space="preserve"> </w:t>
      </w:r>
      <w:r>
        <w:rPr>
          <w:sz w:val="22"/>
        </w:rPr>
        <w:t xml:space="preserve"> </w:t>
      </w:r>
      <w:r w:rsidRPr="00FE1D63">
        <w:rPr>
          <w:sz w:val="22"/>
        </w:rPr>
        <w:t>Phase IV, Track B, Issue 1.</w:t>
      </w:r>
    </w:p>
  </w:footnote>
  <w:footnote w:id="23">
    <w:p w:rsidR="00923E04" w:rsidRDefault="00923E04">
      <w:pPr>
        <w:pStyle w:val="FootnoteText"/>
      </w:pPr>
      <w:r w:rsidRPr="00275C7B">
        <w:rPr>
          <w:rStyle w:val="FootnoteReference"/>
          <w:sz w:val="22"/>
        </w:rPr>
        <w:footnoteRef/>
      </w:r>
      <w:r w:rsidRPr="00275C7B">
        <w:rPr>
          <w:sz w:val="22"/>
        </w:rPr>
        <w:t xml:space="preserve"> </w:t>
      </w:r>
      <w:r>
        <w:rPr>
          <w:sz w:val="22"/>
        </w:rPr>
        <w:t xml:space="preserve"> </w:t>
      </w:r>
      <w:r w:rsidRPr="00275C7B">
        <w:rPr>
          <w:sz w:val="22"/>
        </w:rPr>
        <w:t>Phase IV, Track A, Issue 2.</w:t>
      </w:r>
    </w:p>
  </w:footnote>
  <w:footnote w:id="24">
    <w:p w:rsidR="00923E04" w:rsidRDefault="00923E04">
      <w:pPr>
        <w:pStyle w:val="FootnoteText"/>
      </w:pPr>
      <w:r w:rsidRPr="007D198D">
        <w:rPr>
          <w:rStyle w:val="FootnoteReference"/>
          <w:sz w:val="22"/>
        </w:rPr>
        <w:footnoteRef/>
      </w:r>
      <w:r w:rsidRPr="007D198D">
        <w:rPr>
          <w:sz w:val="22"/>
        </w:rPr>
        <w:t xml:space="preserve"> </w:t>
      </w:r>
      <w:r>
        <w:rPr>
          <w:sz w:val="22"/>
        </w:rPr>
        <w:t xml:space="preserve"> </w:t>
      </w:r>
      <w:r w:rsidRPr="007D198D">
        <w:rPr>
          <w:sz w:val="22"/>
        </w:rPr>
        <w:t>Phase IV, Track A, Issue 8.</w:t>
      </w:r>
    </w:p>
  </w:footnote>
  <w:footnote w:id="25">
    <w:p w:rsidR="00923E04" w:rsidRDefault="00923E04">
      <w:pPr>
        <w:pStyle w:val="FootnoteText"/>
      </w:pPr>
      <w:r w:rsidRPr="000E3A1C">
        <w:rPr>
          <w:rStyle w:val="FootnoteReference"/>
          <w:sz w:val="22"/>
        </w:rPr>
        <w:footnoteRef/>
      </w:r>
      <w:r w:rsidRPr="000E3A1C">
        <w:rPr>
          <w:sz w:val="22"/>
        </w:rPr>
        <w:t xml:space="preserve"> </w:t>
      </w:r>
      <w:r>
        <w:rPr>
          <w:sz w:val="22"/>
        </w:rPr>
        <w:t xml:space="preserve"> </w:t>
      </w:r>
      <w:r w:rsidRPr="000E3A1C">
        <w:rPr>
          <w:sz w:val="22"/>
        </w:rPr>
        <w:t>Likewise ALJ Ruling, Issue 1.7 seeks comments on whether a 20 year subscription period is mandated by SB 793.</w:t>
      </w:r>
    </w:p>
  </w:footnote>
  <w:footnote w:id="26">
    <w:p w:rsidR="00923E04" w:rsidRDefault="00923E04">
      <w:pPr>
        <w:pStyle w:val="FootnoteText"/>
      </w:pPr>
      <w:r>
        <w:rPr>
          <w:rStyle w:val="FootnoteReference"/>
        </w:rPr>
        <w:footnoteRef/>
      </w:r>
      <w:r>
        <w:t xml:space="preserve"> The information that must be provided is described in Section 3.4.</w:t>
      </w:r>
    </w:p>
  </w:footnote>
  <w:footnote w:id="27">
    <w:p w:rsidR="00923E04" w:rsidRPr="00726BC2" w:rsidRDefault="00923E04" w:rsidP="003B38FB">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Phase IV, Track A, Issue 5.</w:t>
      </w:r>
    </w:p>
  </w:footnote>
  <w:footnote w:id="28">
    <w:p w:rsidR="00923E04" w:rsidRDefault="00923E04">
      <w:pPr>
        <w:pStyle w:val="FootnoteText"/>
      </w:pPr>
      <w:r w:rsidRPr="00726BC2">
        <w:rPr>
          <w:rStyle w:val="FootnoteReference"/>
          <w:sz w:val="22"/>
        </w:rPr>
        <w:footnoteRef/>
      </w:r>
      <w:r w:rsidRPr="00726BC2">
        <w:rPr>
          <w:sz w:val="22"/>
        </w:rPr>
        <w:t xml:space="preserve"> </w:t>
      </w:r>
      <w:r>
        <w:rPr>
          <w:sz w:val="22"/>
        </w:rPr>
        <w:t xml:space="preserve"> </w:t>
      </w:r>
      <w:r w:rsidRPr="00726BC2">
        <w:rPr>
          <w:sz w:val="22"/>
        </w:rPr>
        <w:t>D.15-01-051 at 51.</w:t>
      </w:r>
    </w:p>
  </w:footnote>
  <w:footnote w:id="29">
    <w:p w:rsidR="00923E04" w:rsidRPr="00726BC2" w:rsidRDefault="00923E04">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PG&amp;E November 20, 2015 Opening Comments at 10.</w:t>
      </w:r>
    </w:p>
  </w:footnote>
  <w:footnote w:id="30">
    <w:p w:rsidR="00923E04" w:rsidRPr="00726BC2" w:rsidRDefault="00923E04">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SEIA November 20, 2015 Opening Comments at 30.</w:t>
      </w:r>
    </w:p>
  </w:footnote>
  <w:footnote w:id="31">
    <w:p w:rsidR="00923E04" w:rsidRDefault="00923E04">
      <w:pPr>
        <w:pStyle w:val="FootnoteText"/>
      </w:pPr>
      <w:r w:rsidRPr="00726BC2">
        <w:rPr>
          <w:rStyle w:val="FootnoteReference"/>
          <w:sz w:val="22"/>
        </w:rPr>
        <w:footnoteRef/>
      </w:r>
      <w:r w:rsidRPr="00726BC2">
        <w:rPr>
          <w:sz w:val="22"/>
        </w:rPr>
        <w:t xml:space="preserve"> </w:t>
      </w:r>
      <w:r>
        <w:rPr>
          <w:sz w:val="22"/>
        </w:rPr>
        <w:t xml:space="preserve"> </w:t>
      </w:r>
      <w:r w:rsidRPr="00726BC2">
        <w:rPr>
          <w:sz w:val="22"/>
        </w:rPr>
        <w:t>ALJ Ruling Issue 2.2 bullet 6.</w:t>
      </w:r>
    </w:p>
  </w:footnote>
  <w:footnote w:id="32">
    <w:p w:rsidR="00923E04" w:rsidRPr="000E3A1C" w:rsidRDefault="00923E04">
      <w:pPr>
        <w:pStyle w:val="FootnoteText"/>
        <w:rPr>
          <w:sz w:val="22"/>
        </w:rPr>
      </w:pPr>
      <w:r w:rsidRPr="000E3A1C">
        <w:rPr>
          <w:rStyle w:val="FootnoteReference"/>
          <w:sz w:val="22"/>
        </w:rPr>
        <w:footnoteRef/>
      </w:r>
      <w:r w:rsidRPr="000E3A1C">
        <w:rPr>
          <w:sz w:val="22"/>
        </w:rPr>
        <w:t xml:space="preserve"> </w:t>
      </w:r>
      <w:r>
        <w:rPr>
          <w:sz w:val="22"/>
        </w:rPr>
        <w:t xml:space="preserve"> </w:t>
      </w:r>
      <w:r w:rsidRPr="000E3A1C">
        <w:rPr>
          <w:sz w:val="22"/>
        </w:rPr>
        <w:t>Phase IV, Track A, Issue 4.</w:t>
      </w:r>
    </w:p>
  </w:footnote>
  <w:footnote w:id="33">
    <w:p w:rsidR="00923E04" w:rsidRPr="000E3A1C" w:rsidRDefault="00923E04">
      <w:pPr>
        <w:pStyle w:val="FootnoteText"/>
        <w:rPr>
          <w:sz w:val="22"/>
        </w:rPr>
      </w:pPr>
      <w:r w:rsidRPr="000E3A1C">
        <w:rPr>
          <w:rStyle w:val="FootnoteReference"/>
          <w:sz w:val="22"/>
        </w:rPr>
        <w:footnoteRef/>
      </w:r>
      <w:r w:rsidRPr="000E3A1C">
        <w:rPr>
          <w:sz w:val="22"/>
        </w:rPr>
        <w:t xml:space="preserve"> </w:t>
      </w:r>
      <w:r>
        <w:rPr>
          <w:sz w:val="22"/>
        </w:rPr>
        <w:t xml:space="preserve"> </w:t>
      </w:r>
      <w:r w:rsidRPr="000E3A1C">
        <w:rPr>
          <w:sz w:val="22"/>
        </w:rPr>
        <w:t>D.15-01-051 at 119.</w:t>
      </w:r>
    </w:p>
  </w:footnote>
  <w:footnote w:id="34">
    <w:p w:rsidR="00923E04" w:rsidRPr="000E3A1C" w:rsidRDefault="00923E04">
      <w:pPr>
        <w:pStyle w:val="FootnoteText"/>
        <w:rPr>
          <w:sz w:val="22"/>
        </w:rPr>
      </w:pPr>
      <w:r w:rsidRPr="000E3A1C">
        <w:rPr>
          <w:rStyle w:val="FootnoteReference"/>
          <w:sz w:val="22"/>
        </w:rPr>
        <w:footnoteRef/>
      </w:r>
      <w:r w:rsidRPr="000E3A1C">
        <w:rPr>
          <w:sz w:val="22"/>
        </w:rPr>
        <w:t xml:space="preserve"> </w:t>
      </w:r>
      <w:r>
        <w:rPr>
          <w:sz w:val="22"/>
        </w:rPr>
        <w:t xml:space="preserve"> </w:t>
      </w:r>
      <w:r w:rsidRPr="000E3A1C">
        <w:rPr>
          <w:sz w:val="22"/>
        </w:rPr>
        <w:t>D.15-01-051 at 120.</w:t>
      </w:r>
    </w:p>
  </w:footnote>
  <w:footnote w:id="35">
    <w:p w:rsidR="00923E04" w:rsidRDefault="00923E04">
      <w:pPr>
        <w:pStyle w:val="FootnoteText"/>
      </w:pPr>
      <w:r w:rsidRPr="000E3A1C">
        <w:rPr>
          <w:rStyle w:val="FootnoteReference"/>
          <w:sz w:val="22"/>
        </w:rPr>
        <w:footnoteRef/>
      </w:r>
      <w:r>
        <w:rPr>
          <w:sz w:val="22"/>
        </w:rPr>
        <w:t xml:space="preserve"> </w:t>
      </w:r>
      <w:r w:rsidRPr="000E3A1C">
        <w:rPr>
          <w:sz w:val="22"/>
        </w:rPr>
        <w:t xml:space="preserve"> D.15-01-051 at 126.</w:t>
      </w:r>
    </w:p>
  </w:footnote>
  <w:footnote w:id="36">
    <w:p w:rsidR="00923E04" w:rsidRPr="000E3A1C" w:rsidRDefault="00923E04" w:rsidP="00E03541">
      <w:pPr>
        <w:pStyle w:val="FootnoteText"/>
        <w:rPr>
          <w:sz w:val="22"/>
        </w:rPr>
      </w:pPr>
      <w:r w:rsidRPr="000E3A1C">
        <w:rPr>
          <w:rStyle w:val="FootnoteReference"/>
          <w:sz w:val="22"/>
        </w:rPr>
        <w:footnoteRef/>
      </w:r>
      <w:r>
        <w:rPr>
          <w:sz w:val="22"/>
        </w:rPr>
        <w:t xml:space="preserve"> </w:t>
      </w:r>
      <w:r w:rsidRPr="000E3A1C">
        <w:rPr>
          <w:sz w:val="22"/>
        </w:rPr>
        <w:t xml:space="preserve"> Phase IV, Track A, Issue 7.</w:t>
      </w:r>
    </w:p>
  </w:footnote>
  <w:footnote w:id="37">
    <w:p w:rsidR="00923E04" w:rsidRDefault="00923E04">
      <w:pPr>
        <w:pStyle w:val="FootnoteText"/>
      </w:pPr>
      <w:r w:rsidRPr="000E3A1C">
        <w:rPr>
          <w:rStyle w:val="FootnoteReference"/>
          <w:sz w:val="22"/>
        </w:rPr>
        <w:footnoteRef/>
      </w:r>
      <w:r w:rsidRPr="000E3A1C">
        <w:rPr>
          <w:sz w:val="22"/>
        </w:rPr>
        <w:t xml:space="preserve"> </w:t>
      </w:r>
      <w:r>
        <w:rPr>
          <w:sz w:val="22"/>
        </w:rPr>
        <w:t xml:space="preserve"> </w:t>
      </w:r>
      <w:r w:rsidRPr="000E3A1C">
        <w:rPr>
          <w:sz w:val="22"/>
        </w:rPr>
        <w:t>ALJ Ruling Issues 1.1, 1.3, 1.4, and 1.6.</w:t>
      </w:r>
    </w:p>
  </w:footnote>
  <w:footnote w:id="38">
    <w:p w:rsidR="00923E04" w:rsidRPr="00726BC2" w:rsidRDefault="00923E04" w:rsidP="00AB4038">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At the March 8, 2016 PCIA workshop in A.14-05-024 (PG&amp;E’s Energy Resource Recovery Account application), parties discussed the possibility of forecasting the PCIA for each vintage and allowing customers to pay it down on a levelized basis rather than paying an unpredictable rate that fluctuates from year-to-year.  If the Commission eventually adopts a levelized PCIA mechanism, it would presumably also be available to Green Tariff and Enhanced Community Renewables participants.</w:t>
      </w:r>
    </w:p>
  </w:footnote>
  <w:footnote w:id="39">
    <w:p w:rsidR="00923E04" w:rsidRPr="00726BC2" w:rsidRDefault="00923E04">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 xml:space="preserve">Given that a variety of renewable technologies are now permitted to bid into GTSR solicitations, the Solar Value Adjustment should be henceforth be referred to as the Renewable Energy Value Adjustment.  </w:t>
      </w:r>
    </w:p>
  </w:footnote>
  <w:footnote w:id="40">
    <w:p w:rsidR="00684CA0" w:rsidRPr="00684CA0" w:rsidRDefault="00684CA0">
      <w:pPr>
        <w:pStyle w:val="FootnoteText"/>
        <w:rPr>
          <w:lang w:eastAsia="ja-JP"/>
        </w:rPr>
      </w:pPr>
      <w:r w:rsidRPr="00684CA0">
        <w:rPr>
          <w:rStyle w:val="FootnoteReference"/>
          <w:sz w:val="22"/>
        </w:rPr>
        <w:footnoteRef/>
      </w:r>
      <w:r w:rsidRPr="00684CA0">
        <w:rPr>
          <w:sz w:val="22"/>
        </w:rPr>
        <w:t xml:space="preserve"> </w:t>
      </w:r>
      <w:r>
        <w:rPr>
          <w:rFonts w:hint="eastAsia"/>
          <w:sz w:val="22"/>
          <w:lang w:eastAsia="ja-JP"/>
        </w:rPr>
        <w:t xml:space="preserve"> </w:t>
      </w:r>
      <w:r w:rsidRPr="00684CA0">
        <w:rPr>
          <w:rFonts w:hint="eastAsia"/>
          <w:sz w:val="22"/>
          <w:lang w:eastAsia="ja-JP"/>
        </w:rPr>
        <w:t>This charge goes by different names depending on the utility.  SCE retains the</w:t>
      </w:r>
      <w:r w:rsidRPr="00684CA0">
        <w:rPr>
          <w:sz w:val="22"/>
          <w:lang w:eastAsia="ja-JP"/>
        </w:rPr>
        <w:t xml:space="preserve"> Renewable Power Rate name, but PG&amp;E calls this charge the Solar Generation Price and SG&amp;E refer to the SunRate.</w:t>
      </w:r>
    </w:p>
  </w:footnote>
  <w:footnote w:id="41">
    <w:p w:rsidR="00923E04" w:rsidRDefault="00923E04" w:rsidP="007F6F3D">
      <w:pPr>
        <w:pStyle w:val="FootnoteText"/>
      </w:pPr>
      <w:r w:rsidRPr="00726BC2">
        <w:rPr>
          <w:rStyle w:val="FootnoteReference"/>
          <w:sz w:val="22"/>
        </w:rPr>
        <w:footnoteRef/>
      </w:r>
      <w:r w:rsidRPr="00726BC2">
        <w:rPr>
          <w:sz w:val="22"/>
        </w:rPr>
        <w:t xml:space="preserve"> </w:t>
      </w:r>
      <w:r>
        <w:rPr>
          <w:sz w:val="22"/>
        </w:rPr>
        <w:t xml:space="preserve"> </w:t>
      </w:r>
      <w:r w:rsidRPr="00726BC2">
        <w:rPr>
          <w:sz w:val="22"/>
        </w:rPr>
        <w:t>For example, if the CAISO Grid Management charge changes July 1, 2016, that change in starting price would not be reflected until the 2017 update.</w:t>
      </w:r>
    </w:p>
  </w:footnote>
  <w:footnote w:id="42">
    <w:p w:rsidR="00923E04" w:rsidRDefault="00923E04" w:rsidP="002C60C6">
      <w:pPr>
        <w:pStyle w:val="FootnoteText"/>
      </w:pPr>
      <w:r w:rsidRPr="000E3A1C">
        <w:rPr>
          <w:rStyle w:val="FootnoteReference"/>
          <w:sz w:val="22"/>
        </w:rPr>
        <w:footnoteRef/>
      </w:r>
      <w:r w:rsidRPr="000E3A1C">
        <w:rPr>
          <w:sz w:val="22"/>
        </w:rPr>
        <w:t xml:space="preserve"> </w:t>
      </w:r>
      <w:r>
        <w:rPr>
          <w:sz w:val="22"/>
        </w:rPr>
        <w:t xml:space="preserve"> A</w:t>
      </w:r>
      <w:r w:rsidRPr="000E3A1C">
        <w:rPr>
          <w:sz w:val="22"/>
        </w:rPr>
        <w:t>LJ Ruling Issue 1.5.</w:t>
      </w:r>
    </w:p>
  </w:footnote>
  <w:footnote w:id="43">
    <w:p w:rsidR="00923E04" w:rsidRPr="00726BC2" w:rsidRDefault="00923E04">
      <w:pPr>
        <w:pStyle w:val="FootnoteText"/>
        <w:rPr>
          <w:sz w:val="22"/>
        </w:rPr>
      </w:pPr>
      <w:r w:rsidRPr="00726BC2">
        <w:rPr>
          <w:rStyle w:val="FootnoteReference"/>
          <w:sz w:val="22"/>
        </w:rPr>
        <w:footnoteRef/>
      </w:r>
      <w:r w:rsidRPr="00726BC2">
        <w:rPr>
          <w:sz w:val="22"/>
        </w:rPr>
        <w:t xml:space="preserve"> </w:t>
      </w:r>
      <w:r>
        <w:rPr>
          <w:sz w:val="22"/>
        </w:rPr>
        <w:t xml:space="preserve"> </w:t>
      </w:r>
      <w:r w:rsidRPr="00726BC2">
        <w:rPr>
          <w:sz w:val="22"/>
        </w:rPr>
        <w:t>Phase IV, Track A, Issue 6.</w:t>
      </w:r>
    </w:p>
  </w:footnote>
  <w:footnote w:id="44">
    <w:p w:rsidR="00923E04" w:rsidRDefault="00923E04">
      <w:pPr>
        <w:pStyle w:val="FootnoteText"/>
      </w:pPr>
      <w:r w:rsidRPr="00726BC2">
        <w:rPr>
          <w:rStyle w:val="FootnoteReference"/>
          <w:sz w:val="22"/>
        </w:rPr>
        <w:footnoteRef/>
      </w:r>
      <w:r w:rsidRPr="00726BC2">
        <w:rPr>
          <w:sz w:val="22"/>
        </w:rPr>
        <w:t xml:space="preserve"> </w:t>
      </w:r>
      <w:r>
        <w:rPr>
          <w:sz w:val="22"/>
        </w:rPr>
        <w:t xml:space="preserve"> </w:t>
      </w:r>
      <w:r w:rsidRPr="00726BC2">
        <w:rPr>
          <w:sz w:val="22"/>
        </w:rPr>
        <w:t>Currently CalEnviroScreen 2.0.</w:t>
      </w:r>
    </w:p>
  </w:footnote>
  <w:footnote w:id="45">
    <w:p w:rsidR="00923E04" w:rsidRPr="009A6466" w:rsidRDefault="00923E04">
      <w:pPr>
        <w:pStyle w:val="FootnoteText"/>
        <w:rPr>
          <w:sz w:val="22"/>
        </w:rPr>
      </w:pPr>
      <w:r w:rsidRPr="009A6466">
        <w:rPr>
          <w:rStyle w:val="FootnoteReference"/>
          <w:sz w:val="22"/>
        </w:rPr>
        <w:footnoteRef/>
      </w:r>
      <w:r w:rsidRPr="009A6466">
        <w:rPr>
          <w:sz w:val="22"/>
        </w:rPr>
        <w:t xml:space="preserve"> </w:t>
      </w:r>
      <w:r>
        <w:rPr>
          <w:sz w:val="22"/>
        </w:rPr>
        <w:t xml:space="preserve"> </w:t>
      </w:r>
      <w:r w:rsidRPr="009A6466">
        <w:rPr>
          <w:sz w:val="22"/>
        </w:rPr>
        <w:t>Phase IV, Track B, Issue 4.</w:t>
      </w:r>
    </w:p>
  </w:footnote>
  <w:footnote w:id="46">
    <w:p w:rsidR="00923E04" w:rsidRPr="00D32644" w:rsidRDefault="00923E04">
      <w:pPr>
        <w:pStyle w:val="FootnoteText"/>
        <w:rPr>
          <w:rFonts w:ascii="Calibri" w:hAnsi="Calibri"/>
        </w:rPr>
      </w:pPr>
      <w:r w:rsidRPr="009A6466">
        <w:rPr>
          <w:rStyle w:val="FootnoteReference"/>
          <w:sz w:val="22"/>
          <w:szCs w:val="22"/>
        </w:rPr>
        <w:footnoteRef/>
      </w:r>
      <w:r w:rsidRPr="009A6466">
        <w:rPr>
          <w:sz w:val="22"/>
          <w:szCs w:val="22"/>
        </w:rPr>
        <w:t xml:space="preserve"> </w:t>
      </w:r>
      <w:r>
        <w:rPr>
          <w:sz w:val="22"/>
          <w:szCs w:val="22"/>
        </w:rPr>
        <w:t xml:space="preserve"> </w:t>
      </w:r>
      <w:r w:rsidRPr="009A6466">
        <w:rPr>
          <w:sz w:val="22"/>
          <w:szCs w:val="22"/>
        </w:rPr>
        <w:t>§</w:t>
      </w:r>
      <w:r>
        <w:rPr>
          <w:sz w:val="22"/>
          <w:szCs w:val="22"/>
        </w:rPr>
        <w:t xml:space="preserve"> </w:t>
      </w:r>
      <w:r w:rsidRPr="009A6466">
        <w:rPr>
          <w:sz w:val="22"/>
          <w:szCs w:val="22"/>
        </w:rPr>
        <w:t>398.4</w:t>
      </w:r>
      <w:r w:rsidRPr="009A6466">
        <w:rPr>
          <w:sz w:val="26"/>
        </w:rPr>
        <w:t>.</w:t>
      </w:r>
    </w:p>
  </w:footnote>
  <w:footnote w:id="47">
    <w:p w:rsidR="00923E04" w:rsidRPr="00F51936" w:rsidRDefault="00923E04">
      <w:pPr>
        <w:pStyle w:val="FootnoteText"/>
        <w:rPr>
          <w:sz w:val="22"/>
        </w:rPr>
      </w:pPr>
      <w:r w:rsidRPr="00F51936">
        <w:rPr>
          <w:rStyle w:val="FootnoteReference"/>
          <w:sz w:val="22"/>
        </w:rPr>
        <w:footnoteRef/>
      </w:r>
      <w:r w:rsidRPr="00F51936">
        <w:rPr>
          <w:sz w:val="22"/>
        </w:rPr>
        <w:t xml:space="preserve"> </w:t>
      </w:r>
      <w:r>
        <w:rPr>
          <w:sz w:val="22"/>
        </w:rPr>
        <w:t xml:space="preserve"> </w:t>
      </w:r>
      <w:r w:rsidRPr="00F51936">
        <w:rPr>
          <w:sz w:val="22"/>
        </w:rPr>
        <w:t>Phase IV, Track B, Issue 8.</w:t>
      </w:r>
    </w:p>
  </w:footnote>
  <w:footnote w:id="48">
    <w:p w:rsidR="00923E04" w:rsidRDefault="00923E04">
      <w:pPr>
        <w:pStyle w:val="FootnoteText"/>
      </w:pPr>
      <w:r w:rsidRPr="00F51936">
        <w:rPr>
          <w:rStyle w:val="FootnoteReference"/>
          <w:sz w:val="22"/>
        </w:rPr>
        <w:footnoteRef/>
      </w:r>
      <w:r w:rsidRPr="00F51936">
        <w:rPr>
          <w:sz w:val="22"/>
        </w:rPr>
        <w:t xml:space="preserve"> </w:t>
      </w:r>
      <w:r>
        <w:rPr>
          <w:sz w:val="22"/>
        </w:rPr>
        <w:t xml:space="preserve"> </w:t>
      </w:r>
      <w:r w:rsidRPr="00F51936">
        <w:rPr>
          <w:sz w:val="22"/>
        </w:rPr>
        <w:t>D.15-01-051 at 71.</w:t>
      </w:r>
    </w:p>
  </w:footnote>
  <w:footnote w:id="49">
    <w:p w:rsidR="00923E04" w:rsidRDefault="00923E04">
      <w:pPr>
        <w:pStyle w:val="FootnoteText"/>
      </w:pPr>
      <w:r w:rsidRPr="00F51936">
        <w:rPr>
          <w:rStyle w:val="FootnoteReference"/>
          <w:sz w:val="22"/>
        </w:rPr>
        <w:footnoteRef/>
      </w:r>
      <w:r w:rsidRPr="00F51936">
        <w:rPr>
          <w:sz w:val="22"/>
        </w:rPr>
        <w:t xml:space="preserve"> </w:t>
      </w:r>
      <w:r>
        <w:rPr>
          <w:sz w:val="22"/>
        </w:rPr>
        <w:t xml:space="preserve"> </w:t>
      </w:r>
      <w:r w:rsidRPr="00F51936">
        <w:rPr>
          <w:sz w:val="22"/>
        </w:rPr>
        <w:t>Phase IV, Track A, Issue 10 and Phase IV, Track B, Issue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08" w:rsidRDefault="00300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Default="00923E04" w:rsidP="0085274D">
    <w:pPr>
      <w:pStyle w:val="Header"/>
      <w:tabs>
        <w:tab w:val="clear" w:pos="4320"/>
        <w:tab w:val="clear" w:pos="8640"/>
        <w:tab w:val="left" w:pos="4500"/>
        <w:tab w:val="right" w:pos="9360"/>
      </w:tabs>
    </w:pPr>
    <w:r>
      <w:t>A.12-01-008 et al.  ALJ/MLC/ar9</w:t>
    </w:r>
    <w:r>
      <w:tab/>
    </w:r>
  </w:p>
  <w:p w:rsidR="00923E04" w:rsidRDefault="00923E04">
    <w:pPr>
      <w:pStyle w:val="Header"/>
    </w:pPr>
  </w:p>
  <w:p w:rsidR="00923E04" w:rsidRDefault="00923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08" w:rsidRDefault="00300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Default="00923E04" w:rsidP="00EC0660">
    <w:pPr>
      <w:pStyle w:val="Header"/>
      <w:tabs>
        <w:tab w:val="clear" w:pos="8640"/>
        <w:tab w:val="left" w:pos="4320"/>
        <w:tab w:val="right" w:pos="9360"/>
      </w:tabs>
    </w:pPr>
    <w:r>
      <w:t>A</w:t>
    </w:r>
    <w:r w:rsidR="000E54A4">
      <w:t>.12-01-008 et al.  ALJ/MLC/ar9</w:t>
    </w:r>
  </w:p>
  <w:p w:rsidR="00EC0660" w:rsidRDefault="00EC0660" w:rsidP="00EC0660">
    <w:pPr>
      <w:pStyle w:val="Header"/>
      <w:tabs>
        <w:tab w:val="clear" w:pos="8640"/>
        <w:tab w:val="left" w:pos="4320"/>
        <w:tab w:val="right" w:pos="9360"/>
      </w:tabs>
    </w:pPr>
  </w:p>
  <w:p w:rsidR="00923E04" w:rsidRDefault="00923E04" w:rsidP="00C15735">
    <w:pPr>
      <w:pStyle w:val="Header"/>
    </w:pPr>
  </w:p>
  <w:p w:rsidR="00923E04" w:rsidRDefault="00923E04" w:rsidP="00C15735">
    <w:pPr>
      <w:pStyle w:val="Header"/>
      <w:jc w:val="center"/>
      <w:rPr>
        <w:b/>
      </w:rPr>
    </w:pPr>
    <w:r>
      <w:rPr>
        <w:b/>
      </w:rPr>
      <w:t>Table of Contents</w:t>
    </w:r>
  </w:p>
  <w:p w:rsidR="00923E04" w:rsidRDefault="00923E04" w:rsidP="001F230A">
    <w:pPr>
      <w:pStyle w:val="Header"/>
      <w:tabs>
        <w:tab w:val="clear" w:pos="8640"/>
        <w:tab w:val="right" w:pos="9360"/>
      </w:tabs>
      <w:jc w:val="center"/>
      <w:rPr>
        <w:b/>
      </w:rPr>
    </w:pPr>
  </w:p>
  <w:p w:rsidR="00923E04" w:rsidRDefault="00923E04" w:rsidP="001F230A">
    <w:pPr>
      <w:pStyle w:val="Header"/>
      <w:tabs>
        <w:tab w:val="clear" w:pos="8640"/>
        <w:tab w:val="right" w:pos="9360"/>
      </w:tabs>
      <w:rPr>
        <w:b/>
        <w:u w:val="single"/>
      </w:rPr>
    </w:pPr>
    <w:r>
      <w:rPr>
        <w:b/>
        <w:u w:val="single"/>
      </w:rPr>
      <w:t>Title</w:t>
    </w:r>
    <w:r>
      <w:rPr>
        <w:b/>
      </w:rPr>
      <w:tab/>
    </w:r>
    <w:r>
      <w:rPr>
        <w:b/>
      </w:rPr>
      <w:tab/>
    </w:r>
    <w:r>
      <w:rPr>
        <w:b/>
        <w:u w:val="single"/>
      </w:rPr>
      <w:t>Page</w:t>
    </w:r>
  </w:p>
  <w:p w:rsidR="00923E04" w:rsidRDefault="00923E04" w:rsidP="00C15735">
    <w:pPr>
      <w:pStyle w:val="Header"/>
      <w:rPr>
        <w:b/>
        <w:u w:val="single"/>
      </w:rPr>
    </w:pPr>
  </w:p>
  <w:p w:rsidR="00B7032E" w:rsidRDefault="00B7032E" w:rsidP="00C15735">
    <w:pPr>
      <w:pStyle w:val="Header"/>
      <w:rPr>
        <w:b/>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60" w:rsidRDefault="00EC0660" w:rsidP="0085274D">
    <w:pPr>
      <w:pStyle w:val="Header"/>
      <w:tabs>
        <w:tab w:val="clear" w:pos="4320"/>
        <w:tab w:val="clear" w:pos="8640"/>
        <w:tab w:val="left" w:pos="4500"/>
        <w:tab w:val="right" w:pos="9360"/>
      </w:tabs>
    </w:pPr>
    <w:r>
      <w:t>A.12-01-008 et al.  ALJ/MLC/ar9</w:t>
    </w:r>
    <w:r>
      <w:tab/>
    </w:r>
  </w:p>
  <w:p w:rsidR="00EC0660" w:rsidRDefault="00EC0660">
    <w:pPr>
      <w:pStyle w:val="Header"/>
    </w:pPr>
  </w:p>
  <w:p w:rsidR="00EC0660" w:rsidRDefault="00EC06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4" w:rsidRDefault="00923E04" w:rsidP="0085274D">
    <w:pPr>
      <w:pStyle w:val="Header"/>
      <w:tabs>
        <w:tab w:val="clear" w:pos="4320"/>
        <w:tab w:val="clear" w:pos="8640"/>
        <w:tab w:val="left" w:pos="4050"/>
        <w:tab w:val="left" w:pos="5760"/>
        <w:tab w:val="right" w:pos="9360"/>
      </w:tabs>
    </w:pPr>
    <w:r>
      <w:t>A</w:t>
    </w:r>
    <w:r w:rsidR="0085274D">
      <w:t>.12-01-008 et al.  ALJ/MLC/ar9</w:t>
    </w:r>
    <w:r w:rsidR="0085274D">
      <w:tab/>
    </w:r>
  </w:p>
  <w:p w:rsidR="00923E04" w:rsidRDefault="00923E04" w:rsidP="00C15735">
    <w:pPr>
      <w:pStyle w:val="Header"/>
    </w:pPr>
  </w:p>
  <w:p w:rsidR="00923E04" w:rsidRDefault="00923E04" w:rsidP="00C15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7040606"/>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272739"/>
    <w:multiLevelType w:val="hybridMultilevel"/>
    <w:tmpl w:val="A426CD98"/>
    <w:lvl w:ilvl="0" w:tplc="9CF29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70350"/>
    <w:multiLevelType w:val="hybridMultilevel"/>
    <w:tmpl w:val="179291BA"/>
    <w:lvl w:ilvl="0" w:tplc="2480B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1193"/>
    <w:multiLevelType w:val="singleLevel"/>
    <w:tmpl w:val="408002C8"/>
    <w:lvl w:ilvl="0">
      <w:start w:val="1"/>
      <w:numFmt w:val="decimal"/>
      <w:lvlText w:val="%1."/>
      <w:legacy w:legacy="1" w:legacySpace="144" w:legacyIndent="0"/>
      <w:lvlJc w:val="left"/>
    </w:lvl>
  </w:abstractNum>
  <w:abstractNum w:abstractNumId="4">
    <w:nsid w:val="0EAD3F2A"/>
    <w:multiLevelType w:val="hybridMultilevel"/>
    <w:tmpl w:val="C0A64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111C1"/>
    <w:multiLevelType w:val="hybridMultilevel"/>
    <w:tmpl w:val="9F2A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6740A7"/>
    <w:multiLevelType w:val="hybridMultilevel"/>
    <w:tmpl w:val="0344C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A44E9"/>
    <w:multiLevelType w:val="hybridMultilevel"/>
    <w:tmpl w:val="0344C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0C0F"/>
    <w:multiLevelType w:val="hybridMultilevel"/>
    <w:tmpl w:val="637C2B54"/>
    <w:lvl w:ilvl="0" w:tplc="FFFFFFFF">
      <w:start w:val="1"/>
      <w:numFmt w:val="decimal"/>
      <w:pStyle w:val="h-1"/>
      <w:lvlText w:val="%1."/>
      <w:lvlJc w:val="left"/>
      <w:pPr>
        <w:tabs>
          <w:tab w:val="num" w:pos="720"/>
        </w:tabs>
        <w:ind w:left="720" w:hanging="360"/>
      </w:pPr>
      <w:rPr>
        <w:rFonts w:hint="default"/>
        <w:b/>
      </w:rPr>
    </w:lvl>
    <w:lvl w:ilvl="1" w:tplc="BFCEC61C">
      <w:start w:val="1"/>
      <w:numFmt w:val="lowerLetter"/>
      <w:lvlText w:val="%2."/>
      <w:lvlJc w:val="left"/>
      <w:pPr>
        <w:tabs>
          <w:tab w:val="num" w:pos="1440"/>
        </w:tabs>
        <w:ind w:left="1440" w:hanging="360"/>
      </w:pPr>
      <w:rPr>
        <w:rFonts w:hint="default"/>
        <w:b/>
      </w:rPr>
    </w:lvl>
    <w:lvl w:ilvl="2" w:tplc="FFFFFFFF">
      <w:start w:val="1"/>
      <w:numFmt w:val="lowerRoman"/>
      <w:pStyle w:val="noi7"/>
      <w:lvlText w:val="%3."/>
      <w:lvlJc w:val="right"/>
      <w:pPr>
        <w:tabs>
          <w:tab w:val="num" w:pos="2160"/>
        </w:tabs>
        <w:ind w:left="2160" w:hanging="180"/>
      </w:pPr>
      <w:rPr>
        <w:b w:val="0"/>
      </w:rPr>
    </w:lvl>
    <w:lvl w:ilvl="3" w:tplc="FFFFFFFF">
      <w:start w:val="1"/>
      <w:numFmt w:val="bullet"/>
      <w:pStyle w:val="bl"/>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C11F39"/>
    <w:multiLevelType w:val="hybridMultilevel"/>
    <w:tmpl w:val="2C2E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AE362E"/>
    <w:multiLevelType w:val="hybridMultilevel"/>
    <w:tmpl w:val="881C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46003"/>
    <w:multiLevelType w:val="singleLevel"/>
    <w:tmpl w:val="408002C8"/>
    <w:lvl w:ilvl="0">
      <w:start w:val="1"/>
      <w:numFmt w:val="decimal"/>
      <w:lvlText w:val="%1."/>
      <w:legacy w:legacy="1" w:legacySpace="144" w:legacyIndent="0"/>
      <w:lvlJc w:val="left"/>
    </w:lvl>
  </w:abstractNum>
  <w:abstractNum w:abstractNumId="12">
    <w:nsid w:val="2DF37F1F"/>
    <w:multiLevelType w:val="hybridMultilevel"/>
    <w:tmpl w:val="F02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D1808"/>
    <w:multiLevelType w:val="hybridMultilevel"/>
    <w:tmpl w:val="0344C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A3694"/>
    <w:multiLevelType w:val="hybridMultilevel"/>
    <w:tmpl w:val="26AE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B17AE0"/>
    <w:multiLevelType w:val="hybridMultilevel"/>
    <w:tmpl w:val="881044F8"/>
    <w:lvl w:ilvl="0" w:tplc="F0CA204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241C9"/>
    <w:multiLevelType w:val="hybridMultilevel"/>
    <w:tmpl w:val="3BCEC97C"/>
    <w:lvl w:ilvl="0" w:tplc="A9CA1EC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03A80"/>
    <w:multiLevelType w:val="hybridMultilevel"/>
    <w:tmpl w:val="BED47FFC"/>
    <w:lvl w:ilvl="0" w:tplc="2480B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E6C72"/>
    <w:multiLevelType w:val="hybridMultilevel"/>
    <w:tmpl w:val="02B8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B63AD"/>
    <w:multiLevelType w:val="hybridMultilevel"/>
    <w:tmpl w:val="773CC6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94E2241"/>
    <w:multiLevelType w:val="hybridMultilevel"/>
    <w:tmpl w:val="E36C347A"/>
    <w:lvl w:ilvl="0" w:tplc="F3ACC2AC">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32E76"/>
    <w:multiLevelType w:val="hybridMultilevel"/>
    <w:tmpl w:val="2DB0FD40"/>
    <w:lvl w:ilvl="0" w:tplc="E174D6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A7757"/>
    <w:multiLevelType w:val="hybridMultilevel"/>
    <w:tmpl w:val="2AF0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C4AE2"/>
    <w:multiLevelType w:val="singleLevel"/>
    <w:tmpl w:val="408002C8"/>
    <w:lvl w:ilvl="0">
      <w:start w:val="1"/>
      <w:numFmt w:val="decimal"/>
      <w:lvlText w:val="%1."/>
      <w:legacy w:legacy="1" w:legacySpace="144" w:legacyIndent="0"/>
      <w:lvlJc w:val="left"/>
    </w:lvl>
  </w:abstractNum>
  <w:abstractNum w:abstractNumId="27">
    <w:nsid w:val="7B0074B2"/>
    <w:multiLevelType w:val="hybridMultilevel"/>
    <w:tmpl w:val="A2F8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C30FD"/>
    <w:multiLevelType w:val="singleLevel"/>
    <w:tmpl w:val="2FB6A734"/>
    <w:lvl w:ilvl="0">
      <w:start w:val="1"/>
      <w:numFmt w:val="decimal"/>
      <w:lvlText w:val="%1."/>
      <w:legacy w:legacy="1" w:legacySpace="144" w:legacyIndent="0"/>
      <w:lvlJc w:val="left"/>
    </w:lvl>
  </w:abstractNum>
  <w:abstractNum w:abstractNumId="29">
    <w:nsid w:val="7FC327CF"/>
    <w:multiLevelType w:val="singleLevel"/>
    <w:tmpl w:val="408002C8"/>
    <w:lvl w:ilvl="0">
      <w:start w:val="1"/>
      <w:numFmt w:val="decimal"/>
      <w:lvlText w:val="%1."/>
      <w:legacy w:legacy="1" w:legacySpace="144" w:legacyIndent="0"/>
      <w:lvlJc w:val="left"/>
    </w:lvl>
  </w:abstractNum>
  <w:num w:numId="1">
    <w:abstractNumId w:val="11"/>
  </w:num>
  <w:num w:numId="2">
    <w:abstractNumId w:val="28"/>
  </w:num>
  <w:num w:numId="3">
    <w:abstractNumId w:val="15"/>
  </w:num>
  <w:num w:numId="4">
    <w:abstractNumId w:val="17"/>
  </w:num>
  <w:num w:numId="5">
    <w:abstractNumId w:val="16"/>
  </w:num>
  <w:num w:numId="6">
    <w:abstractNumId w:val="0"/>
  </w:num>
  <w:num w:numId="7">
    <w:abstractNumId w:val="7"/>
  </w:num>
  <w:num w:numId="8">
    <w:abstractNumId w:val="21"/>
  </w:num>
  <w:num w:numId="9">
    <w:abstractNumId w:val="27"/>
  </w:num>
  <w:num w:numId="10">
    <w:abstractNumId w:val="14"/>
  </w:num>
  <w:num w:numId="11">
    <w:abstractNumId w:val="12"/>
  </w:num>
  <w:num w:numId="12">
    <w:abstractNumId w:val="4"/>
  </w:num>
  <w:num w:numId="13">
    <w:abstractNumId w:val="25"/>
  </w:num>
  <w:num w:numId="14">
    <w:abstractNumId w:val="24"/>
  </w:num>
  <w:num w:numId="15">
    <w:abstractNumId w:val="18"/>
  </w:num>
  <w:num w:numId="16">
    <w:abstractNumId w:val="20"/>
  </w:num>
  <w:num w:numId="17">
    <w:abstractNumId w:val="2"/>
  </w:num>
  <w:num w:numId="18">
    <w:abstractNumId w:val="9"/>
  </w:num>
  <w:num w:numId="19">
    <w:abstractNumId w:val="8"/>
  </w:num>
  <w:num w:numId="20">
    <w:abstractNumId w:val="10"/>
  </w:num>
  <w:num w:numId="21">
    <w:abstractNumId w:val="13"/>
  </w:num>
  <w:num w:numId="22">
    <w:abstractNumId w:val="6"/>
  </w:num>
  <w:num w:numId="23">
    <w:abstractNumId w:val="1"/>
  </w:num>
  <w:num w:numId="24">
    <w:abstractNumId w:val="26"/>
  </w:num>
  <w:num w:numId="25">
    <w:abstractNumId w:val="29"/>
  </w:num>
  <w:num w:numId="26">
    <w:abstractNumId w:val="3"/>
  </w:num>
  <w:num w:numId="27">
    <w:abstractNumId w:val="22"/>
  </w:num>
  <w:num w:numId="28">
    <w:abstractNumId w:val="23"/>
  </w:num>
  <w:num w:numId="29">
    <w:abstractNumId w:val="19"/>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27"/>
    <w:rsid w:val="000004ED"/>
    <w:rsid w:val="00003000"/>
    <w:rsid w:val="00003762"/>
    <w:rsid w:val="00010D63"/>
    <w:rsid w:val="00012660"/>
    <w:rsid w:val="000127A5"/>
    <w:rsid w:val="00014FD5"/>
    <w:rsid w:val="00017B59"/>
    <w:rsid w:val="00017B6F"/>
    <w:rsid w:val="00025173"/>
    <w:rsid w:val="00025C2A"/>
    <w:rsid w:val="00025F77"/>
    <w:rsid w:val="0003287A"/>
    <w:rsid w:val="000340A5"/>
    <w:rsid w:val="000341E6"/>
    <w:rsid w:val="00040CE2"/>
    <w:rsid w:val="000416A5"/>
    <w:rsid w:val="00042B6E"/>
    <w:rsid w:val="00042C5C"/>
    <w:rsid w:val="00052AEB"/>
    <w:rsid w:val="00054377"/>
    <w:rsid w:val="00060408"/>
    <w:rsid w:val="00060807"/>
    <w:rsid w:val="0006703A"/>
    <w:rsid w:val="000670DE"/>
    <w:rsid w:val="00071028"/>
    <w:rsid w:val="00072CE8"/>
    <w:rsid w:val="0008209A"/>
    <w:rsid w:val="000852E5"/>
    <w:rsid w:val="0008744D"/>
    <w:rsid w:val="000941A8"/>
    <w:rsid w:val="000A1CD2"/>
    <w:rsid w:val="000A1F7B"/>
    <w:rsid w:val="000A383B"/>
    <w:rsid w:val="000A65BC"/>
    <w:rsid w:val="000A79D8"/>
    <w:rsid w:val="000B0F8B"/>
    <w:rsid w:val="000B1F2A"/>
    <w:rsid w:val="000B28AD"/>
    <w:rsid w:val="000B7B13"/>
    <w:rsid w:val="000B7FCB"/>
    <w:rsid w:val="000C0761"/>
    <w:rsid w:val="000C4A1E"/>
    <w:rsid w:val="000D019D"/>
    <w:rsid w:val="000D377C"/>
    <w:rsid w:val="000D53FC"/>
    <w:rsid w:val="000E03ED"/>
    <w:rsid w:val="000E3A1C"/>
    <w:rsid w:val="000E54A4"/>
    <w:rsid w:val="000E62AC"/>
    <w:rsid w:val="000F26E5"/>
    <w:rsid w:val="000F2CE3"/>
    <w:rsid w:val="000F40D3"/>
    <w:rsid w:val="000F4155"/>
    <w:rsid w:val="00103C51"/>
    <w:rsid w:val="00105925"/>
    <w:rsid w:val="00105968"/>
    <w:rsid w:val="00113197"/>
    <w:rsid w:val="001136D6"/>
    <w:rsid w:val="00114B71"/>
    <w:rsid w:val="001205BA"/>
    <w:rsid w:val="00123546"/>
    <w:rsid w:val="00123680"/>
    <w:rsid w:val="0013064D"/>
    <w:rsid w:val="00133027"/>
    <w:rsid w:val="00134E7B"/>
    <w:rsid w:val="0013671F"/>
    <w:rsid w:val="00140EC5"/>
    <w:rsid w:val="001416B2"/>
    <w:rsid w:val="00143460"/>
    <w:rsid w:val="00144C8B"/>
    <w:rsid w:val="00144E70"/>
    <w:rsid w:val="0014550B"/>
    <w:rsid w:val="001473D8"/>
    <w:rsid w:val="00154B40"/>
    <w:rsid w:val="00160DEE"/>
    <w:rsid w:val="00166E2F"/>
    <w:rsid w:val="00172C87"/>
    <w:rsid w:val="001738EC"/>
    <w:rsid w:val="0017510E"/>
    <w:rsid w:val="00180712"/>
    <w:rsid w:val="001A103B"/>
    <w:rsid w:val="001A5108"/>
    <w:rsid w:val="001B3DD5"/>
    <w:rsid w:val="001B514C"/>
    <w:rsid w:val="001B6AAC"/>
    <w:rsid w:val="001C50BA"/>
    <w:rsid w:val="001D483F"/>
    <w:rsid w:val="001D67DC"/>
    <w:rsid w:val="001E2142"/>
    <w:rsid w:val="001E2CB3"/>
    <w:rsid w:val="001E3096"/>
    <w:rsid w:val="001E505C"/>
    <w:rsid w:val="001F230A"/>
    <w:rsid w:val="001F2AD4"/>
    <w:rsid w:val="001F4B2B"/>
    <w:rsid w:val="001F5A1B"/>
    <w:rsid w:val="002063F7"/>
    <w:rsid w:val="002136F9"/>
    <w:rsid w:val="00221958"/>
    <w:rsid w:val="00221B57"/>
    <w:rsid w:val="00224595"/>
    <w:rsid w:val="00225189"/>
    <w:rsid w:val="00225B41"/>
    <w:rsid w:val="00230316"/>
    <w:rsid w:val="00232A8E"/>
    <w:rsid w:val="00235110"/>
    <w:rsid w:val="00241B46"/>
    <w:rsid w:val="00244048"/>
    <w:rsid w:val="00246567"/>
    <w:rsid w:val="0025162A"/>
    <w:rsid w:val="00252553"/>
    <w:rsid w:val="0026406A"/>
    <w:rsid w:val="002717D1"/>
    <w:rsid w:val="00275C7B"/>
    <w:rsid w:val="00290A71"/>
    <w:rsid w:val="00291A08"/>
    <w:rsid w:val="002934A2"/>
    <w:rsid w:val="0029684B"/>
    <w:rsid w:val="002A1142"/>
    <w:rsid w:val="002A20ED"/>
    <w:rsid w:val="002A611A"/>
    <w:rsid w:val="002B04BF"/>
    <w:rsid w:val="002B4F37"/>
    <w:rsid w:val="002C2355"/>
    <w:rsid w:val="002C38E2"/>
    <w:rsid w:val="002C60C6"/>
    <w:rsid w:val="002D1052"/>
    <w:rsid w:val="002D1FCB"/>
    <w:rsid w:val="002D655C"/>
    <w:rsid w:val="002E340F"/>
    <w:rsid w:val="002E5263"/>
    <w:rsid w:val="002E6D0C"/>
    <w:rsid w:val="002F5B8E"/>
    <w:rsid w:val="002F6A2C"/>
    <w:rsid w:val="00300708"/>
    <w:rsid w:val="00304D75"/>
    <w:rsid w:val="00306593"/>
    <w:rsid w:val="00316C5F"/>
    <w:rsid w:val="00316D4B"/>
    <w:rsid w:val="003226A9"/>
    <w:rsid w:val="0032326F"/>
    <w:rsid w:val="003331F9"/>
    <w:rsid w:val="00335AAC"/>
    <w:rsid w:val="0033657A"/>
    <w:rsid w:val="00337DC7"/>
    <w:rsid w:val="00342310"/>
    <w:rsid w:val="003464F6"/>
    <w:rsid w:val="00352AAE"/>
    <w:rsid w:val="00353F8B"/>
    <w:rsid w:val="003603FA"/>
    <w:rsid w:val="00360BDC"/>
    <w:rsid w:val="003639DF"/>
    <w:rsid w:val="003654CC"/>
    <w:rsid w:val="003738C3"/>
    <w:rsid w:val="00381EAE"/>
    <w:rsid w:val="003823D8"/>
    <w:rsid w:val="00383659"/>
    <w:rsid w:val="0039640F"/>
    <w:rsid w:val="003A1929"/>
    <w:rsid w:val="003A4BA6"/>
    <w:rsid w:val="003A5706"/>
    <w:rsid w:val="003B38FB"/>
    <w:rsid w:val="003B54BB"/>
    <w:rsid w:val="003B652B"/>
    <w:rsid w:val="003B68D7"/>
    <w:rsid w:val="003B72E6"/>
    <w:rsid w:val="003C2A84"/>
    <w:rsid w:val="003C2BAA"/>
    <w:rsid w:val="003D3FD5"/>
    <w:rsid w:val="003D5592"/>
    <w:rsid w:val="003D58D7"/>
    <w:rsid w:val="003E09EE"/>
    <w:rsid w:val="003E1E0E"/>
    <w:rsid w:val="003E203D"/>
    <w:rsid w:val="003E3B2C"/>
    <w:rsid w:val="003E6CB6"/>
    <w:rsid w:val="0040532B"/>
    <w:rsid w:val="00405816"/>
    <w:rsid w:val="00415945"/>
    <w:rsid w:val="004165D6"/>
    <w:rsid w:val="00416E7F"/>
    <w:rsid w:val="00426E21"/>
    <w:rsid w:val="00431A0E"/>
    <w:rsid w:val="00432793"/>
    <w:rsid w:val="00432970"/>
    <w:rsid w:val="00432B6A"/>
    <w:rsid w:val="00432C0F"/>
    <w:rsid w:val="00443408"/>
    <w:rsid w:val="00446061"/>
    <w:rsid w:val="00447F1A"/>
    <w:rsid w:val="00450890"/>
    <w:rsid w:val="00451BB9"/>
    <w:rsid w:val="00457351"/>
    <w:rsid w:val="00457CCF"/>
    <w:rsid w:val="00463DAF"/>
    <w:rsid w:val="004641BF"/>
    <w:rsid w:val="00466F23"/>
    <w:rsid w:val="004727FA"/>
    <w:rsid w:val="00477777"/>
    <w:rsid w:val="0048209D"/>
    <w:rsid w:val="004844F3"/>
    <w:rsid w:val="00494E56"/>
    <w:rsid w:val="004A3735"/>
    <w:rsid w:val="004A57EE"/>
    <w:rsid w:val="004A7AFE"/>
    <w:rsid w:val="004B51AB"/>
    <w:rsid w:val="004C1733"/>
    <w:rsid w:val="004C4EA4"/>
    <w:rsid w:val="004D3A14"/>
    <w:rsid w:val="004D50CB"/>
    <w:rsid w:val="004D6944"/>
    <w:rsid w:val="004E01B3"/>
    <w:rsid w:val="004E1EF6"/>
    <w:rsid w:val="004E3D27"/>
    <w:rsid w:val="004F076E"/>
    <w:rsid w:val="004F5351"/>
    <w:rsid w:val="004F6620"/>
    <w:rsid w:val="005018D2"/>
    <w:rsid w:val="00507AA5"/>
    <w:rsid w:val="005100C1"/>
    <w:rsid w:val="00517604"/>
    <w:rsid w:val="00521419"/>
    <w:rsid w:val="00521681"/>
    <w:rsid w:val="005217F4"/>
    <w:rsid w:val="00522E1C"/>
    <w:rsid w:val="00524AD1"/>
    <w:rsid w:val="00524E31"/>
    <w:rsid w:val="005263A0"/>
    <w:rsid w:val="005350E4"/>
    <w:rsid w:val="00540542"/>
    <w:rsid w:val="005425E3"/>
    <w:rsid w:val="0054661B"/>
    <w:rsid w:val="0054664A"/>
    <w:rsid w:val="00554A1D"/>
    <w:rsid w:val="00557F65"/>
    <w:rsid w:val="00573377"/>
    <w:rsid w:val="00574312"/>
    <w:rsid w:val="00581477"/>
    <w:rsid w:val="005825DD"/>
    <w:rsid w:val="005869F7"/>
    <w:rsid w:val="00587A49"/>
    <w:rsid w:val="00590E77"/>
    <w:rsid w:val="005917A5"/>
    <w:rsid w:val="00592589"/>
    <w:rsid w:val="00594311"/>
    <w:rsid w:val="00595351"/>
    <w:rsid w:val="00596240"/>
    <w:rsid w:val="005A2B49"/>
    <w:rsid w:val="005A359E"/>
    <w:rsid w:val="005B2DE7"/>
    <w:rsid w:val="005B515B"/>
    <w:rsid w:val="005B63C9"/>
    <w:rsid w:val="005C1FDB"/>
    <w:rsid w:val="005C52B4"/>
    <w:rsid w:val="005C7885"/>
    <w:rsid w:val="005D11A6"/>
    <w:rsid w:val="005D1B49"/>
    <w:rsid w:val="005D5207"/>
    <w:rsid w:val="005D526D"/>
    <w:rsid w:val="005D5600"/>
    <w:rsid w:val="005F0323"/>
    <w:rsid w:val="005F089F"/>
    <w:rsid w:val="005F4744"/>
    <w:rsid w:val="0060265D"/>
    <w:rsid w:val="00605082"/>
    <w:rsid w:val="00606958"/>
    <w:rsid w:val="00610277"/>
    <w:rsid w:val="006127B4"/>
    <w:rsid w:val="00614095"/>
    <w:rsid w:val="00616C6B"/>
    <w:rsid w:val="00617A02"/>
    <w:rsid w:val="00624617"/>
    <w:rsid w:val="00624F37"/>
    <w:rsid w:val="0062596E"/>
    <w:rsid w:val="00633908"/>
    <w:rsid w:val="00641B4A"/>
    <w:rsid w:val="00642274"/>
    <w:rsid w:val="00642391"/>
    <w:rsid w:val="00645882"/>
    <w:rsid w:val="006521A8"/>
    <w:rsid w:val="00654E06"/>
    <w:rsid w:val="00657114"/>
    <w:rsid w:val="0066060C"/>
    <w:rsid w:val="00667087"/>
    <w:rsid w:val="006715AE"/>
    <w:rsid w:val="0067286D"/>
    <w:rsid w:val="00677CF6"/>
    <w:rsid w:val="0068192C"/>
    <w:rsid w:val="00683127"/>
    <w:rsid w:val="00684CA0"/>
    <w:rsid w:val="00685F89"/>
    <w:rsid w:val="00686070"/>
    <w:rsid w:val="006934F9"/>
    <w:rsid w:val="00693650"/>
    <w:rsid w:val="00693C94"/>
    <w:rsid w:val="006A5554"/>
    <w:rsid w:val="006B155D"/>
    <w:rsid w:val="006B6284"/>
    <w:rsid w:val="006C46D4"/>
    <w:rsid w:val="006C49DC"/>
    <w:rsid w:val="006D0DA8"/>
    <w:rsid w:val="006D4929"/>
    <w:rsid w:val="006D69C8"/>
    <w:rsid w:val="006E0B05"/>
    <w:rsid w:val="006F2C78"/>
    <w:rsid w:val="006F4304"/>
    <w:rsid w:val="00716760"/>
    <w:rsid w:val="007233AB"/>
    <w:rsid w:val="00726BC2"/>
    <w:rsid w:val="00727169"/>
    <w:rsid w:val="007301DF"/>
    <w:rsid w:val="00730A90"/>
    <w:rsid w:val="00733E84"/>
    <w:rsid w:val="00736BB6"/>
    <w:rsid w:val="0074037A"/>
    <w:rsid w:val="00740B4B"/>
    <w:rsid w:val="00751EF0"/>
    <w:rsid w:val="00754C88"/>
    <w:rsid w:val="007632E3"/>
    <w:rsid w:val="0076379D"/>
    <w:rsid w:val="007654FF"/>
    <w:rsid w:val="00774E62"/>
    <w:rsid w:val="00777A4B"/>
    <w:rsid w:val="00780C19"/>
    <w:rsid w:val="00785045"/>
    <w:rsid w:val="00785953"/>
    <w:rsid w:val="00785962"/>
    <w:rsid w:val="0078677D"/>
    <w:rsid w:val="00787E21"/>
    <w:rsid w:val="00791754"/>
    <w:rsid w:val="0079778D"/>
    <w:rsid w:val="007A0965"/>
    <w:rsid w:val="007A1271"/>
    <w:rsid w:val="007B122F"/>
    <w:rsid w:val="007B3266"/>
    <w:rsid w:val="007B449A"/>
    <w:rsid w:val="007B746D"/>
    <w:rsid w:val="007B7B95"/>
    <w:rsid w:val="007D198D"/>
    <w:rsid w:val="007D1F0A"/>
    <w:rsid w:val="007D2AEA"/>
    <w:rsid w:val="007D32FE"/>
    <w:rsid w:val="007D7A3D"/>
    <w:rsid w:val="007E6E0C"/>
    <w:rsid w:val="007F029A"/>
    <w:rsid w:val="007F04B6"/>
    <w:rsid w:val="007F2695"/>
    <w:rsid w:val="007F3B3A"/>
    <w:rsid w:val="007F5613"/>
    <w:rsid w:val="007F6F3D"/>
    <w:rsid w:val="007F7F43"/>
    <w:rsid w:val="0080671E"/>
    <w:rsid w:val="008150F0"/>
    <w:rsid w:val="00815CC1"/>
    <w:rsid w:val="00825306"/>
    <w:rsid w:val="0082664A"/>
    <w:rsid w:val="00827063"/>
    <w:rsid w:val="00830CDF"/>
    <w:rsid w:val="008368EC"/>
    <w:rsid w:val="00842BEF"/>
    <w:rsid w:val="00846BD5"/>
    <w:rsid w:val="0085274D"/>
    <w:rsid w:val="00852ED9"/>
    <w:rsid w:val="00853266"/>
    <w:rsid w:val="00853D74"/>
    <w:rsid w:val="00860179"/>
    <w:rsid w:val="00860294"/>
    <w:rsid w:val="00861D22"/>
    <w:rsid w:val="008634AB"/>
    <w:rsid w:val="0086650E"/>
    <w:rsid w:val="00866B6D"/>
    <w:rsid w:val="0087051B"/>
    <w:rsid w:val="0087253A"/>
    <w:rsid w:val="008756AE"/>
    <w:rsid w:val="00884019"/>
    <w:rsid w:val="00896600"/>
    <w:rsid w:val="008979A3"/>
    <w:rsid w:val="008A0282"/>
    <w:rsid w:val="008A56CB"/>
    <w:rsid w:val="008B1852"/>
    <w:rsid w:val="008B5C08"/>
    <w:rsid w:val="008C092E"/>
    <w:rsid w:val="008C2392"/>
    <w:rsid w:val="008C3D6B"/>
    <w:rsid w:val="008C49E5"/>
    <w:rsid w:val="008C502B"/>
    <w:rsid w:val="008D07D8"/>
    <w:rsid w:val="008D156E"/>
    <w:rsid w:val="008D46B4"/>
    <w:rsid w:val="008E1127"/>
    <w:rsid w:val="008E57E9"/>
    <w:rsid w:val="008E58DC"/>
    <w:rsid w:val="008E6DD3"/>
    <w:rsid w:val="008E7BC7"/>
    <w:rsid w:val="008F38DB"/>
    <w:rsid w:val="008F3C92"/>
    <w:rsid w:val="008F4837"/>
    <w:rsid w:val="009000DE"/>
    <w:rsid w:val="00903D77"/>
    <w:rsid w:val="00907F31"/>
    <w:rsid w:val="00915E80"/>
    <w:rsid w:val="00923E04"/>
    <w:rsid w:val="00930070"/>
    <w:rsid w:val="00930C29"/>
    <w:rsid w:val="00940CC8"/>
    <w:rsid w:val="00942FCC"/>
    <w:rsid w:val="00951194"/>
    <w:rsid w:val="009535C0"/>
    <w:rsid w:val="00961CE4"/>
    <w:rsid w:val="009623B5"/>
    <w:rsid w:val="009628DE"/>
    <w:rsid w:val="00970E4C"/>
    <w:rsid w:val="00976804"/>
    <w:rsid w:val="009869E7"/>
    <w:rsid w:val="00986C94"/>
    <w:rsid w:val="009A6466"/>
    <w:rsid w:val="009B1251"/>
    <w:rsid w:val="009B4421"/>
    <w:rsid w:val="009C22B8"/>
    <w:rsid w:val="009C3293"/>
    <w:rsid w:val="009C38EB"/>
    <w:rsid w:val="009C5465"/>
    <w:rsid w:val="009D2F58"/>
    <w:rsid w:val="009D487E"/>
    <w:rsid w:val="009E04AE"/>
    <w:rsid w:val="009E104E"/>
    <w:rsid w:val="009E599B"/>
    <w:rsid w:val="00A01A07"/>
    <w:rsid w:val="00A07ED5"/>
    <w:rsid w:val="00A112BB"/>
    <w:rsid w:val="00A11C50"/>
    <w:rsid w:val="00A13939"/>
    <w:rsid w:val="00A1528C"/>
    <w:rsid w:val="00A17A8B"/>
    <w:rsid w:val="00A265DA"/>
    <w:rsid w:val="00A26788"/>
    <w:rsid w:val="00A320AA"/>
    <w:rsid w:val="00A32376"/>
    <w:rsid w:val="00A32D7C"/>
    <w:rsid w:val="00A35342"/>
    <w:rsid w:val="00A364DD"/>
    <w:rsid w:val="00A41F42"/>
    <w:rsid w:val="00A43D6C"/>
    <w:rsid w:val="00A555F4"/>
    <w:rsid w:val="00A564DD"/>
    <w:rsid w:val="00A60A2B"/>
    <w:rsid w:val="00A7150E"/>
    <w:rsid w:val="00A72B72"/>
    <w:rsid w:val="00A73C14"/>
    <w:rsid w:val="00A806AA"/>
    <w:rsid w:val="00A828C0"/>
    <w:rsid w:val="00A86881"/>
    <w:rsid w:val="00A93C0E"/>
    <w:rsid w:val="00A94C11"/>
    <w:rsid w:val="00AA3321"/>
    <w:rsid w:val="00AA37EF"/>
    <w:rsid w:val="00AB4038"/>
    <w:rsid w:val="00AB6E5D"/>
    <w:rsid w:val="00AC04F8"/>
    <w:rsid w:val="00AC67C7"/>
    <w:rsid w:val="00AD0185"/>
    <w:rsid w:val="00AD26F7"/>
    <w:rsid w:val="00AD437F"/>
    <w:rsid w:val="00AE0128"/>
    <w:rsid w:val="00AE0621"/>
    <w:rsid w:val="00AF0D51"/>
    <w:rsid w:val="00AF1B7A"/>
    <w:rsid w:val="00B04425"/>
    <w:rsid w:val="00B0691B"/>
    <w:rsid w:val="00B1259F"/>
    <w:rsid w:val="00B1399D"/>
    <w:rsid w:val="00B14872"/>
    <w:rsid w:val="00B24C3C"/>
    <w:rsid w:val="00B26FE1"/>
    <w:rsid w:val="00B27E4E"/>
    <w:rsid w:val="00B30FF9"/>
    <w:rsid w:val="00B34F80"/>
    <w:rsid w:val="00B36AD2"/>
    <w:rsid w:val="00B42290"/>
    <w:rsid w:val="00B46082"/>
    <w:rsid w:val="00B46877"/>
    <w:rsid w:val="00B7032E"/>
    <w:rsid w:val="00B7414D"/>
    <w:rsid w:val="00B74A2F"/>
    <w:rsid w:val="00B87004"/>
    <w:rsid w:val="00B93407"/>
    <w:rsid w:val="00BA48DC"/>
    <w:rsid w:val="00BA700B"/>
    <w:rsid w:val="00BA7E79"/>
    <w:rsid w:val="00BB5DE9"/>
    <w:rsid w:val="00BC6B67"/>
    <w:rsid w:val="00BD0B9E"/>
    <w:rsid w:val="00BD3903"/>
    <w:rsid w:val="00BD4345"/>
    <w:rsid w:val="00BE3C9F"/>
    <w:rsid w:val="00BE3D70"/>
    <w:rsid w:val="00BF17D0"/>
    <w:rsid w:val="00BF57B5"/>
    <w:rsid w:val="00BF63BF"/>
    <w:rsid w:val="00BF72A0"/>
    <w:rsid w:val="00BF7A1D"/>
    <w:rsid w:val="00C00129"/>
    <w:rsid w:val="00C03B4C"/>
    <w:rsid w:val="00C06528"/>
    <w:rsid w:val="00C06A5E"/>
    <w:rsid w:val="00C15735"/>
    <w:rsid w:val="00C1795E"/>
    <w:rsid w:val="00C2545C"/>
    <w:rsid w:val="00C35633"/>
    <w:rsid w:val="00C3618E"/>
    <w:rsid w:val="00C4349D"/>
    <w:rsid w:val="00C53F4E"/>
    <w:rsid w:val="00C542FB"/>
    <w:rsid w:val="00C5527A"/>
    <w:rsid w:val="00C640E2"/>
    <w:rsid w:val="00C67055"/>
    <w:rsid w:val="00C729C6"/>
    <w:rsid w:val="00C76ACB"/>
    <w:rsid w:val="00C77CB8"/>
    <w:rsid w:val="00C836A5"/>
    <w:rsid w:val="00C85E92"/>
    <w:rsid w:val="00C85FB3"/>
    <w:rsid w:val="00C90540"/>
    <w:rsid w:val="00C90968"/>
    <w:rsid w:val="00C9512E"/>
    <w:rsid w:val="00C956CD"/>
    <w:rsid w:val="00C97284"/>
    <w:rsid w:val="00CA3340"/>
    <w:rsid w:val="00CA5D71"/>
    <w:rsid w:val="00CB0AF3"/>
    <w:rsid w:val="00CB7A70"/>
    <w:rsid w:val="00CC1BA9"/>
    <w:rsid w:val="00CC28C3"/>
    <w:rsid w:val="00CC2FAD"/>
    <w:rsid w:val="00CC6AAC"/>
    <w:rsid w:val="00CD046B"/>
    <w:rsid w:val="00CD69C7"/>
    <w:rsid w:val="00CE1198"/>
    <w:rsid w:val="00CE2231"/>
    <w:rsid w:val="00CE6C32"/>
    <w:rsid w:val="00CF60DC"/>
    <w:rsid w:val="00D016A1"/>
    <w:rsid w:val="00D04DDB"/>
    <w:rsid w:val="00D04E3F"/>
    <w:rsid w:val="00D0753A"/>
    <w:rsid w:val="00D11331"/>
    <w:rsid w:val="00D1137B"/>
    <w:rsid w:val="00D13B59"/>
    <w:rsid w:val="00D16290"/>
    <w:rsid w:val="00D26954"/>
    <w:rsid w:val="00D313C6"/>
    <w:rsid w:val="00D321AE"/>
    <w:rsid w:val="00D32644"/>
    <w:rsid w:val="00D3544B"/>
    <w:rsid w:val="00D47AEA"/>
    <w:rsid w:val="00D501BC"/>
    <w:rsid w:val="00D51A02"/>
    <w:rsid w:val="00D54639"/>
    <w:rsid w:val="00D566F5"/>
    <w:rsid w:val="00D64AA4"/>
    <w:rsid w:val="00D67D08"/>
    <w:rsid w:val="00D71A5C"/>
    <w:rsid w:val="00D756E5"/>
    <w:rsid w:val="00D9173A"/>
    <w:rsid w:val="00D93DA1"/>
    <w:rsid w:val="00D94FB0"/>
    <w:rsid w:val="00D96176"/>
    <w:rsid w:val="00DA1268"/>
    <w:rsid w:val="00DA2842"/>
    <w:rsid w:val="00DA3BEC"/>
    <w:rsid w:val="00DA6DAB"/>
    <w:rsid w:val="00DB07D2"/>
    <w:rsid w:val="00DB21FB"/>
    <w:rsid w:val="00DB4733"/>
    <w:rsid w:val="00DB5A59"/>
    <w:rsid w:val="00DC024A"/>
    <w:rsid w:val="00DC31B6"/>
    <w:rsid w:val="00DC57FC"/>
    <w:rsid w:val="00DC6EC2"/>
    <w:rsid w:val="00DC740A"/>
    <w:rsid w:val="00DD0460"/>
    <w:rsid w:val="00DE0378"/>
    <w:rsid w:val="00DE4479"/>
    <w:rsid w:val="00DE7D9D"/>
    <w:rsid w:val="00DF0754"/>
    <w:rsid w:val="00DF2732"/>
    <w:rsid w:val="00DF5DA2"/>
    <w:rsid w:val="00E016D8"/>
    <w:rsid w:val="00E01FD9"/>
    <w:rsid w:val="00E03541"/>
    <w:rsid w:val="00E10DC7"/>
    <w:rsid w:val="00E11386"/>
    <w:rsid w:val="00E2102B"/>
    <w:rsid w:val="00E233E2"/>
    <w:rsid w:val="00E240DF"/>
    <w:rsid w:val="00E32B08"/>
    <w:rsid w:val="00E32F72"/>
    <w:rsid w:val="00E379FB"/>
    <w:rsid w:val="00E37F0B"/>
    <w:rsid w:val="00E44C7D"/>
    <w:rsid w:val="00E459E2"/>
    <w:rsid w:val="00E47F4E"/>
    <w:rsid w:val="00E50907"/>
    <w:rsid w:val="00E570E2"/>
    <w:rsid w:val="00E653CE"/>
    <w:rsid w:val="00E845C5"/>
    <w:rsid w:val="00E85ABD"/>
    <w:rsid w:val="00E93123"/>
    <w:rsid w:val="00E962E6"/>
    <w:rsid w:val="00EA1B21"/>
    <w:rsid w:val="00EA6BA7"/>
    <w:rsid w:val="00EA6C5D"/>
    <w:rsid w:val="00EB0188"/>
    <w:rsid w:val="00EB0CF5"/>
    <w:rsid w:val="00EB50FC"/>
    <w:rsid w:val="00EB758D"/>
    <w:rsid w:val="00EC0578"/>
    <w:rsid w:val="00EC0660"/>
    <w:rsid w:val="00EC570D"/>
    <w:rsid w:val="00ED1172"/>
    <w:rsid w:val="00ED6838"/>
    <w:rsid w:val="00EE1EA3"/>
    <w:rsid w:val="00EE3DED"/>
    <w:rsid w:val="00EE63D2"/>
    <w:rsid w:val="00EE656C"/>
    <w:rsid w:val="00EF09AF"/>
    <w:rsid w:val="00EF5794"/>
    <w:rsid w:val="00EF5D42"/>
    <w:rsid w:val="00F0144D"/>
    <w:rsid w:val="00F01AFC"/>
    <w:rsid w:val="00F05858"/>
    <w:rsid w:val="00F0663F"/>
    <w:rsid w:val="00F10743"/>
    <w:rsid w:val="00F11236"/>
    <w:rsid w:val="00F13D07"/>
    <w:rsid w:val="00F13DDC"/>
    <w:rsid w:val="00F14D9B"/>
    <w:rsid w:val="00F25702"/>
    <w:rsid w:val="00F31150"/>
    <w:rsid w:val="00F43A72"/>
    <w:rsid w:val="00F45493"/>
    <w:rsid w:val="00F4655C"/>
    <w:rsid w:val="00F51936"/>
    <w:rsid w:val="00F61786"/>
    <w:rsid w:val="00F625CE"/>
    <w:rsid w:val="00F6447E"/>
    <w:rsid w:val="00F66F0A"/>
    <w:rsid w:val="00F7236B"/>
    <w:rsid w:val="00F73678"/>
    <w:rsid w:val="00F77928"/>
    <w:rsid w:val="00F93340"/>
    <w:rsid w:val="00FA37F0"/>
    <w:rsid w:val="00FA5DFE"/>
    <w:rsid w:val="00FB5655"/>
    <w:rsid w:val="00FC1B47"/>
    <w:rsid w:val="00FC4423"/>
    <w:rsid w:val="00FE1387"/>
    <w:rsid w:val="00FE1D63"/>
    <w:rsid w:val="00FE5122"/>
    <w:rsid w:val="00FE5836"/>
    <w:rsid w:val="00FE68E7"/>
    <w:rsid w:val="00FE726D"/>
    <w:rsid w:val="00FE7422"/>
    <w:rsid w:val="00FF5F46"/>
    <w:rsid w:val="00FF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pPr>
      <w:spacing w:after="120"/>
    </w:pPr>
    <w:rPr>
      <w:sz w:val="24"/>
    </w:rPr>
  </w:style>
  <w:style w:type="character" w:styleId="FootnoteReference">
    <w:name w:val="footnote reference"/>
    <w:aliases w:val="o,fr,o1,o2,o3,o4,o5,o6,o11,o21,o7,Style 3,Footnote,Style 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C15735"/>
    <w:pPr>
      <w:tabs>
        <w:tab w:val="left" w:pos="1620"/>
        <w:tab w:val="left" w:pos="198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qFormat/>
    <w:rsid w:val="00134E7B"/>
    <w:rPr>
      <w:i/>
      <w:iCs/>
    </w:rPr>
  </w:style>
  <w:style w:type="numbering" w:customStyle="1" w:styleId="NoList1">
    <w:name w:val="No List1"/>
    <w:next w:val="NoList"/>
    <w:uiPriority w:val="99"/>
    <w:semiHidden/>
    <w:unhideWhenUsed/>
    <w:rsid w:val="00F0144D"/>
  </w:style>
  <w:style w:type="character" w:customStyle="1" w:styleId="HeaderChar">
    <w:name w:val="Header Char"/>
    <w:link w:val="Header"/>
    <w:rsid w:val="00F0144D"/>
    <w:rPr>
      <w:rFonts w:ascii="Palatino" w:hAnsi="Palatino"/>
      <w:sz w:val="26"/>
    </w:rPr>
  </w:style>
  <w:style w:type="character" w:customStyle="1" w:styleId="FooterChar">
    <w:name w:val="Footer Char"/>
    <w:link w:val="Footer"/>
    <w:uiPriority w:val="99"/>
    <w:rsid w:val="00F0144D"/>
    <w:rPr>
      <w:rFonts w:ascii="Palatino" w:hAnsi="Palatino"/>
      <w:sz w:val="26"/>
    </w:rPr>
  </w:style>
  <w:style w:type="paragraph" w:styleId="ListParagraph">
    <w:name w:val="List Paragraph"/>
    <w:basedOn w:val="Normal"/>
    <w:uiPriority w:val="34"/>
    <w:qFormat/>
    <w:rsid w:val="00F0144D"/>
    <w:pPr>
      <w:ind w:left="720"/>
    </w:pPr>
    <w:rPr>
      <w:rFonts w:ascii="Calibri" w:eastAsia="Calibri" w:hAnsi="Calibri"/>
      <w:sz w:val="22"/>
      <w:szCs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link w:val="FootnoteText"/>
    <w:uiPriority w:val="99"/>
    <w:rsid w:val="00F0144D"/>
    <w:rPr>
      <w:rFonts w:ascii="Palatino" w:hAnsi="Palatino"/>
      <w:sz w:val="24"/>
    </w:rPr>
  </w:style>
  <w:style w:type="paragraph" w:styleId="CommentText">
    <w:name w:val="annotation text"/>
    <w:basedOn w:val="Normal"/>
    <w:link w:val="CommentTextChar"/>
    <w:uiPriority w:val="99"/>
    <w:unhideWhenUsed/>
    <w:rsid w:val="00F0144D"/>
    <w:pPr>
      <w:spacing w:after="200"/>
    </w:pPr>
    <w:rPr>
      <w:rFonts w:ascii="Calibri" w:eastAsia="Calibri" w:hAnsi="Calibri"/>
      <w:sz w:val="20"/>
    </w:rPr>
  </w:style>
  <w:style w:type="character" w:customStyle="1" w:styleId="CommentTextChar">
    <w:name w:val="Comment Text Char"/>
    <w:link w:val="CommentText"/>
    <w:uiPriority w:val="99"/>
    <w:rsid w:val="00F0144D"/>
    <w:rPr>
      <w:rFonts w:ascii="Calibri" w:eastAsia="Calibri" w:hAnsi="Calibri"/>
    </w:rPr>
  </w:style>
  <w:style w:type="paragraph" w:styleId="BalloonText">
    <w:name w:val="Balloon Text"/>
    <w:basedOn w:val="Normal"/>
    <w:link w:val="BalloonTextChar"/>
    <w:uiPriority w:val="99"/>
    <w:unhideWhenUsed/>
    <w:rsid w:val="00F0144D"/>
    <w:rPr>
      <w:rFonts w:ascii="Tahoma" w:eastAsia="Calibri" w:hAnsi="Tahoma" w:cs="Tahoma"/>
      <w:sz w:val="16"/>
      <w:szCs w:val="16"/>
    </w:rPr>
  </w:style>
  <w:style w:type="character" w:customStyle="1" w:styleId="BalloonTextChar">
    <w:name w:val="Balloon Text Char"/>
    <w:link w:val="BalloonText"/>
    <w:uiPriority w:val="99"/>
    <w:rsid w:val="00F0144D"/>
    <w:rPr>
      <w:rFonts w:ascii="Tahoma" w:eastAsia="Calibri" w:hAnsi="Tahoma" w:cs="Tahoma"/>
      <w:sz w:val="16"/>
      <w:szCs w:val="16"/>
    </w:rPr>
  </w:style>
  <w:style w:type="character" w:styleId="CommentReference">
    <w:name w:val="annotation reference"/>
    <w:uiPriority w:val="99"/>
    <w:rsid w:val="00F45493"/>
    <w:rPr>
      <w:sz w:val="16"/>
      <w:szCs w:val="16"/>
    </w:rPr>
  </w:style>
  <w:style w:type="paragraph" w:styleId="CommentSubject">
    <w:name w:val="annotation subject"/>
    <w:basedOn w:val="CommentText"/>
    <w:next w:val="CommentText"/>
    <w:link w:val="CommentSubjectChar"/>
    <w:rsid w:val="00F45493"/>
    <w:pPr>
      <w:spacing w:after="0"/>
    </w:pPr>
    <w:rPr>
      <w:rFonts w:ascii="Palatino" w:eastAsia="Times New Roman" w:hAnsi="Palatino"/>
      <w:b/>
      <w:bCs/>
    </w:rPr>
  </w:style>
  <w:style w:type="character" w:customStyle="1" w:styleId="CommentSubjectChar">
    <w:name w:val="Comment Subject Char"/>
    <w:link w:val="CommentSubject"/>
    <w:rsid w:val="00F45493"/>
    <w:rPr>
      <w:rFonts w:ascii="Palatino" w:eastAsia="Calibri" w:hAnsi="Palatino"/>
      <w:b/>
      <w:bCs/>
    </w:rPr>
  </w:style>
  <w:style w:type="paragraph" w:customStyle="1" w:styleId="Default">
    <w:name w:val="Default"/>
    <w:rsid w:val="000004ED"/>
    <w:pPr>
      <w:autoSpaceDE w:val="0"/>
      <w:autoSpaceDN w:val="0"/>
      <w:adjustRightInd w:val="0"/>
    </w:pPr>
    <w:rPr>
      <w:rFonts w:ascii="Book Antiqua" w:hAnsi="Book Antiqua" w:cs="Book Antiqua"/>
      <w:color w:val="000000"/>
      <w:sz w:val="24"/>
      <w:szCs w:val="24"/>
    </w:rPr>
  </w:style>
  <w:style w:type="paragraph" w:customStyle="1" w:styleId="h-1">
    <w:name w:val="h-1"/>
    <w:basedOn w:val="Normal"/>
    <w:rsid w:val="00CA3340"/>
    <w:pPr>
      <w:numPr>
        <w:numId w:val="19"/>
      </w:numPr>
      <w:spacing w:after="120"/>
    </w:pPr>
    <w:rPr>
      <w:rFonts w:ascii="Palatino Linotype" w:hAnsi="Palatino Linotype"/>
      <w:b/>
      <w:szCs w:val="26"/>
    </w:rPr>
  </w:style>
  <w:style w:type="paragraph" w:customStyle="1" w:styleId="bl">
    <w:name w:val="bl"/>
    <w:basedOn w:val="Normal"/>
    <w:rsid w:val="00CA3340"/>
    <w:pPr>
      <w:numPr>
        <w:ilvl w:val="3"/>
        <w:numId w:val="19"/>
      </w:numPr>
      <w:tabs>
        <w:tab w:val="clear" w:pos="2880"/>
        <w:tab w:val="num" w:pos="1620"/>
      </w:tabs>
      <w:ind w:left="1710" w:hanging="450"/>
    </w:pPr>
    <w:rPr>
      <w:rFonts w:ascii="Palatino Linotype" w:hAnsi="Palatino Linotype"/>
      <w:szCs w:val="26"/>
    </w:rPr>
  </w:style>
  <w:style w:type="paragraph" w:customStyle="1" w:styleId="noi7">
    <w:name w:val="no.i7"/>
    <w:basedOn w:val="Normal"/>
    <w:rsid w:val="00CA3340"/>
    <w:pPr>
      <w:numPr>
        <w:ilvl w:val="2"/>
        <w:numId w:val="19"/>
      </w:numPr>
      <w:spacing w:after="120"/>
    </w:pPr>
    <w:rPr>
      <w:rFonts w:ascii="Palatino Linotype" w:hAnsi="Palatino Linotype"/>
      <w:szCs w:val="26"/>
    </w:rPr>
  </w:style>
  <w:style w:type="paragraph" w:styleId="Revision">
    <w:name w:val="Revision"/>
    <w:hidden/>
    <w:uiPriority w:val="99"/>
    <w:semiHidden/>
    <w:rsid w:val="00F6447E"/>
    <w:rPr>
      <w:rFonts w:ascii="Palatino" w:hAnsi="Palatino"/>
      <w:sz w:val="26"/>
    </w:rPr>
  </w:style>
  <w:style w:type="paragraph" w:styleId="NoSpacing">
    <w:name w:val="No Spacing"/>
    <w:uiPriority w:val="1"/>
    <w:qFormat/>
    <w:rsid w:val="00123546"/>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pPr>
      <w:spacing w:after="120"/>
    </w:pPr>
    <w:rPr>
      <w:sz w:val="24"/>
    </w:rPr>
  </w:style>
  <w:style w:type="character" w:styleId="FootnoteReference">
    <w:name w:val="footnote reference"/>
    <w:aliases w:val="o,fr,o1,o2,o3,o4,o5,o6,o11,o21,o7,Style 3,Footnote,Style 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C15735"/>
    <w:pPr>
      <w:tabs>
        <w:tab w:val="left" w:pos="1620"/>
        <w:tab w:val="left" w:pos="198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qFormat/>
    <w:rsid w:val="00134E7B"/>
    <w:rPr>
      <w:i/>
      <w:iCs/>
    </w:rPr>
  </w:style>
  <w:style w:type="numbering" w:customStyle="1" w:styleId="NoList1">
    <w:name w:val="No List1"/>
    <w:next w:val="NoList"/>
    <w:uiPriority w:val="99"/>
    <w:semiHidden/>
    <w:unhideWhenUsed/>
    <w:rsid w:val="00F0144D"/>
  </w:style>
  <w:style w:type="character" w:customStyle="1" w:styleId="HeaderChar">
    <w:name w:val="Header Char"/>
    <w:link w:val="Header"/>
    <w:rsid w:val="00F0144D"/>
    <w:rPr>
      <w:rFonts w:ascii="Palatino" w:hAnsi="Palatino"/>
      <w:sz w:val="26"/>
    </w:rPr>
  </w:style>
  <w:style w:type="character" w:customStyle="1" w:styleId="FooterChar">
    <w:name w:val="Footer Char"/>
    <w:link w:val="Footer"/>
    <w:uiPriority w:val="99"/>
    <w:rsid w:val="00F0144D"/>
    <w:rPr>
      <w:rFonts w:ascii="Palatino" w:hAnsi="Palatino"/>
      <w:sz w:val="26"/>
    </w:rPr>
  </w:style>
  <w:style w:type="paragraph" w:styleId="ListParagraph">
    <w:name w:val="List Paragraph"/>
    <w:basedOn w:val="Normal"/>
    <w:uiPriority w:val="34"/>
    <w:qFormat/>
    <w:rsid w:val="00F0144D"/>
    <w:pPr>
      <w:ind w:left="720"/>
    </w:pPr>
    <w:rPr>
      <w:rFonts w:ascii="Calibri" w:eastAsia="Calibri" w:hAnsi="Calibri"/>
      <w:sz w:val="22"/>
      <w:szCs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link w:val="FootnoteText"/>
    <w:uiPriority w:val="99"/>
    <w:rsid w:val="00F0144D"/>
    <w:rPr>
      <w:rFonts w:ascii="Palatino" w:hAnsi="Palatino"/>
      <w:sz w:val="24"/>
    </w:rPr>
  </w:style>
  <w:style w:type="paragraph" w:styleId="CommentText">
    <w:name w:val="annotation text"/>
    <w:basedOn w:val="Normal"/>
    <w:link w:val="CommentTextChar"/>
    <w:uiPriority w:val="99"/>
    <w:unhideWhenUsed/>
    <w:rsid w:val="00F0144D"/>
    <w:pPr>
      <w:spacing w:after="200"/>
    </w:pPr>
    <w:rPr>
      <w:rFonts w:ascii="Calibri" w:eastAsia="Calibri" w:hAnsi="Calibri"/>
      <w:sz w:val="20"/>
    </w:rPr>
  </w:style>
  <w:style w:type="character" w:customStyle="1" w:styleId="CommentTextChar">
    <w:name w:val="Comment Text Char"/>
    <w:link w:val="CommentText"/>
    <w:uiPriority w:val="99"/>
    <w:rsid w:val="00F0144D"/>
    <w:rPr>
      <w:rFonts w:ascii="Calibri" w:eastAsia="Calibri" w:hAnsi="Calibri"/>
    </w:rPr>
  </w:style>
  <w:style w:type="paragraph" w:styleId="BalloonText">
    <w:name w:val="Balloon Text"/>
    <w:basedOn w:val="Normal"/>
    <w:link w:val="BalloonTextChar"/>
    <w:uiPriority w:val="99"/>
    <w:unhideWhenUsed/>
    <w:rsid w:val="00F0144D"/>
    <w:rPr>
      <w:rFonts w:ascii="Tahoma" w:eastAsia="Calibri" w:hAnsi="Tahoma" w:cs="Tahoma"/>
      <w:sz w:val="16"/>
      <w:szCs w:val="16"/>
    </w:rPr>
  </w:style>
  <w:style w:type="character" w:customStyle="1" w:styleId="BalloonTextChar">
    <w:name w:val="Balloon Text Char"/>
    <w:link w:val="BalloonText"/>
    <w:uiPriority w:val="99"/>
    <w:rsid w:val="00F0144D"/>
    <w:rPr>
      <w:rFonts w:ascii="Tahoma" w:eastAsia="Calibri" w:hAnsi="Tahoma" w:cs="Tahoma"/>
      <w:sz w:val="16"/>
      <w:szCs w:val="16"/>
    </w:rPr>
  </w:style>
  <w:style w:type="character" w:styleId="CommentReference">
    <w:name w:val="annotation reference"/>
    <w:uiPriority w:val="99"/>
    <w:rsid w:val="00F45493"/>
    <w:rPr>
      <w:sz w:val="16"/>
      <w:szCs w:val="16"/>
    </w:rPr>
  </w:style>
  <w:style w:type="paragraph" w:styleId="CommentSubject">
    <w:name w:val="annotation subject"/>
    <w:basedOn w:val="CommentText"/>
    <w:next w:val="CommentText"/>
    <w:link w:val="CommentSubjectChar"/>
    <w:rsid w:val="00F45493"/>
    <w:pPr>
      <w:spacing w:after="0"/>
    </w:pPr>
    <w:rPr>
      <w:rFonts w:ascii="Palatino" w:eastAsia="Times New Roman" w:hAnsi="Palatino"/>
      <w:b/>
      <w:bCs/>
    </w:rPr>
  </w:style>
  <w:style w:type="character" w:customStyle="1" w:styleId="CommentSubjectChar">
    <w:name w:val="Comment Subject Char"/>
    <w:link w:val="CommentSubject"/>
    <w:rsid w:val="00F45493"/>
    <w:rPr>
      <w:rFonts w:ascii="Palatino" w:eastAsia="Calibri" w:hAnsi="Palatino"/>
      <w:b/>
      <w:bCs/>
    </w:rPr>
  </w:style>
  <w:style w:type="paragraph" w:customStyle="1" w:styleId="Default">
    <w:name w:val="Default"/>
    <w:rsid w:val="000004ED"/>
    <w:pPr>
      <w:autoSpaceDE w:val="0"/>
      <w:autoSpaceDN w:val="0"/>
      <w:adjustRightInd w:val="0"/>
    </w:pPr>
    <w:rPr>
      <w:rFonts w:ascii="Book Antiqua" w:hAnsi="Book Antiqua" w:cs="Book Antiqua"/>
      <w:color w:val="000000"/>
      <w:sz w:val="24"/>
      <w:szCs w:val="24"/>
    </w:rPr>
  </w:style>
  <w:style w:type="paragraph" w:customStyle="1" w:styleId="h-1">
    <w:name w:val="h-1"/>
    <w:basedOn w:val="Normal"/>
    <w:rsid w:val="00CA3340"/>
    <w:pPr>
      <w:numPr>
        <w:numId w:val="19"/>
      </w:numPr>
      <w:spacing w:after="120"/>
    </w:pPr>
    <w:rPr>
      <w:rFonts w:ascii="Palatino Linotype" w:hAnsi="Palatino Linotype"/>
      <w:b/>
      <w:szCs w:val="26"/>
    </w:rPr>
  </w:style>
  <w:style w:type="paragraph" w:customStyle="1" w:styleId="bl">
    <w:name w:val="bl"/>
    <w:basedOn w:val="Normal"/>
    <w:rsid w:val="00CA3340"/>
    <w:pPr>
      <w:numPr>
        <w:ilvl w:val="3"/>
        <w:numId w:val="19"/>
      </w:numPr>
      <w:tabs>
        <w:tab w:val="clear" w:pos="2880"/>
        <w:tab w:val="num" w:pos="1620"/>
      </w:tabs>
      <w:ind w:left="1710" w:hanging="450"/>
    </w:pPr>
    <w:rPr>
      <w:rFonts w:ascii="Palatino Linotype" w:hAnsi="Palatino Linotype"/>
      <w:szCs w:val="26"/>
    </w:rPr>
  </w:style>
  <w:style w:type="paragraph" w:customStyle="1" w:styleId="noi7">
    <w:name w:val="no.i7"/>
    <w:basedOn w:val="Normal"/>
    <w:rsid w:val="00CA3340"/>
    <w:pPr>
      <w:numPr>
        <w:ilvl w:val="2"/>
        <w:numId w:val="19"/>
      </w:numPr>
      <w:spacing w:after="120"/>
    </w:pPr>
    <w:rPr>
      <w:rFonts w:ascii="Palatino Linotype" w:hAnsi="Palatino Linotype"/>
      <w:szCs w:val="26"/>
    </w:rPr>
  </w:style>
  <w:style w:type="paragraph" w:styleId="Revision">
    <w:name w:val="Revision"/>
    <w:hidden/>
    <w:uiPriority w:val="99"/>
    <w:semiHidden/>
    <w:rsid w:val="00F6447E"/>
    <w:rPr>
      <w:rFonts w:ascii="Palatino" w:hAnsi="Palatino"/>
      <w:sz w:val="26"/>
    </w:rPr>
  </w:style>
  <w:style w:type="paragraph" w:styleId="NoSpacing">
    <w:name w:val="No Spacing"/>
    <w:uiPriority w:val="1"/>
    <w:qFormat/>
    <w:rsid w:val="0012354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1906">
      <w:bodyDiv w:val="1"/>
      <w:marLeft w:val="0"/>
      <w:marRight w:val="0"/>
      <w:marTop w:val="0"/>
      <w:marBottom w:val="0"/>
      <w:divBdr>
        <w:top w:val="none" w:sz="0" w:space="0" w:color="auto"/>
        <w:left w:val="none" w:sz="0" w:space="0" w:color="auto"/>
        <w:bottom w:val="none" w:sz="0" w:space="0" w:color="auto"/>
        <w:right w:val="none" w:sz="0" w:space="0" w:color="auto"/>
      </w:divBdr>
    </w:div>
    <w:div w:id="14253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10680</Words>
  <Characters>60878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71416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2016-05-06T21:42:00Z</cp:lastPrinted>
  <dcterms:created xsi:type="dcterms:W3CDTF">2016-05-23T17:27:00Z</dcterms:created>
  <dcterms:modified xsi:type="dcterms:W3CDTF">2016-05-23T17:27:00Z</dcterms:modified>
  <cp:category> </cp:category>
  <cp:contentStatus> </cp:contentStatus>
</cp:coreProperties>
</file>