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rsidP="00513520">
      <w:pPr>
        <w:pStyle w:val="titlebar"/>
        <w:rPr>
          <w:sz w:val="24"/>
        </w:rPr>
      </w:pPr>
      <w:bookmarkStart w:id="0" w:name="_GoBack"/>
      <w:bookmarkEnd w:id="0"/>
      <w:r>
        <w:rPr>
          <w:sz w:val="24"/>
        </w:rPr>
        <w:t>PUBLIC UTILITIES COMMISSION OF THE STATE OF CALIFORNIA</w:t>
      </w:r>
    </w:p>
    <w:p w:rsidR="003959FC" w:rsidRPr="00513520" w:rsidRDefault="00513520" w:rsidP="00513520">
      <w:pPr>
        <w:suppressAutoHyphens/>
        <w:rPr>
          <w:b/>
        </w:rPr>
      </w:pPr>
      <w:r>
        <w:tab/>
      </w:r>
      <w:r>
        <w:tab/>
      </w:r>
      <w:r>
        <w:tab/>
      </w:r>
      <w:r>
        <w:tab/>
      </w:r>
      <w:r>
        <w:tab/>
      </w:r>
      <w:r>
        <w:tab/>
      </w:r>
      <w:r>
        <w:tab/>
      </w:r>
      <w:r>
        <w:tab/>
      </w:r>
      <w:r>
        <w:tab/>
        <w:t xml:space="preserve">   </w:t>
      </w:r>
      <w:r w:rsidRPr="00513520">
        <w:rPr>
          <w:b/>
        </w:rPr>
        <w:t>Agenda ID</w:t>
      </w:r>
      <w:r>
        <w:rPr>
          <w:b/>
        </w:rPr>
        <w:t xml:space="preserve"> </w:t>
      </w:r>
      <w:r w:rsidR="00DA4D9B">
        <w:rPr>
          <w:b/>
        </w:rPr>
        <w:t>14949</w:t>
      </w:r>
    </w:p>
    <w:p w:rsidR="003959FC" w:rsidRPr="00215936" w:rsidRDefault="003959FC" w:rsidP="00513520">
      <w:pPr>
        <w:rPr>
          <w:b/>
          <w:sz w:val="24"/>
        </w:rPr>
      </w:pPr>
      <w:r w:rsidRPr="00215936">
        <w:rPr>
          <w:b/>
          <w:sz w:val="24"/>
        </w:rPr>
        <w:t>ENERGY DIVISION</w:t>
      </w:r>
      <w:r w:rsidRPr="00215936">
        <w:rPr>
          <w:b/>
          <w:sz w:val="24"/>
        </w:rPr>
        <w:tab/>
      </w:r>
      <w:r w:rsidRPr="00215936">
        <w:rPr>
          <w:b/>
          <w:sz w:val="24"/>
        </w:rPr>
        <w:tab/>
      </w:r>
      <w:r w:rsidRPr="00215936">
        <w:rPr>
          <w:b/>
          <w:sz w:val="24"/>
        </w:rPr>
        <w:tab/>
      </w:r>
      <w:r w:rsidRPr="00215936">
        <w:rPr>
          <w:b/>
          <w:sz w:val="24"/>
        </w:rPr>
        <w:tab/>
      </w:r>
      <w:r w:rsidRPr="00215936">
        <w:rPr>
          <w:b/>
          <w:sz w:val="24"/>
        </w:rPr>
        <w:tab/>
      </w:r>
      <w:r w:rsidRPr="00215936">
        <w:rPr>
          <w:b/>
          <w:sz w:val="24"/>
        </w:rPr>
        <w:tab/>
        <w:t xml:space="preserve">   </w:t>
      </w:r>
      <w:r>
        <w:rPr>
          <w:b/>
          <w:sz w:val="24"/>
        </w:rPr>
        <w:t>RESOLUTION E-4783</w:t>
      </w:r>
    </w:p>
    <w:p w:rsidR="003959FC" w:rsidRDefault="003959FC" w:rsidP="00513520">
      <w:pPr>
        <w:tabs>
          <w:tab w:val="right" w:pos="8910"/>
        </w:tabs>
        <w:ind w:left="1440" w:firstLine="720"/>
        <w:rPr>
          <w:b/>
          <w:sz w:val="24"/>
        </w:rPr>
      </w:pPr>
      <w:r w:rsidRPr="00215936">
        <w:rPr>
          <w:b/>
          <w:sz w:val="24"/>
        </w:rPr>
        <w:t xml:space="preserve">                                                                           </w:t>
      </w:r>
      <w:r w:rsidR="00666FAD">
        <w:rPr>
          <w:b/>
          <w:sz w:val="24"/>
        </w:rPr>
        <w:t>July 14</w:t>
      </w:r>
      <w:r w:rsidR="001C73FF">
        <w:rPr>
          <w:b/>
          <w:sz w:val="24"/>
        </w:rPr>
        <w:t>, 2016</w:t>
      </w:r>
    </w:p>
    <w:p w:rsidR="00513520" w:rsidRPr="00215936" w:rsidRDefault="00513520" w:rsidP="00513520">
      <w:pPr>
        <w:tabs>
          <w:tab w:val="right" w:pos="8910"/>
        </w:tabs>
        <w:ind w:left="1440" w:firstLine="720"/>
        <w:rPr>
          <w:b/>
          <w:sz w:val="24"/>
        </w:rPr>
      </w:pPr>
    </w:p>
    <w:p w:rsidR="003959FC" w:rsidRDefault="003959FC" w:rsidP="00513520">
      <w:pPr>
        <w:pStyle w:val="mainex"/>
        <w:rPr>
          <w:u w:val="single"/>
        </w:rPr>
      </w:pPr>
      <w:bookmarkStart w:id="1" w:name="_Ref404993683"/>
      <w:r w:rsidRPr="00542061">
        <w:rPr>
          <w:u w:val="single"/>
        </w:rPr>
        <w:t>RESOLUTION</w:t>
      </w:r>
    </w:p>
    <w:p w:rsidR="00513520" w:rsidRPr="00513520" w:rsidRDefault="00513520" w:rsidP="00513520">
      <w:pPr>
        <w:pStyle w:val="Res-Caption"/>
      </w:pPr>
    </w:p>
    <w:p w:rsidR="003959FC" w:rsidRDefault="003959FC" w:rsidP="00513520">
      <w:pPr>
        <w:pStyle w:val="Res-Caption"/>
        <w:rPr>
          <w:bCs/>
        </w:rPr>
      </w:pPr>
      <w:r w:rsidRPr="00215936">
        <w:t>Resolution E-</w:t>
      </w:r>
      <w:r>
        <w:t xml:space="preserve">4783.  </w:t>
      </w:r>
      <w:r w:rsidR="0097132E">
        <w:t xml:space="preserve">Resolution authorizing </w:t>
      </w:r>
      <w:r>
        <w:rPr>
          <w:bCs/>
        </w:rPr>
        <w:t xml:space="preserve">San Diego Gas &amp; </w:t>
      </w:r>
      <w:r w:rsidRPr="00163268">
        <w:rPr>
          <w:bCs/>
        </w:rPr>
        <w:t>Electric Company</w:t>
      </w:r>
      <w:r w:rsidR="0097132E">
        <w:rPr>
          <w:bCs/>
        </w:rPr>
        <w:t>’s</w:t>
      </w:r>
      <w:r w:rsidR="00977BA6">
        <w:rPr>
          <w:bCs/>
        </w:rPr>
        <w:t xml:space="preserve"> </w:t>
      </w:r>
      <w:r w:rsidR="00AB13F8" w:rsidRPr="00AB13F8">
        <w:rPr>
          <w:bCs/>
        </w:rPr>
        <w:t>Power Purchase Agreement with Solar Frontier for the 97WI 8ME LLC project</w:t>
      </w:r>
      <w:r w:rsidR="005A06C0">
        <w:rPr>
          <w:bCs/>
        </w:rPr>
        <w:t>.</w:t>
      </w:r>
    </w:p>
    <w:p w:rsidR="00513520" w:rsidRPr="00215936" w:rsidRDefault="00513520" w:rsidP="00513520">
      <w:pPr>
        <w:pStyle w:val="Res-Caption"/>
      </w:pPr>
    </w:p>
    <w:p w:rsidR="00977BA6" w:rsidRDefault="003959FC" w:rsidP="00513520">
      <w:pPr>
        <w:pStyle w:val="Res-Caption"/>
      </w:pPr>
      <w:r w:rsidRPr="00215936">
        <w:t>PROPOSED OUTCOME</w:t>
      </w:r>
      <w:r>
        <w:t>:</w:t>
      </w:r>
      <w:r w:rsidR="00977BA6">
        <w:t xml:space="preserve"> </w:t>
      </w:r>
    </w:p>
    <w:p w:rsidR="003A3935" w:rsidRPr="003A3935" w:rsidRDefault="003A3935" w:rsidP="00513520">
      <w:pPr>
        <w:pStyle w:val="Res-Caption"/>
        <w:numPr>
          <w:ilvl w:val="0"/>
          <w:numId w:val="12"/>
        </w:numPr>
      </w:pPr>
      <w:r>
        <w:t xml:space="preserve">Approval of San Diego Gas &amp; Electric’s (SDG&amp;E) </w:t>
      </w:r>
      <w:r w:rsidR="00166367">
        <w:t xml:space="preserve">power purchase agreement with </w:t>
      </w:r>
      <w:r>
        <w:t xml:space="preserve">Solar Frontier </w:t>
      </w:r>
      <w:r w:rsidRPr="003A3935">
        <w:rPr>
          <w:bCs/>
        </w:rPr>
        <w:t xml:space="preserve">for the </w:t>
      </w:r>
      <w:r w:rsidR="00513520">
        <w:rPr>
          <w:bCs/>
        </w:rPr>
        <w:br/>
      </w:r>
      <w:r w:rsidRPr="003A3935">
        <w:rPr>
          <w:bCs/>
        </w:rPr>
        <w:t>97WI 8ME LLC project.</w:t>
      </w:r>
    </w:p>
    <w:p w:rsidR="003A3935" w:rsidRDefault="003A3935" w:rsidP="00513520">
      <w:pPr>
        <w:pStyle w:val="Res-Caption"/>
        <w:numPr>
          <w:ilvl w:val="0"/>
          <w:numId w:val="12"/>
        </w:numPr>
      </w:pPr>
      <w:r>
        <w:t xml:space="preserve">Orders SDG&amp;E to </w:t>
      </w:r>
      <w:r w:rsidR="00595DA0">
        <w:t xml:space="preserve">procure additional megawatts to meet </w:t>
      </w:r>
      <w:r w:rsidR="00054349">
        <w:t>its Commission</w:t>
      </w:r>
      <w:r>
        <w:t xml:space="preserve"> mandated Renewable Auction Mechanism target.</w:t>
      </w:r>
    </w:p>
    <w:p w:rsidR="00513520" w:rsidRDefault="00513520" w:rsidP="00513520">
      <w:pPr>
        <w:pStyle w:val="Res-Caption"/>
        <w:ind w:left="1440"/>
      </w:pPr>
    </w:p>
    <w:p w:rsidR="003959FC" w:rsidRPr="00215936" w:rsidRDefault="003959FC" w:rsidP="00513520">
      <w:pPr>
        <w:pStyle w:val="Res-Caption"/>
      </w:pPr>
      <w:r w:rsidRPr="00215936">
        <w:t>SAFETY CONSIDERATIONS:</w:t>
      </w:r>
    </w:p>
    <w:p w:rsidR="003959FC" w:rsidRDefault="003959FC" w:rsidP="00513520">
      <w:pPr>
        <w:pStyle w:val="Res-Caption"/>
        <w:numPr>
          <w:ilvl w:val="0"/>
          <w:numId w:val="7"/>
        </w:numPr>
      </w:pPr>
      <w:r w:rsidRPr="00534C22">
        <w:t>Renewable Auction Mechanism standard contracts contain Commission approved safety provisions.</w:t>
      </w:r>
    </w:p>
    <w:p w:rsidR="00513520" w:rsidRDefault="00513520" w:rsidP="00513520">
      <w:pPr>
        <w:pStyle w:val="Res-Caption"/>
        <w:ind w:left="1440"/>
      </w:pPr>
    </w:p>
    <w:p w:rsidR="0097132E" w:rsidRDefault="003959FC" w:rsidP="00513520">
      <w:pPr>
        <w:pStyle w:val="Res-Caption"/>
      </w:pPr>
      <w:r w:rsidRPr="00215936">
        <w:t xml:space="preserve">ESTIMATED COST:  </w:t>
      </w:r>
    </w:p>
    <w:p w:rsidR="000627AC" w:rsidRDefault="00977BA6" w:rsidP="00513520">
      <w:pPr>
        <w:pStyle w:val="Res-Caption"/>
        <w:numPr>
          <w:ilvl w:val="0"/>
          <w:numId w:val="7"/>
        </w:numPr>
      </w:pPr>
      <w:r>
        <w:t>Actual costs are confidential at this time</w:t>
      </w:r>
      <w:r w:rsidR="00A272CF">
        <w:t>.</w:t>
      </w:r>
    </w:p>
    <w:p w:rsidR="00513520" w:rsidRPr="00215936" w:rsidRDefault="00513520" w:rsidP="00513520">
      <w:pPr>
        <w:pStyle w:val="Res-Caption"/>
        <w:ind w:left="1440"/>
      </w:pPr>
    </w:p>
    <w:p w:rsidR="003959FC" w:rsidRPr="00215936" w:rsidRDefault="003959FC" w:rsidP="00513520">
      <w:pPr>
        <w:pStyle w:val="Res-Caption"/>
      </w:pPr>
      <w:r>
        <w:t>By Advice Letter 2849-E, Filed on January 15, 2016.</w:t>
      </w:r>
    </w:p>
    <w:p w:rsidR="00B932AF" w:rsidRDefault="003959FC" w:rsidP="00513520">
      <w:pPr>
        <w:spacing w:after="240"/>
        <w:jc w:val="center"/>
      </w:pPr>
      <w:r w:rsidRPr="00215936">
        <w:t>__________________________________________________________</w:t>
      </w:r>
      <w:r w:rsidR="000627AC">
        <w:rPr>
          <w:b/>
        </w:rPr>
        <w:t xml:space="preserve">  </w:t>
      </w:r>
    </w:p>
    <w:p w:rsidR="003959FC" w:rsidRPr="00542061" w:rsidRDefault="003959FC" w:rsidP="00513520">
      <w:pPr>
        <w:pStyle w:val="Heading1"/>
        <w:spacing w:before="0"/>
      </w:pPr>
      <w:r w:rsidRPr="00542061">
        <w:t>Summary</w:t>
      </w:r>
      <w:bookmarkEnd w:id="1"/>
    </w:p>
    <w:p w:rsidR="001808A9" w:rsidRDefault="00977BA6" w:rsidP="001808A9">
      <w:pPr>
        <w:spacing w:after="120"/>
        <w:contextualSpacing/>
        <w:rPr>
          <w:bCs/>
        </w:rPr>
      </w:pPr>
      <w:r>
        <w:rPr>
          <w:bCs/>
        </w:rPr>
        <w:t xml:space="preserve">San Diego Gas &amp; </w:t>
      </w:r>
      <w:r w:rsidRPr="00163268">
        <w:rPr>
          <w:bCs/>
        </w:rPr>
        <w:t>Electric Company</w:t>
      </w:r>
      <w:r>
        <w:rPr>
          <w:bCs/>
        </w:rPr>
        <w:t>’s</w:t>
      </w:r>
      <w:r w:rsidR="0006375C">
        <w:rPr>
          <w:bCs/>
        </w:rPr>
        <w:t xml:space="preserve"> </w:t>
      </w:r>
      <w:r w:rsidR="0006375C" w:rsidRPr="0006375C">
        <w:rPr>
          <w:bCs/>
        </w:rPr>
        <w:t>Power Purchase Agreement</w:t>
      </w:r>
      <w:r w:rsidR="009F2D68">
        <w:rPr>
          <w:bCs/>
        </w:rPr>
        <w:t xml:space="preserve"> (PPA)</w:t>
      </w:r>
      <w:r w:rsidR="0006375C">
        <w:rPr>
          <w:bCs/>
        </w:rPr>
        <w:t xml:space="preserve"> </w:t>
      </w:r>
      <w:r w:rsidR="0006375C" w:rsidRPr="0006375C">
        <w:rPr>
          <w:bCs/>
        </w:rPr>
        <w:t xml:space="preserve">with </w:t>
      </w:r>
      <w:r w:rsidR="0006375C">
        <w:rPr>
          <w:bCs/>
        </w:rPr>
        <w:t xml:space="preserve">Solar Frontier for the </w:t>
      </w:r>
      <w:r w:rsidR="0006375C" w:rsidRPr="0006375C">
        <w:rPr>
          <w:bCs/>
        </w:rPr>
        <w:t xml:space="preserve">97WI 8ME LLC </w:t>
      </w:r>
      <w:r w:rsidR="0006375C">
        <w:rPr>
          <w:bCs/>
        </w:rPr>
        <w:t>project</w:t>
      </w:r>
      <w:r w:rsidR="009618ED">
        <w:rPr>
          <w:bCs/>
        </w:rPr>
        <w:t xml:space="preserve"> is approved</w:t>
      </w:r>
      <w:r w:rsidR="0006375C">
        <w:rPr>
          <w:bCs/>
        </w:rPr>
        <w:t xml:space="preserve">. </w:t>
      </w:r>
      <w:r w:rsidR="009618ED">
        <w:rPr>
          <w:bCs/>
        </w:rPr>
        <w:t>SDG&amp;E filed Advice Letter 2849-E on January 15, 2016, requesting California Public Utilities Commission</w:t>
      </w:r>
      <w:r w:rsidR="00166367">
        <w:rPr>
          <w:bCs/>
        </w:rPr>
        <w:t xml:space="preserve"> (Commission)</w:t>
      </w:r>
      <w:r w:rsidR="009618ED">
        <w:rPr>
          <w:bCs/>
        </w:rPr>
        <w:t xml:space="preserve"> review and approval of a </w:t>
      </w:r>
      <w:r w:rsidR="009F2D68">
        <w:rPr>
          <w:bCs/>
        </w:rPr>
        <w:t xml:space="preserve">PPA </w:t>
      </w:r>
      <w:r w:rsidR="009618ED">
        <w:rPr>
          <w:bCs/>
        </w:rPr>
        <w:t xml:space="preserve">with </w:t>
      </w:r>
      <w:r w:rsidR="00166367">
        <w:rPr>
          <w:bCs/>
        </w:rPr>
        <w:t>the 97WI 8ME</w:t>
      </w:r>
      <w:r w:rsidR="00A473C2">
        <w:rPr>
          <w:bCs/>
        </w:rPr>
        <w:t xml:space="preserve"> project from </w:t>
      </w:r>
      <w:r w:rsidR="009618ED">
        <w:rPr>
          <w:bCs/>
        </w:rPr>
        <w:t>Solar Frontier</w:t>
      </w:r>
      <w:r w:rsidR="00A473C2">
        <w:rPr>
          <w:bCs/>
        </w:rPr>
        <w:t xml:space="preserve"> (Solar Frontier project)</w:t>
      </w:r>
      <w:r w:rsidR="009618ED">
        <w:rPr>
          <w:bCs/>
        </w:rPr>
        <w:t xml:space="preserve">.  The </w:t>
      </w:r>
      <w:r w:rsidR="001D09E2">
        <w:rPr>
          <w:bCs/>
        </w:rPr>
        <w:t xml:space="preserve">PPA </w:t>
      </w:r>
      <w:r w:rsidR="009618ED">
        <w:rPr>
          <w:bCs/>
        </w:rPr>
        <w:t>was executed pursuant to the Green Tariff Shared Renewables (GTSR</w:t>
      </w:r>
      <w:r w:rsidR="005A06C0">
        <w:rPr>
          <w:bCs/>
        </w:rPr>
        <w:t xml:space="preserve">) program. </w:t>
      </w:r>
      <w:r w:rsidR="009618ED">
        <w:rPr>
          <w:bCs/>
        </w:rPr>
        <w:t>Pursuant to the proposed PPA</w:t>
      </w:r>
      <w:r w:rsidR="001808A9">
        <w:rPr>
          <w:bCs/>
        </w:rPr>
        <w:t>,</w:t>
      </w:r>
      <w:r w:rsidR="009618ED">
        <w:rPr>
          <w:bCs/>
        </w:rPr>
        <w:t xml:space="preserve"> SDG&amp;E will purchase renewable energy and associated </w:t>
      </w:r>
      <w:r w:rsidR="009F2D68">
        <w:rPr>
          <w:bCs/>
        </w:rPr>
        <w:t xml:space="preserve">Renewable Energy Credits </w:t>
      </w:r>
      <w:r w:rsidR="009618ED">
        <w:rPr>
          <w:bCs/>
        </w:rPr>
        <w:t xml:space="preserve">from the 20 MW </w:t>
      </w:r>
      <w:r w:rsidR="00A473C2">
        <w:rPr>
          <w:bCs/>
        </w:rPr>
        <w:t xml:space="preserve">Solar Frontier </w:t>
      </w:r>
      <w:r w:rsidR="009618ED">
        <w:rPr>
          <w:bCs/>
        </w:rPr>
        <w:t xml:space="preserve">project located in Imperial Valley. </w:t>
      </w:r>
    </w:p>
    <w:p w:rsidR="001808A9" w:rsidRDefault="001808A9" w:rsidP="001808A9">
      <w:pPr>
        <w:spacing w:after="120"/>
        <w:contextualSpacing/>
        <w:rPr>
          <w:bCs/>
        </w:rPr>
      </w:pPr>
    </w:p>
    <w:p w:rsidR="003A3935" w:rsidRPr="003A3935" w:rsidRDefault="00D6434C" w:rsidP="00DB7BA6">
      <w:pPr>
        <w:contextualSpacing/>
        <w:rPr>
          <w:bCs/>
        </w:rPr>
      </w:pPr>
      <w:r>
        <w:rPr>
          <w:bCs/>
        </w:rPr>
        <w:lastRenderedPageBreak/>
        <w:t xml:space="preserve">SDG&amp;E has not met its California Public Utilities Commission (Commission) mandated Renewable Auction Mechanism (RAM) targets. </w:t>
      </w:r>
      <w:r w:rsidR="003A3935" w:rsidRPr="003A3935">
        <w:rPr>
          <w:bCs/>
        </w:rPr>
        <w:t xml:space="preserve">SDG&amp;E is ordered to </w:t>
      </w:r>
      <w:r w:rsidR="00595DA0">
        <w:rPr>
          <w:bCs/>
        </w:rPr>
        <w:t xml:space="preserve">procure additional </w:t>
      </w:r>
      <w:r w:rsidR="003A3935" w:rsidRPr="003A3935">
        <w:rPr>
          <w:bCs/>
        </w:rPr>
        <w:t xml:space="preserve">megawatts from </w:t>
      </w:r>
      <w:r w:rsidR="003A3935">
        <w:rPr>
          <w:bCs/>
        </w:rPr>
        <w:t>the bids it receive</w:t>
      </w:r>
      <w:r w:rsidR="003A3935" w:rsidRPr="003A3935">
        <w:rPr>
          <w:bCs/>
        </w:rPr>
        <w:t xml:space="preserve">d in its </w:t>
      </w:r>
      <w:r w:rsidR="00054349">
        <w:rPr>
          <w:bCs/>
        </w:rPr>
        <w:t xml:space="preserve">sixth </w:t>
      </w:r>
      <w:r w:rsidR="003A3935" w:rsidRPr="003A3935">
        <w:rPr>
          <w:bCs/>
        </w:rPr>
        <w:t xml:space="preserve">RAM </w:t>
      </w:r>
      <w:r w:rsidR="00513520">
        <w:rPr>
          <w:bCs/>
        </w:rPr>
        <w:br/>
      </w:r>
      <w:r w:rsidR="00054349">
        <w:rPr>
          <w:bCs/>
        </w:rPr>
        <w:t xml:space="preserve">(RAM VI) </w:t>
      </w:r>
      <w:r w:rsidR="003A3935" w:rsidRPr="003A3935">
        <w:rPr>
          <w:bCs/>
        </w:rPr>
        <w:t>solicitation.</w:t>
      </w:r>
    </w:p>
    <w:p w:rsidR="00666FAD" w:rsidRDefault="00666FAD" w:rsidP="00DB7BA6">
      <w:pPr>
        <w:pStyle w:val="Heading1"/>
        <w:spacing w:before="0" w:after="0"/>
      </w:pPr>
    </w:p>
    <w:p w:rsidR="003959FC" w:rsidRPr="00536C86" w:rsidRDefault="003959FC" w:rsidP="00513520">
      <w:pPr>
        <w:pStyle w:val="Heading1"/>
        <w:spacing w:before="0"/>
      </w:pPr>
      <w:r w:rsidRPr="00542061">
        <w:t>Background</w:t>
      </w:r>
    </w:p>
    <w:p w:rsidR="0097132E" w:rsidRDefault="003959FC" w:rsidP="00A634DA">
      <w:pPr>
        <w:rPr>
          <w:bCs/>
        </w:rPr>
      </w:pPr>
      <w:r w:rsidRPr="00373900">
        <w:rPr>
          <w:bCs/>
        </w:rPr>
        <w:t>On December 18, 2010, the C</w:t>
      </w:r>
      <w:r>
        <w:rPr>
          <w:bCs/>
        </w:rPr>
        <w:t xml:space="preserve">ommission </w:t>
      </w:r>
      <w:r w:rsidRPr="00373900">
        <w:rPr>
          <w:bCs/>
        </w:rPr>
        <w:t xml:space="preserve">approved the RAM program </w:t>
      </w:r>
      <w:r w:rsidR="00997DA6">
        <w:rPr>
          <w:bCs/>
        </w:rPr>
        <w:t>by adopting</w:t>
      </w:r>
      <w:r w:rsidR="00B25C64">
        <w:rPr>
          <w:bCs/>
        </w:rPr>
        <w:t xml:space="preserve"> Decision (</w:t>
      </w:r>
      <w:r w:rsidRPr="00373900">
        <w:rPr>
          <w:bCs/>
        </w:rPr>
        <w:t>D.</w:t>
      </w:r>
      <w:r w:rsidR="00B25C64">
        <w:rPr>
          <w:bCs/>
        </w:rPr>
        <w:t>)</w:t>
      </w:r>
      <w:r w:rsidRPr="00373900">
        <w:rPr>
          <w:bCs/>
        </w:rPr>
        <w:t xml:space="preserve">10-12-048 and </w:t>
      </w:r>
      <w:r>
        <w:rPr>
          <w:bCs/>
        </w:rPr>
        <w:t>directed</w:t>
      </w:r>
      <w:r w:rsidRPr="00373900">
        <w:rPr>
          <w:bCs/>
        </w:rPr>
        <w:t xml:space="preserve"> </w:t>
      </w:r>
      <w:r w:rsidRPr="00143141">
        <w:rPr>
          <w:bCs/>
        </w:rPr>
        <w:t xml:space="preserve">Southern California Edison </w:t>
      </w:r>
      <w:r w:rsidR="0010520B">
        <w:rPr>
          <w:bCs/>
        </w:rPr>
        <w:t xml:space="preserve">Company </w:t>
      </w:r>
      <w:r w:rsidRPr="00143141">
        <w:rPr>
          <w:bCs/>
        </w:rPr>
        <w:t xml:space="preserve">(SCE), Pacific Gas and Electric </w:t>
      </w:r>
      <w:r w:rsidR="0010520B">
        <w:rPr>
          <w:bCs/>
        </w:rPr>
        <w:t>Company (PG&amp;E), and SDG&amp;E</w:t>
      </w:r>
      <w:r w:rsidRPr="00143141">
        <w:rPr>
          <w:bCs/>
        </w:rPr>
        <w:t xml:space="preserve"> (collectively the Investor-owned Utilities or the IOUs) </w:t>
      </w:r>
      <w:r w:rsidRPr="00373900">
        <w:rPr>
          <w:bCs/>
        </w:rPr>
        <w:t>to hold four auctions over a two year period</w:t>
      </w:r>
      <w:r>
        <w:rPr>
          <w:bCs/>
        </w:rPr>
        <w:t xml:space="preserve"> </w:t>
      </w:r>
      <w:r w:rsidRPr="00373900">
        <w:rPr>
          <w:bCs/>
        </w:rPr>
        <w:t>and to submit bidding protocols and standard contracts through</w:t>
      </w:r>
      <w:r w:rsidR="006C615C">
        <w:rPr>
          <w:bCs/>
        </w:rPr>
        <w:t xml:space="preserve"> Tier 3 advice letter</w:t>
      </w:r>
      <w:r w:rsidR="00B710E2">
        <w:rPr>
          <w:bCs/>
        </w:rPr>
        <w:t xml:space="preserve">s. </w:t>
      </w:r>
      <w:r w:rsidRPr="00373900">
        <w:rPr>
          <w:bCs/>
        </w:rPr>
        <w:t>In August 2011, the IOUs’ advice letters were</w:t>
      </w:r>
      <w:r>
        <w:rPr>
          <w:bCs/>
        </w:rPr>
        <w:t xml:space="preserve"> </w:t>
      </w:r>
      <w:r w:rsidRPr="00373900">
        <w:rPr>
          <w:bCs/>
        </w:rPr>
        <w:t>approved with modification in Resolution</w:t>
      </w:r>
      <w:r w:rsidR="00A76258">
        <w:rPr>
          <w:bCs/>
        </w:rPr>
        <w:t xml:space="preserve"> E-4414</w:t>
      </w:r>
      <w:r w:rsidRPr="00373900">
        <w:rPr>
          <w:bCs/>
        </w:rPr>
        <w:t>, which adopted program implementation</w:t>
      </w:r>
      <w:r>
        <w:rPr>
          <w:bCs/>
        </w:rPr>
        <w:t xml:space="preserve"> </w:t>
      </w:r>
      <w:r w:rsidRPr="00373900">
        <w:rPr>
          <w:bCs/>
        </w:rPr>
        <w:t xml:space="preserve">details, bidding protocols, and a standard RAM </w:t>
      </w:r>
      <w:r w:rsidR="00697DBE">
        <w:rPr>
          <w:bCs/>
        </w:rPr>
        <w:t>PPA</w:t>
      </w:r>
      <w:r w:rsidR="00B710E2">
        <w:rPr>
          <w:bCs/>
        </w:rPr>
        <w:t xml:space="preserve">. </w:t>
      </w:r>
      <w:r w:rsidRPr="00373900">
        <w:rPr>
          <w:bCs/>
        </w:rPr>
        <w:t>The C</w:t>
      </w:r>
      <w:r>
        <w:rPr>
          <w:bCs/>
        </w:rPr>
        <w:t>ommission</w:t>
      </w:r>
      <w:r w:rsidRPr="00373900">
        <w:rPr>
          <w:bCs/>
        </w:rPr>
        <w:t xml:space="preserve"> further refined the</w:t>
      </w:r>
      <w:r w:rsidR="00722732">
        <w:rPr>
          <w:bCs/>
        </w:rPr>
        <w:t xml:space="preserve"> RAM</w:t>
      </w:r>
      <w:r>
        <w:rPr>
          <w:bCs/>
        </w:rPr>
        <w:t xml:space="preserve"> </w:t>
      </w:r>
      <w:r w:rsidR="00C81565">
        <w:rPr>
          <w:bCs/>
        </w:rPr>
        <w:t>program</w:t>
      </w:r>
      <w:r w:rsidRPr="00373900">
        <w:rPr>
          <w:bCs/>
        </w:rPr>
        <w:t xml:space="preserve"> </w:t>
      </w:r>
      <w:r>
        <w:rPr>
          <w:bCs/>
        </w:rPr>
        <w:t>through</w:t>
      </w:r>
      <w:r w:rsidRPr="00373900">
        <w:rPr>
          <w:bCs/>
        </w:rPr>
        <w:t xml:space="preserve"> Resolution E-4489 </w:t>
      </w:r>
      <w:r w:rsidR="00513520">
        <w:rPr>
          <w:bCs/>
        </w:rPr>
        <w:br/>
      </w:r>
      <w:r w:rsidRPr="00373900">
        <w:rPr>
          <w:bCs/>
        </w:rPr>
        <w:t>(April 19, 2012),</w:t>
      </w:r>
      <w:r>
        <w:rPr>
          <w:bCs/>
        </w:rPr>
        <w:t xml:space="preserve"> </w:t>
      </w:r>
      <w:r w:rsidRPr="00373900">
        <w:rPr>
          <w:bCs/>
        </w:rPr>
        <w:t xml:space="preserve">Resolution E-4546 (November 8, 2012), </w:t>
      </w:r>
      <w:r>
        <w:rPr>
          <w:bCs/>
        </w:rPr>
        <w:t>Resolution</w:t>
      </w:r>
      <w:r w:rsidRPr="00373900">
        <w:rPr>
          <w:bCs/>
        </w:rPr>
        <w:t xml:space="preserve"> E-4582 </w:t>
      </w:r>
      <w:r w:rsidR="00513520">
        <w:rPr>
          <w:bCs/>
        </w:rPr>
        <w:br/>
      </w:r>
      <w:r w:rsidRPr="00373900">
        <w:rPr>
          <w:bCs/>
        </w:rPr>
        <w:t xml:space="preserve">(May 9, 2013), Resolution E- 4655 (May 15, 2014), and </w:t>
      </w:r>
      <w:r w:rsidR="00722732">
        <w:rPr>
          <w:bCs/>
        </w:rPr>
        <w:t xml:space="preserve">D.14-11-042 </w:t>
      </w:r>
      <w:r w:rsidR="00513520">
        <w:rPr>
          <w:bCs/>
        </w:rPr>
        <w:br/>
      </w:r>
      <w:r w:rsidR="00722732">
        <w:rPr>
          <w:bCs/>
        </w:rPr>
        <w:t>(November 24, 2014).</w:t>
      </w:r>
      <w:r w:rsidR="000627AC">
        <w:rPr>
          <w:bCs/>
        </w:rPr>
        <w:t xml:space="preserve"> </w:t>
      </w:r>
      <w:r w:rsidRPr="00B27F54">
        <w:rPr>
          <w:bCs/>
        </w:rPr>
        <w:t>In D.14-11-042, the Commission</w:t>
      </w:r>
      <w:r>
        <w:rPr>
          <w:bCs/>
        </w:rPr>
        <w:t xml:space="preserve"> </w:t>
      </w:r>
      <w:r w:rsidR="00722732">
        <w:rPr>
          <w:bCs/>
        </w:rPr>
        <w:t>authorized additional procurement</w:t>
      </w:r>
      <w:r w:rsidR="00722732" w:rsidRPr="00B27F54">
        <w:rPr>
          <w:bCs/>
        </w:rPr>
        <w:t xml:space="preserve"> </w:t>
      </w:r>
      <w:r w:rsidR="00722732">
        <w:rPr>
          <w:bCs/>
        </w:rPr>
        <w:t xml:space="preserve">and </w:t>
      </w:r>
      <w:r w:rsidRPr="00B27F54">
        <w:rPr>
          <w:bCs/>
        </w:rPr>
        <w:t>directed</w:t>
      </w:r>
      <w:r>
        <w:rPr>
          <w:bCs/>
        </w:rPr>
        <w:t xml:space="preserve"> </w:t>
      </w:r>
      <w:r w:rsidRPr="00B27F54">
        <w:rPr>
          <w:bCs/>
        </w:rPr>
        <w:t xml:space="preserve">the </w:t>
      </w:r>
      <w:r>
        <w:rPr>
          <w:bCs/>
        </w:rPr>
        <w:t>IOUs</w:t>
      </w:r>
      <w:r w:rsidRPr="00B27F54">
        <w:rPr>
          <w:bCs/>
        </w:rPr>
        <w:t xml:space="preserve"> to conduct a </w:t>
      </w:r>
      <w:r w:rsidR="00054349">
        <w:rPr>
          <w:bCs/>
        </w:rPr>
        <w:t>RAM VI</w:t>
      </w:r>
      <w:r>
        <w:rPr>
          <w:bCs/>
        </w:rPr>
        <w:t xml:space="preserve"> </w:t>
      </w:r>
      <w:r w:rsidRPr="00B27F54">
        <w:rPr>
          <w:bCs/>
        </w:rPr>
        <w:t>solicitation</w:t>
      </w:r>
      <w:r>
        <w:rPr>
          <w:bCs/>
        </w:rPr>
        <w:t xml:space="preserve">. </w:t>
      </w:r>
      <w:r w:rsidRPr="00143141">
        <w:rPr>
          <w:bCs/>
        </w:rPr>
        <w:t>On February 2, 2015, the Commission issued D.15-01-051</w:t>
      </w:r>
      <w:r w:rsidR="001D09E2">
        <w:rPr>
          <w:bCs/>
        </w:rPr>
        <w:t xml:space="preserve">, which </w:t>
      </w:r>
      <w:r w:rsidR="00F21B1C">
        <w:rPr>
          <w:bCs/>
        </w:rPr>
        <w:t xml:space="preserve">ordered </w:t>
      </w:r>
      <w:r w:rsidR="00F21B1C" w:rsidRPr="00143141">
        <w:rPr>
          <w:bCs/>
        </w:rPr>
        <w:t>the</w:t>
      </w:r>
      <w:r w:rsidRPr="00143141">
        <w:rPr>
          <w:bCs/>
        </w:rPr>
        <w:t xml:space="preserve"> IOUs to begin advance procurement for the GTSR program using</w:t>
      </w:r>
      <w:r>
        <w:rPr>
          <w:bCs/>
        </w:rPr>
        <w:t xml:space="preserve"> the </w:t>
      </w:r>
      <w:r w:rsidRPr="00143141">
        <w:rPr>
          <w:bCs/>
        </w:rPr>
        <w:t xml:space="preserve">RAM VI </w:t>
      </w:r>
      <w:r w:rsidR="00997DA6">
        <w:rPr>
          <w:bCs/>
        </w:rPr>
        <w:t xml:space="preserve">solicitation. </w:t>
      </w:r>
      <w:r w:rsidRPr="00143141">
        <w:rPr>
          <w:bCs/>
        </w:rPr>
        <w:t>In accordance with Senate Bill</w:t>
      </w:r>
      <w:r w:rsidR="00697DBE">
        <w:rPr>
          <w:bCs/>
        </w:rPr>
        <w:t xml:space="preserve"> </w:t>
      </w:r>
      <w:r w:rsidRPr="00143141">
        <w:rPr>
          <w:bCs/>
        </w:rPr>
        <w:t xml:space="preserve">43, D.15-01-051  also sets aside </w:t>
      </w:r>
      <w:r w:rsidR="00513520">
        <w:rPr>
          <w:bCs/>
        </w:rPr>
        <w:br/>
      </w:r>
      <w:r w:rsidRPr="00143141">
        <w:rPr>
          <w:bCs/>
        </w:rPr>
        <w:t>100 MW for facilities no larger than 1 MW located in areas previously identified by the California Environmental Protection Agency as the most impacted and disadvantaged communities (Environmen</w:t>
      </w:r>
      <w:r w:rsidR="00B710E2">
        <w:rPr>
          <w:bCs/>
        </w:rPr>
        <w:t xml:space="preserve">tal Justice or EJ Reservation). </w:t>
      </w:r>
      <w:r w:rsidRPr="00143141">
        <w:rPr>
          <w:bCs/>
        </w:rPr>
        <w:t>SDG&amp;E was ordered to procure at least 10.5 MW</w:t>
      </w:r>
      <w:r w:rsidR="0097132E">
        <w:rPr>
          <w:bCs/>
        </w:rPr>
        <w:t xml:space="preserve"> </w:t>
      </w:r>
      <w:r w:rsidR="00026220">
        <w:rPr>
          <w:bCs/>
        </w:rPr>
        <w:t xml:space="preserve">for advance GTSR procurement requirements </w:t>
      </w:r>
      <w:r w:rsidR="0097132E">
        <w:rPr>
          <w:bCs/>
        </w:rPr>
        <w:t>with</w:t>
      </w:r>
      <w:r w:rsidRPr="00143141">
        <w:rPr>
          <w:bCs/>
        </w:rPr>
        <w:t xml:space="preserve"> 1.75 MW in </w:t>
      </w:r>
      <w:r w:rsidR="00026220">
        <w:rPr>
          <w:bCs/>
        </w:rPr>
        <w:t>EJ Reservation.</w:t>
      </w:r>
    </w:p>
    <w:p w:rsidR="00071B2C" w:rsidRDefault="00071B2C" w:rsidP="00A634DA">
      <w:pPr>
        <w:rPr>
          <w:bCs/>
        </w:rPr>
      </w:pPr>
    </w:p>
    <w:p w:rsidR="00071B2C" w:rsidRPr="00BE1857" w:rsidRDefault="00071B2C" w:rsidP="00071B2C">
      <w:pPr>
        <w:pStyle w:val="Heading1"/>
        <w:spacing w:before="0"/>
      </w:pPr>
      <w:r w:rsidRPr="00BE1857">
        <w:t xml:space="preserve">Notice </w:t>
      </w:r>
    </w:p>
    <w:p w:rsidR="00071B2C" w:rsidRDefault="00071B2C" w:rsidP="00071B2C">
      <w:r w:rsidRPr="00BE1857">
        <w:t xml:space="preserve">Notice of AL </w:t>
      </w:r>
      <w:r>
        <w:t>2849-E</w:t>
      </w:r>
      <w:r w:rsidRPr="00BE1857">
        <w:t xml:space="preserve"> was made by publication in the Commission’s Daily Calendar.  </w:t>
      </w:r>
      <w:r>
        <w:t>SDG&amp;E</w:t>
      </w:r>
      <w:r w:rsidRPr="00BE1857">
        <w:t xml:space="preserve"> states that a copy of the Advice Letter was mailed and distributed in accordance with Section 4 of General Order 96-B.</w:t>
      </w:r>
      <w:r>
        <w:t xml:space="preserve"> </w:t>
      </w:r>
    </w:p>
    <w:p w:rsidR="00026220" w:rsidRDefault="00026220" w:rsidP="00A634DA">
      <w:pPr>
        <w:rPr>
          <w:bCs/>
        </w:rPr>
      </w:pPr>
    </w:p>
    <w:p w:rsidR="00071B2C" w:rsidRDefault="00071B2C" w:rsidP="00071B2C">
      <w:pPr>
        <w:pStyle w:val="Heading1"/>
        <w:spacing w:before="0"/>
      </w:pPr>
      <w:r>
        <w:lastRenderedPageBreak/>
        <w:t>Protest</w:t>
      </w:r>
    </w:p>
    <w:p w:rsidR="00071B2C" w:rsidRDefault="00071B2C" w:rsidP="00071B2C">
      <w:pPr>
        <w:rPr>
          <w:bCs/>
        </w:rPr>
      </w:pPr>
      <w:r w:rsidRPr="00275D8D">
        <w:rPr>
          <w:bCs/>
        </w:rPr>
        <w:t>On February 4, 2016 Rugraw LLC</w:t>
      </w:r>
      <w:r>
        <w:rPr>
          <w:bCs/>
        </w:rPr>
        <w:t xml:space="preserve"> (Rugraw)</w:t>
      </w:r>
      <w:r>
        <w:rPr>
          <w:rStyle w:val="FootnoteReference"/>
          <w:bCs/>
        </w:rPr>
        <w:footnoteReference w:id="2"/>
      </w:r>
      <w:r w:rsidRPr="009C4CA2">
        <w:rPr>
          <w:rFonts w:ascii="Arial" w:hAnsi="Arial" w:cs="Arial"/>
          <w:sz w:val="22"/>
          <w:szCs w:val="22"/>
        </w:rPr>
        <w:t xml:space="preserve"> </w:t>
      </w:r>
      <w:r w:rsidRPr="00275D8D">
        <w:rPr>
          <w:bCs/>
        </w:rPr>
        <w:t>protested Advice Letter 2849-E.</w:t>
      </w:r>
      <w:r>
        <w:rPr>
          <w:bCs/>
        </w:rPr>
        <w:t xml:space="preserve"> </w:t>
      </w:r>
      <w:r w:rsidRPr="00275D8D">
        <w:rPr>
          <w:bCs/>
        </w:rPr>
        <w:t xml:space="preserve"> </w:t>
      </w:r>
      <w:r w:rsidRPr="00480A11">
        <w:rPr>
          <w:bCs/>
        </w:rPr>
        <w:t>SDG</w:t>
      </w:r>
      <w:r>
        <w:rPr>
          <w:bCs/>
        </w:rPr>
        <w:t>&amp;</w:t>
      </w:r>
      <w:r w:rsidRPr="00480A11">
        <w:rPr>
          <w:bCs/>
        </w:rPr>
        <w:t>E responded on February 11, 2016</w:t>
      </w:r>
      <w:r>
        <w:rPr>
          <w:bCs/>
        </w:rPr>
        <w:t xml:space="preserve"> to Rugraw’s protest. Staff read and considered Rugraw’s comments but limits the discussion to relevant issues.</w:t>
      </w:r>
    </w:p>
    <w:p w:rsidR="00071B2C" w:rsidRDefault="00071B2C" w:rsidP="00071B2C">
      <w:pPr>
        <w:rPr>
          <w:bCs/>
        </w:rPr>
      </w:pPr>
    </w:p>
    <w:p w:rsidR="00071B2C" w:rsidRPr="00EB0C33" w:rsidRDefault="00071B2C" w:rsidP="00071B2C">
      <w:pPr>
        <w:rPr>
          <w:bCs/>
          <w:u w:val="single"/>
        </w:rPr>
      </w:pPr>
      <w:r>
        <w:rPr>
          <w:bCs/>
        </w:rPr>
        <w:t>Rugraw asserts that SDG&amp;E is discriminating against baseload bids by selecting bids after evaluating all product categories (peaking, non-peaking or baseload) together instead of evaluating bids within each product category separately. SDG&amp;E responded</w:t>
      </w:r>
      <w:r w:rsidRPr="00275D8D">
        <w:rPr>
          <w:bCs/>
        </w:rPr>
        <w:t xml:space="preserve"> that </w:t>
      </w:r>
      <w:r>
        <w:rPr>
          <w:bCs/>
        </w:rPr>
        <w:t>RAM</w:t>
      </w:r>
      <w:r w:rsidRPr="00275D8D">
        <w:rPr>
          <w:bCs/>
        </w:rPr>
        <w:t xml:space="preserve"> is not a must-take obligation and that SDG&amp;E compares the RAM bids relative to other renewable opportunities</w:t>
      </w:r>
      <w:r>
        <w:rPr>
          <w:bCs/>
        </w:rPr>
        <w:t>,</w:t>
      </w:r>
      <w:r w:rsidRPr="00275D8D">
        <w:rPr>
          <w:bCs/>
        </w:rPr>
        <w:t xml:space="preserve"> not just those within</w:t>
      </w:r>
      <w:r>
        <w:rPr>
          <w:bCs/>
        </w:rPr>
        <w:t xml:space="preserve"> a particular product category.  D.10-12-048</w:t>
      </w:r>
      <w:r>
        <w:rPr>
          <w:rStyle w:val="FootnoteReference"/>
          <w:bCs/>
        </w:rPr>
        <w:footnoteReference w:id="3"/>
      </w:r>
      <w:r>
        <w:rPr>
          <w:bCs/>
        </w:rPr>
        <w:t xml:space="preserve"> authorized </w:t>
      </w:r>
      <w:r w:rsidRPr="004B2310">
        <w:rPr>
          <w:bCs/>
        </w:rPr>
        <w:t xml:space="preserve">an IOU to solicit product-specific megawatts in a </w:t>
      </w:r>
      <w:r>
        <w:rPr>
          <w:bCs/>
        </w:rPr>
        <w:t xml:space="preserve">quantity that reflects an IOU’s </w:t>
      </w:r>
      <w:r w:rsidRPr="004B2310">
        <w:rPr>
          <w:bCs/>
        </w:rPr>
        <w:t>portfolio need</w:t>
      </w:r>
      <w:r>
        <w:rPr>
          <w:bCs/>
        </w:rPr>
        <w:t xml:space="preserve"> and mandated that RAM bid prices must be adjusted </w:t>
      </w:r>
      <w:r w:rsidRPr="004B2310">
        <w:rPr>
          <w:bCs/>
        </w:rPr>
        <w:t>by an IOU’s time of delivery (TOD) factors before the bids are ranked and</w:t>
      </w:r>
      <w:r>
        <w:rPr>
          <w:bCs/>
        </w:rPr>
        <w:t xml:space="preserve"> </w:t>
      </w:r>
      <w:r w:rsidRPr="004B2310">
        <w:rPr>
          <w:bCs/>
        </w:rPr>
        <w:t xml:space="preserve">selected, so that the project’s value relative to the IOU’s portfolio is </w:t>
      </w:r>
      <w:r w:rsidRPr="00CA21E8">
        <w:rPr>
          <w:bCs/>
        </w:rPr>
        <w:t xml:space="preserve">considered. </w:t>
      </w:r>
      <w:r w:rsidRPr="00EB0C33">
        <w:rPr>
          <w:bCs/>
          <w:u w:val="single"/>
        </w:rPr>
        <w:t>SDG&amp;E was not obligated to evaluate bids within ea</w:t>
      </w:r>
      <w:r>
        <w:rPr>
          <w:bCs/>
          <w:u w:val="single"/>
        </w:rPr>
        <w:t xml:space="preserve">ch product category separately; </w:t>
      </w:r>
      <w:r w:rsidRPr="00EB0C33">
        <w:rPr>
          <w:bCs/>
          <w:u w:val="single"/>
        </w:rPr>
        <w:t xml:space="preserve">therefore, Rugraw’s protest that SDG&amp;E is discriminating against baseload bids is denied. </w:t>
      </w:r>
    </w:p>
    <w:p w:rsidR="00071B2C" w:rsidRDefault="00071B2C" w:rsidP="00071B2C">
      <w:pPr>
        <w:rPr>
          <w:bCs/>
        </w:rPr>
      </w:pPr>
    </w:p>
    <w:p w:rsidR="00071B2C" w:rsidRPr="00166367" w:rsidRDefault="00071B2C" w:rsidP="00071B2C">
      <w:pPr>
        <w:rPr>
          <w:bCs/>
        </w:rPr>
      </w:pPr>
      <w:r>
        <w:rPr>
          <w:bCs/>
        </w:rPr>
        <w:t xml:space="preserve">Rugraw also asserts that they </w:t>
      </w:r>
      <w:r w:rsidRPr="009C4CA2">
        <w:rPr>
          <w:bCs/>
        </w:rPr>
        <w:t>submitted a proposal in RAM VI</w:t>
      </w:r>
      <w:r>
        <w:rPr>
          <w:bCs/>
        </w:rPr>
        <w:t xml:space="preserve"> and the </w:t>
      </w:r>
      <w:r w:rsidRPr="009C4CA2">
        <w:rPr>
          <w:bCs/>
        </w:rPr>
        <w:t xml:space="preserve">PPA price submitted for the </w:t>
      </w:r>
      <w:r>
        <w:rPr>
          <w:bCs/>
        </w:rPr>
        <w:t>proposal in RAM VI was for less than the</w:t>
      </w:r>
      <w:r w:rsidRPr="009C4CA2">
        <w:rPr>
          <w:bCs/>
        </w:rPr>
        <w:t xml:space="preserve"> RAM IV PPA</w:t>
      </w:r>
      <w:r>
        <w:rPr>
          <w:bCs/>
        </w:rPr>
        <w:t xml:space="preserve"> price</w:t>
      </w:r>
      <w:r w:rsidRPr="009C4CA2">
        <w:rPr>
          <w:bCs/>
        </w:rPr>
        <w:t>.</w:t>
      </w:r>
      <w:r>
        <w:rPr>
          <w:bCs/>
        </w:rPr>
        <w:t xml:space="preserve"> According to Rugraw, </w:t>
      </w:r>
      <w:r w:rsidRPr="009C4CA2">
        <w:rPr>
          <w:bCs/>
        </w:rPr>
        <w:t xml:space="preserve">by definition, the RAM VI </w:t>
      </w:r>
      <w:r>
        <w:rPr>
          <w:bCs/>
        </w:rPr>
        <w:t>Rugraw proposal</w:t>
      </w:r>
      <w:r w:rsidRPr="009C4CA2">
        <w:rPr>
          <w:bCs/>
        </w:rPr>
        <w:t xml:space="preserve"> was price</w:t>
      </w:r>
      <w:r>
        <w:rPr>
          <w:bCs/>
        </w:rPr>
        <w:t xml:space="preserve"> </w:t>
      </w:r>
      <w:r w:rsidRPr="009C4CA2">
        <w:rPr>
          <w:bCs/>
        </w:rPr>
        <w:t>competitive to baseload bids received by SDG&amp;E</w:t>
      </w:r>
      <w:r>
        <w:rPr>
          <w:bCs/>
        </w:rPr>
        <w:t>. Rugraw’s claim is contrary to current RAM policy. Each RAM auction is a standalone auction. A</w:t>
      </w:r>
      <w:r w:rsidRPr="009C4CA2">
        <w:rPr>
          <w:bCs/>
        </w:rPr>
        <w:t>ny comparison of price</w:t>
      </w:r>
      <w:r>
        <w:rPr>
          <w:bCs/>
        </w:rPr>
        <w:t xml:space="preserve"> </w:t>
      </w:r>
      <w:r w:rsidRPr="009C4CA2">
        <w:rPr>
          <w:bCs/>
        </w:rPr>
        <w:t>between</w:t>
      </w:r>
      <w:r>
        <w:rPr>
          <w:bCs/>
        </w:rPr>
        <w:t xml:space="preserve"> the average price of contracts in a </w:t>
      </w:r>
      <w:r w:rsidRPr="009C4CA2">
        <w:rPr>
          <w:bCs/>
        </w:rPr>
        <w:t>previous</w:t>
      </w:r>
      <w:r>
        <w:rPr>
          <w:bCs/>
        </w:rPr>
        <w:t xml:space="preserve"> RAM auction </w:t>
      </w:r>
      <w:r w:rsidRPr="009C4CA2">
        <w:rPr>
          <w:bCs/>
        </w:rPr>
        <w:t>and bid price</w:t>
      </w:r>
      <w:r>
        <w:rPr>
          <w:bCs/>
        </w:rPr>
        <w:t xml:space="preserve"> in a current RAM auction </w:t>
      </w:r>
      <w:r w:rsidRPr="009C4CA2">
        <w:rPr>
          <w:bCs/>
        </w:rPr>
        <w:t>is irrelevant, as bid prices</w:t>
      </w:r>
      <w:r>
        <w:rPr>
          <w:bCs/>
        </w:rPr>
        <w:t xml:space="preserve"> </w:t>
      </w:r>
      <w:r w:rsidRPr="009C4CA2">
        <w:rPr>
          <w:bCs/>
        </w:rPr>
        <w:t>are compared against all other</w:t>
      </w:r>
      <w:r>
        <w:rPr>
          <w:bCs/>
        </w:rPr>
        <w:t xml:space="preserve"> bids received in the same auction.</w:t>
      </w:r>
      <w:r w:rsidRPr="00CA21E8">
        <w:rPr>
          <w:bCs/>
        </w:rPr>
        <w:t xml:space="preserve"> </w:t>
      </w:r>
      <w:r w:rsidRPr="00EB0C33">
        <w:rPr>
          <w:bCs/>
          <w:u w:val="single"/>
        </w:rPr>
        <w:t>Rugraw’s protest that the RAM VI bid price is competitive based on its comparison with the RAM IV average contract price is denied.</w:t>
      </w:r>
    </w:p>
    <w:p w:rsidR="00071B2C" w:rsidRPr="00373900" w:rsidRDefault="00071B2C" w:rsidP="00A634DA">
      <w:pPr>
        <w:rPr>
          <w:bCs/>
        </w:rPr>
      </w:pPr>
    </w:p>
    <w:p w:rsidR="003959FC" w:rsidRDefault="003959FC" w:rsidP="00513520">
      <w:pPr>
        <w:pStyle w:val="Heading1"/>
        <w:spacing w:before="0"/>
      </w:pPr>
      <w:r w:rsidRPr="00542061">
        <w:t>Discussion</w:t>
      </w:r>
    </w:p>
    <w:p w:rsidR="00F21B1C" w:rsidRPr="0097132E" w:rsidRDefault="003959FC" w:rsidP="00071B2C">
      <w:pPr>
        <w:spacing w:after="120"/>
        <w:contextualSpacing/>
        <w:rPr>
          <w:bCs/>
        </w:rPr>
      </w:pPr>
      <w:r w:rsidRPr="00856652">
        <w:rPr>
          <w:bCs/>
        </w:rPr>
        <w:t xml:space="preserve">Pursuant to </w:t>
      </w:r>
      <w:r w:rsidRPr="003B4797">
        <w:rPr>
          <w:bCs/>
        </w:rPr>
        <w:t xml:space="preserve">D.15-01-051 </w:t>
      </w:r>
      <w:r w:rsidRPr="00856652">
        <w:rPr>
          <w:bCs/>
        </w:rPr>
        <w:t xml:space="preserve">and D.14-1-042, </w:t>
      </w:r>
      <w:r w:rsidR="00997DA6" w:rsidRPr="003B4797">
        <w:rPr>
          <w:bCs/>
        </w:rPr>
        <w:t>SDG</w:t>
      </w:r>
      <w:r w:rsidRPr="00856652">
        <w:rPr>
          <w:bCs/>
        </w:rPr>
        <w:t xml:space="preserve">&amp;E filed </w:t>
      </w:r>
      <w:r w:rsidR="000556F2">
        <w:rPr>
          <w:bCs/>
        </w:rPr>
        <w:t xml:space="preserve">Tier 2 </w:t>
      </w:r>
      <w:r w:rsidR="00697DBE">
        <w:rPr>
          <w:bCs/>
        </w:rPr>
        <w:t>advice l</w:t>
      </w:r>
      <w:r w:rsidRPr="003B4797">
        <w:rPr>
          <w:bCs/>
        </w:rPr>
        <w:t xml:space="preserve">etter 2849-E seeking approval of </w:t>
      </w:r>
      <w:r w:rsidR="00480244">
        <w:rPr>
          <w:bCs/>
        </w:rPr>
        <w:t xml:space="preserve">a </w:t>
      </w:r>
      <w:r w:rsidRPr="003B4797">
        <w:rPr>
          <w:bCs/>
        </w:rPr>
        <w:t xml:space="preserve">contract towards </w:t>
      </w:r>
      <w:r w:rsidR="00997DA6" w:rsidRPr="003B4797">
        <w:rPr>
          <w:bCs/>
        </w:rPr>
        <w:t>its</w:t>
      </w:r>
      <w:r w:rsidR="00997DA6">
        <w:rPr>
          <w:bCs/>
        </w:rPr>
        <w:t xml:space="preserve"> </w:t>
      </w:r>
      <w:r w:rsidR="00997DA6" w:rsidRPr="003B4797">
        <w:rPr>
          <w:bCs/>
        </w:rPr>
        <w:t>GTSR</w:t>
      </w:r>
      <w:r w:rsidRPr="003B4797">
        <w:rPr>
          <w:bCs/>
        </w:rPr>
        <w:t xml:space="preserve"> and RAM obligations. </w:t>
      </w:r>
      <w:r w:rsidR="00071B2C">
        <w:rPr>
          <w:bCs/>
        </w:rPr>
        <w:br w:type="page"/>
      </w:r>
    </w:p>
    <w:p w:rsidR="0061487A" w:rsidRPr="00DB7BA6" w:rsidRDefault="0061487A" w:rsidP="00F21B1C">
      <w:pPr>
        <w:spacing w:after="120"/>
        <w:contextualSpacing/>
        <w:rPr>
          <w:b/>
          <w:bCs/>
        </w:rPr>
      </w:pPr>
      <w:r w:rsidRPr="00DB7BA6">
        <w:rPr>
          <w:b/>
          <w:bCs/>
        </w:rPr>
        <w:t xml:space="preserve">GTSR Procurement Requirements </w:t>
      </w:r>
    </w:p>
    <w:p w:rsidR="005A06C0" w:rsidRDefault="00480244" w:rsidP="00F21B1C">
      <w:pPr>
        <w:spacing w:after="120"/>
        <w:rPr>
          <w:bCs/>
        </w:rPr>
      </w:pPr>
      <w:r>
        <w:rPr>
          <w:bCs/>
        </w:rPr>
        <w:t xml:space="preserve">Specifically, </w:t>
      </w:r>
      <w:r w:rsidR="003959FC" w:rsidRPr="00575B92">
        <w:rPr>
          <w:bCs/>
        </w:rPr>
        <w:t>SDG&amp;</w:t>
      </w:r>
      <w:r w:rsidR="00A473C2">
        <w:rPr>
          <w:bCs/>
        </w:rPr>
        <w:t xml:space="preserve">E is seeking approval of the </w:t>
      </w:r>
      <w:r w:rsidR="003959FC" w:rsidRPr="00575B92">
        <w:rPr>
          <w:bCs/>
        </w:rPr>
        <w:t>20 MW</w:t>
      </w:r>
      <w:r w:rsidR="00A473C2">
        <w:rPr>
          <w:bCs/>
        </w:rPr>
        <w:t xml:space="preserve"> Solar Frontier </w:t>
      </w:r>
      <w:r w:rsidR="00D83368">
        <w:rPr>
          <w:bCs/>
        </w:rPr>
        <w:t xml:space="preserve">project </w:t>
      </w:r>
      <w:r w:rsidR="00D83368" w:rsidRPr="00575B92">
        <w:rPr>
          <w:bCs/>
        </w:rPr>
        <w:t>towards</w:t>
      </w:r>
      <w:r w:rsidR="003959FC" w:rsidRPr="00575B92">
        <w:rPr>
          <w:bCs/>
        </w:rPr>
        <w:t xml:space="preserve"> meeting its advanced procurement GTSR requirements.</w:t>
      </w:r>
      <w:r w:rsidR="00B710E2">
        <w:rPr>
          <w:bCs/>
        </w:rPr>
        <w:t xml:space="preserve"> </w:t>
      </w:r>
      <w:r w:rsidR="005A06C0">
        <w:rPr>
          <w:bCs/>
        </w:rPr>
        <w:t>The proposed agreement is as follows:</w:t>
      </w:r>
    </w:p>
    <w:p w:rsidR="00B932AF" w:rsidRDefault="00B932AF" w:rsidP="00F21B1C">
      <w:pPr>
        <w:spacing w:after="120"/>
        <w:rPr>
          <w:bCs/>
        </w:rPr>
      </w:pPr>
    </w:p>
    <w:tbl>
      <w:tblPr>
        <w:tblStyle w:val="TableGrid"/>
        <w:tblW w:w="0" w:type="auto"/>
        <w:tblLayout w:type="fixed"/>
        <w:tblLook w:val="04A0" w:firstRow="1" w:lastRow="0" w:firstColumn="1" w:lastColumn="0" w:noHBand="0" w:noVBand="1"/>
      </w:tblPr>
      <w:tblGrid>
        <w:gridCol w:w="1458"/>
        <w:gridCol w:w="1260"/>
        <w:gridCol w:w="1440"/>
        <w:gridCol w:w="1170"/>
        <w:gridCol w:w="990"/>
        <w:gridCol w:w="1440"/>
        <w:gridCol w:w="982"/>
        <w:gridCol w:w="836"/>
      </w:tblGrid>
      <w:tr w:rsidR="005A06C0" w:rsidTr="004F4F28">
        <w:tc>
          <w:tcPr>
            <w:tcW w:w="1458" w:type="dxa"/>
          </w:tcPr>
          <w:p w:rsidR="005A06C0" w:rsidRPr="00DB7BA6" w:rsidRDefault="005A06C0" w:rsidP="00F21B1C">
            <w:pPr>
              <w:spacing w:after="120"/>
              <w:rPr>
                <w:b/>
                <w:bCs/>
                <w:sz w:val="22"/>
                <w:szCs w:val="22"/>
              </w:rPr>
            </w:pPr>
            <w:r w:rsidRPr="00DB7BA6">
              <w:rPr>
                <w:b/>
                <w:bCs/>
                <w:sz w:val="22"/>
                <w:szCs w:val="22"/>
              </w:rPr>
              <w:t xml:space="preserve">Technology </w:t>
            </w:r>
          </w:p>
        </w:tc>
        <w:tc>
          <w:tcPr>
            <w:tcW w:w="1260" w:type="dxa"/>
          </w:tcPr>
          <w:p w:rsidR="005A06C0" w:rsidRPr="00DB7BA6" w:rsidRDefault="005A06C0" w:rsidP="00F21B1C">
            <w:pPr>
              <w:spacing w:after="120"/>
              <w:rPr>
                <w:b/>
                <w:bCs/>
                <w:sz w:val="22"/>
                <w:szCs w:val="22"/>
              </w:rPr>
            </w:pPr>
            <w:r w:rsidRPr="00DB7BA6">
              <w:rPr>
                <w:b/>
                <w:bCs/>
                <w:sz w:val="22"/>
                <w:szCs w:val="22"/>
              </w:rPr>
              <w:t xml:space="preserve">Company Name </w:t>
            </w:r>
          </w:p>
        </w:tc>
        <w:tc>
          <w:tcPr>
            <w:tcW w:w="1440" w:type="dxa"/>
          </w:tcPr>
          <w:p w:rsidR="005A06C0" w:rsidRPr="00DB7BA6" w:rsidRDefault="005A06C0" w:rsidP="00F21B1C">
            <w:pPr>
              <w:spacing w:after="120"/>
              <w:rPr>
                <w:b/>
                <w:bCs/>
                <w:sz w:val="22"/>
                <w:szCs w:val="22"/>
              </w:rPr>
            </w:pPr>
            <w:r w:rsidRPr="00DB7BA6">
              <w:rPr>
                <w:b/>
                <w:bCs/>
                <w:sz w:val="22"/>
                <w:szCs w:val="22"/>
              </w:rPr>
              <w:t xml:space="preserve">Project Name </w:t>
            </w:r>
          </w:p>
        </w:tc>
        <w:tc>
          <w:tcPr>
            <w:tcW w:w="1170" w:type="dxa"/>
          </w:tcPr>
          <w:p w:rsidR="005A06C0" w:rsidRPr="00DB7BA6" w:rsidRDefault="005A06C0" w:rsidP="00F21B1C">
            <w:pPr>
              <w:spacing w:after="120"/>
              <w:rPr>
                <w:b/>
                <w:bCs/>
                <w:sz w:val="22"/>
                <w:szCs w:val="22"/>
              </w:rPr>
            </w:pPr>
            <w:r w:rsidRPr="00DB7BA6">
              <w:rPr>
                <w:b/>
                <w:bCs/>
                <w:sz w:val="22"/>
                <w:szCs w:val="22"/>
              </w:rPr>
              <w:t xml:space="preserve">Contract Capacity </w:t>
            </w:r>
          </w:p>
        </w:tc>
        <w:tc>
          <w:tcPr>
            <w:tcW w:w="990" w:type="dxa"/>
          </w:tcPr>
          <w:p w:rsidR="005A06C0" w:rsidRPr="00DB7BA6" w:rsidRDefault="005A06C0" w:rsidP="00F21B1C">
            <w:pPr>
              <w:spacing w:after="120"/>
              <w:rPr>
                <w:b/>
                <w:bCs/>
                <w:sz w:val="22"/>
                <w:szCs w:val="22"/>
              </w:rPr>
            </w:pPr>
            <w:r w:rsidRPr="00DB7BA6">
              <w:rPr>
                <w:b/>
                <w:bCs/>
                <w:sz w:val="22"/>
                <w:szCs w:val="22"/>
              </w:rPr>
              <w:t>Annual GWh</w:t>
            </w:r>
          </w:p>
        </w:tc>
        <w:tc>
          <w:tcPr>
            <w:tcW w:w="1440" w:type="dxa"/>
          </w:tcPr>
          <w:p w:rsidR="005A06C0" w:rsidRPr="00DB7BA6" w:rsidRDefault="005A06C0" w:rsidP="00F21B1C">
            <w:pPr>
              <w:spacing w:after="120"/>
              <w:rPr>
                <w:b/>
                <w:bCs/>
                <w:sz w:val="22"/>
                <w:szCs w:val="22"/>
              </w:rPr>
            </w:pPr>
            <w:r w:rsidRPr="00DB7BA6">
              <w:rPr>
                <w:b/>
                <w:bCs/>
                <w:sz w:val="22"/>
                <w:szCs w:val="22"/>
              </w:rPr>
              <w:t xml:space="preserve">Project Location </w:t>
            </w:r>
          </w:p>
        </w:tc>
        <w:tc>
          <w:tcPr>
            <w:tcW w:w="982" w:type="dxa"/>
          </w:tcPr>
          <w:p w:rsidR="005A06C0" w:rsidRPr="00DB7BA6" w:rsidRDefault="005A06C0" w:rsidP="00F21B1C">
            <w:pPr>
              <w:spacing w:after="120"/>
              <w:rPr>
                <w:b/>
                <w:bCs/>
                <w:sz w:val="22"/>
                <w:szCs w:val="22"/>
              </w:rPr>
            </w:pPr>
            <w:r w:rsidRPr="00DB7BA6">
              <w:rPr>
                <w:b/>
                <w:bCs/>
                <w:sz w:val="22"/>
                <w:szCs w:val="22"/>
              </w:rPr>
              <w:t>Term (yrs)</w:t>
            </w:r>
          </w:p>
        </w:tc>
        <w:tc>
          <w:tcPr>
            <w:tcW w:w="836" w:type="dxa"/>
          </w:tcPr>
          <w:p w:rsidR="005A06C0" w:rsidRPr="00DB7BA6" w:rsidRDefault="005A06C0" w:rsidP="00F21B1C">
            <w:pPr>
              <w:spacing w:after="120"/>
              <w:rPr>
                <w:b/>
                <w:bCs/>
                <w:sz w:val="22"/>
                <w:szCs w:val="22"/>
              </w:rPr>
            </w:pPr>
            <w:r w:rsidRPr="00DB7BA6">
              <w:rPr>
                <w:b/>
                <w:bCs/>
                <w:sz w:val="22"/>
                <w:szCs w:val="22"/>
              </w:rPr>
              <w:t>COD</w:t>
            </w:r>
          </w:p>
        </w:tc>
      </w:tr>
      <w:tr w:rsidR="005A06C0" w:rsidTr="004F4F28">
        <w:tc>
          <w:tcPr>
            <w:tcW w:w="1458" w:type="dxa"/>
          </w:tcPr>
          <w:p w:rsidR="005A06C0" w:rsidRPr="004F4F28" w:rsidRDefault="005A06C0" w:rsidP="00513520">
            <w:pPr>
              <w:rPr>
                <w:bCs/>
                <w:sz w:val="22"/>
                <w:szCs w:val="22"/>
              </w:rPr>
            </w:pPr>
            <w:r w:rsidRPr="004F4F28">
              <w:rPr>
                <w:bCs/>
                <w:sz w:val="22"/>
                <w:szCs w:val="22"/>
              </w:rPr>
              <w:t>Solar PV</w:t>
            </w:r>
          </w:p>
        </w:tc>
        <w:tc>
          <w:tcPr>
            <w:tcW w:w="1260" w:type="dxa"/>
          </w:tcPr>
          <w:p w:rsidR="005A06C0" w:rsidRPr="004F4F28" w:rsidRDefault="005A06C0" w:rsidP="00513520">
            <w:pPr>
              <w:rPr>
                <w:bCs/>
                <w:sz w:val="22"/>
                <w:szCs w:val="22"/>
              </w:rPr>
            </w:pPr>
            <w:r w:rsidRPr="004F4F28">
              <w:rPr>
                <w:bCs/>
                <w:sz w:val="22"/>
                <w:szCs w:val="22"/>
              </w:rPr>
              <w:t>Solar Frontier</w:t>
            </w:r>
          </w:p>
        </w:tc>
        <w:tc>
          <w:tcPr>
            <w:tcW w:w="1440" w:type="dxa"/>
          </w:tcPr>
          <w:p w:rsidR="005A06C0" w:rsidRPr="004F4F28" w:rsidRDefault="005A06C0" w:rsidP="00513520">
            <w:pPr>
              <w:rPr>
                <w:bCs/>
                <w:sz w:val="22"/>
                <w:szCs w:val="22"/>
              </w:rPr>
            </w:pPr>
            <w:r w:rsidRPr="004F4F28">
              <w:rPr>
                <w:bCs/>
                <w:sz w:val="22"/>
                <w:szCs w:val="22"/>
              </w:rPr>
              <w:t>97WI8ME</w:t>
            </w:r>
          </w:p>
          <w:p w:rsidR="005A06C0" w:rsidRPr="004F4F28" w:rsidRDefault="005A06C0" w:rsidP="00513520">
            <w:pPr>
              <w:rPr>
                <w:bCs/>
                <w:sz w:val="22"/>
                <w:szCs w:val="22"/>
              </w:rPr>
            </w:pPr>
            <w:r w:rsidRPr="004F4F28">
              <w:rPr>
                <w:bCs/>
                <w:sz w:val="22"/>
                <w:szCs w:val="22"/>
              </w:rPr>
              <w:t>LLC</w:t>
            </w:r>
          </w:p>
          <w:p w:rsidR="005A06C0" w:rsidRPr="004F4F28" w:rsidRDefault="005A06C0" w:rsidP="00513520">
            <w:pPr>
              <w:rPr>
                <w:bCs/>
                <w:sz w:val="22"/>
                <w:szCs w:val="22"/>
              </w:rPr>
            </w:pPr>
            <w:r w:rsidRPr="004F4F28">
              <w:rPr>
                <w:bCs/>
                <w:sz w:val="22"/>
                <w:szCs w:val="22"/>
              </w:rPr>
              <w:t>(Midway</w:t>
            </w:r>
          </w:p>
          <w:p w:rsidR="005A06C0" w:rsidRPr="004F4F28" w:rsidRDefault="005A06C0" w:rsidP="00513520">
            <w:pPr>
              <w:rPr>
                <w:bCs/>
                <w:sz w:val="22"/>
                <w:szCs w:val="22"/>
              </w:rPr>
            </w:pPr>
            <w:r w:rsidRPr="004F4F28">
              <w:rPr>
                <w:bCs/>
                <w:sz w:val="22"/>
                <w:szCs w:val="22"/>
              </w:rPr>
              <w:t>Solar</w:t>
            </w:r>
          </w:p>
          <w:p w:rsidR="005A06C0" w:rsidRPr="004F4F28" w:rsidRDefault="005A06C0" w:rsidP="00513520">
            <w:pPr>
              <w:rPr>
                <w:bCs/>
                <w:sz w:val="22"/>
                <w:szCs w:val="22"/>
              </w:rPr>
            </w:pPr>
            <w:r w:rsidRPr="004F4F28">
              <w:rPr>
                <w:bCs/>
                <w:sz w:val="22"/>
                <w:szCs w:val="22"/>
              </w:rPr>
              <w:t>Farm)</w:t>
            </w:r>
          </w:p>
          <w:p w:rsidR="005A06C0" w:rsidRPr="004F4F28" w:rsidRDefault="005A06C0" w:rsidP="00513520">
            <w:pPr>
              <w:rPr>
                <w:bCs/>
                <w:sz w:val="22"/>
                <w:szCs w:val="22"/>
              </w:rPr>
            </w:pPr>
            <w:r w:rsidRPr="004F4F28">
              <w:rPr>
                <w:bCs/>
                <w:sz w:val="22"/>
                <w:szCs w:val="22"/>
              </w:rPr>
              <w:t>III)</w:t>
            </w:r>
          </w:p>
        </w:tc>
        <w:tc>
          <w:tcPr>
            <w:tcW w:w="1170" w:type="dxa"/>
          </w:tcPr>
          <w:p w:rsidR="005A06C0" w:rsidRPr="004F4F28" w:rsidRDefault="005A06C0" w:rsidP="00513520">
            <w:pPr>
              <w:rPr>
                <w:bCs/>
                <w:sz w:val="22"/>
                <w:szCs w:val="22"/>
              </w:rPr>
            </w:pPr>
            <w:r w:rsidRPr="004F4F28">
              <w:rPr>
                <w:bCs/>
                <w:sz w:val="22"/>
                <w:szCs w:val="22"/>
              </w:rPr>
              <w:t>20</w:t>
            </w:r>
          </w:p>
        </w:tc>
        <w:tc>
          <w:tcPr>
            <w:tcW w:w="990" w:type="dxa"/>
          </w:tcPr>
          <w:p w:rsidR="005A06C0" w:rsidRPr="004F4F28" w:rsidRDefault="005A06C0" w:rsidP="00513520">
            <w:pPr>
              <w:rPr>
                <w:bCs/>
                <w:sz w:val="22"/>
                <w:szCs w:val="22"/>
              </w:rPr>
            </w:pPr>
            <w:r w:rsidRPr="004F4F28">
              <w:rPr>
                <w:bCs/>
                <w:sz w:val="22"/>
                <w:szCs w:val="22"/>
              </w:rPr>
              <w:t>58.3</w:t>
            </w:r>
          </w:p>
        </w:tc>
        <w:tc>
          <w:tcPr>
            <w:tcW w:w="1440" w:type="dxa"/>
          </w:tcPr>
          <w:p w:rsidR="005A06C0" w:rsidRPr="004F4F28" w:rsidRDefault="005A06C0" w:rsidP="00513520">
            <w:pPr>
              <w:rPr>
                <w:bCs/>
                <w:sz w:val="22"/>
                <w:szCs w:val="22"/>
              </w:rPr>
            </w:pPr>
            <w:r w:rsidRPr="004F4F28">
              <w:rPr>
                <w:bCs/>
                <w:sz w:val="22"/>
                <w:szCs w:val="22"/>
              </w:rPr>
              <w:t>Calipatria,</w:t>
            </w:r>
          </w:p>
          <w:p w:rsidR="005A06C0" w:rsidRPr="004F4F28" w:rsidRDefault="005A06C0" w:rsidP="00513520">
            <w:pPr>
              <w:rPr>
                <w:bCs/>
                <w:sz w:val="22"/>
                <w:szCs w:val="22"/>
              </w:rPr>
            </w:pPr>
            <w:r w:rsidRPr="004F4F28">
              <w:rPr>
                <w:bCs/>
                <w:sz w:val="22"/>
                <w:szCs w:val="22"/>
              </w:rPr>
              <w:t>CA</w:t>
            </w:r>
          </w:p>
          <w:p w:rsidR="005A06C0" w:rsidRPr="004F4F28" w:rsidRDefault="005A06C0" w:rsidP="00513520">
            <w:pPr>
              <w:rPr>
                <w:bCs/>
                <w:sz w:val="22"/>
                <w:szCs w:val="22"/>
              </w:rPr>
            </w:pPr>
            <w:r w:rsidRPr="004F4F28">
              <w:rPr>
                <w:bCs/>
                <w:sz w:val="22"/>
                <w:szCs w:val="22"/>
              </w:rPr>
              <w:t>(Imperial Valley)</w:t>
            </w:r>
          </w:p>
        </w:tc>
        <w:tc>
          <w:tcPr>
            <w:tcW w:w="982" w:type="dxa"/>
          </w:tcPr>
          <w:p w:rsidR="005A06C0" w:rsidRPr="004F4F28" w:rsidRDefault="005A06C0" w:rsidP="00513520">
            <w:pPr>
              <w:rPr>
                <w:bCs/>
                <w:sz w:val="22"/>
                <w:szCs w:val="22"/>
              </w:rPr>
            </w:pPr>
            <w:r w:rsidRPr="004F4F28">
              <w:rPr>
                <w:bCs/>
                <w:sz w:val="22"/>
                <w:szCs w:val="22"/>
              </w:rPr>
              <w:t>20</w:t>
            </w:r>
          </w:p>
        </w:tc>
        <w:tc>
          <w:tcPr>
            <w:tcW w:w="836" w:type="dxa"/>
          </w:tcPr>
          <w:p w:rsidR="005A06C0" w:rsidRPr="004F4F28" w:rsidRDefault="005A06C0" w:rsidP="00513520">
            <w:pPr>
              <w:rPr>
                <w:bCs/>
                <w:sz w:val="22"/>
                <w:szCs w:val="22"/>
              </w:rPr>
            </w:pPr>
            <w:r w:rsidRPr="004F4F28">
              <w:rPr>
                <w:bCs/>
                <w:sz w:val="22"/>
                <w:szCs w:val="22"/>
              </w:rPr>
              <w:t>Dec 1,</w:t>
            </w:r>
          </w:p>
          <w:p w:rsidR="005A06C0" w:rsidRPr="004F4F28" w:rsidRDefault="005A06C0" w:rsidP="00513520">
            <w:pPr>
              <w:rPr>
                <w:bCs/>
                <w:sz w:val="22"/>
                <w:szCs w:val="22"/>
              </w:rPr>
            </w:pPr>
            <w:r w:rsidRPr="004F4F28">
              <w:rPr>
                <w:bCs/>
                <w:sz w:val="22"/>
                <w:szCs w:val="22"/>
              </w:rPr>
              <w:t>2017</w:t>
            </w:r>
          </w:p>
        </w:tc>
      </w:tr>
    </w:tbl>
    <w:p w:rsidR="00B932AF" w:rsidRDefault="00B932AF" w:rsidP="00513520">
      <w:pPr>
        <w:rPr>
          <w:bCs/>
        </w:rPr>
      </w:pPr>
    </w:p>
    <w:p w:rsidR="009C5DF0" w:rsidRDefault="009C5DF0" w:rsidP="00F21B1C">
      <w:pPr>
        <w:spacing w:after="120"/>
        <w:rPr>
          <w:bCs/>
        </w:rPr>
      </w:pPr>
      <w:r>
        <w:rPr>
          <w:bCs/>
        </w:rPr>
        <w:t xml:space="preserve">The </w:t>
      </w:r>
      <w:r w:rsidR="0011476D">
        <w:rPr>
          <w:bCs/>
        </w:rPr>
        <w:t xml:space="preserve">requirements of the </w:t>
      </w:r>
      <w:r w:rsidR="007F28DC" w:rsidRPr="007F28DC">
        <w:rPr>
          <w:bCs/>
        </w:rPr>
        <w:t>D.15-01-051</w:t>
      </w:r>
      <w:r w:rsidR="007F28DC">
        <w:rPr>
          <w:bCs/>
        </w:rPr>
        <w:t xml:space="preserve"> (in italics)</w:t>
      </w:r>
      <w:r w:rsidR="007F28DC" w:rsidRPr="007F28DC">
        <w:rPr>
          <w:bCs/>
        </w:rPr>
        <w:t xml:space="preserve"> </w:t>
      </w:r>
      <w:r w:rsidR="00D83368">
        <w:rPr>
          <w:bCs/>
        </w:rPr>
        <w:t xml:space="preserve">and how SDG&amp;E complied with the requirements of </w:t>
      </w:r>
      <w:r w:rsidR="007F28DC" w:rsidRPr="007F28DC">
        <w:rPr>
          <w:bCs/>
        </w:rPr>
        <w:t xml:space="preserve">D.15-01-051 </w:t>
      </w:r>
      <w:r w:rsidR="00D83368">
        <w:rPr>
          <w:bCs/>
        </w:rPr>
        <w:t xml:space="preserve">are listed below: </w:t>
      </w:r>
    </w:p>
    <w:p w:rsidR="00D83368" w:rsidRPr="000627AC" w:rsidRDefault="0011476D" w:rsidP="00F21B1C">
      <w:pPr>
        <w:pStyle w:val="ListParagraph"/>
        <w:numPr>
          <w:ilvl w:val="0"/>
          <w:numId w:val="7"/>
        </w:numPr>
        <w:spacing w:after="120"/>
        <w:ind w:left="994"/>
        <w:contextualSpacing w:val="0"/>
        <w:rPr>
          <w:bCs/>
        </w:rPr>
      </w:pPr>
      <w:r>
        <w:rPr>
          <w:bCs/>
          <w:i/>
        </w:rPr>
        <w:t xml:space="preserve">Project </w:t>
      </w:r>
      <w:r w:rsidR="002467FD" w:rsidRPr="00D83368">
        <w:rPr>
          <w:bCs/>
          <w:i/>
        </w:rPr>
        <w:t>size</w:t>
      </w:r>
      <w:r>
        <w:rPr>
          <w:bCs/>
          <w:i/>
        </w:rPr>
        <w:t xml:space="preserve"> </w:t>
      </w:r>
      <w:r w:rsidR="007F28DC">
        <w:rPr>
          <w:bCs/>
          <w:i/>
        </w:rPr>
        <w:t>should range</w:t>
      </w:r>
      <w:r>
        <w:rPr>
          <w:bCs/>
          <w:i/>
        </w:rPr>
        <w:t xml:space="preserve"> from 500 kW to</w:t>
      </w:r>
      <w:r w:rsidR="002467FD" w:rsidRPr="00D83368">
        <w:rPr>
          <w:bCs/>
          <w:i/>
        </w:rPr>
        <w:t xml:space="preserve"> 20 MW (measured by nameplate rating</w:t>
      </w:r>
      <w:r w:rsidR="00A473C2" w:rsidRPr="00D83368">
        <w:rPr>
          <w:bCs/>
          <w:i/>
        </w:rPr>
        <w:t>)</w:t>
      </w:r>
      <w:r w:rsidR="00F21B1C">
        <w:rPr>
          <w:bCs/>
          <w:i/>
        </w:rPr>
        <w:t>:</w:t>
      </w:r>
      <w:r w:rsidR="000B2660">
        <w:rPr>
          <w:bCs/>
          <w:i/>
        </w:rPr>
        <w:t xml:space="preserve"> </w:t>
      </w:r>
      <w:r>
        <w:rPr>
          <w:rStyle w:val="FootnoteReference"/>
          <w:bCs/>
          <w:i/>
        </w:rPr>
        <w:footnoteReference w:id="4"/>
      </w:r>
      <w:r w:rsidR="00F21B1C">
        <w:rPr>
          <w:rFonts w:ascii="Book Antiqua" w:hAnsi="Book Antiqua" w:cs="Book Antiqua"/>
          <w:color w:val="000000"/>
          <w:szCs w:val="26"/>
        </w:rPr>
        <w:t xml:space="preserve"> </w:t>
      </w:r>
      <w:r w:rsidR="00A473C2" w:rsidRPr="00D83368">
        <w:rPr>
          <w:rFonts w:ascii="Book Antiqua" w:hAnsi="Book Antiqua" w:cs="Book Antiqua"/>
          <w:color w:val="000000"/>
          <w:szCs w:val="26"/>
        </w:rPr>
        <w:t>The Solar Frontier project is 20 MW</w:t>
      </w:r>
      <w:r w:rsidR="007F28DC">
        <w:rPr>
          <w:rFonts w:ascii="Book Antiqua" w:hAnsi="Book Antiqua" w:cs="Book Antiqua"/>
          <w:color w:val="000000"/>
          <w:szCs w:val="26"/>
        </w:rPr>
        <w:t xml:space="preserve"> contract</w:t>
      </w:r>
      <w:r w:rsidR="00D83368" w:rsidRPr="00D83368">
        <w:rPr>
          <w:rFonts w:ascii="Book Antiqua" w:hAnsi="Book Antiqua" w:cs="Book Antiqua"/>
          <w:color w:val="000000"/>
          <w:szCs w:val="26"/>
        </w:rPr>
        <w:t xml:space="preserve"> </w:t>
      </w:r>
      <w:r w:rsidR="00006FE5">
        <w:rPr>
          <w:rFonts w:ascii="Book Antiqua" w:hAnsi="Book Antiqua" w:cs="Book Antiqua"/>
          <w:color w:val="000000"/>
          <w:szCs w:val="26"/>
        </w:rPr>
        <w:t>capacity and meets the size limit in</w:t>
      </w:r>
      <w:r w:rsidR="0097132E">
        <w:rPr>
          <w:rFonts w:ascii="Book Antiqua" w:hAnsi="Book Antiqua" w:cs="Book Antiqua"/>
          <w:color w:val="000000"/>
          <w:szCs w:val="26"/>
        </w:rPr>
        <w:t xml:space="preserve"> D.15-01-051</w:t>
      </w:r>
      <w:r w:rsidR="00006FE5">
        <w:rPr>
          <w:rFonts w:ascii="Book Antiqua" w:hAnsi="Book Antiqua" w:cs="Book Antiqua"/>
          <w:color w:val="000000"/>
          <w:szCs w:val="26"/>
        </w:rPr>
        <w:t>.</w:t>
      </w:r>
      <w:r w:rsidR="00A473C2" w:rsidRPr="00D83368">
        <w:rPr>
          <w:rFonts w:ascii="Book Antiqua" w:hAnsi="Book Antiqua" w:cs="Book Antiqua"/>
          <w:color w:val="000000"/>
          <w:szCs w:val="26"/>
        </w:rPr>
        <w:t xml:space="preserve"> </w:t>
      </w:r>
    </w:p>
    <w:p w:rsidR="00006FE5" w:rsidRPr="009F2D68" w:rsidRDefault="009C5DF0" w:rsidP="00F21B1C">
      <w:pPr>
        <w:pStyle w:val="ListParagraph"/>
        <w:numPr>
          <w:ilvl w:val="0"/>
          <w:numId w:val="7"/>
        </w:numPr>
        <w:spacing w:after="120"/>
        <w:ind w:left="994"/>
        <w:contextualSpacing w:val="0"/>
        <w:rPr>
          <w:bCs/>
        </w:rPr>
      </w:pPr>
      <w:r w:rsidRPr="00D83368">
        <w:rPr>
          <w:bCs/>
          <w:i/>
        </w:rPr>
        <w:t>For advance procurement in 2015, the IOUs will rely on prices resulting from the existing RAM and ReMAT p</w:t>
      </w:r>
      <w:r w:rsidR="00143CDE">
        <w:rPr>
          <w:bCs/>
          <w:i/>
        </w:rPr>
        <w:t>rocesses</w:t>
      </w:r>
      <w:r w:rsidR="00F21B1C">
        <w:rPr>
          <w:bCs/>
          <w:i/>
        </w:rPr>
        <w:t>:</w:t>
      </w:r>
      <w:r w:rsidR="000B2660">
        <w:rPr>
          <w:bCs/>
          <w:i/>
        </w:rPr>
        <w:t xml:space="preserve"> </w:t>
      </w:r>
      <w:r w:rsidR="00006FE5">
        <w:rPr>
          <w:rStyle w:val="FootnoteReference"/>
          <w:bCs/>
          <w:i/>
        </w:rPr>
        <w:footnoteReference w:id="5"/>
      </w:r>
      <w:r w:rsidR="00CA6598">
        <w:rPr>
          <w:bCs/>
        </w:rPr>
        <w:t xml:space="preserve"> </w:t>
      </w:r>
      <w:r w:rsidR="001D09E2">
        <w:rPr>
          <w:bCs/>
        </w:rPr>
        <w:t xml:space="preserve">In accordance with D.15-01-051, </w:t>
      </w:r>
      <w:r w:rsidR="00D83368">
        <w:rPr>
          <w:bCs/>
        </w:rPr>
        <w:t>SDG&amp;E used the RAM VI auction</w:t>
      </w:r>
      <w:r w:rsidR="00CA6598">
        <w:rPr>
          <w:bCs/>
        </w:rPr>
        <w:t xml:space="preserve"> to</w:t>
      </w:r>
      <w:r w:rsidR="00D83368">
        <w:rPr>
          <w:bCs/>
        </w:rPr>
        <w:t xml:space="preserve"> procure the Solar Frontier project. </w:t>
      </w:r>
      <w:r w:rsidR="00CA6598" w:rsidRPr="00CA6598">
        <w:rPr>
          <w:bCs/>
        </w:rPr>
        <w:t>SDG&amp;E used its own quantitative price measure, the Bid Ranking Price</w:t>
      </w:r>
      <w:r w:rsidR="00CA6598" w:rsidRPr="00CA6598">
        <w:rPr>
          <w:bCs/>
          <w:vertAlign w:val="superscript"/>
        </w:rPr>
        <w:footnoteReference w:id="6"/>
      </w:r>
      <w:r w:rsidR="00CA6598" w:rsidRPr="00CA6598">
        <w:rPr>
          <w:bCs/>
        </w:rPr>
        <w:t xml:space="preserve">, to rank and select from the proposed projects for both RAM and GTSR. Once SDG&amp;E established a Bid Ranking Price for each offer, it selected the projects with the least expensive Bid Ranking Price. In order to meet the GTSR procurement target, SDG&amp;E considered the least expensive GTSR–eligible </w:t>
      </w:r>
      <w:r w:rsidR="003C47A8">
        <w:rPr>
          <w:bCs/>
        </w:rPr>
        <w:t xml:space="preserve">bids for GTSR procurement first and </w:t>
      </w:r>
      <w:r w:rsidR="00CA6598" w:rsidRPr="00CA6598">
        <w:rPr>
          <w:bCs/>
        </w:rPr>
        <w:t xml:space="preserve">shortlisted </w:t>
      </w:r>
      <w:r w:rsidR="003C47A8">
        <w:rPr>
          <w:bCs/>
        </w:rPr>
        <w:t xml:space="preserve">the Solar Frontier project. </w:t>
      </w:r>
      <w:r w:rsidR="00CA6598" w:rsidRPr="00CA6598">
        <w:rPr>
          <w:bCs/>
        </w:rPr>
        <w:t>Because the first shortlisted bid accepted its shortlisted position, SDG&amp;E met its GTSR initial advanced procurement capacity targets</w:t>
      </w:r>
      <w:r w:rsidR="000B2660">
        <w:rPr>
          <w:bCs/>
        </w:rPr>
        <w:t xml:space="preserve"> with the least-</w:t>
      </w:r>
      <w:r w:rsidR="00CA6598" w:rsidRPr="00CA6598">
        <w:rPr>
          <w:bCs/>
        </w:rPr>
        <w:t>cost bid, which is the Solar Frontier project.</w:t>
      </w:r>
    </w:p>
    <w:p w:rsidR="001808A9" w:rsidRPr="001808A9" w:rsidRDefault="009C5DF0" w:rsidP="001808A9">
      <w:pPr>
        <w:pStyle w:val="ListParagraph"/>
        <w:numPr>
          <w:ilvl w:val="0"/>
          <w:numId w:val="7"/>
        </w:numPr>
        <w:spacing w:after="120"/>
        <w:ind w:left="994"/>
        <w:contextualSpacing w:val="0"/>
        <w:rPr>
          <w:bCs/>
          <w:i/>
        </w:rPr>
      </w:pPr>
      <w:r w:rsidRPr="00D83368">
        <w:rPr>
          <w:bCs/>
          <w:i/>
        </w:rPr>
        <w:t>Projects must meet the same minimum viability requirement</w:t>
      </w:r>
      <w:r w:rsidR="00143CDE">
        <w:rPr>
          <w:bCs/>
          <w:i/>
        </w:rPr>
        <w:t>s established for ReMAT and RAM</w:t>
      </w:r>
      <w:r w:rsidR="00F21B1C">
        <w:rPr>
          <w:bCs/>
          <w:i/>
        </w:rPr>
        <w:t>:</w:t>
      </w:r>
      <w:r w:rsidR="000B2660">
        <w:rPr>
          <w:bCs/>
          <w:i/>
        </w:rPr>
        <w:t xml:space="preserve"> </w:t>
      </w:r>
      <w:r w:rsidR="00006FE5">
        <w:rPr>
          <w:rStyle w:val="FootnoteReference"/>
          <w:bCs/>
          <w:i/>
        </w:rPr>
        <w:footnoteReference w:id="7"/>
      </w:r>
      <w:r w:rsidR="00F21B1C">
        <w:rPr>
          <w:bCs/>
          <w:i/>
        </w:rPr>
        <w:t xml:space="preserve"> </w:t>
      </w:r>
      <w:r w:rsidR="00D83368" w:rsidRPr="00D83368">
        <w:rPr>
          <w:bCs/>
        </w:rPr>
        <w:t>The PPA included in the Advice Letter as Appendix A</w:t>
      </w:r>
      <w:r w:rsidR="00D83368">
        <w:rPr>
          <w:bCs/>
        </w:rPr>
        <w:t xml:space="preserve"> includes the viabil</w:t>
      </w:r>
      <w:r w:rsidR="000B2660">
        <w:rPr>
          <w:bCs/>
        </w:rPr>
        <w:t>ity requirements established in</w:t>
      </w:r>
      <w:r w:rsidR="00D83368">
        <w:rPr>
          <w:bCs/>
        </w:rPr>
        <w:t xml:space="preserve"> RAM Decision</w:t>
      </w:r>
      <w:r w:rsidR="000B2660">
        <w:rPr>
          <w:bCs/>
        </w:rPr>
        <w:t>s</w:t>
      </w:r>
      <w:r w:rsidR="00D83368">
        <w:rPr>
          <w:bCs/>
        </w:rPr>
        <w:t>. SDG&amp;E used the standard RAM contract for the Solar Frontier project.</w:t>
      </w:r>
    </w:p>
    <w:p w:rsidR="00B932AF" w:rsidRPr="001808A9" w:rsidRDefault="005A06C0" w:rsidP="001808A9">
      <w:pPr>
        <w:pStyle w:val="ListParagraph"/>
        <w:numPr>
          <w:ilvl w:val="0"/>
          <w:numId w:val="7"/>
        </w:numPr>
        <w:ind w:left="994"/>
        <w:contextualSpacing w:val="0"/>
        <w:rPr>
          <w:bCs/>
          <w:i/>
        </w:rPr>
      </w:pPr>
      <w:r w:rsidRPr="001808A9">
        <w:rPr>
          <w:bCs/>
          <w:i/>
        </w:rPr>
        <w:t xml:space="preserve">Procurement is limited </w:t>
      </w:r>
      <w:r w:rsidR="00143CDE" w:rsidRPr="001808A9">
        <w:rPr>
          <w:bCs/>
          <w:i/>
        </w:rPr>
        <w:t xml:space="preserve">to the IOU’s service territory but </w:t>
      </w:r>
      <w:r w:rsidRPr="001808A9">
        <w:rPr>
          <w:bCs/>
          <w:i/>
        </w:rPr>
        <w:t>SDG&amp;E may procure resources from Imperial Valley</w:t>
      </w:r>
      <w:r w:rsidR="00F21B1C" w:rsidRPr="001808A9">
        <w:rPr>
          <w:bCs/>
          <w:i/>
        </w:rPr>
        <w:t>:</w:t>
      </w:r>
      <w:r w:rsidR="00B710E2" w:rsidRPr="001808A9">
        <w:rPr>
          <w:bCs/>
          <w:i/>
        </w:rPr>
        <w:t xml:space="preserve"> </w:t>
      </w:r>
      <w:r>
        <w:rPr>
          <w:rStyle w:val="FootnoteReference"/>
          <w:bCs/>
          <w:i/>
        </w:rPr>
        <w:footnoteReference w:id="8"/>
      </w:r>
      <w:r w:rsidR="00F21B1C" w:rsidRPr="001808A9">
        <w:rPr>
          <w:bCs/>
          <w:i/>
        </w:rPr>
        <w:t xml:space="preserve"> </w:t>
      </w:r>
      <w:r w:rsidRPr="001808A9">
        <w:rPr>
          <w:bCs/>
        </w:rPr>
        <w:t>The Solar Frontier project is located in</w:t>
      </w:r>
      <w:r w:rsidRPr="001808A9">
        <w:rPr>
          <w:bCs/>
          <w:i/>
        </w:rPr>
        <w:t xml:space="preserve"> </w:t>
      </w:r>
      <w:r w:rsidRPr="001808A9">
        <w:rPr>
          <w:bCs/>
        </w:rPr>
        <w:t>Imperial Valley.</w:t>
      </w:r>
    </w:p>
    <w:p w:rsidR="001808A9" w:rsidRPr="001808A9" w:rsidRDefault="001808A9" w:rsidP="001808A9">
      <w:pPr>
        <w:pStyle w:val="ListParagraph"/>
        <w:ind w:left="994"/>
        <w:contextualSpacing w:val="0"/>
        <w:rPr>
          <w:bCs/>
          <w:i/>
        </w:rPr>
      </w:pPr>
    </w:p>
    <w:p w:rsidR="000627AC" w:rsidRDefault="00F27007" w:rsidP="00DB7BA6">
      <w:pPr>
        <w:rPr>
          <w:bCs/>
        </w:rPr>
      </w:pPr>
      <w:r w:rsidRPr="00F27007">
        <w:rPr>
          <w:bCs/>
        </w:rPr>
        <w:t>D.15-01-051</w:t>
      </w:r>
      <w:r w:rsidRPr="001808A9">
        <w:rPr>
          <w:bCs/>
        </w:rPr>
        <w:footnoteReference w:id="9"/>
      </w:r>
      <w:r w:rsidRPr="00F27007">
        <w:rPr>
          <w:bCs/>
        </w:rPr>
        <w:t xml:space="preserve"> </w:t>
      </w:r>
      <w:r w:rsidR="00006FE5">
        <w:rPr>
          <w:bCs/>
        </w:rPr>
        <w:t xml:space="preserve">also </w:t>
      </w:r>
      <w:r w:rsidRPr="00F27007">
        <w:rPr>
          <w:bCs/>
        </w:rPr>
        <w:t xml:space="preserve">directed SDG&amp;E </w:t>
      </w:r>
      <w:r w:rsidR="003215A2" w:rsidRPr="003215A2">
        <w:rPr>
          <w:bCs/>
        </w:rPr>
        <w:t>to procure 1.75 MW in EJ</w:t>
      </w:r>
      <w:r w:rsidR="003215A2">
        <w:rPr>
          <w:bCs/>
        </w:rPr>
        <w:t xml:space="preserve"> Reservation</w:t>
      </w:r>
      <w:r w:rsidRPr="00F27007">
        <w:rPr>
          <w:bCs/>
        </w:rPr>
        <w:t>. SDG&amp;E has not demonstrated that it attempted to pro</w:t>
      </w:r>
      <w:r w:rsidR="003215A2">
        <w:rPr>
          <w:bCs/>
        </w:rPr>
        <w:t>cure any megawatts from the EJ R</w:t>
      </w:r>
      <w:r w:rsidRPr="00F27007">
        <w:rPr>
          <w:bCs/>
        </w:rPr>
        <w:t>eservation in Advice Letter 2849-E</w:t>
      </w:r>
      <w:r w:rsidR="00C7425B">
        <w:rPr>
          <w:bCs/>
        </w:rPr>
        <w:t>.</w:t>
      </w:r>
      <w:r w:rsidR="00B710E2">
        <w:rPr>
          <w:bCs/>
        </w:rPr>
        <w:t xml:space="preserve"> </w:t>
      </w:r>
      <w:r w:rsidR="009954FD" w:rsidRPr="009954FD">
        <w:rPr>
          <w:bCs/>
        </w:rPr>
        <w:t>While</w:t>
      </w:r>
      <w:r w:rsidR="009954FD">
        <w:rPr>
          <w:bCs/>
        </w:rPr>
        <w:t xml:space="preserve"> SDG&amp;</w:t>
      </w:r>
      <w:r w:rsidR="003215A2">
        <w:rPr>
          <w:bCs/>
        </w:rPr>
        <w:t>E did not comply with the EJ R</w:t>
      </w:r>
      <w:r w:rsidR="009954FD" w:rsidRPr="009954FD">
        <w:rPr>
          <w:bCs/>
        </w:rPr>
        <w:t>eservation mandate</w:t>
      </w:r>
      <w:r w:rsidR="0097132E">
        <w:rPr>
          <w:bCs/>
        </w:rPr>
        <w:t xml:space="preserve"> of D.15-01-051</w:t>
      </w:r>
      <w:r w:rsidR="009954FD" w:rsidRPr="009954FD">
        <w:rPr>
          <w:bCs/>
        </w:rPr>
        <w:t>, we will evaluate whether any sanction is required</w:t>
      </w:r>
      <w:r w:rsidR="007F28DC">
        <w:rPr>
          <w:bCs/>
        </w:rPr>
        <w:t xml:space="preserve"> in the GTSR proceeding</w:t>
      </w:r>
      <w:r w:rsidR="009954FD" w:rsidRPr="009954FD">
        <w:rPr>
          <w:bCs/>
        </w:rPr>
        <w:t>.</w:t>
      </w:r>
      <w:r w:rsidR="00982A3C">
        <w:rPr>
          <w:bCs/>
        </w:rPr>
        <w:t xml:space="preserve"> </w:t>
      </w:r>
      <w:r w:rsidR="00982A3C">
        <w:rPr>
          <w:bCs/>
          <w:u w:val="single"/>
        </w:rPr>
        <w:t xml:space="preserve">The Solar Frontier project </w:t>
      </w:r>
      <w:r w:rsidR="00982A3C" w:rsidRPr="00A473C2">
        <w:rPr>
          <w:bCs/>
          <w:u w:val="single"/>
        </w:rPr>
        <w:t>meets the requirement of D.15-01-051 and is reasonable</w:t>
      </w:r>
      <w:r w:rsidR="00982A3C" w:rsidRPr="00575B92">
        <w:rPr>
          <w:bCs/>
        </w:rPr>
        <w:t>.</w:t>
      </w:r>
    </w:p>
    <w:p w:rsidR="00F21B1C" w:rsidRPr="000627AC" w:rsidRDefault="00F21B1C" w:rsidP="00DB7BA6">
      <w:pPr>
        <w:rPr>
          <w:bCs/>
        </w:rPr>
      </w:pPr>
    </w:p>
    <w:p w:rsidR="00F5635A" w:rsidRPr="000627AC" w:rsidRDefault="0061487A" w:rsidP="00513520">
      <w:pPr>
        <w:spacing w:after="120"/>
        <w:rPr>
          <w:b/>
          <w:bCs/>
        </w:rPr>
      </w:pPr>
      <w:r w:rsidRPr="0061487A">
        <w:rPr>
          <w:b/>
          <w:bCs/>
        </w:rPr>
        <w:t xml:space="preserve">RAM </w:t>
      </w:r>
      <w:r>
        <w:rPr>
          <w:b/>
          <w:bCs/>
        </w:rPr>
        <w:t xml:space="preserve">Procurement </w:t>
      </w:r>
      <w:r w:rsidRPr="0061487A">
        <w:rPr>
          <w:b/>
          <w:bCs/>
        </w:rPr>
        <w:t xml:space="preserve">Requirements </w:t>
      </w:r>
      <w:r w:rsidR="00E96F34">
        <w:rPr>
          <w:bCs/>
        </w:rPr>
        <w:t xml:space="preserve"> </w:t>
      </w:r>
    </w:p>
    <w:p w:rsidR="003215A2" w:rsidRDefault="003959FC" w:rsidP="001808A9">
      <w:pPr>
        <w:rPr>
          <w:bCs/>
        </w:rPr>
      </w:pPr>
      <w:r w:rsidRPr="003B4797">
        <w:rPr>
          <w:bCs/>
        </w:rPr>
        <w:t xml:space="preserve">SDG&amp;E did not seek approval of any contracts </w:t>
      </w:r>
      <w:r w:rsidR="00F21B1C">
        <w:rPr>
          <w:bCs/>
        </w:rPr>
        <w:t xml:space="preserve">towards meeting the RAM VI </w:t>
      </w:r>
      <w:r w:rsidRPr="003B4797">
        <w:rPr>
          <w:bCs/>
        </w:rPr>
        <w:t>mandate of D.14-11-042</w:t>
      </w:r>
      <w:r w:rsidR="007F28DC">
        <w:rPr>
          <w:bCs/>
        </w:rPr>
        <w:t xml:space="preserve"> and previous RAM Decisions</w:t>
      </w:r>
      <w:r w:rsidR="00697DBE">
        <w:rPr>
          <w:bCs/>
        </w:rPr>
        <w:t>.</w:t>
      </w:r>
      <w:r w:rsidR="00697DBE">
        <w:rPr>
          <w:rStyle w:val="FootnoteReference"/>
          <w:bCs/>
        </w:rPr>
        <w:footnoteReference w:id="10"/>
      </w:r>
      <w:r w:rsidR="00697DBE">
        <w:rPr>
          <w:bCs/>
        </w:rPr>
        <w:t xml:space="preserve"> </w:t>
      </w:r>
      <w:r w:rsidRPr="0087466A">
        <w:rPr>
          <w:bCs/>
        </w:rPr>
        <w:t xml:space="preserve">The Commission mandated </w:t>
      </w:r>
      <w:r>
        <w:rPr>
          <w:bCs/>
        </w:rPr>
        <w:t xml:space="preserve">that </w:t>
      </w:r>
      <w:r w:rsidRPr="0087466A">
        <w:rPr>
          <w:bCs/>
        </w:rPr>
        <w:t xml:space="preserve">SDG&amp;E </w:t>
      </w:r>
      <w:r>
        <w:rPr>
          <w:bCs/>
        </w:rPr>
        <w:t xml:space="preserve">procure 164.7 MW over six RAM </w:t>
      </w:r>
      <w:r w:rsidR="00DB7BA6">
        <w:rPr>
          <w:bCs/>
        </w:rPr>
        <w:t>auctions. SDG&amp;</w:t>
      </w:r>
      <w:r w:rsidRPr="0087466A">
        <w:rPr>
          <w:bCs/>
        </w:rPr>
        <w:t xml:space="preserve">E procured 62.7 MW and </w:t>
      </w:r>
      <w:r>
        <w:rPr>
          <w:bCs/>
        </w:rPr>
        <w:t>has an</w:t>
      </w:r>
      <w:r w:rsidR="003215A2">
        <w:rPr>
          <w:bCs/>
        </w:rPr>
        <w:t xml:space="preserve"> overall shortfall of 102.3 MW (62% shortfall).</w:t>
      </w:r>
    </w:p>
    <w:p w:rsidR="003215A2" w:rsidRDefault="003215A2" w:rsidP="001808A9">
      <w:pPr>
        <w:rPr>
          <w:bCs/>
        </w:rPr>
      </w:pPr>
    </w:p>
    <w:p w:rsidR="007C4CE9" w:rsidRDefault="00917EA6" w:rsidP="00DB7BA6">
      <w:pPr>
        <w:spacing w:after="120"/>
        <w:rPr>
          <w:bCs/>
        </w:rPr>
      </w:pPr>
      <w:r>
        <w:rPr>
          <w:bCs/>
        </w:rPr>
        <w:t>SDG&amp;E</w:t>
      </w:r>
      <w:r w:rsidR="001C73FF">
        <w:rPr>
          <w:bCs/>
        </w:rPr>
        <w:t xml:space="preserve"> </w:t>
      </w:r>
      <w:r w:rsidR="000B2660">
        <w:rPr>
          <w:bCs/>
        </w:rPr>
        <w:t xml:space="preserve">asserts </w:t>
      </w:r>
      <w:r w:rsidR="009767D7">
        <w:rPr>
          <w:bCs/>
        </w:rPr>
        <w:t>that</w:t>
      </w:r>
      <w:r w:rsidR="0041605E">
        <w:rPr>
          <w:bCs/>
        </w:rPr>
        <w:t xml:space="preserve"> D.10-12-048 </w:t>
      </w:r>
      <w:r w:rsidR="009767D7">
        <w:rPr>
          <w:bCs/>
        </w:rPr>
        <w:t>give</w:t>
      </w:r>
      <w:r w:rsidR="0041605E">
        <w:rPr>
          <w:bCs/>
        </w:rPr>
        <w:t>s</w:t>
      </w:r>
      <w:r w:rsidR="009767D7">
        <w:rPr>
          <w:bCs/>
        </w:rPr>
        <w:t xml:space="preserve"> </w:t>
      </w:r>
      <w:r w:rsidR="009767D7" w:rsidRPr="009767D7">
        <w:rPr>
          <w:bCs/>
        </w:rPr>
        <w:t>IOUs the disc</w:t>
      </w:r>
      <w:r w:rsidR="009767D7">
        <w:rPr>
          <w:bCs/>
        </w:rPr>
        <w:t xml:space="preserve">retion </w:t>
      </w:r>
      <w:r w:rsidR="00A7346A">
        <w:rPr>
          <w:bCs/>
        </w:rPr>
        <w:t xml:space="preserve">to not </w:t>
      </w:r>
      <w:r w:rsidR="009767D7">
        <w:rPr>
          <w:bCs/>
        </w:rPr>
        <w:t xml:space="preserve">enter into </w:t>
      </w:r>
      <w:r w:rsidR="009767D7" w:rsidRPr="009767D7">
        <w:rPr>
          <w:bCs/>
        </w:rPr>
        <w:t xml:space="preserve">RAM contracts </w:t>
      </w:r>
      <w:r w:rsidR="00726E77">
        <w:rPr>
          <w:bCs/>
        </w:rPr>
        <w:t xml:space="preserve">if </w:t>
      </w:r>
      <w:r w:rsidR="000B2660">
        <w:rPr>
          <w:bCs/>
        </w:rPr>
        <w:t xml:space="preserve">prices are not cost competitive </w:t>
      </w:r>
      <w:r w:rsidR="009767D7" w:rsidRPr="009767D7">
        <w:rPr>
          <w:bCs/>
        </w:rPr>
        <w:t xml:space="preserve">even </w:t>
      </w:r>
      <w:r w:rsidR="00E473F9">
        <w:rPr>
          <w:bCs/>
        </w:rPr>
        <w:t>if</w:t>
      </w:r>
      <w:r w:rsidR="00E473F9" w:rsidRPr="009767D7">
        <w:rPr>
          <w:bCs/>
        </w:rPr>
        <w:t xml:space="preserve"> </w:t>
      </w:r>
      <w:r w:rsidR="009767D7" w:rsidRPr="009767D7">
        <w:rPr>
          <w:bCs/>
        </w:rPr>
        <w:t xml:space="preserve">their allocated capacity cap has </w:t>
      </w:r>
      <w:r w:rsidR="00E473F9">
        <w:rPr>
          <w:bCs/>
        </w:rPr>
        <w:t xml:space="preserve">not </w:t>
      </w:r>
      <w:r w:rsidR="009767D7" w:rsidRPr="009767D7">
        <w:rPr>
          <w:bCs/>
        </w:rPr>
        <w:t>been</w:t>
      </w:r>
      <w:r w:rsidR="009767D7">
        <w:rPr>
          <w:bCs/>
        </w:rPr>
        <w:t xml:space="preserve"> </w:t>
      </w:r>
      <w:r w:rsidR="009767D7" w:rsidRPr="009767D7">
        <w:rPr>
          <w:bCs/>
        </w:rPr>
        <w:t>reached</w:t>
      </w:r>
      <w:r w:rsidR="00B710E2">
        <w:rPr>
          <w:bCs/>
        </w:rPr>
        <w:t>.</w:t>
      </w:r>
      <w:r w:rsidR="00726E77" w:rsidRPr="00B25C64">
        <w:rPr>
          <w:bCs/>
          <w:vertAlign w:val="superscript"/>
        </w:rPr>
        <w:footnoteReference w:id="11"/>
      </w:r>
      <w:r w:rsidR="00B710E2">
        <w:rPr>
          <w:bCs/>
        </w:rPr>
        <w:t xml:space="preserve"> </w:t>
      </w:r>
      <w:r w:rsidR="00E23FC9">
        <w:rPr>
          <w:bCs/>
        </w:rPr>
        <w:t>However,</w:t>
      </w:r>
      <w:r w:rsidR="002B79A3">
        <w:rPr>
          <w:bCs/>
          <w:sz w:val="24"/>
        </w:rPr>
        <w:t xml:space="preserve"> </w:t>
      </w:r>
      <w:r w:rsidR="007C4CE9" w:rsidRPr="007C4CE9">
        <w:rPr>
          <w:bCs/>
        </w:rPr>
        <w:t>SDG&amp;E has over relied on the discretion provided in D.10-12-048</w:t>
      </w:r>
      <w:r w:rsidR="00F90D60">
        <w:rPr>
          <w:bCs/>
        </w:rPr>
        <w:t>.</w:t>
      </w:r>
      <w:r w:rsidR="007C4CE9" w:rsidRPr="007C4CE9">
        <w:rPr>
          <w:bCs/>
        </w:rPr>
        <w:t xml:space="preserve"> </w:t>
      </w:r>
    </w:p>
    <w:p w:rsidR="001808A9" w:rsidRDefault="00DB7BA6" w:rsidP="00DB7BA6">
      <w:pPr>
        <w:pStyle w:val="ListParagraph"/>
        <w:numPr>
          <w:ilvl w:val="0"/>
          <w:numId w:val="14"/>
        </w:numPr>
        <w:spacing w:after="120"/>
        <w:contextualSpacing w:val="0"/>
        <w:rPr>
          <w:bCs/>
          <w:u w:val="single"/>
        </w:rPr>
      </w:pPr>
      <w:r>
        <w:rPr>
          <w:bCs/>
        </w:rPr>
        <w:t xml:space="preserve">SDG&amp;E </w:t>
      </w:r>
      <w:r w:rsidR="000B2660">
        <w:rPr>
          <w:bCs/>
        </w:rPr>
        <w:t>explains that</w:t>
      </w:r>
      <w:r w:rsidR="007C4CE9" w:rsidRPr="007C4CE9">
        <w:rPr>
          <w:bCs/>
        </w:rPr>
        <w:t xml:space="preserve"> for RAM VI, SDG&amp;E initially sought to shortlist </w:t>
      </w:r>
      <w:r w:rsidR="00513520">
        <w:rPr>
          <w:bCs/>
        </w:rPr>
        <w:br/>
      </w:r>
      <w:r w:rsidR="007C4CE9" w:rsidRPr="007C4CE9">
        <w:rPr>
          <w:bCs/>
        </w:rPr>
        <w:t>one bid and contingently shortlist four other bids subject to follow-up with respondents</w:t>
      </w:r>
      <w:r w:rsidR="00CA21E8">
        <w:rPr>
          <w:bCs/>
        </w:rPr>
        <w:t xml:space="preserve"> on those bids. It is not clear</w:t>
      </w:r>
      <w:r w:rsidR="007C4CE9" w:rsidRPr="007C4CE9">
        <w:rPr>
          <w:bCs/>
        </w:rPr>
        <w:t xml:space="preserve"> why SDG&amp;E would</w:t>
      </w:r>
      <w:r w:rsidR="00A705E2">
        <w:rPr>
          <w:bCs/>
        </w:rPr>
        <w:t xml:space="preserve"> initially</w:t>
      </w:r>
      <w:r w:rsidR="007C4CE9" w:rsidRPr="007C4CE9">
        <w:rPr>
          <w:bCs/>
        </w:rPr>
        <w:t xml:space="preserve"> </w:t>
      </w:r>
      <w:r w:rsidR="0099502A">
        <w:rPr>
          <w:bCs/>
        </w:rPr>
        <w:t xml:space="preserve">shortlist </w:t>
      </w:r>
      <w:r w:rsidR="00F90D60">
        <w:rPr>
          <w:bCs/>
        </w:rPr>
        <w:t>one 20 MW project</w:t>
      </w:r>
      <w:r w:rsidR="007C4CE9">
        <w:rPr>
          <w:bCs/>
        </w:rPr>
        <w:t xml:space="preserve"> to meet a </w:t>
      </w:r>
      <w:r w:rsidR="0040140F">
        <w:rPr>
          <w:bCs/>
        </w:rPr>
        <w:t xml:space="preserve">RAM </w:t>
      </w:r>
      <w:r w:rsidR="007C4CE9">
        <w:rPr>
          <w:bCs/>
        </w:rPr>
        <w:t>shortfall of 102.3 MW</w:t>
      </w:r>
      <w:r>
        <w:rPr>
          <w:bCs/>
        </w:rPr>
        <w:t>, especially given</w:t>
      </w:r>
      <w:r w:rsidR="001C73FF">
        <w:rPr>
          <w:bCs/>
        </w:rPr>
        <w:t xml:space="preserve"> </w:t>
      </w:r>
      <w:r w:rsidR="00E23FC9" w:rsidRPr="00E23FC9">
        <w:rPr>
          <w:bCs/>
        </w:rPr>
        <w:t>that 13 separate bidders responded to its RAM VI solicitation for a total of 35 conforming bids</w:t>
      </w:r>
      <w:r w:rsidR="00E23FC9">
        <w:rPr>
          <w:bCs/>
        </w:rPr>
        <w:t>.</w:t>
      </w:r>
      <w:r w:rsidRPr="00DB7BA6">
        <w:rPr>
          <w:bCs/>
          <w:vertAlign w:val="superscript"/>
        </w:rPr>
        <w:footnoteReference w:id="12"/>
      </w:r>
      <w:r>
        <w:rPr>
          <w:bCs/>
        </w:rPr>
        <w:t xml:space="preserve"> </w:t>
      </w:r>
      <w:r w:rsidR="00C832F0" w:rsidRPr="00C832F0">
        <w:rPr>
          <w:bCs/>
          <w:u w:val="single"/>
        </w:rPr>
        <w:t xml:space="preserve">SDG&amp;E did </w:t>
      </w:r>
      <w:r w:rsidR="00C832F0">
        <w:rPr>
          <w:bCs/>
          <w:u w:val="single"/>
        </w:rPr>
        <w:t xml:space="preserve">not shortlist enough bids </w:t>
      </w:r>
      <w:r w:rsidR="00A4349E">
        <w:rPr>
          <w:bCs/>
          <w:u w:val="single"/>
        </w:rPr>
        <w:t xml:space="preserve">to </w:t>
      </w:r>
      <w:r w:rsidR="00A4349E" w:rsidRPr="00C832F0">
        <w:rPr>
          <w:bCs/>
          <w:u w:val="single"/>
        </w:rPr>
        <w:t>meet</w:t>
      </w:r>
      <w:r w:rsidR="00C832F0" w:rsidRPr="00C832F0">
        <w:rPr>
          <w:bCs/>
          <w:u w:val="single"/>
        </w:rPr>
        <w:t xml:space="preserve"> its target in the RAM VI auction.</w:t>
      </w:r>
    </w:p>
    <w:p w:rsidR="00E23FC9" w:rsidRPr="0099692A" w:rsidRDefault="00E23FC9" w:rsidP="00DB7BA6">
      <w:pPr>
        <w:pStyle w:val="ListParagraph"/>
        <w:numPr>
          <w:ilvl w:val="0"/>
          <w:numId w:val="14"/>
        </w:numPr>
        <w:contextualSpacing w:val="0"/>
        <w:rPr>
          <w:bCs/>
          <w:u w:val="single"/>
        </w:rPr>
      </w:pPr>
      <w:r w:rsidRPr="001808A9">
        <w:rPr>
          <w:bCs/>
        </w:rPr>
        <w:t xml:space="preserve">SDG&amp;E argues that </w:t>
      </w:r>
      <w:r w:rsidR="00143CDE" w:rsidRPr="001808A9">
        <w:rPr>
          <w:bCs/>
        </w:rPr>
        <w:t xml:space="preserve">the </w:t>
      </w:r>
      <w:r w:rsidRPr="001808A9">
        <w:rPr>
          <w:bCs/>
        </w:rPr>
        <w:t xml:space="preserve">remaining bids </w:t>
      </w:r>
      <w:r w:rsidR="00CA21E8" w:rsidRPr="001808A9">
        <w:rPr>
          <w:bCs/>
        </w:rPr>
        <w:t>were “not cost competitive</w:t>
      </w:r>
      <w:r w:rsidR="0099692A">
        <w:rPr>
          <w:bCs/>
        </w:rPr>
        <w:t xml:space="preserve">,” </w:t>
      </w:r>
      <w:r w:rsidR="000B2660" w:rsidRPr="001808A9">
        <w:rPr>
          <w:bCs/>
        </w:rPr>
        <w:t>consequently</w:t>
      </w:r>
      <w:r w:rsidR="00CA21E8" w:rsidRPr="001808A9">
        <w:rPr>
          <w:bCs/>
        </w:rPr>
        <w:t>,</w:t>
      </w:r>
      <w:r w:rsidR="000B2660" w:rsidRPr="001808A9">
        <w:rPr>
          <w:bCs/>
        </w:rPr>
        <w:t xml:space="preserve"> </w:t>
      </w:r>
      <w:r w:rsidRPr="001808A9">
        <w:rPr>
          <w:bCs/>
        </w:rPr>
        <w:t xml:space="preserve">SDG&amp;E did not shortlist any </w:t>
      </w:r>
      <w:r w:rsidR="0099692A">
        <w:rPr>
          <w:bCs/>
        </w:rPr>
        <w:t xml:space="preserve">additional </w:t>
      </w:r>
      <w:r w:rsidRPr="001808A9">
        <w:rPr>
          <w:bCs/>
        </w:rPr>
        <w:t xml:space="preserve">bids. The basis SDG&amp;E </w:t>
      </w:r>
      <w:r w:rsidR="00440331" w:rsidRPr="001808A9">
        <w:rPr>
          <w:bCs/>
        </w:rPr>
        <w:t>uses for rejecting bids</w:t>
      </w:r>
      <w:r w:rsidR="0040140F" w:rsidRPr="001808A9">
        <w:rPr>
          <w:bCs/>
        </w:rPr>
        <w:t xml:space="preserve"> is that the bids</w:t>
      </w:r>
      <w:r w:rsidR="00143CDE" w:rsidRPr="001808A9">
        <w:rPr>
          <w:bCs/>
        </w:rPr>
        <w:t xml:space="preserve"> were</w:t>
      </w:r>
      <w:r w:rsidR="00EB0C33" w:rsidRPr="001808A9">
        <w:rPr>
          <w:bCs/>
        </w:rPr>
        <w:t xml:space="preserve"> not </w:t>
      </w:r>
      <w:r w:rsidR="0040140F" w:rsidRPr="001808A9">
        <w:rPr>
          <w:bCs/>
        </w:rPr>
        <w:t xml:space="preserve">the top 10% of bids in terms of bid ranking price in </w:t>
      </w:r>
      <w:r w:rsidR="00F956DA" w:rsidRPr="001808A9">
        <w:rPr>
          <w:bCs/>
        </w:rPr>
        <w:t xml:space="preserve">the </w:t>
      </w:r>
      <w:r w:rsidR="0040140F" w:rsidRPr="001808A9">
        <w:rPr>
          <w:bCs/>
        </w:rPr>
        <w:t xml:space="preserve">RAM </w:t>
      </w:r>
      <w:r w:rsidR="00F956DA" w:rsidRPr="001808A9">
        <w:rPr>
          <w:bCs/>
        </w:rPr>
        <w:t>VI solicitation. A</w:t>
      </w:r>
      <w:r w:rsidR="0040140F" w:rsidRPr="001808A9">
        <w:rPr>
          <w:bCs/>
        </w:rPr>
        <w:t xml:space="preserve"> bid not </w:t>
      </w:r>
      <w:r w:rsidRPr="001808A9">
        <w:rPr>
          <w:bCs/>
        </w:rPr>
        <w:t xml:space="preserve">being in the top 90 percentile of </w:t>
      </w:r>
      <w:r w:rsidR="002875A9" w:rsidRPr="001808A9">
        <w:rPr>
          <w:bCs/>
        </w:rPr>
        <w:t>RAM bids is</w:t>
      </w:r>
      <w:r w:rsidR="0040140F" w:rsidRPr="001808A9">
        <w:rPr>
          <w:bCs/>
        </w:rPr>
        <w:t xml:space="preserve"> not sufficient evidence to establish that it is unreasonable and uncompetitive relative to the </w:t>
      </w:r>
      <w:r w:rsidR="002875A9" w:rsidRPr="001808A9">
        <w:rPr>
          <w:bCs/>
        </w:rPr>
        <w:t>“IOU’s other</w:t>
      </w:r>
      <w:r w:rsidR="00143CDE" w:rsidRPr="001808A9">
        <w:rPr>
          <w:bCs/>
        </w:rPr>
        <w:t xml:space="preserve"> renewable </w:t>
      </w:r>
      <w:r w:rsidR="003C47A8" w:rsidRPr="001808A9">
        <w:rPr>
          <w:bCs/>
        </w:rPr>
        <w:t>opportunities” or</w:t>
      </w:r>
      <w:r w:rsidR="003215A2" w:rsidRPr="001808A9">
        <w:rPr>
          <w:bCs/>
        </w:rPr>
        <w:t xml:space="preserve"> even other RAM bids</w:t>
      </w:r>
      <w:r w:rsidR="002875A9" w:rsidRPr="001808A9">
        <w:rPr>
          <w:bCs/>
        </w:rPr>
        <w:t xml:space="preserve">. </w:t>
      </w:r>
      <w:r w:rsidR="00143CDE" w:rsidRPr="001808A9">
        <w:rPr>
          <w:bCs/>
        </w:rPr>
        <w:t>Also, RAM has become increasi</w:t>
      </w:r>
      <w:r w:rsidR="003C47A8" w:rsidRPr="001808A9">
        <w:rPr>
          <w:bCs/>
        </w:rPr>
        <w:t>ngly competitive over the years</w:t>
      </w:r>
      <w:r w:rsidR="00143CDE" w:rsidRPr="001808A9">
        <w:rPr>
          <w:bCs/>
        </w:rPr>
        <w:t xml:space="preserve">; therefore, a bid not being a top 10% bid does not </w:t>
      </w:r>
      <w:r w:rsidR="001C73FF" w:rsidRPr="001808A9">
        <w:rPr>
          <w:bCs/>
        </w:rPr>
        <w:t xml:space="preserve">automatically </w:t>
      </w:r>
      <w:r w:rsidR="00143CDE" w:rsidRPr="001808A9">
        <w:rPr>
          <w:bCs/>
        </w:rPr>
        <w:t xml:space="preserve">make it unreasonable. </w:t>
      </w:r>
      <w:r w:rsidR="002875A9" w:rsidRPr="001808A9">
        <w:rPr>
          <w:bCs/>
          <w:u w:val="single"/>
        </w:rPr>
        <w:t xml:space="preserve">SDG&amp;E has not demonstrated that </w:t>
      </w:r>
      <w:r w:rsidR="002875A9" w:rsidRPr="0099692A">
        <w:rPr>
          <w:bCs/>
          <w:u w:val="single"/>
        </w:rPr>
        <w:t xml:space="preserve">the </w:t>
      </w:r>
      <w:r w:rsidRPr="0099692A">
        <w:rPr>
          <w:bCs/>
          <w:u w:val="single"/>
        </w:rPr>
        <w:t xml:space="preserve">unselected </w:t>
      </w:r>
      <w:r w:rsidR="002875A9" w:rsidRPr="0099692A">
        <w:rPr>
          <w:bCs/>
          <w:u w:val="single"/>
        </w:rPr>
        <w:t xml:space="preserve">bids in the RAM VI solicitation </w:t>
      </w:r>
      <w:r w:rsidR="00737B9F" w:rsidRPr="0099692A">
        <w:rPr>
          <w:bCs/>
          <w:u w:val="single"/>
        </w:rPr>
        <w:t>are not reasonable.</w:t>
      </w:r>
    </w:p>
    <w:p w:rsidR="000D2BF9" w:rsidRPr="001808A9" w:rsidRDefault="000D2BF9" w:rsidP="00DB7BA6">
      <w:pPr>
        <w:rPr>
          <w:bCs/>
        </w:rPr>
      </w:pPr>
      <w:r w:rsidRPr="001808A9">
        <w:rPr>
          <w:bCs/>
        </w:rPr>
        <w:t xml:space="preserve"> </w:t>
      </w:r>
    </w:p>
    <w:p w:rsidR="00BA1762" w:rsidRDefault="00BA1762" w:rsidP="00DB7BA6">
      <w:pPr>
        <w:rPr>
          <w:bCs/>
          <w:u w:val="single"/>
        </w:rPr>
      </w:pPr>
      <w:r w:rsidRPr="00BA1762">
        <w:rPr>
          <w:bCs/>
        </w:rPr>
        <w:t>SDG&amp;E further asserts that not meeting its RAM targets is reasonable on the grounds that it does not have an RPS need.</w:t>
      </w:r>
      <w:r w:rsidRPr="00BA1762">
        <w:rPr>
          <w:bCs/>
          <w:vertAlign w:val="superscript"/>
        </w:rPr>
        <w:footnoteReference w:id="13"/>
      </w:r>
      <w:r w:rsidRPr="00BA1762">
        <w:rPr>
          <w:bCs/>
        </w:rPr>
        <w:t xml:space="preserve"> While the Commission agrees that SDG&amp;E is forecasted to meet its RPS requirements, SDG&amp;E is ignoring that </w:t>
      </w:r>
      <w:r w:rsidR="00513520">
        <w:rPr>
          <w:bCs/>
        </w:rPr>
        <w:br/>
      </w:r>
      <w:r w:rsidRPr="00BA1762">
        <w:rPr>
          <w:bCs/>
        </w:rPr>
        <w:t>D.10-12-048 authorized RAM as a procurement opportunity for smaller renewable energy projects that are eligible for the California RPS Program but are not able to participate in the RPS annual solicitation, and not just to fulfill RPS need.</w:t>
      </w:r>
      <w:r w:rsidRPr="00BA1762">
        <w:rPr>
          <w:bCs/>
          <w:vertAlign w:val="superscript"/>
        </w:rPr>
        <w:footnoteReference w:id="14"/>
      </w:r>
      <w:r w:rsidRPr="00BA1762">
        <w:rPr>
          <w:bCs/>
        </w:rPr>
        <w:t xml:space="preserve"> RAM and several other RPS programs adopted by the Commission have been approved to promote the growth of renewable segments and are not solely based </w:t>
      </w:r>
      <w:r w:rsidR="0099692A">
        <w:rPr>
          <w:bCs/>
        </w:rPr>
        <w:t>on RPS need, e.g.</w:t>
      </w:r>
      <w:r w:rsidRPr="00BA1762">
        <w:rPr>
          <w:bCs/>
        </w:rPr>
        <w:t>, the SB 1122 feed-in-tariff for bioenergy projects, ReMAT feed-in-tariff for smaller sized renewable projects, and the GTSR program for community based projects. In addition, D.12-02-002 combined SDG&amp;E’s solar photovoltaic (PV) program solar targets with RAM. The</w:t>
      </w:r>
      <w:r w:rsidR="001E3458">
        <w:rPr>
          <w:bCs/>
        </w:rPr>
        <w:t xml:space="preserve"> solar</w:t>
      </w:r>
      <w:r w:rsidRPr="00BA1762">
        <w:rPr>
          <w:bCs/>
        </w:rPr>
        <w:t xml:space="preserve"> PV program authorized 26 MW of utility owned generation and 74 MW of power purchase agreements with independent power producers to incentivize small-scale PV facilities.</w:t>
      </w:r>
      <w:r w:rsidRPr="00BA1762">
        <w:rPr>
          <w:bCs/>
          <w:vertAlign w:val="superscript"/>
        </w:rPr>
        <w:footnoteReference w:id="15"/>
      </w:r>
      <w:r w:rsidR="0064758C">
        <w:rPr>
          <w:bCs/>
        </w:rPr>
        <w:t xml:space="preserve"> </w:t>
      </w:r>
      <w:r w:rsidR="0099692A">
        <w:rPr>
          <w:bCs/>
          <w:u w:val="single"/>
        </w:rPr>
        <w:t>SDG&amp;E’s justification for</w:t>
      </w:r>
      <w:r w:rsidRPr="00BA1762">
        <w:rPr>
          <w:bCs/>
          <w:u w:val="single"/>
        </w:rPr>
        <w:t xml:space="preserve"> not meet</w:t>
      </w:r>
      <w:r w:rsidR="0099692A">
        <w:rPr>
          <w:bCs/>
          <w:u w:val="single"/>
        </w:rPr>
        <w:t>ing</w:t>
      </w:r>
      <w:r w:rsidRPr="00BA1762">
        <w:rPr>
          <w:bCs/>
          <w:u w:val="single"/>
        </w:rPr>
        <w:t xml:space="preserve"> RAM targets </w:t>
      </w:r>
      <w:r w:rsidR="0099692A">
        <w:rPr>
          <w:bCs/>
          <w:u w:val="single"/>
        </w:rPr>
        <w:t xml:space="preserve">because </w:t>
      </w:r>
      <w:r w:rsidRPr="00BA1762">
        <w:rPr>
          <w:bCs/>
          <w:u w:val="single"/>
        </w:rPr>
        <w:t>it does not have an RPS need ignores the objective of the RAM and solar PV programs and</w:t>
      </w:r>
      <w:r w:rsidR="0099692A">
        <w:rPr>
          <w:bCs/>
          <w:u w:val="single"/>
        </w:rPr>
        <w:t xml:space="preserve"> is thus</w:t>
      </w:r>
      <w:r w:rsidRPr="00BA1762">
        <w:rPr>
          <w:bCs/>
          <w:u w:val="single"/>
        </w:rPr>
        <w:t xml:space="preserve"> not reasonable. </w:t>
      </w:r>
    </w:p>
    <w:p w:rsidR="0064758C" w:rsidRDefault="0064758C" w:rsidP="001808A9">
      <w:pPr>
        <w:rPr>
          <w:bCs/>
          <w:u w:val="single"/>
        </w:rPr>
      </w:pPr>
    </w:p>
    <w:p w:rsidR="001C73FF" w:rsidRDefault="00737B9F" w:rsidP="001808A9">
      <w:pPr>
        <w:rPr>
          <w:bCs/>
          <w:u w:val="single"/>
        </w:rPr>
      </w:pPr>
      <w:r w:rsidRPr="00480A11">
        <w:rPr>
          <w:bCs/>
        </w:rPr>
        <w:t>SDG</w:t>
      </w:r>
      <w:r w:rsidRPr="00737B9F">
        <w:rPr>
          <w:bCs/>
        </w:rPr>
        <w:t>&amp;E has not provided adequate justification that it put forth good faith effort to meet its overall RAM target or justified why it was consistently unable to meet its RAM auction targets. If SDG&amp;E had reason to</w:t>
      </w:r>
      <w:r w:rsidR="001A6F45">
        <w:rPr>
          <w:bCs/>
        </w:rPr>
        <w:t xml:space="preserve"> fail</w:t>
      </w:r>
      <w:r w:rsidR="001A6F45" w:rsidRPr="001A6F45">
        <w:rPr>
          <w:bCs/>
        </w:rPr>
        <w:t xml:space="preserve"> to meet a Commission mandate</w:t>
      </w:r>
      <w:r w:rsidRPr="00737B9F">
        <w:rPr>
          <w:bCs/>
        </w:rPr>
        <w:t xml:space="preserve">, it should </w:t>
      </w:r>
      <w:r w:rsidR="00480A11">
        <w:rPr>
          <w:bCs/>
        </w:rPr>
        <w:t xml:space="preserve">have </w:t>
      </w:r>
      <w:r>
        <w:rPr>
          <w:bCs/>
        </w:rPr>
        <w:t>utilize</w:t>
      </w:r>
      <w:r w:rsidR="00480A11">
        <w:rPr>
          <w:bCs/>
        </w:rPr>
        <w:t>d</w:t>
      </w:r>
      <w:r>
        <w:rPr>
          <w:bCs/>
        </w:rPr>
        <w:t xml:space="preserve"> an appropriate </w:t>
      </w:r>
      <w:r w:rsidR="00480A11">
        <w:rPr>
          <w:bCs/>
        </w:rPr>
        <w:t xml:space="preserve">formal </w:t>
      </w:r>
      <w:r>
        <w:rPr>
          <w:bCs/>
        </w:rPr>
        <w:t>procedu</w:t>
      </w:r>
      <w:r w:rsidR="00480A11">
        <w:rPr>
          <w:bCs/>
        </w:rPr>
        <w:t>ral vehicle</w:t>
      </w:r>
      <w:r w:rsidR="00143CDE">
        <w:rPr>
          <w:bCs/>
        </w:rPr>
        <w:t xml:space="preserve"> to raise the issue with the Commission</w:t>
      </w:r>
      <w:r w:rsidR="00440331" w:rsidRPr="00440331">
        <w:rPr>
          <w:bCs/>
        </w:rPr>
        <w:t xml:space="preserve">. </w:t>
      </w:r>
      <w:r w:rsidRPr="00EB0C33">
        <w:rPr>
          <w:bCs/>
          <w:u w:val="single"/>
        </w:rPr>
        <w:t>Consequently</w:t>
      </w:r>
      <w:r w:rsidR="00DF0596" w:rsidRPr="00EB0C33">
        <w:rPr>
          <w:bCs/>
          <w:u w:val="single"/>
        </w:rPr>
        <w:t>,</w:t>
      </w:r>
      <w:r w:rsidR="0097132E" w:rsidRPr="00EB0C33">
        <w:rPr>
          <w:bCs/>
          <w:u w:val="single"/>
        </w:rPr>
        <w:t xml:space="preserve"> </w:t>
      </w:r>
      <w:r w:rsidR="000D2BF9">
        <w:rPr>
          <w:bCs/>
          <w:u w:val="single"/>
        </w:rPr>
        <w:t xml:space="preserve">SDG&amp;E is ordered to </w:t>
      </w:r>
      <w:r w:rsidR="00BA1762">
        <w:rPr>
          <w:bCs/>
          <w:u w:val="single"/>
        </w:rPr>
        <w:t xml:space="preserve">procure the remaining </w:t>
      </w:r>
      <w:r w:rsidR="00595DA0">
        <w:rPr>
          <w:bCs/>
          <w:u w:val="single"/>
        </w:rPr>
        <w:t xml:space="preserve">additional </w:t>
      </w:r>
      <w:r w:rsidR="00BA1762">
        <w:rPr>
          <w:bCs/>
          <w:u w:val="single"/>
        </w:rPr>
        <w:t xml:space="preserve">megawatts </w:t>
      </w:r>
      <w:r w:rsidR="00344C78">
        <w:rPr>
          <w:bCs/>
          <w:u w:val="single"/>
        </w:rPr>
        <w:t xml:space="preserve">from </w:t>
      </w:r>
      <w:r w:rsidR="0064758C">
        <w:rPr>
          <w:bCs/>
          <w:u w:val="single"/>
        </w:rPr>
        <w:t xml:space="preserve">the bids it </w:t>
      </w:r>
      <w:r w:rsidR="003A3935">
        <w:rPr>
          <w:bCs/>
          <w:u w:val="single"/>
        </w:rPr>
        <w:t xml:space="preserve">received </w:t>
      </w:r>
      <w:r w:rsidR="0064758C">
        <w:rPr>
          <w:bCs/>
          <w:u w:val="single"/>
        </w:rPr>
        <w:t xml:space="preserve">in its </w:t>
      </w:r>
      <w:r w:rsidR="00513520">
        <w:rPr>
          <w:bCs/>
          <w:u w:val="single"/>
        </w:rPr>
        <w:br/>
      </w:r>
      <w:r w:rsidR="0064758C">
        <w:rPr>
          <w:bCs/>
          <w:u w:val="single"/>
        </w:rPr>
        <w:t>RAM VI solicitation.</w:t>
      </w:r>
    </w:p>
    <w:p w:rsidR="00666FAD" w:rsidRDefault="00666FAD" w:rsidP="00F21B1C">
      <w:pPr>
        <w:pStyle w:val="Heading1"/>
        <w:spacing w:before="0" w:after="120"/>
      </w:pPr>
    </w:p>
    <w:p w:rsidR="000627AC" w:rsidRDefault="000627AC" w:rsidP="00513520">
      <w:pPr>
        <w:pStyle w:val="Heading1"/>
        <w:spacing w:before="0"/>
      </w:pPr>
      <w:r>
        <w:t>SAFETY</w:t>
      </w:r>
    </w:p>
    <w:p w:rsidR="00F21B1C" w:rsidRDefault="000627AC" w:rsidP="008744A6">
      <w:pPr>
        <w:pStyle w:val="Heading1"/>
        <w:spacing w:before="0" w:after="0"/>
        <w:rPr>
          <w:rFonts w:ascii="Palatino" w:hAnsi="Palatino"/>
          <w:b w:val="0"/>
          <w:caps w:val="0"/>
          <w:kern w:val="0"/>
          <w:u w:val="none"/>
        </w:rPr>
      </w:pPr>
      <w:r>
        <w:rPr>
          <w:rFonts w:ascii="Palatino" w:hAnsi="Palatino"/>
          <w:b w:val="0"/>
          <w:caps w:val="0"/>
          <w:kern w:val="0"/>
          <w:u w:val="none"/>
        </w:rPr>
        <w:t>Public Utilities</w:t>
      </w:r>
      <w:r w:rsidRPr="007F7694">
        <w:rPr>
          <w:rFonts w:ascii="Palatino" w:hAnsi="Palatino"/>
          <w:b w:val="0"/>
          <w:caps w:val="0"/>
          <w:kern w:val="0"/>
          <w:u w:val="none"/>
        </w:rPr>
        <w:t xml:space="preserve"> Code Section 451 requires that every public utility maintain adequate, efficient, just, and reasonable service, instrumentalities, equipment and facilities to ensure the safety, health, and comfort of the public.</w:t>
      </w:r>
      <w:r w:rsidR="00982A3C">
        <w:rPr>
          <w:rFonts w:ascii="Palatino" w:hAnsi="Palatino"/>
          <w:b w:val="0"/>
          <w:caps w:val="0"/>
          <w:kern w:val="0"/>
          <w:u w:val="none"/>
        </w:rPr>
        <w:t xml:space="preserve"> </w:t>
      </w:r>
      <w:r w:rsidRPr="007F7694">
        <w:rPr>
          <w:rFonts w:ascii="Palatino" w:hAnsi="Palatino"/>
          <w:b w:val="0"/>
          <w:caps w:val="0"/>
          <w:kern w:val="0"/>
          <w:u w:val="none"/>
        </w:rPr>
        <w:t>RAM contracts contain Commission approved safety provisions, which require</w:t>
      </w:r>
      <w:r>
        <w:rPr>
          <w:rFonts w:ascii="Palatino" w:hAnsi="Palatino"/>
          <w:b w:val="0"/>
          <w:caps w:val="0"/>
          <w:kern w:val="0"/>
          <w:u w:val="none"/>
        </w:rPr>
        <w:t>, among other things,</w:t>
      </w:r>
      <w:r w:rsidRPr="007F7694">
        <w:rPr>
          <w:rFonts w:ascii="Palatino" w:hAnsi="Palatino"/>
          <w:b w:val="0"/>
          <w:caps w:val="0"/>
          <w:kern w:val="0"/>
          <w:u w:val="none"/>
        </w:rPr>
        <w:t xml:space="preserve"> the seller to operate the generating facility in accordance with Prudent Electrical Practices, as defined in the contracts,</w:t>
      </w:r>
      <w:r>
        <w:rPr>
          <w:rFonts w:ascii="Palatino" w:hAnsi="Palatino"/>
          <w:b w:val="0"/>
          <w:caps w:val="0"/>
          <w:kern w:val="0"/>
          <w:u w:val="none"/>
        </w:rPr>
        <w:t xml:space="preserve"> </w:t>
      </w:r>
      <w:r w:rsidRPr="007F7694">
        <w:rPr>
          <w:rFonts w:ascii="Palatino" w:hAnsi="Palatino"/>
          <w:b w:val="0"/>
          <w:caps w:val="0"/>
          <w:kern w:val="0"/>
          <w:u w:val="none"/>
        </w:rPr>
        <w:t>and all applicable requirements of law, including those related to planning, construction, ownership, and/or operation of the projects.  These provisions specifically require that all sellers take a list of reasonable steps to ensure that the generation facility is operated, maintained, and decommissioned in a safe manner.</w:t>
      </w:r>
    </w:p>
    <w:p w:rsidR="00F21B1C" w:rsidRPr="00F21B1C" w:rsidRDefault="00F21B1C" w:rsidP="00513520">
      <w:pPr>
        <w:pStyle w:val="standard"/>
        <w:ind w:firstLine="0"/>
      </w:pPr>
    </w:p>
    <w:p w:rsidR="003959FC" w:rsidRDefault="003959FC" w:rsidP="00513520">
      <w:pPr>
        <w:pStyle w:val="Heading1"/>
        <w:spacing w:before="0"/>
        <w:rPr>
          <w:rFonts w:ascii="Palatino" w:hAnsi="Palatino"/>
        </w:rPr>
      </w:pPr>
      <w:r w:rsidRPr="00542061">
        <w:t>Comments</w:t>
      </w:r>
    </w:p>
    <w:p w:rsidR="009A01B0" w:rsidRDefault="003959FC" w:rsidP="009A01B0">
      <w:r w:rsidRPr="002B155C">
        <w:t xml:space="preserve">Public Utilities Code section 311(g)(1) provides that this resolution must be served on all parties and subject to at least 30 days public review and comment prior to a vote of the Commission.  Section 311(g)(2) provides that this 30-day </w:t>
      </w:r>
      <w:r>
        <w:t>period may be reduced or waived upon the stipulation of all parties in the proceeding.</w:t>
      </w:r>
      <w:r w:rsidR="00982A3C">
        <w:t xml:space="preserve"> </w:t>
      </w:r>
    </w:p>
    <w:p w:rsidR="009A01B0" w:rsidRDefault="009A01B0" w:rsidP="009A01B0"/>
    <w:p w:rsidR="00925542" w:rsidRDefault="003959FC" w:rsidP="00071B2C">
      <w:r>
        <w:t>The 30-day comment period for the draft of this resolution was neither waived nor reduced.  Accordingly, this draft resolution was mailed to parties for comments, and will be placed on the Commi</w:t>
      </w:r>
      <w:r w:rsidR="00982A3C">
        <w:t xml:space="preserve">ssion's agenda no earlier than </w:t>
      </w:r>
      <w:r w:rsidR="009A01B0">
        <w:br/>
      </w:r>
      <w:r>
        <w:t>30 days from today.</w:t>
      </w:r>
      <w:r w:rsidR="00925542">
        <w:t xml:space="preserve"> </w:t>
      </w:r>
    </w:p>
    <w:p w:rsidR="00071B2C" w:rsidRDefault="00071B2C" w:rsidP="00071B2C"/>
    <w:p w:rsidR="003959FC" w:rsidRPr="00215936" w:rsidRDefault="003959FC" w:rsidP="00513520">
      <w:pPr>
        <w:pStyle w:val="Heading1"/>
        <w:spacing w:before="0"/>
        <w:rPr>
          <w:rFonts w:ascii="Palatino" w:hAnsi="Palatino"/>
        </w:rPr>
      </w:pPr>
      <w:r w:rsidRPr="00542061">
        <w:t>Findings</w:t>
      </w:r>
    </w:p>
    <w:p w:rsidR="00DA7570" w:rsidRPr="00DA7570" w:rsidRDefault="009039E1" w:rsidP="00F21B1C">
      <w:pPr>
        <w:pStyle w:val="ListParagraph"/>
        <w:numPr>
          <w:ilvl w:val="0"/>
          <w:numId w:val="13"/>
        </w:numPr>
        <w:spacing w:after="120"/>
        <w:contextualSpacing w:val="0"/>
        <w:rPr>
          <w:bCs/>
        </w:rPr>
      </w:pPr>
      <w:r>
        <w:rPr>
          <w:bCs/>
        </w:rPr>
        <w:t>SDG&amp;</w:t>
      </w:r>
      <w:r w:rsidR="00A7346A">
        <w:rPr>
          <w:bCs/>
        </w:rPr>
        <w:t>E’s 20</w:t>
      </w:r>
      <w:r w:rsidRPr="009039E1">
        <w:rPr>
          <w:bCs/>
        </w:rPr>
        <w:t xml:space="preserve"> MW </w:t>
      </w:r>
      <w:r w:rsidR="002442C4">
        <w:rPr>
          <w:bCs/>
        </w:rPr>
        <w:t>power purchase agreement</w:t>
      </w:r>
      <w:r w:rsidRPr="009039E1">
        <w:rPr>
          <w:bCs/>
        </w:rPr>
        <w:t xml:space="preserve"> with Solar Frontier</w:t>
      </w:r>
      <w:r w:rsidR="00BB4569">
        <w:rPr>
          <w:bCs/>
        </w:rPr>
        <w:t xml:space="preserve"> meets</w:t>
      </w:r>
      <w:r w:rsidRPr="009039E1">
        <w:rPr>
          <w:bCs/>
        </w:rPr>
        <w:t xml:space="preserve"> its advance</w:t>
      </w:r>
      <w:r>
        <w:rPr>
          <w:bCs/>
        </w:rPr>
        <w:t xml:space="preserve">d procurement </w:t>
      </w:r>
      <w:r w:rsidR="00BB4569">
        <w:rPr>
          <w:bCs/>
        </w:rPr>
        <w:t>Green Tariff Shared Renewables (</w:t>
      </w:r>
      <w:r>
        <w:rPr>
          <w:bCs/>
        </w:rPr>
        <w:t>GTSR</w:t>
      </w:r>
      <w:r w:rsidR="00BB4569">
        <w:rPr>
          <w:bCs/>
        </w:rPr>
        <w:t>)</w:t>
      </w:r>
      <w:r>
        <w:rPr>
          <w:bCs/>
        </w:rPr>
        <w:t xml:space="preserve"> requirements</w:t>
      </w:r>
      <w:r w:rsidR="00452426">
        <w:rPr>
          <w:bCs/>
        </w:rPr>
        <w:t xml:space="preserve"> </w:t>
      </w:r>
      <w:r>
        <w:rPr>
          <w:bCs/>
        </w:rPr>
        <w:t>of D.15-01-051</w:t>
      </w:r>
      <w:r w:rsidR="00A7346A">
        <w:rPr>
          <w:bCs/>
        </w:rPr>
        <w:t>.</w:t>
      </w:r>
    </w:p>
    <w:p w:rsidR="00DA7570" w:rsidRDefault="009954FD" w:rsidP="00F21B1C">
      <w:pPr>
        <w:pStyle w:val="ListParagraph"/>
        <w:numPr>
          <w:ilvl w:val="0"/>
          <w:numId w:val="13"/>
        </w:numPr>
        <w:spacing w:after="120"/>
        <w:contextualSpacing w:val="0"/>
        <w:rPr>
          <w:bCs/>
        </w:rPr>
      </w:pPr>
      <w:r>
        <w:rPr>
          <w:bCs/>
        </w:rPr>
        <w:t xml:space="preserve">SDG&amp;E has not met its </w:t>
      </w:r>
      <w:r w:rsidR="00EA1992">
        <w:rPr>
          <w:bCs/>
        </w:rPr>
        <w:t xml:space="preserve">1.75 MW Environmental Justice target mandated in </w:t>
      </w:r>
      <w:r w:rsidR="00EA1992" w:rsidRPr="00EA1992">
        <w:rPr>
          <w:bCs/>
        </w:rPr>
        <w:t>D.15-01-051</w:t>
      </w:r>
      <w:r w:rsidR="00EA1992">
        <w:rPr>
          <w:bCs/>
        </w:rPr>
        <w:t>.</w:t>
      </w:r>
      <w:r w:rsidR="00EA1992" w:rsidRPr="00EA1992">
        <w:rPr>
          <w:bCs/>
        </w:rPr>
        <w:t xml:space="preserve"> </w:t>
      </w:r>
    </w:p>
    <w:p w:rsidR="003215A2" w:rsidRDefault="003215A2" w:rsidP="00F21B1C">
      <w:pPr>
        <w:pStyle w:val="ListParagraph"/>
        <w:numPr>
          <w:ilvl w:val="0"/>
          <w:numId w:val="13"/>
        </w:numPr>
        <w:spacing w:after="120"/>
        <w:contextualSpacing w:val="0"/>
        <w:rPr>
          <w:bCs/>
        </w:rPr>
      </w:pPr>
      <w:r>
        <w:rPr>
          <w:bCs/>
        </w:rPr>
        <w:t>SDG&amp;E has a 62% shortfall towards meeting its Commission mandated Renewable Auction Mechanism (RAM) targets.</w:t>
      </w:r>
    </w:p>
    <w:p w:rsidR="009954FD" w:rsidRPr="00DA7570" w:rsidRDefault="00EA1992" w:rsidP="00F21B1C">
      <w:pPr>
        <w:pStyle w:val="ListParagraph"/>
        <w:numPr>
          <w:ilvl w:val="0"/>
          <w:numId w:val="13"/>
        </w:numPr>
        <w:spacing w:after="120"/>
        <w:contextualSpacing w:val="0"/>
        <w:rPr>
          <w:bCs/>
        </w:rPr>
      </w:pPr>
      <w:r w:rsidRPr="00DA7570">
        <w:rPr>
          <w:bCs/>
        </w:rPr>
        <w:t xml:space="preserve"> </w:t>
      </w:r>
      <w:r w:rsidR="00DA7570" w:rsidRPr="00DA7570">
        <w:rPr>
          <w:bCs/>
        </w:rPr>
        <w:t>SDG&amp;E has over relied on the discretion provided in D.10-12-048 to reject bids.</w:t>
      </w:r>
    </w:p>
    <w:p w:rsidR="00EA1992" w:rsidRPr="00EA1992" w:rsidRDefault="00EA1992" w:rsidP="00F21B1C">
      <w:pPr>
        <w:pStyle w:val="ListParagraph"/>
        <w:numPr>
          <w:ilvl w:val="0"/>
          <w:numId w:val="13"/>
        </w:numPr>
        <w:spacing w:after="120"/>
        <w:contextualSpacing w:val="0"/>
        <w:rPr>
          <w:bCs/>
        </w:rPr>
      </w:pPr>
      <w:r w:rsidRPr="00EA1992">
        <w:rPr>
          <w:bCs/>
        </w:rPr>
        <w:t xml:space="preserve">SDG&amp;E did not shortlist enough bids to meet its target in the </w:t>
      </w:r>
      <w:r w:rsidR="008744A6">
        <w:rPr>
          <w:bCs/>
        </w:rPr>
        <w:t xml:space="preserve">sixth </w:t>
      </w:r>
      <w:r w:rsidRPr="00EA1992">
        <w:rPr>
          <w:bCs/>
        </w:rPr>
        <w:t>RAM</w:t>
      </w:r>
      <w:r w:rsidR="003215A2">
        <w:rPr>
          <w:bCs/>
        </w:rPr>
        <w:t xml:space="preserve"> </w:t>
      </w:r>
      <w:r w:rsidRPr="00EA1992">
        <w:rPr>
          <w:bCs/>
        </w:rPr>
        <w:t>auction.</w:t>
      </w:r>
    </w:p>
    <w:p w:rsidR="00EA1992" w:rsidRDefault="00EA1992" w:rsidP="00F21B1C">
      <w:pPr>
        <w:pStyle w:val="ListParagraph"/>
        <w:numPr>
          <w:ilvl w:val="0"/>
          <w:numId w:val="13"/>
        </w:numPr>
        <w:spacing w:after="120"/>
        <w:contextualSpacing w:val="0"/>
        <w:rPr>
          <w:bCs/>
        </w:rPr>
      </w:pPr>
      <w:r w:rsidRPr="00EA1992">
        <w:rPr>
          <w:bCs/>
        </w:rPr>
        <w:t xml:space="preserve">SDG&amp;E has not demonstrated that the remaining bids in the </w:t>
      </w:r>
      <w:r w:rsidR="008744A6">
        <w:rPr>
          <w:bCs/>
        </w:rPr>
        <w:t xml:space="preserve">sixth </w:t>
      </w:r>
      <w:r w:rsidRPr="00EA1992">
        <w:rPr>
          <w:bCs/>
        </w:rPr>
        <w:t>RAM solicitation are</w:t>
      </w:r>
      <w:r w:rsidR="00BB4569">
        <w:rPr>
          <w:bCs/>
        </w:rPr>
        <w:t xml:space="preserve"> uncompetitive</w:t>
      </w:r>
      <w:r w:rsidRPr="00EA1992">
        <w:rPr>
          <w:bCs/>
        </w:rPr>
        <w:t>.</w:t>
      </w:r>
    </w:p>
    <w:p w:rsidR="00DA7570" w:rsidRDefault="00A7346A" w:rsidP="00344C78">
      <w:pPr>
        <w:pStyle w:val="ListParagraph"/>
        <w:numPr>
          <w:ilvl w:val="0"/>
          <w:numId w:val="13"/>
        </w:numPr>
        <w:spacing w:after="120"/>
        <w:contextualSpacing w:val="0"/>
        <w:rPr>
          <w:bCs/>
        </w:rPr>
      </w:pPr>
      <w:r w:rsidRPr="00AD438D">
        <w:rPr>
          <w:bCs/>
        </w:rPr>
        <w:t>If SDG&amp;</w:t>
      </w:r>
      <w:r w:rsidR="001A6F45">
        <w:rPr>
          <w:bCs/>
        </w:rPr>
        <w:t>E</w:t>
      </w:r>
      <w:r w:rsidRPr="00AD438D">
        <w:rPr>
          <w:bCs/>
        </w:rPr>
        <w:t xml:space="preserve"> had reason to</w:t>
      </w:r>
      <w:r w:rsidR="001A6F45">
        <w:rPr>
          <w:bCs/>
        </w:rPr>
        <w:t xml:space="preserve"> fail</w:t>
      </w:r>
      <w:r w:rsidR="001A6F45" w:rsidRPr="00AD438D">
        <w:rPr>
          <w:bCs/>
        </w:rPr>
        <w:t xml:space="preserve"> to meet a Commission mandate, </w:t>
      </w:r>
      <w:r w:rsidRPr="00AD438D">
        <w:rPr>
          <w:bCs/>
        </w:rPr>
        <w:t xml:space="preserve">it should </w:t>
      </w:r>
      <w:r w:rsidR="001A6F45">
        <w:rPr>
          <w:bCs/>
        </w:rPr>
        <w:t xml:space="preserve">have </w:t>
      </w:r>
      <w:r w:rsidR="00AD438D" w:rsidRPr="00AD438D">
        <w:rPr>
          <w:bCs/>
        </w:rPr>
        <w:t>utilize</w:t>
      </w:r>
      <w:r w:rsidR="001A6F45">
        <w:rPr>
          <w:bCs/>
        </w:rPr>
        <w:t>d</w:t>
      </w:r>
      <w:r w:rsidR="00AD438D" w:rsidRPr="00AD438D">
        <w:rPr>
          <w:bCs/>
        </w:rPr>
        <w:t xml:space="preserve"> </w:t>
      </w:r>
      <w:r w:rsidR="00AD438D">
        <w:rPr>
          <w:bCs/>
        </w:rPr>
        <w:t xml:space="preserve">an </w:t>
      </w:r>
      <w:r w:rsidR="00AD438D" w:rsidRPr="00AD438D">
        <w:rPr>
          <w:bCs/>
        </w:rPr>
        <w:t>appropriate procedural vehicle</w:t>
      </w:r>
      <w:r w:rsidR="001A6F45" w:rsidRPr="001A6F45">
        <w:rPr>
          <w:bCs/>
        </w:rPr>
        <w:t xml:space="preserve"> to raise the issue with the Commission</w:t>
      </w:r>
      <w:r w:rsidR="001A6F45">
        <w:rPr>
          <w:bCs/>
        </w:rPr>
        <w:t xml:space="preserve">. </w:t>
      </w:r>
      <w:r w:rsidR="00AD438D" w:rsidRPr="00AD438D">
        <w:rPr>
          <w:bCs/>
        </w:rPr>
        <w:t xml:space="preserve"> </w:t>
      </w:r>
    </w:p>
    <w:p w:rsidR="003A3935" w:rsidRPr="003A3935" w:rsidRDefault="003A3935" w:rsidP="00344C78">
      <w:pPr>
        <w:pStyle w:val="ListParagraph"/>
        <w:numPr>
          <w:ilvl w:val="0"/>
          <w:numId w:val="13"/>
        </w:numPr>
        <w:spacing w:after="120"/>
        <w:contextualSpacing w:val="0"/>
        <w:rPr>
          <w:bCs/>
        </w:rPr>
      </w:pPr>
      <w:r w:rsidRPr="003A3935">
        <w:rPr>
          <w:bCs/>
        </w:rPr>
        <w:t xml:space="preserve">SDG&amp;E’s justification to not meet RAM targets </w:t>
      </w:r>
      <w:r w:rsidR="00A634DA">
        <w:rPr>
          <w:bCs/>
        </w:rPr>
        <w:t xml:space="preserve">because </w:t>
      </w:r>
      <w:r w:rsidRPr="003A3935">
        <w:rPr>
          <w:bCs/>
        </w:rPr>
        <w:t xml:space="preserve">it does not have an RPS need ignores the objective of the RAM and solar </w:t>
      </w:r>
      <w:r w:rsidR="001E3458">
        <w:rPr>
          <w:bCs/>
        </w:rPr>
        <w:t xml:space="preserve">photovoltaic </w:t>
      </w:r>
      <w:r w:rsidRPr="003A3935">
        <w:rPr>
          <w:bCs/>
        </w:rPr>
        <w:t>programs and is not reasonable.</w:t>
      </w:r>
    </w:p>
    <w:p w:rsidR="00AF51CA" w:rsidRPr="003A3935" w:rsidRDefault="00AF51CA" w:rsidP="00F21B1C">
      <w:pPr>
        <w:pStyle w:val="ListParagraph"/>
        <w:numPr>
          <w:ilvl w:val="0"/>
          <w:numId w:val="13"/>
        </w:numPr>
        <w:spacing w:after="120"/>
        <w:contextualSpacing w:val="0"/>
        <w:rPr>
          <w:bCs/>
        </w:rPr>
      </w:pPr>
      <w:r w:rsidRPr="003A3935">
        <w:rPr>
          <w:bCs/>
        </w:rPr>
        <w:t>RAM bid prices are adjusted by an IOU’s time of delivery factors before the bids are ranked and selected, so that the project’s value relative to the investor-owned utility’s portfolio is considered.</w:t>
      </w:r>
    </w:p>
    <w:p w:rsidR="00DA7570" w:rsidRDefault="00AF51CA" w:rsidP="00F21B1C">
      <w:pPr>
        <w:pStyle w:val="ListParagraph"/>
        <w:numPr>
          <w:ilvl w:val="0"/>
          <w:numId w:val="13"/>
        </w:numPr>
        <w:spacing w:after="120"/>
        <w:contextualSpacing w:val="0"/>
        <w:rPr>
          <w:bCs/>
        </w:rPr>
      </w:pPr>
      <w:r w:rsidRPr="00AF51CA">
        <w:rPr>
          <w:bCs/>
        </w:rPr>
        <w:t>Rugraw</w:t>
      </w:r>
      <w:r>
        <w:rPr>
          <w:bCs/>
        </w:rPr>
        <w:t xml:space="preserve"> LLC’s protest </w:t>
      </w:r>
      <w:r w:rsidRPr="00AF51CA">
        <w:rPr>
          <w:bCs/>
        </w:rPr>
        <w:t xml:space="preserve">that SDG&amp;E is </w:t>
      </w:r>
      <w:r w:rsidR="00B710E2">
        <w:rPr>
          <w:bCs/>
        </w:rPr>
        <w:t xml:space="preserve">discriminating against baseload product category </w:t>
      </w:r>
      <w:r w:rsidRPr="00AF51CA">
        <w:rPr>
          <w:bCs/>
        </w:rPr>
        <w:t>for bid evaluation</w:t>
      </w:r>
      <w:r>
        <w:rPr>
          <w:bCs/>
        </w:rPr>
        <w:t xml:space="preserve"> is</w:t>
      </w:r>
      <w:r w:rsidR="00B710E2">
        <w:rPr>
          <w:bCs/>
        </w:rPr>
        <w:t xml:space="preserve"> denied</w:t>
      </w:r>
      <w:r w:rsidRPr="00AF51CA">
        <w:rPr>
          <w:bCs/>
        </w:rPr>
        <w:t xml:space="preserve">.  </w:t>
      </w:r>
    </w:p>
    <w:p w:rsidR="00AF51CA" w:rsidRDefault="00AF51CA" w:rsidP="00F21B1C">
      <w:pPr>
        <w:pStyle w:val="ListParagraph"/>
        <w:numPr>
          <w:ilvl w:val="0"/>
          <w:numId w:val="13"/>
        </w:numPr>
        <w:spacing w:after="120"/>
        <w:contextualSpacing w:val="0"/>
        <w:rPr>
          <w:bCs/>
        </w:rPr>
      </w:pPr>
      <w:r w:rsidRPr="00AF51CA">
        <w:rPr>
          <w:bCs/>
        </w:rPr>
        <w:t xml:space="preserve">Each RAM auction is a standalone auction. Any comparison of price between </w:t>
      </w:r>
      <w:r>
        <w:rPr>
          <w:bCs/>
        </w:rPr>
        <w:t>Rugraw’</w:t>
      </w:r>
      <w:r w:rsidRPr="00AF51CA">
        <w:rPr>
          <w:bCs/>
        </w:rPr>
        <w:t>s RAM IV contract and their RAM VI bid price is irrelevant, as bid prices are compared against all other bids received in the same auction.</w:t>
      </w:r>
    </w:p>
    <w:p w:rsidR="00AD438D" w:rsidRDefault="00AD438D" w:rsidP="00F21B1C">
      <w:pPr>
        <w:pStyle w:val="ListParagraph"/>
        <w:numPr>
          <w:ilvl w:val="0"/>
          <w:numId w:val="13"/>
        </w:numPr>
        <w:spacing w:after="120"/>
        <w:contextualSpacing w:val="0"/>
        <w:rPr>
          <w:bCs/>
        </w:rPr>
      </w:pPr>
      <w:r w:rsidRPr="00AD438D">
        <w:rPr>
          <w:bCs/>
        </w:rPr>
        <w:t>Rugraw’s protest that the RAM VI bid price is competitive based on its comparison with the RAM IV average contract price is</w:t>
      </w:r>
      <w:r w:rsidR="00B710E2">
        <w:rPr>
          <w:bCs/>
        </w:rPr>
        <w:t xml:space="preserve"> denied</w:t>
      </w:r>
      <w:r w:rsidRPr="00AD438D">
        <w:rPr>
          <w:bCs/>
        </w:rPr>
        <w:t>.</w:t>
      </w:r>
    </w:p>
    <w:p w:rsidR="00AF51CA" w:rsidRPr="009039E1" w:rsidRDefault="00AF51CA" w:rsidP="00F21B1C">
      <w:pPr>
        <w:pStyle w:val="ListParagraph"/>
        <w:spacing w:after="120"/>
        <w:rPr>
          <w:bCs/>
        </w:rPr>
      </w:pPr>
    </w:p>
    <w:p w:rsidR="003959FC" w:rsidRPr="00542061" w:rsidRDefault="003959FC" w:rsidP="00513520">
      <w:pPr>
        <w:pStyle w:val="Heading1"/>
        <w:spacing w:before="0"/>
      </w:pPr>
      <w:r w:rsidRPr="00542061">
        <w:t>Therefore it is ordered that:</w:t>
      </w:r>
    </w:p>
    <w:p w:rsidR="001808A9" w:rsidRDefault="003959FC" w:rsidP="001808A9">
      <w:pPr>
        <w:pStyle w:val="standard"/>
        <w:numPr>
          <w:ilvl w:val="0"/>
          <w:numId w:val="10"/>
        </w:numPr>
        <w:spacing w:after="120" w:line="240" w:lineRule="auto"/>
        <w:rPr>
          <w:bCs/>
        </w:rPr>
      </w:pPr>
      <w:r>
        <w:rPr>
          <w:bCs/>
        </w:rPr>
        <w:t xml:space="preserve"> </w:t>
      </w:r>
      <w:r w:rsidR="008F5EFA" w:rsidRPr="008F5EFA">
        <w:rPr>
          <w:bCs/>
        </w:rPr>
        <w:t>San Diego Gas &amp; Electric Company’s Power Purchase Agreement with Solar Frontier for the 97WI 8ME LLC project</w:t>
      </w:r>
      <w:r w:rsidR="008F5EFA">
        <w:rPr>
          <w:bCs/>
        </w:rPr>
        <w:t xml:space="preserve"> is approved.</w:t>
      </w:r>
    </w:p>
    <w:p w:rsidR="00344C78" w:rsidRPr="001808A9" w:rsidRDefault="00344C78" w:rsidP="00513520">
      <w:pPr>
        <w:pStyle w:val="standard"/>
        <w:numPr>
          <w:ilvl w:val="0"/>
          <w:numId w:val="10"/>
        </w:numPr>
        <w:spacing w:line="240" w:lineRule="auto"/>
        <w:rPr>
          <w:bCs/>
        </w:rPr>
      </w:pPr>
      <w:r w:rsidRPr="001808A9">
        <w:rPr>
          <w:bCs/>
        </w:rPr>
        <w:t xml:space="preserve">SDG&amp;E is ordered to procure </w:t>
      </w:r>
      <w:r w:rsidR="00595DA0">
        <w:rPr>
          <w:bCs/>
        </w:rPr>
        <w:t xml:space="preserve">additional </w:t>
      </w:r>
      <w:r w:rsidRPr="001808A9">
        <w:rPr>
          <w:bCs/>
        </w:rPr>
        <w:t>megawatts from th</w:t>
      </w:r>
      <w:r w:rsidR="003A3935" w:rsidRPr="001808A9">
        <w:rPr>
          <w:bCs/>
        </w:rPr>
        <w:t xml:space="preserve">e bids it received </w:t>
      </w:r>
      <w:r w:rsidRPr="001808A9">
        <w:rPr>
          <w:bCs/>
        </w:rPr>
        <w:t xml:space="preserve">in its </w:t>
      </w:r>
      <w:r w:rsidR="001808A9">
        <w:rPr>
          <w:bCs/>
        </w:rPr>
        <w:t xml:space="preserve">sixth </w:t>
      </w:r>
      <w:r w:rsidR="003A3935" w:rsidRPr="001808A9">
        <w:rPr>
          <w:bCs/>
        </w:rPr>
        <w:t>Renewable Auction Mechanism</w:t>
      </w:r>
      <w:r w:rsidR="001808A9">
        <w:rPr>
          <w:bCs/>
        </w:rPr>
        <w:t xml:space="preserve"> </w:t>
      </w:r>
      <w:r w:rsidRPr="001808A9">
        <w:rPr>
          <w:bCs/>
        </w:rPr>
        <w:t>solicitation.</w:t>
      </w:r>
    </w:p>
    <w:p w:rsidR="00F21B1C" w:rsidRPr="001808A9" w:rsidRDefault="00F21B1C" w:rsidP="001808A9">
      <w:pPr>
        <w:rPr>
          <w:bCs/>
        </w:rPr>
      </w:pPr>
    </w:p>
    <w:p w:rsidR="00F15AB5" w:rsidRDefault="003959FC" w:rsidP="001808A9">
      <w:pPr>
        <w:rPr>
          <w:bCs/>
        </w:rPr>
      </w:pPr>
      <w:r w:rsidRPr="001808A9">
        <w:rPr>
          <w:bCs/>
        </w:rPr>
        <w:t>This Resolution is effective today.</w:t>
      </w:r>
    </w:p>
    <w:p w:rsidR="00A634DA" w:rsidRPr="001808A9" w:rsidRDefault="00A634DA" w:rsidP="001808A9">
      <w:pPr>
        <w:rPr>
          <w:bCs/>
        </w:rPr>
      </w:pPr>
    </w:p>
    <w:p w:rsidR="003959FC" w:rsidRDefault="003959FC" w:rsidP="00513520">
      <w:pPr>
        <w:tabs>
          <w:tab w:val="left" w:pos="720"/>
          <w:tab w:val="left" w:pos="1296"/>
          <w:tab w:val="left" w:pos="2016"/>
          <w:tab w:val="left" w:pos="2736"/>
          <w:tab w:val="left" w:pos="3456"/>
          <w:tab w:val="left" w:pos="4176"/>
          <w:tab w:val="left" w:pos="5760"/>
        </w:tabs>
        <w:rPr>
          <w:snapToGrid w:val="0"/>
        </w:rPr>
      </w:pPr>
      <w:r w:rsidRPr="00215936">
        <w:rPr>
          <w:snapToGrid w:val="0"/>
        </w:rPr>
        <w:t xml:space="preserve">I certify that the foregoing resolution was duly introduced, passed and adopted at a conference of the Public Utilities Commission of the State of California held on </w:t>
      </w:r>
      <w:r w:rsidR="001E3458">
        <w:rPr>
          <w:snapToGrid w:val="0"/>
        </w:rPr>
        <w:t>July 14</w:t>
      </w:r>
      <w:r w:rsidRPr="003959FC">
        <w:rPr>
          <w:snapToGrid w:val="0"/>
        </w:rPr>
        <w:t>, 2016</w:t>
      </w:r>
      <w:r w:rsidRPr="00215936">
        <w:rPr>
          <w:snapToGrid w:val="0"/>
        </w:rPr>
        <w:t>; the following Commissioners voting favorably thereon:</w:t>
      </w:r>
    </w:p>
    <w:p w:rsidR="00513520" w:rsidRPr="003A535C" w:rsidRDefault="00513520" w:rsidP="00513520">
      <w:pPr>
        <w:tabs>
          <w:tab w:val="left" w:pos="720"/>
          <w:tab w:val="left" w:pos="1296"/>
          <w:tab w:val="left" w:pos="2016"/>
          <w:tab w:val="left" w:pos="2736"/>
          <w:tab w:val="left" w:pos="3456"/>
          <w:tab w:val="left" w:pos="4176"/>
          <w:tab w:val="left" w:pos="5760"/>
        </w:tabs>
      </w:pPr>
    </w:p>
    <w:p w:rsidR="003959FC" w:rsidRPr="00215936" w:rsidRDefault="003959FC" w:rsidP="00513520">
      <w:pPr>
        <w:tabs>
          <w:tab w:val="left" w:pos="720"/>
          <w:tab w:val="left" w:pos="1152"/>
          <w:tab w:val="left" w:pos="1728"/>
          <w:tab w:val="left" w:pos="3168"/>
          <w:tab w:val="left" w:pos="5040"/>
        </w:tabs>
        <w:ind w:right="144"/>
      </w:pPr>
    </w:p>
    <w:p w:rsidR="003959FC" w:rsidRPr="00215936" w:rsidRDefault="003959FC" w:rsidP="00513520">
      <w:pPr>
        <w:tabs>
          <w:tab w:val="left" w:pos="720"/>
          <w:tab w:val="left" w:pos="1152"/>
          <w:tab w:val="left" w:pos="1728"/>
          <w:tab w:val="left" w:pos="3168"/>
          <w:tab w:val="left" w:pos="5040"/>
        </w:tabs>
        <w:ind w:right="144"/>
      </w:pPr>
    </w:p>
    <w:p w:rsidR="003959FC" w:rsidRPr="00215936" w:rsidRDefault="003959FC" w:rsidP="00513520">
      <w:pPr>
        <w:tabs>
          <w:tab w:val="left" w:pos="720"/>
          <w:tab w:val="left" w:pos="1152"/>
          <w:tab w:val="left" w:pos="1728"/>
          <w:tab w:val="left" w:pos="3168"/>
          <w:tab w:val="left" w:pos="5040"/>
        </w:tabs>
        <w:ind w:right="144"/>
      </w:pPr>
    </w:p>
    <w:p w:rsidR="003959FC" w:rsidRPr="00215936" w:rsidRDefault="003959FC" w:rsidP="00513520">
      <w:pPr>
        <w:tabs>
          <w:tab w:val="left" w:pos="720"/>
          <w:tab w:val="left" w:pos="1152"/>
          <w:tab w:val="left" w:pos="1728"/>
          <w:tab w:val="left" w:pos="3168"/>
          <w:tab w:val="left" w:pos="5040"/>
        </w:tabs>
        <w:ind w:right="144"/>
      </w:pPr>
      <w:r w:rsidRPr="00215936">
        <w:tab/>
      </w:r>
      <w:r w:rsidRPr="00215936">
        <w:tab/>
      </w:r>
      <w:r w:rsidRPr="00215936">
        <w:tab/>
      </w:r>
      <w:r w:rsidRPr="00215936">
        <w:tab/>
      </w:r>
      <w:r w:rsidRPr="00215936">
        <w:tab/>
        <w:t xml:space="preserve">        ______________________</w:t>
      </w:r>
    </w:p>
    <w:p w:rsidR="003959FC" w:rsidRPr="00215936" w:rsidRDefault="003959FC" w:rsidP="00513520">
      <w:r w:rsidRPr="00215936">
        <w:tab/>
      </w:r>
      <w:r w:rsidRPr="00215936">
        <w:tab/>
      </w:r>
      <w:r w:rsidRPr="00215936">
        <w:tab/>
      </w:r>
      <w:r w:rsidRPr="00215936">
        <w:tab/>
      </w:r>
      <w:r w:rsidRPr="00215936">
        <w:tab/>
      </w:r>
      <w:r w:rsidRPr="00215936">
        <w:tab/>
        <w:t xml:space="preserve">    </w:t>
      </w:r>
      <w:r w:rsidRPr="00215936">
        <w:tab/>
        <w:t xml:space="preserve">        TIMOTHY J. SULLIVAN</w:t>
      </w:r>
    </w:p>
    <w:p w:rsidR="003959FC" w:rsidRPr="00215936" w:rsidRDefault="003959FC" w:rsidP="00513520">
      <w:r w:rsidRPr="00215936">
        <w:tab/>
      </w:r>
      <w:r w:rsidRPr="00215936">
        <w:tab/>
      </w:r>
      <w:r w:rsidRPr="00215936">
        <w:tab/>
      </w:r>
      <w:r w:rsidRPr="00215936">
        <w:tab/>
      </w:r>
      <w:r w:rsidRPr="00215936">
        <w:tab/>
      </w:r>
      <w:r w:rsidRPr="00215936">
        <w:tab/>
        <w:t xml:space="preserve"> </w:t>
      </w:r>
      <w:r w:rsidRPr="00215936">
        <w:tab/>
        <w:t xml:space="preserve">         Executive Director</w:t>
      </w:r>
    </w:p>
    <w:sectPr w:rsidR="003959FC" w:rsidRPr="002159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42" w:rsidRDefault="00787642">
      <w:r>
        <w:separator/>
      </w:r>
    </w:p>
  </w:endnote>
  <w:endnote w:type="continuationSeparator" w:id="0">
    <w:p w:rsidR="00787642" w:rsidRDefault="0078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A6" w:rsidRDefault="00FC1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70" w:rsidRDefault="00DA7570">
    <w:pPr>
      <w:pStyle w:val="Footer"/>
    </w:pPr>
    <w:r>
      <w:rPr>
        <w:rStyle w:val="PageNumber"/>
      </w:rPr>
      <w:fldChar w:fldCharType="begin"/>
    </w:r>
    <w:r>
      <w:rPr>
        <w:rStyle w:val="PageNumber"/>
      </w:rPr>
      <w:instrText xml:space="preserve"> PAGE </w:instrText>
    </w:r>
    <w:r>
      <w:rPr>
        <w:rStyle w:val="PageNumber"/>
      </w:rPr>
      <w:fldChar w:fldCharType="separate"/>
    </w:r>
    <w:r w:rsidR="007F489A">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70" w:rsidRDefault="00FD7995" w:rsidP="00FD7995">
    <w:pPr>
      <w:pStyle w:val="Footer"/>
      <w:tabs>
        <w:tab w:val="clear" w:pos="4320"/>
        <w:tab w:val="center" w:pos="4680"/>
      </w:tabs>
      <w:jc w:val="left"/>
    </w:pPr>
    <w:r>
      <w:rPr>
        <w:rFonts w:ascii="Tahoma" w:hAnsi="Tahoma" w:cs="Tahoma"/>
        <w:sz w:val="17"/>
        <w:szCs w:val="17"/>
      </w:rPr>
      <w:t xml:space="preserve">162496112 </w:t>
    </w:r>
    <w:r>
      <w:rPr>
        <w:rFonts w:ascii="Tahoma" w:hAnsi="Tahoma" w:cs="Tahoma"/>
        <w:sz w:val="17"/>
        <w:szCs w:val="17"/>
      </w:rPr>
      <w:tab/>
    </w:r>
    <w:r w:rsidR="00DA7570">
      <w:rPr>
        <w:rStyle w:val="PageNumber"/>
      </w:rPr>
      <w:fldChar w:fldCharType="begin"/>
    </w:r>
    <w:r w:rsidR="00DA7570">
      <w:rPr>
        <w:rStyle w:val="PageNumber"/>
      </w:rPr>
      <w:instrText xml:space="preserve"> PAGE </w:instrText>
    </w:r>
    <w:r w:rsidR="00DA7570">
      <w:rPr>
        <w:rStyle w:val="PageNumber"/>
      </w:rPr>
      <w:fldChar w:fldCharType="separate"/>
    </w:r>
    <w:r w:rsidR="007F489A">
      <w:rPr>
        <w:rStyle w:val="PageNumber"/>
        <w:noProof/>
      </w:rPr>
      <w:t>1</w:t>
    </w:r>
    <w:r w:rsidR="00DA757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42" w:rsidRDefault="00787642">
      <w:r>
        <w:separator/>
      </w:r>
    </w:p>
  </w:footnote>
  <w:footnote w:type="continuationSeparator" w:id="0">
    <w:p w:rsidR="00787642" w:rsidRDefault="00787642">
      <w:r>
        <w:continuationSeparator/>
      </w:r>
    </w:p>
  </w:footnote>
  <w:footnote w:type="continuationNotice" w:id="1">
    <w:p w:rsidR="00787642" w:rsidRDefault="00787642">
      <w:pPr>
        <w:rPr>
          <w:sz w:val="22"/>
        </w:rPr>
      </w:pPr>
    </w:p>
    <w:p w:rsidR="00787642" w:rsidRDefault="00787642">
      <w:pPr>
        <w:jc w:val="right"/>
        <w:rPr>
          <w:sz w:val="22"/>
        </w:rPr>
      </w:pPr>
      <w:r>
        <w:rPr>
          <w:i/>
          <w:sz w:val="22"/>
        </w:rPr>
        <w:t>Footnote continued on next page</w:t>
      </w:r>
    </w:p>
  </w:footnote>
  <w:footnote w:id="2">
    <w:p w:rsidR="00071B2C" w:rsidRDefault="00071B2C" w:rsidP="00071B2C">
      <w:pPr>
        <w:pStyle w:val="FootnoteText"/>
        <w:numPr>
          <w:ilvl w:val="0"/>
          <w:numId w:val="0"/>
        </w:numPr>
        <w:spacing w:after="120"/>
        <w:ind w:left="360" w:hanging="360"/>
      </w:pPr>
      <w:r>
        <w:rPr>
          <w:rStyle w:val="FootnoteReference"/>
        </w:rPr>
        <w:footnoteRef/>
      </w:r>
      <w:r>
        <w:t xml:space="preserve"> Rugraw LLC is the </w:t>
      </w:r>
      <w:r w:rsidRPr="00026220">
        <w:rPr>
          <w:bCs/>
        </w:rPr>
        <w:t>deve</w:t>
      </w:r>
      <w:r>
        <w:rPr>
          <w:bCs/>
        </w:rPr>
        <w:t>loper</w:t>
      </w:r>
      <w:r w:rsidRPr="00026220">
        <w:rPr>
          <w:bCs/>
        </w:rPr>
        <w:t xml:space="preserve"> of the 5 MW Lassen Lodge Hydroelectric Project</w:t>
      </w:r>
      <w:r>
        <w:rPr>
          <w:bCs/>
        </w:rPr>
        <w:t>.</w:t>
      </w:r>
    </w:p>
  </w:footnote>
  <w:footnote w:id="3">
    <w:p w:rsidR="00071B2C" w:rsidRDefault="00071B2C" w:rsidP="00071B2C">
      <w:pPr>
        <w:pStyle w:val="FootnoteText"/>
        <w:numPr>
          <w:ilvl w:val="0"/>
          <w:numId w:val="0"/>
        </w:numPr>
        <w:spacing w:after="120"/>
        <w:ind w:left="360" w:hanging="360"/>
      </w:pPr>
      <w:r>
        <w:rPr>
          <w:rStyle w:val="FootnoteReference"/>
        </w:rPr>
        <w:footnoteRef/>
      </w:r>
      <w:r>
        <w:t xml:space="preserve"> D.10-12-048, Section 7.3</w:t>
      </w:r>
    </w:p>
  </w:footnote>
  <w:footnote w:id="4">
    <w:p w:rsidR="00DA7570" w:rsidRPr="002875A9" w:rsidRDefault="00DA7570" w:rsidP="00513520">
      <w:pPr>
        <w:pStyle w:val="FootnoteText"/>
        <w:numPr>
          <w:ilvl w:val="0"/>
          <w:numId w:val="0"/>
        </w:numPr>
        <w:spacing w:after="120"/>
        <w:rPr>
          <w:sz w:val="22"/>
          <w:szCs w:val="22"/>
        </w:rPr>
      </w:pPr>
      <w:r w:rsidRPr="002875A9">
        <w:rPr>
          <w:rStyle w:val="FootnoteReference"/>
          <w:sz w:val="22"/>
          <w:szCs w:val="22"/>
        </w:rPr>
        <w:footnoteRef/>
      </w:r>
      <w:r w:rsidRPr="002875A9">
        <w:rPr>
          <w:sz w:val="22"/>
          <w:szCs w:val="22"/>
        </w:rPr>
        <w:t xml:space="preserve"> D.15-01-051, page 36</w:t>
      </w:r>
    </w:p>
  </w:footnote>
  <w:footnote w:id="5">
    <w:p w:rsidR="00DA7570" w:rsidRPr="002875A9" w:rsidRDefault="00DA7570" w:rsidP="00513520">
      <w:pPr>
        <w:pStyle w:val="FootnoteText"/>
        <w:numPr>
          <w:ilvl w:val="0"/>
          <w:numId w:val="0"/>
        </w:numPr>
        <w:spacing w:after="120"/>
        <w:ind w:left="360" w:hanging="360"/>
        <w:rPr>
          <w:sz w:val="22"/>
          <w:szCs w:val="22"/>
        </w:rPr>
      </w:pPr>
      <w:r w:rsidRPr="002875A9">
        <w:rPr>
          <w:rStyle w:val="FootnoteReference"/>
          <w:sz w:val="22"/>
          <w:szCs w:val="22"/>
        </w:rPr>
        <w:footnoteRef/>
      </w:r>
      <w:r w:rsidRPr="002875A9">
        <w:rPr>
          <w:sz w:val="22"/>
          <w:szCs w:val="22"/>
        </w:rPr>
        <w:t xml:space="preserve"> D.15-01-051, page 38</w:t>
      </w:r>
    </w:p>
  </w:footnote>
  <w:footnote w:id="6">
    <w:p w:rsidR="00CA6598" w:rsidRDefault="00CA6598" w:rsidP="00513520">
      <w:pPr>
        <w:pStyle w:val="FootnoteText"/>
        <w:numPr>
          <w:ilvl w:val="0"/>
          <w:numId w:val="0"/>
        </w:numPr>
        <w:spacing w:after="120"/>
      </w:pPr>
      <w:r w:rsidRPr="002875A9">
        <w:rPr>
          <w:rStyle w:val="FootnoteReference"/>
          <w:sz w:val="22"/>
          <w:szCs w:val="22"/>
        </w:rPr>
        <w:footnoteRef/>
      </w:r>
      <w:r w:rsidRPr="002875A9">
        <w:rPr>
          <w:sz w:val="22"/>
          <w:szCs w:val="22"/>
        </w:rPr>
        <w:t xml:space="preserve"> </w:t>
      </w:r>
      <w:r w:rsidRPr="002875A9">
        <w:rPr>
          <w:bCs/>
          <w:sz w:val="22"/>
          <w:szCs w:val="22"/>
        </w:rPr>
        <w:t>The Bid Ran</w:t>
      </w:r>
      <w:r w:rsidR="00440331">
        <w:rPr>
          <w:bCs/>
          <w:sz w:val="22"/>
          <w:szCs w:val="22"/>
        </w:rPr>
        <w:t>king Price is comprised of the levelized c</w:t>
      </w:r>
      <w:r w:rsidRPr="002875A9">
        <w:rPr>
          <w:bCs/>
          <w:sz w:val="22"/>
          <w:szCs w:val="22"/>
        </w:rPr>
        <w:t>on</w:t>
      </w:r>
      <w:r w:rsidR="00440331">
        <w:rPr>
          <w:bCs/>
          <w:sz w:val="22"/>
          <w:szCs w:val="22"/>
        </w:rPr>
        <w:t>tract cost, as adjusted by the time of day adjustment, the transmission network u</w:t>
      </w:r>
      <w:r w:rsidRPr="002875A9">
        <w:rPr>
          <w:bCs/>
          <w:sz w:val="22"/>
          <w:szCs w:val="22"/>
        </w:rPr>
        <w:t>pgrade</w:t>
      </w:r>
      <w:r w:rsidR="00440331">
        <w:rPr>
          <w:bCs/>
          <w:sz w:val="22"/>
          <w:szCs w:val="22"/>
        </w:rPr>
        <w:t xml:space="preserve"> cost adder and the deliverability a</w:t>
      </w:r>
      <w:r w:rsidRPr="002875A9">
        <w:rPr>
          <w:bCs/>
          <w:sz w:val="22"/>
          <w:szCs w:val="22"/>
        </w:rPr>
        <w:t>dder</w:t>
      </w:r>
    </w:p>
  </w:footnote>
  <w:footnote w:id="7">
    <w:p w:rsidR="00DA7570" w:rsidRPr="002875A9" w:rsidRDefault="00DA7570" w:rsidP="00513520">
      <w:pPr>
        <w:pStyle w:val="FootnoteText"/>
        <w:numPr>
          <w:ilvl w:val="0"/>
          <w:numId w:val="0"/>
        </w:numPr>
        <w:spacing w:after="120"/>
        <w:rPr>
          <w:sz w:val="22"/>
          <w:szCs w:val="22"/>
        </w:rPr>
      </w:pPr>
      <w:r w:rsidRPr="002875A9">
        <w:rPr>
          <w:rStyle w:val="FootnoteReference"/>
          <w:sz w:val="22"/>
          <w:szCs w:val="22"/>
        </w:rPr>
        <w:footnoteRef/>
      </w:r>
      <w:r w:rsidRPr="002875A9">
        <w:rPr>
          <w:sz w:val="22"/>
          <w:szCs w:val="22"/>
        </w:rPr>
        <w:t xml:space="preserve"> D.15-01-051, page 38</w:t>
      </w:r>
    </w:p>
  </w:footnote>
  <w:footnote w:id="8">
    <w:p w:rsidR="00DA7570" w:rsidRDefault="00DA7570" w:rsidP="005A06C0">
      <w:pPr>
        <w:pStyle w:val="FootnoteText"/>
        <w:numPr>
          <w:ilvl w:val="0"/>
          <w:numId w:val="0"/>
        </w:numPr>
        <w:spacing w:after="120"/>
        <w:ind w:left="360" w:hanging="360"/>
      </w:pPr>
      <w:r>
        <w:rPr>
          <w:rStyle w:val="FootnoteReference"/>
        </w:rPr>
        <w:footnoteRef/>
      </w:r>
      <w:r>
        <w:t xml:space="preserve"> D.15-01-051, Findings 32 and 33</w:t>
      </w:r>
    </w:p>
  </w:footnote>
  <w:footnote w:id="9">
    <w:p w:rsidR="00DA7570" w:rsidRPr="002875A9" w:rsidRDefault="00DA7570" w:rsidP="00143CDE">
      <w:pPr>
        <w:pStyle w:val="FootnoteText"/>
        <w:numPr>
          <w:ilvl w:val="0"/>
          <w:numId w:val="0"/>
        </w:numPr>
        <w:spacing w:after="120"/>
        <w:ind w:left="360" w:hanging="360"/>
        <w:rPr>
          <w:sz w:val="22"/>
          <w:szCs w:val="22"/>
        </w:rPr>
      </w:pPr>
      <w:r w:rsidRPr="002875A9">
        <w:rPr>
          <w:rStyle w:val="FootnoteReference"/>
          <w:sz w:val="22"/>
          <w:szCs w:val="22"/>
        </w:rPr>
        <w:footnoteRef/>
      </w:r>
      <w:r w:rsidRPr="002875A9">
        <w:rPr>
          <w:sz w:val="22"/>
          <w:szCs w:val="22"/>
        </w:rPr>
        <w:t xml:space="preserve"> D.15-01-051, Ordering Paragraph 8</w:t>
      </w:r>
    </w:p>
  </w:footnote>
  <w:footnote w:id="10">
    <w:p w:rsidR="00DA7570" w:rsidRPr="00697DBE" w:rsidRDefault="00DA7570" w:rsidP="00697DBE">
      <w:pPr>
        <w:pStyle w:val="FootnoteText"/>
        <w:numPr>
          <w:ilvl w:val="0"/>
          <w:numId w:val="0"/>
        </w:numPr>
        <w:spacing w:after="120"/>
        <w:ind w:left="360" w:hanging="360"/>
        <w:rPr>
          <w:sz w:val="22"/>
          <w:szCs w:val="22"/>
        </w:rPr>
      </w:pPr>
      <w:r w:rsidRPr="00697DBE">
        <w:rPr>
          <w:rStyle w:val="FootnoteReference"/>
          <w:sz w:val="22"/>
          <w:szCs w:val="22"/>
        </w:rPr>
        <w:footnoteRef/>
      </w:r>
      <w:r w:rsidRPr="00697DBE">
        <w:rPr>
          <w:sz w:val="22"/>
          <w:szCs w:val="22"/>
        </w:rPr>
        <w:t xml:space="preserve"> D.10-12-048, </w:t>
      </w:r>
      <w:r w:rsidRPr="00697DBE">
        <w:rPr>
          <w:bCs/>
          <w:sz w:val="22"/>
          <w:szCs w:val="22"/>
        </w:rPr>
        <w:t>D.12-02-002</w:t>
      </w:r>
      <w:r>
        <w:rPr>
          <w:bCs/>
          <w:sz w:val="22"/>
          <w:szCs w:val="22"/>
        </w:rPr>
        <w:t>, D.12-02-035</w:t>
      </w:r>
    </w:p>
  </w:footnote>
  <w:footnote w:id="11">
    <w:p w:rsidR="00DA7570" w:rsidRPr="00697DBE" w:rsidRDefault="00DA7570" w:rsidP="00513520">
      <w:pPr>
        <w:pStyle w:val="ListBullet"/>
        <w:numPr>
          <w:ilvl w:val="0"/>
          <w:numId w:val="0"/>
        </w:numPr>
        <w:spacing w:after="120"/>
        <w:rPr>
          <w:bCs/>
          <w:sz w:val="22"/>
          <w:szCs w:val="22"/>
        </w:rPr>
      </w:pPr>
      <w:r w:rsidRPr="00697DBE">
        <w:rPr>
          <w:rStyle w:val="FootnoteReference"/>
          <w:sz w:val="22"/>
          <w:szCs w:val="22"/>
        </w:rPr>
        <w:footnoteRef/>
      </w:r>
      <w:r w:rsidRPr="00697DBE">
        <w:rPr>
          <w:rStyle w:val="FootnoteReference"/>
          <w:sz w:val="22"/>
          <w:szCs w:val="22"/>
        </w:rPr>
        <w:t xml:space="preserve"> </w:t>
      </w:r>
      <w:r w:rsidRPr="00697DBE">
        <w:rPr>
          <w:sz w:val="22"/>
          <w:szCs w:val="22"/>
        </w:rPr>
        <w:t xml:space="preserve"> “</w:t>
      </w:r>
      <w:r w:rsidRPr="00697DBE">
        <w:rPr>
          <w:bCs/>
          <w:sz w:val="22"/>
          <w:szCs w:val="22"/>
        </w:rPr>
        <w:t>Finally, we provide the IOUs with discretion to reject bids from an auction under two circumstances: there is evidence of market manipulation, or the prices are not competitive. An IOU may reject an entire auction’s results based on such an assessment or reject individual bids even before their allocated capacity cap has been reached</w:t>
      </w:r>
      <w:r w:rsidR="00EB0C33">
        <w:rPr>
          <w:bCs/>
          <w:sz w:val="22"/>
          <w:szCs w:val="22"/>
        </w:rPr>
        <w:t>.</w:t>
      </w:r>
      <w:r w:rsidRPr="00697DBE">
        <w:rPr>
          <w:bCs/>
          <w:sz w:val="22"/>
          <w:szCs w:val="22"/>
        </w:rPr>
        <w:t xml:space="preserve"> If an IOU wishes to utilize this discretion, it shall demonstrate in an advice letter filing to the Commission why bids were rejecte</w:t>
      </w:r>
      <w:r w:rsidR="00071B2C">
        <w:rPr>
          <w:bCs/>
          <w:sz w:val="22"/>
          <w:szCs w:val="22"/>
        </w:rPr>
        <w:t xml:space="preserve">d before the capacity cap was </w:t>
      </w:r>
      <w:r w:rsidRPr="00697DBE">
        <w:rPr>
          <w:bCs/>
          <w:sz w:val="22"/>
          <w:szCs w:val="22"/>
        </w:rPr>
        <w:t>exhausted.” (D.10-12-048, page 36)</w:t>
      </w:r>
    </w:p>
  </w:footnote>
  <w:footnote w:id="12">
    <w:p w:rsidR="00DB7BA6" w:rsidRDefault="00DB7BA6" w:rsidP="00DB7BA6">
      <w:pPr>
        <w:pStyle w:val="FootnoteText"/>
        <w:numPr>
          <w:ilvl w:val="0"/>
          <w:numId w:val="0"/>
        </w:numPr>
        <w:spacing w:after="120"/>
        <w:ind w:left="360" w:hanging="360"/>
      </w:pPr>
      <w:r w:rsidRPr="00697DBE">
        <w:rPr>
          <w:rStyle w:val="FootnoteReference"/>
          <w:sz w:val="22"/>
          <w:szCs w:val="22"/>
        </w:rPr>
        <w:footnoteRef/>
      </w:r>
      <w:r w:rsidRPr="00697DBE">
        <w:rPr>
          <w:sz w:val="22"/>
          <w:szCs w:val="22"/>
        </w:rPr>
        <w:t xml:space="preserve"> Advice Letter 2849-E, page 21</w:t>
      </w:r>
    </w:p>
  </w:footnote>
  <w:footnote w:id="13">
    <w:p w:rsidR="00BA1762" w:rsidRDefault="00BA1762" w:rsidP="00BA1762">
      <w:pPr>
        <w:pStyle w:val="FootnoteText"/>
        <w:numPr>
          <w:ilvl w:val="0"/>
          <w:numId w:val="0"/>
        </w:numPr>
        <w:tabs>
          <w:tab w:val="left" w:pos="720"/>
        </w:tabs>
        <w:spacing w:after="120"/>
        <w:ind w:left="360" w:hanging="360"/>
        <w:rPr>
          <w:sz w:val="22"/>
          <w:szCs w:val="22"/>
        </w:rPr>
      </w:pPr>
      <w:r>
        <w:rPr>
          <w:rStyle w:val="FootnoteReference"/>
          <w:sz w:val="22"/>
          <w:szCs w:val="22"/>
        </w:rPr>
        <w:footnoteRef/>
      </w:r>
      <w:r>
        <w:rPr>
          <w:sz w:val="22"/>
          <w:szCs w:val="22"/>
        </w:rPr>
        <w:t xml:space="preserve"> SDG&amp;E’s RPS position 33% in 2015.</w:t>
      </w:r>
    </w:p>
  </w:footnote>
  <w:footnote w:id="14">
    <w:p w:rsidR="00BA1762" w:rsidRDefault="00BA1762" w:rsidP="00BA1762">
      <w:pPr>
        <w:pStyle w:val="FootnoteText"/>
        <w:numPr>
          <w:ilvl w:val="0"/>
          <w:numId w:val="0"/>
        </w:numPr>
        <w:tabs>
          <w:tab w:val="left" w:pos="720"/>
        </w:tabs>
        <w:spacing w:after="120"/>
        <w:rPr>
          <w:sz w:val="22"/>
          <w:szCs w:val="22"/>
        </w:rPr>
      </w:pPr>
      <w:r>
        <w:rPr>
          <w:rStyle w:val="FootnoteReference"/>
          <w:sz w:val="22"/>
          <w:szCs w:val="22"/>
        </w:rPr>
        <w:footnoteRef/>
      </w:r>
      <w:r>
        <w:rPr>
          <w:sz w:val="22"/>
          <w:szCs w:val="22"/>
        </w:rPr>
        <w:t xml:space="preserve"> “This decision authorizes a new procurement process called the Renewable Auction Mechanism, or RAM, for the procurement of smaller renewable energy projects that are eligible for the California Renewables Portfolio Standard (RPS) Program. The RAM is a simplified and market-based procurement mechanism for large investor-owned utilities (IOU).</w:t>
      </w:r>
      <w:r>
        <w:rPr>
          <w:bCs/>
          <w:sz w:val="22"/>
          <w:szCs w:val="22"/>
        </w:rPr>
        <w:t xml:space="preserve"> The Commission adopts RAM as a primary contracting tool for this market segment because doing so will promote competition and elicit the lowest costs for ratepayers, encourage the development of resources that can utilize existing transmission and distribution infrastructure, and contribute to RPS goals in the near term. We expect RAM to complement the RPS Program by reducing transaction costs and providing a procurement opportunity for smaller RPS-eligible projects, which have not been able to effectively participate in the annual RPS solicitations to date” (D.10-12-048, page 2)</w:t>
      </w:r>
    </w:p>
  </w:footnote>
  <w:footnote w:id="15">
    <w:p w:rsidR="00BA1762" w:rsidRDefault="00BA1762" w:rsidP="00513520">
      <w:pPr>
        <w:pStyle w:val="FootnoteText"/>
        <w:numPr>
          <w:ilvl w:val="0"/>
          <w:numId w:val="0"/>
        </w:numPr>
        <w:tabs>
          <w:tab w:val="left" w:pos="720"/>
        </w:tabs>
        <w:spacing w:after="120"/>
        <w:ind w:left="360" w:hanging="360"/>
      </w:pPr>
      <w:r>
        <w:rPr>
          <w:rStyle w:val="FootnoteReference"/>
        </w:rPr>
        <w:footnoteRef/>
      </w:r>
      <w:r>
        <w:t xml:space="preserve"> D.10-09-016 adopted a solar PV program for SDG&amp;E.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A6" w:rsidRDefault="00FC1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70" w:rsidRDefault="00DA7570">
    <w:pPr>
      <w:pStyle w:val="Header"/>
      <w:tabs>
        <w:tab w:val="clear" w:pos="4320"/>
        <w:tab w:val="clear" w:pos="8640"/>
        <w:tab w:val="center" w:pos="4680"/>
        <w:tab w:val="right" w:pos="9180"/>
      </w:tabs>
    </w:pPr>
    <w:r>
      <w:t>R</w:t>
    </w:r>
    <w:r w:rsidR="00666FAD">
      <w:t>esolution E-4783</w:t>
    </w:r>
    <w:r w:rsidR="00666FAD">
      <w:tab/>
      <w:t>DRAFT</w:t>
    </w:r>
    <w:r w:rsidR="00666FAD">
      <w:tab/>
      <w:t>July 14</w:t>
    </w:r>
    <w:r>
      <w:t>, 2016</w:t>
    </w:r>
  </w:p>
  <w:p w:rsidR="00DA7570" w:rsidRDefault="00DA7570">
    <w:pPr>
      <w:pStyle w:val="Header"/>
      <w:tabs>
        <w:tab w:val="clear" w:pos="4320"/>
        <w:tab w:val="clear" w:pos="8640"/>
        <w:tab w:val="center" w:pos="4680"/>
        <w:tab w:val="right" w:pos="9180"/>
      </w:tabs>
    </w:pPr>
    <w:r>
      <w:t>SDG&amp;E AL 2849-E/MLA</w:t>
    </w:r>
  </w:p>
  <w:p w:rsidR="00DA7570" w:rsidRDefault="00DA7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70" w:rsidRPr="008E6797" w:rsidRDefault="00DA7570"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12A8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nsid w:val="0BDB7819"/>
    <w:multiLevelType w:val="singleLevel"/>
    <w:tmpl w:val="0409000F"/>
    <w:lvl w:ilvl="0">
      <w:start w:val="1"/>
      <w:numFmt w:val="decimal"/>
      <w:lvlText w:val="%1."/>
      <w:lvlJc w:val="left"/>
      <w:pPr>
        <w:tabs>
          <w:tab w:val="num" w:pos="360"/>
        </w:tabs>
        <w:ind w:left="360" w:hanging="360"/>
      </w:pPr>
    </w:lvl>
  </w:abstractNum>
  <w:abstractNum w:abstractNumId="3">
    <w:nsid w:val="0F987E0A"/>
    <w:multiLevelType w:val="hybridMultilevel"/>
    <w:tmpl w:val="5154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6D4A8C"/>
    <w:multiLevelType w:val="hybridMultilevel"/>
    <w:tmpl w:val="429A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0">
    <w:nsid w:val="6BB84711"/>
    <w:multiLevelType w:val="hybridMultilevel"/>
    <w:tmpl w:val="000C3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460080"/>
    <w:multiLevelType w:val="hybridMultilevel"/>
    <w:tmpl w:val="1FE623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C632482"/>
    <w:multiLevelType w:val="hybridMultilevel"/>
    <w:tmpl w:val="ADB46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9"/>
  </w:num>
  <w:num w:numId="5">
    <w:abstractNumId w:val="2"/>
  </w:num>
  <w:num w:numId="6">
    <w:abstractNumId w:val="6"/>
  </w:num>
  <w:num w:numId="7">
    <w:abstractNumId w:val="10"/>
  </w:num>
  <w:num w:numId="8">
    <w:abstractNumId w:val="13"/>
  </w:num>
  <w:num w:numId="9">
    <w:abstractNumId w:val="4"/>
  </w:num>
  <w:num w:numId="10">
    <w:abstractNumId w:val="11"/>
  </w:num>
  <w:num w:numId="11">
    <w:abstractNumId w:val="0"/>
  </w:num>
  <w:num w:numId="12">
    <w:abstractNumId w:val="12"/>
  </w:num>
  <w:num w:numId="13">
    <w:abstractNumId w:val="3"/>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6FE5"/>
    <w:rsid w:val="0001409F"/>
    <w:rsid w:val="00025975"/>
    <w:rsid w:val="00026220"/>
    <w:rsid w:val="00027BA5"/>
    <w:rsid w:val="00054349"/>
    <w:rsid w:val="000556F2"/>
    <w:rsid w:val="000627AC"/>
    <w:rsid w:val="0006375C"/>
    <w:rsid w:val="00071B2C"/>
    <w:rsid w:val="00095074"/>
    <w:rsid w:val="000B2660"/>
    <w:rsid w:val="000B5D11"/>
    <w:rsid w:val="000D2BF9"/>
    <w:rsid w:val="000D3A75"/>
    <w:rsid w:val="0010520B"/>
    <w:rsid w:val="00113356"/>
    <w:rsid w:val="0011476D"/>
    <w:rsid w:val="0012032E"/>
    <w:rsid w:val="00142FB8"/>
    <w:rsid w:val="00143CDE"/>
    <w:rsid w:val="00162DC8"/>
    <w:rsid w:val="00165280"/>
    <w:rsid w:val="00166367"/>
    <w:rsid w:val="001808A9"/>
    <w:rsid w:val="001A6F45"/>
    <w:rsid w:val="001C2CAC"/>
    <w:rsid w:val="001C73FF"/>
    <w:rsid w:val="001D09E2"/>
    <w:rsid w:val="001E0B91"/>
    <w:rsid w:val="001E3458"/>
    <w:rsid w:val="00214F90"/>
    <w:rsid w:val="00223351"/>
    <w:rsid w:val="00230862"/>
    <w:rsid w:val="002375F9"/>
    <w:rsid w:val="002442C4"/>
    <w:rsid w:val="002467FD"/>
    <w:rsid w:val="002472DB"/>
    <w:rsid w:val="00250542"/>
    <w:rsid w:val="002508C5"/>
    <w:rsid w:val="00252FFF"/>
    <w:rsid w:val="00261D7B"/>
    <w:rsid w:val="00274EC8"/>
    <w:rsid w:val="00282D87"/>
    <w:rsid w:val="002875A9"/>
    <w:rsid w:val="00293C09"/>
    <w:rsid w:val="002A6A8F"/>
    <w:rsid w:val="002B79A3"/>
    <w:rsid w:val="002F49A9"/>
    <w:rsid w:val="003215A2"/>
    <w:rsid w:val="00344C78"/>
    <w:rsid w:val="003555C9"/>
    <w:rsid w:val="00357482"/>
    <w:rsid w:val="00371C85"/>
    <w:rsid w:val="003959FC"/>
    <w:rsid w:val="003A3935"/>
    <w:rsid w:val="003B1839"/>
    <w:rsid w:val="003C47A8"/>
    <w:rsid w:val="003F6E5A"/>
    <w:rsid w:val="00400F6B"/>
    <w:rsid w:val="0040140F"/>
    <w:rsid w:val="0041605E"/>
    <w:rsid w:val="00440331"/>
    <w:rsid w:val="00440AB7"/>
    <w:rsid w:val="00452426"/>
    <w:rsid w:val="00467956"/>
    <w:rsid w:val="00470B9B"/>
    <w:rsid w:val="00480244"/>
    <w:rsid w:val="00480A11"/>
    <w:rsid w:val="004905D3"/>
    <w:rsid w:val="004B2310"/>
    <w:rsid w:val="004B6DBB"/>
    <w:rsid w:val="004D3212"/>
    <w:rsid w:val="004E1C94"/>
    <w:rsid w:val="004F4F28"/>
    <w:rsid w:val="00513520"/>
    <w:rsid w:val="00560F5F"/>
    <w:rsid w:val="00566E05"/>
    <w:rsid w:val="00575B92"/>
    <w:rsid w:val="00593807"/>
    <w:rsid w:val="00595DA0"/>
    <w:rsid w:val="005A06C0"/>
    <w:rsid w:val="005A58FD"/>
    <w:rsid w:val="005C6433"/>
    <w:rsid w:val="005C7E5B"/>
    <w:rsid w:val="00605372"/>
    <w:rsid w:val="0061487A"/>
    <w:rsid w:val="0063011F"/>
    <w:rsid w:val="00635032"/>
    <w:rsid w:val="0064758C"/>
    <w:rsid w:val="00666FAD"/>
    <w:rsid w:val="0069631C"/>
    <w:rsid w:val="00697DBE"/>
    <w:rsid w:val="006B05EE"/>
    <w:rsid w:val="006C615C"/>
    <w:rsid w:val="006D0218"/>
    <w:rsid w:val="006F6406"/>
    <w:rsid w:val="00700B8E"/>
    <w:rsid w:val="00722732"/>
    <w:rsid w:val="00726E77"/>
    <w:rsid w:val="00737B9F"/>
    <w:rsid w:val="00784033"/>
    <w:rsid w:val="00787642"/>
    <w:rsid w:val="007A281A"/>
    <w:rsid w:val="007B3A41"/>
    <w:rsid w:val="007C25F5"/>
    <w:rsid w:val="007C4CE9"/>
    <w:rsid w:val="007D3566"/>
    <w:rsid w:val="007F0EE5"/>
    <w:rsid w:val="007F28DC"/>
    <w:rsid w:val="007F489A"/>
    <w:rsid w:val="00801D70"/>
    <w:rsid w:val="00805A17"/>
    <w:rsid w:val="00845CD0"/>
    <w:rsid w:val="008744A6"/>
    <w:rsid w:val="00895494"/>
    <w:rsid w:val="00895AE5"/>
    <w:rsid w:val="008967A6"/>
    <w:rsid w:val="008973D5"/>
    <w:rsid w:val="008A6314"/>
    <w:rsid w:val="008C713D"/>
    <w:rsid w:val="008D460D"/>
    <w:rsid w:val="008E5AD9"/>
    <w:rsid w:val="008E6797"/>
    <w:rsid w:val="008F08CB"/>
    <w:rsid w:val="008F2040"/>
    <w:rsid w:val="008F521B"/>
    <w:rsid w:val="008F5EFA"/>
    <w:rsid w:val="009039E1"/>
    <w:rsid w:val="00917EA6"/>
    <w:rsid w:val="00925542"/>
    <w:rsid w:val="009521B7"/>
    <w:rsid w:val="009618ED"/>
    <w:rsid w:val="00966821"/>
    <w:rsid w:val="0097132E"/>
    <w:rsid w:val="00976591"/>
    <w:rsid w:val="009767D7"/>
    <w:rsid w:val="00977BA6"/>
    <w:rsid w:val="009809B1"/>
    <w:rsid w:val="00982A3C"/>
    <w:rsid w:val="00990614"/>
    <w:rsid w:val="0099502A"/>
    <w:rsid w:val="009954FD"/>
    <w:rsid w:val="0099692A"/>
    <w:rsid w:val="00997DA6"/>
    <w:rsid w:val="009A01B0"/>
    <w:rsid w:val="009A50E0"/>
    <w:rsid w:val="009A68D0"/>
    <w:rsid w:val="009C4CA2"/>
    <w:rsid w:val="009C5DF0"/>
    <w:rsid w:val="009D7160"/>
    <w:rsid w:val="009F2D68"/>
    <w:rsid w:val="00A147A3"/>
    <w:rsid w:val="00A1526C"/>
    <w:rsid w:val="00A209EC"/>
    <w:rsid w:val="00A218B6"/>
    <w:rsid w:val="00A272CF"/>
    <w:rsid w:val="00A4349E"/>
    <w:rsid w:val="00A473C2"/>
    <w:rsid w:val="00A56234"/>
    <w:rsid w:val="00A60201"/>
    <w:rsid w:val="00A634DA"/>
    <w:rsid w:val="00A705E2"/>
    <w:rsid w:val="00A7346A"/>
    <w:rsid w:val="00A73BA5"/>
    <w:rsid w:val="00A76258"/>
    <w:rsid w:val="00A925B7"/>
    <w:rsid w:val="00AB13F8"/>
    <w:rsid w:val="00AB3E68"/>
    <w:rsid w:val="00AD438D"/>
    <w:rsid w:val="00AD49F4"/>
    <w:rsid w:val="00AE23A2"/>
    <w:rsid w:val="00AE7894"/>
    <w:rsid w:val="00AF1DF6"/>
    <w:rsid w:val="00AF51CA"/>
    <w:rsid w:val="00B126CC"/>
    <w:rsid w:val="00B20AB3"/>
    <w:rsid w:val="00B25C64"/>
    <w:rsid w:val="00B30BC5"/>
    <w:rsid w:val="00B53F6A"/>
    <w:rsid w:val="00B710E2"/>
    <w:rsid w:val="00B927B5"/>
    <w:rsid w:val="00B932AF"/>
    <w:rsid w:val="00BA1762"/>
    <w:rsid w:val="00BA60B8"/>
    <w:rsid w:val="00BB4569"/>
    <w:rsid w:val="00BF50D8"/>
    <w:rsid w:val="00C01ECC"/>
    <w:rsid w:val="00C034B7"/>
    <w:rsid w:val="00C1370B"/>
    <w:rsid w:val="00C41D8C"/>
    <w:rsid w:val="00C67160"/>
    <w:rsid w:val="00C7425B"/>
    <w:rsid w:val="00C81565"/>
    <w:rsid w:val="00C832F0"/>
    <w:rsid w:val="00CA21E8"/>
    <w:rsid w:val="00CA2EF5"/>
    <w:rsid w:val="00CA5CBE"/>
    <w:rsid w:val="00CA6598"/>
    <w:rsid w:val="00CF17DE"/>
    <w:rsid w:val="00D0484A"/>
    <w:rsid w:val="00D137B9"/>
    <w:rsid w:val="00D20F6C"/>
    <w:rsid w:val="00D50E73"/>
    <w:rsid w:val="00D52F2C"/>
    <w:rsid w:val="00D6434C"/>
    <w:rsid w:val="00D724AF"/>
    <w:rsid w:val="00D76472"/>
    <w:rsid w:val="00D83368"/>
    <w:rsid w:val="00DA4A43"/>
    <w:rsid w:val="00DA4D9B"/>
    <w:rsid w:val="00DA7570"/>
    <w:rsid w:val="00DB08CE"/>
    <w:rsid w:val="00DB6F2C"/>
    <w:rsid w:val="00DB7BA6"/>
    <w:rsid w:val="00DC6826"/>
    <w:rsid w:val="00DC6DCF"/>
    <w:rsid w:val="00DF020B"/>
    <w:rsid w:val="00DF0596"/>
    <w:rsid w:val="00E02127"/>
    <w:rsid w:val="00E05A11"/>
    <w:rsid w:val="00E23FC9"/>
    <w:rsid w:val="00E473F9"/>
    <w:rsid w:val="00E56EE2"/>
    <w:rsid w:val="00E61348"/>
    <w:rsid w:val="00E928CF"/>
    <w:rsid w:val="00E96F34"/>
    <w:rsid w:val="00EA1992"/>
    <w:rsid w:val="00EB0C33"/>
    <w:rsid w:val="00ED661B"/>
    <w:rsid w:val="00F0480C"/>
    <w:rsid w:val="00F15AB5"/>
    <w:rsid w:val="00F20AA7"/>
    <w:rsid w:val="00F21B1C"/>
    <w:rsid w:val="00F27007"/>
    <w:rsid w:val="00F376BF"/>
    <w:rsid w:val="00F51F8B"/>
    <w:rsid w:val="00F55635"/>
    <w:rsid w:val="00F5635A"/>
    <w:rsid w:val="00F8615A"/>
    <w:rsid w:val="00F90D60"/>
    <w:rsid w:val="00F956DA"/>
    <w:rsid w:val="00FC19A6"/>
    <w:rsid w:val="00FD7995"/>
    <w:rsid w:val="00FE28C4"/>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Char Char,Footnote Text Char2 Char,Footnote Text Char2 Char Char Char Char,Footnote Text Char1 Char1 Char1 Char Char Char"/>
    <w:basedOn w:val="Normal"/>
    <w:link w:val="FootnoteTextChar2"/>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ink w:val="FootnoteText"/>
    <w:uiPriority w:val="99"/>
    <w:rsid w:val="003959FC"/>
    <w:rPr>
      <w:rFonts w:ascii="Palatino" w:hAnsi="Palatino"/>
      <w:sz w:val="24"/>
    </w:rPr>
  </w:style>
  <w:style w:type="character" w:customStyle="1" w:styleId="Heading1Char">
    <w:name w:val="Heading 1 Char"/>
    <w:link w:val="Heading1"/>
    <w:rsid w:val="003959FC"/>
    <w:rPr>
      <w:rFonts w:ascii="Helvetica" w:hAnsi="Helvetica"/>
      <w:b/>
      <w:caps/>
      <w:kern w:val="28"/>
      <w:sz w:val="26"/>
      <w:u w:val="single"/>
    </w:rPr>
  </w:style>
  <w:style w:type="character" w:customStyle="1" w:styleId="standardChar">
    <w:name w:val="standard Char"/>
    <w:link w:val="standard"/>
    <w:locked/>
    <w:rsid w:val="003959FC"/>
    <w:rPr>
      <w:rFonts w:ascii="Palatino" w:hAnsi="Palatino"/>
      <w:sz w:val="26"/>
    </w:rPr>
  </w:style>
  <w:style w:type="paragraph" w:styleId="ListBullet">
    <w:name w:val="List Bullet"/>
    <w:basedOn w:val="Normal"/>
    <w:rsid w:val="005C7E5B"/>
    <w:pPr>
      <w:numPr>
        <w:numId w:val="11"/>
      </w:numPr>
      <w:contextualSpacing/>
    </w:pPr>
  </w:style>
  <w:style w:type="table" w:styleId="TableGrid">
    <w:name w:val="Table Grid"/>
    <w:basedOn w:val="TableNormal"/>
    <w:rsid w:val="00D5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18ED"/>
    <w:rPr>
      <w:sz w:val="16"/>
      <w:szCs w:val="16"/>
    </w:rPr>
  </w:style>
  <w:style w:type="paragraph" w:styleId="CommentText">
    <w:name w:val="annotation text"/>
    <w:basedOn w:val="Normal"/>
    <w:link w:val="CommentTextChar"/>
    <w:rsid w:val="009618ED"/>
    <w:rPr>
      <w:sz w:val="20"/>
    </w:rPr>
  </w:style>
  <w:style w:type="character" w:customStyle="1" w:styleId="CommentTextChar">
    <w:name w:val="Comment Text Char"/>
    <w:basedOn w:val="DefaultParagraphFont"/>
    <w:link w:val="CommentText"/>
    <w:rsid w:val="009618ED"/>
    <w:rPr>
      <w:rFonts w:ascii="Palatino" w:hAnsi="Palatino"/>
    </w:rPr>
  </w:style>
  <w:style w:type="paragraph" w:styleId="CommentSubject">
    <w:name w:val="annotation subject"/>
    <w:basedOn w:val="CommentText"/>
    <w:next w:val="CommentText"/>
    <w:link w:val="CommentSubjectChar"/>
    <w:rsid w:val="009618ED"/>
    <w:rPr>
      <w:b/>
      <w:bCs/>
    </w:rPr>
  </w:style>
  <w:style w:type="character" w:customStyle="1" w:styleId="CommentSubjectChar">
    <w:name w:val="Comment Subject Char"/>
    <w:basedOn w:val="CommentTextChar"/>
    <w:link w:val="CommentSubject"/>
    <w:rsid w:val="009618ED"/>
    <w:rPr>
      <w:rFonts w:ascii="Palatino" w:hAnsi="Palatino"/>
      <w:b/>
      <w:bCs/>
    </w:rPr>
  </w:style>
  <w:style w:type="paragraph" w:styleId="BalloonText">
    <w:name w:val="Balloon Text"/>
    <w:basedOn w:val="Normal"/>
    <w:link w:val="BalloonTextChar"/>
    <w:rsid w:val="009618ED"/>
    <w:rPr>
      <w:rFonts w:ascii="Tahoma" w:hAnsi="Tahoma" w:cs="Tahoma"/>
      <w:sz w:val="16"/>
      <w:szCs w:val="16"/>
    </w:rPr>
  </w:style>
  <w:style w:type="character" w:customStyle="1" w:styleId="BalloonTextChar">
    <w:name w:val="Balloon Text Char"/>
    <w:basedOn w:val="DefaultParagraphFont"/>
    <w:link w:val="BalloonText"/>
    <w:rsid w:val="00961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Char Char,Footnote Text Char2 Char,Footnote Text Char2 Char Char Char Char,Footnote Text Char1 Char1 Char1 Char Char Char"/>
    <w:basedOn w:val="Normal"/>
    <w:link w:val="FootnoteTextChar2"/>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ink w:val="FootnoteText"/>
    <w:uiPriority w:val="99"/>
    <w:rsid w:val="003959FC"/>
    <w:rPr>
      <w:rFonts w:ascii="Palatino" w:hAnsi="Palatino"/>
      <w:sz w:val="24"/>
    </w:rPr>
  </w:style>
  <w:style w:type="character" w:customStyle="1" w:styleId="Heading1Char">
    <w:name w:val="Heading 1 Char"/>
    <w:link w:val="Heading1"/>
    <w:rsid w:val="003959FC"/>
    <w:rPr>
      <w:rFonts w:ascii="Helvetica" w:hAnsi="Helvetica"/>
      <w:b/>
      <w:caps/>
      <w:kern w:val="28"/>
      <w:sz w:val="26"/>
      <w:u w:val="single"/>
    </w:rPr>
  </w:style>
  <w:style w:type="character" w:customStyle="1" w:styleId="standardChar">
    <w:name w:val="standard Char"/>
    <w:link w:val="standard"/>
    <w:locked/>
    <w:rsid w:val="003959FC"/>
    <w:rPr>
      <w:rFonts w:ascii="Palatino" w:hAnsi="Palatino"/>
      <w:sz w:val="26"/>
    </w:rPr>
  </w:style>
  <w:style w:type="paragraph" w:styleId="ListBullet">
    <w:name w:val="List Bullet"/>
    <w:basedOn w:val="Normal"/>
    <w:rsid w:val="005C7E5B"/>
    <w:pPr>
      <w:numPr>
        <w:numId w:val="11"/>
      </w:numPr>
      <w:contextualSpacing/>
    </w:pPr>
  </w:style>
  <w:style w:type="table" w:styleId="TableGrid">
    <w:name w:val="Table Grid"/>
    <w:basedOn w:val="TableNormal"/>
    <w:rsid w:val="00D5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18ED"/>
    <w:rPr>
      <w:sz w:val="16"/>
      <w:szCs w:val="16"/>
    </w:rPr>
  </w:style>
  <w:style w:type="paragraph" w:styleId="CommentText">
    <w:name w:val="annotation text"/>
    <w:basedOn w:val="Normal"/>
    <w:link w:val="CommentTextChar"/>
    <w:rsid w:val="009618ED"/>
    <w:rPr>
      <w:sz w:val="20"/>
    </w:rPr>
  </w:style>
  <w:style w:type="character" w:customStyle="1" w:styleId="CommentTextChar">
    <w:name w:val="Comment Text Char"/>
    <w:basedOn w:val="DefaultParagraphFont"/>
    <w:link w:val="CommentText"/>
    <w:rsid w:val="009618ED"/>
    <w:rPr>
      <w:rFonts w:ascii="Palatino" w:hAnsi="Palatino"/>
    </w:rPr>
  </w:style>
  <w:style w:type="paragraph" w:styleId="CommentSubject">
    <w:name w:val="annotation subject"/>
    <w:basedOn w:val="CommentText"/>
    <w:next w:val="CommentText"/>
    <w:link w:val="CommentSubjectChar"/>
    <w:rsid w:val="009618ED"/>
    <w:rPr>
      <w:b/>
      <w:bCs/>
    </w:rPr>
  </w:style>
  <w:style w:type="character" w:customStyle="1" w:styleId="CommentSubjectChar">
    <w:name w:val="Comment Subject Char"/>
    <w:basedOn w:val="CommentTextChar"/>
    <w:link w:val="CommentSubject"/>
    <w:rsid w:val="009618ED"/>
    <w:rPr>
      <w:rFonts w:ascii="Palatino" w:hAnsi="Palatino"/>
      <w:b/>
      <w:bCs/>
    </w:rPr>
  </w:style>
  <w:style w:type="paragraph" w:styleId="BalloonText">
    <w:name w:val="Balloon Text"/>
    <w:basedOn w:val="Normal"/>
    <w:link w:val="BalloonTextChar"/>
    <w:rsid w:val="009618ED"/>
    <w:rPr>
      <w:rFonts w:ascii="Tahoma" w:hAnsi="Tahoma" w:cs="Tahoma"/>
      <w:sz w:val="16"/>
      <w:szCs w:val="16"/>
    </w:rPr>
  </w:style>
  <w:style w:type="character" w:customStyle="1" w:styleId="BalloonTextChar">
    <w:name w:val="Balloon Text Char"/>
    <w:basedOn w:val="DefaultParagraphFont"/>
    <w:link w:val="BalloonText"/>
    <w:rsid w:val="00961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128469939">
      <w:bodyDiv w:val="1"/>
      <w:marLeft w:val="0"/>
      <w:marRight w:val="0"/>
      <w:marTop w:val="0"/>
      <w:marBottom w:val="0"/>
      <w:divBdr>
        <w:top w:val="none" w:sz="0" w:space="0" w:color="auto"/>
        <w:left w:val="none" w:sz="0" w:space="0" w:color="auto"/>
        <w:bottom w:val="none" w:sz="0" w:space="0" w:color="auto"/>
        <w:right w:val="none" w:sz="0" w:space="0" w:color="auto"/>
      </w:divBdr>
    </w:div>
    <w:div w:id="18071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2334</Words>
  <Characters>12684</Characters>
  <Application>Microsoft Office Word</Application>
  <DocSecurity>0</DocSecurity>
  <Lines>303</Lines>
  <Paragraphs>93</Paragraphs>
  <ScaleCrop>false</ScaleCrop>
  <HeadingPairs>
    <vt:vector size="2" baseType="variant">
      <vt:variant>
        <vt:lpstr>Title</vt:lpstr>
      </vt:variant>
      <vt:variant>
        <vt:i4>1</vt:i4>
      </vt:variant>
    </vt:vector>
  </HeadingPairs>
  <TitlesOfParts>
    <vt:vector size="1" baseType="lpstr">
      <vt:lpstr>Resolution Template</vt:lpstr>
    </vt:vector>
  </TitlesOfParts>
  <Manager/>
  <Company/>
  <LinksUpToDate>false</LinksUpToDate>
  <CharactersWithSpaces>15132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2016-05-23T23:42:00Z</cp:lastPrinted>
  <dcterms:created xsi:type="dcterms:W3CDTF">2016-05-27T17:30:00Z</dcterms:created>
  <dcterms:modified xsi:type="dcterms:W3CDTF">2016-05-27T17:30:00Z</dcterms:modified>
  <cp:category> </cp:category>
  <cp:contentStatus> </cp:contentStatus>
</cp:coreProperties>
</file>