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A7" w:rsidRPr="003131AA" w:rsidRDefault="00D700A7" w:rsidP="006A5A14">
      <w:pPr>
        <w:pStyle w:val="Title"/>
        <w:ind w:left="720" w:right="90"/>
        <w:rPr>
          <w:rFonts w:ascii="Palatino Linotype" w:hAnsi="Palatino Linotype"/>
        </w:rPr>
      </w:pPr>
      <w:bookmarkStart w:id="0" w:name="_GoBack"/>
      <w:bookmarkEnd w:id="0"/>
      <w:r w:rsidRPr="003131AA">
        <w:rPr>
          <w:rFonts w:ascii="Palatino Linotype" w:hAnsi="Palatino Linotype"/>
        </w:rPr>
        <w:t>PUBLIC UTILITIES COMMISSION OF THE STATE OF CALIFORNIA</w:t>
      </w:r>
    </w:p>
    <w:p w:rsidR="00D700A7" w:rsidRPr="003131AA" w:rsidRDefault="00D700A7" w:rsidP="006A5A14">
      <w:pPr>
        <w:pStyle w:val="Title"/>
        <w:ind w:left="720" w:right="90"/>
        <w:jc w:val="left"/>
        <w:rPr>
          <w:rFonts w:ascii="Palatino Linotype" w:hAnsi="Palatino Linotype"/>
        </w:rPr>
      </w:pPr>
    </w:p>
    <w:p w:rsidR="00BC4417" w:rsidRPr="003131AA" w:rsidRDefault="006D143F" w:rsidP="00E5309B">
      <w:pPr>
        <w:pStyle w:val="Title"/>
        <w:ind w:left="720" w:right="90"/>
        <w:jc w:val="left"/>
        <w:rPr>
          <w:rFonts w:ascii="Palatino Linotype" w:hAnsi="Palatino Linotype"/>
        </w:rPr>
      </w:pPr>
      <w:r w:rsidRPr="003131AA">
        <w:rPr>
          <w:rFonts w:ascii="Palatino Linotype" w:hAnsi="Palatino Linotype"/>
        </w:rPr>
        <w:t>Communications Division</w:t>
      </w:r>
      <w:r w:rsidRPr="003131AA">
        <w:rPr>
          <w:rFonts w:ascii="Palatino Linotype" w:hAnsi="Palatino Linotype"/>
        </w:rPr>
        <w:tab/>
      </w:r>
      <w:r w:rsidRPr="003131AA">
        <w:rPr>
          <w:rFonts w:ascii="Palatino Linotype" w:hAnsi="Palatino Linotype"/>
        </w:rPr>
        <w:tab/>
      </w:r>
      <w:r w:rsidRPr="003131AA">
        <w:rPr>
          <w:rFonts w:ascii="Palatino Linotype" w:hAnsi="Palatino Linotype"/>
        </w:rPr>
        <w:tab/>
      </w:r>
      <w:r w:rsidR="003131AA">
        <w:rPr>
          <w:rFonts w:ascii="Palatino Linotype" w:hAnsi="Palatino Linotype"/>
        </w:rPr>
        <w:t xml:space="preserve">   </w:t>
      </w:r>
      <w:r w:rsidR="007645CA" w:rsidRPr="003131AA">
        <w:rPr>
          <w:rFonts w:ascii="Palatino Linotype" w:hAnsi="Palatino Linotype"/>
        </w:rPr>
        <w:tab/>
      </w:r>
      <w:r w:rsidR="00542FD4" w:rsidRPr="003131AA">
        <w:rPr>
          <w:rFonts w:ascii="Palatino Linotype" w:hAnsi="Palatino Linotype"/>
        </w:rPr>
        <w:t xml:space="preserve"> </w:t>
      </w:r>
      <w:r w:rsidR="009E5188" w:rsidRPr="003131AA">
        <w:rPr>
          <w:rFonts w:ascii="Palatino Linotype" w:hAnsi="Palatino Linotype"/>
        </w:rPr>
        <w:t xml:space="preserve">      </w:t>
      </w:r>
      <w:r w:rsidR="007F7485" w:rsidRPr="003131AA">
        <w:rPr>
          <w:rFonts w:ascii="Palatino Linotype" w:hAnsi="Palatino Linotype"/>
        </w:rPr>
        <w:t xml:space="preserve">     </w:t>
      </w:r>
      <w:r w:rsidR="003131AA">
        <w:rPr>
          <w:rFonts w:ascii="Palatino Linotype" w:hAnsi="Palatino Linotype"/>
        </w:rPr>
        <w:t xml:space="preserve">          </w:t>
      </w:r>
      <w:r w:rsidR="00B164F5" w:rsidRPr="003131AA">
        <w:rPr>
          <w:rFonts w:ascii="Palatino Linotype" w:hAnsi="Palatino Linotype"/>
        </w:rPr>
        <w:t xml:space="preserve">  </w:t>
      </w:r>
      <w:r w:rsidRPr="003131AA">
        <w:rPr>
          <w:rFonts w:ascii="Palatino Linotype" w:hAnsi="Palatino Linotype"/>
        </w:rPr>
        <w:t>Resolution T-</w:t>
      </w:r>
      <w:r w:rsidR="00D8156C" w:rsidRPr="003131AA">
        <w:rPr>
          <w:rFonts w:ascii="Palatino Linotype" w:hAnsi="Palatino Linotype"/>
        </w:rPr>
        <w:t>175</w:t>
      </w:r>
      <w:r w:rsidR="00BA186B">
        <w:rPr>
          <w:rFonts w:ascii="Palatino Linotype" w:hAnsi="Palatino Linotype"/>
        </w:rPr>
        <w:t>26</w:t>
      </w:r>
    </w:p>
    <w:p w:rsidR="007645CA" w:rsidRPr="003131AA" w:rsidRDefault="00BC4417">
      <w:pPr>
        <w:pStyle w:val="Title"/>
        <w:ind w:left="720" w:right="90"/>
        <w:jc w:val="left"/>
        <w:rPr>
          <w:rFonts w:ascii="Palatino Linotype" w:hAnsi="Palatino Linotype"/>
        </w:rPr>
      </w:pPr>
      <w:r w:rsidRPr="003131AA">
        <w:rPr>
          <w:rFonts w:ascii="Palatino Linotype" w:hAnsi="Palatino Linotype"/>
        </w:rPr>
        <w:t>Carrier Oversight &amp; Programs Branch</w:t>
      </w:r>
      <w:r w:rsidR="005819A0" w:rsidRPr="003131AA">
        <w:rPr>
          <w:rFonts w:ascii="Palatino Linotype" w:hAnsi="Palatino Linotype"/>
        </w:rPr>
        <w:tab/>
      </w:r>
      <w:r w:rsidR="005819A0" w:rsidRPr="003131AA">
        <w:rPr>
          <w:rFonts w:ascii="Palatino Linotype" w:hAnsi="Palatino Linotype"/>
        </w:rPr>
        <w:tab/>
      </w:r>
      <w:r w:rsidR="005819A0" w:rsidRPr="003131AA">
        <w:rPr>
          <w:rFonts w:ascii="Palatino Linotype" w:hAnsi="Palatino Linotype"/>
        </w:rPr>
        <w:tab/>
      </w:r>
      <w:r w:rsidR="00D56539">
        <w:rPr>
          <w:rFonts w:ascii="Palatino Linotype" w:hAnsi="Palatino Linotype"/>
        </w:rPr>
        <w:t xml:space="preserve">                    </w:t>
      </w:r>
      <w:r w:rsidR="000F7A0D">
        <w:rPr>
          <w:rFonts w:ascii="Palatino Linotype" w:hAnsi="Palatino Linotype"/>
        </w:rPr>
        <w:t xml:space="preserve">    </w:t>
      </w:r>
      <w:r w:rsidR="00AA2166">
        <w:rPr>
          <w:rFonts w:ascii="Palatino Linotype" w:hAnsi="Palatino Linotype"/>
        </w:rPr>
        <w:t xml:space="preserve">       </w:t>
      </w:r>
      <w:r w:rsidR="000F7A0D">
        <w:rPr>
          <w:rFonts w:ascii="Palatino Linotype" w:hAnsi="Palatino Linotype"/>
        </w:rPr>
        <w:t>August</w:t>
      </w:r>
      <w:r w:rsidR="000F7A0D" w:rsidRPr="003131AA">
        <w:rPr>
          <w:rFonts w:ascii="Palatino Linotype" w:hAnsi="Palatino Linotype"/>
        </w:rPr>
        <w:t xml:space="preserve"> </w:t>
      </w:r>
      <w:r w:rsidR="00576E3E">
        <w:rPr>
          <w:rFonts w:ascii="Palatino Linotype" w:hAnsi="Palatino Linotype"/>
        </w:rPr>
        <w:t>1</w:t>
      </w:r>
      <w:r w:rsidR="000F7A0D">
        <w:rPr>
          <w:rFonts w:ascii="Palatino Linotype" w:hAnsi="Palatino Linotype"/>
        </w:rPr>
        <w:t>8</w:t>
      </w:r>
      <w:r w:rsidR="0048045A" w:rsidRPr="003131AA">
        <w:rPr>
          <w:rFonts w:ascii="Palatino Linotype" w:hAnsi="Palatino Linotype"/>
        </w:rPr>
        <w:t>, 201</w:t>
      </w:r>
      <w:r w:rsidR="003200C0" w:rsidRPr="003131AA">
        <w:rPr>
          <w:rFonts w:ascii="Palatino Linotype" w:hAnsi="Palatino Linotype"/>
        </w:rPr>
        <w:t>6</w:t>
      </w:r>
    </w:p>
    <w:p w:rsidR="008830FA" w:rsidRDefault="008830FA" w:rsidP="006A5A14">
      <w:pPr>
        <w:pStyle w:val="Title"/>
        <w:ind w:left="720" w:right="90"/>
        <w:rPr>
          <w:rFonts w:ascii="Palatino Linotype" w:hAnsi="Palatino Linotype"/>
          <w:sz w:val="26"/>
          <w:szCs w:val="26"/>
          <w:u w:val="single"/>
        </w:rPr>
      </w:pPr>
    </w:p>
    <w:p w:rsidR="00D700A7" w:rsidRPr="00012550" w:rsidRDefault="00D700A7" w:rsidP="006A5A14">
      <w:pPr>
        <w:pStyle w:val="Title"/>
        <w:ind w:left="720" w:right="90"/>
        <w:rPr>
          <w:rFonts w:ascii="Palatino Linotype" w:hAnsi="Palatino Linotype"/>
          <w:sz w:val="26"/>
          <w:szCs w:val="26"/>
          <w:u w:val="single"/>
        </w:rPr>
      </w:pPr>
      <w:r w:rsidRPr="00012550">
        <w:rPr>
          <w:rFonts w:ascii="Palatino Linotype" w:hAnsi="Palatino Linotype"/>
          <w:sz w:val="26"/>
          <w:szCs w:val="26"/>
          <w:u w:val="single"/>
        </w:rPr>
        <w:t>R E S O L U T I O N</w:t>
      </w:r>
    </w:p>
    <w:p w:rsidR="00D700A7" w:rsidRPr="00C364ED" w:rsidRDefault="00D700A7" w:rsidP="006A5A14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</w:p>
    <w:p w:rsidR="00B25997" w:rsidRPr="00A25B26" w:rsidRDefault="00D700A7" w:rsidP="00EA3ADB">
      <w:pPr>
        <w:ind w:left="720"/>
        <w:rPr>
          <w:rFonts w:ascii="Palatino Linotype" w:hAnsi="Palatino Linotype"/>
        </w:rPr>
      </w:pPr>
      <w:proofErr w:type="gramStart"/>
      <w:r w:rsidRPr="00A25B26">
        <w:rPr>
          <w:rFonts w:ascii="Palatino Linotype" w:hAnsi="Palatino Linotype"/>
          <w:b/>
        </w:rPr>
        <w:t>Resolution T-</w:t>
      </w:r>
      <w:r w:rsidR="00D8156C" w:rsidRPr="00A25B26">
        <w:rPr>
          <w:rFonts w:ascii="Palatino Linotype" w:hAnsi="Palatino Linotype"/>
          <w:b/>
        </w:rPr>
        <w:t>175</w:t>
      </w:r>
      <w:r w:rsidR="00BA186B" w:rsidRPr="00A25B26">
        <w:rPr>
          <w:rFonts w:ascii="Palatino Linotype" w:hAnsi="Palatino Linotype"/>
          <w:b/>
        </w:rPr>
        <w:t>26</w:t>
      </w:r>
      <w:r w:rsidR="00F4434C" w:rsidRPr="00A25B26">
        <w:rPr>
          <w:rFonts w:ascii="Palatino Linotype" w:hAnsi="Palatino Linotype"/>
          <w:b/>
        </w:rPr>
        <w:t>.</w:t>
      </w:r>
      <w:proofErr w:type="gramEnd"/>
      <w:r w:rsidR="00F4434C" w:rsidRPr="00A25B26">
        <w:rPr>
          <w:rFonts w:ascii="Palatino Linotype" w:hAnsi="Palatino Linotype"/>
          <w:b/>
        </w:rPr>
        <w:t xml:space="preserve"> </w:t>
      </w:r>
      <w:r w:rsidR="002C5D79" w:rsidRPr="00A25B26">
        <w:rPr>
          <w:rFonts w:ascii="Palatino Linotype" w:hAnsi="Palatino Linotype"/>
        </w:rPr>
        <w:t xml:space="preserve">This Resolution </w:t>
      </w:r>
      <w:r w:rsidR="00B25997" w:rsidRPr="00A25B26">
        <w:rPr>
          <w:rFonts w:ascii="Palatino Linotype" w:hAnsi="Palatino Linotype"/>
        </w:rPr>
        <w:t xml:space="preserve">approves Cox California </w:t>
      </w:r>
      <w:proofErr w:type="spellStart"/>
      <w:r w:rsidR="00B25997" w:rsidRPr="00A25B26">
        <w:rPr>
          <w:rFonts w:ascii="Palatino Linotype" w:hAnsi="Palatino Linotype"/>
        </w:rPr>
        <w:t>Telcom</w:t>
      </w:r>
      <w:proofErr w:type="spellEnd"/>
      <w:r w:rsidR="00B25997" w:rsidRPr="00A25B26">
        <w:rPr>
          <w:rFonts w:ascii="Palatino Linotype" w:hAnsi="Palatino Linotype"/>
        </w:rPr>
        <w:t xml:space="preserve">, LLC’s </w:t>
      </w:r>
      <w:r w:rsidR="00A02D28" w:rsidRPr="00A25B26">
        <w:rPr>
          <w:rFonts w:ascii="Palatino Linotype" w:hAnsi="Palatino Linotype"/>
        </w:rPr>
        <w:t xml:space="preserve">(U-5684-C) </w:t>
      </w:r>
      <w:r w:rsidR="00B25997" w:rsidRPr="00A25B26">
        <w:rPr>
          <w:rFonts w:ascii="Palatino Linotype" w:hAnsi="Palatino Linotype"/>
        </w:rPr>
        <w:t xml:space="preserve">advice letter request to </w:t>
      </w:r>
      <w:r w:rsidR="00295EFC" w:rsidRPr="00A25B26">
        <w:rPr>
          <w:rFonts w:ascii="Palatino Linotype" w:hAnsi="Palatino Linotype"/>
        </w:rPr>
        <w:t>opt out of</w:t>
      </w:r>
      <w:r w:rsidR="00B25997" w:rsidRPr="00A25B26">
        <w:rPr>
          <w:rFonts w:ascii="Palatino Linotype" w:hAnsi="Palatino Linotype"/>
        </w:rPr>
        <w:t xml:space="preserve"> its Carrier of Last Resort (COLR) </w:t>
      </w:r>
      <w:r w:rsidR="00295EFC" w:rsidRPr="00A25B26">
        <w:rPr>
          <w:rFonts w:ascii="Palatino Linotype" w:hAnsi="Palatino Linotype"/>
        </w:rPr>
        <w:t>responsibilities</w:t>
      </w:r>
      <w:r w:rsidR="00B25997" w:rsidRPr="00A25B26">
        <w:rPr>
          <w:rFonts w:ascii="Palatino Linotype" w:hAnsi="Palatino Linotype"/>
        </w:rPr>
        <w:t xml:space="preserve"> as well as </w:t>
      </w:r>
      <w:r w:rsidR="00576E3E">
        <w:rPr>
          <w:rFonts w:ascii="Palatino Linotype" w:hAnsi="Palatino Linotype"/>
        </w:rPr>
        <w:t>to discontinue</w:t>
      </w:r>
      <w:r w:rsidR="00576E3E" w:rsidRPr="00A25B26">
        <w:rPr>
          <w:rFonts w:ascii="Palatino Linotype" w:hAnsi="Palatino Linotype"/>
        </w:rPr>
        <w:t xml:space="preserve"> </w:t>
      </w:r>
      <w:r w:rsidR="00B25997" w:rsidRPr="00A25B26">
        <w:rPr>
          <w:rFonts w:ascii="Palatino Linotype" w:hAnsi="Palatino Linotype"/>
        </w:rPr>
        <w:t>receiving California High Cost Fund</w:t>
      </w:r>
      <w:r w:rsidR="00930F7A">
        <w:rPr>
          <w:rFonts w:ascii="Palatino Linotype" w:hAnsi="Palatino Linotype"/>
        </w:rPr>
        <w:t>-</w:t>
      </w:r>
      <w:r w:rsidR="00B25997" w:rsidRPr="00A25B26">
        <w:rPr>
          <w:rFonts w:ascii="Palatino Linotype" w:hAnsi="Palatino Linotype"/>
        </w:rPr>
        <w:t>B (CHCF-B) su</w:t>
      </w:r>
      <w:r w:rsidR="00295EFC" w:rsidRPr="00A25B26">
        <w:rPr>
          <w:rFonts w:ascii="Palatino Linotype" w:hAnsi="Palatino Linotype"/>
        </w:rPr>
        <w:t xml:space="preserve">pport </w:t>
      </w:r>
      <w:r w:rsidR="00B25997" w:rsidRPr="00A25B26">
        <w:rPr>
          <w:rFonts w:ascii="Palatino Linotype" w:hAnsi="Palatino Linotype"/>
        </w:rPr>
        <w:t xml:space="preserve">for </w:t>
      </w:r>
      <w:r w:rsidR="00C70174" w:rsidRPr="00A25B26">
        <w:rPr>
          <w:rFonts w:ascii="Palatino Linotype" w:hAnsi="Palatino Linotype"/>
        </w:rPr>
        <w:t>providing</w:t>
      </w:r>
      <w:r w:rsidR="00295EFC" w:rsidRPr="00A25B26">
        <w:rPr>
          <w:rFonts w:ascii="Palatino Linotype" w:hAnsi="Palatino Linotype"/>
        </w:rPr>
        <w:t xml:space="preserve"> </w:t>
      </w:r>
      <w:r w:rsidR="00B25997" w:rsidRPr="00A25B26">
        <w:rPr>
          <w:rFonts w:ascii="Palatino Linotype" w:hAnsi="Palatino Linotype"/>
        </w:rPr>
        <w:t xml:space="preserve">service </w:t>
      </w:r>
      <w:r w:rsidR="00C70174" w:rsidRPr="00A25B26">
        <w:rPr>
          <w:rFonts w:ascii="Palatino Linotype" w:hAnsi="Palatino Linotype"/>
        </w:rPr>
        <w:t xml:space="preserve">in high cost service </w:t>
      </w:r>
      <w:r w:rsidR="00B25997" w:rsidRPr="00A25B26">
        <w:rPr>
          <w:rFonts w:ascii="Palatino Linotype" w:hAnsi="Palatino Linotype"/>
        </w:rPr>
        <w:t>territories in Orange and San Diego Counties.</w:t>
      </w:r>
    </w:p>
    <w:p w:rsidR="002C5D79" w:rsidRPr="00A25B26" w:rsidRDefault="002C5D79" w:rsidP="00272E69">
      <w:pPr>
        <w:pStyle w:val="Title"/>
        <w:ind w:left="720" w:right="-4"/>
        <w:jc w:val="left"/>
        <w:rPr>
          <w:rFonts w:ascii="Palatino Linotype" w:hAnsi="Palatino Linotype"/>
          <w:b w:val="0"/>
        </w:rPr>
      </w:pPr>
    </w:p>
    <w:p w:rsidR="00D700A7" w:rsidRPr="00A25B26" w:rsidRDefault="00D700A7" w:rsidP="006A5A14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  <w:r w:rsidRPr="00A25B26">
        <w:rPr>
          <w:rFonts w:ascii="Palatino Linotype" w:hAnsi="Palatino Linotype"/>
          <w:b w:val="0"/>
        </w:rPr>
        <w:t xml:space="preserve">By Advice Letter </w:t>
      </w:r>
      <w:r w:rsidR="00B25997" w:rsidRPr="00A25B26">
        <w:rPr>
          <w:rFonts w:ascii="Palatino Linotype" w:hAnsi="Palatino Linotype"/>
          <w:b w:val="0"/>
        </w:rPr>
        <w:t xml:space="preserve">1442 </w:t>
      </w:r>
      <w:r w:rsidR="00B64F13" w:rsidRPr="00A25B26">
        <w:rPr>
          <w:rFonts w:ascii="Palatino Linotype" w:hAnsi="Palatino Linotype"/>
          <w:b w:val="0"/>
        </w:rPr>
        <w:t xml:space="preserve">filed </w:t>
      </w:r>
      <w:r w:rsidR="0091330C" w:rsidRPr="00A25B26">
        <w:rPr>
          <w:rFonts w:ascii="Palatino Linotype" w:hAnsi="Palatino Linotype"/>
          <w:b w:val="0"/>
        </w:rPr>
        <w:t xml:space="preserve">on </w:t>
      </w:r>
      <w:r w:rsidR="00B25997" w:rsidRPr="00A25B26">
        <w:rPr>
          <w:rFonts w:ascii="Palatino Linotype" w:hAnsi="Palatino Linotype"/>
          <w:b w:val="0"/>
        </w:rPr>
        <w:t>May 16, 2016</w:t>
      </w:r>
      <w:r w:rsidR="0091330C" w:rsidRPr="00A25B26">
        <w:rPr>
          <w:rFonts w:ascii="Palatino Linotype" w:hAnsi="Palatino Linotype"/>
          <w:b w:val="0"/>
        </w:rPr>
        <w:t xml:space="preserve">. </w:t>
      </w:r>
    </w:p>
    <w:p w:rsidR="00D700A7" w:rsidRPr="00A25B26" w:rsidRDefault="00D700A7" w:rsidP="006A5A14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  <w:r w:rsidRPr="00A25B26">
        <w:rPr>
          <w:rFonts w:ascii="Palatino Linotype" w:hAnsi="Palatino Linotype"/>
          <w:b w:val="0"/>
        </w:rPr>
        <w:t xml:space="preserve"> _____________________________________________________________________________</w:t>
      </w:r>
    </w:p>
    <w:p w:rsidR="00D700A7" w:rsidRPr="00A25B26" w:rsidRDefault="00D700A7" w:rsidP="006A5A14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</w:p>
    <w:p w:rsidR="00D700A7" w:rsidRPr="00A25B26" w:rsidRDefault="00D700A7" w:rsidP="006A5A14">
      <w:pPr>
        <w:pStyle w:val="Title"/>
        <w:ind w:left="720" w:right="90"/>
        <w:jc w:val="left"/>
        <w:rPr>
          <w:rFonts w:ascii="Palatino Linotype" w:hAnsi="Palatino Linotype"/>
          <w:sz w:val="26"/>
          <w:szCs w:val="26"/>
        </w:rPr>
      </w:pPr>
      <w:r w:rsidRPr="00A25B26">
        <w:rPr>
          <w:rFonts w:ascii="Palatino Linotype" w:hAnsi="Palatino Linotype"/>
          <w:sz w:val="26"/>
          <w:szCs w:val="26"/>
        </w:rPr>
        <w:t>Summary</w:t>
      </w:r>
    </w:p>
    <w:p w:rsidR="00D700A7" w:rsidRPr="00A25B26" w:rsidRDefault="00D700A7" w:rsidP="006A5A14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</w:p>
    <w:p w:rsidR="00555964" w:rsidRPr="00A25B26" w:rsidRDefault="002639D8" w:rsidP="002639D8">
      <w:pPr>
        <w:ind w:left="720"/>
        <w:rPr>
          <w:rFonts w:ascii="Palatino Linotype" w:hAnsi="Palatino Linotype"/>
        </w:rPr>
      </w:pPr>
      <w:r w:rsidRPr="00A25B26">
        <w:rPr>
          <w:rFonts w:ascii="Palatino Linotype" w:hAnsi="Palatino Linotype"/>
        </w:rPr>
        <w:t xml:space="preserve">Cox California </w:t>
      </w:r>
      <w:proofErr w:type="spellStart"/>
      <w:r w:rsidRPr="00A25B26">
        <w:rPr>
          <w:rFonts w:ascii="Palatino Linotype" w:hAnsi="Palatino Linotype"/>
        </w:rPr>
        <w:t>Telcom</w:t>
      </w:r>
      <w:proofErr w:type="spellEnd"/>
      <w:r w:rsidRPr="00A25B26">
        <w:rPr>
          <w:rFonts w:ascii="Palatino Linotype" w:hAnsi="Palatino Linotype"/>
        </w:rPr>
        <w:t>, LLC</w:t>
      </w:r>
      <w:r w:rsidR="00555964" w:rsidRPr="00A25B26">
        <w:rPr>
          <w:rFonts w:ascii="Palatino Linotype" w:hAnsi="Palatino Linotype"/>
        </w:rPr>
        <w:t xml:space="preserve"> </w:t>
      </w:r>
      <w:r w:rsidR="00F03957" w:rsidRPr="00A25B26">
        <w:rPr>
          <w:rFonts w:ascii="Palatino Linotype" w:hAnsi="Palatino Linotype"/>
        </w:rPr>
        <w:t xml:space="preserve">(Cox) </w:t>
      </w:r>
      <w:r w:rsidR="00555964" w:rsidRPr="00A25B26">
        <w:rPr>
          <w:rFonts w:ascii="Palatino Linotype" w:hAnsi="Palatino Linotype"/>
        </w:rPr>
        <w:t xml:space="preserve">filed </w:t>
      </w:r>
      <w:r w:rsidR="00576E3E">
        <w:rPr>
          <w:rFonts w:ascii="Palatino Linotype" w:hAnsi="Palatino Linotype"/>
        </w:rPr>
        <w:t>a T</w:t>
      </w:r>
      <w:r w:rsidR="00576E3E" w:rsidRPr="00A25B26">
        <w:rPr>
          <w:rFonts w:ascii="Palatino Linotype" w:hAnsi="Palatino Linotype"/>
        </w:rPr>
        <w:t xml:space="preserve">ier </w:t>
      </w:r>
      <w:r w:rsidR="009C1261" w:rsidRPr="00A25B26">
        <w:rPr>
          <w:rFonts w:ascii="Palatino Linotype" w:hAnsi="Palatino Linotype"/>
        </w:rPr>
        <w:t xml:space="preserve">2 </w:t>
      </w:r>
      <w:r w:rsidR="00555964" w:rsidRPr="00A25B26">
        <w:rPr>
          <w:rFonts w:ascii="Palatino Linotype" w:hAnsi="Palatino Linotype"/>
        </w:rPr>
        <w:t xml:space="preserve">advice letter </w:t>
      </w:r>
      <w:r w:rsidR="008C4C14">
        <w:rPr>
          <w:rFonts w:ascii="Palatino Linotype" w:hAnsi="Palatino Linotype"/>
        </w:rPr>
        <w:t xml:space="preserve">(AL) </w:t>
      </w:r>
      <w:r w:rsidR="00555964" w:rsidRPr="00A25B26">
        <w:rPr>
          <w:rFonts w:ascii="Palatino Linotype" w:hAnsi="Palatino Linotype"/>
        </w:rPr>
        <w:t xml:space="preserve">1442 on May 16, 2016 to </w:t>
      </w:r>
      <w:r w:rsidRPr="00A25B26">
        <w:rPr>
          <w:rFonts w:ascii="Palatino Linotype" w:hAnsi="Palatino Linotype"/>
        </w:rPr>
        <w:t xml:space="preserve">request </w:t>
      </w:r>
      <w:r w:rsidR="00576E3E">
        <w:rPr>
          <w:rFonts w:ascii="Palatino Linotype" w:hAnsi="Palatino Linotype"/>
        </w:rPr>
        <w:t>C</w:t>
      </w:r>
      <w:r w:rsidR="00576E3E" w:rsidRPr="00A25B26">
        <w:rPr>
          <w:rFonts w:ascii="Palatino Linotype" w:hAnsi="Palatino Linotype"/>
        </w:rPr>
        <w:t xml:space="preserve">ommission </w:t>
      </w:r>
      <w:r w:rsidR="00555964" w:rsidRPr="00A25B26">
        <w:rPr>
          <w:rFonts w:ascii="Palatino Linotype" w:hAnsi="Palatino Linotype"/>
        </w:rPr>
        <w:t xml:space="preserve">authority </w:t>
      </w:r>
      <w:r w:rsidRPr="00A25B26">
        <w:rPr>
          <w:rFonts w:ascii="Palatino Linotype" w:hAnsi="Palatino Linotype"/>
        </w:rPr>
        <w:t xml:space="preserve">to </w:t>
      </w:r>
      <w:r w:rsidR="00555964" w:rsidRPr="00A25B26">
        <w:rPr>
          <w:rFonts w:ascii="Palatino Linotype" w:hAnsi="Palatino Linotype"/>
        </w:rPr>
        <w:t>opt out of its</w:t>
      </w:r>
      <w:r w:rsidRPr="00A25B26">
        <w:rPr>
          <w:rFonts w:ascii="Palatino Linotype" w:hAnsi="Palatino Linotype"/>
        </w:rPr>
        <w:t xml:space="preserve"> Carrier of Last Resort (COLR)</w:t>
      </w:r>
      <w:r w:rsidR="00576E3E">
        <w:rPr>
          <w:rStyle w:val="FootnoteReference"/>
          <w:rFonts w:ascii="Palatino Linotype" w:hAnsi="Palatino Linotype"/>
        </w:rPr>
        <w:footnoteReference w:id="1"/>
      </w:r>
      <w:r w:rsidRPr="00A25B26">
        <w:rPr>
          <w:rFonts w:ascii="Palatino Linotype" w:hAnsi="Palatino Linotype"/>
        </w:rPr>
        <w:t xml:space="preserve"> </w:t>
      </w:r>
      <w:r w:rsidR="00555964" w:rsidRPr="00A25B26">
        <w:rPr>
          <w:rFonts w:ascii="Palatino Linotype" w:hAnsi="Palatino Linotype"/>
        </w:rPr>
        <w:t>responsibilities</w:t>
      </w:r>
      <w:r w:rsidRPr="00A25B26">
        <w:rPr>
          <w:rFonts w:ascii="Palatino Linotype" w:hAnsi="Palatino Linotype"/>
        </w:rPr>
        <w:t xml:space="preserve"> as well as </w:t>
      </w:r>
      <w:r w:rsidR="00F03957" w:rsidRPr="00A25B26">
        <w:rPr>
          <w:rFonts w:ascii="Palatino Linotype" w:hAnsi="Palatino Linotype"/>
        </w:rPr>
        <w:t xml:space="preserve">to </w:t>
      </w:r>
      <w:r w:rsidR="00576E3E">
        <w:rPr>
          <w:rFonts w:ascii="Palatino Linotype" w:hAnsi="Palatino Linotype"/>
        </w:rPr>
        <w:t>discontinue</w:t>
      </w:r>
      <w:r w:rsidR="00576E3E" w:rsidRPr="00A25B26">
        <w:rPr>
          <w:rFonts w:ascii="Palatino Linotype" w:hAnsi="Palatino Linotype"/>
        </w:rPr>
        <w:t xml:space="preserve"> </w:t>
      </w:r>
      <w:r w:rsidRPr="00A25B26">
        <w:rPr>
          <w:rFonts w:ascii="Palatino Linotype" w:hAnsi="Palatino Linotype"/>
        </w:rPr>
        <w:t>receiving California High Cost Fund B (CHCF-B) su</w:t>
      </w:r>
      <w:r w:rsidR="009C1261" w:rsidRPr="00A25B26">
        <w:rPr>
          <w:rFonts w:ascii="Palatino Linotype" w:hAnsi="Palatino Linotype"/>
        </w:rPr>
        <w:t xml:space="preserve">pport </w:t>
      </w:r>
      <w:r w:rsidRPr="00A25B26">
        <w:rPr>
          <w:rFonts w:ascii="Palatino Linotype" w:hAnsi="Palatino Linotype"/>
        </w:rPr>
        <w:t xml:space="preserve">for </w:t>
      </w:r>
      <w:r w:rsidR="009C1261" w:rsidRPr="00A25B26">
        <w:rPr>
          <w:rFonts w:ascii="Palatino Linotype" w:hAnsi="Palatino Linotype"/>
        </w:rPr>
        <w:t xml:space="preserve">providing </w:t>
      </w:r>
      <w:r w:rsidRPr="00A25B26">
        <w:rPr>
          <w:rFonts w:ascii="Palatino Linotype" w:hAnsi="Palatino Linotype"/>
        </w:rPr>
        <w:t xml:space="preserve">service </w:t>
      </w:r>
      <w:r w:rsidR="00555964" w:rsidRPr="00A25B26">
        <w:rPr>
          <w:rFonts w:ascii="Palatino Linotype" w:hAnsi="Palatino Linotype"/>
        </w:rPr>
        <w:t xml:space="preserve">in 18 </w:t>
      </w:r>
      <w:r w:rsidR="00F03957" w:rsidRPr="00A25B26">
        <w:rPr>
          <w:rFonts w:ascii="Palatino Linotype" w:hAnsi="Palatino Linotype"/>
        </w:rPr>
        <w:t xml:space="preserve">high cost </w:t>
      </w:r>
      <w:r w:rsidR="00555964" w:rsidRPr="00A25B26">
        <w:rPr>
          <w:rFonts w:ascii="Palatino Linotype" w:hAnsi="Palatino Linotype"/>
        </w:rPr>
        <w:t>census block groups (CBG</w:t>
      </w:r>
      <w:r w:rsidR="00984A9C" w:rsidRPr="00A25B26">
        <w:rPr>
          <w:rFonts w:ascii="Palatino Linotype" w:hAnsi="Palatino Linotype"/>
        </w:rPr>
        <w:t>s</w:t>
      </w:r>
      <w:r w:rsidR="00555964" w:rsidRPr="00A25B26">
        <w:rPr>
          <w:rFonts w:ascii="Palatino Linotype" w:hAnsi="Palatino Linotype"/>
        </w:rPr>
        <w:t>)</w:t>
      </w:r>
      <w:r w:rsidR="003E5BFE" w:rsidRPr="00A25B26">
        <w:rPr>
          <w:rStyle w:val="FootnoteReference"/>
          <w:rFonts w:ascii="Palatino Linotype" w:hAnsi="Palatino Linotype"/>
        </w:rPr>
        <w:footnoteReference w:id="2"/>
      </w:r>
      <w:r w:rsidR="00555964" w:rsidRPr="00A25B26">
        <w:rPr>
          <w:rFonts w:ascii="Palatino Linotype" w:hAnsi="Palatino Linotype"/>
        </w:rPr>
        <w:t xml:space="preserve"> </w:t>
      </w:r>
      <w:r w:rsidRPr="00A25B26">
        <w:rPr>
          <w:rFonts w:ascii="Palatino Linotype" w:hAnsi="Palatino Linotype"/>
        </w:rPr>
        <w:t>in Orange and San Diego Counties</w:t>
      </w:r>
      <w:r w:rsidR="00BA2016" w:rsidRPr="00A25B26">
        <w:rPr>
          <w:rFonts w:ascii="Palatino Linotype" w:hAnsi="Palatino Linotype"/>
        </w:rPr>
        <w:t xml:space="preserve">. </w:t>
      </w:r>
      <w:r w:rsidR="00984A9C" w:rsidRPr="00A25B26">
        <w:rPr>
          <w:rFonts w:ascii="Palatino Linotype" w:hAnsi="Palatino Linotype"/>
        </w:rPr>
        <w:t xml:space="preserve">Cox states that it will continue to provide basic </w:t>
      </w:r>
      <w:r w:rsidR="009C1261" w:rsidRPr="00A25B26">
        <w:rPr>
          <w:rFonts w:ascii="Palatino Linotype" w:hAnsi="Palatino Linotype"/>
        </w:rPr>
        <w:t xml:space="preserve">and other </w:t>
      </w:r>
      <w:r w:rsidR="00984A9C" w:rsidRPr="00A25B26">
        <w:rPr>
          <w:rFonts w:ascii="Palatino Linotype" w:hAnsi="Palatino Linotype"/>
        </w:rPr>
        <w:t>service</w:t>
      </w:r>
      <w:r w:rsidR="009C1261" w:rsidRPr="00A25B26">
        <w:rPr>
          <w:rFonts w:ascii="Palatino Linotype" w:hAnsi="Palatino Linotype"/>
        </w:rPr>
        <w:t>s</w:t>
      </w:r>
      <w:r w:rsidR="00984A9C" w:rsidRPr="00A25B26">
        <w:rPr>
          <w:rFonts w:ascii="Palatino Linotype" w:hAnsi="Palatino Linotype"/>
        </w:rPr>
        <w:t xml:space="preserve"> to its </w:t>
      </w:r>
      <w:r w:rsidR="00576E3E">
        <w:rPr>
          <w:rFonts w:ascii="Palatino Linotype" w:hAnsi="Palatino Linotype"/>
        </w:rPr>
        <w:t>existing</w:t>
      </w:r>
      <w:r w:rsidR="00576E3E" w:rsidRPr="00A25B26">
        <w:rPr>
          <w:rFonts w:ascii="Palatino Linotype" w:hAnsi="Palatino Linotype"/>
        </w:rPr>
        <w:t xml:space="preserve"> </w:t>
      </w:r>
      <w:r w:rsidR="00984A9C" w:rsidRPr="00A25B26">
        <w:rPr>
          <w:rFonts w:ascii="Palatino Linotype" w:hAnsi="Palatino Linotype"/>
        </w:rPr>
        <w:t xml:space="preserve">customers in </w:t>
      </w:r>
      <w:r w:rsidR="002C0835">
        <w:rPr>
          <w:rFonts w:ascii="Palatino Linotype" w:hAnsi="Palatino Linotype"/>
        </w:rPr>
        <w:t>these</w:t>
      </w:r>
      <w:r w:rsidR="00984A9C" w:rsidRPr="00A25B26">
        <w:rPr>
          <w:rFonts w:ascii="Palatino Linotype" w:hAnsi="Palatino Linotype"/>
        </w:rPr>
        <w:t xml:space="preserve"> 18 CBGs</w:t>
      </w:r>
      <w:r w:rsidR="00984A9C" w:rsidRPr="00D56539">
        <w:rPr>
          <w:rFonts w:ascii="Palatino Linotype" w:hAnsi="Palatino Linotype"/>
        </w:rPr>
        <w:t>.</w:t>
      </w:r>
      <w:r w:rsidR="00C16E83" w:rsidRPr="00D56539">
        <w:rPr>
          <w:rFonts w:ascii="Palatino Linotype" w:hAnsi="Palatino Linotype"/>
        </w:rPr>
        <w:t xml:space="preserve"> </w:t>
      </w:r>
      <w:r w:rsidR="003A72C2" w:rsidRPr="00D56539">
        <w:rPr>
          <w:rFonts w:ascii="Palatino Linotype" w:hAnsi="Palatino Linotype"/>
        </w:rPr>
        <w:t xml:space="preserve"> </w:t>
      </w:r>
      <w:r w:rsidR="006E1DAE">
        <w:rPr>
          <w:rFonts w:ascii="Palatino" w:hAnsi="Palatino"/>
        </w:rPr>
        <w:t xml:space="preserve">Cox is not rescinding its Eligible Telecommunication Carrier (ETC) status or discontinuing offering California </w:t>
      </w:r>
      <w:proofErr w:type="spellStart"/>
      <w:r w:rsidR="006E1DAE">
        <w:rPr>
          <w:rFonts w:ascii="Palatino" w:hAnsi="Palatino"/>
        </w:rPr>
        <w:t>LifeLine</w:t>
      </w:r>
      <w:proofErr w:type="spellEnd"/>
      <w:r w:rsidR="006E1DAE">
        <w:rPr>
          <w:rFonts w:ascii="Palatino" w:hAnsi="Palatino"/>
        </w:rPr>
        <w:t xml:space="preserve"> service.  </w:t>
      </w:r>
      <w:r w:rsidR="00D56539" w:rsidRPr="00842736">
        <w:rPr>
          <w:rFonts w:ascii="Palatino Linotype" w:hAnsi="Palatino Linotype"/>
        </w:rPr>
        <w:t>Cox serves 3,413 customers in these CBGs and claims approximately $9</w:t>
      </w:r>
      <w:r w:rsidR="00AA2166">
        <w:rPr>
          <w:rFonts w:ascii="Palatino Linotype" w:hAnsi="Palatino Linotype"/>
        </w:rPr>
        <w:t>,</w:t>
      </w:r>
      <w:r w:rsidR="00D56539" w:rsidRPr="00842736">
        <w:rPr>
          <w:rFonts w:ascii="Palatino Linotype" w:hAnsi="Palatino Linotype"/>
        </w:rPr>
        <w:t xml:space="preserve">600 per month or </w:t>
      </w:r>
      <w:r w:rsidR="00AA2166">
        <w:rPr>
          <w:rFonts w:ascii="Palatino Linotype" w:hAnsi="Palatino Linotype"/>
        </w:rPr>
        <w:t xml:space="preserve">approximately </w:t>
      </w:r>
      <w:r w:rsidR="00D56539" w:rsidRPr="00842736">
        <w:rPr>
          <w:rFonts w:ascii="Palatino Linotype" w:hAnsi="Palatino Linotype"/>
        </w:rPr>
        <w:t xml:space="preserve">$115,000 per year from the CHCF-B program. </w:t>
      </w:r>
      <w:r w:rsidR="00AE0BE5" w:rsidRPr="00842736">
        <w:rPr>
          <w:rFonts w:ascii="Palatino Linotype" w:hAnsi="Palatino Linotype"/>
        </w:rPr>
        <w:t xml:space="preserve"> </w:t>
      </w:r>
      <w:r w:rsidR="00C16E83" w:rsidRPr="00AA2166">
        <w:rPr>
          <w:rFonts w:ascii="Palatino Linotype" w:hAnsi="Palatino Linotype"/>
        </w:rPr>
        <w:t>Cox’s advice letter 1442 was noticed in the Commission’s Daily Calendar on May 18, 2016</w:t>
      </w:r>
      <w:r w:rsidR="00C16E83" w:rsidRPr="00A25B26">
        <w:rPr>
          <w:rFonts w:ascii="Palatino Linotype" w:hAnsi="Palatino Linotype"/>
        </w:rPr>
        <w:t>.</w:t>
      </w:r>
      <w:r w:rsidR="00CF3795">
        <w:rPr>
          <w:rFonts w:ascii="Palatino Linotype" w:hAnsi="Palatino Linotype"/>
        </w:rPr>
        <w:t xml:space="preserve">  This Resolution approves Cox’s AL 1442.  </w:t>
      </w:r>
    </w:p>
    <w:p w:rsidR="00D022A5" w:rsidRDefault="00D022A5" w:rsidP="006A5A14">
      <w:pPr>
        <w:pStyle w:val="Title"/>
        <w:ind w:left="720" w:right="90"/>
        <w:jc w:val="left"/>
        <w:rPr>
          <w:rFonts w:ascii="Palatino Linotype" w:hAnsi="Palatino Linotype"/>
          <w:sz w:val="26"/>
          <w:szCs w:val="26"/>
        </w:rPr>
      </w:pPr>
    </w:p>
    <w:p w:rsidR="00D700A7" w:rsidRPr="00A25B26" w:rsidRDefault="00D700A7" w:rsidP="006A5A14">
      <w:pPr>
        <w:pStyle w:val="Title"/>
        <w:ind w:left="720" w:right="90"/>
        <w:jc w:val="left"/>
        <w:rPr>
          <w:rFonts w:ascii="Palatino Linotype" w:hAnsi="Palatino Linotype"/>
          <w:sz w:val="26"/>
          <w:szCs w:val="26"/>
        </w:rPr>
      </w:pPr>
      <w:r w:rsidRPr="00A25B26">
        <w:rPr>
          <w:rFonts w:ascii="Palatino Linotype" w:hAnsi="Palatino Linotype"/>
          <w:sz w:val="26"/>
          <w:szCs w:val="26"/>
        </w:rPr>
        <w:t>Background</w:t>
      </w:r>
    </w:p>
    <w:p w:rsidR="00F03957" w:rsidRPr="00A25B26" w:rsidRDefault="00F03957" w:rsidP="006A5A14">
      <w:pPr>
        <w:pStyle w:val="Title"/>
        <w:ind w:left="720" w:right="90"/>
        <w:jc w:val="left"/>
        <w:rPr>
          <w:rFonts w:ascii="Palatino Linotype" w:hAnsi="Palatino Linotype"/>
          <w:b w:val="0"/>
          <w:szCs w:val="24"/>
        </w:rPr>
      </w:pPr>
    </w:p>
    <w:p w:rsidR="00F03957" w:rsidRPr="00A25B26" w:rsidRDefault="00F03957" w:rsidP="006A5A14">
      <w:pPr>
        <w:pStyle w:val="Title"/>
        <w:ind w:left="720" w:right="90"/>
        <w:jc w:val="left"/>
        <w:rPr>
          <w:rFonts w:ascii="Palatino Linotype" w:hAnsi="Palatino Linotype"/>
          <w:b w:val="0"/>
          <w:szCs w:val="24"/>
        </w:rPr>
      </w:pPr>
      <w:r w:rsidRPr="00A25B26">
        <w:rPr>
          <w:rFonts w:ascii="Palatino Linotype" w:hAnsi="Palatino Linotype"/>
          <w:b w:val="0"/>
          <w:szCs w:val="24"/>
        </w:rPr>
        <w:t xml:space="preserve">Cox is a competitive local exchange carrier </w:t>
      </w:r>
      <w:r w:rsidR="005638D5" w:rsidRPr="00A25B26">
        <w:rPr>
          <w:rFonts w:ascii="Palatino Linotype" w:hAnsi="Palatino Linotype"/>
          <w:b w:val="0"/>
          <w:szCs w:val="24"/>
        </w:rPr>
        <w:t xml:space="preserve">(CLEC) </w:t>
      </w:r>
      <w:r w:rsidRPr="00A25B26">
        <w:rPr>
          <w:rFonts w:ascii="Palatino Linotype" w:hAnsi="Palatino Linotype"/>
          <w:b w:val="0"/>
          <w:szCs w:val="24"/>
        </w:rPr>
        <w:t xml:space="preserve">which provides </w:t>
      </w:r>
      <w:r w:rsidR="001A3A53" w:rsidRPr="00A25B26">
        <w:rPr>
          <w:rFonts w:ascii="Palatino Linotype" w:hAnsi="Palatino Linotype"/>
          <w:b w:val="0"/>
          <w:szCs w:val="24"/>
        </w:rPr>
        <w:t xml:space="preserve">telephone </w:t>
      </w:r>
      <w:r w:rsidRPr="00A25B26">
        <w:rPr>
          <w:rFonts w:ascii="Palatino Linotype" w:hAnsi="Palatino Linotype"/>
          <w:b w:val="0"/>
          <w:szCs w:val="24"/>
        </w:rPr>
        <w:t xml:space="preserve">service, including basic service, in certain portions of AT&amp;T’s and Frontier’s service areas in </w:t>
      </w:r>
      <w:r w:rsidRPr="00A25B26">
        <w:rPr>
          <w:rFonts w:ascii="Palatino Linotype" w:hAnsi="Palatino Linotype"/>
          <w:b w:val="0"/>
          <w:szCs w:val="24"/>
        </w:rPr>
        <w:lastRenderedPageBreak/>
        <w:t xml:space="preserve">Orange and San Diego counties. Cox received COLR </w:t>
      </w:r>
      <w:r w:rsidR="00CA14E7" w:rsidRPr="00A25B26">
        <w:rPr>
          <w:rFonts w:ascii="Palatino Linotype" w:hAnsi="Palatino Linotype"/>
          <w:b w:val="0"/>
          <w:szCs w:val="24"/>
        </w:rPr>
        <w:t>status</w:t>
      </w:r>
      <w:r w:rsidRPr="00A25B26">
        <w:rPr>
          <w:rFonts w:ascii="Palatino Linotype" w:hAnsi="Palatino Linotype"/>
          <w:b w:val="0"/>
          <w:szCs w:val="24"/>
        </w:rPr>
        <w:t xml:space="preserve"> by </w:t>
      </w:r>
      <w:r w:rsidR="00CA14E7" w:rsidRPr="00A25B26">
        <w:rPr>
          <w:rFonts w:ascii="Palatino Linotype" w:hAnsi="Palatino Linotype"/>
          <w:b w:val="0"/>
          <w:szCs w:val="24"/>
        </w:rPr>
        <w:t xml:space="preserve">an </w:t>
      </w:r>
      <w:r w:rsidR="008C4C14">
        <w:rPr>
          <w:rFonts w:ascii="Palatino Linotype" w:hAnsi="Palatino Linotype"/>
          <w:b w:val="0"/>
          <w:szCs w:val="24"/>
        </w:rPr>
        <w:t>AL</w:t>
      </w:r>
      <w:r w:rsidRPr="00A25B26">
        <w:rPr>
          <w:rFonts w:ascii="Palatino Linotype" w:hAnsi="Palatino Linotype"/>
          <w:b w:val="0"/>
          <w:szCs w:val="24"/>
        </w:rPr>
        <w:t xml:space="preserve"> filing </w:t>
      </w:r>
      <w:r w:rsidR="00CA14E7" w:rsidRPr="00A25B26">
        <w:rPr>
          <w:rFonts w:ascii="Palatino Linotype" w:hAnsi="Palatino Linotype"/>
          <w:b w:val="0"/>
          <w:szCs w:val="24"/>
        </w:rPr>
        <w:t xml:space="preserve">which became </w:t>
      </w:r>
      <w:r w:rsidRPr="00A25B26">
        <w:rPr>
          <w:rFonts w:ascii="Palatino Linotype" w:hAnsi="Palatino Linotype"/>
          <w:b w:val="0"/>
          <w:szCs w:val="24"/>
        </w:rPr>
        <w:t xml:space="preserve">effective </w:t>
      </w:r>
      <w:r w:rsidR="00CA14E7" w:rsidRPr="00A25B26">
        <w:rPr>
          <w:rFonts w:ascii="Palatino Linotype" w:hAnsi="Palatino Linotype"/>
          <w:b w:val="0"/>
          <w:szCs w:val="24"/>
        </w:rPr>
        <w:t xml:space="preserve">on </w:t>
      </w:r>
      <w:r w:rsidRPr="00A25B26">
        <w:rPr>
          <w:rFonts w:ascii="Palatino Linotype" w:hAnsi="Palatino Linotype"/>
          <w:b w:val="0"/>
          <w:szCs w:val="24"/>
        </w:rPr>
        <w:t>December 8, 1999.</w:t>
      </w:r>
    </w:p>
    <w:p w:rsidR="00984A9C" w:rsidRPr="00A25B26" w:rsidRDefault="00984A9C" w:rsidP="006A5A14">
      <w:pPr>
        <w:pStyle w:val="Title"/>
        <w:ind w:left="720" w:right="90"/>
        <w:jc w:val="left"/>
        <w:rPr>
          <w:rFonts w:ascii="Palatino Linotype" w:hAnsi="Palatino Linotype"/>
          <w:b w:val="0"/>
          <w:szCs w:val="24"/>
        </w:rPr>
      </w:pPr>
    </w:p>
    <w:p w:rsidR="00A96D35" w:rsidRPr="00A25B26" w:rsidRDefault="005638D5" w:rsidP="00984A9C">
      <w:pPr>
        <w:ind w:left="720"/>
        <w:rPr>
          <w:rFonts w:ascii="Palatino Linotype" w:hAnsi="Palatino Linotype"/>
        </w:rPr>
      </w:pPr>
      <w:r w:rsidRPr="00A25B26">
        <w:rPr>
          <w:rFonts w:ascii="Palatino Linotype" w:hAnsi="Palatino Linotype"/>
        </w:rPr>
        <w:t>On Octobe</w:t>
      </w:r>
      <w:r w:rsidR="00A02D28" w:rsidRPr="00A25B26">
        <w:rPr>
          <w:rFonts w:ascii="Palatino Linotype" w:hAnsi="Palatino Linotype"/>
        </w:rPr>
        <w:t>r</w:t>
      </w:r>
      <w:r w:rsidRPr="00A25B26">
        <w:rPr>
          <w:rFonts w:ascii="Palatino Linotype" w:hAnsi="Palatino Linotype"/>
        </w:rPr>
        <w:t xml:space="preserve"> 25, 1996, the Commission adopted </w:t>
      </w:r>
      <w:r w:rsidR="00984A9C" w:rsidRPr="00A25B26">
        <w:rPr>
          <w:rFonts w:ascii="Palatino Linotype" w:hAnsi="Palatino Linotype"/>
        </w:rPr>
        <w:t xml:space="preserve">Decision </w:t>
      </w:r>
      <w:r w:rsidRPr="00A25B26">
        <w:rPr>
          <w:rFonts w:ascii="Palatino Linotype" w:hAnsi="Palatino Linotype"/>
        </w:rPr>
        <w:t xml:space="preserve">(D.) </w:t>
      </w:r>
      <w:r w:rsidR="00984A9C" w:rsidRPr="00A25B26">
        <w:rPr>
          <w:rFonts w:ascii="Palatino Linotype" w:hAnsi="Palatino Linotype"/>
        </w:rPr>
        <w:t xml:space="preserve">96-10-066 </w:t>
      </w:r>
      <w:r w:rsidRPr="00A25B26">
        <w:rPr>
          <w:rFonts w:ascii="Palatino Linotype" w:hAnsi="Palatino Linotype"/>
        </w:rPr>
        <w:t>which allowed</w:t>
      </w:r>
      <w:r w:rsidR="00984A9C" w:rsidRPr="00A25B26">
        <w:rPr>
          <w:rFonts w:ascii="Palatino Linotype" w:hAnsi="Palatino Linotype"/>
        </w:rPr>
        <w:t xml:space="preserve"> COLRs </w:t>
      </w:r>
      <w:r w:rsidR="00A02D28" w:rsidRPr="00A25B26">
        <w:rPr>
          <w:rFonts w:ascii="Palatino Linotype" w:hAnsi="Palatino Linotype"/>
        </w:rPr>
        <w:t>to</w:t>
      </w:r>
      <w:r w:rsidR="00984A9C" w:rsidRPr="00A25B26">
        <w:rPr>
          <w:rFonts w:ascii="Palatino Linotype" w:hAnsi="Palatino Linotype"/>
        </w:rPr>
        <w:t xml:space="preserve"> opt out </w:t>
      </w:r>
      <w:r w:rsidR="00AA2166">
        <w:rPr>
          <w:rFonts w:ascii="Palatino Linotype" w:hAnsi="Palatino Linotype"/>
        </w:rPr>
        <w:t xml:space="preserve">of </w:t>
      </w:r>
      <w:r w:rsidR="008A7105" w:rsidRPr="00A25B26">
        <w:rPr>
          <w:rFonts w:ascii="Palatino Linotype" w:hAnsi="Palatino Linotype"/>
        </w:rPr>
        <w:t xml:space="preserve">their COLR obligations by </w:t>
      </w:r>
      <w:r w:rsidR="00984A9C" w:rsidRPr="00A25B26">
        <w:rPr>
          <w:rFonts w:ascii="Palatino Linotype" w:hAnsi="Palatino Linotype"/>
        </w:rPr>
        <w:t>u</w:t>
      </w:r>
      <w:r w:rsidR="008A7105" w:rsidRPr="00A25B26">
        <w:rPr>
          <w:rFonts w:ascii="Palatino Linotype" w:hAnsi="Palatino Linotype"/>
        </w:rPr>
        <w:t xml:space="preserve">tilizing the </w:t>
      </w:r>
      <w:r w:rsidR="008C4C14">
        <w:rPr>
          <w:rFonts w:ascii="Palatino Linotype" w:hAnsi="Palatino Linotype"/>
        </w:rPr>
        <w:t>AL</w:t>
      </w:r>
      <w:r w:rsidR="00984A9C" w:rsidRPr="00A25B26">
        <w:rPr>
          <w:rFonts w:ascii="Palatino Linotype" w:hAnsi="Palatino Linotype"/>
        </w:rPr>
        <w:t xml:space="preserve"> process</w:t>
      </w:r>
      <w:r w:rsidR="008A7105" w:rsidRPr="00A25B26">
        <w:rPr>
          <w:rFonts w:ascii="Palatino Linotype" w:hAnsi="Palatino Linotype"/>
        </w:rPr>
        <w:t>,</w:t>
      </w:r>
      <w:r w:rsidR="00984A9C" w:rsidRPr="00A25B26">
        <w:rPr>
          <w:rFonts w:ascii="Palatino Linotype" w:hAnsi="Palatino Linotype"/>
        </w:rPr>
        <w:t xml:space="preserve"> provided it is not the only COLR providing service in </w:t>
      </w:r>
      <w:r w:rsidR="001A3A53" w:rsidRPr="00A25B26">
        <w:rPr>
          <w:rFonts w:ascii="Palatino Linotype" w:hAnsi="Palatino Linotype"/>
        </w:rPr>
        <w:t xml:space="preserve">a </w:t>
      </w:r>
      <w:r w:rsidR="00426D0B" w:rsidRPr="00A25B26">
        <w:rPr>
          <w:rFonts w:ascii="Palatino Linotype" w:hAnsi="Palatino Linotype"/>
        </w:rPr>
        <w:t>geographic service area</w:t>
      </w:r>
      <w:r w:rsidR="008C4C14">
        <w:rPr>
          <w:rFonts w:ascii="Palatino Linotype" w:hAnsi="Palatino Linotype"/>
        </w:rPr>
        <w:t xml:space="preserve"> (GSA).</w:t>
      </w:r>
      <w:r w:rsidR="009C1261" w:rsidRPr="00A25B26">
        <w:rPr>
          <w:rStyle w:val="FootnoteReference"/>
          <w:rFonts w:ascii="Palatino Linotype" w:hAnsi="Palatino Linotype"/>
        </w:rPr>
        <w:footnoteReference w:id="3"/>
      </w:r>
      <w:r w:rsidR="001A3A53" w:rsidRPr="00A25B26">
        <w:rPr>
          <w:rFonts w:ascii="Palatino Linotype" w:hAnsi="Palatino Linotype"/>
        </w:rPr>
        <w:t xml:space="preserve"> </w:t>
      </w:r>
    </w:p>
    <w:p w:rsidR="00A96D35" w:rsidRPr="00A25B26" w:rsidRDefault="00A96D35" w:rsidP="00984A9C">
      <w:pPr>
        <w:ind w:left="720"/>
        <w:rPr>
          <w:rFonts w:ascii="Palatino Linotype" w:hAnsi="Palatino Linotype"/>
        </w:rPr>
      </w:pPr>
    </w:p>
    <w:p w:rsidR="00A96D35" w:rsidRPr="00A25B26" w:rsidRDefault="00A96D35" w:rsidP="00984A9C">
      <w:pPr>
        <w:ind w:left="720"/>
        <w:rPr>
          <w:rFonts w:ascii="Palatino Linotype" w:hAnsi="Palatino Linotype"/>
        </w:rPr>
      </w:pPr>
      <w:r w:rsidRPr="00A25B26">
        <w:rPr>
          <w:rFonts w:ascii="Palatino Linotype" w:hAnsi="Palatino Linotype"/>
        </w:rPr>
        <w:t xml:space="preserve">Decision 96-10-066, Appendix B, Part </w:t>
      </w:r>
      <w:r w:rsidR="00311E27" w:rsidRPr="00A25B26">
        <w:rPr>
          <w:rFonts w:ascii="Palatino Linotype" w:hAnsi="Palatino Linotype"/>
        </w:rPr>
        <w:t>6</w:t>
      </w:r>
      <w:r w:rsidRPr="00A25B26">
        <w:rPr>
          <w:rFonts w:ascii="Palatino Linotype" w:hAnsi="Palatino Linotype"/>
        </w:rPr>
        <w:t>, D, 7 states that, “</w:t>
      </w:r>
      <w:r w:rsidR="00AA2166">
        <w:rPr>
          <w:rFonts w:ascii="Palatino Linotype" w:hAnsi="Palatino Linotype"/>
        </w:rPr>
        <w:t xml:space="preserve">A designated carrier may opt out of its obligations in a GSA by advice letter, </w:t>
      </w:r>
      <w:r w:rsidRPr="00A25B26">
        <w:rPr>
          <w:rFonts w:ascii="Palatino Linotype" w:hAnsi="Palatino Linotype"/>
        </w:rPr>
        <w:t>unless it is the only carrier remaining in the GSA, in w</w:t>
      </w:r>
      <w:r w:rsidR="0094113C" w:rsidRPr="00A25B26">
        <w:rPr>
          <w:rFonts w:ascii="Palatino Linotype" w:hAnsi="Palatino Linotype"/>
        </w:rPr>
        <w:t xml:space="preserve">hich </w:t>
      </w:r>
      <w:r w:rsidRPr="00A25B26">
        <w:rPr>
          <w:rFonts w:ascii="Palatino Linotype" w:hAnsi="Palatino Linotype"/>
        </w:rPr>
        <w:t>case it must file an application to withdraw as the COLR and continue to act as the COLR until the application is granted</w:t>
      </w:r>
      <w:r w:rsidR="00AA2166">
        <w:rPr>
          <w:rFonts w:ascii="Palatino Linotype" w:hAnsi="Palatino Linotype"/>
        </w:rPr>
        <w:t>,</w:t>
      </w:r>
      <w:r w:rsidRPr="00A25B26">
        <w:rPr>
          <w:rFonts w:ascii="Palatino Linotype" w:hAnsi="Palatino Linotype"/>
        </w:rPr>
        <w:t xml:space="preserve"> or a new COLR has been assigned as a result of an auction.</w:t>
      </w:r>
      <w:r w:rsidR="0094113C" w:rsidRPr="00A25B26">
        <w:rPr>
          <w:rFonts w:ascii="Palatino Linotype" w:hAnsi="Palatino Linotype"/>
        </w:rPr>
        <w:t>”</w:t>
      </w:r>
    </w:p>
    <w:p w:rsidR="00A96D35" w:rsidRPr="00A25B26" w:rsidRDefault="00A96D35" w:rsidP="00984A9C">
      <w:pPr>
        <w:ind w:left="720"/>
        <w:rPr>
          <w:rFonts w:ascii="Palatino Linotype" w:hAnsi="Palatino Linotype"/>
        </w:rPr>
      </w:pPr>
    </w:p>
    <w:p w:rsidR="00955459" w:rsidRPr="00A25B26" w:rsidRDefault="00EF039E" w:rsidP="00984A9C">
      <w:pPr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Cox has drawn from the CHCF-B Fund since receiving COLR status in 1999, and</w:t>
      </w:r>
      <w:r w:rsidR="00D73890">
        <w:rPr>
          <w:rFonts w:ascii="Palatino Linotype" w:hAnsi="Palatino Linotype"/>
        </w:rPr>
        <w:t xml:space="preserve"> </w:t>
      </w:r>
      <w:r w:rsidR="00D4425D">
        <w:rPr>
          <w:rFonts w:ascii="Palatino Linotype" w:hAnsi="Palatino Linotype"/>
        </w:rPr>
        <w:t>currently</w:t>
      </w:r>
      <w:r>
        <w:rPr>
          <w:rFonts w:ascii="Palatino Linotype" w:hAnsi="Palatino Linotype"/>
        </w:rPr>
        <w:t xml:space="preserve"> averages a draw of approximately $115,000 per year.</w:t>
      </w:r>
    </w:p>
    <w:p w:rsidR="007311FD" w:rsidRPr="00A25B26" w:rsidRDefault="007311FD" w:rsidP="00984A9C">
      <w:pPr>
        <w:ind w:left="720"/>
        <w:rPr>
          <w:rFonts w:ascii="Palatino Linotype" w:hAnsi="Palatino Linotype"/>
        </w:rPr>
      </w:pPr>
    </w:p>
    <w:p w:rsidR="007311FD" w:rsidRPr="00A25B26" w:rsidRDefault="00162331" w:rsidP="00984A9C">
      <w:pPr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After receiving AL</w:t>
      </w:r>
      <w:r w:rsidRPr="00A25B26">
        <w:rPr>
          <w:rFonts w:ascii="Palatino Linotype" w:hAnsi="Palatino Linotype"/>
        </w:rPr>
        <w:t xml:space="preserve"> 1442</w:t>
      </w:r>
      <w:r>
        <w:rPr>
          <w:rFonts w:ascii="Palatino Linotype" w:hAnsi="Palatino Linotype"/>
        </w:rPr>
        <w:t xml:space="preserve"> </w:t>
      </w:r>
      <w:r w:rsidR="00A819B6">
        <w:rPr>
          <w:rFonts w:ascii="Palatino Linotype" w:hAnsi="Palatino Linotype"/>
        </w:rPr>
        <w:t>o</w:t>
      </w:r>
      <w:r w:rsidR="007311FD" w:rsidRPr="00A25B26">
        <w:rPr>
          <w:rFonts w:ascii="Palatino Linotype" w:hAnsi="Palatino Linotype"/>
        </w:rPr>
        <w:t>n May</w:t>
      </w:r>
      <w:r w:rsidR="00A819B6">
        <w:rPr>
          <w:rFonts w:ascii="Palatino Linotype" w:hAnsi="Palatino Linotype"/>
        </w:rPr>
        <w:t xml:space="preserve"> 16,</w:t>
      </w:r>
      <w:r w:rsidR="00F01BE9" w:rsidRPr="00A25B26">
        <w:rPr>
          <w:rFonts w:ascii="Palatino Linotype" w:hAnsi="Palatino Linotype"/>
        </w:rPr>
        <w:t xml:space="preserve"> CD staff suspended</w:t>
      </w:r>
      <w:r w:rsidR="00A819B6">
        <w:rPr>
          <w:rFonts w:ascii="Palatino Linotype" w:hAnsi="Palatino Linotype"/>
        </w:rPr>
        <w:t xml:space="preserve"> it on May 24, 2016, </w:t>
      </w:r>
      <w:r w:rsidR="00AA2166">
        <w:rPr>
          <w:rFonts w:ascii="Palatino Linotype" w:hAnsi="Palatino Linotype"/>
        </w:rPr>
        <w:t>for up to 120 days</w:t>
      </w:r>
      <w:r w:rsidR="00F01BE9" w:rsidRPr="00A25B26">
        <w:rPr>
          <w:rFonts w:ascii="Palatino Linotype" w:hAnsi="Palatino Linotype"/>
        </w:rPr>
        <w:t xml:space="preserve"> </w:t>
      </w:r>
      <w:r w:rsidR="00AA2166">
        <w:rPr>
          <w:rFonts w:ascii="Palatino Linotype" w:hAnsi="Palatino Linotype"/>
        </w:rPr>
        <w:t>(</w:t>
      </w:r>
      <w:r w:rsidR="00A819B6">
        <w:rPr>
          <w:rFonts w:ascii="Palatino Linotype" w:hAnsi="Palatino Linotype"/>
        </w:rPr>
        <w:t>September 21,</w:t>
      </w:r>
      <w:r w:rsidR="00F01BE9" w:rsidRPr="00A25B26">
        <w:rPr>
          <w:rFonts w:ascii="Palatino Linotype" w:hAnsi="Palatino Linotype"/>
        </w:rPr>
        <w:t xml:space="preserve"> 2016</w:t>
      </w:r>
      <w:r w:rsidR="00AA2166">
        <w:rPr>
          <w:rFonts w:ascii="Palatino Linotype" w:hAnsi="Palatino Linotype"/>
        </w:rPr>
        <w:t>)</w:t>
      </w:r>
      <w:r w:rsidR="00F01BE9" w:rsidRPr="00A25B26">
        <w:rPr>
          <w:rFonts w:ascii="Palatino Linotype" w:hAnsi="Palatino Linotype"/>
        </w:rPr>
        <w:t xml:space="preserve">. </w:t>
      </w:r>
      <w:r w:rsidR="00AA2166">
        <w:rPr>
          <w:rFonts w:ascii="Palatino Linotype" w:hAnsi="Palatino Linotype"/>
        </w:rPr>
        <w:t xml:space="preserve">Staff </w:t>
      </w:r>
      <w:r w:rsidR="00B83F70">
        <w:rPr>
          <w:rFonts w:ascii="Palatino Linotype" w:hAnsi="Palatino Linotype"/>
        </w:rPr>
        <w:t>suspended the advice letter</w:t>
      </w:r>
      <w:r w:rsidR="00AA2166" w:rsidRPr="00A25B26">
        <w:rPr>
          <w:rFonts w:ascii="Palatino Linotype" w:hAnsi="Palatino Linotype"/>
        </w:rPr>
        <w:t xml:space="preserve"> </w:t>
      </w:r>
      <w:r w:rsidR="00F01BE9" w:rsidRPr="00A25B26">
        <w:rPr>
          <w:rFonts w:ascii="Palatino Linotype" w:hAnsi="Palatino Linotype"/>
        </w:rPr>
        <w:t xml:space="preserve">to allow </w:t>
      </w:r>
      <w:r w:rsidR="00AA2166">
        <w:rPr>
          <w:rFonts w:ascii="Palatino Linotype" w:hAnsi="Palatino Linotype"/>
        </w:rPr>
        <w:t>for</w:t>
      </w:r>
      <w:r w:rsidR="00F01BE9" w:rsidRPr="00A25B26">
        <w:rPr>
          <w:rFonts w:ascii="Palatino Linotype" w:hAnsi="Palatino Linotype"/>
        </w:rPr>
        <w:t xml:space="preserve"> sufficient time to review and </w:t>
      </w:r>
      <w:r w:rsidR="006A32CE" w:rsidRPr="00A25B26">
        <w:rPr>
          <w:rFonts w:ascii="Palatino Linotype" w:hAnsi="Palatino Linotype"/>
        </w:rPr>
        <w:t xml:space="preserve">correctly </w:t>
      </w:r>
      <w:r w:rsidR="00F01BE9" w:rsidRPr="00A25B26">
        <w:rPr>
          <w:rFonts w:ascii="Palatino Linotype" w:hAnsi="Palatino Linotype"/>
        </w:rPr>
        <w:t xml:space="preserve">process </w:t>
      </w:r>
      <w:r w:rsidR="00CE4767" w:rsidRPr="00A25B26">
        <w:rPr>
          <w:rFonts w:ascii="Palatino Linotype" w:hAnsi="Palatino Linotype"/>
        </w:rPr>
        <w:t>the AL</w:t>
      </w:r>
      <w:r w:rsidR="00F01BE9" w:rsidRPr="00A25B26">
        <w:rPr>
          <w:rFonts w:ascii="Palatino Linotype" w:hAnsi="Palatino Linotype"/>
        </w:rPr>
        <w:t>.</w:t>
      </w:r>
    </w:p>
    <w:p w:rsidR="00781C76" w:rsidRPr="00A25B26" w:rsidRDefault="00781C76" w:rsidP="00781C76">
      <w:pPr>
        <w:pStyle w:val="Title"/>
        <w:ind w:left="720" w:right="90"/>
        <w:jc w:val="left"/>
        <w:rPr>
          <w:rFonts w:ascii="Palatino Linotype" w:hAnsi="Palatino Linotype"/>
          <w:sz w:val="26"/>
          <w:szCs w:val="26"/>
        </w:rPr>
      </w:pPr>
    </w:p>
    <w:p w:rsidR="00781C76" w:rsidRPr="00A25B26" w:rsidRDefault="00781C76" w:rsidP="00781C76">
      <w:pPr>
        <w:pStyle w:val="Title"/>
        <w:ind w:left="720" w:right="90"/>
        <w:jc w:val="left"/>
        <w:rPr>
          <w:rFonts w:ascii="Palatino Linotype" w:hAnsi="Palatino Linotype"/>
          <w:sz w:val="26"/>
          <w:szCs w:val="26"/>
        </w:rPr>
      </w:pPr>
      <w:r w:rsidRPr="00A25B26">
        <w:rPr>
          <w:rFonts w:ascii="Palatino Linotype" w:hAnsi="Palatino Linotype"/>
          <w:sz w:val="26"/>
          <w:szCs w:val="26"/>
        </w:rPr>
        <w:t>Discussion</w:t>
      </w:r>
    </w:p>
    <w:p w:rsidR="00F55345" w:rsidRPr="00A25B26" w:rsidRDefault="00311E27" w:rsidP="00311E27">
      <w:pPr>
        <w:pStyle w:val="Title"/>
        <w:ind w:right="90"/>
        <w:jc w:val="left"/>
        <w:rPr>
          <w:rFonts w:ascii="Palatino Linotype" w:hAnsi="Palatino Linotype"/>
          <w:b w:val="0"/>
          <w:szCs w:val="24"/>
          <w:u w:val="single"/>
        </w:rPr>
      </w:pPr>
      <w:r w:rsidRPr="00A25B26">
        <w:rPr>
          <w:rFonts w:ascii="Palatino Linotype" w:hAnsi="Palatino Linotype"/>
          <w:b w:val="0"/>
          <w:szCs w:val="24"/>
          <w:u w:val="single"/>
        </w:rPr>
        <w:t xml:space="preserve">  </w:t>
      </w:r>
    </w:p>
    <w:p w:rsidR="00C37321" w:rsidRPr="00A25B26" w:rsidRDefault="00311E27" w:rsidP="00311E27">
      <w:pPr>
        <w:pStyle w:val="Title"/>
        <w:ind w:left="720" w:right="90"/>
        <w:jc w:val="left"/>
        <w:rPr>
          <w:rFonts w:ascii="Palatino Linotype" w:hAnsi="Palatino Linotype"/>
          <w:b w:val="0"/>
          <w:szCs w:val="24"/>
        </w:rPr>
      </w:pPr>
      <w:r w:rsidRPr="00A25B26">
        <w:rPr>
          <w:rFonts w:ascii="Palatino Linotype" w:hAnsi="Palatino Linotype"/>
          <w:b w:val="0"/>
          <w:szCs w:val="24"/>
        </w:rPr>
        <w:t xml:space="preserve">Decision </w:t>
      </w:r>
      <w:r w:rsidR="007355E7" w:rsidRPr="00A25B26">
        <w:rPr>
          <w:rFonts w:ascii="Palatino Linotype" w:hAnsi="Palatino Linotype"/>
          <w:b w:val="0"/>
          <w:szCs w:val="24"/>
        </w:rPr>
        <w:t xml:space="preserve">96-10-066 </w:t>
      </w:r>
      <w:r w:rsidR="008C4C14" w:rsidRPr="00A25B26">
        <w:rPr>
          <w:rFonts w:ascii="Palatino Linotype" w:hAnsi="Palatino Linotype"/>
          <w:b w:val="0"/>
          <w:szCs w:val="24"/>
        </w:rPr>
        <w:t>allow</w:t>
      </w:r>
      <w:r w:rsidR="008C4C14">
        <w:rPr>
          <w:rFonts w:ascii="Palatino Linotype" w:hAnsi="Palatino Linotype"/>
          <w:b w:val="0"/>
          <w:szCs w:val="24"/>
        </w:rPr>
        <w:t>s</w:t>
      </w:r>
      <w:r w:rsidR="008C4C14" w:rsidRPr="00A25B26">
        <w:rPr>
          <w:rFonts w:ascii="Palatino Linotype" w:hAnsi="Palatino Linotype"/>
          <w:b w:val="0"/>
          <w:szCs w:val="24"/>
        </w:rPr>
        <w:t xml:space="preserve"> </w:t>
      </w:r>
      <w:r w:rsidR="007355E7" w:rsidRPr="00A25B26">
        <w:rPr>
          <w:rFonts w:ascii="Palatino Linotype" w:hAnsi="Palatino Linotype"/>
          <w:b w:val="0"/>
          <w:szCs w:val="24"/>
        </w:rPr>
        <w:t xml:space="preserve">CLECs to become COLRs by submitting an advice letter, effective 40 days after filing, absent any protests.  The decision also </w:t>
      </w:r>
      <w:r w:rsidR="008C4C14" w:rsidRPr="00A25B26">
        <w:rPr>
          <w:rFonts w:ascii="Palatino Linotype" w:hAnsi="Palatino Linotype"/>
          <w:b w:val="0"/>
          <w:szCs w:val="24"/>
        </w:rPr>
        <w:t>allow</w:t>
      </w:r>
      <w:r w:rsidR="008C4C14">
        <w:rPr>
          <w:rFonts w:ascii="Palatino Linotype" w:hAnsi="Palatino Linotype"/>
          <w:b w:val="0"/>
          <w:szCs w:val="24"/>
        </w:rPr>
        <w:t>s</w:t>
      </w:r>
      <w:r w:rsidR="008C4C14" w:rsidRPr="00A25B26">
        <w:rPr>
          <w:rFonts w:ascii="Palatino Linotype" w:hAnsi="Palatino Linotype"/>
          <w:b w:val="0"/>
          <w:szCs w:val="24"/>
        </w:rPr>
        <w:t xml:space="preserve"> </w:t>
      </w:r>
      <w:r w:rsidR="007355E7" w:rsidRPr="00A25B26">
        <w:rPr>
          <w:rFonts w:ascii="Palatino Linotype" w:hAnsi="Palatino Linotype"/>
          <w:b w:val="0"/>
          <w:szCs w:val="24"/>
        </w:rPr>
        <w:t xml:space="preserve">COLRs to </w:t>
      </w:r>
      <w:r w:rsidR="008C4C14">
        <w:rPr>
          <w:rFonts w:ascii="Palatino Linotype" w:hAnsi="Palatino Linotype"/>
          <w:b w:val="0"/>
          <w:szCs w:val="24"/>
        </w:rPr>
        <w:t>submit</w:t>
      </w:r>
      <w:r w:rsidR="007355E7" w:rsidRPr="00A25B26">
        <w:rPr>
          <w:rFonts w:ascii="Palatino Linotype" w:hAnsi="Palatino Linotype"/>
          <w:b w:val="0"/>
          <w:szCs w:val="24"/>
        </w:rPr>
        <w:t xml:space="preserve"> an </w:t>
      </w:r>
      <w:r w:rsidR="008C4C14">
        <w:rPr>
          <w:rFonts w:ascii="Palatino Linotype" w:hAnsi="Palatino Linotype"/>
          <w:b w:val="0"/>
          <w:szCs w:val="24"/>
        </w:rPr>
        <w:t>AL</w:t>
      </w:r>
      <w:r w:rsidR="007355E7" w:rsidRPr="00A25B26">
        <w:rPr>
          <w:rFonts w:ascii="Palatino Linotype" w:hAnsi="Palatino Linotype"/>
          <w:b w:val="0"/>
          <w:szCs w:val="24"/>
        </w:rPr>
        <w:t xml:space="preserve"> to opt out of serving an area as a COLR, provided that there </w:t>
      </w:r>
      <w:r w:rsidR="008C4C14">
        <w:rPr>
          <w:rFonts w:ascii="Palatino Linotype" w:hAnsi="Palatino Linotype"/>
          <w:b w:val="0"/>
          <w:szCs w:val="24"/>
        </w:rPr>
        <w:t>is</w:t>
      </w:r>
      <w:r w:rsidR="008C4C14" w:rsidRPr="00A25B26">
        <w:rPr>
          <w:rFonts w:ascii="Palatino Linotype" w:hAnsi="Palatino Linotype"/>
          <w:b w:val="0"/>
          <w:szCs w:val="24"/>
        </w:rPr>
        <w:t xml:space="preserve"> </w:t>
      </w:r>
      <w:r w:rsidR="007355E7" w:rsidRPr="00A25B26">
        <w:rPr>
          <w:rFonts w:ascii="Palatino Linotype" w:hAnsi="Palatino Linotype"/>
          <w:b w:val="0"/>
          <w:szCs w:val="24"/>
        </w:rPr>
        <w:t xml:space="preserve">another COLR designated to serve </w:t>
      </w:r>
      <w:r w:rsidR="0076482F" w:rsidRPr="00A25B26">
        <w:rPr>
          <w:rFonts w:ascii="Palatino Linotype" w:hAnsi="Palatino Linotype"/>
          <w:b w:val="0"/>
          <w:szCs w:val="24"/>
        </w:rPr>
        <w:t>those</w:t>
      </w:r>
      <w:r w:rsidR="007355E7" w:rsidRPr="00A25B26">
        <w:rPr>
          <w:rFonts w:ascii="Palatino Linotype" w:hAnsi="Palatino Linotype"/>
          <w:b w:val="0"/>
          <w:szCs w:val="24"/>
        </w:rPr>
        <w:t xml:space="preserve"> areas.  </w:t>
      </w:r>
    </w:p>
    <w:p w:rsidR="00C37321" w:rsidRPr="00A25B26" w:rsidRDefault="00C37321" w:rsidP="00311E27">
      <w:pPr>
        <w:pStyle w:val="Title"/>
        <w:ind w:left="720" w:right="90"/>
        <w:jc w:val="left"/>
        <w:rPr>
          <w:rFonts w:ascii="Palatino Linotype" w:hAnsi="Palatino Linotype"/>
          <w:b w:val="0"/>
          <w:szCs w:val="24"/>
        </w:rPr>
      </w:pPr>
    </w:p>
    <w:p w:rsidR="00311E27" w:rsidRPr="00A25B26" w:rsidRDefault="007355E7" w:rsidP="00311E27">
      <w:pPr>
        <w:pStyle w:val="Title"/>
        <w:ind w:left="720" w:right="90"/>
        <w:jc w:val="left"/>
        <w:rPr>
          <w:rFonts w:ascii="Palatino Linotype" w:hAnsi="Palatino Linotype"/>
          <w:b w:val="0"/>
          <w:szCs w:val="24"/>
        </w:rPr>
      </w:pPr>
      <w:r w:rsidRPr="00A25B26">
        <w:rPr>
          <w:rFonts w:ascii="Palatino Linotype" w:hAnsi="Palatino Linotype"/>
          <w:b w:val="0"/>
          <w:szCs w:val="24"/>
        </w:rPr>
        <w:t xml:space="preserve">If no other COLR </w:t>
      </w:r>
      <w:r w:rsidR="008C4C14" w:rsidRPr="00A25B26">
        <w:rPr>
          <w:rFonts w:ascii="Palatino Linotype" w:hAnsi="Palatino Linotype"/>
          <w:b w:val="0"/>
          <w:szCs w:val="24"/>
        </w:rPr>
        <w:t>serve</w:t>
      </w:r>
      <w:r w:rsidR="008C4C14">
        <w:rPr>
          <w:rFonts w:ascii="Palatino Linotype" w:hAnsi="Palatino Linotype"/>
          <w:b w:val="0"/>
          <w:szCs w:val="24"/>
        </w:rPr>
        <w:t>s</w:t>
      </w:r>
      <w:r w:rsidR="008C4C14" w:rsidRPr="00A25B26">
        <w:rPr>
          <w:rFonts w:ascii="Palatino Linotype" w:hAnsi="Palatino Linotype"/>
          <w:b w:val="0"/>
          <w:szCs w:val="24"/>
        </w:rPr>
        <w:t xml:space="preserve"> </w:t>
      </w:r>
      <w:r w:rsidRPr="00A25B26">
        <w:rPr>
          <w:rFonts w:ascii="Palatino Linotype" w:hAnsi="Palatino Linotype"/>
          <w:b w:val="0"/>
          <w:szCs w:val="24"/>
        </w:rPr>
        <w:t xml:space="preserve">the area, then the </w:t>
      </w:r>
      <w:r w:rsidR="00C37321" w:rsidRPr="00A25B26">
        <w:rPr>
          <w:rFonts w:ascii="Palatino Linotype" w:hAnsi="Palatino Linotype"/>
          <w:b w:val="0"/>
          <w:szCs w:val="24"/>
        </w:rPr>
        <w:t xml:space="preserve">existing </w:t>
      </w:r>
      <w:r w:rsidRPr="00A25B26">
        <w:rPr>
          <w:rFonts w:ascii="Palatino Linotype" w:hAnsi="Palatino Linotype"/>
          <w:b w:val="0"/>
          <w:szCs w:val="24"/>
        </w:rPr>
        <w:t xml:space="preserve">COLR </w:t>
      </w:r>
      <w:r w:rsidR="008C4C14">
        <w:rPr>
          <w:rFonts w:ascii="Palatino Linotype" w:hAnsi="Palatino Linotype"/>
          <w:b w:val="0"/>
          <w:szCs w:val="24"/>
        </w:rPr>
        <w:t>is</w:t>
      </w:r>
      <w:r w:rsidR="008C4C14" w:rsidRPr="00A25B26">
        <w:rPr>
          <w:rFonts w:ascii="Palatino Linotype" w:hAnsi="Palatino Linotype"/>
          <w:b w:val="0"/>
          <w:szCs w:val="24"/>
        </w:rPr>
        <w:t xml:space="preserve"> </w:t>
      </w:r>
      <w:r w:rsidR="008C4C14">
        <w:rPr>
          <w:rFonts w:ascii="Palatino Linotype" w:hAnsi="Palatino Linotype"/>
          <w:b w:val="0"/>
          <w:szCs w:val="24"/>
        </w:rPr>
        <w:t>required</w:t>
      </w:r>
      <w:r w:rsidRPr="00A25B26">
        <w:rPr>
          <w:rFonts w:ascii="Palatino Linotype" w:hAnsi="Palatino Linotype"/>
          <w:b w:val="0"/>
          <w:szCs w:val="24"/>
        </w:rPr>
        <w:t xml:space="preserve"> to file </w:t>
      </w:r>
      <w:r w:rsidRPr="00A25B26">
        <w:rPr>
          <w:rFonts w:ascii="Palatino Linotype" w:hAnsi="Palatino Linotype"/>
          <w:b w:val="0"/>
        </w:rPr>
        <w:t>an application</w:t>
      </w:r>
      <w:r w:rsidR="0076482F" w:rsidRPr="00A25B26">
        <w:rPr>
          <w:rFonts w:ascii="Palatino Linotype" w:hAnsi="Palatino Linotype"/>
          <w:b w:val="0"/>
        </w:rPr>
        <w:t xml:space="preserve"> with the </w:t>
      </w:r>
      <w:r w:rsidR="00DF2632">
        <w:rPr>
          <w:rFonts w:ascii="Palatino Linotype" w:hAnsi="Palatino Linotype"/>
          <w:b w:val="0"/>
        </w:rPr>
        <w:t>C</w:t>
      </w:r>
      <w:r w:rsidR="0076482F" w:rsidRPr="00A25B26">
        <w:rPr>
          <w:rFonts w:ascii="Palatino Linotype" w:hAnsi="Palatino Linotype"/>
          <w:b w:val="0"/>
        </w:rPr>
        <w:t>ommission</w:t>
      </w:r>
      <w:r w:rsidRPr="00A25B26">
        <w:rPr>
          <w:rFonts w:ascii="Palatino Linotype" w:hAnsi="Palatino Linotype"/>
          <w:b w:val="0"/>
        </w:rPr>
        <w:t xml:space="preserve"> to withdraw as the COLR</w:t>
      </w:r>
      <w:r w:rsidR="00515280">
        <w:rPr>
          <w:rFonts w:ascii="Palatino Linotype" w:hAnsi="Palatino Linotype"/>
          <w:b w:val="0"/>
        </w:rPr>
        <w:t>.  At that point, the existing COLR</w:t>
      </w:r>
      <w:r w:rsidR="0076482F" w:rsidRPr="00A25B26">
        <w:rPr>
          <w:rFonts w:ascii="Palatino Linotype" w:hAnsi="Palatino Linotype"/>
          <w:b w:val="0"/>
        </w:rPr>
        <w:t xml:space="preserve"> </w:t>
      </w:r>
      <w:r w:rsidR="00515280">
        <w:rPr>
          <w:rFonts w:ascii="Palatino Linotype" w:hAnsi="Palatino Linotype"/>
          <w:b w:val="0"/>
        </w:rPr>
        <w:t>continues</w:t>
      </w:r>
      <w:r w:rsidRPr="00A25B26">
        <w:rPr>
          <w:rFonts w:ascii="Palatino Linotype" w:hAnsi="Palatino Linotype"/>
          <w:b w:val="0"/>
        </w:rPr>
        <w:t xml:space="preserve"> to </w:t>
      </w:r>
      <w:r w:rsidR="0076482F" w:rsidRPr="00A25B26">
        <w:rPr>
          <w:rFonts w:ascii="Palatino Linotype" w:hAnsi="Palatino Linotype"/>
          <w:b w:val="0"/>
        </w:rPr>
        <w:t>serve</w:t>
      </w:r>
      <w:r w:rsidRPr="00A25B26">
        <w:rPr>
          <w:rFonts w:ascii="Palatino Linotype" w:hAnsi="Palatino Linotype"/>
          <w:b w:val="0"/>
        </w:rPr>
        <w:t xml:space="preserve"> as the COLR until </w:t>
      </w:r>
      <w:r w:rsidR="0076482F" w:rsidRPr="00A25B26">
        <w:rPr>
          <w:rFonts w:ascii="Palatino Linotype" w:hAnsi="Palatino Linotype"/>
          <w:b w:val="0"/>
        </w:rPr>
        <w:t>its</w:t>
      </w:r>
      <w:r w:rsidRPr="00A25B26">
        <w:rPr>
          <w:rFonts w:ascii="Palatino Linotype" w:hAnsi="Palatino Linotype"/>
          <w:b w:val="0"/>
        </w:rPr>
        <w:t xml:space="preserve"> application is granted or a new COLR has been assigned as a result of an auction</w:t>
      </w:r>
      <w:r w:rsidR="00515280">
        <w:rPr>
          <w:rFonts w:ascii="Palatino Linotype" w:hAnsi="Palatino Linotype"/>
          <w:b w:val="0"/>
        </w:rPr>
        <w:t>, whereby other telecommunications carriers have the opportunity to bid for the right to replace the existing COLR and serve that area as the new COLR.</w:t>
      </w:r>
    </w:p>
    <w:p w:rsidR="00311E27" w:rsidRPr="00A25B26" w:rsidRDefault="00311E27" w:rsidP="000604A6">
      <w:pPr>
        <w:pStyle w:val="Title"/>
        <w:ind w:right="90"/>
        <w:jc w:val="left"/>
        <w:rPr>
          <w:rFonts w:ascii="Palatino Linotype" w:hAnsi="Palatino Linotype"/>
          <w:b w:val="0"/>
          <w:szCs w:val="24"/>
          <w:u w:val="single"/>
        </w:rPr>
      </w:pPr>
    </w:p>
    <w:p w:rsidR="00204ACD" w:rsidRDefault="00204ACD" w:rsidP="00C37321">
      <w:pPr>
        <w:pStyle w:val="Title"/>
        <w:ind w:left="720" w:right="90"/>
        <w:jc w:val="left"/>
        <w:rPr>
          <w:rFonts w:ascii="Palatino Linotype" w:hAnsi="Palatino Linotype"/>
          <w:b w:val="0"/>
          <w:szCs w:val="24"/>
        </w:rPr>
      </w:pPr>
    </w:p>
    <w:p w:rsidR="00204ACD" w:rsidRDefault="00204ACD" w:rsidP="00C37321">
      <w:pPr>
        <w:pStyle w:val="Title"/>
        <w:ind w:left="720" w:right="90"/>
        <w:jc w:val="left"/>
        <w:rPr>
          <w:rFonts w:ascii="Palatino Linotype" w:hAnsi="Palatino Linotype"/>
          <w:b w:val="0"/>
          <w:szCs w:val="24"/>
        </w:rPr>
      </w:pPr>
    </w:p>
    <w:p w:rsidR="00204ACD" w:rsidRDefault="00204ACD" w:rsidP="00C37321">
      <w:pPr>
        <w:pStyle w:val="Title"/>
        <w:ind w:left="720" w:right="90"/>
        <w:jc w:val="left"/>
        <w:rPr>
          <w:rFonts w:ascii="Palatino Linotype" w:hAnsi="Palatino Linotype"/>
          <w:b w:val="0"/>
          <w:szCs w:val="24"/>
        </w:rPr>
      </w:pPr>
    </w:p>
    <w:p w:rsidR="006323D7" w:rsidRDefault="006323D7" w:rsidP="00C37321">
      <w:pPr>
        <w:pStyle w:val="Title"/>
        <w:ind w:left="720" w:right="90"/>
        <w:jc w:val="left"/>
        <w:rPr>
          <w:rFonts w:ascii="Palatino Linotype" w:hAnsi="Palatino Linotype"/>
          <w:b w:val="0"/>
          <w:szCs w:val="24"/>
        </w:rPr>
      </w:pPr>
      <w:r w:rsidRPr="006323D7">
        <w:rPr>
          <w:rFonts w:ascii="Palatino Linotype" w:hAnsi="Palatino Linotype"/>
          <w:b w:val="0"/>
          <w:szCs w:val="24"/>
        </w:rPr>
        <w:lastRenderedPageBreak/>
        <w:t xml:space="preserve">Decision 12-12-038, Appendix C, 6.c. </w:t>
      </w:r>
      <w:r>
        <w:rPr>
          <w:rFonts w:ascii="Palatino Linotype" w:hAnsi="Palatino Linotype"/>
          <w:b w:val="0"/>
          <w:szCs w:val="24"/>
        </w:rPr>
        <w:t xml:space="preserve">affirmed </w:t>
      </w:r>
      <w:r w:rsidR="00A14174">
        <w:rPr>
          <w:rFonts w:ascii="Palatino Linotype" w:hAnsi="Palatino Linotype"/>
          <w:b w:val="0"/>
          <w:szCs w:val="24"/>
        </w:rPr>
        <w:t xml:space="preserve">D.96-10-066 </w:t>
      </w:r>
      <w:r>
        <w:rPr>
          <w:rFonts w:ascii="Palatino Linotype" w:hAnsi="Palatino Linotype"/>
          <w:b w:val="0"/>
          <w:szCs w:val="24"/>
        </w:rPr>
        <w:t>that a</w:t>
      </w:r>
      <w:r w:rsidRPr="006323D7">
        <w:rPr>
          <w:rFonts w:ascii="Palatino Linotype" w:hAnsi="Palatino Linotype"/>
          <w:b w:val="0"/>
          <w:szCs w:val="24"/>
        </w:rPr>
        <w:t xml:space="preserve"> </w:t>
      </w:r>
      <w:r w:rsidRPr="00D022A5">
        <w:rPr>
          <w:rFonts w:ascii="Palatino Linotype" w:hAnsi="Palatino Linotype"/>
          <w:b w:val="0"/>
          <w:szCs w:val="24"/>
        </w:rPr>
        <w:t>designated COLR</w:t>
      </w:r>
      <w:r w:rsidRPr="00D022A5">
        <w:rPr>
          <w:rFonts w:ascii="Palatino Linotype" w:hAnsi="Palatino Linotype"/>
          <w:b w:val="0"/>
          <w:szCs w:val="24"/>
          <w:u w:val="single"/>
        </w:rPr>
        <w:t xml:space="preserve"> </w:t>
      </w:r>
      <w:r w:rsidRPr="00D022A5">
        <w:rPr>
          <w:rFonts w:ascii="Palatino Linotype" w:hAnsi="Palatino Linotype"/>
          <w:b w:val="0"/>
          <w:szCs w:val="24"/>
        </w:rPr>
        <w:t xml:space="preserve">may opt out of its </w:t>
      </w:r>
      <w:r w:rsidR="00A14174">
        <w:rPr>
          <w:rFonts w:ascii="Palatino Linotype" w:hAnsi="Palatino Linotype"/>
          <w:b w:val="0"/>
          <w:szCs w:val="24"/>
        </w:rPr>
        <w:t xml:space="preserve">COLR </w:t>
      </w:r>
      <w:r w:rsidRPr="00D022A5">
        <w:rPr>
          <w:rFonts w:ascii="Palatino Linotype" w:hAnsi="Palatino Linotype"/>
          <w:b w:val="0"/>
          <w:szCs w:val="24"/>
        </w:rPr>
        <w:t>obligations in a GSA by advice letter, unless it is the only carrier remaining in the GSA</w:t>
      </w:r>
      <w:r>
        <w:rPr>
          <w:rFonts w:ascii="Palatino Linotype" w:hAnsi="Palatino Linotype"/>
          <w:b w:val="0"/>
          <w:szCs w:val="24"/>
        </w:rPr>
        <w:t>.</w:t>
      </w:r>
    </w:p>
    <w:p w:rsidR="006323D7" w:rsidRPr="006323D7" w:rsidRDefault="006323D7" w:rsidP="00C37321">
      <w:pPr>
        <w:pStyle w:val="Title"/>
        <w:ind w:left="720" w:right="90"/>
        <w:jc w:val="left"/>
        <w:rPr>
          <w:rFonts w:ascii="Palatino Linotype" w:hAnsi="Palatino Linotype"/>
          <w:b w:val="0"/>
          <w:szCs w:val="24"/>
        </w:rPr>
      </w:pPr>
    </w:p>
    <w:p w:rsidR="00C37321" w:rsidRPr="00A25B26" w:rsidRDefault="00C37321" w:rsidP="00C37321">
      <w:pPr>
        <w:pStyle w:val="Title"/>
        <w:ind w:left="720" w:right="90"/>
        <w:jc w:val="left"/>
        <w:rPr>
          <w:rFonts w:ascii="Palatino Linotype" w:hAnsi="Palatino Linotype"/>
          <w:b w:val="0"/>
          <w:szCs w:val="24"/>
        </w:rPr>
      </w:pPr>
      <w:r w:rsidRPr="00A25B26">
        <w:rPr>
          <w:rFonts w:ascii="Palatino Linotype" w:hAnsi="Palatino Linotype"/>
          <w:b w:val="0"/>
          <w:szCs w:val="24"/>
        </w:rPr>
        <w:t xml:space="preserve">Decision 13-05-035 </w:t>
      </w:r>
      <w:r w:rsidR="006323D7">
        <w:rPr>
          <w:rFonts w:ascii="Palatino Linotype" w:hAnsi="Palatino Linotype"/>
          <w:b w:val="0"/>
          <w:szCs w:val="24"/>
        </w:rPr>
        <w:t xml:space="preserve">also </w:t>
      </w:r>
      <w:r w:rsidRPr="00A25B26">
        <w:rPr>
          <w:rFonts w:ascii="Palatino Linotype" w:hAnsi="Palatino Linotype"/>
          <w:b w:val="0"/>
          <w:szCs w:val="24"/>
        </w:rPr>
        <w:t xml:space="preserve">reiterated that the advice letter process should be used by </w:t>
      </w:r>
      <w:r w:rsidR="00451ED2" w:rsidRPr="00A25B26">
        <w:rPr>
          <w:rFonts w:ascii="Palatino Linotype" w:hAnsi="Palatino Linotype"/>
          <w:b w:val="0"/>
          <w:szCs w:val="24"/>
        </w:rPr>
        <w:t xml:space="preserve">a </w:t>
      </w:r>
      <w:r w:rsidRPr="00A25B26">
        <w:rPr>
          <w:rFonts w:ascii="Palatino Linotype" w:hAnsi="Palatino Linotype"/>
          <w:b w:val="0"/>
          <w:szCs w:val="24"/>
        </w:rPr>
        <w:t>COLR to opt out of its COLR obligations in designated high cost areas</w:t>
      </w:r>
      <w:r w:rsidR="007533DA">
        <w:rPr>
          <w:rFonts w:ascii="Palatino Linotype" w:hAnsi="Palatino Linotype"/>
          <w:b w:val="0"/>
          <w:szCs w:val="24"/>
        </w:rPr>
        <w:t>, if there is another COLR serving those areas</w:t>
      </w:r>
      <w:r w:rsidRPr="00A25B26">
        <w:rPr>
          <w:rFonts w:ascii="Palatino Linotype" w:hAnsi="Palatino Linotype"/>
          <w:b w:val="0"/>
          <w:szCs w:val="24"/>
        </w:rPr>
        <w:t>.</w:t>
      </w:r>
      <w:r w:rsidR="007533DA">
        <w:rPr>
          <w:rStyle w:val="FootnoteReference"/>
          <w:rFonts w:ascii="Palatino Linotype" w:hAnsi="Palatino Linotype"/>
          <w:b w:val="0"/>
          <w:szCs w:val="24"/>
        </w:rPr>
        <w:footnoteReference w:id="4"/>
      </w:r>
    </w:p>
    <w:p w:rsidR="00C37321" w:rsidRPr="00A25B26" w:rsidRDefault="002871F0" w:rsidP="002871F0">
      <w:pPr>
        <w:spacing w:before="100" w:beforeAutospacing="1" w:after="100" w:afterAutospacing="1"/>
        <w:ind w:left="720"/>
        <w:outlineLvl w:val="1"/>
        <w:rPr>
          <w:rFonts w:ascii="Palatino Linotype" w:hAnsi="Palatino Linotype"/>
        </w:rPr>
      </w:pPr>
      <w:bookmarkStart w:id="1" w:name="P423_29075"/>
      <w:bookmarkEnd w:id="1"/>
      <w:r w:rsidRPr="00A25B26">
        <w:rPr>
          <w:rFonts w:ascii="Palatino Linotype" w:hAnsi="Palatino Linotype" w:cs="Arial"/>
          <w:bCs/>
        </w:rPr>
        <w:t xml:space="preserve">Commission </w:t>
      </w:r>
      <w:r w:rsidR="00C37321" w:rsidRPr="00A25B26">
        <w:rPr>
          <w:rFonts w:ascii="Palatino Linotype" w:hAnsi="Palatino Linotype" w:cs="Arial"/>
          <w:bCs/>
        </w:rPr>
        <w:t>Gen</w:t>
      </w:r>
      <w:r w:rsidRPr="00A25B26">
        <w:rPr>
          <w:rFonts w:ascii="Palatino Linotype" w:hAnsi="Palatino Linotype" w:cs="Arial"/>
          <w:bCs/>
        </w:rPr>
        <w:t>e</w:t>
      </w:r>
      <w:r w:rsidR="00C37321" w:rsidRPr="00A25B26">
        <w:rPr>
          <w:rFonts w:ascii="Palatino Linotype" w:hAnsi="Palatino Linotype" w:cs="Arial"/>
          <w:bCs/>
        </w:rPr>
        <w:t xml:space="preserve">ral Order </w:t>
      </w:r>
      <w:r w:rsidR="005E0E9B" w:rsidRPr="00A25B26">
        <w:rPr>
          <w:rFonts w:ascii="Palatino Linotype" w:hAnsi="Palatino Linotype" w:cs="Arial"/>
          <w:bCs/>
        </w:rPr>
        <w:t>9</w:t>
      </w:r>
      <w:r w:rsidR="005E0E9B">
        <w:rPr>
          <w:rFonts w:ascii="Palatino Linotype" w:hAnsi="Palatino Linotype" w:cs="Arial"/>
          <w:bCs/>
        </w:rPr>
        <w:t>6</w:t>
      </w:r>
      <w:r w:rsidR="00C37321" w:rsidRPr="00A25B26">
        <w:rPr>
          <w:rFonts w:ascii="Palatino Linotype" w:hAnsi="Palatino Linotype" w:cs="Arial"/>
          <w:bCs/>
        </w:rPr>
        <w:t>-B, Industry Rule 5.1, addresses the matters for which it is appropriate to use advice letters</w:t>
      </w:r>
      <w:r w:rsidR="00BA2016" w:rsidRPr="00A25B26">
        <w:rPr>
          <w:rFonts w:ascii="Palatino Linotype" w:hAnsi="Palatino Linotype" w:cs="Arial"/>
          <w:bCs/>
        </w:rPr>
        <w:t xml:space="preserve">. </w:t>
      </w:r>
      <w:r w:rsidR="005E0E9B">
        <w:rPr>
          <w:rFonts w:ascii="Palatino Linotype" w:hAnsi="Palatino Linotype" w:cs="Arial"/>
          <w:bCs/>
        </w:rPr>
        <w:t xml:space="preserve"> </w:t>
      </w:r>
      <w:r w:rsidRPr="00A25B26">
        <w:rPr>
          <w:rFonts w:ascii="Palatino Linotype" w:hAnsi="Palatino Linotype" w:cs="Arial"/>
          <w:bCs/>
        </w:rPr>
        <w:t>Rule 5.1 states, “</w:t>
      </w:r>
      <w:r w:rsidR="00C37321" w:rsidRPr="00A25B26">
        <w:rPr>
          <w:rFonts w:ascii="Palatino Linotype" w:hAnsi="Palatino Linotype" w:cs="Arial"/>
        </w:rPr>
        <w:t>A utility may also request relief by means of an advice letter where the utility:</w:t>
      </w:r>
      <w:r w:rsidRPr="00A25B26">
        <w:rPr>
          <w:rFonts w:ascii="Palatino Linotype" w:hAnsi="Palatino Linotype" w:cs="Arial"/>
        </w:rPr>
        <w:t xml:space="preserve"> </w:t>
      </w:r>
      <w:r w:rsidR="00C37321" w:rsidRPr="00A25B26">
        <w:rPr>
          <w:rFonts w:ascii="Palatino Linotype" w:hAnsi="Palatino Linotype" w:cs="Arial"/>
        </w:rPr>
        <w:t>(1) has been authorized or required, by statute, by this General Order, or by other Commission order, to seek the requested reli</w:t>
      </w:r>
      <w:r w:rsidRPr="00A25B26">
        <w:rPr>
          <w:rFonts w:ascii="Palatino Linotype" w:hAnsi="Palatino Linotype" w:cs="Arial"/>
        </w:rPr>
        <w:t>ef by means of an advice letter.”</w:t>
      </w:r>
    </w:p>
    <w:p w:rsidR="004C508D" w:rsidRDefault="005E0E9B" w:rsidP="004C508D">
      <w:pPr>
        <w:pStyle w:val="NormalWeb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CD staff</w:t>
      </w:r>
      <w:r w:rsidR="00930F7A">
        <w:rPr>
          <w:rFonts w:ascii="Palatino Linotype" w:hAnsi="Palatino Linotype"/>
        </w:rPr>
        <w:t>’s subsequent</w:t>
      </w:r>
      <w:r>
        <w:rPr>
          <w:rFonts w:ascii="Palatino Linotype" w:hAnsi="Palatino Linotype"/>
        </w:rPr>
        <w:t xml:space="preserve"> review of G.O. 96-B, Industry Rule 7 (Advice Letter Review and Disposition) </w:t>
      </w:r>
      <w:r w:rsidR="00930F7A">
        <w:rPr>
          <w:rFonts w:ascii="Palatino Linotype" w:hAnsi="Palatino Linotype"/>
        </w:rPr>
        <w:t xml:space="preserve">addressed </w:t>
      </w:r>
      <w:r>
        <w:rPr>
          <w:rFonts w:ascii="Palatino Linotype" w:hAnsi="Palatino Linotype"/>
        </w:rPr>
        <w:t xml:space="preserve">the appropriate Tier level under which a carrier should submit an AL </w:t>
      </w:r>
      <w:r w:rsidR="002871F0" w:rsidRPr="00A25B26">
        <w:rPr>
          <w:rFonts w:ascii="Palatino Linotype" w:hAnsi="Palatino Linotype"/>
        </w:rPr>
        <w:t>to opt out of its COLR obligations</w:t>
      </w:r>
      <w:r w:rsidR="004C508D">
        <w:rPr>
          <w:rFonts w:ascii="Palatino Linotype" w:hAnsi="Palatino Linotype"/>
        </w:rPr>
        <w:t xml:space="preserve">, if it is serving an </w:t>
      </w:r>
      <w:r w:rsidR="00515280">
        <w:rPr>
          <w:rFonts w:ascii="Palatino Linotype" w:hAnsi="Palatino Linotype"/>
        </w:rPr>
        <w:t>area already served by another existing COLR</w:t>
      </w:r>
      <w:r w:rsidR="004C508D">
        <w:rPr>
          <w:rFonts w:ascii="Palatino Linotype" w:hAnsi="Palatino Linotype"/>
        </w:rPr>
        <w:t>;</w:t>
      </w:r>
      <w:r w:rsidR="002871F0" w:rsidRPr="00A25B26">
        <w:rPr>
          <w:rFonts w:ascii="Palatino Linotype" w:hAnsi="Palatino Linotype"/>
        </w:rPr>
        <w:t xml:space="preserve"> i.e. </w:t>
      </w:r>
      <w:r w:rsidR="004C508D">
        <w:rPr>
          <w:rFonts w:ascii="Palatino Linotype" w:hAnsi="Palatino Linotype"/>
        </w:rPr>
        <w:t>T</w:t>
      </w:r>
      <w:r w:rsidR="004C508D" w:rsidRPr="00A25B26">
        <w:rPr>
          <w:rFonts w:ascii="Palatino Linotype" w:hAnsi="Palatino Linotype"/>
        </w:rPr>
        <w:t xml:space="preserve">ier </w:t>
      </w:r>
      <w:r w:rsidR="002871F0" w:rsidRPr="00A25B26">
        <w:rPr>
          <w:rFonts w:ascii="Palatino Linotype" w:hAnsi="Palatino Linotype"/>
        </w:rPr>
        <w:t>1, 2 or 3</w:t>
      </w:r>
      <w:r w:rsidR="00BA2016" w:rsidRPr="00A25B26">
        <w:rPr>
          <w:rFonts w:ascii="Palatino Linotype" w:hAnsi="Palatino Linotype"/>
        </w:rPr>
        <w:t xml:space="preserve">. </w:t>
      </w:r>
    </w:p>
    <w:p w:rsidR="00AA2166" w:rsidRDefault="005E0E9B" w:rsidP="004C508D">
      <w:pPr>
        <w:pStyle w:val="NormalWeb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CD staff review found that </w:t>
      </w:r>
      <w:r w:rsidR="007533DA">
        <w:rPr>
          <w:rFonts w:ascii="Palatino Linotype" w:hAnsi="Palatino Linotype"/>
        </w:rPr>
        <w:t xml:space="preserve">a </w:t>
      </w:r>
      <w:r>
        <w:rPr>
          <w:rFonts w:ascii="Palatino Linotype" w:hAnsi="Palatino Linotype"/>
        </w:rPr>
        <w:t>T</w:t>
      </w:r>
      <w:r w:rsidR="004C508D" w:rsidRPr="00A25B26">
        <w:rPr>
          <w:rFonts w:ascii="Palatino Linotype" w:hAnsi="Palatino Linotype"/>
        </w:rPr>
        <w:t xml:space="preserve">ier 2 advice letter </w:t>
      </w:r>
      <w:r w:rsidR="004C508D">
        <w:rPr>
          <w:rFonts w:ascii="Palatino Linotype" w:hAnsi="Palatino Linotype"/>
        </w:rPr>
        <w:t xml:space="preserve">should be submitted </w:t>
      </w:r>
      <w:r w:rsidR="004C508D" w:rsidRPr="00A25B26">
        <w:rPr>
          <w:rFonts w:ascii="Palatino Linotype" w:hAnsi="Palatino Linotype"/>
        </w:rPr>
        <w:t>for matters that require staff approval</w:t>
      </w:r>
      <w:r>
        <w:rPr>
          <w:rFonts w:ascii="Palatino Linotype" w:hAnsi="Palatino Linotype"/>
        </w:rPr>
        <w:t xml:space="preserve"> </w:t>
      </w:r>
      <w:r w:rsidR="004C508D">
        <w:rPr>
          <w:rFonts w:ascii="Palatino Linotype" w:hAnsi="Palatino Linotype"/>
        </w:rPr>
        <w:t xml:space="preserve">where </w:t>
      </w:r>
      <w:r w:rsidR="004C508D" w:rsidRPr="00A25B26">
        <w:rPr>
          <w:rFonts w:ascii="Palatino Linotype" w:hAnsi="Palatino Linotype"/>
        </w:rPr>
        <w:t xml:space="preserve">Cox is requesting, “a </w:t>
      </w:r>
      <w:r w:rsidR="004C508D" w:rsidRPr="00A25B26">
        <w:rPr>
          <w:rFonts w:ascii="Palatino Linotype" w:hAnsi="Palatino Linotype" w:cs="Arial"/>
        </w:rPr>
        <w:t xml:space="preserve">tariff change that is consistent with authority the Commission previously has granted to the Utility submitting the advice letter, such as a rate change within a price floor and ceiling previously approved by the Commission for that Utility”. In this case, Cox is amending its A-1 tariff to delete mention of the GSAs that it </w:t>
      </w:r>
      <w:r w:rsidR="00930F7A">
        <w:rPr>
          <w:rFonts w:ascii="Palatino Linotype" w:hAnsi="Palatino Linotype" w:cs="Arial"/>
        </w:rPr>
        <w:t xml:space="preserve">will </w:t>
      </w:r>
      <w:r w:rsidR="004C508D" w:rsidRPr="00A25B26">
        <w:rPr>
          <w:rFonts w:ascii="Palatino Linotype" w:hAnsi="Palatino Linotype" w:cs="Arial"/>
        </w:rPr>
        <w:t>no longer serve as a COLR, if its request is granted by the commission.</w:t>
      </w:r>
      <w:r w:rsidR="004C508D">
        <w:rPr>
          <w:rFonts w:ascii="Palatino Linotype" w:hAnsi="Palatino Linotype"/>
        </w:rPr>
        <w:t xml:space="preserve"> </w:t>
      </w:r>
      <w:r w:rsidR="00930F7A">
        <w:rPr>
          <w:rFonts w:ascii="Palatino Linotype" w:hAnsi="Palatino Linotype"/>
        </w:rPr>
        <w:t xml:space="preserve"> </w:t>
      </w:r>
    </w:p>
    <w:p w:rsidR="002871F0" w:rsidRPr="00A25B26" w:rsidRDefault="004C508D" w:rsidP="004C508D">
      <w:pPr>
        <w:pStyle w:val="NormalWeb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This AL was properly submitted as a Tier </w:t>
      </w:r>
      <w:r w:rsidR="00AA2166">
        <w:rPr>
          <w:rFonts w:ascii="Palatino Linotype" w:hAnsi="Palatino Linotype"/>
        </w:rPr>
        <w:t xml:space="preserve">2 </w:t>
      </w:r>
      <w:r>
        <w:rPr>
          <w:rFonts w:ascii="Palatino Linotype" w:hAnsi="Palatino Linotype"/>
        </w:rPr>
        <w:t>AL.</w:t>
      </w:r>
      <w:r w:rsidR="00BA2016" w:rsidRPr="00A25B26">
        <w:rPr>
          <w:rFonts w:ascii="Palatino Linotype" w:hAnsi="Palatino Linotype"/>
        </w:rPr>
        <w:t xml:space="preserve"> </w:t>
      </w:r>
      <w:r w:rsidR="0079423D">
        <w:rPr>
          <w:rFonts w:ascii="Palatino Linotype" w:hAnsi="Palatino Linotype"/>
        </w:rPr>
        <w:t xml:space="preserve"> </w:t>
      </w:r>
    </w:p>
    <w:p w:rsidR="0079423D" w:rsidRDefault="0079423D" w:rsidP="002871F0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  <w:r>
        <w:rPr>
          <w:rFonts w:ascii="Palatino Linotype" w:hAnsi="Palatino Linotype"/>
          <w:b w:val="0"/>
        </w:rPr>
        <w:t xml:space="preserve">Cox requests </w:t>
      </w:r>
      <w:r w:rsidR="00A14174">
        <w:rPr>
          <w:rFonts w:ascii="Palatino Linotype" w:hAnsi="Palatino Linotype"/>
          <w:b w:val="0"/>
        </w:rPr>
        <w:t xml:space="preserve">to opt </w:t>
      </w:r>
      <w:r>
        <w:rPr>
          <w:rFonts w:ascii="Palatino Linotype" w:hAnsi="Palatino Linotype"/>
          <w:b w:val="0"/>
        </w:rPr>
        <w:t xml:space="preserve">out of its COLR obligations in 18 high cost CBGs located in Orange and San Diego counties.  We have confirmed that </w:t>
      </w:r>
      <w:r w:rsidRPr="00A25B26">
        <w:rPr>
          <w:rFonts w:ascii="Palatino Linotype" w:hAnsi="Palatino Linotype"/>
          <w:b w:val="0"/>
        </w:rPr>
        <w:t xml:space="preserve">AT&amp;T currently serves as a COLR in all </w:t>
      </w:r>
      <w:r>
        <w:rPr>
          <w:rFonts w:ascii="Palatino Linotype" w:hAnsi="Palatino Linotype"/>
          <w:b w:val="0"/>
        </w:rPr>
        <w:t xml:space="preserve">of </w:t>
      </w:r>
      <w:r w:rsidR="00A819B6">
        <w:rPr>
          <w:rFonts w:ascii="Palatino Linotype" w:hAnsi="Palatino Linotype"/>
          <w:b w:val="0"/>
        </w:rPr>
        <w:t xml:space="preserve">the 18 </w:t>
      </w:r>
      <w:r>
        <w:rPr>
          <w:rFonts w:ascii="Palatino Linotype" w:hAnsi="Palatino Linotype"/>
          <w:b w:val="0"/>
        </w:rPr>
        <w:t>CBGs</w:t>
      </w:r>
      <w:r w:rsidR="00A819B6">
        <w:rPr>
          <w:rFonts w:ascii="Palatino Linotype" w:hAnsi="Palatino Linotype"/>
          <w:b w:val="0"/>
        </w:rPr>
        <w:t xml:space="preserve"> in which Cox is requesting to opt out of its COLR obligation</w:t>
      </w:r>
      <w:r>
        <w:rPr>
          <w:rFonts w:ascii="Palatino Linotype" w:hAnsi="Palatino Linotype"/>
          <w:b w:val="0"/>
        </w:rPr>
        <w:t xml:space="preserve">.  </w:t>
      </w:r>
    </w:p>
    <w:p w:rsidR="0079423D" w:rsidRDefault="0079423D" w:rsidP="002871F0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</w:p>
    <w:p w:rsidR="0079423D" w:rsidRPr="00A25B26" w:rsidRDefault="0079423D" w:rsidP="002871F0">
      <w:pPr>
        <w:pStyle w:val="Title"/>
        <w:ind w:left="720" w:right="90"/>
        <w:jc w:val="left"/>
        <w:rPr>
          <w:rFonts w:ascii="Palatino Linotype" w:hAnsi="Palatino Linotype"/>
          <w:b w:val="0"/>
          <w:szCs w:val="24"/>
        </w:rPr>
      </w:pPr>
      <w:r>
        <w:rPr>
          <w:rFonts w:ascii="Palatino Linotype" w:hAnsi="Palatino Linotype"/>
          <w:b w:val="0"/>
        </w:rPr>
        <w:t>Cox also states that it</w:t>
      </w:r>
      <w:r w:rsidRPr="00A25B26">
        <w:rPr>
          <w:rFonts w:ascii="Palatino Linotype" w:hAnsi="Palatino Linotype"/>
          <w:b w:val="0"/>
        </w:rPr>
        <w:t xml:space="preserve"> will continue to provide </w:t>
      </w:r>
      <w:r>
        <w:rPr>
          <w:rFonts w:ascii="Palatino Linotype" w:hAnsi="Palatino Linotype"/>
          <w:b w:val="0"/>
        </w:rPr>
        <w:t>service, including basic and Lifeline,</w:t>
      </w:r>
      <w:r w:rsidRPr="00A25B26">
        <w:rPr>
          <w:rFonts w:ascii="Palatino Linotype" w:hAnsi="Palatino Linotype"/>
          <w:b w:val="0"/>
        </w:rPr>
        <w:t xml:space="preserve"> to its current customers without any </w:t>
      </w:r>
      <w:r>
        <w:rPr>
          <w:rFonts w:ascii="Palatino Linotype" w:hAnsi="Palatino Linotype"/>
          <w:b w:val="0"/>
        </w:rPr>
        <w:t xml:space="preserve">additional or </w:t>
      </w:r>
      <w:r w:rsidRPr="00A25B26">
        <w:rPr>
          <w:rFonts w:ascii="Palatino Linotype" w:hAnsi="Palatino Linotype"/>
          <w:b w:val="0"/>
        </w:rPr>
        <w:t>other service changes.</w:t>
      </w:r>
      <w:r>
        <w:rPr>
          <w:rFonts w:ascii="Palatino Linotype" w:hAnsi="Palatino Linotype"/>
          <w:b w:val="0"/>
        </w:rPr>
        <w:t xml:space="preserve">  Therefore, there will </w:t>
      </w:r>
      <w:r w:rsidR="00A14174">
        <w:rPr>
          <w:rFonts w:ascii="Palatino Linotype" w:hAnsi="Palatino Linotype"/>
          <w:b w:val="0"/>
        </w:rPr>
        <w:t xml:space="preserve">be </w:t>
      </w:r>
      <w:r>
        <w:rPr>
          <w:rFonts w:ascii="Palatino Linotype" w:hAnsi="Palatino Linotype"/>
          <w:b w:val="0"/>
        </w:rPr>
        <w:t>no changes to service</w:t>
      </w:r>
      <w:r w:rsidR="00A14174">
        <w:rPr>
          <w:rFonts w:ascii="Palatino Linotype" w:hAnsi="Palatino Linotype"/>
          <w:b w:val="0"/>
        </w:rPr>
        <w:t>s</w:t>
      </w:r>
      <w:r>
        <w:rPr>
          <w:rFonts w:ascii="Palatino Linotype" w:hAnsi="Palatino Linotype"/>
          <w:b w:val="0"/>
        </w:rPr>
        <w:t xml:space="preserve"> currently provided to customers</w:t>
      </w:r>
      <w:r w:rsidR="00CF3795">
        <w:rPr>
          <w:rFonts w:ascii="Palatino Linotype" w:hAnsi="Palatino Linotype"/>
          <w:b w:val="0"/>
        </w:rPr>
        <w:t xml:space="preserve"> served by Cox</w:t>
      </w:r>
      <w:r w:rsidR="00A14174">
        <w:rPr>
          <w:rFonts w:ascii="Palatino Linotype" w:hAnsi="Palatino Linotype"/>
          <w:b w:val="0"/>
        </w:rPr>
        <w:t xml:space="preserve"> in these CBGs</w:t>
      </w:r>
      <w:r w:rsidR="00CF3795">
        <w:rPr>
          <w:rFonts w:ascii="Palatino Linotype" w:hAnsi="Palatino Linotype"/>
          <w:b w:val="0"/>
        </w:rPr>
        <w:t>.</w:t>
      </w:r>
      <w:r w:rsidR="00A819B6">
        <w:rPr>
          <w:rFonts w:ascii="Palatino Linotype" w:hAnsi="Palatino Linotype"/>
          <w:b w:val="0"/>
        </w:rPr>
        <w:t xml:space="preserve">  Cox’s request to opt out of COLR obligations means that it will no longer be eligible for CHCF-B funding once this </w:t>
      </w:r>
      <w:r w:rsidR="00EF039E">
        <w:rPr>
          <w:rFonts w:ascii="Palatino Linotype" w:hAnsi="Palatino Linotype"/>
          <w:b w:val="0"/>
        </w:rPr>
        <w:t>Resolution</w:t>
      </w:r>
      <w:r w:rsidR="00A819B6">
        <w:rPr>
          <w:rFonts w:ascii="Palatino Linotype" w:hAnsi="Palatino Linotype"/>
          <w:b w:val="0"/>
        </w:rPr>
        <w:t xml:space="preserve"> is adopted.</w:t>
      </w:r>
    </w:p>
    <w:p w:rsidR="00205D96" w:rsidRPr="00A25B26" w:rsidRDefault="00205D96" w:rsidP="004636E9">
      <w:pPr>
        <w:pStyle w:val="Title"/>
        <w:ind w:right="90"/>
        <w:jc w:val="left"/>
        <w:rPr>
          <w:rFonts w:ascii="Palatino Linotype" w:hAnsi="Palatino Linotype"/>
          <w:szCs w:val="24"/>
        </w:rPr>
      </w:pPr>
      <w:bookmarkStart w:id="2" w:name="P975_102188"/>
      <w:bookmarkEnd w:id="2"/>
    </w:p>
    <w:p w:rsidR="00205D96" w:rsidRPr="00A25B26" w:rsidRDefault="00205D96" w:rsidP="00205D96">
      <w:pPr>
        <w:pStyle w:val="Title"/>
        <w:ind w:left="720" w:right="90"/>
        <w:jc w:val="left"/>
        <w:rPr>
          <w:rFonts w:ascii="Palatino Linotype" w:hAnsi="Palatino Linotype"/>
          <w:sz w:val="26"/>
          <w:szCs w:val="26"/>
          <w:u w:val="single"/>
        </w:rPr>
      </w:pPr>
      <w:r w:rsidRPr="00A25B26">
        <w:rPr>
          <w:rFonts w:ascii="Palatino Linotype" w:hAnsi="Palatino Linotype"/>
          <w:sz w:val="26"/>
          <w:szCs w:val="26"/>
          <w:u w:val="single"/>
        </w:rPr>
        <w:lastRenderedPageBreak/>
        <w:t>Notices/Protests</w:t>
      </w:r>
    </w:p>
    <w:p w:rsidR="00205D96" w:rsidRPr="00A25B26" w:rsidRDefault="00205D96" w:rsidP="00205D96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</w:p>
    <w:p w:rsidR="00642199" w:rsidRPr="00A25B26" w:rsidRDefault="00205D96" w:rsidP="00670413">
      <w:pPr>
        <w:pStyle w:val="Title"/>
        <w:ind w:left="720" w:right="90"/>
        <w:jc w:val="left"/>
        <w:rPr>
          <w:rFonts w:ascii="Palatino Linotype" w:hAnsi="Palatino Linotype"/>
          <w:b w:val="0"/>
          <w:szCs w:val="24"/>
        </w:rPr>
      </w:pPr>
      <w:r w:rsidRPr="00A25B26">
        <w:rPr>
          <w:rFonts w:ascii="Palatino Linotype" w:hAnsi="Palatino Linotype"/>
          <w:b w:val="0"/>
        </w:rPr>
        <w:t xml:space="preserve">In response to notice of the </w:t>
      </w:r>
      <w:r w:rsidR="00786BC1" w:rsidRPr="00A25B26">
        <w:rPr>
          <w:rFonts w:ascii="Palatino Linotype" w:hAnsi="Palatino Linotype"/>
          <w:b w:val="0"/>
        </w:rPr>
        <w:t xml:space="preserve">Cox’s </w:t>
      </w:r>
      <w:r w:rsidRPr="00A25B26">
        <w:rPr>
          <w:rFonts w:ascii="Palatino Linotype" w:hAnsi="Palatino Linotype"/>
          <w:b w:val="0"/>
        </w:rPr>
        <w:t>AL</w:t>
      </w:r>
      <w:r w:rsidR="00786BC1" w:rsidRPr="00A25B26">
        <w:rPr>
          <w:rFonts w:ascii="Palatino Linotype" w:hAnsi="Palatino Linotype"/>
          <w:b w:val="0"/>
        </w:rPr>
        <w:t xml:space="preserve"> 1442</w:t>
      </w:r>
      <w:r w:rsidRPr="00A25B26">
        <w:rPr>
          <w:rFonts w:ascii="Palatino Linotype" w:hAnsi="Palatino Linotype"/>
          <w:b w:val="0"/>
        </w:rPr>
        <w:t xml:space="preserve"> </w:t>
      </w:r>
      <w:r w:rsidR="000E16C1" w:rsidRPr="00A25B26">
        <w:rPr>
          <w:rFonts w:ascii="Palatino Linotype" w:hAnsi="Palatino Linotype"/>
          <w:b w:val="0"/>
        </w:rPr>
        <w:t>in</w:t>
      </w:r>
      <w:r w:rsidRPr="00A25B26">
        <w:rPr>
          <w:rFonts w:ascii="Palatino Linotype" w:hAnsi="Palatino Linotype"/>
          <w:b w:val="0"/>
        </w:rPr>
        <w:t xml:space="preserve"> the Daily Calendar</w:t>
      </w:r>
      <w:r w:rsidR="00786BC1" w:rsidRPr="00A25B26">
        <w:rPr>
          <w:rFonts w:ascii="Palatino Linotype" w:hAnsi="Palatino Linotype"/>
          <w:b w:val="0"/>
        </w:rPr>
        <w:t xml:space="preserve"> on May 18, 2016</w:t>
      </w:r>
      <w:r w:rsidRPr="00A25B26">
        <w:rPr>
          <w:rFonts w:ascii="Palatino Linotype" w:hAnsi="Palatino Linotype"/>
          <w:b w:val="0"/>
        </w:rPr>
        <w:t xml:space="preserve">, the Commission </w:t>
      </w:r>
      <w:r w:rsidR="00786BC1" w:rsidRPr="00A25B26">
        <w:rPr>
          <w:rFonts w:ascii="Palatino Linotype" w:hAnsi="Palatino Linotype"/>
          <w:b w:val="0"/>
        </w:rPr>
        <w:t>receive</w:t>
      </w:r>
      <w:r w:rsidR="00930F7A">
        <w:rPr>
          <w:rFonts w:ascii="Palatino Linotype" w:hAnsi="Palatino Linotype"/>
          <w:b w:val="0"/>
        </w:rPr>
        <w:t>d</w:t>
      </w:r>
      <w:r w:rsidR="00786BC1" w:rsidRPr="00A25B26">
        <w:rPr>
          <w:rFonts w:ascii="Palatino Linotype" w:hAnsi="Palatino Linotype"/>
          <w:b w:val="0"/>
        </w:rPr>
        <w:t xml:space="preserve"> </w:t>
      </w:r>
      <w:r w:rsidR="00930F7A">
        <w:rPr>
          <w:rFonts w:ascii="Palatino Linotype" w:hAnsi="Palatino Linotype"/>
          <w:b w:val="0"/>
        </w:rPr>
        <w:t>no</w:t>
      </w:r>
      <w:r w:rsidR="00930F7A" w:rsidRPr="00A25B26">
        <w:rPr>
          <w:rFonts w:ascii="Palatino Linotype" w:hAnsi="Palatino Linotype"/>
          <w:b w:val="0"/>
        </w:rPr>
        <w:t xml:space="preserve"> </w:t>
      </w:r>
      <w:r w:rsidRPr="00A25B26">
        <w:rPr>
          <w:rFonts w:ascii="Palatino Linotype" w:hAnsi="Palatino Linotype"/>
          <w:b w:val="0"/>
        </w:rPr>
        <w:t>protests</w:t>
      </w:r>
      <w:r w:rsidR="00786BC1" w:rsidRPr="00A25B26">
        <w:rPr>
          <w:rFonts w:ascii="Palatino Linotype" w:hAnsi="Palatino Linotype"/>
          <w:b w:val="0"/>
        </w:rPr>
        <w:t>.</w:t>
      </w:r>
      <w:r w:rsidRPr="00A25B26">
        <w:rPr>
          <w:rFonts w:ascii="Palatino Linotype" w:hAnsi="Palatino Linotype"/>
          <w:b w:val="0"/>
        </w:rPr>
        <w:t xml:space="preserve"> </w:t>
      </w:r>
    </w:p>
    <w:p w:rsidR="00642199" w:rsidRPr="00A25B26" w:rsidRDefault="00642199" w:rsidP="00642199">
      <w:pPr>
        <w:autoSpaceDE w:val="0"/>
        <w:autoSpaceDN w:val="0"/>
        <w:adjustRightInd w:val="0"/>
        <w:ind w:left="720"/>
        <w:rPr>
          <w:rFonts w:ascii="Palatino Linotype" w:hAnsi="Palatino Linotype" w:cs="TimesNewRomanPS-BoldMT"/>
          <w:b/>
          <w:bCs/>
        </w:rPr>
      </w:pPr>
    </w:p>
    <w:p w:rsidR="004B4964" w:rsidRPr="00A25B26" w:rsidRDefault="004B4964" w:rsidP="004B4964">
      <w:pPr>
        <w:pStyle w:val="Title"/>
        <w:ind w:left="720" w:right="90"/>
        <w:jc w:val="left"/>
        <w:rPr>
          <w:rFonts w:ascii="Palatino Linotype" w:hAnsi="Palatino Linotype"/>
          <w:sz w:val="26"/>
          <w:szCs w:val="26"/>
          <w:u w:val="single"/>
        </w:rPr>
      </w:pPr>
      <w:r w:rsidRPr="00A25B26">
        <w:rPr>
          <w:rFonts w:ascii="Palatino Linotype" w:hAnsi="Palatino Linotype"/>
          <w:sz w:val="26"/>
          <w:szCs w:val="26"/>
          <w:u w:val="single"/>
        </w:rPr>
        <w:t>Safety</w:t>
      </w:r>
    </w:p>
    <w:p w:rsidR="004B4964" w:rsidRPr="00A25B26" w:rsidRDefault="004B4964" w:rsidP="00A15F89">
      <w:pPr>
        <w:pStyle w:val="Title"/>
        <w:ind w:left="720" w:right="90"/>
        <w:jc w:val="left"/>
        <w:rPr>
          <w:rFonts w:ascii="Palatino Linotype" w:hAnsi="Palatino Linotype"/>
          <w:sz w:val="26"/>
          <w:szCs w:val="26"/>
          <w:u w:val="single"/>
        </w:rPr>
      </w:pPr>
    </w:p>
    <w:p w:rsidR="00FF7FF9" w:rsidRDefault="00930F7A" w:rsidP="001D40EE">
      <w:pPr>
        <w:pStyle w:val="Title"/>
        <w:ind w:left="720" w:right="90"/>
        <w:jc w:val="left"/>
        <w:rPr>
          <w:rFonts w:ascii="Palatino Linotype" w:hAnsi="Palatino Linotype"/>
          <w:b w:val="0"/>
          <w:szCs w:val="24"/>
        </w:rPr>
      </w:pPr>
      <w:r w:rsidRPr="00AE0BE5">
        <w:rPr>
          <w:rFonts w:ascii="Palatino Linotype" w:hAnsi="Palatino Linotype"/>
          <w:b w:val="0"/>
          <w:szCs w:val="24"/>
        </w:rPr>
        <w:t>CD</w:t>
      </w:r>
      <w:r w:rsidR="001D40EE" w:rsidRPr="00AE0BE5">
        <w:rPr>
          <w:rFonts w:ascii="Palatino Linotype" w:hAnsi="Palatino Linotype"/>
          <w:b w:val="0"/>
          <w:szCs w:val="24"/>
        </w:rPr>
        <w:t xml:space="preserve"> staff contacted Cox to verify that Cox’s customer service, </w:t>
      </w:r>
      <w:r w:rsidR="00071367" w:rsidRPr="00AE0BE5">
        <w:rPr>
          <w:rFonts w:ascii="Palatino Linotype" w:hAnsi="Palatino Linotype"/>
          <w:b w:val="0"/>
          <w:szCs w:val="24"/>
        </w:rPr>
        <w:t xml:space="preserve">its </w:t>
      </w:r>
      <w:r w:rsidR="001D40EE" w:rsidRPr="00AE0BE5">
        <w:rPr>
          <w:rFonts w:ascii="Palatino Linotype" w:hAnsi="Palatino Linotype"/>
          <w:b w:val="0"/>
          <w:szCs w:val="24"/>
        </w:rPr>
        <w:t xml:space="preserve">911 emergency service and </w:t>
      </w:r>
      <w:r w:rsidR="00071367" w:rsidRPr="00AE0BE5">
        <w:rPr>
          <w:rFonts w:ascii="Palatino Linotype" w:hAnsi="Palatino Linotype"/>
          <w:b w:val="0"/>
          <w:szCs w:val="24"/>
        </w:rPr>
        <w:t xml:space="preserve">its </w:t>
      </w:r>
      <w:r w:rsidR="001D40EE" w:rsidRPr="00AE0BE5">
        <w:rPr>
          <w:rFonts w:ascii="Palatino Linotype" w:hAnsi="Palatino Linotype"/>
          <w:b w:val="0"/>
          <w:szCs w:val="24"/>
        </w:rPr>
        <w:t xml:space="preserve">current service quality levels will not be negatively affected by Cox no longer receiving </w:t>
      </w:r>
      <w:r>
        <w:rPr>
          <w:rFonts w:ascii="Palatino Linotype" w:hAnsi="Palatino Linotype"/>
          <w:b w:val="0"/>
          <w:szCs w:val="24"/>
        </w:rPr>
        <w:t>CHCF-</w:t>
      </w:r>
      <w:r w:rsidR="001D40EE" w:rsidRPr="00AE0BE5">
        <w:rPr>
          <w:rFonts w:ascii="Palatino Linotype" w:hAnsi="Palatino Linotype"/>
          <w:b w:val="0"/>
          <w:szCs w:val="24"/>
        </w:rPr>
        <w:t xml:space="preserve">B Fund subsidy. </w:t>
      </w:r>
      <w:r w:rsidR="00071367" w:rsidRPr="00AE0BE5">
        <w:rPr>
          <w:rFonts w:ascii="Palatino Linotype" w:hAnsi="Palatino Linotype"/>
          <w:b w:val="0"/>
          <w:szCs w:val="24"/>
        </w:rPr>
        <w:t xml:space="preserve"> </w:t>
      </w:r>
      <w:r w:rsidR="001D40EE" w:rsidRPr="00AE0BE5">
        <w:rPr>
          <w:rFonts w:ascii="Palatino Linotype" w:hAnsi="Palatino Linotype"/>
          <w:b w:val="0"/>
          <w:szCs w:val="24"/>
        </w:rPr>
        <w:t>In response to the question concerning safety and service quality, </w:t>
      </w:r>
      <w:r w:rsidR="001D40EE" w:rsidRPr="00AE0BE5">
        <w:rPr>
          <w:rFonts w:ascii="Palatino Linotype" w:hAnsi="Palatino Linotype" w:cs="Arial"/>
          <w:b w:val="0"/>
          <w:szCs w:val="24"/>
        </w:rPr>
        <w:t>Cox responded by stating, “Cox does not expect any effect on safety or service quality for its services or operations, due to the minimal funds Cox receives from the program.</w:t>
      </w:r>
      <w:r w:rsidR="001D40EE" w:rsidRPr="00AE0BE5">
        <w:rPr>
          <w:rFonts w:ascii="Palatino Linotype" w:hAnsi="Palatino Linotype"/>
          <w:b w:val="0"/>
          <w:szCs w:val="24"/>
        </w:rPr>
        <w:t> Cox no longer receiving B-Fund support will not impact the quality of our telephone service or our customers’ access to</w:t>
      </w:r>
      <w:r w:rsidR="001D40EE" w:rsidRPr="00A25B26">
        <w:rPr>
          <w:rFonts w:ascii="Palatino Linotype" w:hAnsi="Palatino Linotype"/>
          <w:b w:val="0"/>
          <w:sz w:val="26"/>
          <w:szCs w:val="26"/>
        </w:rPr>
        <w:t xml:space="preserve"> </w:t>
      </w:r>
      <w:r w:rsidR="001D40EE" w:rsidRPr="00AE0BE5">
        <w:rPr>
          <w:rFonts w:ascii="Palatino Linotype" w:hAnsi="Palatino Linotype"/>
          <w:b w:val="0"/>
          <w:szCs w:val="24"/>
        </w:rPr>
        <w:t>911.  State and federal laws</w:t>
      </w:r>
      <w:r w:rsidR="001D40EE" w:rsidRPr="00CC11A6">
        <w:rPr>
          <w:rFonts w:ascii="Palatino Linotype" w:hAnsi="Palatino Linotype"/>
          <w:b w:val="0"/>
          <w:szCs w:val="24"/>
        </w:rPr>
        <w:t xml:space="preserve"> </w:t>
      </w:r>
      <w:r w:rsidR="001D40EE" w:rsidRPr="00842736">
        <w:rPr>
          <w:rFonts w:ascii="Palatino Linotype" w:hAnsi="Palatino Linotype"/>
          <w:b w:val="0"/>
          <w:szCs w:val="24"/>
        </w:rPr>
        <w:t>independent</w:t>
      </w:r>
      <w:r w:rsidR="001D40EE" w:rsidRPr="00A25B26">
        <w:rPr>
          <w:rFonts w:ascii="Palatino Linotype" w:hAnsi="Palatino Linotype"/>
          <w:b w:val="0"/>
          <w:sz w:val="26"/>
          <w:szCs w:val="26"/>
        </w:rPr>
        <w:t xml:space="preserve"> </w:t>
      </w:r>
      <w:r w:rsidR="001D40EE" w:rsidRPr="00AE0BE5">
        <w:rPr>
          <w:rFonts w:ascii="Palatino Linotype" w:hAnsi="Palatino Linotype"/>
          <w:b w:val="0"/>
          <w:szCs w:val="24"/>
        </w:rPr>
        <w:t xml:space="preserve">of the Commission’s CHCF-B program require Cox to provide customers access to emergency services via 911.  Cox telephone customers will still </w:t>
      </w:r>
      <w:r w:rsidR="00A819B6">
        <w:rPr>
          <w:rFonts w:ascii="Palatino Linotype" w:hAnsi="Palatino Linotype"/>
          <w:b w:val="0"/>
          <w:szCs w:val="24"/>
        </w:rPr>
        <w:t xml:space="preserve">be expected to </w:t>
      </w:r>
      <w:r w:rsidR="001D40EE" w:rsidRPr="00AE0BE5">
        <w:rPr>
          <w:rFonts w:ascii="Palatino Linotype" w:hAnsi="Palatino Linotype"/>
          <w:b w:val="0"/>
          <w:szCs w:val="24"/>
        </w:rPr>
        <w:t>have continued and reliable access to emergency services by dialing 911, 24 hours a day, 7 days a week, 365 days each year. “</w:t>
      </w:r>
      <w:r w:rsidR="00FF7FF9">
        <w:rPr>
          <w:rFonts w:ascii="Palatino Linotype" w:hAnsi="Palatino Linotype"/>
          <w:b w:val="0"/>
          <w:szCs w:val="24"/>
        </w:rPr>
        <w:t xml:space="preserve">  </w:t>
      </w:r>
    </w:p>
    <w:p w:rsidR="00FF7FF9" w:rsidRDefault="00FF7FF9" w:rsidP="001D40EE">
      <w:pPr>
        <w:pStyle w:val="Title"/>
        <w:ind w:left="720" w:right="90"/>
        <w:jc w:val="left"/>
        <w:rPr>
          <w:rFonts w:ascii="Palatino Linotype" w:hAnsi="Palatino Linotype"/>
          <w:b w:val="0"/>
          <w:szCs w:val="24"/>
        </w:rPr>
      </w:pPr>
    </w:p>
    <w:p w:rsidR="001D40EE" w:rsidRPr="00AE0BE5" w:rsidRDefault="00FF7FF9" w:rsidP="001D40EE">
      <w:pPr>
        <w:pStyle w:val="Title"/>
        <w:ind w:left="720" w:right="90"/>
        <w:jc w:val="left"/>
        <w:rPr>
          <w:rFonts w:ascii="Palatino Linotype" w:hAnsi="Palatino Linotype"/>
          <w:b w:val="0"/>
          <w:szCs w:val="24"/>
        </w:rPr>
      </w:pPr>
      <w:r>
        <w:rPr>
          <w:rFonts w:ascii="Palatino Linotype" w:hAnsi="Palatino Linotype"/>
          <w:b w:val="0"/>
          <w:szCs w:val="24"/>
        </w:rPr>
        <w:t>CD confirms that D.12-12-038—which updated basic service telephone definitions and which applie</w:t>
      </w:r>
      <w:r w:rsidR="00FD00F3">
        <w:rPr>
          <w:rFonts w:ascii="Palatino Linotype" w:hAnsi="Palatino Linotype"/>
          <w:b w:val="0"/>
          <w:szCs w:val="24"/>
        </w:rPr>
        <w:t xml:space="preserve">s to any telephone corporation </w:t>
      </w:r>
      <w:r>
        <w:rPr>
          <w:rFonts w:ascii="Palatino Linotype" w:hAnsi="Palatino Linotype"/>
          <w:b w:val="0"/>
          <w:szCs w:val="24"/>
        </w:rPr>
        <w:t xml:space="preserve">serving as COLR </w:t>
      </w:r>
      <w:r w:rsidRPr="00543A74">
        <w:rPr>
          <w:rFonts w:ascii="Palatino Linotype" w:hAnsi="Palatino Linotype"/>
          <w:b w:val="0"/>
          <w:i/>
          <w:szCs w:val="24"/>
        </w:rPr>
        <w:t>or</w:t>
      </w:r>
      <w:r>
        <w:rPr>
          <w:rFonts w:ascii="Palatino Linotype" w:hAnsi="Palatino Linotype"/>
          <w:b w:val="0"/>
          <w:szCs w:val="24"/>
        </w:rPr>
        <w:t xml:space="preserve"> offering </w:t>
      </w:r>
      <w:r w:rsidR="00FD00F3">
        <w:rPr>
          <w:rFonts w:ascii="Palatino Linotype" w:hAnsi="Palatino Linotype"/>
          <w:b w:val="0"/>
          <w:szCs w:val="24"/>
        </w:rPr>
        <w:t>Lifeline service</w:t>
      </w:r>
      <w:r>
        <w:rPr>
          <w:rFonts w:ascii="Palatino Linotype" w:hAnsi="Palatino Linotype"/>
          <w:b w:val="0"/>
          <w:szCs w:val="24"/>
        </w:rPr>
        <w:t xml:space="preserve"> within California—required basic service providers to certify compliance with 911/E911 standards established by state and federal laws and regulations.  While Cox is relinquishing COLR status, it </w:t>
      </w:r>
      <w:r w:rsidR="009E773A">
        <w:rPr>
          <w:rFonts w:ascii="Palatino Linotype" w:hAnsi="Palatino Linotype"/>
          <w:b w:val="0"/>
          <w:szCs w:val="24"/>
        </w:rPr>
        <w:t xml:space="preserve">confirmed </w:t>
      </w:r>
      <w:r w:rsidR="00FD00F3">
        <w:rPr>
          <w:rFonts w:ascii="Palatino Linotype" w:hAnsi="Palatino Linotype"/>
          <w:b w:val="0"/>
          <w:szCs w:val="24"/>
        </w:rPr>
        <w:t>that it will continue</w:t>
      </w:r>
      <w:r>
        <w:rPr>
          <w:rFonts w:ascii="Palatino Linotype" w:hAnsi="Palatino Linotype"/>
          <w:b w:val="0"/>
          <w:szCs w:val="24"/>
        </w:rPr>
        <w:t xml:space="preserve"> to offer </w:t>
      </w:r>
      <w:r w:rsidR="00FD00F3">
        <w:rPr>
          <w:rFonts w:ascii="Palatino Linotype" w:hAnsi="Palatino Linotype"/>
          <w:b w:val="0"/>
          <w:szCs w:val="24"/>
        </w:rPr>
        <w:t>and provide Lifeline</w:t>
      </w:r>
      <w:r>
        <w:rPr>
          <w:rFonts w:ascii="Palatino Linotype" w:hAnsi="Palatino Linotype"/>
          <w:b w:val="0"/>
          <w:szCs w:val="24"/>
        </w:rPr>
        <w:t xml:space="preserve"> service</w:t>
      </w:r>
      <w:r w:rsidR="00FD00F3">
        <w:rPr>
          <w:rFonts w:ascii="Palatino Linotype" w:hAnsi="Palatino Linotype"/>
          <w:b w:val="0"/>
          <w:szCs w:val="24"/>
        </w:rPr>
        <w:t>.</w:t>
      </w:r>
      <w:r>
        <w:rPr>
          <w:rFonts w:ascii="Palatino Linotype" w:hAnsi="Palatino Linotype"/>
          <w:b w:val="0"/>
          <w:szCs w:val="24"/>
        </w:rPr>
        <w:t xml:space="preserve"> </w:t>
      </w:r>
      <w:r w:rsidR="00FD00F3">
        <w:rPr>
          <w:rFonts w:ascii="Palatino Linotype" w:hAnsi="Palatino Linotype"/>
          <w:b w:val="0"/>
          <w:szCs w:val="24"/>
        </w:rPr>
        <w:t>T</w:t>
      </w:r>
      <w:r>
        <w:rPr>
          <w:rFonts w:ascii="Palatino Linotype" w:hAnsi="Palatino Linotype"/>
          <w:b w:val="0"/>
          <w:szCs w:val="24"/>
        </w:rPr>
        <w:t>herefore</w:t>
      </w:r>
      <w:r w:rsidR="00FD00F3">
        <w:rPr>
          <w:rFonts w:ascii="Palatino Linotype" w:hAnsi="Palatino Linotype"/>
          <w:b w:val="0"/>
          <w:szCs w:val="24"/>
        </w:rPr>
        <w:t>, as set forth in D.12-12-038, Cox</w:t>
      </w:r>
      <w:r>
        <w:rPr>
          <w:rFonts w:ascii="Palatino Linotype" w:hAnsi="Palatino Linotype"/>
          <w:b w:val="0"/>
          <w:szCs w:val="24"/>
        </w:rPr>
        <w:t xml:space="preserve"> </w:t>
      </w:r>
      <w:r w:rsidR="009E773A">
        <w:rPr>
          <w:rFonts w:ascii="Palatino Linotype" w:hAnsi="Palatino Linotype"/>
          <w:b w:val="0"/>
          <w:szCs w:val="24"/>
        </w:rPr>
        <w:t xml:space="preserve">must </w:t>
      </w:r>
      <w:r w:rsidR="00AE723C">
        <w:rPr>
          <w:rFonts w:ascii="Palatino Linotype" w:hAnsi="Palatino Linotype"/>
          <w:b w:val="0"/>
          <w:szCs w:val="24"/>
        </w:rPr>
        <w:t>remain</w:t>
      </w:r>
      <w:r w:rsidR="009E773A">
        <w:rPr>
          <w:rFonts w:ascii="Palatino Linotype" w:hAnsi="Palatino Linotype"/>
          <w:b w:val="0"/>
          <w:szCs w:val="24"/>
        </w:rPr>
        <w:t xml:space="preserve"> </w:t>
      </w:r>
      <w:r w:rsidR="00FD00F3">
        <w:rPr>
          <w:rFonts w:ascii="Palatino Linotype" w:hAnsi="Palatino Linotype"/>
          <w:b w:val="0"/>
          <w:szCs w:val="24"/>
        </w:rPr>
        <w:t>compliant in providing continued</w:t>
      </w:r>
      <w:r w:rsidR="009E773A">
        <w:rPr>
          <w:rFonts w:ascii="Palatino Linotype" w:hAnsi="Palatino Linotype"/>
          <w:b w:val="0"/>
          <w:szCs w:val="24"/>
        </w:rPr>
        <w:t xml:space="preserve"> and reliable access to emergency 911 services.</w:t>
      </w:r>
      <w:r>
        <w:rPr>
          <w:rFonts w:ascii="Palatino Linotype" w:hAnsi="Palatino Linotype"/>
          <w:b w:val="0"/>
          <w:szCs w:val="24"/>
        </w:rPr>
        <w:t xml:space="preserve"> </w:t>
      </w:r>
      <w:r w:rsidR="001D40EE" w:rsidRPr="00AE0BE5">
        <w:rPr>
          <w:rFonts w:ascii="Palatino Linotype" w:hAnsi="Palatino Linotype"/>
          <w:b w:val="0"/>
          <w:szCs w:val="24"/>
        </w:rPr>
        <w:t>  </w:t>
      </w:r>
    </w:p>
    <w:p w:rsidR="001D40EE" w:rsidRPr="00A25B26" w:rsidRDefault="001D40EE" w:rsidP="001D40EE">
      <w:pPr>
        <w:ind w:left="720"/>
        <w:rPr>
          <w:rFonts w:ascii="Palatino Linotype" w:hAnsi="Palatino Linotype"/>
        </w:rPr>
      </w:pPr>
    </w:p>
    <w:p w:rsidR="004B4964" w:rsidRPr="00AE0BE5" w:rsidRDefault="00F604BD" w:rsidP="00A15F89">
      <w:pPr>
        <w:pStyle w:val="Title"/>
        <w:ind w:left="720" w:right="90"/>
        <w:jc w:val="left"/>
        <w:rPr>
          <w:rFonts w:ascii="Palatino Linotype" w:hAnsi="Palatino Linotype"/>
          <w:b w:val="0"/>
          <w:szCs w:val="24"/>
        </w:rPr>
      </w:pPr>
      <w:r w:rsidRPr="00AE0BE5">
        <w:rPr>
          <w:rFonts w:ascii="Palatino Linotype" w:hAnsi="Palatino Linotype"/>
          <w:b w:val="0"/>
          <w:szCs w:val="24"/>
        </w:rPr>
        <w:t xml:space="preserve">By allowing Cox to opt out of its COLR obligations and discontinue its CHCF-B support, </w:t>
      </w:r>
      <w:r w:rsidR="00CF3795">
        <w:rPr>
          <w:rFonts w:ascii="Palatino Linotype" w:hAnsi="Palatino Linotype"/>
          <w:b w:val="0"/>
          <w:szCs w:val="24"/>
        </w:rPr>
        <w:t xml:space="preserve">we find </w:t>
      </w:r>
      <w:r w:rsidR="00071367" w:rsidRPr="00AE0BE5">
        <w:rPr>
          <w:rFonts w:ascii="Palatino Linotype" w:hAnsi="Palatino Linotype"/>
          <w:b w:val="0"/>
          <w:szCs w:val="24"/>
        </w:rPr>
        <w:t xml:space="preserve">that </w:t>
      </w:r>
      <w:r w:rsidR="00CF3795">
        <w:rPr>
          <w:rFonts w:ascii="Palatino Linotype" w:hAnsi="Palatino Linotype"/>
          <w:b w:val="0"/>
          <w:szCs w:val="24"/>
        </w:rPr>
        <w:t>Cox’s</w:t>
      </w:r>
      <w:r w:rsidR="00CF3795" w:rsidRPr="00AE0BE5">
        <w:rPr>
          <w:rFonts w:ascii="Palatino Linotype" w:hAnsi="Palatino Linotype"/>
          <w:b w:val="0"/>
          <w:szCs w:val="24"/>
        </w:rPr>
        <w:t xml:space="preserve"> </w:t>
      </w:r>
      <w:r w:rsidRPr="00AE0BE5">
        <w:rPr>
          <w:rFonts w:ascii="Palatino Linotype" w:hAnsi="Palatino Linotype"/>
          <w:b w:val="0"/>
          <w:szCs w:val="24"/>
        </w:rPr>
        <w:t>ability to provide reliable and robust 911 services to assist its customers in emergency situation</w:t>
      </w:r>
      <w:r w:rsidR="00AE0BE5">
        <w:rPr>
          <w:rFonts w:ascii="Palatino Linotype" w:hAnsi="Palatino Linotype"/>
          <w:b w:val="0"/>
          <w:szCs w:val="24"/>
        </w:rPr>
        <w:t>s</w:t>
      </w:r>
      <w:r w:rsidR="00071367" w:rsidRPr="00AE0BE5">
        <w:rPr>
          <w:rFonts w:ascii="Palatino Linotype" w:hAnsi="Palatino Linotype"/>
          <w:b w:val="0"/>
          <w:szCs w:val="24"/>
        </w:rPr>
        <w:t xml:space="preserve"> will </w:t>
      </w:r>
      <w:r w:rsidR="00CF3795">
        <w:rPr>
          <w:rFonts w:ascii="Palatino Linotype" w:hAnsi="Palatino Linotype"/>
          <w:b w:val="0"/>
          <w:szCs w:val="24"/>
        </w:rPr>
        <w:t xml:space="preserve">not negatively </w:t>
      </w:r>
      <w:r w:rsidR="00071367" w:rsidRPr="00AE0BE5">
        <w:rPr>
          <w:rFonts w:ascii="Palatino Linotype" w:hAnsi="Palatino Linotype"/>
          <w:b w:val="0"/>
          <w:szCs w:val="24"/>
        </w:rPr>
        <w:t>be affected</w:t>
      </w:r>
      <w:r w:rsidRPr="00AE0BE5">
        <w:rPr>
          <w:rFonts w:ascii="Palatino Linotype" w:hAnsi="Palatino Linotype"/>
          <w:b w:val="0"/>
          <w:szCs w:val="24"/>
        </w:rPr>
        <w:t xml:space="preserve">.  </w:t>
      </w:r>
    </w:p>
    <w:p w:rsidR="004B4964" w:rsidRPr="00A25B26" w:rsidRDefault="004B4964" w:rsidP="00A15F89">
      <w:pPr>
        <w:pStyle w:val="Title"/>
        <w:ind w:left="720" w:right="90"/>
        <w:jc w:val="left"/>
        <w:rPr>
          <w:rFonts w:ascii="Palatino Linotype" w:hAnsi="Palatino Linotype"/>
          <w:b w:val="0"/>
          <w:sz w:val="26"/>
          <w:szCs w:val="26"/>
        </w:rPr>
      </w:pPr>
    </w:p>
    <w:p w:rsidR="00A15F89" w:rsidRPr="00A25B26" w:rsidRDefault="00A15F89" w:rsidP="00A15F89">
      <w:pPr>
        <w:pStyle w:val="Title"/>
        <w:ind w:left="720" w:right="90"/>
        <w:jc w:val="left"/>
        <w:rPr>
          <w:rFonts w:ascii="Palatino Linotype" w:hAnsi="Palatino Linotype"/>
          <w:sz w:val="26"/>
          <w:szCs w:val="26"/>
          <w:u w:val="single"/>
        </w:rPr>
      </w:pPr>
      <w:r w:rsidRPr="00A25B26">
        <w:rPr>
          <w:rFonts w:ascii="Palatino Linotype" w:hAnsi="Palatino Linotype"/>
          <w:sz w:val="26"/>
          <w:szCs w:val="26"/>
          <w:u w:val="single"/>
        </w:rPr>
        <w:t>Comments</w:t>
      </w:r>
    </w:p>
    <w:p w:rsidR="00A15F89" w:rsidRPr="00A25B26" w:rsidRDefault="00A15F89" w:rsidP="00A15F89">
      <w:pPr>
        <w:pStyle w:val="Title"/>
        <w:ind w:left="720" w:right="90"/>
        <w:jc w:val="left"/>
        <w:rPr>
          <w:rFonts w:ascii="Palatino Linotype" w:hAnsi="Palatino Linotype"/>
        </w:rPr>
      </w:pPr>
    </w:p>
    <w:p w:rsidR="006E19A9" w:rsidRPr="00A25B26" w:rsidRDefault="00A15F89" w:rsidP="00C02D98">
      <w:pPr>
        <w:pStyle w:val="Title"/>
        <w:spacing w:after="240"/>
        <w:ind w:left="720" w:right="86"/>
        <w:jc w:val="left"/>
        <w:rPr>
          <w:rFonts w:ascii="Palatino Linotype" w:hAnsi="Palatino Linotype"/>
          <w:b w:val="0"/>
        </w:rPr>
      </w:pPr>
      <w:r w:rsidRPr="00A25B26">
        <w:rPr>
          <w:rFonts w:ascii="Palatino Linotype" w:hAnsi="Palatino Linotype"/>
          <w:b w:val="0"/>
        </w:rPr>
        <w:t>Public Utilities Code § 311(g)(1) requires the Commission to serve copies of draft resolutions on all parties, and make the draft resolution available for public review and comment for a period of 30 days or more, prior to a vote by the Commission on the resolution</w:t>
      </w:r>
      <w:r w:rsidR="00F4434C" w:rsidRPr="00A25B26">
        <w:rPr>
          <w:rFonts w:ascii="Palatino Linotype" w:hAnsi="Palatino Linotype"/>
          <w:b w:val="0"/>
        </w:rPr>
        <w:t xml:space="preserve">. </w:t>
      </w:r>
      <w:r w:rsidRPr="00A25B26">
        <w:rPr>
          <w:rFonts w:ascii="Palatino Linotype" w:hAnsi="Palatino Linotype"/>
          <w:b w:val="0"/>
        </w:rPr>
        <w:t xml:space="preserve">On </w:t>
      </w:r>
      <w:r w:rsidR="000F7A0D">
        <w:rPr>
          <w:rFonts w:ascii="Palatino Linotype" w:hAnsi="Palatino Linotype"/>
          <w:b w:val="0"/>
        </w:rPr>
        <w:t>July 19</w:t>
      </w:r>
      <w:r w:rsidR="00802221" w:rsidRPr="00A25B26">
        <w:rPr>
          <w:rFonts w:ascii="Palatino Linotype" w:hAnsi="Palatino Linotype"/>
          <w:b w:val="0"/>
        </w:rPr>
        <w:t>,</w:t>
      </w:r>
      <w:r w:rsidRPr="00A25B26">
        <w:rPr>
          <w:rFonts w:ascii="Palatino Linotype" w:hAnsi="Palatino Linotype"/>
          <w:b w:val="0"/>
        </w:rPr>
        <w:t xml:space="preserve"> 2016, the Commission served cop</w:t>
      </w:r>
      <w:r w:rsidR="00B431B3" w:rsidRPr="00A25B26">
        <w:rPr>
          <w:rFonts w:ascii="Palatino Linotype" w:hAnsi="Palatino Linotype"/>
          <w:b w:val="0"/>
        </w:rPr>
        <w:t>ies</w:t>
      </w:r>
      <w:r w:rsidRPr="00A25B26">
        <w:rPr>
          <w:rFonts w:ascii="Palatino Linotype" w:hAnsi="Palatino Linotype"/>
          <w:b w:val="0"/>
        </w:rPr>
        <w:t xml:space="preserve"> of this resolution for comments to all persons on the </w:t>
      </w:r>
      <w:r w:rsidR="00670413" w:rsidRPr="00A25B26">
        <w:rPr>
          <w:rFonts w:ascii="Palatino Linotype" w:hAnsi="Palatino Linotype"/>
          <w:b w:val="0"/>
        </w:rPr>
        <w:t xml:space="preserve">advice letter’s </w:t>
      </w:r>
      <w:r w:rsidRPr="00A25B26">
        <w:rPr>
          <w:rFonts w:ascii="Palatino Linotype" w:hAnsi="Palatino Linotype"/>
          <w:b w:val="0"/>
        </w:rPr>
        <w:t>attached service list</w:t>
      </w:r>
      <w:r w:rsidR="00F4434C" w:rsidRPr="00A25B26">
        <w:rPr>
          <w:rFonts w:ascii="Palatino Linotype" w:hAnsi="Palatino Linotype"/>
          <w:b w:val="0"/>
        </w:rPr>
        <w:t>.</w:t>
      </w:r>
    </w:p>
    <w:p w:rsidR="00BA2FF6" w:rsidRDefault="00BA2FF6" w:rsidP="009206CB">
      <w:pPr>
        <w:pStyle w:val="Title"/>
        <w:ind w:left="720" w:right="90"/>
        <w:jc w:val="left"/>
        <w:rPr>
          <w:rFonts w:ascii="Palatino Linotype" w:hAnsi="Palatino Linotype"/>
          <w:sz w:val="26"/>
          <w:szCs w:val="26"/>
          <w:u w:val="single"/>
        </w:rPr>
      </w:pPr>
    </w:p>
    <w:p w:rsidR="009206CB" w:rsidRPr="00A25B26" w:rsidRDefault="009206CB" w:rsidP="009206CB">
      <w:pPr>
        <w:pStyle w:val="Title"/>
        <w:ind w:left="720" w:right="90"/>
        <w:jc w:val="left"/>
        <w:rPr>
          <w:rFonts w:ascii="Palatino Linotype" w:hAnsi="Palatino Linotype"/>
          <w:sz w:val="26"/>
          <w:szCs w:val="26"/>
          <w:u w:val="single"/>
        </w:rPr>
      </w:pPr>
      <w:r w:rsidRPr="00A25B26">
        <w:rPr>
          <w:rFonts w:ascii="Palatino Linotype" w:hAnsi="Palatino Linotype"/>
          <w:sz w:val="26"/>
          <w:szCs w:val="26"/>
          <w:u w:val="single"/>
        </w:rPr>
        <w:lastRenderedPageBreak/>
        <w:t>Conclusion</w:t>
      </w:r>
    </w:p>
    <w:p w:rsidR="009206CB" w:rsidRPr="00A25B26" w:rsidRDefault="009206CB" w:rsidP="009206CB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</w:p>
    <w:p w:rsidR="00291DA4" w:rsidRPr="00A25B26" w:rsidRDefault="009206CB" w:rsidP="009206CB">
      <w:pPr>
        <w:pStyle w:val="Title"/>
        <w:ind w:left="720"/>
        <w:jc w:val="left"/>
        <w:rPr>
          <w:rFonts w:ascii="Palatino Linotype" w:hAnsi="Palatino Linotype"/>
          <w:b w:val="0"/>
        </w:rPr>
      </w:pPr>
      <w:r w:rsidRPr="00A25B26">
        <w:rPr>
          <w:rFonts w:ascii="Palatino Linotype" w:hAnsi="Palatino Linotype"/>
          <w:b w:val="0"/>
        </w:rPr>
        <w:t xml:space="preserve">CD staff recommends </w:t>
      </w:r>
      <w:r w:rsidR="00A623B0" w:rsidRPr="00A25B26">
        <w:rPr>
          <w:rFonts w:ascii="Palatino Linotype" w:hAnsi="Palatino Linotype"/>
          <w:b w:val="0"/>
        </w:rPr>
        <w:t>that Cox’s request to opt out of its COLR obligations be approved</w:t>
      </w:r>
      <w:r w:rsidR="00291DA4" w:rsidRPr="00A25B26">
        <w:rPr>
          <w:rFonts w:ascii="Palatino Linotype" w:hAnsi="Palatino Linotype"/>
          <w:b w:val="0"/>
        </w:rPr>
        <w:t xml:space="preserve"> for the following reasons: </w:t>
      </w:r>
      <w:r w:rsidR="00D94EFE" w:rsidRPr="00A25B26">
        <w:rPr>
          <w:rFonts w:ascii="Palatino Linotype" w:hAnsi="Palatino Linotype"/>
          <w:b w:val="0"/>
        </w:rPr>
        <w:t>(</w:t>
      </w:r>
      <w:r w:rsidR="00291DA4" w:rsidRPr="00A25B26">
        <w:rPr>
          <w:rFonts w:ascii="Palatino Linotype" w:hAnsi="Palatino Linotype"/>
          <w:b w:val="0"/>
        </w:rPr>
        <w:t xml:space="preserve">1) </w:t>
      </w:r>
      <w:r w:rsidR="00A623B0" w:rsidRPr="00A25B26">
        <w:rPr>
          <w:rFonts w:ascii="Palatino Linotype" w:hAnsi="Palatino Linotype"/>
          <w:b w:val="0"/>
        </w:rPr>
        <w:t xml:space="preserve">AT&amp;T currently serves as a COLR in all </w:t>
      </w:r>
      <w:r w:rsidR="000F7A0D">
        <w:rPr>
          <w:rFonts w:ascii="Palatino Linotype" w:hAnsi="Palatino Linotype"/>
          <w:b w:val="0"/>
        </w:rPr>
        <w:t xml:space="preserve">18 of </w:t>
      </w:r>
      <w:r w:rsidR="00A623B0" w:rsidRPr="00A25B26">
        <w:rPr>
          <w:rFonts w:ascii="Palatino Linotype" w:hAnsi="Palatino Linotype"/>
          <w:b w:val="0"/>
        </w:rPr>
        <w:t>the designated high cost CBGs</w:t>
      </w:r>
      <w:r w:rsidR="00291DA4" w:rsidRPr="00A25B26">
        <w:rPr>
          <w:rFonts w:ascii="Palatino Linotype" w:hAnsi="Palatino Linotype"/>
          <w:b w:val="0"/>
        </w:rPr>
        <w:t xml:space="preserve"> in which C</w:t>
      </w:r>
      <w:r w:rsidR="00CF3795">
        <w:rPr>
          <w:rFonts w:ascii="Palatino Linotype" w:hAnsi="Palatino Linotype"/>
          <w:b w:val="0"/>
        </w:rPr>
        <w:t>ox</w:t>
      </w:r>
      <w:r w:rsidR="00291DA4" w:rsidRPr="00A25B26">
        <w:rPr>
          <w:rFonts w:ascii="Palatino Linotype" w:hAnsi="Palatino Linotype"/>
          <w:b w:val="0"/>
        </w:rPr>
        <w:t xml:space="preserve"> </w:t>
      </w:r>
      <w:r w:rsidR="000F7A0D">
        <w:rPr>
          <w:rFonts w:ascii="Palatino Linotype" w:hAnsi="Palatino Linotype"/>
          <w:b w:val="0"/>
        </w:rPr>
        <w:t>serves as</w:t>
      </w:r>
      <w:r w:rsidR="00291DA4" w:rsidRPr="00A25B26">
        <w:rPr>
          <w:rFonts w:ascii="Palatino Linotype" w:hAnsi="Palatino Linotype"/>
          <w:b w:val="0"/>
        </w:rPr>
        <w:t xml:space="preserve"> a COLR; </w:t>
      </w:r>
      <w:r w:rsidR="00D94EFE" w:rsidRPr="00A25B26">
        <w:rPr>
          <w:rFonts w:ascii="Palatino Linotype" w:hAnsi="Palatino Linotype"/>
          <w:b w:val="0"/>
        </w:rPr>
        <w:t>and (</w:t>
      </w:r>
      <w:r w:rsidR="00291DA4" w:rsidRPr="00A25B26">
        <w:rPr>
          <w:rFonts w:ascii="Palatino Linotype" w:hAnsi="Palatino Linotype"/>
          <w:b w:val="0"/>
        </w:rPr>
        <w:t xml:space="preserve">2) Cox will continue to provide service to its current customers without any </w:t>
      </w:r>
      <w:r w:rsidR="000F7A0D">
        <w:rPr>
          <w:rFonts w:ascii="Palatino Linotype" w:hAnsi="Palatino Linotype"/>
          <w:b w:val="0"/>
        </w:rPr>
        <w:t xml:space="preserve">additional or </w:t>
      </w:r>
      <w:r w:rsidR="00291DA4" w:rsidRPr="00A25B26">
        <w:rPr>
          <w:rFonts w:ascii="Palatino Linotype" w:hAnsi="Palatino Linotype"/>
          <w:b w:val="0"/>
        </w:rPr>
        <w:t>other service changes.</w:t>
      </w:r>
    </w:p>
    <w:p w:rsidR="001E1FDA" w:rsidRPr="00A25B26" w:rsidRDefault="001E1FDA" w:rsidP="009206CB">
      <w:pPr>
        <w:pStyle w:val="Title"/>
        <w:ind w:left="720" w:right="90"/>
        <w:jc w:val="left"/>
        <w:rPr>
          <w:rFonts w:ascii="Palatino Linotype" w:hAnsi="Palatino Linotype"/>
          <w:sz w:val="26"/>
          <w:szCs w:val="26"/>
          <w:u w:val="single"/>
        </w:rPr>
      </w:pPr>
    </w:p>
    <w:p w:rsidR="009206CB" w:rsidRPr="00A25B26" w:rsidRDefault="009206CB" w:rsidP="009206CB">
      <w:pPr>
        <w:pStyle w:val="Title"/>
        <w:ind w:left="720" w:right="90"/>
        <w:jc w:val="left"/>
        <w:rPr>
          <w:rFonts w:ascii="Palatino Linotype" w:hAnsi="Palatino Linotype"/>
          <w:sz w:val="26"/>
          <w:szCs w:val="26"/>
          <w:u w:val="single"/>
        </w:rPr>
      </w:pPr>
      <w:r w:rsidRPr="00A25B26">
        <w:rPr>
          <w:rFonts w:ascii="Palatino Linotype" w:hAnsi="Palatino Linotype"/>
          <w:sz w:val="26"/>
          <w:szCs w:val="26"/>
          <w:u w:val="single"/>
        </w:rPr>
        <w:t>Findings</w:t>
      </w:r>
      <w:r w:rsidR="00592F54" w:rsidRPr="00A25B26">
        <w:rPr>
          <w:rFonts w:ascii="Palatino Linotype" w:hAnsi="Palatino Linotype"/>
          <w:sz w:val="26"/>
          <w:szCs w:val="26"/>
          <w:u w:val="single"/>
        </w:rPr>
        <w:t xml:space="preserve"> and Conclusions</w:t>
      </w:r>
    </w:p>
    <w:p w:rsidR="009206CB" w:rsidRPr="00A25B26" w:rsidRDefault="009206CB" w:rsidP="009206CB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</w:p>
    <w:p w:rsidR="006323D7" w:rsidRDefault="00F10515" w:rsidP="006323D7">
      <w:pPr>
        <w:pStyle w:val="Title"/>
        <w:numPr>
          <w:ilvl w:val="1"/>
          <w:numId w:val="43"/>
        </w:numPr>
        <w:ind w:right="90"/>
        <w:jc w:val="left"/>
        <w:rPr>
          <w:rFonts w:ascii="Palatino Linotype" w:hAnsi="Palatino Linotype"/>
          <w:b w:val="0"/>
        </w:rPr>
      </w:pPr>
      <w:r w:rsidRPr="00A25B26">
        <w:rPr>
          <w:rFonts w:ascii="Palatino Linotype" w:hAnsi="Palatino Linotype"/>
          <w:b w:val="0"/>
        </w:rPr>
        <w:t>Cox</w:t>
      </w:r>
      <w:r w:rsidR="00FF47F8" w:rsidRPr="00A25B26">
        <w:rPr>
          <w:rFonts w:ascii="Palatino Linotype" w:hAnsi="Palatino Linotype"/>
          <w:b w:val="0"/>
        </w:rPr>
        <w:t xml:space="preserve"> </w:t>
      </w:r>
      <w:r w:rsidR="000F7A0D">
        <w:rPr>
          <w:rFonts w:ascii="Palatino Linotype" w:hAnsi="Palatino Linotype"/>
          <w:b w:val="0"/>
        </w:rPr>
        <w:t xml:space="preserve">California </w:t>
      </w:r>
      <w:proofErr w:type="spellStart"/>
      <w:r w:rsidR="000F7A0D">
        <w:rPr>
          <w:rFonts w:ascii="Palatino Linotype" w:hAnsi="Palatino Linotype"/>
          <w:b w:val="0"/>
        </w:rPr>
        <w:t>Telcom</w:t>
      </w:r>
      <w:proofErr w:type="spellEnd"/>
      <w:r w:rsidR="000F7A0D">
        <w:rPr>
          <w:rFonts w:ascii="Palatino Linotype" w:hAnsi="Palatino Linotype"/>
          <w:b w:val="0"/>
        </w:rPr>
        <w:t>, LLC</w:t>
      </w:r>
      <w:r w:rsidR="00CC11A6">
        <w:rPr>
          <w:rFonts w:ascii="Palatino Linotype" w:hAnsi="Palatino Linotype"/>
          <w:b w:val="0"/>
        </w:rPr>
        <w:t xml:space="preserve"> (U-5684-C)</w:t>
      </w:r>
      <w:r w:rsidR="000F7A0D">
        <w:rPr>
          <w:rFonts w:ascii="Palatino Linotype" w:hAnsi="Palatino Linotype"/>
          <w:b w:val="0"/>
        </w:rPr>
        <w:t xml:space="preserve"> </w:t>
      </w:r>
      <w:r w:rsidR="00FF47F8" w:rsidRPr="00A25B26">
        <w:rPr>
          <w:rFonts w:ascii="Palatino Linotype" w:hAnsi="Palatino Linotype"/>
          <w:b w:val="0"/>
        </w:rPr>
        <w:t xml:space="preserve">filed </w:t>
      </w:r>
      <w:r w:rsidR="000F7A0D">
        <w:rPr>
          <w:rFonts w:ascii="Palatino Linotype" w:hAnsi="Palatino Linotype"/>
          <w:b w:val="0"/>
        </w:rPr>
        <w:t>T</w:t>
      </w:r>
      <w:r w:rsidR="000F7A0D" w:rsidRPr="00A25B26">
        <w:rPr>
          <w:rFonts w:ascii="Palatino Linotype" w:hAnsi="Palatino Linotype"/>
          <w:b w:val="0"/>
        </w:rPr>
        <w:t xml:space="preserve">ier </w:t>
      </w:r>
      <w:r w:rsidRPr="00A25B26">
        <w:rPr>
          <w:rFonts w:ascii="Palatino Linotype" w:hAnsi="Palatino Linotype"/>
          <w:b w:val="0"/>
        </w:rPr>
        <w:t>2</w:t>
      </w:r>
      <w:r w:rsidR="00FF47F8" w:rsidRPr="00A25B26">
        <w:rPr>
          <w:rFonts w:ascii="Palatino Linotype" w:hAnsi="Palatino Linotype"/>
          <w:b w:val="0"/>
        </w:rPr>
        <w:t xml:space="preserve"> </w:t>
      </w:r>
      <w:r w:rsidR="007A1533" w:rsidRPr="00A25B26">
        <w:rPr>
          <w:rFonts w:ascii="Palatino Linotype" w:hAnsi="Palatino Linotype"/>
          <w:b w:val="0"/>
        </w:rPr>
        <w:t xml:space="preserve">advice letter </w:t>
      </w:r>
      <w:r w:rsidRPr="00A25B26">
        <w:rPr>
          <w:rFonts w:ascii="Palatino Linotype" w:hAnsi="Palatino Linotype"/>
          <w:b w:val="0"/>
        </w:rPr>
        <w:t>1442 on May 16, 2016, notifying</w:t>
      </w:r>
      <w:r w:rsidR="00FF47F8" w:rsidRPr="00A25B26">
        <w:rPr>
          <w:rFonts w:ascii="Palatino Linotype" w:hAnsi="Palatino Linotype"/>
          <w:b w:val="0"/>
        </w:rPr>
        <w:t xml:space="preserve"> the Commission </w:t>
      </w:r>
      <w:r w:rsidR="007A1533" w:rsidRPr="00A25B26">
        <w:rPr>
          <w:rFonts w:ascii="Palatino Linotype" w:hAnsi="Palatino Linotype"/>
          <w:b w:val="0"/>
        </w:rPr>
        <w:t xml:space="preserve">of its request to </w:t>
      </w:r>
      <w:r w:rsidRPr="00A25B26">
        <w:rPr>
          <w:rFonts w:ascii="Palatino Linotype" w:hAnsi="Palatino Linotype"/>
          <w:b w:val="0"/>
        </w:rPr>
        <w:t xml:space="preserve">opt out of its COLR responsibilities in 18 high cost </w:t>
      </w:r>
      <w:r w:rsidR="00CF3795">
        <w:rPr>
          <w:rFonts w:ascii="Palatino Linotype" w:hAnsi="Palatino Linotype"/>
          <w:b w:val="0"/>
        </w:rPr>
        <w:t>CBGs</w:t>
      </w:r>
      <w:r w:rsidRPr="00A25B26">
        <w:rPr>
          <w:rFonts w:ascii="Palatino Linotype" w:hAnsi="Palatino Linotype"/>
          <w:b w:val="0"/>
        </w:rPr>
        <w:t xml:space="preserve"> in Orange and San Diego Counties.</w:t>
      </w:r>
    </w:p>
    <w:p w:rsidR="006323D7" w:rsidRPr="006323D7" w:rsidRDefault="006323D7" w:rsidP="00D022A5">
      <w:pPr>
        <w:pStyle w:val="Title"/>
        <w:ind w:left="1440" w:right="90"/>
        <w:jc w:val="left"/>
        <w:rPr>
          <w:rFonts w:ascii="Palatino Linotype" w:hAnsi="Palatino Linotype"/>
          <w:b w:val="0"/>
        </w:rPr>
      </w:pPr>
    </w:p>
    <w:p w:rsidR="00291DA4" w:rsidRDefault="00CF3795" w:rsidP="00291DA4">
      <w:pPr>
        <w:pStyle w:val="Title"/>
        <w:numPr>
          <w:ilvl w:val="1"/>
          <w:numId w:val="43"/>
        </w:numPr>
        <w:ind w:right="90"/>
        <w:jc w:val="left"/>
        <w:rPr>
          <w:rFonts w:ascii="Palatino Linotype" w:hAnsi="Palatino Linotype"/>
          <w:b w:val="0"/>
        </w:rPr>
      </w:pPr>
      <w:r>
        <w:rPr>
          <w:rFonts w:ascii="Palatino Linotype" w:hAnsi="Palatino Linotype"/>
          <w:b w:val="0"/>
        </w:rPr>
        <w:t>I</w:t>
      </w:r>
      <w:r w:rsidR="00A91145" w:rsidRPr="00A25B26">
        <w:rPr>
          <w:rFonts w:ascii="Palatino Linotype" w:hAnsi="Palatino Linotype"/>
          <w:b w:val="0"/>
        </w:rPr>
        <w:t xml:space="preserve">n </w:t>
      </w:r>
      <w:r w:rsidR="000F7A0D">
        <w:rPr>
          <w:rFonts w:ascii="Palatino Linotype" w:hAnsi="Palatino Linotype"/>
          <w:b w:val="0"/>
        </w:rPr>
        <w:t>AL</w:t>
      </w:r>
      <w:r w:rsidR="00A91145" w:rsidRPr="00A25B26">
        <w:rPr>
          <w:rFonts w:ascii="Palatino Linotype" w:hAnsi="Palatino Linotype"/>
          <w:b w:val="0"/>
        </w:rPr>
        <w:t xml:space="preserve"> 1442, </w:t>
      </w:r>
      <w:r w:rsidR="00F10515" w:rsidRPr="00A25B26">
        <w:rPr>
          <w:rFonts w:ascii="Palatino Linotype" w:hAnsi="Palatino Linotype"/>
          <w:b w:val="0"/>
        </w:rPr>
        <w:t>Cox stated</w:t>
      </w:r>
      <w:r w:rsidR="000F7A0D">
        <w:rPr>
          <w:rFonts w:ascii="Palatino Linotype" w:hAnsi="Palatino Linotype"/>
          <w:b w:val="0"/>
        </w:rPr>
        <w:t xml:space="preserve"> that, upon approval of the AL,</w:t>
      </w:r>
      <w:r w:rsidR="00F10515" w:rsidRPr="00A25B26">
        <w:rPr>
          <w:rFonts w:ascii="Palatino Linotype" w:hAnsi="Palatino Linotype"/>
          <w:b w:val="0"/>
        </w:rPr>
        <w:t xml:space="preserve"> it would cease submitting monthly claims for CHCF-B support in </w:t>
      </w:r>
      <w:r>
        <w:rPr>
          <w:rFonts w:ascii="Palatino Linotype" w:hAnsi="Palatino Linotype"/>
          <w:b w:val="0"/>
        </w:rPr>
        <w:t>all</w:t>
      </w:r>
      <w:r w:rsidR="00F10515" w:rsidRPr="00A25B26">
        <w:rPr>
          <w:rFonts w:ascii="Palatino Linotype" w:hAnsi="Palatino Linotype"/>
          <w:b w:val="0"/>
        </w:rPr>
        <w:t>18 high cost CBGs.</w:t>
      </w:r>
      <w:r w:rsidR="00291DA4" w:rsidRPr="00A25B26">
        <w:rPr>
          <w:rFonts w:ascii="Palatino Linotype" w:hAnsi="Palatino Linotype"/>
          <w:b w:val="0"/>
        </w:rPr>
        <w:t xml:space="preserve"> </w:t>
      </w:r>
    </w:p>
    <w:p w:rsidR="006323D7" w:rsidRDefault="006323D7" w:rsidP="00D022A5">
      <w:pPr>
        <w:pStyle w:val="Title"/>
        <w:ind w:left="1440" w:right="90"/>
        <w:jc w:val="left"/>
        <w:rPr>
          <w:rFonts w:ascii="Palatino Linotype" w:hAnsi="Palatino Linotype"/>
          <w:b w:val="0"/>
        </w:rPr>
      </w:pPr>
    </w:p>
    <w:p w:rsidR="006323D7" w:rsidRDefault="00AE0BE5" w:rsidP="006323D7">
      <w:pPr>
        <w:pStyle w:val="Title"/>
        <w:numPr>
          <w:ilvl w:val="1"/>
          <w:numId w:val="43"/>
        </w:numPr>
        <w:ind w:right="90"/>
        <w:jc w:val="left"/>
        <w:rPr>
          <w:rFonts w:ascii="Palatino Linotype" w:hAnsi="Palatino Linotype"/>
          <w:b w:val="0"/>
        </w:rPr>
      </w:pPr>
      <w:r w:rsidRPr="006323D7">
        <w:rPr>
          <w:rFonts w:ascii="Palatino Linotype" w:hAnsi="Palatino Linotype"/>
          <w:b w:val="0"/>
        </w:rPr>
        <w:t>Cox serves 3,413 customers in these 18 CBGs and claims approximately $9</w:t>
      </w:r>
      <w:r w:rsidR="00CC11A6" w:rsidRPr="006323D7">
        <w:rPr>
          <w:rFonts w:ascii="Palatino Linotype" w:hAnsi="Palatino Linotype"/>
          <w:b w:val="0"/>
        </w:rPr>
        <w:t>,</w:t>
      </w:r>
      <w:r w:rsidRPr="006323D7">
        <w:rPr>
          <w:rFonts w:ascii="Palatino Linotype" w:hAnsi="Palatino Linotype"/>
          <w:b w:val="0"/>
        </w:rPr>
        <w:t xml:space="preserve">600 per month or </w:t>
      </w:r>
      <w:r w:rsidR="00CC11A6" w:rsidRPr="001719DC">
        <w:rPr>
          <w:rFonts w:ascii="Palatino Linotype" w:hAnsi="Palatino Linotype"/>
          <w:b w:val="0"/>
        </w:rPr>
        <w:t xml:space="preserve">approximately </w:t>
      </w:r>
      <w:r w:rsidRPr="001719DC">
        <w:rPr>
          <w:rFonts w:ascii="Palatino Linotype" w:hAnsi="Palatino Linotype"/>
          <w:b w:val="0"/>
        </w:rPr>
        <w:t xml:space="preserve">$115,000 per year from the CHCF-B program. </w:t>
      </w:r>
      <w:r w:rsidR="006323D7" w:rsidRPr="001719DC">
        <w:rPr>
          <w:rFonts w:ascii="Palatino Linotype" w:hAnsi="Palatino Linotype"/>
          <w:b w:val="0"/>
        </w:rPr>
        <w:t xml:space="preserve"> </w:t>
      </w:r>
    </w:p>
    <w:p w:rsidR="00AE0BE5" w:rsidRPr="006323D7" w:rsidRDefault="00AE0BE5" w:rsidP="00D022A5">
      <w:pPr>
        <w:pStyle w:val="Title"/>
        <w:ind w:left="1440" w:right="90"/>
        <w:jc w:val="left"/>
        <w:rPr>
          <w:rFonts w:ascii="Palatino Linotype" w:hAnsi="Palatino Linotype"/>
          <w:b w:val="0"/>
        </w:rPr>
      </w:pPr>
    </w:p>
    <w:p w:rsidR="00291DA4" w:rsidRDefault="00680A83" w:rsidP="00291DA4">
      <w:pPr>
        <w:pStyle w:val="Title"/>
        <w:numPr>
          <w:ilvl w:val="1"/>
          <w:numId w:val="43"/>
        </w:numPr>
        <w:ind w:right="90"/>
        <w:jc w:val="left"/>
        <w:rPr>
          <w:rFonts w:ascii="Palatino Linotype" w:hAnsi="Palatino Linotype"/>
          <w:b w:val="0"/>
        </w:rPr>
      </w:pPr>
      <w:r w:rsidRPr="00A25B26">
        <w:rPr>
          <w:rFonts w:ascii="Palatino Linotype" w:hAnsi="Palatino Linotype"/>
          <w:b w:val="0"/>
        </w:rPr>
        <w:t xml:space="preserve">AT&amp;T </w:t>
      </w:r>
      <w:r w:rsidR="000F7A0D">
        <w:rPr>
          <w:rFonts w:ascii="Palatino Linotype" w:hAnsi="Palatino Linotype"/>
          <w:b w:val="0"/>
        </w:rPr>
        <w:t>currently</w:t>
      </w:r>
      <w:r w:rsidR="000F7A0D" w:rsidRPr="00A25B26">
        <w:rPr>
          <w:rFonts w:ascii="Palatino Linotype" w:hAnsi="Palatino Linotype"/>
          <w:b w:val="0"/>
        </w:rPr>
        <w:t xml:space="preserve"> </w:t>
      </w:r>
      <w:r w:rsidRPr="00A25B26">
        <w:rPr>
          <w:rFonts w:ascii="Palatino Linotype" w:hAnsi="Palatino Linotype"/>
          <w:b w:val="0"/>
        </w:rPr>
        <w:t>provides service to all 18 CBGs in which Cox is requesting to opt out of its COLR responsibilities.</w:t>
      </w:r>
    </w:p>
    <w:p w:rsidR="006323D7" w:rsidRPr="00A25B26" w:rsidRDefault="006323D7" w:rsidP="00D022A5">
      <w:pPr>
        <w:pStyle w:val="Title"/>
        <w:ind w:left="1440" w:right="90"/>
        <w:jc w:val="left"/>
        <w:rPr>
          <w:rFonts w:ascii="Palatino Linotype" w:hAnsi="Palatino Linotype"/>
          <w:b w:val="0"/>
        </w:rPr>
      </w:pPr>
    </w:p>
    <w:p w:rsidR="00291DA4" w:rsidRDefault="00291DA4" w:rsidP="00291DA4">
      <w:pPr>
        <w:pStyle w:val="Title"/>
        <w:numPr>
          <w:ilvl w:val="1"/>
          <w:numId w:val="43"/>
        </w:numPr>
        <w:ind w:right="90"/>
        <w:jc w:val="left"/>
        <w:rPr>
          <w:rFonts w:ascii="Palatino Linotype" w:hAnsi="Palatino Linotype"/>
          <w:b w:val="0"/>
        </w:rPr>
      </w:pPr>
      <w:r w:rsidRPr="00A25B26">
        <w:rPr>
          <w:rFonts w:ascii="Palatino Linotype" w:hAnsi="Palatino Linotype"/>
          <w:b w:val="0"/>
        </w:rPr>
        <w:t xml:space="preserve">Cox will continue to provide </w:t>
      </w:r>
      <w:r w:rsidR="006A6DAC">
        <w:rPr>
          <w:rFonts w:ascii="Palatino Linotype" w:hAnsi="Palatino Linotype"/>
          <w:b w:val="0"/>
        </w:rPr>
        <w:t xml:space="preserve">basic </w:t>
      </w:r>
      <w:r w:rsidRPr="00A25B26">
        <w:rPr>
          <w:rFonts w:ascii="Palatino Linotype" w:hAnsi="Palatino Linotype"/>
          <w:b w:val="0"/>
        </w:rPr>
        <w:t>service</w:t>
      </w:r>
      <w:r w:rsidR="006A6DAC">
        <w:rPr>
          <w:rFonts w:ascii="Palatino Linotype" w:hAnsi="Palatino Linotype"/>
          <w:b w:val="0"/>
        </w:rPr>
        <w:t xml:space="preserve">, </w:t>
      </w:r>
      <w:r w:rsidR="00CF3795">
        <w:rPr>
          <w:rFonts w:ascii="Palatino Linotype" w:hAnsi="Palatino Linotype"/>
          <w:b w:val="0"/>
        </w:rPr>
        <w:t xml:space="preserve">Lifeline </w:t>
      </w:r>
      <w:r w:rsidR="006A6DAC">
        <w:rPr>
          <w:rFonts w:ascii="Palatino Linotype" w:hAnsi="Palatino Linotype"/>
          <w:b w:val="0"/>
        </w:rPr>
        <w:t>and other services,</w:t>
      </w:r>
      <w:r w:rsidRPr="00A25B26">
        <w:rPr>
          <w:rFonts w:ascii="Palatino Linotype" w:hAnsi="Palatino Linotype"/>
          <w:b w:val="0"/>
        </w:rPr>
        <w:t xml:space="preserve"> to its current customers without any other service changes.</w:t>
      </w:r>
    </w:p>
    <w:p w:rsidR="006E1DAE" w:rsidRDefault="006E1DAE" w:rsidP="006E1DAE">
      <w:pPr>
        <w:pStyle w:val="ListParagraph"/>
        <w:rPr>
          <w:rFonts w:ascii="Palatino Linotype" w:hAnsi="Palatino Linotype"/>
          <w:b/>
        </w:rPr>
      </w:pPr>
    </w:p>
    <w:p w:rsidR="006E1DAE" w:rsidRPr="00A819B6" w:rsidRDefault="006E1DAE" w:rsidP="00291DA4">
      <w:pPr>
        <w:pStyle w:val="Title"/>
        <w:numPr>
          <w:ilvl w:val="1"/>
          <w:numId w:val="43"/>
        </w:numPr>
        <w:ind w:right="90"/>
        <w:jc w:val="left"/>
        <w:rPr>
          <w:rFonts w:ascii="Palatino Linotype" w:hAnsi="Palatino Linotype"/>
          <w:b w:val="0"/>
        </w:rPr>
      </w:pPr>
      <w:r w:rsidRPr="00EF039E">
        <w:rPr>
          <w:rFonts w:ascii="Palatino Linotype" w:hAnsi="Palatino Linotype"/>
          <w:b w:val="0"/>
        </w:rPr>
        <w:t xml:space="preserve">Cox is not rescinding its Eligible Telecommunication Carrier (ETC) status or discontinuing offering California </w:t>
      </w:r>
      <w:proofErr w:type="spellStart"/>
      <w:r w:rsidRPr="00EF039E">
        <w:rPr>
          <w:rFonts w:ascii="Palatino Linotype" w:hAnsi="Palatino Linotype"/>
          <w:b w:val="0"/>
        </w:rPr>
        <w:t>LifeLine</w:t>
      </w:r>
      <w:proofErr w:type="spellEnd"/>
      <w:r w:rsidRPr="00EF039E">
        <w:rPr>
          <w:rFonts w:ascii="Palatino Linotype" w:hAnsi="Palatino Linotype"/>
          <w:b w:val="0"/>
        </w:rPr>
        <w:t xml:space="preserve"> service.  </w:t>
      </w:r>
    </w:p>
    <w:p w:rsidR="006323D7" w:rsidRPr="00A25B26" w:rsidRDefault="006323D7" w:rsidP="00D022A5">
      <w:pPr>
        <w:pStyle w:val="Title"/>
        <w:ind w:left="1440" w:right="90"/>
        <w:jc w:val="left"/>
        <w:rPr>
          <w:rFonts w:ascii="Palatino Linotype" w:hAnsi="Palatino Linotype"/>
          <w:b w:val="0"/>
        </w:rPr>
      </w:pPr>
    </w:p>
    <w:p w:rsidR="007A1533" w:rsidRDefault="007A1533" w:rsidP="007A1533">
      <w:pPr>
        <w:pStyle w:val="Title"/>
        <w:numPr>
          <w:ilvl w:val="1"/>
          <w:numId w:val="43"/>
        </w:numPr>
        <w:ind w:right="90"/>
        <w:jc w:val="left"/>
        <w:rPr>
          <w:rFonts w:ascii="Palatino Linotype" w:hAnsi="Palatino Linotype"/>
          <w:b w:val="0"/>
          <w:szCs w:val="24"/>
        </w:rPr>
      </w:pPr>
      <w:r w:rsidRPr="00A25B26">
        <w:rPr>
          <w:rFonts w:ascii="Palatino Linotype" w:hAnsi="Palatino Linotype"/>
          <w:b w:val="0"/>
          <w:szCs w:val="24"/>
        </w:rPr>
        <w:t>Decisions 96-10-066</w:t>
      </w:r>
      <w:r w:rsidR="006323D7">
        <w:rPr>
          <w:rFonts w:ascii="Palatino Linotype" w:hAnsi="Palatino Linotype"/>
          <w:b w:val="0"/>
          <w:szCs w:val="24"/>
        </w:rPr>
        <w:t>, 12-12-038</w:t>
      </w:r>
      <w:r w:rsidRPr="00A25B26">
        <w:rPr>
          <w:rFonts w:ascii="Palatino Linotype" w:hAnsi="Palatino Linotype"/>
          <w:b w:val="0"/>
          <w:szCs w:val="24"/>
        </w:rPr>
        <w:t xml:space="preserve"> and 13-05-035 allow </w:t>
      </w:r>
      <w:r w:rsidR="000F7A0D">
        <w:rPr>
          <w:rFonts w:ascii="Palatino Linotype" w:hAnsi="Palatino Linotype"/>
          <w:b w:val="0"/>
          <w:szCs w:val="24"/>
        </w:rPr>
        <w:t xml:space="preserve">COLRS to use </w:t>
      </w:r>
      <w:r w:rsidRPr="00A25B26">
        <w:rPr>
          <w:rFonts w:ascii="Palatino Linotype" w:hAnsi="Palatino Linotype"/>
          <w:b w:val="0"/>
          <w:szCs w:val="24"/>
        </w:rPr>
        <w:t xml:space="preserve">the advice letter process to opt out of </w:t>
      </w:r>
      <w:r w:rsidR="00DC6D3C" w:rsidRPr="00A25B26">
        <w:rPr>
          <w:rFonts w:ascii="Palatino Linotype" w:hAnsi="Palatino Linotype"/>
          <w:b w:val="0"/>
          <w:szCs w:val="24"/>
        </w:rPr>
        <w:t>their</w:t>
      </w:r>
      <w:r w:rsidRPr="00A25B26">
        <w:rPr>
          <w:rFonts w:ascii="Palatino Linotype" w:hAnsi="Palatino Linotype"/>
          <w:b w:val="0"/>
          <w:szCs w:val="24"/>
        </w:rPr>
        <w:t xml:space="preserve"> COLR obligations in designated high cost areas, provided there is another COLR that serves </w:t>
      </w:r>
      <w:r w:rsidR="00DC6D3C" w:rsidRPr="00A25B26">
        <w:rPr>
          <w:rFonts w:ascii="Palatino Linotype" w:hAnsi="Palatino Linotype"/>
          <w:b w:val="0"/>
          <w:szCs w:val="24"/>
        </w:rPr>
        <w:t xml:space="preserve">in </w:t>
      </w:r>
      <w:r w:rsidRPr="00A25B26">
        <w:rPr>
          <w:rFonts w:ascii="Palatino Linotype" w:hAnsi="Palatino Linotype"/>
          <w:b w:val="0"/>
          <w:szCs w:val="24"/>
        </w:rPr>
        <w:t>those same high cost areas.</w:t>
      </w:r>
    </w:p>
    <w:p w:rsidR="007A1533" w:rsidRPr="00A25B26" w:rsidRDefault="007A1533" w:rsidP="007A5DD0">
      <w:pPr>
        <w:pStyle w:val="Title"/>
        <w:ind w:left="1440" w:right="90"/>
        <w:jc w:val="left"/>
        <w:rPr>
          <w:rFonts w:ascii="Palatino Linotype" w:hAnsi="Palatino Linotype"/>
          <w:b w:val="0"/>
          <w:szCs w:val="24"/>
        </w:rPr>
      </w:pPr>
    </w:p>
    <w:p w:rsidR="00DF4FE9" w:rsidRDefault="00DF4FE9" w:rsidP="007A1533">
      <w:pPr>
        <w:pStyle w:val="Title"/>
        <w:numPr>
          <w:ilvl w:val="1"/>
          <w:numId w:val="43"/>
        </w:numPr>
        <w:ind w:right="90"/>
        <w:jc w:val="left"/>
        <w:rPr>
          <w:rFonts w:ascii="Palatino Linotype" w:hAnsi="Palatino Linotype"/>
          <w:b w:val="0"/>
          <w:szCs w:val="24"/>
        </w:rPr>
      </w:pPr>
      <w:r w:rsidRPr="00A25B26">
        <w:rPr>
          <w:rFonts w:ascii="Palatino Linotype" w:hAnsi="Palatino Linotype"/>
          <w:b w:val="0"/>
          <w:szCs w:val="24"/>
        </w:rPr>
        <w:t xml:space="preserve">Cox states that it </w:t>
      </w:r>
      <w:r w:rsidRPr="00A25B26">
        <w:rPr>
          <w:rFonts w:ascii="Palatino Linotype" w:hAnsi="Palatino Linotype" w:cs="Arial"/>
          <w:b w:val="0"/>
          <w:szCs w:val="24"/>
        </w:rPr>
        <w:t xml:space="preserve">does not expect any effect on safety or service quality for its services or operations, due to no longer receiving funds from the </w:t>
      </w:r>
      <w:r w:rsidR="000F7A0D">
        <w:rPr>
          <w:rFonts w:ascii="Palatino Linotype" w:hAnsi="Palatino Linotype" w:cs="Arial"/>
          <w:b w:val="0"/>
          <w:szCs w:val="24"/>
        </w:rPr>
        <w:t>CHCF-</w:t>
      </w:r>
      <w:r w:rsidRPr="00A25B26">
        <w:rPr>
          <w:rFonts w:ascii="Palatino Linotype" w:hAnsi="Palatino Linotype" w:cs="Arial"/>
          <w:b w:val="0"/>
          <w:szCs w:val="24"/>
        </w:rPr>
        <w:t>B program.</w:t>
      </w:r>
      <w:r w:rsidRPr="00A25B26">
        <w:rPr>
          <w:rFonts w:ascii="Palatino Linotype" w:hAnsi="Palatino Linotype"/>
          <w:b w:val="0"/>
          <w:szCs w:val="24"/>
        </w:rPr>
        <w:t> </w:t>
      </w:r>
    </w:p>
    <w:p w:rsidR="006323D7" w:rsidRPr="00A25B26" w:rsidRDefault="006323D7" w:rsidP="00D022A5">
      <w:pPr>
        <w:pStyle w:val="Title"/>
        <w:ind w:left="1440" w:right="90"/>
        <w:jc w:val="left"/>
        <w:rPr>
          <w:rFonts w:ascii="Palatino Linotype" w:hAnsi="Palatino Linotype"/>
          <w:b w:val="0"/>
          <w:szCs w:val="24"/>
        </w:rPr>
      </w:pPr>
    </w:p>
    <w:p w:rsidR="005F651B" w:rsidRDefault="00DF4FE9" w:rsidP="007A1533">
      <w:pPr>
        <w:pStyle w:val="Title"/>
        <w:numPr>
          <w:ilvl w:val="1"/>
          <w:numId w:val="43"/>
        </w:numPr>
        <w:ind w:right="90"/>
        <w:jc w:val="left"/>
        <w:rPr>
          <w:rFonts w:ascii="Palatino Linotype" w:hAnsi="Palatino Linotype"/>
          <w:b w:val="0"/>
          <w:szCs w:val="24"/>
        </w:rPr>
      </w:pPr>
      <w:r w:rsidRPr="00A25B26">
        <w:rPr>
          <w:rFonts w:ascii="Palatino Linotype" w:hAnsi="Palatino Linotype"/>
          <w:b w:val="0"/>
          <w:szCs w:val="24"/>
        </w:rPr>
        <w:t>Cox state</w:t>
      </w:r>
      <w:r w:rsidR="00CF3795">
        <w:rPr>
          <w:rFonts w:ascii="Palatino Linotype" w:hAnsi="Palatino Linotype"/>
          <w:b w:val="0"/>
          <w:szCs w:val="24"/>
        </w:rPr>
        <w:t>s</w:t>
      </w:r>
      <w:r w:rsidRPr="00A25B26">
        <w:rPr>
          <w:rFonts w:ascii="Palatino Linotype" w:hAnsi="Palatino Linotype"/>
          <w:b w:val="0"/>
          <w:szCs w:val="24"/>
        </w:rPr>
        <w:t xml:space="preserve"> that no longer receiving </w:t>
      </w:r>
      <w:r w:rsidR="000F7A0D">
        <w:rPr>
          <w:rFonts w:ascii="Palatino Linotype" w:hAnsi="Palatino Linotype"/>
          <w:b w:val="0"/>
          <w:szCs w:val="24"/>
        </w:rPr>
        <w:t>CHCF-</w:t>
      </w:r>
      <w:r w:rsidRPr="00A25B26">
        <w:rPr>
          <w:rFonts w:ascii="Palatino Linotype" w:hAnsi="Palatino Linotype"/>
          <w:b w:val="0"/>
          <w:szCs w:val="24"/>
        </w:rPr>
        <w:t xml:space="preserve">B support will not impact the quality of </w:t>
      </w:r>
      <w:r w:rsidR="000F7A0D">
        <w:rPr>
          <w:rFonts w:ascii="Palatino Linotype" w:hAnsi="Palatino Linotype"/>
          <w:b w:val="0"/>
          <w:szCs w:val="24"/>
        </w:rPr>
        <w:t>its</w:t>
      </w:r>
      <w:r w:rsidR="000F7A0D" w:rsidRPr="00A25B26">
        <w:rPr>
          <w:rFonts w:ascii="Palatino Linotype" w:hAnsi="Palatino Linotype"/>
          <w:b w:val="0"/>
          <w:szCs w:val="24"/>
        </w:rPr>
        <w:t xml:space="preserve"> </w:t>
      </w:r>
      <w:r w:rsidRPr="00A25B26">
        <w:rPr>
          <w:rFonts w:ascii="Palatino Linotype" w:hAnsi="Palatino Linotype"/>
          <w:b w:val="0"/>
          <w:szCs w:val="24"/>
        </w:rPr>
        <w:t xml:space="preserve">telephone service or </w:t>
      </w:r>
      <w:r w:rsidR="000F7A0D">
        <w:rPr>
          <w:rFonts w:ascii="Palatino Linotype" w:hAnsi="Palatino Linotype"/>
          <w:b w:val="0"/>
          <w:szCs w:val="24"/>
        </w:rPr>
        <w:t>its</w:t>
      </w:r>
      <w:r w:rsidR="000F7A0D" w:rsidRPr="00A25B26">
        <w:rPr>
          <w:rFonts w:ascii="Palatino Linotype" w:hAnsi="Palatino Linotype"/>
          <w:b w:val="0"/>
          <w:szCs w:val="24"/>
        </w:rPr>
        <w:t xml:space="preserve"> </w:t>
      </w:r>
      <w:r w:rsidRPr="00A25B26">
        <w:rPr>
          <w:rFonts w:ascii="Palatino Linotype" w:hAnsi="Palatino Linotype"/>
          <w:b w:val="0"/>
          <w:szCs w:val="24"/>
        </w:rPr>
        <w:t xml:space="preserve">customers’ </w:t>
      </w:r>
      <w:proofErr w:type="gramStart"/>
      <w:r w:rsidRPr="00A25B26">
        <w:rPr>
          <w:rFonts w:ascii="Palatino Linotype" w:hAnsi="Palatino Linotype"/>
          <w:b w:val="0"/>
          <w:szCs w:val="24"/>
        </w:rPr>
        <w:t>access to 911</w:t>
      </w:r>
      <w:r w:rsidR="000F7A0D">
        <w:rPr>
          <w:rFonts w:ascii="Palatino Linotype" w:hAnsi="Palatino Linotype"/>
          <w:b w:val="0"/>
          <w:szCs w:val="24"/>
        </w:rPr>
        <w:t>,</w:t>
      </w:r>
      <w:r w:rsidRPr="00A25B26">
        <w:rPr>
          <w:rFonts w:ascii="Palatino Linotype" w:hAnsi="Palatino Linotype"/>
          <w:b w:val="0"/>
          <w:szCs w:val="24"/>
        </w:rPr>
        <w:t xml:space="preserve"> as state and federal laws independent of the Commission’s CHCF-B program require</w:t>
      </w:r>
      <w:proofErr w:type="gramEnd"/>
      <w:r w:rsidRPr="00A25B26">
        <w:rPr>
          <w:rFonts w:ascii="Palatino Linotype" w:hAnsi="Palatino Linotype"/>
          <w:b w:val="0"/>
          <w:szCs w:val="24"/>
        </w:rPr>
        <w:t xml:space="preserve"> Cox to provide customers access to emergency services via 911.</w:t>
      </w:r>
    </w:p>
    <w:p w:rsidR="00AE723C" w:rsidRDefault="00AE723C" w:rsidP="00543A74">
      <w:pPr>
        <w:pStyle w:val="ListParagraph"/>
        <w:rPr>
          <w:rFonts w:ascii="Palatino Linotype" w:hAnsi="Palatino Linotype"/>
          <w:b/>
        </w:rPr>
      </w:pPr>
    </w:p>
    <w:p w:rsidR="00AE723C" w:rsidRPr="00AE723C" w:rsidRDefault="00AE723C" w:rsidP="00AE723C">
      <w:pPr>
        <w:pStyle w:val="Title"/>
        <w:numPr>
          <w:ilvl w:val="1"/>
          <w:numId w:val="43"/>
        </w:numPr>
        <w:ind w:right="90"/>
        <w:jc w:val="left"/>
        <w:rPr>
          <w:rFonts w:ascii="Palatino Linotype" w:hAnsi="Palatino Linotype"/>
          <w:b w:val="0"/>
          <w:szCs w:val="24"/>
        </w:rPr>
      </w:pPr>
      <w:r>
        <w:rPr>
          <w:rFonts w:ascii="Palatino Linotype" w:hAnsi="Palatino Linotype"/>
          <w:b w:val="0"/>
          <w:szCs w:val="24"/>
        </w:rPr>
        <w:t xml:space="preserve">Additionally, </w:t>
      </w:r>
      <w:r w:rsidRPr="00AE723C">
        <w:rPr>
          <w:rFonts w:ascii="Palatino Linotype" w:hAnsi="Palatino Linotype"/>
          <w:b w:val="0"/>
          <w:szCs w:val="24"/>
        </w:rPr>
        <w:t>D.12-12-038</w:t>
      </w:r>
      <w:r w:rsidR="00A53628">
        <w:rPr>
          <w:rFonts w:ascii="Palatino Linotype" w:hAnsi="Palatino Linotype"/>
          <w:b w:val="0"/>
          <w:szCs w:val="24"/>
        </w:rPr>
        <w:t xml:space="preserve"> establishes that </w:t>
      </w:r>
      <w:r w:rsidRPr="00AE723C">
        <w:rPr>
          <w:rFonts w:ascii="Palatino Linotype" w:hAnsi="Palatino Linotype"/>
          <w:b w:val="0"/>
          <w:szCs w:val="24"/>
        </w:rPr>
        <w:t>Cox must r</w:t>
      </w:r>
      <w:r w:rsidRPr="00A53628">
        <w:rPr>
          <w:rFonts w:ascii="Palatino Linotype" w:hAnsi="Palatino Linotype"/>
          <w:b w:val="0"/>
          <w:szCs w:val="24"/>
        </w:rPr>
        <w:t>emain compliant in providing continued and reliable access to emergency 911 services.   </w:t>
      </w:r>
    </w:p>
    <w:p w:rsidR="006323D7" w:rsidRDefault="006323D7" w:rsidP="00D022A5">
      <w:pPr>
        <w:pStyle w:val="Title"/>
        <w:ind w:left="1440" w:right="90"/>
        <w:jc w:val="left"/>
        <w:rPr>
          <w:rFonts w:ascii="Palatino Linotype" w:hAnsi="Palatino Linotype"/>
          <w:b w:val="0"/>
          <w:szCs w:val="24"/>
        </w:rPr>
      </w:pPr>
    </w:p>
    <w:p w:rsidR="00CC11A6" w:rsidRPr="00EF039E" w:rsidRDefault="005F651B" w:rsidP="00AE0BE5">
      <w:pPr>
        <w:pStyle w:val="Title"/>
        <w:numPr>
          <w:ilvl w:val="1"/>
          <w:numId w:val="43"/>
        </w:numPr>
        <w:ind w:right="90"/>
        <w:jc w:val="left"/>
        <w:rPr>
          <w:rFonts w:ascii="Palatino Linotype" w:hAnsi="Palatino Linotype"/>
        </w:rPr>
      </w:pPr>
      <w:r w:rsidRPr="00AE0BE5">
        <w:rPr>
          <w:rFonts w:ascii="Palatino Linotype" w:hAnsi="Palatino Linotype"/>
          <w:b w:val="0"/>
          <w:szCs w:val="24"/>
        </w:rPr>
        <w:t xml:space="preserve">Cox should file a Tier </w:t>
      </w:r>
      <w:r w:rsidR="00CC11A6">
        <w:rPr>
          <w:rFonts w:ascii="Palatino Linotype" w:hAnsi="Palatino Linotype"/>
          <w:b w:val="0"/>
          <w:szCs w:val="24"/>
        </w:rPr>
        <w:t>1</w:t>
      </w:r>
      <w:r w:rsidR="007A5DD0">
        <w:rPr>
          <w:rFonts w:ascii="Palatino Linotype" w:hAnsi="Palatino Linotype"/>
          <w:b w:val="0"/>
          <w:szCs w:val="24"/>
        </w:rPr>
        <w:t xml:space="preserve"> AL</w:t>
      </w:r>
      <w:r w:rsidRPr="00AE0BE5">
        <w:rPr>
          <w:rFonts w:ascii="Palatino Linotype" w:hAnsi="Palatino Linotype"/>
          <w:b w:val="0"/>
          <w:szCs w:val="24"/>
        </w:rPr>
        <w:t xml:space="preserve"> compliance filing to update </w:t>
      </w:r>
      <w:r w:rsidRPr="005F651B">
        <w:rPr>
          <w:rFonts w:ascii="Palatino Linotype" w:hAnsi="Palatino Linotype"/>
          <w:b w:val="0"/>
          <w:szCs w:val="24"/>
        </w:rPr>
        <w:t>it</w:t>
      </w:r>
      <w:r w:rsidRPr="00AE0BE5">
        <w:rPr>
          <w:rFonts w:ascii="Palatino Linotype" w:hAnsi="Palatino Linotype"/>
          <w:b w:val="0"/>
          <w:szCs w:val="24"/>
        </w:rPr>
        <w:t xml:space="preserve">s </w:t>
      </w:r>
      <w:r>
        <w:rPr>
          <w:rFonts w:ascii="Palatino Linotype" w:hAnsi="Palatino Linotype"/>
          <w:b w:val="0"/>
          <w:szCs w:val="24"/>
        </w:rPr>
        <w:t>A</w:t>
      </w:r>
      <w:r w:rsidRPr="00AE0BE5">
        <w:rPr>
          <w:rFonts w:ascii="Palatino Linotype" w:hAnsi="Palatino Linotype"/>
          <w:b w:val="0"/>
          <w:szCs w:val="24"/>
        </w:rPr>
        <w:t xml:space="preserve">-1 tariff, </w:t>
      </w:r>
      <w:r w:rsidR="00BC3F73">
        <w:rPr>
          <w:rFonts w:ascii="Palatino Linotype" w:hAnsi="Palatino Linotype"/>
          <w:b w:val="0"/>
          <w:szCs w:val="24"/>
        </w:rPr>
        <w:t xml:space="preserve">to be </w:t>
      </w:r>
      <w:r w:rsidRPr="00AE0BE5">
        <w:rPr>
          <w:rFonts w:ascii="Palatino Linotype" w:hAnsi="Palatino Linotype"/>
          <w:b w:val="0"/>
          <w:szCs w:val="24"/>
        </w:rPr>
        <w:t xml:space="preserve">effective </w:t>
      </w:r>
      <w:r w:rsidR="007A5DD0">
        <w:rPr>
          <w:rFonts w:ascii="Palatino Linotype" w:hAnsi="Palatino Linotype"/>
          <w:b w:val="0"/>
          <w:szCs w:val="24"/>
        </w:rPr>
        <w:t xml:space="preserve">15 days from </w:t>
      </w:r>
      <w:r w:rsidR="00BC3F73">
        <w:rPr>
          <w:rFonts w:ascii="Palatino Linotype" w:hAnsi="Palatino Linotype"/>
          <w:b w:val="0"/>
          <w:szCs w:val="24"/>
        </w:rPr>
        <w:t xml:space="preserve">the </w:t>
      </w:r>
      <w:r w:rsidR="007A5DD0">
        <w:rPr>
          <w:rFonts w:ascii="Palatino Linotype" w:hAnsi="Palatino Linotype"/>
          <w:b w:val="0"/>
          <w:szCs w:val="24"/>
        </w:rPr>
        <w:t>adoption date of this resolution</w:t>
      </w:r>
      <w:r w:rsidRPr="00AE0BE5">
        <w:rPr>
          <w:rFonts w:ascii="Palatino Linotype" w:hAnsi="Palatino Linotype"/>
          <w:b w:val="0"/>
          <w:szCs w:val="24"/>
        </w:rPr>
        <w:t>.</w:t>
      </w:r>
    </w:p>
    <w:p w:rsidR="00A819B6" w:rsidRDefault="00A819B6" w:rsidP="00EF039E">
      <w:pPr>
        <w:pStyle w:val="ListParagraph"/>
        <w:rPr>
          <w:rFonts w:ascii="Palatino Linotype" w:hAnsi="Palatino Linotype"/>
        </w:rPr>
      </w:pPr>
    </w:p>
    <w:p w:rsidR="00A819B6" w:rsidRPr="00EF039E" w:rsidRDefault="00A819B6" w:rsidP="00AE0BE5">
      <w:pPr>
        <w:pStyle w:val="Title"/>
        <w:numPr>
          <w:ilvl w:val="1"/>
          <w:numId w:val="43"/>
        </w:numPr>
        <w:ind w:right="90"/>
        <w:jc w:val="left"/>
        <w:rPr>
          <w:rFonts w:ascii="Palatino Linotype" w:hAnsi="Palatino Linotype"/>
          <w:b w:val="0"/>
        </w:rPr>
      </w:pPr>
      <w:r w:rsidRPr="00EF039E">
        <w:rPr>
          <w:rFonts w:ascii="Palatino Linotype" w:hAnsi="Palatino Linotype"/>
          <w:b w:val="0"/>
        </w:rPr>
        <w:t>Cox’s request to opt o</w:t>
      </w:r>
      <w:r>
        <w:rPr>
          <w:rFonts w:ascii="Palatino Linotype" w:hAnsi="Palatino Linotype"/>
          <w:b w:val="0"/>
        </w:rPr>
        <w:t>ut of COLR obligations means that it will no longer be eligible for CHCF-B funding once this Resolution is adopted.</w:t>
      </w:r>
    </w:p>
    <w:p w:rsidR="006323D7" w:rsidRPr="00842736" w:rsidRDefault="006323D7" w:rsidP="00D022A5">
      <w:pPr>
        <w:pStyle w:val="Title"/>
        <w:ind w:left="1440" w:right="90"/>
        <w:jc w:val="left"/>
        <w:rPr>
          <w:rFonts w:ascii="Palatino Linotype" w:hAnsi="Palatino Linotype"/>
        </w:rPr>
      </w:pPr>
    </w:p>
    <w:p w:rsidR="006323D7" w:rsidRPr="00D022A5" w:rsidRDefault="00CC11A6" w:rsidP="00AE0BE5">
      <w:pPr>
        <w:pStyle w:val="Title"/>
        <w:numPr>
          <w:ilvl w:val="1"/>
          <w:numId w:val="43"/>
        </w:numPr>
        <w:ind w:right="90"/>
        <w:jc w:val="left"/>
        <w:rPr>
          <w:rFonts w:ascii="Palatino Linotype" w:hAnsi="Palatino Linotype"/>
        </w:rPr>
      </w:pPr>
      <w:r>
        <w:rPr>
          <w:rFonts w:ascii="Palatino Linotype" w:hAnsi="Palatino Linotype"/>
          <w:b w:val="0"/>
          <w:szCs w:val="24"/>
        </w:rPr>
        <w:t xml:space="preserve">Cox should continue to submit claims </w:t>
      </w:r>
      <w:r w:rsidR="00CB4AC0">
        <w:rPr>
          <w:rFonts w:ascii="Palatino Linotype" w:hAnsi="Palatino Linotype"/>
          <w:b w:val="0"/>
          <w:szCs w:val="24"/>
        </w:rPr>
        <w:t xml:space="preserve">to the CHCF-B program </w:t>
      </w:r>
      <w:r>
        <w:rPr>
          <w:rFonts w:ascii="Palatino Linotype" w:hAnsi="Palatino Linotype"/>
          <w:b w:val="0"/>
          <w:szCs w:val="24"/>
        </w:rPr>
        <w:t xml:space="preserve">through the month </w:t>
      </w:r>
      <w:r w:rsidR="00A819B6">
        <w:rPr>
          <w:rFonts w:ascii="Palatino Linotype" w:hAnsi="Palatino Linotype"/>
          <w:b w:val="0"/>
          <w:szCs w:val="24"/>
        </w:rPr>
        <w:t>that this resolution is adopted</w:t>
      </w:r>
      <w:r>
        <w:rPr>
          <w:rFonts w:ascii="Palatino Linotype" w:hAnsi="Palatino Linotype"/>
          <w:b w:val="0"/>
          <w:szCs w:val="24"/>
        </w:rPr>
        <w:t>.</w:t>
      </w:r>
    </w:p>
    <w:p w:rsidR="005F651B" w:rsidRPr="00AE0BE5" w:rsidRDefault="005F651B" w:rsidP="00D022A5">
      <w:pPr>
        <w:pStyle w:val="Title"/>
        <w:ind w:left="1440" w:right="90"/>
        <w:jc w:val="left"/>
        <w:rPr>
          <w:rFonts w:ascii="Palatino Linotype" w:hAnsi="Palatino Linotype"/>
        </w:rPr>
      </w:pPr>
      <w:r w:rsidRPr="00AE0BE5">
        <w:rPr>
          <w:rFonts w:ascii="Palatino Linotype" w:hAnsi="Palatino Linotype"/>
          <w:b w:val="0"/>
          <w:szCs w:val="24"/>
        </w:rPr>
        <w:t xml:space="preserve">  </w:t>
      </w:r>
    </w:p>
    <w:p w:rsidR="008A7105" w:rsidRPr="00A25B26" w:rsidRDefault="008A7105" w:rsidP="007A1533">
      <w:pPr>
        <w:pStyle w:val="Title"/>
        <w:numPr>
          <w:ilvl w:val="1"/>
          <w:numId w:val="43"/>
        </w:numPr>
        <w:ind w:right="90"/>
        <w:jc w:val="left"/>
        <w:rPr>
          <w:rFonts w:ascii="Palatino Linotype" w:hAnsi="Palatino Linotype"/>
          <w:b w:val="0"/>
          <w:szCs w:val="24"/>
        </w:rPr>
      </w:pPr>
      <w:r w:rsidRPr="00A25B26">
        <w:rPr>
          <w:rFonts w:ascii="Palatino Linotype" w:hAnsi="Palatino Linotype"/>
          <w:b w:val="0"/>
          <w:szCs w:val="24"/>
        </w:rPr>
        <w:t xml:space="preserve">The Communications Division recommends that Cox’s request </w:t>
      </w:r>
      <w:r w:rsidR="00CF3795">
        <w:rPr>
          <w:rFonts w:ascii="Palatino Linotype" w:hAnsi="Palatino Linotype"/>
          <w:b w:val="0"/>
          <w:szCs w:val="24"/>
        </w:rPr>
        <w:t xml:space="preserve">to relinquish its COLR status </w:t>
      </w:r>
      <w:r w:rsidRPr="00A25B26">
        <w:rPr>
          <w:rFonts w:ascii="Palatino Linotype" w:hAnsi="Palatino Linotype"/>
          <w:b w:val="0"/>
          <w:szCs w:val="24"/>
        </w:rPr>
        <w:t>be granted.</w:t>
      </w:r>
    </w:p>
    <w:p w:rsidR="007A1533" w:rsidRPr="00A25B26" w:rsidRDefault="007A1533" w:rsidP="007A1533">
      <w:pPr>
        <w:pStyle w:val="Title"/>
        <w:ind w:left="1440" w:right="90"/>
        <w:jc w:val="left"/>
        <w:rPr>
          <w:rFonts w:ascii="Palatino Linotype" w:hAnsi="Palatino Linotype"/>
          <w:b w:val="0"/>
        </w:rPr>
      </w:pPr>
    </w:p>
    <w:p w:rsidR="009337D6" w:rsidRPr="00A25B26" w:rsidRDefault="009337D6" w:rsidP="00B62AA2">
      <w:pPr>
        <w:pStyle w:val="Title"/>
        <w:ind w:right="90"/>
        <w:jc w:val="left"/>
        <w:rPr>
          <w:rFonts w:ascii="Palatino Linotype" w:hAnsi="Palatino Linotype"/>
          <w:b w:val="0"/>
        </w:rPr>
      </w:pPr>
    </w:p>
    <w:p w:rsidR="009206CB" w:rsidRPr="00A25B26" w:rsidRDefault="009206CB" w:rsidP="009206CB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  <w:r w:rsidRPr="00A25B26">
        <w:rPr>
          <w:rFonts w:ascii="Palatino Linotype" w:hAnsi="Palatino Linotype"/>
          <w:b w:val="0"/>
        </w:rPr>
        <w:t>THEREFORE, IT IS ORDERED that:</w:t>
      </w:r>
    </w:p>
    <w:p w:rsidR="009206CB" w:rsidRPr="00A25B26" w:rsidRDefault="009206CB" w:rsidP="009206CB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</w:p>
    <w:p w:rsidR="00C3675C" w:rsidRDefault="00C3675C" w:rsidP="00C3675C">
      <w:pPr>
        <w:pStyle w:val="ListParagraph"/>
        <w:numPr>
          <w:ilvl w:val="0"/>
          <w:numId w:val="15"/>
        </w:numPr>
        <w:rPr>
          <w:rFonts w:ascii="Palatino Linotype" w:hAnsi="Palatino Linotype"/>
        </w:rPr>
      </w:pPr>
      <w:r w:rsidRPr="00A25B26">
        <w:rPr>
          <w:rFonts w:ascii="Palatino Linotype" w:hAnsi="Palatino Linotype"/>
        </w:rPr>
        <w:t xml:space="preserve">Cox California </w:t>
      </w:r>
      <w:proofErr w:type="spellStart"/>
      <w:r w:rsidRPr="00A25B26">
        <w:rPr>
          <w:rFonts w:ascii="Palatino Linotype" w:hAnsi="Palatino Linotype"/>
        </w:rPr>
        <w:t>Telcom</w:t>
      </w:r>
      <w:proofErr w:type="spellEnd"/>
      <w:r w:rsidRPr="00A25B26">
        <w:rPr>
          <w:rFonts w:ascii="Palatino Linotype" w:hAnsi="Palatino Linotype"/>
        </w:rPr>
        <w:t xml:space="preserve">, LLC’s (U-5684-C) advice letter request to opt out of its Carrier of Last Resort (COLR) responsibilities as well as </w:t>
      </w:r>
      <w:r w:rsidR="00FD78A8" w:rsidRPr="00A25B26">
        <w:rPr>
          <w:rFonts w:ascii="Palatino Linotype" w:hAnsi="Palatino Linotype"/>
        </w:rPr>
        <w:t xml:space="preserve">to </w:t>
      </w:r>
      <w:r w:rsidRPr="00A25B26">
        <w:rPr>
          <w:rFonts w:ascii="Palatino Linotype" w:hAnsi="Palatino Linotype"/>
        </w:rPr>
        <w:t>cease receiving California High Cost Fund B (CHCF-B) support for</w:t>
      </w:r>
      <w:r w:rsidR="00C70174" w:rsidRPr="00A25B26">
        <w:rPr>
          <w:rFonts w:ascii="Palatino Linotype" w:hAnsi="Palatino Linotype"/>
        </w:rPr>
        <w:t xml:space="preserve"> providing service in </w:t>
      </w:r>
      <w:r w:rsidR="001E61EC" w:rsidRPr="00A25B26">
        <w:rPr>
          <w:rFonts w:ascii="Palatino Linotype" w:hAnsi="Palatino Linotype"/>
        </w:rPr>
        <w:t xml:space="preserve">18 </w:t>
      </w:r>
      <w:r w:rsidR="00C70174" w:rsidRPr="00A25B26">
        <w:rPr>
          <w:rFonts w:ascii="Palatino Linotype" w:hAnsi="Palatino Linotype"/>
        </w:rPr>
        <w:t xml:space="preserve">high cost service territories in </w:t>
      </w:r>
      <w:r w:rsidRPr="00A25B26">
        <w:rPr>
          <w:rFonts w:ascii="Palatino Linotype" w:hAnsi="Palatino Linotype"/>
        </w:rPr>
        <w:t>Orange and San Diego Counties of California, is approved.</w:t>
      </w:r>
    </w:p>
    <w:p w:rsidR="00CF3795" w:rsidRDefault="000F7A0D" w:rsidP="00C3675C">
      <w:pPr>
        <w:pStyle w:val="ListParagraph"/>
        <w:numPr>
          <w:ilvl w:val="0"/>
          <w:numId w:val="1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Cox California </w:t>
      </w:r>
      <w:proofErr w:type="spellStart"/>
      <w:r>
        <w:rPr>
          <w:rFonts w:ascii="Palatino Linotype" w:hAnsi="Palatino Linotype"/>
        </w:rPr>
        <w:t>Telcom</w:t>
      </w:r>
      <w:proofErr w:type="spellEnd"/>
      <w:r w:rsidR="00A14174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LLC (U-5684-C)</w:t>
      </w:r>
      <w:r w:rsidR="00F6153E">
        <w:rPr>
          <w:rFonts w:ascii="Palatino Linotype" w:hAnsi="Palatino Linotype"/>
        </w:rPr>
        <w:t xml:space="preserve"> shall file a Tier 1</w:t>
      </w:r>
      <w:r>
        <w:rPr>
          <w:rFonts w:ascii="Palatino Linotype" w:hAnsi="Palatino Linotype"/>
        </w:rPr>
        <w:t xml:space="preserve"> AL compliance filing to update </w:t>
      </w:r>
      <w:r w:rsidR="005F651B">
        <w:rPr>
          <w:rFonts w:ascii="Palatino Linotype" w:hAnsi="Palatino Linotype"/>
        </w:rPr>
        <w:t>its A-1</w:t>
      </w:r>
      <w:r>
        <w:rPr>
          <w:rFonts w:ascii="Palatino Linotype" w:hAnsi="Palatino Linotype"/>
        </w:rPr>
        <w:t xml:space="preserve"> tariff, </w:t>
      </w:r>
      <w:r w:rsidR="00BC3F73">
        <w:rPr>
          <w:rFonts w:ascii="Palatino Linotype" w:hAnsi="Palatino Linotype"/>
        </w:rPr>
        <w:t xml:space="preserve">to be </w:t>
      </w:r>
      <w:r>
        <w:rPr>
          <w:rFonts w:ascii="Palatino Linotype" w:hAnsi="Palatino Linotype"/>
        </w:rPr>
        <w:t xml:space="preserve">effective </w:t>
      </w:r>
      <w:r w:rsidR="00BC3F73">
        <w:rPr>
          <w:rFonts w:ascii="Palatino Linotype" w:hAnsi="Palatino Linotype"/>
        </w:rPr>
        <w:t>15 days from the adoption date of this resolution</w:t>
      </w:r>
      <w:r>
        <w:rPr>
          <w:rFonts w:ascii="Palatino Linotype" w:hAnsi="Palatino Linotype"/>
        </w:rPr>
        <w:t>.</w:t>
      </w:r>
      <w:r w:rsidR="00A3230F">
        <w:rPr>
          <w:rFonts w:ascii="Palatino Linotype" w:hAnsi="Palatino Linotype"/>
        </w:rPr>
        <w:t xml:space="preserve">  </w:t>
      </w:r>
    </w:p>
    <w:p w:rsidR="000F7A0D" w:rsidRDefault="00A3230F" w:rsidP="00C3675C">
      <w:pPr>
        <w:pStyle w:val="ListParagraph"/>
        <w:numPr>
          <w:ilvl w:val="0"/>
          <w:numId w:val="1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Cox shall continue to submit claims to the CHCF-B program through the month </w:t>
      </w:r>
      <w:r w:rsidR="00A819B6">
        <w:rPr>
          <w:rFonts w:ascii="Palatino Linotype" w:hAnsi="Palatino Linotype"/>
        </w:rPr>
        <w:t>that this resolution is adopted</w:t>
      </w:r>
      <w:r>
        <w:rPr>
          <w:rFonts w:ascii="Palatino Linotype" w:hAnsi="Palatino Linotype"/>
        </w:rPr>
        <w:t>.</w:t>
      </w:r>
      <w:r w:rsidR="000F7A0D">
        <w:rPr>
          <w:rFonts w:ascii="Palatino Linotype" w:hAnsi="Palatino Linotype"/>
        </w:rPr>
        <w:t xml:space="preserve">  </w:t>
      </w:r>
    </w:p>
    <w:p w:rsidR="00FD42BF" w:rsidRPr="00FD42BF" w:rsidRDefault="00FD42BF" w:rsidP="00FD42BF">
      <w:pPr>
        <w:pStyle w:val="ListParagraph"/>
        <w:numPr>
          <w:ilvl w:val="0"/>
          <w:numId w:val="15"/>
        </w:numPr>
        <w:rPr>
          <w:rFonts w:ascii="Palatino Linotype" w:hAnsi="Palatino Linotype"/>
          <w:b/>
        </w:rPr>
      </w:pPr>
      <w:r w:rsidRPr="00FD42BF">
        <w:rPr>
          <w:rFonts w:ascii="Palatino Linotype" w:hAnsi="Palatino Linotype"/>
        </w:rPr>
        <w:t xml:space="preserve">Cox California </w:t>
      </w:r>
      <w:proofErr w:type="spellStart"/>
      <w:r w:rsidRPr="00FD42BF">
        <w:rPr>
          <w:rFonts w:ascii="Palatino Linotype" w:hAnsi="Palatino Linotype"/>
        </w:rPr>
        <w:t>Telcom</w:t>
      </w:r>
      <w:proofErr w:type="spellEnd"/>
      <w:r w:rsidRPr="00FD42BF">
        <w:rPr>
          <w:rFonts w:ascii="Palatino Linotype" w:hAnsi="Palatino Linotype"/>
        </w:rPr>
        <w:t xml:space="preserve">, LLC (U-5684-C) shall no longer be eligible for CHCF-B support </w:t>
      </w:r>
      <w:r w:rsidR="00A819B6">
        <w:rPr>
          <w:rFonts w:ascii="Palatino Linotype" w:hAnsi="Palatino Linotype"/>
        </w:rPr>
        <w:t>thereafter</w:t>
      </w:r>
      <w:r w:rsidRPr="00FD42BF">
        <w:rPr>
          <w:rFonts w:ascii="Palatino Linotype" w:hAnsi="Palatino Linotype"/>
        </w:rPr>
        <w:t xml:space="preserve">. </w:t>
      </w:r>
    </w:p>
    <w:p w:rsidR="00BA6AA6" w:rsidRDefault="00BA6AA6" w:rsidP="009206CB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</w:p>
    <w:p w:rsidR="009206CB" w:rsidRPr="00A25B26" w:rsidRDefault="009206CB" w:rsidP="009206CB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  <w:r w:rsidRPr="00A25B26">
        <w:rPr>
          <w:rFonts w:ascii="Palatino Linotype" w:hAnsi="Palatino Linotype"/>
          <w:b w:val="0"/>
        </w:rPr>
        <w:t>This Resolution is effective today</w:t>
      </w:r>
      <w:r w:rsidR="00F4434C" w:rsidRPr="00A25B26">
        <w:rPr>
          <w:rFonts w:ascii="Palatino Linotype" w:hAnsi="Palatino Linotype"/>
          <w:b w:val="0"/>
        </w:rPr>
        <w:t xml:space="preserve">. </w:t>
      </w:r>
    </w:p>
    <w:p w:rsidR="009206CB" w:rsidRPr="00A25B26" w:rsidRDefault="009206CB" w:rsidP="009206CB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</w:p>
    <w:p w:rsidR="00B74DE6" w:rsidRPr="00A25B26" w:rsidRDefault="009206CB" w:rsidP="009206CB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  <w:r w:rsidRPr="00A25B26">
        <w:rPr>
          <w:rFonts w:ascii="Palatino Linotype" w:hAnsi="Palatino Linotype"/>
          <w:b w:val="0"/>
        </w:rPr>
        <w:t xml:space="preserve">I hereby certify that the Public Utilities Commission adopted this Resolution at its regular meeting on </w:t>
      </w:r>
      <w:r w:rsidR="00BA6AA6">
        <w:rPr>
          <w:rFonts w:ascii="Palatino Linotype" w:hAnsi="Palatino Linotype"/>
          <w:b w:val="0"/>
        </w:rPr>
        <w:t>August 18</w:t>
      </w:r>
      <w:r w:rsidRPr="00A25B26">
        <w:rPr>
          <w:rFonts w:ascii="Palatino Linotype" w:hAnsi="Palatino Linotype"/>
          <w:b w:val="0"/>
        </w:rPr>
        <w:t>, 2016</w:t>
      </w:r>
      <w:r w:rsidR="00F4434C" w:rsidRPr="00A25B26">
        <w:rPr>
          <w:rFonts w:ascii="Palatino Linotype" w:hAnsi="Palatino Linotype"/>
          <w:b w:val="0"/>
        </w:rPr>
        <w:t xml:space="preserve">. </w:t>
      </w:r>
      <w:r w:rsidRPr="00A25B26">
        <w:rPr>
          <w:rFonts w:ascii="Palatino Linotype" w:hAnsi="Palatino Linotype"/>
          <w:b w:val="0"/>
        </w:rPr>
        <w:t xml:space="preserve">The following Commissioners </w:t>
      </w:r>
      <w:r w:rsidR="00CE6DE8" w:rsidRPr="00A25B26">
        <w:rPr>
          <w:rFonts w:ascii="Palatino Linotype" w:hAnsi="Palatino Linotype"/>
          <w:b w:val="0"/>
        </w:rPr>
        <w:t>adopted it</w:t>
      </w:r>
      <w:r w:rsidRPr="00A25B26">
        <w:rPr>
          <w:rFonts w:ascii="Palatino Linotype" w:hAnsi="Palatino Linotype"/>
          <w:b w:val="0"/>
        </w:rPr>
        <w:t>:</w:t>
      </w:r>
    </w:p>
    <w:p w:rsidR="004440AA" w:rsidRPr="00A25B26" w:rsidRDefault="004440AA" w:rsidP="009206CB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</w:p>
    <w:p w:rsidR="004440AA" w:rsidRPr="00A25B26" w:rsidRDefault="004440AA" w:rsidP="009206CB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</w:p>
    <w:p w:rsidR="00B74DE6" w:rsidRPr="00A25B26" w:rsidRDefault="00444E3D" w:rsidP="00444E3D">
      <w:pPr>
        <w:pStyle w:val="Title"/>
        <w:tabs>
          <w:tab w:val="left" w:pos="8627"/>
        </w:tabs>
        <w:ind w:left="720" w:right="90"/>
        <w:jc w:val="left"/>
        <w:rPr>
          <w:rFonts w:ascii="Palatino Linotype" w:hAnsi="Palatino Linotype"/>
          <w:b w:val="0"/>
        </w:rPr>
      </w:pPr>
      <w:r w:rsidRPr="00A25B26">
        <w:rPr>
          <w:rFonts w:ascii="Palatino Linotype" w:hAnsi="Palatino Linotype"/>
          <w:b w:val="0"/>
        </w:rPr>
        <w:tab/>
      </w:r>
    </w:p>
    <w:p w:rsidR="009206CB" w:rsidRPr="00A25B26" w:rsidRDefault="0009036F" w:rsidP="009206CB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  <w:r w:rsidRPr="00A25B26">
        <w:rPr>
          <w:rFonts w:ascii="Palatino Linotype" w:hAnsi="Palatino Linotype"/>
          <w:b w:val="0"/>
        </w:rPr>
        <w:t xml:space="preserve">  </w:t>
      </w:r>
      <w:r w:rsidR="00234182" w:rsidRPr="00A25B26">
        <w:rPr>
          <w:rFonts w:ascii="Palatino Linotype" w:hAnsi="Palatino Linotype"/>
          <w:b w:val="0"/>
        </w:rPr>
        <w:t xml:space="preserve"> </w:t>
      </w:r>
    </w:p>
    <w:p w:rsidR="009206CB" w:rsidRPr="00A25B26" w:rsidRDefault="009206CB" w:rsidP="009206CB">
      <w:pPr>
        <w:pStyle w:val="Title"/>
        <w:ind w:left="720" w:right="90"/>
        <w:jc w:val="left"/>
        <w:rPr>
          <w:rFonts w:ascii="Palatino Linotype" w:hAnsi="Palatino Linotype"/>
          <w:b w:val="0"/>
          <w:u w:val="single"/>
        </w:rPr>
      </w:pPr>
      <w:r w:rsidRPr="00A25B26">
        <w:rPr>
          <w:rFonts w:ascii="Palatino Linotype" w:hAnsi="Palatino Linotype"/>
          <w:b w:val="0"/>
        </w:rPr>
        <w:lastRenderedPageBreak/>
        <w:tab/>
      </w:r>
      <w:r w:rsidRPr="00A25B26">
        <w:rPr>
          <w:rFonts w:ascii="Palatino Linotype" w:hAnsi="Palatino Linotype"/>
          <w:b w:val="0"/>
        </w:rPr>
        <w:tab/>
      </w:r>
      <w:r w:rsidRPr="00A25B26">
        <w:rPr>
          <w:rFonts w:ascii="Palatino Linotype" w:hAnsi="Palatino Linotype"/>
          <w:b w:val="0"/>
        </w:rPr>
        <w:tab/>
      </w:r>
      <w:r w:rsidRPr="00A25B26">
        <w:rPr>
          <w:rFonts w:ascii="Palatino Linotype" w:hAnsi="Palatino Linotype"/>
          <w:b w:val="0"/>
        </w:rPr>
        <w:tab/>
      </w:r>
      <w:r w:rsidRPr="00A25B26">
        <w:rPr>
          <w:rFonts w:ascii="Palatino Linotype" w:hAnsi="Palatino Linotype"/>
          <w:b w:val="0"/>
        </w:rPr>
        <w:tab/>
      </w:r>
      <w:r w:rsidRPr="00A25B26">
        <w:rPr>
          <w:rFonts w:ascii="Palatino Linotype" w:hAnsi="Palatino Linotype"/>
          <w:b w:val="0"/>
        </w:rPr>
        <w:tab/>
      </w:r>
      <w:r w:rsidRPr="00A25B26">
        <w:rPr>
          <w:rFonts w:ascii="Palatino Linotype" w:hAnsi="Palatino Linotype"/>
          <w:b w:val="0"/>
        </w:rPr>
        <w:tab/>
      </w:r>
      <w:r w:rsidRPr="00A25B26">
        <w:rPr>
          <w:rFonts w:ascii="Palatino Linotype" w:hAnsi="Palatino Linotype"/>
          <w:b w:val="0"/>
        </w:rPr>
        <w:tab/>
      </w:r>
      <w:r w:rsidR="0081736B" w:rsidRPr="00A25B26">
        <w:rPr>
          <w:rFonts w:ascii="Palatino Linotype" w:hAnsi="Palatino Linotype"/>
          <w:b w:val="0"/>
        </w:rPr>
        <w:t xml:space="preserve">    </w:t>
      </w:r>
      <w:r w:rsidR="00B8448D" w:rsidRPr="00A25B26">
        <w:rPr>
          <w:rFonts w:ascii="Palatino Linotype" w:hAnsi="Palatino Linotype"/>
          <w:b w:val="0"/>
          <w:u w:val="single"/>
        </w:rPr>
        <w:t xml:space="preserve">     </w:t>
      </w:r>
      <w:r w:rsidR="00FD42BF">
        <w:rPr>
          <w:rFonts w:ascii="Palatino Linotype" w:hAnsi="Palatino Linotype"/>
          <w:b w:val="0"/>
          <w:u w:val="single"/>
        </w:rPr>
        <w:t>___________________</w:t>
      </w:r>
      <w:r w:rsidRPr="00A25B26">
        <w:rPr>
          <w:rFonts w:ascii="Palatino Linotype" w:hAnsi="Palatino Linotype"/>
          <w:b w:val="0"/>
          <w:u w:val="single"/>
        </w:rPr>
        <w:t xml:space="preserve">___  </w:t>
      </w:r>
    </w:p>
    <w:p w:rsidR="009206CB" w:rsidRPr="00A25B26" w:rsidRDefault="009206CB" w:rsidP="009206CB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  <w:r w:rsidRPr="00A25B26">
        <w:rPr>
          <w:rFonts w:ascii="Palatino Linotype" w:hAnsi="Palatino Linotype"/>
          <w:b w:val="0"/>
        </w:rPr>
        <w:tab/>
      </w:r>
      <w:r w:rsidRPr="00A25B26">
        <w:rPr>
          <w:rFonts w:ascii="Palatino Linotype" w:hAnsi="Palatino Linotype"/>
          <w:b w:val="0"/>
        </w:rPr>
        <w:tab/>
      </w:r>
      <w:r w:rsidRPr="00A25B26">
        <w:rPr>
          <w:rFonts w:ascii="Palatino Linotype" w:hAnsi="Palatino Linotype"/>
          <w:b w:val="0"/>
        </w:rPr>
        <w:tab/>
      </w:r>
      <w:r w:rsidRPr="00A25B26">
        <w:rPr>
          <w:rFonts w:ascii="Palatino Linotype" w:hAnsi="Palatino Linotype"/>
          <w:b w:val="0"/>
        </w:rPr>
        <w:tab/>
      </w:r>
      <w:r w:rsidRPr="00A25B26">
        <w:rPr>
          <w:rFonts w:ascii="Palatino Linotype" w:hAnsi="Palatino Linotype"/>
          <w:b w:val="0"/>
        </w:rPr>
        <w:tab/>
      </w:r>
      <w:r w:rsidRPr="00A25B26">
        <w:rPr>
          <w:rFonts w:ascii="Palatino Linotype" w:hAnsi="Palatino Linotype"/>
          <w:b w:val="0"/>
        </w:rPr>
        <w:tab/>
      </w:r>
      <w:r w:rsidRPr="00A25B26">
        <w:rPr>
          <w:rFonts w:ascii="Palatino Linotype" w:hAnsi="Palatino Linotype"/>
          <w:b w:val="0"/>
        </w:rPr>
        <w:tab/>
      </w:r>
      <w:r w:rsidRPr="00A25B26">
        <w:rPr>
          <w:rFonts w:ascii="Palatino Linotype" w:hAnsi="Palatino Linotype"/>
          <w:b w:val="0"/>
        </w:rPr>
        <w:tab/>
        <w:t xml:space="preserve">        TIMOTHY </w:t>
      </w:r>
      <w:r w:rsidR="00F67779" w:rsidRPr="00A25B26">
        <w:rPr>
          <w:rFonts w:ascii="Palatino Linotype" w:hAnsi="Palatino Linotype"/>
          <w:b w:val="0"/>
        </w:rPr>
        <w:t xml:space="preserve">J. </w:t>
      </w:r>
      <w:r w:rsidRPr="00A25B26">
        <w:rPr>
          <w:rFonts w:ascii="Palatino Linotype" w:hAnsi="Palatino Linotype"/>
          <w:b w:val="0"/>
        </w:rPr>
        <w:t>SULLIVAN</w:t>
      </w:r>
    </w:p>
    <w:p w:rsidR="009206CB" w:rsidRPr="00A25B26" w:rsidRDefault="009206CB" w:rsidP="009206CB">
      <w:pPr>
        <w:pStyle w:val="Title"/>
        <w:ind w:left="720" w:right="90"/>
        <w:jc w:val="left"/>
        <w:rPr>
          <w:rFonts w:ascii="Palatino Linotype" w:hAnsi="Palatino Linotype"/>
          <w:b w:val="0"/>
        </w:rPr>
      </w:pPr>
      <w:r w:rsidRPr="00A25B26">
        <w:rPr>
          <w:rFonts w:ascii="Palatino Linotype" w:hAnsi="Palatino Linotype"/>
          <w:b w:val="0"/>
        </w:rPr>
        <w:tab/>
      </w:r>
      <w:r w:rsidRPr="00A25B26">
        <w:rPr>
          <w:rFonts w:ascii="Palatino Linotype" w:hAnsi="Palatino Linotype"/>
          <w:b w:val="0"/>
        </w:rPr>
        <w:tab/>
      </w:r>
      <w:r w:rsidRPr="00A25B26">
        <w:rPr>
          <w:rFonts w:ascii="Palatino Linotype" w:hAnsi="Palatino Linotype"/>
          <w:b w:val="0"/>
        </w:rPr>
        <w:tab/>
      </w:r>
      <w:r w:rsidRPr="00A25B26">
        <w:rPr>
          <w:rFonts w:ascii="Palatino Linotype" w:hAnsi="Palatino Linotype"/>
          <w:b w:val="0"/>
        </w:rPr>
        <w:tab/>
      </w:r>
      <w:r w:rsidRPr="00A25B26">
        <w:rPr>
          <w:rFonts w:ascii="Palatino Linotype" w:hAnsi="Palatino Linotype"/>
          <w:b w:val="0"/>
        </w:rPr>
        <w:tab/>
      </w:r>
      <w:r w:rsidRPr="00A25B26">
        <w:rPr>
          <w:rFonts w:ascii="Palatino Linotype" w:hAnsi="Palatino Linotype"/>
          <w:b w:val="0"/>
        </w:rPr>
        <w:tab/>
      </w:r>
      <w:r w:rsidRPr="00A25B26">
        <w:rPr>
          <w:rFonts w:ascii="Palatino Linotype" w:hAnsi="Palatino Linotype"/>
          <w:b w:val="0"/>
        </w:rPr>
        <w:tab/>
      </w:r>
      <w:r w:rsidRPr="00A25B26">
        <w:rPr>
          <w:rFonts w:ascii="Palatino Linotype" w:hAnsi="Palatino Linotype"/>
          <w:b w:val="0"/>
        </w:rPr>
        <w:tab/>
        <w:t xml:space="preserve">      </w:t>
      </w:r>
      <w:r w:rsidR="00B8448D" w:rsidRPr="00A25B26">
        <w:rPr>
          <w:rFonts w:ascii="Palatino Linotype" w:hAnsi="Palatino Linotype"/>
          <w:b w:val="0"/>
        </w:rPr>
        <w:t xml:space="preserve">       </w:t>
      </w:r>
      <w:r w:rsidRPr="00A25B26">
        <w:rPr>
          <w:rFonts w:ascii="Palatino Linotype" w:hAnsi="Palatino Linotype"/>
          <w:b w:val="0"/>
        </w:rPr>
        <w:t>Executive Director</w:t>
      </w:r>
    </w:p>
    <w:p w:rsidR="00CB36EC" w:rsidRDefault="00CB36EC" w:rsidP="000F7A0D">
      <w:pPr>
        <w:pStyle w:val="Title"/>
        <w:ind w:right="90"/>
        <w:jc w:val="left"/>
        <w:rPr>
          <w:rFonts w:ascii="Palatino Linotype" w:hAnsi="Palatino Linotype"/>
          <w:szCs w:val="24"/>
          <w:u w:val="single"/>
        </w:rPr>
      </w:pPr>
    </w:p>
    <w:sectPr w:rsidR="00CB36EC" w:rsidSect="00B8448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267" w:bottom="1152" w:left="720" w:header="720" w:footer="346" w:gutter="0"/>
      <w:pgNumType w:start="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6217C4" w15:done="0"/>
  <w15:commentEx w15:paraId="053670AE" w15:done="0"/>
  <w15:commentEx w15:paraId="148D78B6" w15:done="0"/>
  <w15:commentEx w15:paraId="4B1BCAE6" w15:done="0"/>
  <w15:commentEx w15:paraId="2FABD796" w15:done="0"/>
  <w15:commentEx w15:paraId="77DAA4EF" w15:paraIdParent="2FABD796" w15:done="0"/>
  <w15:commentEx w15:paraId="030090DB" w15:done="0"/>
  <w15:commentEx w15:paraId="47C1D170" w15:done="0"/>
  <w15:commentEx w15:paraId="2CC02855" w15:done="0"/>
  <w15:commentEx w15:paraId="62D801A5" w15:done="0"/>
  <w15:commentEx w15:paraId="13C3FCB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39" w:rsidRDefault="005E2F39">
      <w:r>
        <w:separator/>
      </w:r>
    </w:p>
  </w:endnote>
  <w:endnote w:type="continuationSeparator" w:id="0">
    <w:p w:rsidR="005E2F39" w:rsidRDefault="005E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219487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182" w:rsidRPr="00B8448D" w:rsidRDefault="00234182">
        <w:pPr>
          <w:pStyle w:val="Footer"/>
          <w:jc w:val="center"/>
          <w:rPr>
            <w:sz w:val="20"/>
            <w:szCs w:val="20"/>
          </w:rPr>
        </w:pPr>
        <w:r w:rsidRPr="00B8448D">
          <w:rPr>
            <w:sz w:val="20"/>
            <w:szCs w:val="20"/>
          </w:rPr>
          <w:fldChar w:fldCharType="begin"/>
        </w:r>
        <w:r w:rsidRPr="00B8448D">
          <w:rPr>
            <w:sz w:val="20"/>
            <w:szCs w:val="20"/>
          </w:rPr>
          <w:instrText xml:space="preserve"> PAGE   \* MERGEFORMAT </w:instrText>
        </w:r>
        <w:r w:rsidRPr="00B8448D">
          <w:rPr>
            <w:sz w:val="20"/>
            <w:szCs w:val="20"/>
          </w:rPr>
          <w:fldChar w:fldCharType="separate"/>
        </w:r>
        <w:r w:rsidR="003A39F4">
          <w:rPr>
            <w:noProof/>
            <w:sz w:val="20"/>
            <w:szCs w:val="20"/>
          </w:rPr>
          <w:t>2</w:t>
        </w:r>
        <w:r w:rsidRPr="00B8448D">
          <w:rPr>
            <w:noProof/>
            <w:sz w:val="20"/>
            <w:szCs w:val="20"/>
          </w:rPr>
          <w:fldChar w:fldCharType="end"/>
        </w:r>
      </w:p>
    </w:sdtContent>
  </w:sdt>
  <w:p w:rsidR="00234182" w:rsidRPr="00CA4751" w:rsidRDefault="00234182" w:rsidP="00CA4751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82" w:rsidRPr="00F779AD" w:rsidRDefault="00FD42BF" w:rsidP="00B8448D">
    <w:pPr>
      <w:pStyle w:val="Footer"/>
      <w:tabs>
        <w:tab w:val="left" w:pos="298"/>
      </w:tabs>
      <w:rPr>
        <w:sz w:val="20"/>
        <w:szCs w:val="20"/>
      </w:rPr>
    </w:pPr>
    <w:r>
      <w:rPr>
        <w:rFonts w:ascii="Tahoma" w:hAnsi="Tahoma" w:cs="Tahoma"/>
        <w:sz w:val="20"/>
        <w:szCs w:val="20"/>
      </w:rPr>
      <w:t>163849414</w:t>
    </w:r>
    <w:r w:rsidR="005E2F39">
      <w:rPr>
        <w:rFonts w:ascii="Tahoma" w:hAnsi="Tahoma" w:cs="Tahoma"/>
        <w:vanish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8.75pt">
          <v:imagedata r:id="rId1" o:title=""/>
        </v:shape>
      </w:pict>
    </w:r>
    <w:r w:rsidR="005E2F39">
      <w:rPr>
        <w:rFonts w:ascii="Tahoma" w:hAnsi="Tahoma" w:cs="Tahoma"/>
        <w:vanish/>
        <w:sz w:val="20"/>
        <w:szCs w:val="20"/>
      </w:rPr>
      <w:pict>
        <v:shape id="_x0000_i1026" type="#_x0000_t75" style="width:1in;height:18.75pt">
          <v:imagedata r:id="rId2" o:title=""/>
        </v:shape>
      </w:pict>
    </w:r>
    <w:r w:rsidR="00234182" w:rsidRPr="00F779AD">
      <w:rPr>
        <w:sz w:val="20"/>
        <w:szCs w:val="20"/>
      </w:rPr>
      <w:tab/>
    </w:r>
  </w:p>
  <w:p w:rsidR="00234182" w:rsidRPr="00F779AD" w:rsidRDefault="00234182" w:rsidP="00D2029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39" w:rsidRDefault="005E2F39">
      <w:r>
        <w:separator/>
      </w:r>
    </w:p>
  </w:footnote>
  <w:footnote w:type="continuationSeparator" w:id="0">
    <w:p w:rsidR="005E2F39" w:rsidRDefault="005E2F39">
      <w:r>
        <w:continuationSeparator/>
      </w:r>
    </w:p>
  </w:footnote>
  <w:footnote w:id="1">
    <w:p w:rsidR="00576E3E" w:rsidRPr="00814D99" w:rsidRDefault="00576E3E">
      <w:pPr>
        <w:pStyle w:val="FootnoteText"/>
        <w:rPr>
          <w:rFonts w:ascii="Palatino Linotype" w:hAnsi="Palatino Linotype"/>
        </w:rPr>
      </w:pPr>
      <w:r w:rsidRPr="00AE0BE5">
        <w:rPr>
          <w:rStyle w:val="FootnoteReference"/>
          <w:rFonts w:ascii="Palatino Linotype" w:hAnsi="Palatino Linotype"/>
        </w:rPr>
        <w:footnoteRef/>
      </w:r>
      <w:r w:rsidRPr="00AE0BE5">
        <w:rPr>
          <w:rFonts w:ascii="Palatino Linotype" w:hAnsi="Palatino Linotype"/>
        </w:rPr>
        <w:t xml:space="preserve"> </w:t>
      </w:r>
      <w:r w:rsidRPr="00814D99">
        <w:rPr>
          <w:rFonts w:ascii="Palatino Linotype" w:hAnsi="Palatino Linotype"/>
        </w:rPr>
        <w:t xml:space="preserve">A Carrier of Last Resort is </w:t>
      </w:r>
      <w:r w:rsidRPr="00814D99">
        <w:rPr>
          <w:rFonts w:ascii="Palatino Linotype" w:hAnsi="Palatino Linotype"/>
          <w:lang w:val="en"/>
        </w:rPr>
        <w:t xml:space="preserve">a </w:t>
      </w:r>
      <w:r w:rsidR="00814D99" w:rsidRPr="00814D99">
        <w:rPr>
          <w:rFonts w:ascii="Palatino Linotype" w:hAnsi="Palatino Linotype"/>
        </w:rPr>
        <w:t xml:space="preserve">telecommunications carrier </w:t>
      </w:r>
      <w:r w:rsidRPr="00814D99">
        <w:rPr>
          <w:rFonts w:ascii="Palatino Linotype" w:hAnsi="Palatino Linotype"/>
          <w:lang w:val="en"/>
        </w:rPr>
        <w:t>that commits (or is required by law) to provide service to any customer in a service area that requests it, even if serving that customer would not be economically viable at prevailing rates.</w:t>
      </w:r>
      <w:r w:rsidR="008C4C14" w:rsidRPr="00814D99">
        <w:rPr>
          <w:rFonts w:ascii="Palatino Linotype" w:hAnsi="Palatino Linotype"/>
          <w:lang w:val="en"/>
        </w:rPr>
        <w:t xml:space="preserve">  In accordance with D.12-12-038</w:t>
      </w:r>
      <w:r w:rsidR="00DF2632">
        <w:rPr>
          <w:rFonts w:ascii="Palatino Linotype" w:hAnsi="Palatino Linotype"/>
          <w:lang w:val="en"/>
        </w:rPr>
        <w:t>,</w:t>
      </w:r>
      <w:r w:rsidR="008C4C14" w:rsidRPr="00814D99">
        <w:rPr>
          <w:rFonts w:ascii="Palatino Linotype" w:hAnsi="Palatino Linotype"/>
          <w:lang w:val="en"/>
        </w:rPr>
        <w:t xml:space="preserve"> “A COLR must offer basic service to all residential customers within its designated service territory, including those areas that are more costly or difficult to serve.”</w:t>
      </w:r>
    </w:p>
  </w:footnote>
  <w:footnote w:id="2">
    <w:p w:rsidR="003E5BFE" w:rsidRDefault="003E5BFE">
      <w:pPr>
        <w:pStyle w:val="FootnoteText"/>
      </w:pPr>
      <w:r w:rsidRPr="00814D99">
        <w:rPr>
          <w:rStyle w:val="FootnoteReference"/>
          <w:rFonts w:ascii="Palatino Linotype" w:hAnsi="Palatino Linotype"/>
        </w:rPr>
        <w:footnoteRef/>
      </w:r>
      <w:r w:rsidRPr="00814D99">
        <w:rPr>
          <w:rFonts w:ascii="Palatino Linotype" w:hAnsi="Palatino Linotype"/>
        </w:rPr>
        <w:t xml:space="preserve"> Decision 96-10-066, Appendix A defines</w:t>
      </w:r>
      <w:r w:rsidR="00987E29" w:rsidRPr="00814D99">
        <w:rPr>
          <w:rFonts w:ascii="Palatino Linotype" w:hAnsi="Palatino Linotype"/>
        </w:rPr>
        <w:t xml:space="preserve"> </w:t>
      </w:r>
      <w:r w:rsidRPr="00814D99">
        <w:rPr>
          <w:rFonts w:ascii="Palatino Linotype" w:hAnsi="Palatino Linotype"/>
        </w:rPr>
        <w:t xml:space="preserve">CBG as, “An area defined by the United States Census Bureau </w:t>
      </w:r>
      <w:r w:rsidR="00987E29" w:rsidRPr="00814D99">
        <w:rPr>
          <w:rFonts w:ascii="Palatino Linotype" w:hAnsi="Palatino Linotype"/>
        </w:rPr>
        <w:t xml:space="preserve">(and used) </w:t>
      </w:r>
      <w:r w:rsidRPr="00814D99">
        <w:rPr>
          <w:rFonts w:ascii="Palatino Linotype" w:hAnsi="Palatino Linotype"/>
        </w:rPr>
        <w:t>for purposes of the CHCF-B. The CBG serves as the geographic study area.”</w:t>
      </w:r>
      <w:r w:rsidR="00987E29" w:rsidRPr="00814D99">
        <w:rPr>
          <w:rFonts w:ascii="Palatino Linotype" w:hAnsi="Palatino Linotype"/>
        </w:rPr>
        <w:t xml:space="preserve"> </w:t>
      </w:r>
      <w:r w:rsidR="0016652B" w:rsidRPr="00814D99">
        <w:rPr>
          <w:rFonts w:ascii="Palatino Linotype" w:hAnsi="Palatino Linotype"/>
        </w:rPr>
        <w:t>(</w:t>
      </w:r>
      <w:r w:rsidR="00987E29" w:rsidRPr="00814D99">
        <w:rPr>
          <w:rFonts w:ascii="Palatino Linotype" w:hAnsi="Palatino Linotype"/>
        </w:rPr>
        <w:t>Clarification added</w:t>
      </w:r>
      <w:r w:rsidR="0016652B" w:rsidRPr="00814D99">
        <w:rPr>
          <w:rFonts w:ascii="Palatino Linotype" w:hAnsi="Palatino Linotype"/>
        </w:rPr>
        <w:t>)</w:t>
      </w:r>
      <w:r w:rsidR="00915AA4">
        <w:rPr>
          <w:rFonts w:ascii="Palatino Linotype" w:hAnsi="Palatino Linotype"/>
        </w:rPr>
        <w:t xml:space="preserve">   </w:t>
      </w:r>
    </w:p>
  </w:footnote>
  <w:footnote w:id="3">
    <w:p w:rsidR="009C1261" w:rsidRDefault="009C12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533DA">
        <w:t>D.</w:t>
      </w:r>
      <w:r w:rsidRPr="00555964">
        <w:rPr>
          <w:rFonts w:ascii="Palatino Linotype" w:hAnsi="Palatino Linotype"/>
        </w:rPr>
        <w:t>96-10-066</w:t>
      </w:r>
      <w:r>
        <w:rPr>
          <w:rFonts w:ascii="Palatino Linotype" w:hAnsi="Palatino Linotype"/>
        </w:rPr>
        <w:t>, Appendix A defines GSA as, “A Commission designated geographic area that serves as a reference point from which cost data and high cost subsidies can be derived for the designated carrier or carriers of last resort.”</w:t>
      </w:r>
    </w:p>
  </w:footnote>
  <w:footnote w:id="4">
    <w:p w:rsidR="007533DA" w:rsidRDefault="007533DA">
      <w:pPr>
        <w:pStyle w:val="FootnoteText"/>
      </w:pPr>
      <w:r>
        <w:rPr>
          <w:rStyle w:val="FootnoteReference"/>
        </w:rPr>
        <w:footnoteRef/>
      </w:r>
      <w:r>
        <w:t xml:space="preserve"> D.13-05-035, p. 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82" w:rsidRDefault="00234182" w:rsidP="000A6996">
    <w:pPr>
      <w:pStyle w:val="Header"/>
      <w:tabs>
        <w:tab w:val="clear" w:pos="4320"/>
        <w:tab w:val="clear" w:pos="8640"/>
        <w:tab w:val="left" w:pos="7551"/>
      </w:tabs>
      <w:ind w:left="720"/>
    </w:pPr>
    <w:r>
      <w:t xml:space="preserve">      </w:t>
    </w:r>
    <w:r>
      <w:tab/>
      <w:t xml:space="preserve">     </w:t>
    </w:r>
  </w:p>
  <w:p w:rsidR="00234182" w:rsidRDefault="00234182" w:rsidP="000A6996">
    <w:pPr>
      <w:pStyle w:val="Header"/>
      <w:tabs>
        <w:tab w:val="clear" w:pos="4320"/>
        <w:tab w:val="clear" w:pos="8640"/>
      </w:tabs>
      <w:ind w:left="720"/>
    </w:pPr>
    <w:r>
      <w:t>Resolution T-175</w:t>
    </w:r>
    <w:r w:rsidR="00BA186B">
      <w:t>26</w:t>
    </w:r>
    <w:r>
      <w:tab/>
    </w:r>
    <w:r>
      <w:tab/>
    </w:r>
    <w:r>
      <w:tab/>
      <w:t xml:space="preserve">       </w:t>
    </w:r>
  </w:p>
  <w:p w:rsidR="00234182" w:rsidRDefault="00234182" w:rsidP="000E66A0">
    <w:pPr>
      <w:pStyle w:val="Header"/>
      <w:tabs>
        <w:tab w:val="clear" w:pos="8640"/>
      </w:tabs>
      <w:ind w:left="720"/>
    </w:pPr>
    <w:r>
      <w:t>CD/RCM</w:t>
    </w:r>
    <w:r>
      <w:tab/>
      <w:t xml:space="preserve">                      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82" w:rsidRDefault="00234182" w:rsidP="002F173E">
    <w:pPr>
      <w:pStyle w:val="Header"/>
      <w:tabs>
        <w:tab w:val="clear" w:pos="4320"/>
        <w:tab w:val="clear" w:pos="8640"/>
      </w:tabs>
      <w:ind w:firstLine="720"/>
    </w:pPr>
    <w:r>
      <w:t>Resolution T-175</w:t>
    </w:r>
    <w:r w:rsidR="00BA186B">
      <w:t>26</w:t>
    </w:r>
    <w:r>
      <w:tab/>
    </w:r>
    <w:r>
      <w:tab/>
    </w:r>
    <w:r>
      <w:tab/>
    </w:r>
    <w:r w:rsidR="003A4E41">
      <w:t xml:space="preserve">     </w:t>
    </w:r>
    <w:r>
      <w:t xml:space="preserve">  </w:t>
    </w:r>
    <w:r w:rsidR="003A4E41">
      <w:t xml:space="preserve">  Draft</w:t>
    </w:r>
    <w:r>
      <w:t xml:space="preserve">                  </w:t>
    </w:r>
    <w:r w:rsidR="003A4E41">
      <w:t xml:space="preserve">          </w:t>
    </w:r>
    <w:r>
      <w:t xml:space="preserve">      </w:t>
    </w:r>
    <w:r w:rsidR="003A4E41">
      <w:t xml:space="preserve">  </w:t>
    </w:r>
    <w:r>
      <w:t xml:space="preserve">   </w:t>
    </w:r>
    <w:r w:rsidR="003A4E41">
      <w:t>Agenda ID#:</w:t>
    </w:r>
    <w:r w:rsidR="003A39F4">
      <w:t xml:space="preserve"> 15025</w:t>
    </w:r>
    <w:r>
      <w:t xml:space="preserve">                          </w:t>
    </w:r>
    <w:r>
      <w:tab/>
      <w:t xml:space="preserve">CD/RCM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504A5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977EF"/>
    <w:multiLevelType w:val="hybridMultilevel"/>
    <w:tmpl w:val="3D2C41B8"/>
    <w:lvl w:ilvl="0" w:tplc="138C2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52863"/>
    <w:multiLevelType w:val="hybridMultilevel"/>
    <w:tmpl w:val="461066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F96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7211AEE"/>
    <w:multiLevelType w:val="hybridMultilevel"/>
    <w:tmpl w:val="D0CEE69C"/>
    <w:lvl w:ilvl="0" w:tplc="F44C94EC">
      <w:start w:val="1"/>
      <w:numFmt w:val="decimal"/>
      <w:lvlText w:val="%1."/>
      <w:lvlJc w:val="left"/>
      <w:pPr>
        <w:tabs>
          <w:tab w:val="num" w:pos="240"/>
        </w:tabs>
        <w:ind w:left="2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9FE7B16"/>
    <w:multiLevelType w:val="hybridMultilevel"/>
    <w:tmpl w:val="A3D0D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21D8A"/>
    <w:multiLevelType w:val="hybridMultilevel"/>
    <w:tmpl w:val="DFB6F49E"/>
    <w:lvl w:ilvl="0" w:tplc="53DA301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E26C9"/>
    <w:multiLevelType w:val="hybridMultilevel"/>
    <w:tmpl w:val="9904DEF6"/>
    <w:lvl w:ilvl="0" w:tplc="3C482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6101FB"/>
    <w:multiLevelType w:val="hybridMultilevel"/>
    <w:tmpl w:val="7340ECAE"/>
    <w:lvl w:ilvl="0" w:tplc="D2441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1D033B"/>
    <w:multiLevelType w:val="hybridMultilevel"/>
    <w:tmpl w:val="3D2C41B8"/>
    <w:lvl w:ilvl="0" w:tplc="138C2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740DA3"/>
    <w:multiLevelType w:val="hybridMultilevel"/>
    <w:tmpl w:val="CBAE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F0185"/>
    <w:multiLevelType w:val="hybridMultilevel"/>
    <w:tmpl w:val="7B4EDC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EB31F0"/>
    <w:multiLevelType w:val="hybridMultilevel"/>
    <w:tmpl w:val="E3BE9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D2AA7"/>
    <w:multiLevelType w:val="hybridMultilevel"/>
    <w:tmpl w:val="6D42E12A"/>
    <w:lvl w:ilvl="0" w:tplc="900A6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0776AB"/>
    <w:multiLevelType w:val="hybridMultilevel"/>
    <w:tmpl w:val="2D1C0D04"/>
    <w:lvl w:ilvl="0" w:tplc="900A3102">
      <w:start w:val="3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B5503"/>
    <w:multiLevelType w:val="hybridMultilevel"/>
    <w:tmpl w:val="3BA69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13C8"/>
    <w:multiLevelType w:val="hybridMultilevel"/>
    <w:tmpl w:val="31EEC53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DC03CB8"/>
    <w:multiLevelType w:val="hybridMultilevel"/>
    <w:tmpl w:val="CD48C986"/>
    <w:lvl w:ilvl="0" w:tplc="CCA2117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77945"/>
    <w:multiLevelType w:val="hybridMultilevel"/>
    <w:tmpl w:val="2BFE11B0"/>
    <w:lvl w:ilvl="0" w:tplc="9938A792">
      <w:start w:val="1"/>
      <w:numFmt w:val="decimal"/>
      <w:lvlText w:val="%1."/>
      <w:lvlJc w:val="left"/>
      <w:pPr>
        <w:tabs>
          <w:tab w:val="num" w:pos="240"/>
        </w:tabs>
        <w:ind w:left="2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41947D60"/>
    <w:multiLevelType w:val="hybridMultilevel"/>
    <w:tmpl w:val="5C04A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84787"/>
    <w:multiLevelType w:val="hybridMultilevel"/>
    <w:tmpl w:val="9CEA31CA"/>
    <w:lvl w:ilvl="0" w:tplc="10609BA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0767FB"/>
    <w:multiLevelType w:val="hybridMultilevel"/>
    <w:tmpl w:val="385685FC"/>
    <w:lvl w:ilvl="0" w:tplc="D95C379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C4821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CAF1D4B"/>
    <w:multiLevelType w:val="hybridMultilevel"/>
    <w:tmpl w:val="4544C5DC"/>
    <w:lvl w:ilvl="0" w:tplc="3A402FA4">
      <w:start w:val="1"/>
      <w:numFmt w:val="decimal"/>
      <w:lvlText w:val="%1."/>
      <w:lvlJc w:val="left"/>
      <w:pPr>
        <w:ind w:left="1440" w:hanging="360"/>
      </w:pPr>
      <w:rPr>
        <w:rFonts w:ascii="Palatino Linotype" w:hAnsi="Palatino Linotype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5610B6"/>
    <w:multiLevelType w:val="hybridMultilevel"/>
    <w:tmpl w:val="88362542"/>
    <w:lvl w:ilvl="0" w:tplc="EBE2D8E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ADB0BF8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05636"/>
    <w:multiLevelType w:val="hybridMultilevel"/>
    <w:tmpl w:val="EFF049F0"/>
    <w:lvl w:ilvl="0" w:tplc="D59C49D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C3D6198"/>
    <w:multiLevelType w:val="hybridMultilevel"/>
    <w:tmpl w:val="9EA22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221C55"/>
    <w:multiLevelType w:val="hybridMultilevel"/>
    <w:tmpl w:val="1E2A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4289F"/>
    <w:multiLevelType w:val="hybridMultilevel"/>
    <w:tmpl w:val="34ECB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7089C"/>
    <w:multiLevelType w:val="hybridMultilevel"/>
    <w:tmpl w:val="0AA8365C"/>
    <w:lvl w:ilvl="0" w:tplc="7BF86FE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06BD2"/>
    <w:multiLevelType w:val="hybridMultilevel"/>
    <w:tmpl w:val="F86034D8"/>
    <w:lvl w:ilvl="0" w:tplc="A5C06B3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B3B75"/>
    <w:multiLevelType w:val="hybridMultilevel"/>
    <w:tmpl w:val="7340ECAE"/>
    <w:lvl w:ilvl="0" w:tplc="D2441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4573A1"/>
    <w:multiLevelType w:val="hybridMultilevel"/>
    <w:tmpl w:val="58D427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E87AD5"/>
    <w:multiLevelType w:val="hybridMultilevel"/>
    <w:tmpl w:val="4008C026"/>
    <w:lvl w:ilvl="0" w:tplc="D95C379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4">
    <w:nsid w:val="6E1B6297"/>
    <w:multiLevelType w:val="hybridMultilevel"/>
    <w:tmpl w:val="F8FC7242"/>
    <w:lvl w:ilvl="0" w:tplc="53DA301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5482B"/>
    <w:multiLevelType w:val="hybridMultilevel"/>
    <w:tmpl w:val="C0B42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A3AC8"/>
    <w:multiLevelType w:val="hybridMultilevel"/>
    <w:tmpl w:val="CB64705C"/>
    <w:lvl w:ilvl="0" w:tplc="F9C0C5D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10F2F09"/>
    <w:multiLevelType w:val="hybridMultilevel"/>
    <w:tmpl w:val="0C988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89782B"/>
    <w:multiLevelType w:val="hybridMultilevel"/>
    <w:tmpl w:val="D3EEEE12"/>
    <w:lvl w:ilvl="0" w:tplc="96F0139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D173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4D7264D"/>
    <w:multiLevelType w:val="hybridMultilevel"/>
    <w:tmpl w:val="2FE25094"/>
    <w:lvl w:ilvl="0" w:tplc="138C2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F2B23"/>
    <w:multiLevelType w:val="hybridMultilevel"/>
    <w:tmpl w:val="109C9E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56334D"/>
    <w:multiLevelType w:val="hybridMultilevel"/>
    <w:tmpl w:val="100034C8"/>
    <w:lvl w:ilvl="0" w:tplc="D95C379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3">
    <w:nsid w:val="79C30BE9"/>
    <w:multiLevelType w:val="hybridMultilevel"/>
    <w:tmpl w:val="1F068D46"/>
    <w:lvl w:ilvl="0" w:tplc="53DA301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0"/>
  </w:num>
  <w:num w:numId="4">
    <w:abstractNumId w:val="25"/>
  </w:num>
  <w:num w:numId="5">
    <w:abstractNumId w:val="13"/>
  </w:num>
  <w:num w:numId="6">
    <w:abstractNumId w:val="7"/>
  </w:num>
  <w:num w:numId="7">
    <w:abstractNumId w:val="9"/>
  </w:num>
  <w:num w:numId="8">
    <w:abstractNumId w:val="21"/>
  </w:num>
  <w:num w:numId="9">
    <w:abstractNumId w:val="2"/>
  </w:num>
  <w:num w:numId="10">
    <w:abstractNumId w:val="11"/>
  </w:num>
  <w:num w:numId="11">
    <w:abstractNumId w:val="42"/>
  </w:num>
  <w:num w:numId="12">
    <w:abstractNumId w:val="14"/>
  </w:num>
  <w:num w:numId="13">
    <w:abstractNumId w:val="12"/>
  </w:num>
  <w:num w:numId="14">
    <w:abstractNumId w:val="29"/>
  </w:num>
  <w:num w:numId="15">
    <w:abstractNumId w:val="23"/>
  </w:num>
  <w:num w:numId="16">
    <w:abstractNumId w:val="17"/>
  </w:num>
  <w:num w:numId="17">
    <w:abstractNumId w:val="38"/>
  </w:num>
  <w:num w:numId="18">
    <w:abstractNumId w:val="36"/>
  </w:num>
  <w:num w:numId="19">
    <w:abstractNumId w:val="37"/>
  </w:num>
  <w:num w:numId="20">
    <w:abstractNumId w:val="16"/>
  </w:num>
  <w:num w:numId="21">
    <w:abstractNumId w:val="32"/>
  </w:num>
  <w:num w:numId="22">
    <w:abstractNumId w:val="41"/>
  </w:num>
  <w:num w:numId="23">
    <w:abstractNumId w:val="1"/>
  </w:num>
  <w:num w:numId="24">
    <w:abstractNumId w:val="40"/>
  </w:num>
  <w:num w:numId="25">
    <w:abstractNumId w:val="6"/>
  </w:num>
  <w:num w:numId="26">
    <w:abstractNumId w:val="15"/>
  </w:num>
  <w:num w:numId="27">
    <w:abstractNumId w:val="34"/>
  </w:num>
  <w:num w:numId="28">
    <w:abstractNumId w:val="43"/>
  </w:num>
  <w:num w:numId="29">
    <w:abstractNumId w:val="39"/>
  </w:num>
  <w:num w:numId="30">
    <w:abstractNumId w:val="3"/>
  </w:num>
  <w:num w:numId="31">
    <w:abstractNumId w:val="22"/>
  </w:num>
  <w:num w:numId="32">
    <w:abstractNumId w:val="0"/>
  </w:num>
  <w:num w:numId="33">
    <w:abstractNumId w:val="31"/>
  </w:num>
  <w:num w:numId="34">
    <w:abstractNumId w:val="8"/>
  </w:num>
  <w:num w:numId="35">
    <w:abstractNumId w:val="3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6"/>
  </w:num>
  <w:num w:numId="39">
    <w:abstractNumId w:val="28"/>
  </w:num>
  <w:num w:numId="40">
    <w:abstractNumId w:val="5"/>
  </w:num>
  <w:num w:numId="41">
    <w:abstractNumId w:val="19"/>
  </w:num>
  <w:num w:numId="42">
    <w:abstractNumId w:val="33"/>
  </w:num>
  <w:num w:numId="43">
    <w:abstractNumId w:val="24"/>
  </w:num>
  <w:num w:numId="4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ndy">
    <w15:presenceInfo w15:providerId="None" w15:userId="Sind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BD"/>
    <w:rsid w:val="0000105D"/>
    <w:rsid w:val="00002676"/>
    <w:rsid w:val="00003B52"/>
    <w:rsid w:val="0000410B"/>
    <w:rsid w:val="000041B0"/>
    <w:rsid w:val="0000481D"/>
    <w:rsid w:val="00005A55"/>
    <w:rsid w:val="000067C3"/>
    <w:rsid w:val="00012550"/>
    <w:rsid w:val="00013029"/>
    <w:rsid w:val="00013302"/>
    <w:rsid w:val="00013387"/>
    <w:rsid w:val="00013DE0"/>
    <w:rsid w:val="00013E33"/>
    <w:rsid w:val="000145EC"/>
    <w:rsid w:val="00014683"/>
    <w:rsid w:val="000156EC"/>
    <w:rsid w:val="00015D30"/>
    <w:rsid w:val="0001742D"/>
    <w:rsid w:val="00021C9C"/>
    <w:rsid w:val="00021D1D"/>
    <w:rsid w:val="00023A7C"/>
    <w:rsid w:val="000246D1"/>
    <w:rsid w:val="00024AFF"/>
    <w:rsid w:val="0002563F"/>
    <w:rsid w:val="00025A26"/>
    <w:rsid w:val="00025AAB"/>
    <w:rsid w:val="00025EC7"/>
    <w:rsid w:val="00026849"/>
    <w:rsid w:val="0002787C"/>
    <w:rsid w:val="000279D2"/>
    <w:rsid w:val="00027DD4"/>
    <w:rsid w:val="00031FED"/>
    <w:rsid w:val="00033467"/>
    <w:rsid w:val="00037646"/>
    <w:rsid w:val="000405FD"/>
    <w:rsid w:val="000407B4"/>
    <w:rsid w:val="0004177E"/>
    <w:rsid w:val="00042335"/>
    <w:rsid w:val="0004432A"/>
    <w:rsid w:val="000443CB"/>
    <w:rsid w:val="00044A51"/>
    <w:rsid w:val="00045062"/>
    <w:rsid w:val="00045928"/>
    <w:rsid w:val="000462B4"/>
    <w:rsid w:val="000500A5"/>
    <w:rsid w:val="000508A6"/>
    <w:rsid w:val="00052344"/>
    <w:rsid w:val="00053167"/>
    <w:rsid w:val="00053247"/>
    <w:rsid w:val="00053630"/>
    <w:rsid w:val="0005486F"/>
    <w:rsid w:val="000559CD"/>
    <w:rsid w:val="00055A75"/>
    <w:rsid w:val="0006023A"/>
    <w:rsid w:val="000604A6"/>
    <w:rsid w:val="00060590"/>
    <w:rsid w:val="00061C68"/>
    <w:rsid w:val="00062D3F"/>
    <w:rsid w:val="0006338B"/>
    <w:rsid w:val="00063659"/>
    <w:rsid w:val="00063713"/>
    <w:rsid w:val="00064248"/>
    <w:rsid w:val="00064FA8"/>
    <w:rsid w:val="00065CA3"/>
    <w:rsid w:val="0006651D"/>
    <w:rsid w:val="00066B61"/>
    <w:rsid w:val="00067039"/>
    <w:rsid w:val="00067103"/>
    <w:rsid w:val="00071367"/>
    <w:rsid w:val="000726B7"/>
    <w:rsid w:val="0007379A"/>
    <w:rsid w:val="00073EC5"/>
    <w:rsid w:val="00075B1E"/>
    <w:rsid w:val="00075FA1"/>
    <w:rsid w:val="00076162"/>
    <w:rsid w:val="00076B51"/>
    <w:rsid w:val="00077CEE"/>
    <w:rsid w:val="00077F9B"/>
    <w:rsid w:val="000800CC"/>
    <w:rsid w:val="00082101"/>
    <w:rsid w:val="000822EF"/>
    <w:rsid w:val="000827F0"/>
    <w:rsid w:val="00083DF2"/>
    <w:rsid w:val="00084C73"/>
    <w:rsid w:val="00085161"/>
    <w:rsid w:val="00085712"/>
    <w:rsid w:val="000859EC"/>
    <w:rsid w:val="000864ED"/>
    <w:rsid w:val="00087431"/>
    <w:rsid w:val="00087AFA"/>
    <w:rsid w:val="0009036F"/>
    <w:rsid w:val="00092868"/>
    <w:rsid w:val="00092F18"/>
    <w:rsid w:val="0009308A"/>
    <w:rsid w:val="000935A2"/>
    <w:rsid w:val="00093796"/>
    <w:rsid w:val="00094265"/>
    <w:rsid w:val="0009577E"/>
    <w:rsid w:val="00097AD7"/>
    <w:rsid w:val="000A059A"/>
    <w:rsid w:val="000A08C2"/>
    <w:rsid w:val="000A1D9F"/>
    <w:rsid w:val="000A21FD"/>
    <w:rsid w:val="000A2836"/>
    <w:rsid w:val="000A3421"/>
    <w:rsid w:val="000A3D14"/>
    <w:rsid w:val="000A6996"/>
    <w:rsid w:val="000A77DF"/>
    <w:rsid w:val="000B1EDE"/>
    <w:rsid w:val="000B3A77"/>
    <w:rsid w:val="000B4C06"/>
    <w:rsid w:val="000B4D28"/>
    <w:rsid w:val="000B57FA"/>
    <w:rsid w:val="000B5A0D"/>
    <w:rsid w:val="000B5CF5"/>
    <w:rsid w:val="000B7070"/>
    <w:rsid w:val="000B7614"/>
    <w:rsid w:val="000C0B92"/>
    <w:rsid w:val="000C0BC3"/>
    <w:rsid w:val="000C110F"/>
    <w:rsid w:val="000C2EB3"/>
    <w:rsid w:val="000C2FAB"/>
    <w:rsid w:val="000C3488"/>
    <w:rsid w:val="000C405F"/>
    <w:rsid w:val="000C6055"/>
    <w:rsid w:val="000C65DC"/>
    <w:rsid w:val="000C66C2"/>
    <w:rsid w:val="000C6EBB"/>
    <w:rsid w:val="000C70EF"/>
    <w:rsid w:val="000C7BCC"/>
    <w:rsid w:val="000D0470"/>
    <w:rsid w:val="000D1240"/>
    <w:rsid w:val="000D1C66"/>
    <w:rsid w:val="000D1E6E"/>
    <w:rsid w:val="000D2598"/>
    <w:rsid w:val="000D467E"/>
    <w:rsid w:val="000D4A96"/>
    <w:rsid w:val="000D4FE5"/>
    <w:rsid w:val="000D53DD"/>
    <w:rsid w:val="000D55C3"/>
    <w:rsid w:val="000D622D"/>
    <w:rsid w:val="000D7621"/>
    <w:rsid w:val="000E0402"/>
    <w:rsid w:val="000E0614"/>
    <w:rsid w:val="000E0D57"/>
    <w:rsid w:val="000E16C1"/>
    <w:rsid w:val="000E3EDA"/>
    <w:rsid w:val="000E411C"/>
    <w:rsid w:val="000E4644"/>
    <w:rsid w:val="000E5635"/>
    <w:rsid w:val="000E66A0"/>
    <w:rsid w:val="000E75B5"/>
    <w:rsid w:val="000F0161"/>
    <w:rsid w:val="000F11B6"/>
    <w:rsid w:val="000F32F8"/>
    <w:rsid w:val="000F55D2"/>
    <w:rsid w:val="000F5608"/>
    <w:rsid w:val="000F7A0D"/>
    <w:rsid w:val="0010018D"/>
    <w:rsid w:val="0010055A"/>
    <w:rsid w:val="00100C10"/>
    <w:rsid w:val="00100C5F"/>
    <w:rsid w:val="00102405"/>
    <w:rsid w:val="00102AAD"/>
    <w:rsid w:val="00103570"/>
    <w:rsid w:val="0010358E"/>
    <w:rsid w:val="00104186"/>
    <w:rsid w:val="00104628"/>
    <w:rsid w:val="00105943"/>
    <w:rsid w:val="0010608D"/>
    <w:rsid w:val="0010617D"/>
    <w:rsid w:val="00107C61"/>
    <w:rsid w:val="00110237"/>
    <w:rsid w:val="00110B18"/>
    <w:rsid w:val="00110B51"/>
    <w:rsid w:val="00111092"/>
    <w:rsid w:val="00113B18"/>
    <w:rsid w:val="0011404B"/>
    <w:rsid w:val="0011560C"/>
    <w:rsid w:val="00115E36"/>
    <w:rsid w:val="00116F74"/>
    <w:rsid w:val="00117B3E"/>
    <w:rsid w:val="00117ED0"/>
    <w:rsid w:val="0012016B"/>
    <w:rsid w:val="001201C6"/>
    <w:rsid w:val="001207B4"/>
    <w:rsid w:val="00121866"/>
    <w:rsid w:val="001222D7"/>
    <w:rsid w:val="001229E3"/>
    <w:rsid w:val="00123638"/>
    <w:rsid w:val="001266B7"/>
    <w:rsid w:val="001269A2"/>
    <w:rsid w:val="001269D6"/>
    <w:rsid w:val="00126B2F"/>
    <w:rsid w:val="00126EAF"/>
    <w:rsid w:val="00127074"/>
    <w:rsid w:val="001273CE"/>
    <w:rsid w:val="00127482"/>
    <w:rsid w:val="001276D7"/>
    <w:rsid w:val="001305B0"/>
    <w:rsid w:val="00131F8D"/>
    <w:rsid w:val="00132E9B"/>
    <w:rsid w:val="001340FE"/>
    <w:rsid w:val="00135FA2"/>
    <w:rsid w:val="00140253"/>
    <w:rsid w:val="00140B72"/>
    <w:rsid w:val="00140C45"/>
    <w:rsid w:val="00141C46"/>
    <w:rsid w:val="00142A99"/>
    <w:rsid w:val="00143642"/>
    <w:rsid w:val="00143BFA"/>
    <w:rsid w:val="00143D99"/>
    <w:rsid w:val="0014671C"/>
    <w:rsid w:val="00146F8B"/>
    <w:rsid w:val="00150C27"/>
    <w:rsid w:val="0015328C"/>
    <w:rsid w:val="00153665"/>
    <w:rsid w:val="00153FD8"/>
    <w:rsid w:val="00154849"/>
    <w:rsid w:val="00155D1B"/>
    <w:rsid w:val="001566BE"/>
    <w:rsid w:val="0015670C"/>
    <w:rsid w:val="00161212"/>
    <w:rsid w:val="001618B7"/>
    <w:rsid w:val="00162331"/>
    <w:rsid w:val="00162B96"/>
    <w:rsid w:val="00163250"/>
    <w:rsid w:val="0016346D"/>
    <w:rsid w:val="0016402F"/>
    <w:rsid w:val="001640E9"/>
    <w:rsid w:val="001662FB"/>
    <w:rsid w:val="0016652B"/>
    <w:rsid w:val="00167A40"/>
    <w:rsid w:val="00167FBB"/>
    <w:rsid w:val="00171237"/>
    <w:rsid w:val="001719DC"/>
    <w:rsid w:val="00171D3E"/>
    <w:rsid w:val="001720B7"/>
    <w:rsid w:val="001721F2"/>
    <w:rsid w:val="00173E50"/>
    <w:rsid w:val="00174733"/>
    <w:rsid w:val="00174A2A"/>
    <w:rsid w:val="001751B8"/>
    <w:rsid w:val="00175BB5"/>
    <w:rsid w:val="0017645B"/>
    <w:rsid w:val="001766F3"/>
    <w:rsid w:val="00181A72"/>
    <w:rsid w:val="0018248C"/>
    <w:rsid w:val="00182DB2"/>
    <w:rsid w:val="00182DE3"/>
    <w:rsid w:val="00182EBA"/>
    <w:rsid w:val="0018438A"/>
    <w:rsid w:val="00184691"/>
    <w:rsid w:val="00184806"/>
    <w:rsid w:val="00185A5C"/>
    <w:rsid w:val="00187662"/>
    <w:rsid w:val="00190228"/>
    <w:rsid w:val="00190401"/>
    <w:rsid w:val="00190B50"/>
    <w:rsid w:val="00191FA3"/>
    <w:rsid w:val="00192D5B"/>
    <w:rsid w:val="00193202"/>
    <w:rsid w:val="00193DF5"/>
    <w:rsid w:val="00196808"/>
    <w:rsid w:val="001971B6"/>
    <w:rsid w:val="00197324"/>
    <w:rsid w:val="001A1B03"/>
    <w:rsid w:val="001A1E18"/>
    <w:rsid w:val="001A3951"/>
    <w:rsid w:val="001A3A53"/>
    <w:rsid w:val="001A43F9"/>
    <w:rsid w:val="001A465E"/>
    <w:rsid w:val="001A57F1"/>
    <w:rsid w:val="001A5FA0"/>
    <w:rsid w:val="001A62D9"/>
    <w:rsid w:val="001A69CA"/>
    <w:rsid w:val="001A6DE6"/>
    <w:rsid w:val="001B11E8"/>
    <w:rsid w:val="001B1367"/>
    <w:rsid w:val="001B2546"/>
    <w:rsid w:val="001B2CD3"/>
    <w:rsid w:val="001B2F83"/>
    <w:rsid w:val="001B3074"/>
    <w:rsid w:val="001B3E27"/>
    <w:rsid w:val="001B58A9"/>
    <w:rsid w:val="001B60C6"/>
    <w:rsid w:val="001B6F0F"/>
    <w:rsid w:val="001B701B"/>
    <w:rsid w:val="001B7B74"/>
    <w:rsid w:val="001C306E"/>
    <w:rsid w:val="001C3A7C"/>
    <w:rsid w:val="001C44DB"/>
    <w:rsid w:val="001C4C7B"/>
    <w:rsid w:val="001D0707"/>
    <w:rsid w:val="001D1AFD"/>
    <w:rsid w:val="001D3BCC"/>
    <w:rsid w:val="001D40EE"/>
    <w:rsid w:val="001D44F7"/>
    <w:rsid w:val="001D4A9D"/>
    <w:rsid w:val="001D4D97"/>
    <w:rsid w:val="001D5232"/>
    <w:rsid w:val="001D576F"/>
    <w:rsid w:val="001D5BF9"/>
    <w:rsid w:val="001D68DB"/>
    <w:rsid w:val="001D7FB7"/>
    <w:rsid w:val="001E03B0"/>
    <w:rsid w:val="001E1FDA"/>
    <w:rsid w:val="001E2A25"/>
    <w:rsid w:val="001E5083"/>
    <w:rsid w:val="001E5FED"/>
    <w:rsid w:val="001E61EC"/>
    <w:rsid w:val="001E62CD"/>
    <w:rsid w:val="001E703C"/>
    <w:rsid w:val="001F069A"/>
    <w:rsid w:val="001F0FE5"/>
    <w:rsid w:val="001F1101"/>
    <w:rsid w:val="001F1A0F"/>
    <w:rsid w:val="001F2185"/>
    <w:rsid w:val="001F48E8"/>
    <w:rsid w:val="001F4AFC"/>
    <w:rsid w:val="001F5DF4"/>
    <w:rsid w:val="001F7176"/>
    <w:rsid w:val="001F77C1"/>
    <w:rsid w:val="001F7B8B"/>
    <w:rsid w:val="001F7CD7"/>
    <w:rsid w:val="001F7D54"/>
    <w:rsid w:val="00201274"/>
    <w:rsid w:val="002012B2"/>
    <w:rsid w:val="00201DE8"/>
    <w:rsid w:val="00202B68"/>
    <w:rsid w:val="00204ACD"/>
    <w:rsid w:val="00204AE9"/>
    <w:rsid w:val="0020535F"/>
    <w:rsid w:val="002059A1"/>
    <w:rsid w:val="00205D96"/>
    <w:rsid w:val="00206249"/>
    <w:rsid w:val="00207146"/>
    <w:rsid w:val="00207D6C"/>
    <w:rsid w:val="00207E5D"/>
    <w:rsid w:val="002103DF"/>
    <w:rsid w:val="00210FF3"/>
    <w:rsid w:val="00211DF2"/>
    <w:rsid w:val="002143B4"/>
    <w:rsid w:val="00214815"/>
    <w:rsid w:val="00214D4D"/>
    <w:rsid w:val="002152A0"/>
    <w:rsid w:val="002156E5"/>
    <w:rsid w:val="00216FE5"/>
    <w:rsid w:val="00217FDE"/>
    <w:rsid w:val="002207C0"/>
    <w:rsid w:val="002207C2"/>
    <w:rsid w:val="002215CC"/>
    <w:rsid w:val="00223908"/>
    <w:rsid w:val="002241E8"/>
    <w:rsid w:val="0022674E"/>
    <w:rsid w:val="00226EED"/>
    <w:rsid w:val="00230F36"/>
    <w:rsid w:val="00232130"/>
    <w:rsid w:val="00232764"/>
    <w:rsid w:val="00232CF2"/>
    <w:rsid w:val="00232EB6"/>
    <w:rsid w:val="00234182"/>
    <w:rsid w:val="00237742"/>
    <w:rsid w:val="00237A5B"/>
    <w:rsid w:val="00241DC8"/>
    <w:rsid w:val="00242C36"/>
    <w:rsid w:val="00244AAB"/>
    <w:rsid w:val="00244B94"/>
    <w:rsid w:val="00247D33"/>
    <w:rsid w:val="002516C2"/>
    <w:rsid w:val="00251BF9"/>
    <w:rsid w:val="00251C41"/>
    <w:rsid w:val="00251F73"/>
    <w:rsid w:val="0025373B"/>
    <w:rsid w:val="0025387A"/>
    <w:rsid w:val="00253F1A"/>
    <w:rsid w:val="00253FAC"/>
    <w:rsid w:val="00254DB7"/>
    <w:rsid w:val="00254E1A"/>
    <w:rsid w:val="00255A75"/>
    <w:rsid w:val="0025650F"/>
    <w:rsid w:val="00256E8D"/>
    <w:rsid w:val="0026237F"/>
    <w:rsid w:val="002630D0"/>
    <w:rsid w:val="002639D8"/>
    <w:rsid w:val="00264221"/>
    <w:rsid w:val="00264E2F"/>
    <w:rsid w:val="00265EC7"/>
    <w:rsid w:val="0026641C"/>
    <w:rsid w:val="00266D56"/>
    <w:rsid w:val="00267780"/>
    <w:rsid w:val="002677E7"/>
    <w:rsid w:val="00270284"/>
    <w:rsid w:val="00270458"/>
    <w:rsid w:val="00270E32"/>
    <w:rsid w:val="00271A1B"/>
    <w:rsid w:val="002726BE"/>
    <w:rsid w:val="00272CF9"/>
    <w:rsid w:val="00272E69"/>
    <w:rsid w:val="00273E29"/>
    <w:rsid w:val="00274665"/>
    <w:rsid w:val="002746A8"/>
    <w:rsid w:val="00274C32"/>
    <w:rsid w:val="0027604B"/>
    <w:rsid w:val="0028078D"/>
    <w:rsid w:val="00280D67"/>
    <w:rsid w:val="002810E1"/>
    <w:rsid w:val="00281BAC"/>
    <w:rsid w:val="00282263"/>
    <w:rsid w:val="00282D23"/>
    <w:rsid w:val="00283BD6"/>
    <w:rsid w:val="00283CB9"/>
    <w:rsid w:val="00283F23"/>
    <w:rsid w:val="00284068"/>
    <w:rsid w:val="0028565F"/>
    <w:rsid w:val="00286096"/>
    <w:rsid w:val="00286995"/>
    <w:rsid w:val="002871F0"/>
    <w:rsid w:val="00291DA4"/>
    <w:rsid w:val="00291E92"/>
    <w:rsid w:val="00292D25"/>
    <w:rsid w:val="00294495"/>
    <w:rsid w:val="00294E87"/>
    <w:rsid w:val="00295EFC"/>
    <w:rsid w:val="002965F6"/>
    <w:rsid w:val="00296AA4"/>
    <w:rsid w:val="00296ACF"/>
    <w:rsid w:val="00296B11"/>
    <w:rsid w:val="00297CFA"/>
    <w:rsid w:val="002A0416"/>
    <w:rsid w:val="002A1AB4"/>
    <w:rsid w:val="002A2154"/>
    <w:rsid w:val="002A25FF"/>
    <w:rsid w:val="002A2A4D"/>
    <w:rsid w:val="002A3B73"/>
    <w:rsid w:val="002A59E5"/>
    <w:rsid w:val="002A60C0"/>
    <w:rsid w:val="002A6330"/>
    <w:rsid w:val="002A65FB"/>
    <w:rsid w:val="002A6A19"/>
    <w:rsid w:val="002A77D8"/>
    <w:rsid w:val="002A7D53"/>
    <w:rsid w:val="002B0A85"/>
    <w:rsid w:val="002B0E96"/>
    <w:rsid w:val="002B1B55"/>
    <w:rsid w:val="002B1B8C"/>
    <w:rsid w:val="002B2724"/>
    <w:rsid w:val="002B2C72"/>
    <w:rsid w:val="002B3DF5"/>
    <w:rsid w:val="002B42DD"/>
    <w:rsid w:val="002B4810"/>
    <w:rsid w:val="002B5E7C"/>
    <w:rsid w:val="002B6AD7"/>
    <w:rsid w:val="002C051F"/>
    <w:rsid w:val="002C0619"/>
    <w:rsid w:val="002C0835"/>
    <w:rsid w:val="002C0E37"/>
    <w:rsid w:val="002C1CB2"/>
    <w:rsid w:val="002C20AA"/>
    <w:rsid w:val="002C2D22"/>
    <w:rsid w:val="002C30BA"/>
    <w:rsid w:val="002C3563"/>
    <w:rsid w:val="002C386A"/>
    <w:rsid w:val="002C4017"/>
    <w:rsid w:val="002C480B"/>
    <w:rsid w:val="002C5C4D"/>
    <w:rsid w:val="002C5D79"/>
    <w:rsid w:val="002C6527"/>
    <w:rsid w:val="002C65AA"/>
    <w:rsid w:val="002C7A72"/>
    <w:rsid w:val="002D09C6"/>
    <w:rsid w:val="002D10C7"/>
    <w:rsid w:val="002D1F69"/>
    <w:rsid w:val="002D2B12"/>
    <w:rsid w:val="002D3441"/>
    <w:rsid w:val="002D36D8"/>
    <w:rsid w:val="002D4668"/>
    <w:rsid w:val="002D47B4"/>
    <w:rsid w:val="002D5B98"/>
    <w:rsid w:val="002D6D42"/>
    <w:rsid w:val="002D6FB4"/>
    <w:rsid w:val="002E0100"/>
    <w:rsid w:val="002E1C8A"/>
    <w:rsid w:val="002E3409"/>
    <w:rsid w:val="002E40D9"/>
    <w:rsid w:val="002E4377"/>
    <w:rsid w:val="002E52F7"/>
    <w:rsid w:val="002E600A"/>
    <w:rsid w:val="002E646A"/>
    <w:rsid w:val="002E669B"/>
    <w:rsid w:val="002E76AF"/>
    <w:rsid w:val="002F0547"/>
    <w:rsid w:val="002F0E02"/>
    <w:rsid w:val="002F0E17"/>
    <w:rsid w:val="002F173E"/>
    <w:rsid w:val="002F25D6"/>
    <w:rsid w:val="002F28FD"/>
    <w:rsid w:val="002F29A3"/>
    <w:rsid w:val="002F4305"/>
    <w:rsid w:val="002F59B4"/>
    <w:rsid w:val="002F6439"/>
    <w:rsid w:val="002F6CEC"/>
    <w:rsid w:val="002F7682"/>
    <w:rsid w:val="00300A9F"/>
    <w:rsid w:val="00301E14"/>
    <w:rsid w:val="00301E8A"/>
    <w:rsid w:val="00303307"/>
    <w:rsid w:val="003043D2"/>
    <w:rsid w:val="003044BB"/>
    <w:rsid w:val="003053CF"/>
    <w:rsid w:val="003055C8"/>
    <w:rsid w:val="00305CEA"/>
    <w:rsid w:val="00307160"/>
    <w:rsid w:val="0030733F"/>
    <w:rsid w:val="00307C38"/>
    <w:rsid w:val="00310C3B"/>
    <w:rsid w:val="0031126B"/>
    <w:rsid w:val="0031182A"/>
    <w:rsid w:val="00311E27"/>
    <w:rsid w:val="003121AE"/>
    <w:rsid w:val="00312305"/>
    <w:rsid w:val="003127B0"/>
    <w:rsid w:val="003131AA"/>
    <w:rsid w:val="003135A8"/>
    <w:rsid w:val="003141C7"/>
    <w:rsid w:val="003145B2"/>
    <w:rsid w:val="0031478C"/>
    <w:rsid w:val="00314C76"/>
    <w:rsid w:val="003172D3"/>
    <w:rsid w:val="00317E81"/>
    <w:rsid w:val="003200C0"/>
    <w:rsid w:val="0032025F"/>
    <w:rsid w:val="00320E65"/>
    <w:rsid w:val="00320EE2"/>
    <w:rsid w:val="00320F01"/>
    <w:rsid w:val="003253AC"/>
    <w:rsid w:val="00325D76"/>
    <w:rsid w:val="003272A2"/>
    <w:rsid w:val="003302F1"/>
    <w:rsid w:val="00332E3F"/>
    <w:rsid w:val="00333AC3"/>
    <w:rsid w:val="003351B8"/>
    <w:rsid w:val="00335508"/>
    <w:rsid w:val="003365B9"/>
    <w:rsid w:val="0033784B"/>
    <w:rsid w:val="00337AAE"/>
    <w:rsid w:val="0034065E"/>
    <w:rsid w:val="003425B6"/>
    <w:rsid w:val="00343BA7"/>
    <w:rsid w:val="00347DB1"/>
    <w:rsid w:val="003529AA"/>
    <w:rsid w:val="00353776"/>
    <w:rsid w:val="00354745"/>
    <w:rsid w:val="0035719D"/>
    <w:rsid w:val="00360162"/>
    <w:rsid w:val="003617FD"/>
    <w:rsid w:val="00361E85"/>
    <w:rsid w:val="0036307D"/>
    <w:rsid w:val="00363FCD"/>
    <w:rsid w:val="00364CDC"/>
    <w:rsid w:val="00365687"/>
    <w:rsid w:val="00365860"/>
    <w:rsid w:val="00365E36"/>
    <w:rsid w:val="00373078"/>
    <w:rsid w:val="00373E22"/>
    <w:rsid w:val="00374305"/>
    <w:rsid w:val="003751AF"/>
    <w:rsid w:val="003751BA"/>
    <w:rsid w:val="00376D7C"/>
    <w:rsid w:val="00377A83"/>
    <w:rsid w:val="00377CE8"/>
    <w:rsid w:val="00381DF2"/>
    <w:rsid w:val="003841F1"/>
    <w:rsid w:val="00384E20"/>
    <w:rsid w:val="0038504D"/>
    <w:rsid w:val="003850B5"/>
    <w:rsid w:val="00385735"/>
    <w:rsid w:val="0038649F"/>
    <w:rsid w:val="00386CA5"/>
    <w:rsid w:val="003873E4"/>
    <w:rsid w:val="00387909"/>
    <w:rsid w:val="00391215"/>
    <w:rsid w:val="0039198B"/>
    <w:rsid w:val="00392B8A"/>
    <w:rsid w:val="00393248"/>
    <w:rsid w:val="00394ACC"/>
    <w:rsid w:val="00395972"/>
    <w:rsid w:val="00395EDD"/>
    <w:rsid w:val="00396379"/>
    <w:rsid w:val="0039669C"/>
    <w:rsid w:val="00397496"/>
    <w:rsid w:val="003A0BC6"/>
    <w:rsid w:val="003A1AF8"/>
    <w:rsid w:val="003A39F4"/>
    <w:rsid w:val="003A3CF3"/>
    <w:rsid w:val="003A4A78"/>
    <w:rsid w:val="003A4E41"/>
    <w:rsid w:val="003A5008"/>
    <w:rsid w:val="003A55F7"/>
    <w:rsid w:val="003A5CB0"/>
    <w:rsid w:val="003A6C2D"/>
    <w:rsid w:val="003A72C2"/>
    <w:rsid w:val="003B19E1"/>
    <w:rsid w:val="003B19EF"/>
    <w:rsid w:val="003B1C87"/>
    <w:rsid w:val="003B1DBD"/>
    <w:rsid w:val="003B2584"/>
    <w:rsid w:val="003B2A63"/>
    <w:rsid w:val="003B2E24"/>
    <w:rsid w:val="003B32A2"/>
    <w:rsid w:val="003B4176"/>
    <w:rsid w:val="003B425C"/>
    <w:rsid w:val="003B48BB"/>
    <w:rsid w:val="003B4995"/>
    <w:rsid w:val="003B642F"/>
    <w:rsid w:val="003B69FE"/>
    <w:rsid w:val="003B7A80"/>
    <w:rsid w:val="003C4421"/>
    <w:rsid w:val="003C6FB3"/>
    <w:rsid w:val="003D08E5"/>
    <w:rsid w:val="003D16A6"/>
    <w:rsid w:val="003D17C3"/>
    <w:rsid w:val="003D2E4A"/>
    <w:rsid w:val="003D33FD"/>
    <w:rsid w:val="003D452D"/>
    <w:rsid w:val="003D519C"/>
    <w:rsid w:val="003D6CA2"/>
    <w:rsid w:val="003D7151"/>
    <w:rsid w:val="003D746C"/>
    <w:rsid w:val="003D7495"/>
    <w:rsid w:val="003D75AF"/>
    <w:rsid w:val="003D75E1"/>
    <w:rsid w:val="003D7FB4"/>
    <w:rsid w:val="003E0382"/>
    <w:rsid w:val="003E0A9C"/>
    <w:rsid w:val="003E17DC"/>
    <w:rsid w:val="003E2AC0"/>
    <w:rsid w:val="003E3266"/>
    <w:rsid w:val="003E39A1"/>
    <w:rsid w:val="003E3F4C"/>
    <w:rsid w:val="003E5631"/>
    <w:rsid w:val="003E5BFE"/>
    <w:rsid w:val="003E63D3"/>
    <w:rsid w:val="003E6CDC"/>
    <w:rsid w:val="003E6E62"/>
    <w:rsid w:val="003E75E1"/>
    <w:rsid w:val="003E7A0E"/>
    <w:rsid w:val="003F11C2"/>
    <w:rsid w:val="003F32B9"/>
    <w:rsid w:val="003F3506"/>
    <w:rsid w:val="003F3B6F"/>
    <w:rsid w:val="003F45E9"/>
    <w:rsid w:val="003F6369"/>
    <w:rsid w:val="003F726F"/>
    <w:rsid w:val="00400E28"/>
    <w:rsid w:val="004013E2"/>
    <w:rsid w:val="00401BE8"/>
    <w:rsid w:val="00401CF4"/>
    <w:rsid w:val="00402133"/>
    <w:rsid w:val="00403861"/>
    <w:rsid w:val="00403EA9"/>
    <w:rsid w:val="0040494B"/>
    <w:rsid w:val="004049C6"/>
    <w:rsid w:val="00404F6F"/>
    <w:rsid w:val="0040641C"/>
    <w:rsid w:val="0040671E"/>
    <w:rsid w:val="00406C85"/>
    <w:rsid w:val="0040798B"/>
    <w:rsid w:val="004105B1"/>
    <w:rsid w:val="00410CD8"/>
    <w:rsid w:val="004112BB"/>
    <w:rsid w:val="00411A7D"/>
    <w:rsid w:val="00412F0C"/>
    <w:rsid w:val="004136AD"/>
    <w:rsid w:val="00413976"/>
    <w:rsid w:val="00413F83"/>
    <w:rsid w:val="00414329"/>
    <w:rsid w:val="00414DD7"/>
    <w:rsid w:val="004151D4"/>
    <w:rsid w:val="00416BCE"/>
    <w:rsid w:val="0041761F"/>
    <w:rsid w:val="0041774C"/>
    <w:rsid w:val="004208A4"/>
    <w:rsid w:val="00420FCC"/>
    <w:rsid w:val="004215AF"/>
    <w:rsid w:val="00422774"/>
    <w:rsid w:val="00426D0B"/>
    <w:rsid w:val="00426D1F"/>
    <w:rsid w:val="004307F6"/>
    <w:rsid w:val="00430EFA"/>
    <w:rsid w:val="00430F6B"/>
    <w:rsid w:val="004313BE"/>
    <w:rsid w:val="0043153B"/>
    <w:rsid w:val="00431E97"/>
    <w:rsid w:val="00432E27"/>
    <w:rsid w:val="00434F84"/>
    <w:rsid w:val="004378B1"/>
    <w:rsid w:val="00437A54"/>
    <w:rsid w:val="004405C8"/>
    <w:rsid w:val="00441080"/>
    <w:rsid w:val="004431A4"/>
    <w:rsid w:val="004440AA"/>
    <w:rsid w:val="00444E3D"/>
    <w:rsid w:val="00445782"/>
    <w:rsid w:val="0044632F"/>
    <w:rsid w:val="00447354"/>
    <w:rsid w:val="0044745E"/>
    <w:rsid w:val="00447757"/>
    <w:rsid w:val="00450F38"/>
    <w:rsid w:val="00451ED2"/>
    <w:rsid w:val="004525D5"/>
    <w:rsid w:val="004565FD"/>
    <w:rsid w:val="00456ACA"/>
    <w:rsid w:val="00456C0B"/>
    <w:rsid w:val="00460A96"/>
    <w:rsid w:val="00461ACC"/>
    <w:rsid w:val="00462024"/>
    <w:rsid w:val="00462724"/>
    <w:rsid w:val="004636E9"/>
    <w:rsid w:val="00463810"/>
    <w:rsid w:val="00464AA3"/>
    <w:rsid w:val="00470B99"/>
    <w:rsid w:val="00471C19"/>
    <w:rsid w:val="00471E23"/>
    <w:rsid w:val="0047228D"/>
    <w:rsid w:val="00473483"/>
    <w:rsid w:val="004739E3"/>
    <w:rsid w:val="00474739"/>
    <w:rsid w:val="00474756"/>
    <w:rsid w:val="00475465"/>
    <w:rsid w:val="0047569B"/>
    <w:rsid w:val="004756A6"/>
    <w:rsid w:val="004764EE"/>
    <w:rsid w:val="00477BBE"/>
    <w:rsid w:val="00480151"/>
    <w:rsid w:val="0048045A"/>
    <w:rsid w:val="004804B2"/>
    <w:rsid w:val="00480DAB"/>
    <w:rsid w:val="00481BE0"/>
    <w:rsid w:val="00481EDA"/>
    <w:rsid w:val="0048393F"/>
    <w:rsid w:val="00483F58"/>
    <w:rsid w:val="004850E3"/>
    <w:rsid w:val="00485A3A"/>
    <w:rsid w:val="0048741E"/>
    <w:rsid w:val="00487964"/>
    <w:rsid w:val="00487C1A"/>
    <w:rsid w:val="0049085A"/>
    <w:rsid w:val="00491DF0"/>
    <w:rsid w:val="004924C4"/>
    <w:rsid w:val="00493F9A"/>
    <w:rsid w:val="00494922"/>
    <w:rsid w:val="004959F8"/>
    <w:rsid w:val="0049618F"/>
    <w:rsid w:val="0049644D"/>
    <w:rsid w:val="00496A96"/>
    <w:rsid w:val="004970BB"/>
    <w:rsid w:val="00497803"/>
    <w:rsid w:val="00497EF8"/>
    <w:rsid w:val="00497FEB"/>
    <w:rsid w:val="004A06A9"/>
    <w:rsid w:val="004A1869"/>
    <w:rsid w:val="004A2457"/>
    <w:rsid w:val="004A4086"/>
    <w:rsid w:val="004A4304"/>
    <w:rsid w:val="004A4A27"/>
    <w:rsid w:val="004A592E"/>
    <w:rsid w:val="004A61AF"/>
    <w:rsid w:val="004A70E7"/>
    <w:rsid w:val="004B0D49"/>
    <w:rsid w:val="004B2C64"/>
    <w:rsid w:val="004B301D"/>
    <w:rsid w:val="004B3623"/>
    <w:rsid w:val="004B4716"/>
    <w:rsid w:val="004B475B"/>
    <w:rsid w:val="004B4964"/>
    <w:rsid w:val="004B518A"/>
    <w:rsid w:val="004B540E"/>
    <w:rsid w:val="004B5967"/>
    <w:rsid w:val="004B5E36"/>
    <w:rsid w:val="004B6198"/>
    <w:rsid w:val="004B6408"/>
    <w:rsid w:val="004B6A33"/>
    <w:rsid w:val="004B6C4C"/>
    <w:rsid w:val="004B73AB"/>
    <w:rsid w:val="004C0EC6"/>
    <w:rsid w:val="004C1A08"/>
    <w:rsid w:val="004C1E71"/>
    <w:rsid w:val="004C2034"/>
    <w:rsid w:val="004C2098"/>
    <w:rsid w:val="004C2884"/>
    <w:rsid w:val="004C31A1"/>
    <w:rsid w:val="004C38FB"/>
    <w:rsid w:val="004C3F3C"/>
    <w:rsid w:val="004C40C8"/>
    <w:rsid w:val="004C508D"/>
    <w:rsid w:val="004C55AA"/>
    <w:rsid w:val="004C5D85"/>
    <w:rsid w:val="004C76FF"/>
    <w:rsid w:val="004D0355"/>
    <w:rsid w:val="004D05F0"/>
    <w:rsid w:val="004D0C9F"/>
    <w:rsid w:val="004D0EA2"/>
    <w:rsid w:val="004D17D7"/>
    <w:rsid w:val="004D2C88"/>
    <w:rsid w:val="004D3AA0"/>
    <w:rsid w:val="004D4CD4"/>
    <w:rsid w:val="004D5ACD"/>
    <w:rsid w:val="004D5D9E"/>
    <w:rsid w:val="004D5FE9"/>
    <w:rsid w:val="004D615F"/>
    <w:rsid w:val="004D77BC"/>
    <w:rsid w:val="004E017C"/>
    <w:rsid w:val="004E30D2"/>
    <w:rsid w:val="004E414F"/>
    <w:rsid w:val="004E79F5"/>
    <w:rsid w:val="004F0959"/>
    <w:rsid w:val="004F1172"/>
    <w:rsid w:val="004F19A7"/>
    <w:rsid w:val="004F1B47"/>
    <w:rsid w:val="004F210F"/>
    <w:rsid w:val="004F5439"/>
    <w:rsid w:val="004F5BD8"/>
    <w:rsid w:val="004F63CB"/>
    <w:rsid w:val="004F7125"/>
    <w:rsid w:val="004F76D5"/>
    <w:rsid w:val="004F7F77"/>
    <w:rsid w:val="00501EC2"/>
    <w:rsid w:val="00502078"/>
    <w:rsid w:val="00504A6A"/>
    <w:rsid w:val="005101E4"/>
    <w:rsid w:val="005105A4"/>
    <w:rsid w:val="00510617"/>
    <w:rsid w:val="005119D4"/>
    <w:rsid w:val="005125F9"/>
    <w:rsid w:val="00514C74"/>
    <w:rsid w:val="00515280"/>
    <w:rsid w:val="0051668E"/>
    <w:rsid w:val="00520C68"/>
    <w:rsid w:val="00521356"/>
    <w:rsid w:val="005214D8"/>
    <w:rsid w:val="00521624"/>
    <w:rsid w:val="005216E0"/>
    <w:rsid w:val="00521D49"/>
    <w:rsid w:val="00522680"/>
    <w:rsid w:val="00523963"/>
    <w:rsid w:val="00524C71"/>
    <w:rsid w:val="00525A45"/>
    <w:rsid w:val="005275BA"/>
    <w:rsid w:val="00530433"/>
    <w:rsid w:val="00530884"/>
    <w:rsid w:val="00532A5E"/>
    <w:rsid w:val="00532A90"/>
    <w:rsid w:val="00536317"/>
    <w:rsid w:val="00536E47"/>
    <w:rsid w:val="00537DD0"/>
    <w:rsid w:val="005402F4"/>
    <w:rsid w:val="0054085A"/>
    <w:rsid w:val="00542D44"/>
    <w:rsid w:val="00542E7F"/>
    <w:rsid w:val="00542FD4"/>
    <w:rsid w:val="00543A74"/>
    <w:rsid w:val="005449CD"/>
    <w:rsid w:val="005457A7"/>
    <w:rsid w:val="005457E1"/>
    <w:rsid w:val="005465B5"/>
    <w:rsid w:val="00547C47"/>
    <w:rsid w:val="00547E93"/>
    <w:rsid w:val="005500D5"/>
    <w:rsid w:val="00550DBB"/>
    <w:rsid w:val="00552AAC"/>
    <w:rsid w:val="00553237"/>
    <w:rsid w:val="0055350B"/>
    <w:rsid w:val="005542E8"/>
    <w:rsid w:val="00554A0F"/>
    <w:rsid w:val="00555964"/>
    <w:rsid w:val="00555C5A"/>
    <w:rsid w:val="00557C93"/>
    <w:rsid w:val="005602C2"/>
    <w:rsid w:val="005604AF"/>
    <w:rsid w:val="00560555"/>
    <w:rsid w:val="005616D1"/>
    <w:rsid w:val="00561A34"/>
    <w:rsid w:val="00562094"/>
    <w:rsid w:val="005638D5"/>
    <w:rsid w:val="005640A4"/>
    <w:rsid w:val="0056563B"/>
    <w:rsid w:val="00566A90"/>
    <w:rsid w:val="0056702C"/>
    <w:rsid w:val="00570A36"/>
    <w:rsid w:val="00571827"/>
    <w:rsid w:val="00571F0D"/>
    <w:rsid w:val="0057223C"/>
    <w:rsid w:val="00572835"/>
    <w:rsid w:val="0057339F"/>
    <w:rsid w:val="00575067"/>
    <w:rsid w:val="00575BC4"/>
    <w:rsid w:val="00575BED"/>
    <w:rsid w:val="00576D96"/>
    <w:rsid w:val="00576E17"/>
    <w:rsid w:val="00576E3E"/>
    <w:rsid w:val="0057732C"/>
    <w:rsid w:val="0058004F"/>
    <w:rsid w:val="005806BD"/>
    <w:rsid w:val="00581324"/>
    <w:rsid w:val="0058176B"/>
    <w:rsid w:val="005819A0"/>
    <w:rsid w:val="00581A43"/>
    <w:rsid w:val="00582907"/>
    <w:rsid w:val="00582AA5"/>
    <w:rsid w:val="00583768"/>
    <w:rsid w:val="00583885"/>
    <w:rsid w:val="00583BE0"/>
    <w:rsid w:val="00583DD9"/>
    <w:rsid w:val="005841B6"/>
    <w:rsid w:val="00586806"/>
    <w:rsid w:val="00586975"/>
    <w:rsid w:val="00586EE9"/>
    <w:rsid w:val="0059025D"/>
    <w:rsid w:val="005911BA"/>
    <w:rsid w:val="00592A47"/>
    <w:rsid w:val="00592EF8"/>
    <w:rsid w:val="00592F54"/>
    <w:rsid w:val="00593E4C"/>
    <w:rsid w:val="00593F9B"/>
    <w:rsid w:val="00594DFB"/>
    <w:rsid w:val="005953D1"/>
    <w:rsid w:val="0059556A"/>
    <w:rsid w:val="005966E8"/>
    <w:rsid w:val="005968C2"/>
    <w:rsid w:val="005971A6"/>
    <w:rsid w:val="0059737B"/>
    <w:rsid w:val="005A04F5"/>
    <w:rsid w:val="005A065C"/>
    <w:rsid w:val="005A0672"/>
    <w:rsid w:val="005A11DF"/>
    <w:rsid w:val="005A200A"/>
    <w:rsid w:val="005A2607"/>
    <w:rsid w:val="005A2BB3"/>
    <w:rsid w:val="005A3CB1"/>
    <w:rsid w:val="005A447C"/>
    <w:rsid w:val="005A4649"/>
    <w:rsid w:val="005A480F"/>
    <w:rsid w:val="005A4A84"/>
    <w:rsid w:val="005A4DE9"/>
    <w:rsid w:val="005A5ED2"/>
    <w:rsid w:val="005A66F0"/>
    <w:rsid w:val="005A6B47"/>
    <w:rsid w:val="005A6FC8"/>
    <w:rsid w:val="005B11C0"/>
    <w:rsid w:val="005B149E"/>
    <w:rsid w:val="005B1A4C"/>
    <w:rsid w:val="005B2DF4"/>
    <w:rsid w:val="005B3335"/>
    <w:rsid w:val="005B33D8"/>
    <w:rsid w:val="005B345B"/>
    <w:rsid w:val="005B3BCE"/>
    <w:rsid w:val="005B481A"/>
    <w:rsid w:val="005C0244"/>
    <w:rsid w:val="005C14FC"/>
    <w:rsid w:val="005C1E5E"/>
    <w:rsid w:val="005C21A8"/>
    <w:rsid w:val="005C2F37"/>
    <w:rsid w:val="005C2FEA"/>
    <w:rsid w:val="005C3120"/>
    <w:rsid w:val="005C3633"/>
    <w:rsid w:val="005C6667"/>
    <w:rsid w:val="005C66F1"/>
    <w:rsid w:val="005D0CA2"/>
    <w:rsid w:val="005D3C49"/>
    <w:rsid w:val="005D4AC6"/>
    <w:rsid w:val="005D5790"/>
    <w:rsid w:val="005D5D73"/>
    <w:rsid w:val="005D7462"/>
    <w:rsid w:val="005D7EB9"/>
    <w:rsid w:val="005E03FB"/>
    <w:rsid w:val="005E0E9B"/>
    <w:rsid w:val="005E0F3F"/>
    <w:rsid w:val="005E18AA"/>
    <w:rsid w:val="005E1A1A"/>
    <w:rsid w:val="005E2630"/>
    <w:rsid w:val="005E2F39"/>
    <w:rsid w:val="005E47DE"/>
    <w:rsid w:val="005E4895"/>
    <w:rsid w:val="005E5539"/>
    <w:rsid w:val="005F1F5B"/>
    <w:rsid w:val="005F2A5C"/>
    <w:rsid w:val="005F3508"/>
    <w:rsid w:val="005F3951"/>
    <w:rsid w:val="005F481B"/>
    <w:rsid w:val="005F53EC"/>
    <w:rsid w:val="005F56CC"/>
    <w:rsid w:val="005F586A"/>
    <w:rsid w:val="005F651B"/>
    <w:rsid w:val="005F73CD"/>
    <w:rsid w:val="005F7C31"/>
    <w:rsid w:val="00600015"/>
    <w:rsid w:val="006000AA"/>
    <w:rsid w:val="006002E3"/>
    <w:rsid w:val="00601112"/>
    <w:rsid w:val="006011D9"/>
    <w:rsid w:val="00602330"/>
    <w:rsid w:val="006023B8"/>
    <w:rsid w:val="0060266F"/>
    <w:rsid w:val="00602AD5"/>
    <w:rsid w:val="006039A7"/>
    <w:rsid w:val="006047C8"/>
    <w:rsid w:val="00604C33"/>
    <w:rsid w:val="00604FD5"/>
    <w:rsid w:val="0060522F"/>
    <w:rsid w:val="006065A6"/>
    <w:rsid w:val="006102BA"/>
    <w:rsid w:val="00610E4A"/>
    <w:rsid w:val="006112D2"/>
    <w:rsid w:val="00611B10"/>
    <w:rsid w:val="00612686"/>
    <w:rsid w:val="00613560"/>
    <w:rsid w:val="0061380A"/>
    <w:rsid w:val="00613BA2"/>
    <w:rsid w:val="00614E4B"/>
    <w:rsid w:val="006150A9"/>
    <w:rsid w:val="00615B1A"/>
    <w:rsid w:val="0061705D"/>
    <w:rsid w:val="0062042E"/>
    <w:rsid w:val="00620F54"/>
    <w:rsid w:val="0062255E"/>
    <w:rsid w:val="00622B7F"/>
    <w:rsid w:val="006230BA"/>
    <w:rsid w:val="00623EA6"/>
    <w:rsid w:val="00624EDA"/>
    <w:rsid w:val="00624F53"/>
    <w:rsid w:val="00625B87"/>
    <w:rsid w:val="00625DB3"/>
    <w:rsid w:val="006264FD"/>
    <w:rsid w:val="006265AF"/>
    <w:rsid w:val="006277D5"/>
    <w:rsid w:val="0063092E"/>
    <w:rsid w:val="0063145C"/>
    <w:rsid w:val="006319A8"/>
    <w:rsid w:val="006323D7"/>
    <w:rsid w:val="00632B48"/>
    <w:rsid w:val="00634567"/>
    <w:rsid w:val="0063634A"/>
    <w:rsid w:val="0063728A"/>
    <w:rsid w:val="006420F3"/>
    <w:rsid w:val="00642199"/>
    <w:rsid w:val="00642A10"/>
    <w:rsid w:val="00644B36"/>
    <w:rsid w:val="00644E50"/>
    <w:rsid w:val="0064661A"/>
    <w:rsid w:val="006471EB"/>
    <w:rsid w:val="0064778E"/>
    <w:rsid w:val="006505AD"/>
    <w:rsid w:val="00651727"/>
    <w:rsid w:val="00651A20"/>
    <w:rsid w:val="006520BF"/>
    <w:rsid w:val="00653237"/>
    <w:rsid w:val="00654010"/>
    <w:rsid w:val="00655D56"/>
    <w:rsid w:val="00657462"/>
    <w:rsid w:val="0066026F"/>
    <w:rsid w:val="006602E7"/>
    <w:rsid w:val="00660462"/>
    <w:rsid w:val="00661E9E"/>
    <w:rsid w:val="00662D96"/>
    <w:rsid w:val="00665907"/>
    <w:rsid w:val="0066600B"/>
    <w:rsid w:val="00667549"/>
    <w:rsid w:val="00667E8E"/>
    <w:rsid w:val="00670413"/>
    <w:rsid w:val="006717B0"/>
    <w:rsid w:val="00672AC1"/>
    <w:rsid w:val="00672F0A"/>
    <w:rsid w:val="00674060"/>
    <w:rsid w:val="00674D89"/>
    <w:rsid w:val="00675476"/>
    <w:rsid w:val="00680A83"/>
    <w:rsid w:val="0068148A"/>
    <w:rsid w:val="00682027"/>
    <w:rsid w:val="006858A9"/>
    <w:rsid w:val="00686BEF"/>
    <w:rsid w:val="00686C01"/>
    <w:rsid w:val="00690387"/>
    <w:rsid w:val="00690A0C"/>
    <w:rsid w:val="00690E20"/>
    <w:rsid w:val="00691D9D"/>
    <w:rsid w:val="006930FE"/>
    <w:rsid w:val="00693608"/>
    <w:rsid w:val="00693B4A"/>
    <w:rsid w:val="006940B4"/>
    <w:rsid w:val="00695ECC"/>
    <w:rsid w:val="00695F7D"/>
    <w:rsid w:val="0069741F"/>
    <w:rsid w:val="006A21B1"/>
    <w:rsid w:val="006A2DC0"/>
    <w:rsid w:val="006A32CE"/>
    <w:rsid w:val="006A4F87"/>
    <w:rsid w:val="006A5743"/>
    <w:rsid w:val="006A5A14"/>
    <w:rsid w:val="006A5A78"/>
    <w:rsid w:val="006A6DAC"/>
    <w:rsid w:val="006A7D90"/>
    <w:rsid w:val="006B0B44"/>
    <w:rsid w:val="006B1060"/>
    <w:rsid w:val="006B329B"/>
    <w:rsid w:val="006B4C12"/>
    <w:rsid w:val="006B4E21"/>
    <w:rsid w:val="006B5441"/>
    <w:rsid w:val="006B74FF"/>
    <w:rsid w:val="006B7B58"/>
    <w:rsid w:val="006C03CE"/>
    <w:rsid w:val="006C240B"/>
    <w:rsid w:val="006C243A"/>
    <w:rsid w:val="006C33AB"/>
    <w:rsid w:val="006C4293"/>
    <w:rsid w:val="006C5269"/>
    <w:rsid w:val="006C56A9"/>
    <w:rsid w:val="006C58C3"/>
    <w:rsid w:val="006C6FDE"/>
    <w:rsid w:val="006C730B"/>
    <w:rsid w:val="006C76FE"/>
    <w:rsid w:val="006C7B18"/>
    <w:rsid w:val="006D0ECC"/>
    <w:rsid w:val="006D143F"/>
    <w:rsid w:val="006D3834"/>
    <w:rsid w:val="006D3CAE"/>
    <w:rsid w:val="006D41A0"/>
    <w:rsid w:val="006D48AE"/>
    <w:rsid w:val="006D7C7C"/>
    <w:rsid w:val="006E0A00"/>
    <w:rsid w:val="006E143C"/>
    <w:rsid w:val="006E19A9"/>
    <w:rsid w:val="006E1DAE"/>
    <w:rsid w:val="006E2206"/>
    <w:rsid w:val="006E26EA"/>
    <w:rsid w:val="006E2E6D"/>
    <w:rsid w:val="006E3152"/>
    <w:rsid w:val="006E38C7"/>
    <w:rsid w:val="006E41AB"/>
    <w:rsid w:val="006E62A6"/>
    <w:rsid w:val="006E76EC"/>
    <w:rsid w:val="006E7D21"/>
    <w:rsid w:val="006E7EA3"/>
    <w:rsid w:val="006F05C2"/>
    <w:rsid w:val="006F21E8"/>
    <w:rsid w:val="006F261D"/>
    <w:rsid w:val="006F2FE5"/>
    <w:rsid w:val="006F36FE"/>
    <w:rsid w:val="006F3EE9"/>
    <w:rsid w:val="006F49F6"/>
    <w:rsid w:val="006F4D57"/>
    <w:rsid w:val="006F52F1"/>
    <w:rsid w:val="006F5337"/>
    <w:rsid w:val="006F6321"/>
    <w:rsid w:val="006F6BC9"/>
    <w:rsid w:val="006F6D9D"/>
    <w:rsid w:val="006F7AB8"/>
    <w:rsid w:val="0070015F"/>
    <w:rsid w:val="00702436"/>
    <w:rsid w:val="0070383A"/>
    <w:rsid w:val="00704901"/>
    <w:rsid w:val="00704A70"/>
    <w:rsid w:val="00704C94"/>
    <w:rsid w:val="00706A85"/>
    <w:rsid w:val="00706FC5"/>
    <w:rsid w:val="00713F49"/>
    <w:rsid w:val="00714EB2"/>
    <w:rsid w:val="00714FA2"/>
    <w:rsid w:val="00715DF4"/>
    <w:rsid w:val="00715EFB"/>
    <w:rsid w:val="007175FE"/>
    <w:rsid w:val="00717889"/>
    <w:rsid w:val="00720432"/>
    <w:rsid w:val="007216DE"/>
    <w:rsid w:val="00722F91"/>
    <w:rsid w:val="00723302"/>
    <w:rsid w:val="00723905"/>
    <w:rsid w:val="00726883"/>
    <w:rsid w:val="007311FD"/>
    <w:rsid w:val="00732EAA"/>
    <w:rsid w:val="0073310E"/>
    <w:rsid w:val="007333CA"/>
    <w:rsid w:val="007349B8"/>
    <w:rsid w:val="007355E7"/>
    <w:rsid w:val="0074116E"/>
    <w:rsid w:val="0074556C"/>
    <w:rsid w:val="00745B57"/>
    <w:rsid w:val="0074602E"/>
    <w:rsid w:val="00746D9D"/>
    <w:rsid w:val="00750D0C"/>
    <w:rsid w:val="0075100D"/>
    <w:rsid w:val="00751FA6"/>
    <w:rsid w:val="0075279F"/>
    <w:rsid w:val="007533DA"/>
    <w:rsid w:val="00754D65"/>
    <w:rsid w:val="0075516F"/>
    <w:rsid w:val="00756409"/>
    <w:rsid w:val="007602F1"/>
    <w:rsid w:val="0076072D"/>
    <w:rsid w:val="00761132"/>
    <w:rsid w:val="007612DE"/>
    <w:rsid w:val="007627F3"/>
    <w:rsid w:val="00762859"/>
    <w:rsid w:val="00763184"/>
    <w:rsid w:val="00763B2A"/>
    <w:rsid w:val="0076420D"/>
    <w:rsid w:val="007645CA"/>
    <w:rsid w:val="0076482F"/>
    <w:rsid w:val="00765D92"/>
    <w:rsid w:val="00767241"/>
    <w:rsid w:val="00767CF4"/>
    <w:rsid w:val="00771A7A"/>
    <w:rsid w:val="00771F09"/>
    <w:rsid w:val="00772387"/>
    <w:rsid w:val="00774E0A"/>
    <w:rsid w:val="007758F1"/>
    <w:rsid w:val="00776993"/>
    <w:rsid w:val="007778BE"/>
    <w:rsid w:val="007813FC"/>
    <w:rsid w:val="00781C76"/>
    <w:rsid w:val="00783975"/>
    <w:rsid w:val="00784F5E"/>
    <w:rsid w:val="007853F5"/>
    <w:rsid w:val="00785B06"/>
    <w:rsid w:val="00786BC1"/>
    <w:rsid w:val="00790C13"/>
    <w:rsid w:val="007911DA"/>
    <w:rsid w:val="00792928"/>
    <w:rsid w:val="0079326B"/>
    <w:rsid w:val="0079423D"/>
    <w:rsid w:val="007947D9"/>
    <w:rsid w:val="007955D8"/>
    <w:rsid w:val="007972AA"/>
    <w:rsid w:val="007974E4"/>
    <w:rsid w:val="00797D10"/>
    <w:rsid w:val="007A1533"/>
    <w:rsid w:val="007A1D04"/>
    <w:rsid w:val="007A22B5"/>
    <w:rsid w:val="007A3758"/>
    <w:rsid w:val="007A3D24"/>
    <w:rsid w:val="007A56C4"/>
    <w:rsid w:val="007A5DD0"/>
    <w:rsid w:val="007A6FE6"/>
    <w:rsid w:val="007A7030"/>
    <w:rsid w:val="007A71A0"/>
    <w:rsid w:val="007A7B37"/>
    <w:rsid w:val="007B0279"/>
    <w:rsid w:val="007B0E4C"/>
    <w:rsid w:val="007B1794"/>
    <w:rsid w:val="007B187C"/>
    <w:rsid w:val="007B35D4"/>
    <w:rsid w:val="007B36F7"/>
    <w:rsid w:val="007B41CE"/>
    <w:rsid w:val="007B43E9"/>
    <w:rsid w:val="007B4CCE"/>
    <w:rsid w:val="007B5CCE"/>
    <w:rsid w:val="007B5D39"/>
    <w:rsid w:val="007C01F3"/>
    <w:rsid w:val="007C132B"/>
    <w:rsid w:val="007C170B"/>
    <w:rsid w:val="007C1B10"/>
    <w:rsid w:val="007C27A3"/>
    <w:rsid w:val="007C2985"/>
    <w:rsid w:val="007C29C1"/>
    <w:rsid w:val="007C345C"/>
    <w:rsid w:val="007C36C5"/>
    <w:rsid w:val="007C4BF1"/>
    <w:rsid w:val="007C4CEC"/>
    <w:rsid w:val="007C5062"/>
    <w:rsid w:val="007C514A"/>
    <w:rsid w:val="007C558F"/>
    <w:rsid w:val="007C5669"/>
    <w:rsid w:val="007C67B9"/>
    <w:rsid w:val="007C7251"/>
    <w:rsid w:val="007C778E"/>
    <w:rsid w:val="007C7E6E"/>
    <w:rsid w:val="007D0B1F"/>
    <w:rsid w:val="007D1293"/>
    <w:rsid w:val="007D18BA"/>
    <w:rsid w:val="007D25B5"/>
    <w:rsid w:val="007D2C67"/>
    <w:rsid w:val="007D2F3C"/>
    <w:rsid w:val="007D3920"/>
    <w:rsid w:val="007D3C37"/>
    <w:rsid w:val="007D464D"/>
    <w:rsid w:val="007D4B17"/>
    <w:rsid w:val="007D577C"/>
    <w:rsid w:val="007D5F19"/>
    <w:rsid w:val="007D61B2"/>
    <w:rsid w:val="007D7341"/>
    <w:rsid w:val="007D7660"/>
    <w:rsid w:val="007D792D"/>
    <w:rsid w:val="007D7AD6"/>
    <w:rsid w:val="007D7F92"/>
    <w:rsid w:val="007E0E3E"/>
    <w:rsid w:val="007E2A4F"/>
    <w:rsid w:val="007E380E"/>
    <w:rsid w:val="007E5635"/>
    <w:rsid w:val="007E6666"/>
    <w:rsid w:val="007E6EFA"/>
    <w:rsid w:val="007E7088"/>
    <w:rsid w:val="007F02B3"/>
    <w:rsid w:val="007F1475"/>
    <w:rsid w:val="007F1BE4"/>
    <w:rsid w:val="007F24AC"/>
    <w:rsid w:val="007F3B32"/>
    <w:rsid w:val="007F5E6D"/>
    <w:rsid w:val="007F7485"/>
    <w:rsid w:val="007F7F69"/>
    <w:rsid w:val="008004CD"/>
    <w:rsid w:val="00801313"/>
    <w:rsid w:val="00801471"/>
    <w:rsid w:val="0080157F"/>
    <w:rsid w:val="00801E8C"/>
    <w:rsid w:val="008021DB"/>
    <w:rsid w:val="00802221"/>
    <w:rsid w:val="00802D6B"/>
    <w:rsid w:val="00802F96"/>
    <w:rsid w:val="00803F26"/>
    <w:rsid w:val="0080435C"/>
    <w:rsid w:val="00804A0D"/>
    <w:rsid w:val="00804BD7"/>
    <w:rsid w:val="00804D5E"/>
    <w:rsid w:val="00805512"/>
    <w:rsid w:val="00806691"/>
    <w:rsid w:val="00807BD6"/>
    <w:rsid w:val="00807D77"/>
    <w:rsid w:val="008102C2"/>
    <w:rsid w:val="0081031A"/>
    <w:rsid w:val="0081069A"/>
    <w:rsid w:val="00810C1F"/>
    <w:rsid w:val="00812FA8"/>
    <w:rsid w:val="00813DB1"/>
    <w:rsid w:val="00814701"/>
    <w:rsid w:val="00814D99"/>
    <w:rsid w:val="00814E1E"/>
    <w:rsid w:val="00815068"/>
    <w:rsid w:val="00815AF0"/>
    <w:rsid w:val="0081736B"/>
    <w:rsid w:val="00823C7E"/>
    <w:rsid w:val="00823D04"/>
    <w:rsid w:val="00824D51"/>
    <w:rsid w:val="008263E6"/>
    <w:rsid w:val="00826CB1"/>
    <w:rsid w:val="00827D88"/>
    <w:rsid w:val="00827DDE"/>
    <w:rsid w:val="00830034"/>
    <w:rsid w:val="00830BC1"/>
    <w:rsid w:val="00830F69"/>
    <w:rsid w:val="00831C64"/>
    <w:rsid w:val="00832108"/>
    <w:rsid w:val="00832DCE"/>
    <w:rsid w:val="00833E06"/>
    <w:rsid w:val="00834159"/>
    <w:rsid w:val="00834C44"/>
    <w:rsid w:val="00834E99"/>
    <w:rsid w:val="00835641"/>
    <w:rsid w:val="00835A29"/>
    <w:rsid w:val="00836861"/>
    <w:rsid w:val="00836CE3"/>
    <w:rsid w:val="0083724E"/>
    <w:rsid w:val="00837605"/>
    <w:rsid w:val="00841B13"/>
    <w:rsid w:val="00841DC2"/>
    <w:rsid w:val="00842736"/>
    <w:rsid w:val="0084416A"/>
    <w:rsid w:val="00844BD6"/>
    <w:rsid w:val="00844F72"/>
    <w:rsid w:val="008462F1"/>
    <w:rsid w:val="008469D5"/>
    <w:rsid w:val="008472AE"/>
    <w:rsid w:val="00847474"/>
    <w:rsid w:val="008501BA"/>
    <w:rsid w:val="008505A1"/>
    <w:rsid w:val="00850B62"/>
    <w:rsid w:val="008523BB"/>
    <w:rsid w:val="008526F0"/>
    <w:rsid w:val="0085369D"/>
    <w:rsid w:val="00854669"/>
    <w:rsid w:val="008548FC"/>
    <w:rsid w:val="00854BD2"/>
    <w:rsid w:val="008552B4"/>
    <w:rsid w:val="008607AD"/>
    <w:rsid w:val="00862617"/>
    <w:rsid w:val="00863083"/>
    <w:rsid w:val="00864928"/>
    <w:rsid w:val="00864ADC"/>
    <w:rsid w:val="00865756"/>
    <w:rsid w:val="008659B5"/>
    <w:rsid w:val="008704AF"/>
    <w:rsid w:val="0087174D"/>
    <w:rsid w:val="008722AB"/>
    <w:rsid w:val="00874149"/>
    <w:rsid w:val="0087606D"/>
    <w:rsid w:val="00876619"/>
    <w:rsid w:val="00877224"/>
    <w:rsid w:val="00877FB6"/>
    <w:rsid w:val="0088098E"/>
    <w:rsid w:val="008811DC"/>
    <w:rsid w:val="00881DAD"/>
    <w:rsid w:val="00881EA8"/>
    <w:rsid w:val="008821E4"/>
    <w:rsid w:val="008830FA"/>
    <w:rsid w:val="008840D1"/>
    <w:rsid w:val="00884276"/>
    <w:rsid w:val="0088475C"/>
    <w:rsid w:val="00884AE3"/>
    <w:rsid w:val="00884F26"/>
    <w:rsid w:val="008855FD"/>
    <w:rsid w:val="008859B7"/>
    <w:rsid w:val="00886625"/>
    <w:rsid w:val="00887A5F"/>
    <w:rsid w:val="00890C96"/>
    <w:rsid w:val="00891DAC"/>
    <w:rsid w:val="00893952"/>
    <w:rsid w:val="00893994"/>
    <w:rsid w:val="00894BFD"/>
    <w:rsid w:val="00895099"/>
    <w:rsid w:val="00896044"/>
    <w:rsid w:val="00896066"/>
    <w:rsid w:val="00896127"/>
    <w:rsid w:val="008964F2"/>
    <w:rsid w:val="00896551"/>
    <w:rsid w:val="00897054"/>
    <w:rsid w:val="008A054F"/>
    <w:rsid w:val="008A0BE7"/>
    <w:rsid w:val="008A16B2"/>
    <w:rsid w:val="008A4A10"/>
    <w:rsid w:val="008A4A25"/>
    <w:rsid w:val="008A5134"/>
    <w:rsid w:val="008A7105"/>
    <w:rsid w:val="008B1240"/>
    <w:rsid w:val="008B3460"/>
    <w:rsid w:val="008B380B"/>
    <w:rsid w:val="008B3B27"/>
    <w:rsid w:val="008B3F4D"/>
    <w:rsid w:val="008B5956"/>
    <w:rsid w:val="008B6A7C"/>
    <w:rsid w:val="008B7E67"/>
    <w:rsid w:val="008C0659"/>
    <w:rsid w:val="008C1FA1"/>
    <w:rsid w:val="008C2670"/>
    <w:rsid w:val="008C3B07"/>
    <w:rsid w:val="008C437B"/>
    <w:rsid w:val="008C4C14"/>
    <w:rsid w:val="008C5AB7"/>
    <w:rsid w:val="008C5BA6"/>
    <w:rsid w:val="008C601A"/>
    <w:rsid w:val="008C6DE1"/>
    <w:rsid w:val="008C7435"/>
    <w:rsid w:val="008D016C"/>
    <w:rsid w:val="008D0A04"/>
    <w:rsid w:val="008D1124"/>
    <w:rsid w:val="008D1410"/>
    <w:rsid w:val="008D1E4D"/>
    <w:rsid w:val="008D1FD1"/>
    <w:rsid w:val="008D2A9A"/>
    <w:rsid w:val="008D2AE9"/>
    <w:rsid w:val="008D2F68"/>
    <w:rsid w:val="008D4B99"/>
    <w:rsid w:val="008D5A37"/>
    <w:rsid w:val="008D7A56"/>
    <w:rsid w:val="008E0CDF"/>
    <w:rsid w:val="008E2E2C"/>
    <w:rsid w:val="008E30EC"/>
    <w:rsid w:val="008E374D"/>
    <w:rsid w:val="008E44B5"/>
    <w:rsid w:val="008E4523"/>
    <w:rsid w:val="008E4A83"/>
    <w:rsid w:val="008E6E9A"/>
    <w:rsid w:val="008E6F07"/>
    <w:rsid w:val="008F01D0"/>
    <w:rsid w:val="008F235B"/>
    <w:rsid w:val="008F303C"/>
    <w:rsid w:val="008F3106"/>
    <w:rsid w:val="008F3678"/>
    <w:rsid w:val="008F3880"/>
    <w:rsid w:val="008F3E58"/>
    <w:rsid w:val="008F7740"/>
    <w:rsid w:val="008F7AF4"/>
    <w:rsid w:val="00901071"/>
    <w:rsid w:val="00901770"/>
    <w:rsid w:val="00902F5B"/>
    <w:rsid w:val="009030CB"/>
    <w:rsid w:val="00904831"/>
    <w:rsid w:val="00905594"/>
    <w:rsid w:val="00905F9C"/>
    <w:rsid w:val="00907850"/>
    <w:rsid w:val="00910476"/>
    <w:rsid w:val="00911792"/>
    <w:rsid w:val="00912A93"/>
    <w:rsid w:val="009132F6"/>
    <w:rsid w:val="0091330C"/>
    <w:rsid w:val="00914425"/>
    <w:rsid w:val="009145E2"/>
    <w:rsid w:val="00914F1A"/>
    <w:rsid w:val="009152B2"/>
    <w:rsid w:val="00915AA4"/>
    <w:rsid w:val="00917373"/>
    <w:rsid w:val="00917C4A"/>
    <w:rsid w:val="00917C8A"/>
    <w:rsid w:val="009206CB"/>
    <w:rsid w:val="00920722"/>
    <w:rsid w:val="00921164"/>
    <w:rsid w:val="00922047"/>
    <w:rsid w:val="00922633"/>
    <w:rsid w:val="00922C60"/>
    <w:rsid w:val="00922C8E"/>
    <w:rsid w:val="00922CB7"/>
    <w:rsid w:val="00922DD2"/>
    <w:rsid w:val="009262FF"/>
    <w:rsid w:val="009275F3"/>
    <w:rsid w:val="009276C8"/>
    <w:rsid w:val="009279C8"/>
    <w:rsid w:val="00930BA0"/>
    <w:rsid w:val="00930CA0"/>
    <w:rsid w:val="00930F1C"/>
    <w:rsid w:val="00930F7A"/>
    <w:rsid w:val="00930F93"/>
    <w:rsid w:val="00931F29"/>
    <w:rsid w:val="00932D8C"/>
    <w:rsid w:val="00933608"/>
    <w:rsid w:val="009337D6"/>
    <w:rsid w:val="00933FC1"/>
    <w:rsid w:val="0093536C"/>
    <w:rsid w:val="009358B4"/>
    <w:rsid w:val="00935E50"/>
    <w:rsid w:val="009360B7"/>
    <w:rsid w:val="00936508"/>
    <w:rsid w:val="009367A2"/>
    <w:rsid w:val="00937D15"/>
    <w:rsid w:val="00940145"/>
    <w:rsid w:val="00940264"/>
    <w:rsid w:val="0094113C"/>
    <w:rsid w:val="00941A31"/>
    <w:rsid w:val="009430F7"/>
    <w:rsid w:val="00944152"/>
    <w:rsid w:val="0094449E"/>
    <w:rsid w:val="00944609"/>
    <w:rsid w:val="00944E91"/>
    <w:rsid w:val="00944FEA"/>
    <w:rsid w:val="00945345"/>
    <w:rsid w:val="00947780"/>
    <w:rsid w:val="00947F70"/>
    <w:rsid w:val="009501A7"/>
    <w:rsid w:val="00950BBE"/>
    <w:rsid w:val="0095181D"/>
    <w:rsid w:val="00951BC6"/>
    <w:rsid w:val="0095266D"/>
    <w:rsid w:val="00952E44"/>
    <w:rsid w:val="009530D6"/>
    <w:rsid w:val="0095328A"/>
    <w:rsid w:val="0095458F"/>
    <w:rsid w:val="00954A67"/>
    <w:rsid w:val="00954E74"/>
    <w:rsid w:val="00955459"/>
    <w:rsid w:val="00956000"/>
    <w:rsid w:val="00956129"/>
    <w:rsid w:val="009562B7"/>
    <w:rsid w:val="0095677D"/>
    <w:rsid w:val="00956990"/>
    <w:rsid w:val="00960BF5"/>
    <w:rsid w:val="00961B5C"/>
    <w:rsid w:val="00962F7C"/>
    <w:rsid w:val="00963154"/>
    <w:rsid w:val="00964D03"/>
    <w:rsid w:val="009650D4"/>
    <w:rsid w:val="00966A5C"/>
    <w:rsid w:val="0096704B"/>
    <w:rsid w:val="0096772C"/>
    <w:rsid w:val="00967F33"/>
    <w:rsid w:val="00972435"/>
    <w:rsid w:val="00972DEE"/>
    <w:rsid w:val="00973F51"/>
    <w:rsid w:val="0097528D"/>
    <w:rsid w:val="00975ECF"/>
    <w:rsid w:val="00976B29"/>
    <w:rsid w:val="0098152F"/>
    <w:rsid w:val="0098337A"/>
    <w:rsid w:val="009836CA"/>
    <w:rsid w:val="0098374E"/>
    <w:rsid w:val="00984A9C"/>
    <w:rsid w:val="009874D3"/>
    <w:rsid w:val="00987E10"/>
    <w:rsid w:val="00987E29"/>
    <w:rsid w:val="00990F01"/>
    <w:rsid w:val="00992861"/>
    <w:rsid w:val="00992FC2"/>
    <w:rsid w:val="00994E11"/>
    <w:rsid w:val="00995455"/>
    <w:rsid w:val="00996067"/>
    <w:rsid w:val="009979BA"/>
    <w:rsid w:val="009A03DA"/>
    <w:rsid w:val="009A0643"/>
    <w:rsid w:val="009A19CA"/>
    <w:rsid w:val="009A1D50"/>
    <w:rsid w:val="009A272C"/>
    <w:rsid w:val="009A2AE5"/>
    <w:rsid w:val="009A317A"/>
    <w:rsid w:val="009A31AD"/>
    <w:rsid w:val="009A3D15"/>
    <w:rsid w:val="009A5A71"/>
    <w:rsid w:val="009A68B6"/>
    <w:rsid w:val="009A6A5E"/>
    <w:rsid w:val="009A7D5C"/>
    <w:rsid w:val="009B01B9"/>
    <w:rsid w:val="009B066D"/>
    <w:rsid w:val="009B1BA5"/>
    <w:rsid w:val="009B1FAF"/>
    <w:rsid w:val="009B26A2"/>
    <w:rsid w:val="009B2C5D"/>
    <w:rsid w:val="009B3550"/>
    <w:rsid w:val="009B3577"/>
    <w:rsid w:val="009B4630"/>
    <w:rsid w:val="009B466C"/>
    <w:rsid w:val="009B48C8"/>
    <w:rsid w:val="009B4C8E"/>
    <w:rsid w:val="009B4EB5"/>
    <w:rsid w:val="009B5A32"/>
    <w:rsid w:val="009B6723"/>
    <w:rsid w:val="009B6E52"/>
    <w:rsid w:val="009C0068"/>
    <w:rsid w:val="009C06DF"/>
    <w:rsid w:val="009C0A3E"/>
    <w:rsid w:val="009C1261"/>
    <w:rsid w:val="009C1673"/>
    <w:rsid w:val="009C1E88"/>
    <w:rsid w:val="009C1F5C"/>
    <w:rsid w:val="009C2505"/>
    <w:rsid w:val="009C26D4"/>
    <w:rsid w:val="009C3D7C"/>
    <w:rsid w:val="009C48E3"/>
    <w:rsid w:val="009D05E8"/>
    <w:rsid w:val="009D1008"/>
    <w:rsid w:val="009D1C51"/>
    <w:rsid w:val="009D1D7D"/>
    <w:rsid w:val="009D2719"/>
    <w:rsid w:val="009D2B72"/>
    <w:rsid w:val="009D3BF7"/>
    <w:rsid w:val="009D573D"/>
    <w:rsid w:val="009D62E7"/>
    <w:rsid w:val="009E0059"/>
    <w:rsid w:val="009E0332"/>
    <w:rsid w:val="009E0727"/>
    <w:rsid w:val="009E08E2"/>
    <w:rsid w:val="009E1427"/>
    <w:rsid w:val="009E26BF"/>
    <w:rsid w:val="009E30B4"/>
    <w:rsid w:val="009E36D7"/>
    <w:rsid w:val="009E5188"/>
    <w:rsid w:val="009E5238"/>
    <w:rsid w:val="009E6554"/>
    <w:rsid w:val="009E6C59"/>
    <w:rsid w:val="009E773A"/>
    <w:rsid w:val="009F05B9"/>
    <w:rsid w:val="009F1684"/>
    <w:rsid w:val="009F1887"/>
    <w:rsid w:val="009F1A99"/>
    <w:rsid w:val="009F1BB8"/>
    <w:rsid w:val="009F342E"/>
    <w:rsid w:val="009F3B34"/>
    <w:rsid w:val="009F4E16"/>
    <w:rsid w:val="00A02644"/>
    <w:rsid w:val="00A02D28"/>
    <w:rsid w:val="00A0313D"/>
    <w:rsid w:val="00A0363B"/>
    <w:rsid w:val="00A10583"/>
    <w:rsid w:val="00A112B6"/>
    <w:rsid w:val="00A11A44"/>
    <w:rsid w:val="00A11F48"/>
    <w:rsid w:val="00A1213F"/>
    <w:rsid w:val="00A124E3"/>
    <w:rsid w:val="00A12875"/>
    <w:rsid w:val="00A12BD7"/>
    <w:rsid w:val="00A13596"/>
    <w:rsid w:val="00A14174"/>
    <w:rsid w:val="00A145DA"/>
    <w:rsid w:val="00A15058"/>
    <w:rsid w:val="00A15F89"/>
    <w:rsid w:val="00A16C01"/>
    <w:rsid w:val="00A17E79"/>
    <w:rsid w:val="00A212D8"/>
    <w:rsid w:val="00A21B66"/>
    <w:rsid w:val="00A224EE"/>
    <w:rsid w:val="00A22C86"/>
    <w:rsid w:val="00A22DA8"/>
    <w:rsid w:val="00A2416E"/>
    <w:rsid w:val="00A2433B"/>
    <w:rsid w:val="00A25AB6"/>
    <w:rsid w:val="00A25B26"/>
    <w:rsid w:val="00A304DB"/>
    <w:rsid w:val="00A308C0"/>
    <w:rsid w:val="00A3147E"/>
    <w:rsid w:val="00A3230F"/>
    <w:rsid w:val="00A326B0"/>
    <w:rsid w:val="00A334F4"/>
    <w:rsid w:val="00A3396C"/>
    <w:rsid w:val="00A34799"/>
    <w:rsid w:val="00A351B6"/>
    <w:rsid w:val="00A35255"/>
    <w:rsid w:val="00A354D8"/>
    <w:rsid w:val="00A358A2"/>
    <w:rsid w:val="00A36435"/>
    <w:rsid w:val="00A3654D"/>
    <w:rsid w:val="00A366A5"/>
    <w:rsid w:val="00A37945"/>
    <w:rsid w:val="00A37AFF"/>
    <w:rsid w:val="00A37CDD"/>
    <w:rsid w:val="00A40BDC"/>
    <w:rsid w:val="00A44CC9"/>
    <w:rsid w:val="00A45DEE"/>
    <w:rsid w:val="00A5018C"/>
    <w:rsid w:val="00A5073A"/>
    <w:rsid w:val="00A50834"/>
    <w:rsid w:val="00A50961"/>
    <w:rsid w:val="00A5131C"/>
    <w:rsid w:val="00A515AB"/>
    <w:rsid w:val="00A53628"/>
    <w:rsid w:val="00A539C9"/>
    <w:rsid w:val="00A547B0"/>
    <w:rsid w:val="00A548F5"/>
    <w:rsid w:val="00A54EB5"/>
    <w:rsid w:val="00A54F67"/>
    <w:rsid w:val="00A56E34"/>
    <w:rsid w:val="00A60DC2"/>
    <w:rsid w:val="00A61631"/>
    <w:rsid w:val="00A616A3"/>
    <w:rsid w:val="00A623B0"/>
    <w:rsid w:val="00A62C77"/>
    <w:rsid w:val="00A632DD"/>
    <w:rsid w:val="00A633DD"/>
    <w:rsid w:val="00A644F5"/>
    <w:rsid w:val="00A64A9C"/>
    <w:rsid w:val="00A6586D"/>
    <w:rsid w:val="00A65AB1"/>
    <w:rsid w:val="00A66A72"/>
    <w:rsid w:val="00A66FD9"/>
    <w:rsid w:val="00A70342"/>
    <w:rsid w:val="00A721C5"/>
    <w:rsid w:val="00A743D9"/>
    <w:rsid w:val="00A74DDB"/>
    <w:rsid w:val="00A750C8"/>
    <w:rsid w:val="00A7520A"/>
    <w:rsid w:val="00A75458"/>
    <w:rsid w:val="00A75E46"/>
    <w:rsid w:val="00A76E9E"/>
    <w:rsid w:val="00A8147E"/>
    <w:rsid w:val="00A819B6"/>
    <w:rsid w:val="00A8215B"/>
    <w:rsid w:val="00A840AE"/>
    <w:rsid w:val="00A843E5"/>
    <w:rsid w:val="00A85AA4"/>
    <w:rsid w:val="00A8630E"/>
    <w:rsid w:val="00A8710A"/>
    <w:rsid w:val="00A877EE"/>
    <w:rsid w:val="00A87A39"/>
    <w:rsid w:val="00A90AFA"/>
    <w:rsid w:val="00A910BF"/>
    <w:rsid w:val="00A91145"/>
    <w:rsid w:val="00A9178E"/>
    <w:rsid w:val="00A939A6"/>
    <w:rsid w:val="00A94730"/>
    <w:rsid w:val="00A94E07"/>
    <w:rsid w:val="00A95450"/>
    <w:rsid w:val="00A95786"/>
    <w:rsid w:val="00A96D35"/>
    <w:rsid w:val="00A97D4E"/>
    <w:rsid w:val="00AA00AB"/>
    <w:rsid w:val="00AA0E7C"/>
    <w:rsid w:val="00AA1106"/>
    <w:rsid w:val="00AA2166"/>
    <w:rsid w:val="00AA2180"/>
    <w:rsid w:val="00AA3E81"/>
    <w:rsid w:val="00AA4653"/>
    <w:rsid w:val="00AA60C1"/>
    <w:rsid w:val="00AB1D9B"/>
    <w:rsid w:val="00AB2438"/>
    <w:rsid w:val="00AB3838"/>
    <w:rsid w:val="00AB3C9D"/>
    <w:rsid w:val="00AB5D3C"/>
    <w:rsid w:val="00AB66A9"/>
    <w:rsid w:val="00AC0976"/>
    <w:rsid w:val="00AC1090"/>
    <w:rsid w:val="00AC11B1"/>
    <w:rsid w:val="00AC4B23"/>
    <w:rsid w:val="00AC5FF5"/>
    <w:rsid w:val="00AC6F36"/>
    <w:rsid w:val="00AC719D"/>
    <w:rsid w:val="00AD0C2B"/>
    <w:rsid w:val="00AD0F72"/>
    <w:rsid w:val="00AD10F8"/>
    <w:rsid w:val="00AD29EB"/>
    <w:rsid w:val="00AD2DC9"/>
    <w:rsid w:val="00AD313E"/>
    <w:rsid w:val="00AD45D3"/>
    <w:rsid w:val="00AD4848"/>
    <w:rsid w:val="00AD48CC"/>
    <w:rsid w:val="00AD79F2"/>
    <w:rsid w:val="00AE00DF"/>
    <w:rsid w:val="00AE0BE5"/>
    <w:rsid w:val="00AE301E"/>
    <w:rsid w:val="00AE3F78"/>
    <w:rsid w:val="00AE4CC2"/>
    <w:rsid w:val="00AE61FB"/>
    <w:rsid w:val="00AE628A"/>
    <w:rsid w:val="00AE6929"/>
    <w:rsid w:val="00AE69F6"/>
    <w:rsid w:val="00AE723C"/>
    <w:rsid w:val="00AE7F58"/>
    <w:rsid w:val="00AF0F8E"/>
    <w:rsid w:val="00AF171E"/>
    <w:rsid w:val="00AF2A72"/>
    <w:rsid w:val="00AF2B07"/>
    <w:rsid w:val="00AF7658"/>
    <w:rsid w:val="00AF7AFD"/>
    <w:rsid w:val="00AF7D3B"/>
    <w:rsid w:val="00AF7F41"/>
    <w:rsid w:val="00B001E1"/>
    <w:rsid w:val="00B01586"/>
    <w:rsid w:val="00B0225B"/>
    <w:rsid w:val="00B03420"/>
    <w:rsid w:val="00B03E3E"/>
    <w:rsid w:val="00B048CB"/>
    <w:rsid w:val="00B06285"/>
    <w:rsid w:val="00B0638C"/>
    <w:rsid w:val="00B06A37"/>
    <w:rsid w:val="00B10711"/>
    <w:rsid w:val="00B11D90"/>
    <w:rsid w:val="00B12241"/>
    <w:rsid w:val="00B13376"/>
    <w:rsid w:val="00B142D4"/>
    <w:rsid w:val="00B14342"/>
    <w:rsid w:val="00B159DC"/>
    <w:rsid w:val="00B15A42"/>
    <w:rsid w:val="00B164F5"/>
    <w:rsid w:val="00B16A1E"/>
    <w:rsid w:val="00B17D45"/>
    <w:rsid w:val="00B17FE8"/>
    <w:rsid w:val="00B207F1"/>
    <w:rsid w:val="00B2186D"/>
    <w:rsid w:val="00B21A86"/>
    <w:rsid w:val="00B22338"/>
    <w:rsid w:val="00B24396"/>
    <w:rsid w:val="00B24BD4"/>
    <w:rsid w:val="00B25997"/>
    <w:rsid w:val="00B25CA2"/>
    <w:rsid w:val="00B25EFF"/>
    <w:rsid w:val="00B26F68"/>
    <w:rsid w:val="00B3225B"/>
    <w:rsid w:val="00B33B61"/>
    <w:rsid w:val="00B33F21"/>
    <w:rsid w:val="00B340D5"/>
    <w:rsid w:val="00B34B5D"/>
    <w:rsid w:val="00B34C03"/>
    <w:rsid w:val="00B35B3A"/>
    <w:rsid w:val="00B36491"/>
    <w:rsid w:val="00B410CC"/>
    <w:rsid w:val="00B414F8"/>
    <w:rsid w:val="00B41A0A"/>
    <w:rsid w:val="00B4202B"/>
    <w:rsid w:val="00B42452"/>
    <w:rsid w:val="00B4268A"/>
    <w:rsid w:val="00B431B3"/>
    <w:rsid w:val="00B43377"/>
    <w:rsid w:val="00B435C6"/>
    <w:rsid w:val="00B43E05"/>
    <w:rsid w:val="00B45172"/>
    <w:rsid w:val="00B46607"/>
    <w:rsid w:val="00B470CC"/>
    <w:rsid w:val="00B47571"/>
    <w:rsid w:val="00B475F5"/>
    <w:rsid w:val="00B47808"/>
    <w:rsid w:val="00B4783F"/>
    <w:rsid w:val="00B51684"/>
    <w:rsid w:val="00B520F5"/>
    <w:rsid w:val="00B53483"/>
    <w:rsid w:val="00B5379E"/>
    <w:rsid w:val="00B54130"/>
    <w:rsid w:val="00B56C70"/>
    <w:rsid w:val="00B57446"/>
    <w:rsid w:val="00B61C31"/>
    <w:rsid w:val="00B62AA2"/>
    <w:rsid w:val="00B62DC6"/>
    <w:rsid w:val="00B6402E"/>
    <w:rsid w:val="00B64AF2"/>
    <w:rsid w:val="00B64F13"/>
    <w:rsid w:val="00B6530E"/>
    <w:rsid w:val="00B65D45"/>
    <w:rsid w:val="00B6658C"/>
    <w:rsid w:val="00B66C8E"/>
    <w:rsid w:val="00B66F91"/>
    <w:rsid w:val="00B6739A"/>
    <w:rsid w:val="00B67B0D"/>
    <w:rsid w:val="00B67E97"/>
    <w:rsid w:val="00B708DB"/>
    <w:rsid w:val="00B7143E"/>
    <w:rsid w:val="00B72F1B"/>
    <w:rsid w:val="00B74DE6"/>
    <w:rsid w:val="00B751F8"/>
    <w:rsid w:val="00B75490"/>
    <w:rsid w:val="00B7583E"/>
    <w:rsid w:val="00B762B2"/>
    <w:rsid w:val="00B762E3"/>
    <w:rsid w:val="00B76929"/>
    <w:rsid w:val="00B76E08"/>
    <w:rsid w:val="00B77A52"/>
    <w:rsid w:val="00B77B88"/>
    <w:rsid w:val="00B8217E"/>
    <w:rsid w:val="00B82E9B"/>
    <w:rsid w:val="00B833B0"/>
    <w:rsid w:val="00B835BE"/>
    <w:rsid w:val="00B836FA"/>
    <w:rsid w:val="00B83F70"/>
    <w:rsid w:val="00B8413D"/>
    <w:rsid w:val="00B8448D"/>
    <w:rsid w:val="00B87FA8"/>
    <w:rsid w:val="00B90CC6"/>
    <w:rsid w:val="00B919D5"/>
    <w:rsid w:val="00B924E4"/>
    <w:rsid w:val="00B92F45"/>
    <w:rsid w:val="00B958C9"/>
    <w:rsid w:val="00B96F07"/>
    <w:rsid w:val="00B97E53"/>
    <w:rsid w:val="00BA0025"/>
    <w:rsid w:val="00BA0793"/>
    <w:rsid w:val="00BA186B"/>
    <w:rsid w:val="00BA2016"/>
    <w:rsid w:val="00BA2905"/>
    <w:rsid w:val="00BA2927"/>
    <w:rsid w:val="00BA2DD7"/>
    <w:rsid w:val="00BA2FF6"/>
    <w:rsid w:val="00BA3A33"/>
    <w:rsid w:val="00BA508B"/>
    <w:rsid w:val="00BA62B5"/>
    <w:rsid w:val="00BA6453"/>
    <w:rsid w:val="00BA6AA6"/>
    <w:rsid w:val="00BB0AC5"/>
    <w:rsid w:val="00BB0C66"/>
    <w:rsid w:val="00BB1C2A"/>
    <w:rsid w:val="00BB5097"/>
    <w:rsid w:val="00BB6D8A"/>
    <w:rsid w:val="00BC093B"/>
    <w:rsid w:val="00BC0DDA"/>
    <w:rsid w:val="00BC151D"/>
    <w:rsid w:val="00BC1550"/>
    <w:rsid w:val="00BC19C1"/>
    <w:rsid w:val="00BC1E3D"/>
    <w:rsid w:val="00BC3F73"/>
    <w:rsid w:val="00BC4417"/>
    <w:rsid w:val="00BC4ADD"/>
    <w:rsid w:val="00BC4EB8"/>
    <w:rsid w:val="00BC5AD2"/>
    <w:rsid w:val="00BC5E3F"/>
    <w:rsid w:val="00BC7397"/>
    <w:rsid w:val="00BC7A95"/>
    <w:rsid w:val="00BD0B12"/>
    <w:rsid w:val="00BD10B4"/>
    <w:rsid w:val="00BD11A3"/>
    <w:rsid w:val="00BD2616"/>
    <w:rsid w:val="00BD3055"/>
    <w:rsid w:val="00BD3059"/>
    <w:rsid w:val="00BD3468"/>
    <w:rsid w:val="00BD5688"/>
    <w:rsid w:val="00BD5B72"/>
    <w:rsid w:val="00BD7D96"/>
    <w:rsid w:val="00BE070D"/>
    <w:rsid w:val="00BE139B"/>
    <w:rsid w:val="00BE1AC4"/>
    <w:rsid w:val="00BE26BA"/>
    <w:rsid w:val="00BE29BB"/>
    <w:rsid w:val="00BE2A3F"/>
    <w:rsid w:val="00BE348A"/>
    <w:rsid w:val="00BE3889"/>
    <w:rsid w:val="00BE4846"/>
    <w:rsid w:val="00BE64FE"/>
    <w:rsid w:val="00BE6751"/>
    <w:rsid w:val="00BE6D93"/>
    <w:rsid w:val="00BF068E"/>
    <w:rsid w:val="00BF0840"/>
    <w:rsid w:val="00BF13CB"/>
    <w:rsid w:val="00BF1827"/>
    <w:rsid w:val="00BF1CE0"/>
    <w:rsid w:val="00BF27C9"/>
    <w:rsid w:val="00BF28A8"/>
    <w:rsid w:val="00BF326B"/>
    <w:rsid w:val="00BF51B2"/>
    <w:rsid w:val="00BF5275"/>
    <w:rsid w:val="00BF59FD"/>
    <w:rsid w:val="00BF5FC5"/>
    <w:rsid w:val="00BF672B"/>
    <w:rsid w:val="00BF71E4"/>
    <w:rsid w:val="00BF7BE3"/>
    <w:rsid w:val="00C0032C"/>
    <w:rsid w:val="00C02D98"/>
    <w:rsid w:val="00C035BF"/>
    <w:rsid w:val="00C04625"/>
    <w:rsid w:val="00C053D7"/>
    <w:rsid w:val="00C06ED2"/>
    <w:rsid w:val="00C07BE2"/>
    <w:rsid w:val="00C11734"/>
    <w:rsid w:val="00C12478"/>
    <w:rsid w:val="00C1249A"/>
    <w:rsid w:val="00C125BE"/>
    <w:rsid w:val="00C12E09"/>
    <w:rsid w:val="00C13190"/>
    <w:rsid w:val="00C1328E"/>
    <w:rsid w:val="00C14CD7"/>
    <w:rsid w:val="00C1601C"/>
    <w:rsid w:val="00C16E83"/>
    <w:rsid w:val="00C17559"/>
    <w:rsid w:val="00C17959"/>
    <w:rsid w:val="00C21B6B"/>
    <w:rsid w:val="00C2281D"/>
    <w:rsid w:val="00C23A69"/>
    <w:rsid w:val="00C24388"/>
    <w:rsid w:val="00C248FC"/>
    <w:rsid w:val="00C261DB"/>
    <w:rsid w:val="00C263F0"/>
    <w:rsid w:val="00C272CA"/>
    <w:rsid w:val="00C27827"/>
    <w:rsid w:val="00C27D07"/>
    <w:rsid w:val="00C30C62"/>
    <w:rsid w:val="00C31108"/>
    <w:rsid w:val="00C31598"/>
    <w:rsid w:val="00C32B8B"/>
    <w:rsid w:val="00C32E57"/>
    <w:rsid w:val="00C335D9"/>
    <w:rsid w:val="00C34B9C"/>
    <w:rsid w:val="00C34C23"/>
    <w:rsid w:val="00C35D87"/>
    <w:rsid w:val="00C35DD0"/>
    <w:rsid w:val="00C364ED"/>
    <w:rsid w:val="00C3675C"/>
    <w:rsid w:val="00C369F2"/>
    <w:rsid w:val="00C37321"/>
    <w:rsid w:val="00C3774B"/>
    <w:rsid w:val="00C3796B"/>
    <w:rsid w:val="00C40C29"/>
    <w:rsid w:val="00C43EA5"/>
    <w:rsid w:val="00C441A2"/>
    <w:rsid w:val="00C455CF"/>
    <w:rsid w:val="00C45B92"/>
    <w:rsid w:val="00C46EBE"/>
    <w:rsid w:val="00C51752"/>
    <w:rsid w:val="00C51CF9"/>
    <w:rsid w:val="00C53700"/>
    <w:rsid w:val="00C54D23"/>
    <w:rsid w:val="00C56731"/>
    <w:rsid w:val="00C57230"/>
    <w:rsid w:val="00C579D6"/>
    <w:rsid w:val="00C57B11"/>
    <w:rsid w:val="00C62631"/>
    <w:rsid w:val="00C6289E"/>
    <w:rsid w:val="00C642A6"/>
    <w:rsid w:val="00C653F6"/>
    <w:rsid w:val="00C65E06"/>
    <w:rsid w:val="00C66C79"/>
    <w:rsid w:val="00C6793F"/>
    <w:rsid w:val="00C70174"/>
    <w:rsid w:val="00C70A4E"/>
    <w:rsid w:val="00C70D56"/>
    <w:rsid w:val="00C70DA2"/>
    <w:rsid w:val="00C71333"/>
    <w:rsid w:val="00C714D1"/>
    <w:rsid w:val="00C720C2"/>
    <w:rsid w:val="00C72D7F"/>
    <w:rsid w:val="00C73B10"/>
    <w:rsid w:val="00C74532"/>
    <w:rsid w:val="00C7475A"/>
    <w:rsid w:val="00C75555"/>
    <w:rsid w:val="00C75935"/>
    <w:rsid w:val="00C76874"/>
    <w:rsid w:val="00C76B58"/>
    <w:rsid w:val="00C77022"/>
    <w:rsid w:val="00C77DA7"/>
    <w:rsid w:val="00C80C03"/>
    <w:rsid w:val="00C844BC"/>
    <w:rsid w:val="00C859A5"/>
    <w:rsid w:val="00C85E2B"/>
    <w:rsid w:val="00C86583"/>
    <w:rsid w:val="00C8699E"/>
    <w:rsid w:val="00C86C65"/>
    <w:rsid w:val="00C86F49"/>
    <w:rsid w:val="00C87049"/>
    <w:rsid w:val="00C87A8B"/>
    <w:rsid w:val="00C90225"/>
    <w:rsid w:val="00C91C6E"/>
    <w:rsid w:val="00C930EC"/>
    <w:rsid w:val="00C93390"/>
    <w:rsid w:val="00C93D78"/>
    <w:rsid w:val="00C950EA"/>
    <w:rsid w:val="00C9583A"/>
    <w:rsid w:val="00C95F48"/>
    <w:rsid w:val="00CA0FEA"/>
    <w:rsid w:val="00CA14E7"/>
    <w:rsid w:val="00CA2659"/>
    <w:rsid w:val="00CA27BF"/>
    <w:rsid w:val="00CA3675"/>
    <w:rsid w:val="00CA3A6F"/>
    <w:rsid w:val="00CA3F75"/>
    <w:rsid w:val="00CA43A4"/>
    <w:rsid w:val="00CA4751"/>
    <w:rsid w:val="00CA5375"/>
    <w:rsid w:val="00CA54E4"/>
    <w:rsid w:val="00CA7B4F"/>
    <w:rsid w:val="00CA7DE3"/>
    <w:rsid w:val="00CB08B2"/>
    <w:rsid w:val="00CB0B46"/>
    <w:rsid w:val="00CB2D71"/>
    <w:rsid w:val="00CB364A"/>
    <w:rsid w:val="00CB36EC"/>
    <w:rsid w:val="00CB4AC0"/>
    <w:rsid w:val="00CB6550"/>
    <w:rsid w:val="00CB678D"/>
    <w:rsid w:val="00CB7109"/>
    <w:rsid w:val="00CB7206"/>
    <w:rsid w:val="00CB75C0"/>
    <w:rsid w:val="00CB77AE"/>
    <w:rsid w:val="00CB7813"/>
    <w:rsid w:val="00CC0209"/>
    <w:rsid w:val="00CC05BF"/>
    <w:rsid w:val="00CC110C"/>
    <w:rsid w:val="00CC11A6"/>
    <w:rsid w:val="00CC1F11"/>
    <w:rsid w:val="00CC23D2"/>
    <w:rsid w:val="00CC2DE2"/>
    <w:rsid w:val="00CC336F"/>
    <w:rsid w:val="00CC3EF6"/>
    <w:rsid w:val="00CC4974"/>
    <w:rsid w:val="00CC50D5"/>
    <w:rsid w:val="00CC5F1B"/>
    <w:rsid w:val="00CC68C7"/>
    <w:rsid w:val="00CC73C9"/>
    <w:rsid w:val="00CC7781"/>
    <w:rsid w:val="00CD08BF"/>
    <w:rsid w:val="00CD0CCE"/>
    <w:rsid w:val="00CD2481"/>
    <w:rsid w:val="00CD2A77"/>
    <w:rsid w:val="00CD2DF4"/>
    <w:rsid w:val="00CD2FE3"/>
    <w:rsid w:val="00CD3C65"/>
    <w:rsid w:val="00CD41AE"/>
    <w:rsid w:val="00CD4499"/>
    <w:rsid w:val="00CD4572"/>
    <w:rsid w:val="00CD464D"/>
    <w:rsid w:val="00CD49AF"/>
    <w:rsid w:val="00CD51DF"/>
    <w:rsid w:val="00CD5F1C"/>
    <w:rsid w:val="00CD6165"/>
    <w:rsid w:val="00CD6CB3"/>
    <w:rsid w:val="00CD7401"/>
    <w:rsid w:val="00CD7E73"/>
    <w:rsid w:val="00CE2327"/>
    <w:rsid w:val="00CE24EF"/>
    <w:rsid w:val="00CE3438"/>
    <w:rsid w:val="00CE39E2"/>
    <w:rsid w:val="00CE466F"/>
    <w:rsid w:val="00CE4767"/>
    <w:rsid w:val="00CE4D3A"/>
    <w:rsid w:val="00CE688B"/>
    <w:rsid w:val="00CE6DE8"/>
    <w:rsid w:val="00CE7654"/>
    <w:rsid w:val="00CE7678"/>
    <w:rsid w:val="00CF008F"/>
    <w:rsid w:val="00CF0C48"/>
    <w:rsid w:val="00CF0ECD"/>
    <w:rsid w:val="00CF149D"/>
    <w:rsid w:val="00CF1974"/>
    <w:rsid w:val="00CF1E96"/>
    <w:rsid w:val="00CF3795"/>
    <w:rsid w:val="00CF4FC8"/>
    <w:rsid w:val="00CF7C06"/>
    <w:rsid w:val="00D0027E"/>
    <w:rsid w:val="00D00979"/>
    <w:rsid w:val="00D0158A"/>
    <w:rsid w:val="00D0215D"/>
    <w:rsid w:val="00D022A5"/>
    <w:rsid w:val="00D02736"/>
    <w:rsid w:val="00D03DB9"/>
    <w:rsid w:val="00D04695"/>
    <w:rsid w:val="00D05035"/>
    <w:rsid w:val="00D060A5"/>
    <w:rsid w:val="00D066D8"/>
    <w:rsid w:val="00D0727C"/>
    <w:rsid w:val="00D1364A"/>
    <w:rsid w:val="00D149D4"/>
    <w:rsid w:val="00D15098"/>
    <w:rsid w:val="00D1775C"/>
    <w:rsid w:val="00D20298"/>
    <w:rsid w:val="00D207ED"/>
    <w:rsid w:val="00D2345C"/>
    <w:rsid w:val="00D23A75"/>
    <w:rsid w:val="00D24146"/>
    <w:rsid w:val="00D247A3"/>
    <w:rsid w:val="00D24D67"/>
    <w:rsid w:val="00D25179"/>
    <w:rsid w:val="00D261C3"/>
    <w:rsid w:val="00D264EC"/>
    <w:rsid w:val="00D26C41"/>
    <w:rsid w:val="00D26D12"/>
    <w:rsid w:val="00D275F4"/>
    <w:rsid w:val="00D27A3A"/>
    <w:rsid w:val="00D3013D"/>
    <w:rsid w:val="00D30160"/>
    <w:rsid w:val="00D309D2"/>
    <w:rsid w:val="00D320D6"/>
    <w:rsid w:val="00D3222E"/>
    <w:rsid w:val="00D32DCA"/>
    <w:rsid w:val="00D33EF1"/>
    <w:rsid w:val="00D341DE"/>
    <w:rsid w:val="00D34ED3"/>
    <w:rsid w:val="00D35633"/>
    <w:rsid w:val="00D3639F"/>
    <w:rsid w:val="00D36723"/>
    <w:rsid w:val="00D36A81"/>
    <w:rsid w:val="00D40243"/>
    <w:rsid w:val="00D405AC"/>
    <w:rsid w:val="00D4145B"/>
    <w:rsid w:val="00D438A2"/>
    <w:rsid w:val="00D4425D"/>
    <w:rsid w:val="00D444E0"/>
    <w:rsid w:val="00D45639"/>
    <w:rsid w:val="00D4579A"/>
    <w:rsid w:val="00D45963"/>
    <w:rsid w:val="00D477D1"/>
    <w:rsid w:val="00D5091E"/>
    <w:rsid w:val="00D51A00"/>
    <w:rsid w:val="00D525BD"/>
    <w:rsid w:val="00D52645"/>
    <w:rsid w:val="00D528CB"/>
    <w:rsid w:val="00D537AC"/>
    <w:rsid w:val="00D53805"/>
    <w:rsid w:val="00D539D9"/>
    <w:rsid w:val="00D53DFF"/>
    <w:rsid w:val="00D5482B"/>
    <w:rsid w:val="00D54FAC"/>
    <w:rsid w:val="00D564BD"/>
    <w:rsid w:val="00D56539"/>
    <w:rsid w:val="00D571F6"/>
    <w:rsid w:val="00D579B0"/>
    <w:rsid w:val="00D6212A"/>
    <w:rsid w:val="00D6240A"/>
    <w:rsid w:val="00D63652"/>
    <w:rsid w:val="00D657C4"/>
    <w:rsid w:val="00D659B9"/>
    <w:rsid w:val="00D659BB"/>
    <w:rsid w:val="00D65FA8"/>
    <w:rsid w:val="00D66957"/>
    <w:rsid w:val="00D700A7"/>
    <w:rsid w:val="00D71ABC"/>
    <w:rsid w:val="00D71F27"/>
    <w:rsid w:val="00D735A1"/>
    <w:rsid w:val="00D73890"/>
    <w:rsid w:val="00D74908"/>
    <w:rsid w:val="00D75C91"/>
    <w:rsid w:val="00D75CD2"/>
    <w:rsid w:val="00D75D46"/>
    <w:rsid w:val="00D76086"/>
    <w:rsid w:val="00D7633C"/>
    <w:rsid w:val="00D766C2"/>
    <w:rsid w:val="00D80D62"/>
    <w:rsid w:val="00D80F1C"/>
    <w:rsid w:val="00D81047"/>
    <w:rsid w:val="00D8156C"/>
    <w:rsid w:val="00D8272E"/>
    <w:rsid w:val="00D840C3"/>
    <w:rsid w:val="00D846F5"/>
    <w:rsid w:val="00D8487B"/>
    <w:rsid w:val="00D863D3"/>
    <w:rsid w:val="00D873FC"/>
    <w:rsid w:val="00D90311"/>
    <w:rsid w:val="00D92910"/>
    <w:rsid w:val="00D93A70"/>
    <w:rsid w:val="00D94EFE"/>
    <w:rsid w:val="00D96183"/>
    <w:rsid w:val="00D96B5A"/>
    <w:rsid w:val="00D96DF6"/>
    <w:rsid w:val="00D96F63"/>
    <w:rsid w:val="00D9705E"/>
    <w:rsid w:val="00D97E4A"/>
    <w:rsid w:val="00DA0211"/>
    <w:rsid w:val="00DA34FC"/>
    <w:rsid w:val="00DA5AB7"/>
    <w:rsid w:val="00DA6C03"/>
    <w:rsid w:val="00DA7FCC"/>
    <w:rsid w:val="00DB128F"/>
    <w:rsid w:val="00DB1D12"/>
    <w:rsid w:val="00DB20C3"/>
    <w:rsid w:val="00DB303E"/>
    <w:rsid w:val="00DB39CA"/>
    <w:rsid w:val="00DB4E25"/>
    <w:rsid w:val="00DB5B20"/>
    <w:rsid w:val="00DB5DB0"/>
    <w:rsid w:val="00DC081C"/>
    <w:rsid w:val="00DC1CFE"/>
    <w:rsid w:val="00DC219E"/>
    <w:rsid w:val="00DC2B68"/>
    <w:rsid w:val="00DC2CB8"/>
    <w:rsid w:val="00DC3338"/>
    <w:rsid w:val="00DC354A"/>
    <w:rsid w:val="00DC3BBC"/>
    <w:rsid w:val="00DC4011"/>
    <w:rsid w:val="00DC440D"/>
    <w:rsid w:val="00DC514B"/>
    <w:rsid w:val="00DC649D"/>
    <w:rsid w:val="00DC6D3C"/>
    <w:rsid w:val="00DC6DDC"/>
    <w:rsid w:val="00DD0252"/>
    <w:rsid w:val="00DD056F"/>
    <w:rsid w:val="00DD0908"/>
    <w:rsid w:val="00DD1BDD"/>
    <w:rsid w:val="00DD1E1F"/>
    <w:rsid w:val="00DD2B50"/>
    <w:rsid w:val="00DD3076"/>
    <w:rsid w:val="00DD364A"/>
    <w:rsid w:val="00DD39C2"/>
    <w:rsid w:val="00DD3F7C"/>
    <w:rsid w:val="00DD439B"/>
    <w:rsid w:val="00DD481F"/>
    <w:rsid w:val="00DD56F2"/>
    <w:rsid w:val="00DD571C"/>
    <w:rsid w:val="00DD6BAA"/>
    <w:rsid w:val="00DD7DDF"/>
    <w:rsid w:val="00DE0C6C"/>
    <w:rsid w:val="00DE1A4E"/>
    <w:rsid w:val="00DE31DE"/>
    <w:rsid w:val="00DE32B5"/>
    <w:rsid w:val="00DE3E1D"/>
    <w:rsid w:val="00DE571E"/>
    <w:rsid w:val="00DE597F"/>
    <w:rsid w:val="00DE5987"/>
    <w:rsid w:val="00DE7CEE"/>
    <w:rsid w:val="00DF074E"/>
    <w:rsid w:val="00DF0EDD"/>
    <w:rsid w:val="00DF2219"/>
    <w:rsid w:val="00DF2632"/>
    <w:rsid w:val="00DF2B46"/>
    <w:rsid w:val="00DF37D8"/>
    <w:rsid w:val="00DF3D56"/>
    <w:rsid w:val="00DF45F1"/>
    <w:rsid w:val="00DF491C"/>
    <w:rsid w:val="00DF4FE9"/>
    <w:rsid w:val="00E057BC"/>
    <w:rsid w:val="00E06623"/>
    <w:rsid w:val="00E066B1"/>
    <w:rsid w:val="00E06E9D"/>
    <w:rsid w:val="00E07E18"/>
    <w:rsid w:val="00E07F03"/>
    <w:rsid w:val="00E113E7"/>
    <w:rsid w:val="00E11841"/>
    <w:rsid w:val="00E133F8"/>
    <w:rsid w:val="00E1474E"/>
    <w:rsid w:val="00E1509B"/>
    <w:rsid w:val="00E1764E"/>
    <w:rsid w:val="00E1771A"/>
    <w:rsid w:val="00E177B0"/>
    <w:rsid w:val="00E2059B"/>
    <w:rsid w:val="00E209A5"/>
    <w:rsid w:val="00E21A4E"/>
    <w:rsid w:val="00E21F8A"/>
    <w:rsid w:val="00E22E65"/>
    <w:rsid w:val="00E25072"/>
    <w:rsid w:val="00E25403"/>
    <w:rsid w:val="00E2551A"/>
    <w:rsid w:val="00E27533"/>
    <w:rsid w:val="00E27FE9"/>
    <w:rsid w:val="00E30BBE"/>
    <w:rsid w:val="00E31FC0"/>
    <w:rsid w:val="00E32273"/>
    <w:rsid w:val="00E33039"/>
    <w:rsid w:val="00E330A5"/>
    <w:rsid w:val="00E343F0"/>
    <w:rsid w:val="00E35180"/>
    <w:rsid w:val="00E3628A"/>
    <w:rsid w:val="00E3642B"/>
    <w:rsid w:val="00E36EEC"/>
    <w:rsid w:val="00E40950"/>
    <w:rsid w:val="00E411EC"/>
    <w:rsid w:val="00E41EA1"/>
    <w:rsid w:val="00E42E07"/>
    <w:rsid w:val="00E43879"/>
    <w:rsid w:val="00E44DB5"/>
    <w:rsid w:val="00E459D4"/>
    <w:rsid w:val="00E46CCD"/>
    <w:rsid w:val="00E50C0D"/>
    <w:rsid w:val="00E51FCE"/>
    <w:rsid w:val="00E5309B"/>
    <w:rsid w:val="00E548A3"/>
    <w:rsid w:val="00E561AC"/>
    <w:rsid w:val="00E56810"/>
    <w:rsid w:val="00E5693B"/>
    <w:rsid w:val="00E56AB2"/>
    <w:rsid w:val="00E57DCB"/>
    <w:rsid w:val="00E606A5"/>
    <w:rsid w:val="00E607B2"/>
    <w:rsid w:val="00E6165A"/>
    <w:rsid w:val="00E6180F"/>
    <w:rsid w:val="00E623EA"/>
    <w:rsid w:val="00E646FE"/>
    <w:rsid w:val="00E6506B"/>
    <w:rsid w:val="00E65AC9"/>
    <w:rsid w:val="00E67108"/>
    <w:rsid w:val="00E67A7D"/>
    <w:rsid w:val="00E70EB7"/>
    <w:rsid w:val="00E71BA4"/>
    <w:rsid w:val="00E7230B"/>
    <w:rsid w:val="00E730F0"/>
    <w:rsid w:val="00E7326C"/>
    <w:rsid w:val="00E73A34"/>
    <w:rsid w:val="00E73DF4"/>
    <w:rsid w:val="00E74909"/>
    <w:rsid w:val="00E75305"/>
    <w:rsid w:val="00E753DF"/>
    <w:rsid w:val="00E76F0E"/>
    <w:rsid w:val="00E77CE7"/>
    <w:rsid w:val="00E77E37"/>
    <w:rsid w:val="00E80E08"/>
    <w:rsid w:val="00E8168B"/>
    <w:rsid w:val="00E826A2"/>
    <w:rsid w:val="00E82B8B"/>
    <w:rsid w:val="00E82EDC"/>
    <w:rsid w:val="00E8416F"/>
    <w:rsid w:val="00E84176"/>
    <w:rsid w:val="00E844FF"/>
    <w:rsid w:val="00E8462A"/>
    <w:rsid w:val="00E84B06"/>
    <w:rsid w:val="00E853E2"/>
    <w:rsid w:val="00E86BB3"/>
    <w:rsid w:val="00E86F6E"/>
    <w:rsid w:val="00E87D00"/>
    <w:rsid w:val="00E91AB8"/>
    <w:rsid w:val="00E92997"/>
    <w:rsid w:val="00E934E1"/>
    <w:rsid w:val="00E93B63"/>
    <w:rsid w:val="00E93CF8"/>
    <w:rsid w:val="00E946CE"/>
    <w:rsid w:val="00E948F3"/>
    <w:rsid w:val="00E95008"/>
    <w:rsid w:val="00E9531D"/>
    <w:rsid w:val="00E95F10"/>
    <w:rsid w:val="00E96355"/>
    <w:rsid w:val="00EA0225"/>
    <w:rsid w:val="00EA0F20"/>
    <w:rsid w:val="00EA2627"/>
    <w:rsid w:val="00EA30C5"/>
    <w:rsid w:val="00EA3ADB"/>
    <w:rsid w:val="00EA50AF"/>
    <w:rsid w:val="00EA52CF"/>
    <w:rsid w:val="00EA5B59"/>
    <w:rsid w:val="00EA6DD8"/>
    <w:rsid w:val="00EA6ED1"/>
    <w:rsid w:val="00EA76B5"/>
    <w:rsid w:val="00EB02FA"/>
    <w:rsid w:val="00EB20F0"/>
    <w:rsid w:val="00EB21FF"/>
    <w:rsid w:val="00EB26DB"/>
    <w:rsid w:val="00EB4182"/>
    <w:rsid w:val="00EB486C"/>
    <w:rsid w:val="00EB49EA"/>
    <w:rsid w:val="00EB5B64"/>
    <w:rsid w:val="00EB5EDF"/>
    <w:rsid w:val="00EB68D5"/>
    <w:rsid w:val="00EB7DD4"/>
    <w:rsid w:val="00EC00BC"/>
    <w:rsid w:val="00EC0DBD"/>
    <w:rsid w:val="00EC119F"/>
    <w:rsid w:val="00EC22C6"/>
    <w:rsid w:val="00EC353B"/>
    <w:rsid w:val="00EC46D4"/>
    <w:rsid w:val="00EC66E8"/>
    <w:rsid w:val="00EC6B1D"/>
    <w:rsid w:val="00EC6F2C"/>
    <w:rsid w:val="00EC7EDA"/>
    <w:rsid w:val="00ED0159"/>
    <w:rsid w:val="00ED06B9"/>
    <w:rsid w:val="00ED0969"/>
    <w:rsid w:val="00ED33F9"/>
    <w:rsid w:val="00ED3E2D"/>
    <w:rsid w:val="00ED4A32"/>
    <w:rsid w:val="00ED5423"/>
    <w:rsid w:val="00ED5A94"/>
    <w:rsid w:val="00ED5E0D"/>
    <w:rsid w:val="00ED65D0"/>
    <w:rsid w:val="00ED7D95"/>
    <w:rsid w:val="00EE05A2"/>
    <w:rsid w:val="00EE1612"/>
    <w:rsid w:val="00EE3DDF"/>
    <w:rsid w:val="00EE40D9"/>
    <w:rsid w:val="00EE4556"/>
    <w:rsid w:val="00EE6185"/>
    <w:rsid w:val="00EE64EC"/>
    <w:rsid w:val="00EE7715"/>
    <w:rsid w:val="00EF039E"/>
    <w:rsid w:val="00EF058B"/>
    <w:rsid w:val="00EF1812"/>
    <w:rsid w:val="00EF206A"/>
    <w:rsid w:val="00EF2189"/>
    <w:rsid w:val="00EF23A8"/>
    <w:rsid w:val="00EF4640"/>
    <w:rsid w:val="00EF564C"/>
    <w:rsid w:val="00EF5812"/>
    <w:rsid w:val="00EF5A12"/>
    <w:rsid w:val="00EF6B0D"/>
    <w:rsid w:val="00EF71AC"/>
    <w:rsid w:val="00EF7317"/>
    <w:rsid w:val="00F0157E"/>
    <w:rsid w:val="00F019F3"/>
    <w:rsid w:val="00F01BE9"/>
    <w:rsid w:val="00F0232C"/>
    <w:rsid w:val="00F03620"/>
    <w:rsid w:val="00F038E4"/>
    <w:rsid w:val="00F03957"/>
    <w:rsid w:val="00F046D9"/>
    <w:rsid w:val="00F0482E"/>
    <w:rsid w:val="00F04BDE"/>
    <w:rsid w:val="00F064A4"/>
    <w:rsid w:val="00F07939"/>
    <w:rsid w:val="00F10515"/>
    <w:rsid w:val="00F11094"/>
    <w:rsid w:val="00F1223A"/>
    <w:rsid w:val="00F130B8"/>
    <w:rsid w:val="00F13599"/>
    <w:rsid w:val="00F13FBE"/>
    <w:rsid w:val="00F1546E"/>
    <w:rsid w:val="00F15FC7"/>
    <w:rsid w:val="00F16642"/>
    <w:rsid w:val="00F168D4"/>
    <w:rsid w:val="00F172F9"/>
    <w:rsid w:val="00F17737"/>
    <w:rsid w:val="00F17ECF"/>
    <w:rsid w:val="00F223A5"/>
    <w:rsid w:val="00F22557"/>
    <w:rsid w:val="00F229D3"/>
    <w:rsid w:val="00F2590A"/>
    <w:rsid w:val="00F259BF"/>
    <w:rsid w:val="00F25D8F"/>
    <w:rsid w:val="00F269EC"/>
    <w:rsid w:val="00F26BDC"/>
    <w:rsid w:val="00F2747F"/>
    <w:rsid w:val="00F30825"/>
    <w:rsid w:val="00F3099B"/>
    <w:rsid w:val="00F3235B"/>
    <w:rsid w:val="00F36882"/>
    <w:rsid w:val="00F379E3"/>
    <w:rsid w:val="00F40843"/>
    <w:rsid w:val="00F42234"/>
    <w:rsid w:val="00F43D76"/>
    <w:rsid w:val="00F43DEC"/>
    <w:rsid w:val="00F43EA8"/>
    <w:rsid w:val="00F4434C"/>
    <w:rsid w:val="00F45897"/>
    <w:rsid w:val="00F47278"/>
    <w:rsid w:val="00F478E4"/>
    <w:rsid w:val="00F508DF"/>
    <w:rsid w:val="00F50B9D"/>
    <w:rsid w:val="00F52736"/>
    <w:rsid w:val="00F53775"/>
    <w:rsid w:val="00F54F34"/>
    <w:rsid w:val="00F55345"/>
    <w:rsid w:val="00F56A14"/>
    <w:rsid w:val="00F57454"/>
    <w:rsid w:val="00F579F8"/>
    <w:rsid w:val="00F60047"/>
    <w:rsid w:val="00F604BD"/>
    <w:rsid w:val="00F61362"/>
    <w:rsid w:val="00F6153E"/>
    <w:rsid w:val="00F616A7"/>
    <w:rsid w:val="00F61F3C"/>
    <w:rsid w:val="00F62444"/>
    <w:rsid w:val="00F629D9"/>
    <w:rsid w:val="00F62F0F"/>
    <w:rsid w:val="00F62F3D"/>
    <w:rsid w:val="00F641B8"/>
    <w:rsid w:val="00F64824"/>
    <w:rsid w:val="00F6531E"/>
    <w:rsid w:val="00F656C9"/>
    <w:rsid w:val="00F65C88"/>
    <w:rsid w:val="00F667C0"/>
    <w:rsid w:val="00F66933"/>
    <w:rsid w:val="00F66971"/>
    <w:rsid w:val="00F66A7D"/>
    <w:rsid w:val="00F67459"/>
    <w:rsid w:val="00F6773A"/>
    <w:rsid w:val="00F67779"/>
    <w:rsid w:val="00F67A3B"/>
    <w:rsid w:val="00F67E95"/>
    <w:rsid w:val="00F70086"/>
    <w:rsid w:val="00F7035C"/>
    <w:rsid w:val="00F70D7F"/>
    <w:rsid w:val="00F711ED"/>
    <w:rsid w:val="00F71DB0"/>
    <w:rsid w:val="00F72729"/>
    <w:rsid w:val="00F73828"/>
    <w:rsid w:val="00F74B00"/>
    <w:rsid w:val="00F7501E"/>
    <w:rsid w:val="00F763B5"/>
    <w:rsid w:val="00F76B3A"/>
    <w:rsid w:val="00F76BBE"/>
    <w:rsid w:val="00F7758B"/>
    <w:rsid w:val="00F779AD"/>
    <w:rsid w:val="00F80426"/>
    <w:rsid w:val="00F80633"/>
    <w:rsid w:val="00F8074A"/>
    <w:rsid w:val="00F811B8"/>
    <w:rsid w:val="00F8156D"/>
    <w:rsid w:val="00F81E63"/>
    <w:rsid w:val="00F82ADB"/>
    <w:rsid w:val="00F84656"/>
    <w:rsid w:val="00F85A53"/>
    <w:rsid w:val="00F85A91"/>
    <w:rsid w:val="00F864FF"/>
    <w:rsid w:val="00F86BED"/>
    <w:rsid w:val="00F86C98"/>
    <w:rsid w:val="00F86E96"/>
    <w:rsid w:val="00F87AC5"/>
    <w:rsid w:val="00F90839"/>
    <w:rsid w:val="00F91676"/>
    <w:rsid w:val="00F92BBC"/>
    <w:rsid w:val="00F92F57"/>
    <w:rsid w:val="00F954C5"/>
    <w:rsid w:val="00F97097"/>
    <w:rsid w:val="00F9714B"/>
    <w:rsid w:val="00F97193"/>
    <w:rsid w:val="00F97890"/>
    <w:rsid w:val="00FA0FEE"/>
    <w:rsid w:val="00FA31E1"/>
    <w:rsid w:val="00FA3534"/>
    <w:rsid w:val="00FA48EF"/>
    <w:rsid w:val="00FA498D"/>
    <w:rsid w:val="00FA4A50"/>
    <w:rsid w:val="00FA4B80"/>
    <w:rsid w:val="00FA67C4"/>
    <w:rsid w:val="00FA6954"/>
    <w:rsid w:val="00FB2EAC"/>
    <w:rsid w:val="00FB2F1F"/>
    <w:rsid w:val="00FB2F7A"/>
    <w:rsid w:val="00FB2FFC"/>
    <w:rsid w:val="00FB5572"/>
    <w:rsid w:val="00FB63F1"/>
    <w:rsid w:val="00FB724D"/>
    <w:rsid w:val="00FB7880"/>
    <w:rsid w:val="00FB7A50"/>
    <w:rsid w:val="00FB7D84"/>
    <w:rsid w:val="00FC0931"/>
    <w:rsid w:val="00FC19E3"/>
    <w:rsid w:val="00FC25F0"/>
    <w:rsid w:val="00FC3380"/>
    <w:rsid w:val="00FC4A99"/>
    <w:rsid w:val="00FC5AE4"/>
    <w:rsid w:val="00FC6AE0"/>
    <w:rsid w:val="00FC7DF4"/>
    <w:rsid w:val="00FD00F3"/>
    <w:rsid w:val="00FD0DE3"/>
    <w:rsid w:val="00FD0E76"/>
    <w:rsid w:val="00FD0EB3"/>
    <w:rsid w:val="00FD42BF"/>
    <w:rsid w:val="00FD6250"/>
    <w:rsid w:val="00FD6727"/>
    <w:rsid w:val="00FD78A8"/>
    <w:rsid w:val="00FE0ACE"/>
    <w:rsid w:val="00FE2C17"/>
    <w:rsid w:val="00FE3A1B"/>
    <w:rsid w:val="00FE4D6A"/>
    <w:rsid w:val="00FE4EF8"/>
    <w:rsid w:val="00FE512A"/>
    <w:rsid w:val="00FE5A5D"/>
    <w:rsid w:val="00FE5EC0"/>
    <w:rsid w:val="00FE6450"/>
    <w:rsid w:val="00FE72D0"/>
    <w:rsid w:val="00FE7712"/>
    <w:rsid w:val="00FE7A8D"/>
    <w:rsid w:val="00FF10D4"/>
    <w:rsid w:val="00FF18C8"/>
    <w:rsid w:val="00FF429E"/>
    <w:rsid w:val="00FF44EA"/>
    <w:rsid w:val="00FF47F8"/>
    <w:rsid w:val="00FF5205"/>
    <w:rsid w:val="00FF5D97"/>
    <w:rsid w:val="00FF6345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BD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373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1DBD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3B1DBD"/>
    <w:pPr>
      <w:jc w:val="center"/>
    </w:pPr>
    <w:rPr>
      <w:rFonts w:ascii="Helvetica" w:hAnsi="Helvetica"/>
      <w:b/>
      <w:szCs w:val="20"/>
    </w:rPr>
  </w:style>
  <w:style w:type="paragraph" w:styleId="Footer">
    <w:name w:val="footer"/>
    <w:basedOn w:val="Normal"/>
    <w:link w:val="FooterChar"/>
    <w:uiPriority w:val="99"/>
    <w:rsid w:val="003B1D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1DBD"/>
  </w:style>
  <w:style w:type="character" w:customStyle="1" w:styleId="FooterChar">
    <w:name w:val="Footer Char"/>
    <w:link w:val="Footer"/>
    <w:uiPriority w:val="99"/>
    <w:rsid w:val="0081069A"/>
    <w:rPr>
      <w:sz w:val="24"/>
      <w:szCs w:val="24"/>
    </w:rPr>
  </w:style>
  <w:style w:type="paragraph" w:styleId="FootnoteText">
    <w:name w:val="footnote text"/>
    <w:basedOn w:val="Normal"/>
    <w:link w:val="FootnoteTextChar"/>
    <w:rsid w:val="00651A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1A20"/>
  </w:style>
  <w:style w:type="character" w:styleId="FootnoteReference">
    <w:name w:val="footnote reference"/>
    <w:rsid w:val="00651A20"/>
    <w:rPr>
      <w:vertAlign w:val="superscript"/>
    </w:rPr>
  </w:style>
  <w:style w:type="paragraph" w:styleId="BalloonText">
    <w:name w:val="Balloon Text"/>
    <w:basedOn w:val="Normal"/>
    <w:link w:val="BalloonTextChar"/>
    <w:rsid w:val="00A15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50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F6E"/>
    <w:pPr>
      <w:ind w:left="720"/>
    </w:pPr>
  </w:style>
  <w:style w:type="table" w:styleId="TableGrid">
    <w:name w:val="Table Grid"/>
    <w:basedOn w:val="TableNormal"/>
    <w:rsid w:val="00693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8102C2"/>
    <w:rPr>
      <w:rFonts w:ascii="Helvetica" w:hAnsi="Helvetica"/>
      <w:b/>
      <w:sz w:val="24"/>
    </w:rPr>
  </w:style>
  <w:style w:type="character" w:styleId="CommentReference">
    <w:name w:val="annotation reference"/>
    <w:rsid w:val="008B38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38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380B"/>
  </w:style>
  <w:style w:type="paragraph" w:styleId="CommentSubject">
    <w:name w:val="annotation subject"/>
    <w:basedOn w:val="CommentText"/>
    <w:next w:val="CommentText"/>
    <w:link w:val="CommentSubjectChar"/>
    <w:rsid w:val="008B380B"/>
    <w:rPr>
      <w:b/>
      <w:bCs/>
    </w:rPr>
  </w:style>
  <w:style w:type="character" w:customStyle="1" w:styleId="CommentSubjectChar">
    <w:name w:val="Comment Subject Char"/>
    <w:link w:val="CommentSubject"/>
    <w:rsid w:val="008B380B"/>
    <w:rPr>
      <w:b/>
      <w:bCs/>
    </w:rPr>
  </w:style>
  <w:style w:type="character" w:customStyle="1" w:styleId="HeaderChar">
    <w:name w:val="Header Char"/>
    <w:link w:val="Header"/>
    <w:uiPriority w:val="99"/>
    <w:rsid w:val="00A21B66"/>
    <w:rPr>
      <w:sz w:val="24"/>
      <w:szCs w:val="24"/>
    </w:rPr>
  </w:style>
  <w:style w:type="paragraph" w:customStyle="1" w:styleId="Default">
    <w:name w:val="Default"/>
    <w:rsid w:val="003959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0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07B2"/>
    <w:rPr>
      <w:rFonts w:ascii="Courier New" w:hAnsi="Courier New" w:cs="Courier New"/>
    </w:rPr>
  </w:style>
  <w:style w:type="paragraph" w:styleId="ListBullet">
    <w:name w:val="List Bullet"/>
    <w:basedOn w:val="Normal"/>
    <w:rsid w:val="00ED33F9"/>
    <w:pPr>
      <w:numPr>
        <w:numId w:val="3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547C47"/>
    <w:rPr>
      <w:color w:val="0000FF"/>
      <w:u w:val="single"/>
    </w:rPr>
  </w:style>
  <w:style w:type="paragraph" w:styleId="Revision">
    <w:name w:val="Revision"/>
    <w:hidden/>
    <w:uiPriority w:val="99"/>
    <w:semiHidden/>
    <w:rsid w:val="00CE343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37321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373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BD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373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1DBD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3B1DBD"/>
    <w:pPr>
      <w:jc w:val="center"/>
    </w:pPr>
    <w:rPr>
      <w:rFonts w:ascii="Helvetica" w:hAnsi="Helvetica"/>
      <w:b/>
      <w:szCs w:val="20"/>
    </w:rPr>
  </w:style>
  <w:style w:type="paragraph" w:styleId="Footer">
    <w:name w:val="footer"/>
    <w:basedOn w:val="Normal"/>
    <w:link w:val="FooterChar"/>
    <w:uiPriority w:val="99"/>
    <w:rsid w:val="003B1D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1DBD"/>
  </w:style>
  <w:style w:type="character" w:customStyle="1" w:styleId="FooterChar">
    <w:name w:val="Footer Char"/>
    <w:link w:val="Footer"/>
    <w:uiPriority w:val="99"/>
    <w:rsid w:val="0081069A"/>
    <w:rPr>
      <w:sz w:val="24"/>
      <w:szCs w:val="24"/>
    </w:rPr>
  </w:style>
  <w:style w:type="paragraph" w:styleId="FootnoteText">
    <w:name w:val="footnote text"/>
    <w:basedOn w:val="Normal"/>
    <w:link w:val="FootnoteTextChar"/>
    <w:rsid w:val="00651A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1A20"/>
  </w:style>
  <w:style w:type="character" w:styleId="FootnoteReference">
    <w:name w:val="footnote reference"/>
    <w:rsid w:val="00651A20"/>
    <w:rPr>
      <w:vertAlign w:val="superscript"/>
    </w:rPr>
  </w:style>
  <w:style w:type="paragraph" w:styleId="BalloonText">
    <w:name w:val="Balloon Text"/>
    <w:basedOn w:val="Normal"/>
    <w:link w:val="BalloonTextChar"/>
    <w:rsid w:val="00A15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50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F6E"/>
    <w:pPr>
      <w:ind w:left="720"/>
    </w:pPr>
  </w:style>
  <w:style w:type="table" w:styleId="TableGrid">
    <w:name w:val="Table Grid"/>
    <w:basedOn w:val="TableNormal"/>
    <w:rsid w:val="00693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8102C2"/>
    <w:rPr>
      <w:rFonts w:ascii="Helvetica" w:hAnsi="Helvetica"/>
      <w:b/>
      <w:sz w:val="24"/>
    </w:rPr>
  </w:style>
  <w:style w:type="character" w:styleId="CommentReference">
    <w:name w:val="annotation reference"/>
    <w:rsid w:val="008B38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38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380B"/>
  </w:style>
  <w:style w:type="paragraph" w:styleId="CommentSubject">
    <w:name w:val="annotation subject"/>
    <w:basedOn w:val="CommentText"/>
    <w:next w:val="CommentText"/>
    <w:link w:val="CommentSubjectChar"/>
    <w:rsid w:val="008B380B"/>
    <w:rPr>
      <w:b/>
      <w:bCs/>
    </w:rPr>
  </w:style>
  <w:style w:type="character" w:customStyle="1" w:styleId="CommentSubjectChar">
    <w:name w:val="Comment Subject Char"/>
    <w:link w:val="CommentSubject"/>
    <w:rsid w:val="008B380B"/>
    <w:rPr>
      <w:b/>
      <w:bCs/>
    </w:rPr>
  </w:style>
  <w:style w:type="character" w:customStyle="1" w:styleId="HeaderChar">
    <w:name w:val="Header Char"/>
    <w:link w:val="Header"/>
    <w:uiPriority w:val="99"/>
    <w:rsid w:val="00A21B66"/>
    <w:rPr>
      <w:sz w:val="24"/>
      <w:szCs w:val="24"/>
    </w:rPr>
  </w:style>
  <w:style w:type="paragraph" w:customStyle="1" w:styleId="Default">
    <w:name w:val="Default"/>
    <w:rsid w:val="003959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0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07B2"/>
    <w:rPr>
      <w:rFonts w:ascii="Courier New" w:hAnsi="Courier New" w:cs="Courier New"/>
    </w:rPr>
  </w:style>
  <w:style w:type="paragraph" w:styleId="ListBullet">
    <w:name w:val="List Bullet"/>
    <w:basedOn w:val="Normal"/>
    <w:rsid w:val="00ED33F9"/>
    <w:pPr>
      <w:numPr>
        <w:numId w:val="3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547C47"/>
    <w:rPr>
      <w:color w:val="0000FF"/>
      <w:u w:val="single"/>
    </w:rPr>
  </w:style>
  <w:style w:type="paragraph" w:styleId="Revision">
    <w:name w:val="Revision"/>
    <w:hidden/>
    <w:uiPriority w:val="99"/>
    <w:semiHidden/>
    <w:rsid w:val="00CE343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37321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373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A6F6-5533-4A0D-8F92-24A5ED9D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11907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2013-08-21T16:27:00Z</cp:lastPrinted>
  <dcterms:created xsi:type="dcterms:W3CDTF">2016-07-15T15:48:00Z</dcterms:created>
  <dcterms:modified xsi:type="dcterms:W3CDTF">2016-07-15T15:48:00Z</dcterms:modified>
</cp:coreProperties>
</file>