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84" w:rsidRDefault="00893484" w:rsidP="00893484">
      <w:pPr>
        <w:pStyle w:val="titlebar"/>
        <w:rPr>
          <w:sz w:val="24"/>
        </w:rPr>
      </w:pPr>
      <w:r>
        <w:rPr>
          <w:sz w:val="24"/>
        </w:rPr>
        <w:t xml:space="preserve">PUBLIC UTILITIES COMMISSION OF THE STATE OF </w:t>
      </w:r>
      <w:smartTag w:uri="urn:schemas-microsoft-com:office:smarttags" w:element="State">
        <w:smartTag w:uri="urn:schemas-microsoft-com:office:smarttags" w:element="PostalCode">
          <w:r>
            <w:rPr>
              <w:sz w:val="24"/>
            </w:rPr>
            <w:t>CALIFORNIA</w:t>
          </w:r>
        </w:smartTag>
      </w:smartTag>
    </w:p>
    <w:p w:rsidR="00893484" w:rsidRDefault="00893484" w:rsidP="00893484">
      <w:pPr>
        <w:suppressAutoHyphens/>
      </w:pPr>
    </w:p>
    <w:p w:rsidR="00893484" w:rsidRPr="00EC24BF" w:rsidRDefault="00B43917" w:rsidP="00893484">
      <w:pPr>
        <w:suppressAutoHyphens/>
        <w:rPr>
          <w:b/>
        </w:rPr>
      </w:pPr>
      <w:r>
        <w:tab/>
      </w:r>
      <w:r>
        <w:tab/>
      </w:r>
      <w:r>
        <w:tab/>
      </w:r>
      <w:r>
        <w:tab/>
      </w:r>
      <w:r>
        <w:tab/>
      </w:r>
      <w:r>
        <w:tab/>
      </w:r>
      <w:r>
        <w:tab/>
      </w:r>
      <w:r>
        <w:tab/>
      </w:r>
      <w:r>
        <w:tab/>
      </w:r>
      <w:r w:rsidRPr="00EC24BF">
        <w:rPr>
          <w:b/>
        </w:rPr>
        <w:t xml:space="preserve">AGENDA ID </w:t>
      </w:r>
      <w:r w:rsidR="00A432D9">
        <w:rPr>
          <w:b/>
        </w:rPr>
        <w:t>15008</w:t>
      </w:r>
    </w:p>
    <w:p w:rsidR="00893484" w:rsidRDefault="00893484" w:rsidP="00893484">
      <w:pPr>
        <w:rPr>
          <w:b/>
          <w:sz w:val="24"/>
        </w:rPr>
      </w:pPr>
      <w:r>
        <w:rPr>
          <w:b/>
          <w:sz w:val="24"/>
        </w:rPr>
        <w:t>ENERGY DIVISION</w:t>
      </w:r>
      <w:r>
        <w:rPr>
          <w:b/>
          <w:sz w:val="24"/>
        </w:rPr>
        <w:tab/>
      </w:r>
      <w:r>
        <w:rPr>
          <w:b/>
          <w:sz w:val="24"/>
        </w:rPr>
        <w:tab/>
      </w:r>
      <w:r>
        <w:rPr>
          <w:b/>
          <w:sz w:val="24"/>
        </w:rPr>
        <w:tab/>
      </w:r>
      <w:r>
        <w:rPr>
          <w:b/>
          <w:sz w:val="24"/>
        </w:rPr>
        <w:tab/>
      </w:r>
      <w:r>
        <w:rPr>
          <w:b/>
          <w:sz w:val="24"/>
        </w:rPr>
        <w:tab/>
      </w:r>
      <w:r>
        <w:rPr>
          <w:b/>
          <w:sz w:val="24"/>
        </w:rPr>
        <w:tab/>
        <w:t xml:space="preserve">RESOLUTION </w:t>
      </w:r>
      <w:r w:rsidR="002A7CD4">
        <w:rPr>
          <w:b/>
          <w:sz w:val="24"/>
        </w:rPr>
        <w:t>E-</w:t>
      </w:r>
      <w:r w:rsidR="000A5A04">
        <w:rPr>
          <w:b/>
          <w:sz w:val="24"/>
        </w:rPr>
        <w:t>4789</w:t>
      </w:r>
    </w:p>
    <w:p w:rsidR="00893484" w:rsidRDefault="00893484" w:rsidP="00893484">
      <w:pPr>
        <w:tabs>
          <w:tab w:val="right" w:pos="8910"/>
        </w:tabs>
        <w:ind w:left="1440" w:firstLine="720"/>
        <w:rPr>
          <w:b/>
          <w:sz w:val="24"/>
        </w:rPr>
      </w:pPr>
      <w:r>
        <w:rPr>
          <w:b/>
          <w:sz w:val="24"/>
        </w:rPr>
        <w:tab/>
        <w:t xml:space="preserve">   </w:t>
      </w:r>
      <w:r w:rsidR="00C90962">
        <w:rPr>
          <w:b/>
          <w:sz w:val="24"/>
        </w:rPr>
        <w:t>August 18</w:t>
      </w:r>
      <w:r w:rsidR="002A7CD4">
        <w:rPr>
          <w:b/>
          <w:sz w:val="24"/>
        </w:rPr>
        <w:t>, 2016</w:t>
      </w:r>
    </w:p>
    <w:p w:rsidR="00893484" w:rsidRDefault="00893484" w:rsidP="00893484">
      <w:pPr>
        <w:tabs>
          <w:tab w:val="right" w:pos="8910"/>
        </w:tabs>
        <w:rPr>
          <w:b/>
          <w:sz w:val="24"/>
        </w:rPr>
      </w:pPr>
    </w:p>
    <w:p w:rsidR="00893484" w:rsidRDefault="00893484" w:rsidP="00893484">
      <w:pPr>
        <w:pStyle w:val="mainex"/>
        <w:rPr>
          <w:u w:val="single"/>
        </w:rPr>
      </w:pPr>
      <w:bookmarkStart w:id="0" w:name="_Ref404993683"/>
      <w:r>
        <w:rPr>
          <w:u w:val="single"/>
        </w:rPr>
        <w:t>RESOLUTION</w:t>
      </w:r>
    </w:p>
    <w:p w:rsidR="00893484" w:rsidRPr="00FB54A7" w:rsidRDefault="00893484" w:rsidP="00893484">
      <w:pPr>
        <w:pStyle w:val="Res-Caption"/>
        <w:rPr>
          <w:rFonts w:ascii="Palatino Linotype" w:hAnsi="Palatino Linotype"/>
        </w:rPr>
      </w:pPr>
    </w:p>
    <w:p w:rsidR="00893484" w:rsidRPr="00FB54A7" w:rsidRDefault="00893484" w:rsidP="00893484">
      <w:pPr>
        <w:pStyle w:val="Res-Caption"/>
        <w:rPr>
          <w:rFonts w:ascii="Palatino Linotype" w:hAnsi="Palatino Linotype"/>
        </w:rPr>
      </w:pPr>
      <w:proofErr w:type="gramStart"/>
      <w:r w:rsidRPr="00FB54A7">
        <w:rPr>
          <w:rFonts w:ascii="Palatino Linotype" w:hAnsi="Palatino Linotype"/>
        </w:rPr>
        <w:t xml:space="preserve">Resolution </w:t>
      </w:r>
      <w:r w:rsidR="00792455">
        <w:rPr>
          <w:rFonts w:ascii="Palatino Linotype" w:hAnsi="Palatino Linotype"/>
        </w:rPr>
        <w:t>E-4789</w:t>
      </w:r>
      <w:r w:rsidRPr="00FB54A7">
        <w:rPr>
          <w:rFonts w:ascii="Palatino Linotype" w:hAnsi="Palatino Linotype"/>
        </w:rPr>
        <w:t>.</w:t>
      </w:r>
      <w:proofErr w:type="gramEnd"/>
      <w:r w:rsidRPr="00FB54A7">
        <w:rPr>
          <w:rFonts w:ascii="Palatino Linotype" w:hAnsi="Palatino Linotype"/>
        </w:rPr>
        <w:t xml:space="preserve">  </w:t>
      </w:r>
      <w:r w:rsidR="00792455">
        <w:rPr>
          <w:rFonts w:ascii="Palatino Linotype" w:hAnsi="Palatino Linotype"/>
        </w:rPr>
        <w:t xml:space="preserve">Southern California Edison </w:t>
      </w:r>
      <w:r w:rsidRPr="00FB54A7">
        <w:rPr>
          <w:rFonts w:ascii="Palatino Linotype" w:hAnsi="Palatino Linotype"/>
        </w:rPr>
        <w:t xml:space="preserve">requests approval of its </w:t>
      </w:r>
      <w:r w:rsidR="009C5000">
        <w:rPr>
          <w:rFonts w:ascii="Palatino Linotype" w:hAnsi="Palatino Linotype"/>
        </w:rPr>
        <w:t>protocol for Customer Advance Notice to Transfer to Lancaster Choice Energy’s Community Choice Aggregation Service</w:t>
      </w:r>
      <w:r w:rsidRPr="00FB54A7">
        <w:rPr>
          <w:rFonts w:ascii="Palatino Linotype" w:hAnsi="Palatino Linotype"/>
        </w:rPr>
        <w:t>.</w:t>
      </w:r>
    </w:p>
    <w:p w:rsidR="00893484" w:rsidRDefault="00893484" w:rsidP="00893484">
      <w:pPr>
        <w:pStyle w:val="Res-Caption"/>
      </w:pPr>
    </w:p>
    <w:p w:rsidR="00893484" w:rsidRDefault="00893484" w:rsidP="00893484">
      <w:pPr>
        <w:pStyle w:val="Res-Caption"/>
        <w:rPr>
          <w:rFonts w:ascii="Palatino Linotype" w:hAnsi="Palatino Linotype"/>
        </w:rPr>
      </w:pPr>
      <w:r w:rsidRPr="006B05EE">
        <w:t>PROPOSED OUTCOME</w:t>
      </w:r>
      <w:r>
        <w:rPr>
          <w:rFonts w:ascii="Palatino Linotype" w:hAnsi="Palatino Linotype"/>
        </w:rPr>
        <w:t xml:space="preserve">: </w:t>
      </w:r>
    </w:p>
    <w:p w:rsidR="00893484" w:rsidRPr="00FB54A7" w:rsidRDefault="00893484" w:rsidP="00893484">
      <w:pPr>
        <w:pStyle w:val="Res-Caption"/>
        <w:numPr>
          <w:ilvl w:val="0"/>
          <w:numId w:val="3"/>
        </w:numPr>
        <w:ind w:left="720" w:firstLine="360"/>
        <w:rPr>
          <w:rFonts w:ascii="Palatino Linotype" w:hAnsi="Palatino Linotype"/>
        </w:rPr>
      </w:pPr>
      <w:r w:rsidRPr="00FB54A7">
        <w:rPr>
          <w:rFonts w:ascii="Palatino Linotype" w:hAnsi="Palatino Linotype"/>
        </w:rPr>
        <w:t xml:space="preserve">This resolution approves </w:t>
      </w:r>
      <w:r w:rsidR="00792455">
        <w:rPr>
          <w:rFonts w:ascii="Palatino Linotype" w:hAnsi="Palatino Linotype"/>
        </w:rPr>
        <w:t>S</w:t>
      </w:r>
      <w:r w:rsidR="004C03AF">
        <w:rPr>
          <w:rFonts w:ascii="Palatino Linotype" w:hAnsi="Palatino Linotype"/>
        </w:rPr>
        <w:t xml:space="preserve">outhern </w:t>
      </w:r>
      <w:r w:rsidR="00792455">
        <w:rPr>
          <w:rFonts w:ascii="Palatino Linotype" w:hAnsi="Palatino Linotype"/>
        </w:rPr>
        <w:t>C</w:t>
      </w:r>
      <w:r w:rsidR="004C03AF">
        <w:rPr>
          <w:rFonts w:ascii="Palatino Linotype" w:hAnsi="Palatino Linotype"/>
        </w:rPr>
        <w:t xml:space="preserve">alifornia </w:t>
      </w:r>
      <w:r w:rsidR="00792455">
        <w:rPr>
          <w:rFonts w:ascii="Palatino Linotype" w:hAnsi="Palatino Linotype"/>
        </w:rPr>
        <w:t>E</w:t>
      </w:r>
      <w:r w:rsidR="004C03AF">
        <w:rPr>
          <w:rFonts w:ascii="Palatino Linotype" w:hAnsi="Palatino Linotype"/>
        </w:rPr>
        <w:t>dison</w:t>
      </w:r>
      <w:r w:rsidRPr="00FB54A7">
        <w:rPr>
          <w:rFonts w:ascii="Palatino Linotype" w:hAnsi="Palatino Linotype"/>
        </w:rPr>
        <w:t>’s</w:t>
      </w:r>
      <w:r w:rsidR="00FF27A8">
        <w:rPr>
          <w:rFonts w:ascii="Palatino Linotype" w:hAnsi="Palatino Linotype"/>
        </w:rPr>
        <w:t xml:space="preserve"> Advice Letter </w:t>
      </w:r>
      <w:r w:rsidR="00792455">
        <w:rPr>
          <w:rFonts w:ascii="Palatino Linotype" w:hAnsi="Palatino Linotype"/>
        </w:rPr>
        <w:t>3364-E</w:t>
      </w:r>
      <w:r w:rsidRPr="00FB54A7">
        <w:rPr>
          <w:rFonts w:ascii="Palatino Linotype" w:hAnsi="Palatino Linotype"/>
        </w:rPr>
        <w:t xml:space="preserve">, which </w:t>
      </w:r>
      <w:r w:rsidR="00FF27A8" w:rsidRPr="00FB54A7">
        <w:rPr>
          <w:rFonts w:ascii="Palatino Linotype" w:hAnsi="Palatino Linotype"/>
        </w:rPr>
        <w:t xml:space="preserve">requests approval of its </w:t>
      </w:r>
      <w:r w:rsidR="00FF27A8">
        <w:rPr>
          <w:rFonts w:ascii="Palatino Linotype" w:hAnsi="Palatino Linotype"/>
        </w:rPr>
        <w:t>protocol for Customer Advance Notice to Transfer to Lancaster Choice Energy’s Community Choice Aggregation Service.</w:t>
      </w:r>
      <w:r w:rsidR="00C87B56">
        <w:rPr>
          <w:rFonts w:ascii="Palatino Linotype" w:hAnsi="Palatino Linotype"/>
        </w:rPr>
        <w:t xml:space="preserve"> The protocol would waive the six-month notice and form submission requirements for residential customers who wish to transfer from Lancaster Choice Energy to Southern California Edison.</w:t>
      </w:r>
    </w:p>
    <w:p w:rsidR="00893484" w:rsidRPr="00CB1A22" w:rsidRDefault="00893484" w:rsidP="00893484">
      <w:pPr>
        <w:pStyle w:val="Res-Caption"/>
        <w:ind w:left="1080"/>
        <w:rPr>
          <w:rFonts w:ascii="Palatino Linotype" w:hAnsi="Palatino Linotype"/>
        </w:rPr>
      </w:pPr>
    </w:p>
    <w:p w:rsidR="00893484" w:rsidRDefault="00893484" w:rsidP="00893484">
      <w:pPr>
        <w:pStyle w:val="Res-Caption"/>
      </w:pPr>
      <w:r w:rsidRPr="00F51F8B">
        <w:t>SAFETY CONSIDERATIONS:</w:t>
      </w:r>
    </w:p>
    <w:p w:rsidR="00893484" w:rsidRPr="00FB54A7" w:rsidRDefault="00721F0D" w:rsidP="00893484">
      <w:pPr>
        <w:pStyle w:val="Res-Caption"/>
        <w:numPr>
          <w:ilvl w:val="0"/>
          <w:numId w:val="3"/>
        </w:numPr>
        <w:ind w:left="720" w:firstLine="360"/>
        <w:rPr>
          <w:rFonts w:ascii="Palatino Linotype" w:hAnsi="Palatino Linotype"/>
        </w:rPr>
      </w:pPr>
      <w:r w:rsidRPr="00FB54A7">
        <w:rPr>
          <w:rFonts w:ascii="Palatino Linotype" w:hAnsi="Palatino Linotype"/>
        </w:rPr>
        <w:t>There is no impact on safety.</w:t>
      </w:r>
    </w:p>
    <w:p w:rsidR="00893484" w:rsidRDefault="00893484" w:rsidP="00893484">
      <w:pPr>
        <w:pStyle w:val="Res-Caption"/>
        <w:keepNext/>
      </w:pPr>
    </w:p>
    <w:p w:rsidR="00893484" w:rsidRDefault="00893484" w:rsidP="00893484">
      <w:pPr>
        <w:pStyle w:val="Res-Caption"/>
        <w:keepNext/>
        <w:rPr>
          <w:rFonts w:ascii="Palatino Linotype" w:hAnsi="Palatino Linotype"/>
        </w:rPr>
      </w:pPr>
      <w:r w:rsidRPr="006B05EE">
        <w:t>ESTIMATED COST</w:t>
      </w:r>
      <w:r>
        <w:rPr>
          <w:rFonts w:ascii="Palatino Linotype" w:hAnsi="Palatino Linotype"/>
        </w:rPr>
        <w:t xml:space="preserve">:  </w:t>
      </w:r>
    </w:p>
    <w:p w:rsidR="00893484" w:rsidRPr="00FB54A7" w:rsidRDefault="00721F0D" w:rsidP="00893484">
      <w:pPr>
        <w:pStyle w:val="Res-Caption"/>
        <w:numPr>
          <w:ilvl w:val="0"/>
          <w:numId w:val="4"/>
        </w:numPr>
        <w:ind w:left="720" w:firstLine="360"/>
        <w:rPr>
          <w:rFonts w:ascii="Palatino Linotype" w:hAnsi="Palatino Linotype"/>
        </w:rPr>
      </w:pPr>
      <w:r w:rsidRPr="00FB54A7">
        <w:rPr>
          <w:rFonts w:ascii="Palatino Linotype" w:hAnsi="Palatino Linotype"/>
          <w:color w:val="000000"/>
        </w:rPr>
        <w:t xml:space="preserve">There is no ratepayer cost. </w:t>
      </w:r>
    </w:p>
    <w:p w:rsidR="00893484" w:rsidRPr="00A83811" w:rsidRDefault="00893484" w:rsidP="00893484">
      <w:pPr>
        <w:pStyle w:val="Res-Caption"/>
      </w:pPr>
    </w:p>
    <w:p w:rsidR="00893484" w:rsidRPr="00EC6897" w:rsidRDefault="00893484" w:rsidP="004C03AF">
      <w:pPr>
        <w:pStyle w:val="Res-Caption"/>
        <w:rPr>
          <w:rFonts w:ascii="Palatino Linotype" w:hAnsi="Palatino Linotype"/>
        </w:rPr>
      </w:pPr>
      <w:r w:rsidRPr="00EC6897">
        <w:rPr>
          <w:rFonts w:ascii="Palatino Linotype" w:hAnsi="Palatino Linotype"/>
        </w:rPr>
        <w:t xml:space="preserve">By </w:t>
      </w:r>
      <w:r w:rsidR="004C03AF">
        <w:rPr>
          <w:rFonts w:ascii="Palatino Linotype" w:hAnsi="Palatino Linotype"/>
        </w:rPr>
        <w:t xml:space="preserve">Southern California Edison </w:t>
      </w:r>
      <w:r w:rsidRPr="00EC6897">
        <w:rPr>
          <w:rFonts w:ascii="Palatino Linotype" w:hAnsi="Palatino Linotype"/>
        </w:rPr>
        <w:t xml:space="preserve">Advice Letter </w:t>
      </w:r>
      <w:r w:rsidR="00792455" w:rsidRPr="00EC6897">
        <w:rPr>
          <w:rFonts w:ascii="Palatino Linotype" w:hAnsi="Palatino Linotype"/>
        </w:rPr>
        <w:t>3364-E</w:t>
      </w:r>
      <w:r w:rsidRPr="00EC6897">
        <w:rPr>
          <w:rFonts w:ascii="Palatino Linotype" w:hAnsi="Palatino Linotype"/>
        </w:rPr>
        <w:t xml:space="preserve">, filed on </w:t>
      </w:r>
      <w:r w:rsidR="00BB0A0C" w:rsidRPr="00EC6897">
        <w:rPr>
          <w:rFonts w:ascii="Palatino Linotype" w:hAnsi="Palatino Linotype"/>
        </w:rPr>
        <w:t>February 12, 2016</w:t>
      </w:r>
      <w:r w:rsidRPr="00EC6897">
        <w:rPr>
          <w:rFonts w:ascii="Palatino Linotype" w:hAnsi="Palatino Linotype"/>
        </w:rPr>
        <w:t>.</w:t>
      </w:r>
    </w:p>
    <w:p w:rsidR="00893484" w:rsidRDefault="00893484" w:rsidP="00893484">
      <w:pPr>
        <w:jc w:val="center"/>
      </w:pPr>
      <w:r>
        <w:t>__________________________________________________________</w:t>
      </w:r>
    </w:p>
    <w:p w:rsidR="00893484" w:rsidRDefault="00893484" w:rsidP="00893484">
      <w:pPr>
        <w:rPr>
          <w:b/>
        </w:rPr>
      </w:pPr>
    </w:p>
    <w:p w:rsidR="00893484" w:rsidRDefault="00893484" w:rsidP="00893484">
      <w:pPr>
        <w:pStyle w:val="Heading1"/>
      </w:pPr>
      <w:r>
        <w:t>Summary</w:t>
      </w:r>
      <w:bookmarkEnd w:id="0"/>
    </w:p>
    <w:p w:rsidR="004C03AF" w:rsidRDefault="00893484" w:rsidP="004F1E50">
      <w:pPr>
        <w:spacing w:before="240" w:after="240"/>
        <w:rPr>
          <w:rFonts w:ascii="Palatino Linotype" w:hAnsi="Palatino Linotype"/>
          <w:szCs w:val="26"/>
        </w:rPr>
      </w:pPr>
      <w:r w:rsidRPr="00380FBE">
        <w:rPr>
          <w:rFonts w:ascii="Palatino Linotype" w:hAnsi="Palatino Linotype"/>
          <w:szCs w:val="26"/>
        </w:rPr>
        <w:t>This Resolution approves</w:t>
      </w:r>
      <w:r w:rsidR="00CA2115">
        <w:rPr>
          <w:rFonts w:ascii="Palatino Linotype" w:hAnsi="Palatino Linotype"/>
          <w:szCs w:val="26"/>
        </w:rPr>
        <w:t xml:space="preserve"> </w:t>
      </w:r>
      <w:r w:rsidR="00CA2115">
        <w:rPr>
          <w:rFonts w:ascii="Palatino Linotype" w:hAnsi="Palatino Linotype"/>
        </w:rPr>
        <w:t>Southern California Edison’s</w:t>
      </w:r>
      <w:r w:rsidRPr="00380FBE">
        <w:rPr>
          <w:rFonts w:ascii="Palatino Linotype" w:hAnsi="Palatino Linotype"/>
          <w:szCs w:val="26"/>
        </w:rPr>
        <w:t xml:space="preserve"> </w:t>
      </w:r>
      <w:r w:rsidR="00CA2115">
        <w:rPr>
          <w:rFonts w:ascii="Palatino Linotype" w:hAnsi="Palatino Linotype"/>
          <w:szCs w:val="26"/>
        </w:rPr>
        <w:t>(</w:t>
      </w:r>
      <w:r w:rsidR="00792455">
        <w:rPr>
          <w:rFonts w:ascii="Palatino Linotype" w:hAnsi="Palatino Linotype"/>
          <w:szCs w:val="26"/>
        </w:rPr>
        <w:t>SCE</w:t>
      </w:r>
      <w:r w:rsidR="00CA2115">
        <w:rPr>
          <w:rFonts w:ascii="Palatino Linotype" w:hAnsi="Palatino Linotype"/>
          <w:szCs w:val="26"/>
        </w:rPr>
        <w:t>)</w:t>
      </w:r>
      <w:r w:rsidR="00ED7FE1">
        <w:rPr>
          <w:rFonts w:ascii="Palatino Linotype" w:hAnsi="Palatino Linotype"/>
          <w:szCs w:val="26"/>
        </w:rPr>
        <w:t xml:space="preserve"> </w:t>
      </w:r>
      <w:r w:rsidR="00CA2115">
        <w:rPr>
          <w:rFonts w:ascii="Palatino Linotype" w:hAnsi="Palatino Linotype"/>
          <w:szCs w:val="26"/>
        </w:rPr>
        <w:t xml:space="preserve">Advice Letter </w:t>
      </w:r>
      <w:r w:rsidR="00CA2115">
        <w:rPr>
          <w:rFonts w:ascii="Palatino Linotype" w:hAnsi="Palatino Linotype"/>
        </w:rPr>
        <w:t>(</w:t>
      </w:r>
      <w:r w:rsidR="00CA2115" w:rsidRPr="00FB54A7">
        <w:rPr>
          <w:rFonts w:ascii="Palatino Linotype" w:hAnsi="Palatino Linotype"/>
        </w:rPr>
        <w:t>AL</w:t>
      </w:r>
      <w:r w:rsidR="00CA2115">
        <w:rPr>
          <w:rFonts w:ascii="Palatino Linotype" w:hAnsi="Palatino Linotype"/>
        </w:rPr>
        <w:t>)</w:t>
      </w:r>
      <w:r w:rsidRPr="00380FBE">
        <w:rPr>
          <w:rFonts w:ascii="Palatino Linotype" w:hAnsi="Palatino Linotype"/>
          <w:szCs w:val="26"/>
        </w:rPr>
        <w:t xml:space="preserve"> </w:t>
      </w:r>
      <w:r w:rsidR="00792455">
        <w:rPr>
          <w:rFonts w:ascii="Palatino Linotype" w:hAnsi="Palatino Linotype"/>
          <w:szCs w:val="26"/>
        </w:rPr>
        <w:t>3364-E</w:t>
      </w:r>
      <w:r w:rsidR="00CA2115">
        <w:rPr>
          <w:rFonts w:ascii="Palatino Linotype" w:hAnsi="Palatino Linotype"/>
          <w:szCs w:val="26"/>
        </w:rPr>
        <w:t>,</w:t>
      </w:r>
      <w:r w:rsidRPr="00380FBE">
        <w:rPr>
          <w:rFonts w:ascii="Palatino Linotype" w:hAnsi="Palatino Linotype"/>
          <w:szCs w:val="26"/>
        </w:rPr>
        <w:t xml:space="preserve"> </w:t>
      </w:r>
      <w:r w:rsidR="00AB6F70">
        <w:rPr>
          <w:rFonts w:ascii="Palatino Linotype" w:hAnsi="Palatino Linotype"/>
          <w:szCs w:val="26"/>
        </w:rPr>
        <w:t>which requests</w:t>
      </w:r>
      <w:r w:rsidR="00FF27A8" w:rsidRPr="00FB54A7">
        <w:rPr>
          <w:rFonts w:ascii="Palatino Linotype" w:hAnsi="Palatino Linotype"/>
        </w:rPr>
        <w:t xml:space="preserve"> approval of its </w:t>
      </w:r>
      <w:r w:rsidR="00FF27A8">
        <w:rPr>
          <w:rFonts w:ascii="Palatino Linotype" w:hAnsi="Palatino Linotype"/>
        </w:rPr>
        <w:t xml:space="preserve">protocol for </w:t>
      </w:r>
      <w:r w:rsidR="004C03AF">
        <w:rPr>
          <w:rFonts w:ascii="Palatino Linotype" w:hAnsi="Palatino Linotype"/>
        </w:rPr>
        <w:t xml:space="preserve">residential </w:t>
      </w:r>
      <w:r w:rsidR="00FF27A8">
        <w:rPr>
          <w:rFonts w:ascii="Palatino Linotype" w:hAnsi="Palatino Linotype"/>
        </w:rPr>
        <w:t>Customer Advance Notice to Transfer to Lancaster Choice Energy’s (LCE) Community Choice Aggregation</w:t>
      </w:r>
      <w:r w:rsidR="00CA2115">
        <w:rPr>
          <w:rFonts w:ascii="Palatino Linotype" w:hAnsi="Palatino Linotype"/>
        </w:rPr>
        <w:t xml:space="preserve"> (CCA)</w:t>
      </w:r>
      <w:r w:rsidR="00FF27A8">
        <w:rPr>
          <w:rFonts w:ascii="Palatino Linotype" w:hAnsi="Palatino Linotype"/>
        </w:rPr>
        <w:t xml:space="preserve"> Service</w:t>
      </w:r>
      <w:r w:rsidRPr="00380FBE">
        <w:rPr>
          <w:rFonts w:ascii="Palatino Linotype" w:hAnsi="Palatino Linotype"/>
          <w:szCs w:val="26"/>
        </w:rPr>
        <w:t>.</w:t>
      </w:r>
      <w:r w:rsidR="00FF27A8">
        <w:rPr>
          <w:rFonts w:ascii="Palatino Linotype" w:hAnsi="Palatino Linotype"/>
          <w:szCs w:val="26"/>
        </w:rPr>
        <w:t xml:space="preserve"> </w:t>
      </w:r>
    </w:p>
    <w:p w:rsidR="004C03AF" w:rsidRPr="001D5AFA" w:rsidRDefault="004C03AF" w:rsidP="004C03AF">
      <w:pPr>
        <w:spacing w:before="240"/>
        <w:rPr>
          <w:rFonts w:ascii="Palatino Linotype" w:hAnsi="Palatino Linotype"/>
          <w:b/>
        </w:rPr>
      </w:pPr>
      <w:r>
        <w:rPr>
          <w:rFonts w:ascii="Palatino Linotype" w:hAnsi="Palatino Linotype"/>
        </w:rPr>
        <w:lastRenderedPageBreak/>
        <w:t>SCE‘s</w:t>
      </w:r>
      <w:r w:rsidRPr="00293294">
        <w:rPr>
          <w:rFonts w:ascii="Palatino Linotype" w:hAnsi="Palatino Linotype"/>
        </w:rPr>
        <w:t xml:space="preserve"> </w:t>
      </w:r>
      <w:r>
        <w:rPr>
          <w:rFonts w:ascii="Palatino Linotype" w:hAnsi="Palatino Linotype"/>
        </w:rPr>
        <w:t xml:space="preserve">Tariff </w:t>
      </w:r>
      <w:r w:rsidRPr="00293294">
        <w:rPr>
          <w:rFonts w:ascii="Palatino Linotype" w:hAnsi="Palatino Linotype"/>
        </w:rPr>
        <w:t xml:space="preserve">Rule 23 requires bundled customers who wish to transfer to a CCA </w:t>
      </w:r>
      <w:r>
        <w:rPr>
          <w:rFonts w:ascii="Palatino Linotype" w:hAnsi="Palatino Linotype"/>
        </w:rPr>
        <w:t xml:space="preserve">outside of the automatic enrollment process </w:t>
      </w:r>
      <w:r w:rsidRPr="00293294">
        <w:rPr>
          <w:rFonts w:ascii="Palatino Linotype" w:hAnsi="Palatino Linotype"/>
        </w:rPr>
        <w:t xml:space="preserve">to give six months’ notice to </w:t>
      </w:r>
      <w:r>
        <w:rPr>
          <w:rFonts w:ascii="Palatino Linotype" w:hAnsi="Palatino Linotype"/>
        </w:rPr>
        <w:t xml:space="preserve">SCE </w:t>
      </w:r>
      <w:r w:rsidRPr="00293294">
        <w:rPr>
          <w:rFonts w:ascii="Palatino Linotype" w:hAnsi="Palatino Linotype"/>
        </w:rPr>
        <w:t xml:space="preserve">and </w:t>
      </w:r>
      <w:r>
        <w:rPr>
          <w:rFonts w:ascii="Palatino Linotype" w:hAnsi="Palatino Linotype"/>
        </w:rPr>
        <w:t xml:space="preserve">to </w:t>
      </w:r>
      <w:r w:rsidRPr="00293294">
        <w:rPr>
          <w:rFonts w:ascii="Palatino Linotype" w:hAnsi="Palatino Linotype"/>
        </w:rPr>
        <w:t>fill out a standard form</w:t>
      </w:r>
      <w:r w:rsidRPr="001D5AFA">
        <w:rPr>
          <w:rFonts w:ascii="Palatino Linotype" w:hAnsi="Palatino Linotype"/>
          <w:b/>
        </w:rPr>
        <w:t xml:space="preserve">. </w:t>
      </w:r>
      <w:r w:rsidRPr="004C03AF">
        <w:rPr>
          <w:rFonts w:ascii="Palatino Linotype" w:hAnsi="Palatino Linotype"/>
        </w:rPr>
        <w:t xml:space="preserve">In this advice letter, </w:t>
      </w:r>
      <w:r>
        <w:rPr>
          <w:rFonts w:ascii="Palatino Linotype" w:hAnsi="Palatino Linotype"/>
        </w:rPr>
        <w:t xml:space="preserve">SCE requests approval of a limited exception to Rule 23 to waive the six-month notice requirement for residential customers transferring to LCE. </w:t>
      </w:r>
      <w:r>
        <w:rPr>
          <w:rFonts w:ascii="Palatino Linotype" w:hAnsi="Palatino Linotype"/>
          <w:b/>
        </w:rPr>
        <w:t xml:space="preserve"> </w:t>
      </w:r>
    </w:p>
    <w:p w:rsidR="004F1E50" w:rsidRDefault="00FF27A8" w:rsidP="004F1E50">
      <w:pPr>
        <w:spacing w:before="240" w:after="240"/>
        <w:rPr>
          <w:rFonts w:ascii="Palatino Linotype" w:hAnsi="Palatino Linotype"/>
          <w:szCs w:val="26"/>
        </w:rPr>
      </w:pPr>
      <w:r w:rsidRPr="004C03AF">
        <w:rPr>
          <w:rFonts w:ascii="Palatino Linotype" w:hAnsi="Palatino Linotype"/>
          <w:szCs w:val="26"/>
        </w:rPr>
        <w:t xml:space="preserve">The protocol </w:t>
      </w:r>
      <w:r w:rsidR="00782946" w:rsidRPr="004C03AF">
        <w:rPr>
          <w:rFonts w:ascii="Palatino Linotype" w:hAnsi="Palatino Linotype"/>
          <w:szCs w:val="26"/>
        </w:rPr>
        <w:t>applies</w:t>
      </w:r>
      <w:r w:rsidR="004C03AF">
        <w:rPr>
          <w:rFonts w:ascii="Palatino Linotype" w:hAnsi="Palatino Linotype"/>
          <w:szCs w:val="26"/>
        </w:rPr>
        <w:t xml:space="preserve"> only</w:t>
      </w:r>
      <w:r w:rsidR="00782946" w:rsidRPr="004C03AF">
        <w:rPr>
          <w:rFonts w:ascii="Palatino Linotype" w:hAnsi="Palatino Linotype"/>
          <w:szCs w:val="26"/>
        </w:rPr>
        <w:t xml:space="preserve"> to </w:t>
      </w:r>
      <w:r w:rsidR="000171B3" w:rsidRPr="004C03AF">
        <w:rPr>
          <w:rFonts w:ascii="Palatino Linotype" w:hAnsi="Palatino Linotype"/>
          <w:szCs w:val="26"/>
        </w:rPr>
        <w:t xml:space="preserve">residential </w:t>
      </w:r>
      <w:r w:rsidRPr="004C03AF">
        <w:rPr>
          <w:rFonts w:ascii="Palatino Linotype" w:hAnsi="Palatino Linotype"/>
          <w:szCs w:val="26"/>
        </w:rPr>
        <w:t>customers transferring from SCE to LCE</w:t>
      </w:r>
      <w:r w:rsidR="00782946" w:rsidRPr="004C03AF">
        <w:rPr>
          <w:rFonts w:ascii="Palatino Linotype" w:hAnsi="Palatino Linotype"/>
          <w:szCs w:val="26"/>
        </w:rPr>
        <w:t>. The protocol exempts these customers</w:t>
      </w:r>
      <w:r w:rsidRPr="004C03AF">
        <w:rPr>
          <w:rFonts w:ascii="Palatino Linotype" w:hAnsi="Palatino Linotype"/>
          <w:szCs w:val="26"/>
        </w:rPr>
        <w:t xml:space="preserve"> from SCE’s normal Rule 23 tariff requirements of giving six months’ notice to SCE and filling out Form 14-954.</w:t>
      </w:r>
      <w:r>
        <w:rPr>
          <w:rFonts w:ascii="Palatino Linotype" w:hAnsi="Palatino Linotype"/>
          <w:szCs w:val="26"/>
        </w:rPr>
        <w:t xml:space="preserve"> </w:t>
      </w:r>
      <w:r w:rsidR="00D50110">
        <w:rPr>
          <w:rFonts w:ascii="Palatino Linotype" w:hAnsi="Palatino Linotype"/>
          <w:szCs w:val="26"/>
        </w:rPr>
        <w:t xml:space="preserve"> </w:t>
      </w:r>
      <w:r w:rsidR="000171B3">
        <w:rPr>
          <w:rFonts w:ascii="Palatino Linotype" w:hAnsi="Palatino Linotype"/>
          <w:szCs w:val="26"/>
        </w:rPr>
        <w:t>SCE has agreed to make this accommodation at LCE’s request, so long as the exemption request</w:t>
      </w:r>
      <w:r w:rsidR="009A082C">
        <w:rPr>
          <w:rFonts w:ascii="Palatino Linotype" w:hAnsi="Palatino Linotype"/>
          <w:szCs w:val="26"/>
        </w:rPr>
        <w:t>s</w:t>
      </w:r>
      <w:r w:rsidR="000171B3">
        <w:rPr>
          <w:rFonts w:ascii="Palatino Linotype" w:hAnsi="Palatino Linotype"/>
          <w:szCs w:val="26"/>
        </w:rPr>
        <w:t xml:space="preserve"> do not exceed a certain </w:t>
      </w:r>
      <w:r>
        <w:rPr>
          <w:rFonts w:ascii="Palatino Linotype" w:hAnsi="Palatino Linotype"/>
          <w:i/>
          <w:szCs w:val="26"/>
        </w:rPr>
        <w:t xml:space="preserve">de minimis </w:t>
      </w:r>
      <w:r w:rsidR="000171B3">
        <w:rPr>
          <w:rFonts w:ascii="Palatino Linotype" w:hAnsi="Palatino Linotype"/>
          <w:szCs w:val="26"/>
        </w:rPr>
        <w:t>threshold. SCE and LCE have negotiated in good faith and agree to the protocol.</w:t>
      </w:r>
      <w:r>
        <w:rPr>
          <w:rFonts w:ascii="Palatino Linotype" w:hAnsi="Palatino Linotype"/>
          <w:szCs w:val="26"/>
        </w:rPr>
        <w:t xml:space="preserve"> </w:t>
      </w:r>
      <w:r w:rsidR="00CA2115">
        <w:rPr>
          <w:rFonts w:ascii="Palatino Linotype" w:hAnsi="Palatino Linotype"/>
          <w:szCs w:val="26"/>
        </w:rPr>
        <w:t>S</w:t>
      </w:r>
      <w:r>
        <w:rPr>
          <w:rFonts w:ascii="Palatino Linotype" w:hAnsi="Palatino Linotype"/>
          <w:szCs w:val="26"/>
        </w:rPr>
        <w:t>CE reserves the right to permanently suspend this exemption</w:t>
      </w:r>
      <w:r w:rsidR="000171B3">
        <w:rPr>
          <w:rFonts w:ascii="Palatino Linotype" w:hAnsi="Palatino Linotype"/>
          <w:szCs w:val="26"/>
        </w:rPr>
        <w:t xml:space="preserve"> protocol</w:t>
      </w:r>
      <w:r>
        <w:rPr>
          <w:rFonts w:ascii="Palatino Linotype" w:hAnsi="Palatino Linotype"/>
          <w:szCs w:val="26"/>
        </w:rPr>
        <w:t xml:space="preserve"> if more CCA programs become operational in SCE</w:t>
      </w:r>
      <w:r w:rsidR="00CA2115">
        <w:rPr>
          <w:rFonts w:ascii="Palatino Linotype" w:hAnsi="Palatino Linotype"/>
          <w:szCs w:val="26"/>
        </w:rPr>
        <w:t>’s</w:t>
      </w:r>
      <w:r>
        <w:rPr>
          <w:rFonts w:ascii="Palatino Linotype" w:hAnsi="Palatino Linotype"/>
          <w:szCs w:val="26"/>
        </w:rPr>
        <w:t xml:space="preserve"> service territory and </w:t>
      </w:r>
      <w:r w:rsidR="009A082C">
        <w:rPr>
          <w:rFonts w:ascii="Palatino Linotype" w:hAnsi="Palatino Linotype"/>
          <w:szCs w:val="26"/>
        </w:rPr>
        <w:t xml:space="preserve">those CCAs </w:t>
      </w:r>
      <w:r>
        <w:rPr>
          <w:rFonts w:ascii="Palatino Linotype" w:hAnsi="Palatino Linotype"/>
          <w:szCs w:val="26"/>
        </w:rPr>
        <w:t xml:space="preserve">request similar exemptions and such </w:t>
      </w:r>
      <w:r w:rsidR="009A082C">
        <w:rPr>
          <w:rFonts w:ascii="Palatino Linotype" w:hAnsi="Palatino Linotype"/>
          <w:szCs w:val="26"/>
        </w:rPr>
        <w:t xml:space="preserve">resulting </w:t>
      </w:r>
      <w:r>
        <w:rPr>
          <w:rFonts w:ascii="Palatino Linotype" w:hAnsi="Palatino Linotype"/>
          <w:szCs w:val="26"/>
        </w:rPr>
        <w:t>request</w:t>
      </w:r>
      <w:r w:rsidR="00CA2115">
        <w:rPr>
          <w:rFonts w:ascii="Palatino Linotype" w:hAnsi="Palatino Linotype"/>
          <w:szCs w:val="26"/>
        </w:rPr>
        <w:t>s</w:t>
      </w:r>
      <w:r>
        <w:rPr>
          <w:rFonts w:ascii="Palatino Linotype" w:hAnsi="Palatino Linotype"/>
          <w:szCs w:val="26"/>
        </w:rPr>
        <w:t xml:space="preserve"> exceed the </w:t>
      </w:r>
      <w:r>
        <w:rPr>
          <w:rFonts w:ascii="Palatino Linotype" w:hAnsi="Palatino Linotype"/>
          <w:i/>
          <w:szCs w:val="26"/>
        </w:rPr>
        <w:t xml:space="preserve">de minimis </w:t>
      </w:r>
      <w:r>
        <w:rPr>
          <w:rFonts w:ascii="Palatino Linotype" w:hAnsi="Palatino Linotype"/>
          <w:szCs w:val="26"/>
        </w:rPr>
        <w:t>threshold</w:t>
      </w:r>
      <w:r w:rsidR="000171B3">
        <w:rPr>
          <w:rFonts w:ascii="Palatino Linotype" w:hAnsi="Palatino Linotype"/>
          <w:szCs w:val="26"/>
        </w:rPr>
        <w:t xml:space="preserve"> described more fully below</w:t>
      </w:r>
      <w:r>
        <w:rPr>
          <w:rFonts w:ascii="Palatino Linotype" w:hAnsi="Palatino Linotype"/>
          <w:szCs w:val="26"/>
        </w:rPr>
        <w:t>.</w:t>
      </w:r>
      <w:r w:rsidR="004F1E50">
        <w:rPr>
          <w:rFonts w:ascii="Palatino Linotype" w:hAnsi="Palatino Linotype"/>
          <w:szCs w:val="26"/>
        </w:rPr>
        <w:t xml:space="preserve"> This resolution does not establish preceden</w:t>
      </w:r>
      <w:r w:rsidR="00771478">
        <w:rPr>
          <w:rFonts w:ascii="Palatino Linotype" w:hAnsi="Palatino Linotype"/>
          <w:szCs w:val="26"/>
        </w:rPr>
        <w:t>t</w:t>
      </w:r>
      <w:r w:rsidR="004F1E50">
        <w:rPr>
          <w:rFonts w:ascii="Palatino Linotype" w:hAnsi="Palatino Linotype"/>
          <w:szCs w:val="26"/>
        </w:rPr>
        <w:t xml:space="preserve"> in any other proceeding.</w:t>
      </w:r>
    </w:p>
    <w:p w:rsidR="009F4CBB" w:rsidRPr="00FF27A8" w:rsidRDefault="009F4CBB" w:rsidP="004F1E50">
      <w:pPr>
        <w:spacing w:before="240" w:after="240"/>
        <w:rPr>
          <w:rFonts w:ascii="Palatino Linotype" w:hAnsi="Palatino Linotype"/>
          <w:szCs w:val="26"/>
        </w:rPr>
      </w:pPr>
      <w:r>
        <w:rPr>
          <w:rFonts w:ascii="Palatino Linotype" w:hAnsi="Palatino Linotype"/>
          <w:szCs w:val="26"/>
        </w:rPr>
        <w:t xml:space="preserve">In order to be eligible for this exemption, a customer who was previously an LCE customer would have to have served its 12-month stay requirement before being eligible to once again return to LCE. </w:t>
      </w:r>
      <w:r>
        <w:rPr>
          <w:rFonts w:ascii="Palatino Linotype" w:hAnsi="Palatino Linotype"/>
          <w:i/>
          <w:szCs w:val="26"/>
        </w:rPr>
        <w:t xml:space="preserve">See </w:t>
      </w:r>
      <w:r>
        <w:rPr>
          <w:rFonts w:ascii="Palatino Linotype" w:hAnsi="Palatino Linotype"/>
          <w:szCs w:val="26"/>
        </w:rPr>
        <w:t>SCE Electric Rule 23 L.3.a. For a customer making the switch to LCE for the first time, there is no 12-month stay requirement.</w:t>
      </w:r>
    </w:p>
    <w:p w:rsidR="00893484" w:rsidRDefault="00893484" w:rsidP="003D3A18">
      <w:pPr>
        <w:pStyle w:val="Heading1"/>
      </w:pPr>
      <w:r>
        <w:t>Background</w:t>
      </w:r>
    </w:p>
    <w:p w:rsidR="007F06AA" w:rsidRPr="007F06AA" w:rsidRDefault="007F06AA" w:rsidP="007F06AA">
      <w:pPr>
        <w:spacing w:before="240" w:after="240"/>
        <w:rPr>
          <w:rFonts w:ascii="Palatino Linotype" w:hAnsi="Palatino Linotype"/>
          <w:b/>
          <w:szCs w:val="26"/>
        </w:rPr>
      </w:pPr>
      <w:r w:rsidRPr="007F06AA">
        <w:rPr>
          <w:rFonts w:ascii="Palatino Linotype" w:hAnsi="Palatino Linotype"/>
          <w:b/>
          <w:szCs w:val="26"/>
        </w:rPr>
        <w:t>A deviation from an approved tariff requires Resolution.</w:t>
      </w:r>
    </w:p>
    <w:p w:rsidR="007F06AA" w:rsidRPr="001D5AFA" w:rsidRDefault="007F06AA" w:rsidP="007F06AA">
      <w:pPr>
        <w:spacing w:before="240" w:after="240"/>
        <w:rPr>
          <w:rFonts w:ascii="Palatino Linotype" w:hAnsi="Palatino Linotype"/>
          <w:szCs w:val="26"/>
        </w:rPr>
      </w:pPr>
      <w:r>
        <w:rPr>
          <w:rFonts w:ascii="Palatino Linotype" w:hAnsi="Palatino Linotype"/>
          <w:szCs w:val="26"/>
        </w:rPr>
        <w:t>Pursuant to G.O. 96-B, Electric Industry Rule 8.5.6, “</w:t>
      </w:r>
      <w:r w:rsidRPr="00627F30">
        <w:rPr>
          <w:rFonts w:ascii="Palatino Linotype" w:hAnsi="Palatino Linotype"/>
          <w:szCs w:val="26"/>
        </w:rPr>
        <w:t>each utility shall compile and publish in its tariffs a list of all contracts and other deviations under which the utility provides service at rates or under conditions other than those contained in its tariffs then in effect.”</w:t>
      </w:r>
      <w:r>
        <w:rPr>
          <w:rFonts w:ascii="Palatino Linotype" w:hAnsi="Palatino Linotype"/>
          <w:szCs w:val="26"/>
        </w:rPr>
        <w:t xml:space="preserve"> Furthermore, pursuant to G.O. 96-B, Electric Industry Rule 5.3 (5), </w:t>
      </w:r>
      <w:r w:rsidR="000171B3">
        <w:rPr>
          <w:rFonts w:ascii="Palatino Linotype" w:hAnsi="Palatino Linotype"/>
          <w:szCs w:val="26"/>
        </w:rPr>
        <w:t xml:space="preserve">states that </w:t>
      </w:r>
      <w:r w:rsidRPr="00627F30">
        <w:rPr>
          <w:rFonts w:ascii="Palatino Linotype" w:hAnsi="Palatino Linotype"/>
          <w:szCs w:val="26"/>
        </w:rPr>
        <w:t xml:space="preserve">a </w:t>
      </w:r>
      <w:r>
        <w:rPr>
          <w:rFonts w:ascii="Palatino Linotype" w:hAnsi="Palatino Linotype"/>
          <w:szCs w:val="26"/>
        </w:rPr>
        <w:t>“[c]</w:t>
      </w:r>
      <w:proofErr w:type="spellStart"/>
      <w:r w:rsidRPr="00627F30">
        <w:rPr>
          <w:rFonts w:ascii="Palatino Linotype" w:hAnsi="Palatino Linotype"/>
          <w:szCs w:val="26"/>
        </w:rPr>
        <w:t>ontract</w:t>
      </w:r>
      <w:proofErr w:type="spellEnd"/>
      <w:r w:rsidRPr="00627F30">
        <w:rPr>
          <w:rFonts w:ascii="Palatino Linotype" w:hAnsi="Palatino Linotype"/>
          <w:szCs w:val="26"/>
        </w:rPr>
        <w:t xml:space="preserve"> or other deviation” is appropriate for a Tier 3 Advice Letter and therefore, requires Resolution.</w:t>
      </w:r>
    </w:p>
    <w:p w:rsidR="00893484" w:rsidRPr="001D5AFA" w:rsidRDefault="001D5AFA" w:rsidP="00CA59D4">
      <w:pPr>
        <w:spacing w:before="240"/>
        <w:rPr>
          <w:rFonts w:ascii="Palatino Linotype" w:hAnsi="Palatino Linotype"/>
          <w:b/>
        </w:rPr>
      </w:pPr>
      <w:r w:rsidRPr="001D5AFA">
        <w:rPr>
          <w:rFonts w:ascii="Palatino Linotype" w:hAnsi="Palatino Linotype"/>
          <w:b/>
        </w:rPr>
        <w:t xml:space="preserve">SCE’s Rule 23 requires bundled </w:t>
      </w:r>
      <w:r w:rsidR="0094231A">
        <w:rPr>
          <w:rFonts w:ascii="Palatino Linotype" w:hAnsi="Palatino Linotype"/>
          <w:b/>
        </w:rPr>
        <w:t xml:space="preserve">residential </w:t>
      </w:r>
      <w:r w:rsidRPr="001D5AFA">
        <w:rPr>
          <w:rFonts w:ascii="Palatino Linotype" w:hAnsi="Palatino Linotype"/>
          <w:b/>
        </w:rPr>
        <w:t>customers who wish to transfer to a CCA to give six months’ notice</w:t>
      </w:r>
      <w:r w:rsidR="00C02E16">
        <w:rPr>
          <w:rFonts w:ascii="Palatino Linotype" w:hAnsi="Palatino Linotype"/>
          <w:b/>
        </w:rPr>
        <w:t xml:space="preserve"> to SCE</w:t>
      </w:r>
      <w:r w:rsidRPr="001D5AFA">
        <w:rPr>
          <w:rFonts w:ascii="Palatino Linotype" w:hAnsi="Palatino Linotype"/>
          <w:b/>
        </w:rPr>
        <w:t xml:space="preserve"> and fill out a standard form</w:t>
      </w:r>
      <w:r w:rsidR="006403B8" w:rsidRPr="001D5AFA">
        <w:rPr>
          <w:rFonts w:ascii="Palatino Linotype" w:hAnsi="Palatino Linotype"/>
          <w:b/>
        </w:rPr>
        <w:t>.</w:t>
      </w:r>
      <w:r w:rsidRPr="001D5AFA">
        <w:rPr>
          <w:rFonts w:ascii="Palatino Linotype" w:hAnsi="Palatino Linotype"/>
          <w:b/>
        </w:rPr>
        <w:t xml:space="preserve"> </w:t>
      </w:r>
    </w:p>
    <w:p w:rsidR="001D5AFA" w:rsidRDefault="001D5AFA" w:rsidP="001D5AFA">
      <w:pPr>
        <w:spacing w:before="240" w:after="240"/>
        <w:rPr>
          <w:rFonts w:ascii="Palatino Linotype" w:hAnsi="Palatino Linotype"/>
          <w:szCs w:val="26"/>
        </w:rPr>
      </w:pPr>
      <w:r w:rsidRPr="001D5AFA">
        <w:rPr>
          <w:rFonts w:ascii="Palatino Linotype" w:hAnsi="Palatino Linotype"/>
          <w:szCs w:val="26"/>
        </w:rPr>
        <w:lastRenderedPageBreak/>
        <w:t xml:space="preserve">Decision </w:t>
      </w:r>
      <w:r>
        <w:rPr>
          <w:rFonts w:ascii="Palatino Linotype" w:hAnsi="Palatino Linotype"/>
          <w:szCs w:val="26"/>
        </w:rPr>
        <w:t xml:space="preserve">(D.) </w:t>
      </w:r>
      <w:r w:rsidRPr="001D5AFA">
        <w:rPr>
          <w:rFonts w:ascii="Palatino Linotype" w:hAnsi="Palatino Linotype"/>
          <w:szCs w:val="26"/>
        </w:rPr>
        <w:t xml:space="preserve">05-12-041 required </w:t>
      </w:r>
      <w:r>
        <w:rPr>
          <w:rFonts w:ascii="Palatino Linotype" w:hAnsi="Palatino Linotype"/>
          <w:szCs w:val="26"/>
        </w:rPr>
        <w:t>electrical corporation</w:t>
      </w:r>
      <w:r w:rsidR="009A082C">
        <w:rPr>
          <w:rFonts w:ascii="Palatino Linotype" w:hAnsi="Palatino Linotype"/>
          <w:szCs w:val="26"/>
        </w:rPr>
        <w:t>s</w:t>
      </w:r>
      <w:r w:rsidRPr="001D5AFA">
        <w:rPr>
          <w:rFonts w:ascii="Palatino Linotype" w:hAnsi="Palatino Linotype"/>
          <w:szCs w:val="26"/>
        </w:rPr>
        <w:t xml:space="preserve"> to develop CCA tariffs</w:t>
      </w:r>
      <w:r>
        <w:rPr>
          <w:rFonts w:ascii="Palatino Linotype" w:hAnsi="Palatino Linotype"/>
          <w:szCs w:val="26"/>
        </w:rPr>
        <w:t>.</w:t>
      </w:r>
      <w:r w:rsidRPr="001D5AFA">
        <w:rPr>
          <w:rFonts w:ascii="Palatino Linotype" w:hAnsi="Palatino Linotype"/>
          <w:szCs w:val="26"/>
        </w:rPr>
        <w:t xml:space="preserve"> SCE</w:t>
      </w:r>
      <w:r>
        <w:rPr>
          <w:rFonts w:ascii="Palatino Linotype" w:hAnsi="Palatino Linotype"/>
          <w:szCs w:val="26"/>
        </w:rPr>
        <w:t xml:space="preserve"> filed A.L. </w:t>
      </w:r>
      <w:r w:rsidRPr="001D5AFA">
        <w:rPr>
          <w:rFonts w:ascii="Palatino Linotype" w:hAnsi="Palatino Linotype"/>
          <w:szCs w:val="26"/>
        </w:rPr>
        <w:t>1965-E</w:t>
      </w:r>
      <w:r>
        <w:rPr>
          <w:rFonts w:ascii="Palatino Linotype" w:hAnsi="Palatino Linotype"/>
          <w:szCs w:val="26"/>
        </w:rPr>
        <w:t xml:space="preserve"> to comply. This in</w:t>
      </w:r>
      <w:r w:rsidRPr="001D5AFA">
        <w:rPr>
          <w:rFonts w:ascii="Palatino Linotype" w:hAnsi="Palatino Linotype"/>
          <w:szCs w:val="26"/>
        </w:rPr>
        <w:t>clud</w:t>
      </w:r>
      <w:r>
        <w:rPr>
          <w:rFonts w:ascii="Palatino Linotype" w:hAnsi="Palatino Linotype"/>
          <w:szCs w:val="26"/>
        </w:rPr>
        <w:t xml:space="preserve">ed the current </w:t>
      </w:r>
      <w:r w:rsidRPr="001D5AFA">
        <w:rPr>
          <w:rFonts w:ascii="Palatino Linotype" w:hAnsi="Palatino Linotype"/>
          <w:szCs w:val="26"/>
        </w:rPr>
        <w:t>Rule 23</w:t>
      </w:r>
      <w:r>
        <w:rPr>
          <w:rFonts w:ascii="Palatino Linotype" w:hAnsi="Palatino Linotype"/>
          <w:szCs w:val="26"/>
        </w:rPr>
        <w:t xml:space="preserve"> and was approved by</w:t>
      </w:r>
      <w:r w:rsidRPr="001D5AFA">
        <w:rPr>
          <w:rFonts w:ascii="Palatino Linotype" w:hAnsi="Palatino Linotype"/>
          <w:szCs w:val="26"/>
        </w:rPr>
        <w:t xml:space="preserve"> Resolution E-4013</w:t>
      </w:r>
      <w:r>
        <w:rPr>
          <w:rFonts w:ascii="Palatino Linotype" w:hAnsi="Palatino Linotype"/>
          <w:szCs w:val="26"/>
        </w:rPr>
        <w:t xml:space="preserve">. </w:t>
      </w:r>
      <w:r w:rsidR="0094231A">
        <w:rPr>
          <w:rFonts w:ascii="Palatino Linotype" w:hAnsi="Palatino Linotype"/>
          <w:szCs w:val="26"/>
        </w:rPr>
        <w:t>The current Rule 23</w:t>
      </w:r>
      <w:r w:rsidR="003F1626">
        <w:rPr>
          <w:rFonts w:ascii="Palatino Linotype" w:hAnsi="Palatino Linotype"/>
          <w:szCs w:val="26"/>
        </w:rPr>
        <w:t xml:space="preserve"> L.4.a</w:t>
      </w:r>
      <w:r w:rsidR="00B01996">
        <w:rPr>
          <w:rFonts w:ascii="Palatino Linotype" w:hAnsi="Palatino Linotype"/>
          <w:szCs w:val="26"/>
        </w:rPr>
        <w:t>.</w:t>
      </w:r>
      <w:r w:rsidR="0094231A">
        <w:rPr>
          <w:rFonts w:ascii="Palatino Linotype" w:hAnsi="Palatino Linotype"/>
          <w:szCs w:val="26"/>
        </w:rPr>
        <w:t xml:space="preserve"> </w:t>
      </w:r>
      <w:proofErr w:type="gramStart"/>
      <w:r w:rsidR="0094231A">
        <w:rPr>
          <w:rFonts w:ascii="Palatino Linotype" w:hAnsi="Palatino Linotype"/>
          <w:szCs w:val="26"/>
        </w:rPr>
        <w:t>requires</w:t>
      </w:r>
      <w:proofErr w:type="gramEnd"/>
      <w:r w:rsidR="0094231A">
        <w:rPr>
          <w:rFonts w:ascii="Palatino Linotype" w:hAnsi="Palatino Linotype"/>
          <w:szCs w:val="26"/>
        </w:rPr>
        <w:t xml:space="preserve"> both residential and non-residential customers to give SCE six months’ notice </w:t>
      </w:r>
      <w:r w:rsidR="0094231A" w:rsidRPr="00E704DB">
        <w:rPr>
          <w:rFonts w:ascii="Palatino Linotype" w:hAnsi="Palatino Linotype"/>
          <w:szCs w:val="26"/>
        </w:rPr>
        <w:t xml:space="preserve">and fill out standard </w:t>
      </w:r>
      <w:r w:rsidR="00B01996">
        <w:rPr>
          <w:rFonts w:ascii="Palatino Linotype" w:hAnsi="Palatino Linotype"/>
          <w:szCs w:val="26"/>
        </w:rPr>
        <w:t>F</w:t>
      </w:r>
      <w:r w:rsidR="0094231A" w:rsidRPr="00E704DB">
        <w:rPr>
          <w:rFonts w:ascii="Palatino Linotype" w:hAnsi="Palatino Linotype"/>
          <w:szCs w:val="26"/>
        </w:rPr>
        <w:t>orm 14-954</w:t>
      </w:r>
      <w:r w:rsidR="0094231A">
        <w:rPr>
          <w:rFonts w:ascii="Palatino Linotype" w:hAnsi="Palatino Linotype"/>
          <w:szCs w:val="26"/>
        </w:rPr>
        <w:t xml:space="preserve"> to transfer from SCE to a CCA outside of the </w:t>
      </w:r>
      <w:r w:rsidR="00C02E16">
        <w:rPr>
          <w:rFonts w:ascii="Palatino Linotype" w:hAnsi="Palatino Linotype"/>
          <w:szCs w:val="26"/>
        </w:rPr>
        <w:t>a</w:t>
      </w:r>
      <w:r w:rsidR="0094231A">
        <w:rPr>
          <w:rFonts w:ascii="Palatino Linotype" w:hAnsi="Palatino Linotype"/>
          <w:szCs w:val="26"/>
        </w:rPr>
        <w:t xml:space="preserve">utomatic </w:t>
      </w:r>
      <w:r w:rsidR="00C02E16">
        <w:rPr>
          <w:rFonts w:ascii="Palatino Linotype" w:hAnsi="Palatino Linotype"/>
          <w:szCs w:val="26"/>
        </w:rPr>
        <w:t>e</w:t>
      </w:r>
      <w:r w:rsidR="0094231A">
        <w:rPr>
          <w:rFonts w:ascii="Palatino Linotype" w:hAnsi="Palatino Linotype"/>
          <w:szCs w:val="26"/>
        </w:rPr>
        <w:t xml:space="preserve">nrollment </w:t>
      </w:r>
      <w:r w:rsidR="00C02E16">
        <w:rPr>
          <w:rFonts w:ascii="Palatino Linotype" w:hAnsi="Palatino Linotype"/>
          <w:szCs w:val="26"/>
        </w:rPr>
        <w:t>p</w:t>
      </w:r>
      <w:r w:rsidR="0094231A">
        <w:rPr>
          <w:rFonts w:ascii="Palatino Linotype" w:hAnsi="Palatino Linotype"/>
          <w:szCs w:val="26"/>
        </w:rPr>
        <w:t>eriod.</w:t>
      </w:r>
    </w:p>
    <w:p w:rsidR="0094231A" w:rsidRPr="001D5AFA" w:rsidRDefault="0094231A" w:rsidP="00CC226B">
      <w:pPr>
        <w:keepNext/>
        <w:spacing w:before="240"/>
        <w:rPr>
          <w:rFonts w:ascii="Palatino Linotype" w:hAnsi="Palatino Linotype"/>
          <w:b/>
        </w:rPr>
      </w:pPr>
      <w:r>
        <w:rPr>
          <w:rFonts w:ascii="Palatino Linotype" w:hAnsi="Palatino Linotype"/>
          <w:b/>
        </w:rPr>
        <w:t xml:space="preserve">LCE and SCE </w:t>
      </w:r>
      <w:bookmarkStart w:id="1" w:name="_GoBack"/>
      <w:bookmarkEnd w:id="1"/>
      <w:r>
        <w:rPr>
          <w:rFonts w:ascii="Palatino Linotype" w:hAnsi="Palatino Linotype"/>
          <w:b/>
        </w:rPr>
        <w:t>have negotiated</w:t>
      </w:r>
      <w:r w:rsidR="007F06AA">
        <w:rPr>
          <w:rFonts w:ascii="Palatino Linotype" w:hAnsi="Palatino Linotype"/>
          <w:b/>
        </w:rPr>
        <w:t>,</w:t>
      </w:r>
      <w:r>
        <w:rPr>
          <w:rFonts w:ascii="Palatino Linotype" w:hAnsi="Palatino Linotype"/>
          <w:b/>
        </w:rPr>
        <w:t xml:space="preserve"> in good faith</w:t>
      </w:r>
      <w:r w:rsidR="007F06AA">
        <w:rPr>
          <w:rFonts w:ascii="Palatino Linotype" w:hAnsi="Palatino Linotype"/>
          <w:b/>
        </w:rPr>
        <w:t>,</w:t>
      </w:r>
      <w:r>
        <w:rPr>
          <w:rFonts w:ascii="Palatino Linotype" w:hAnsi="Palatino Linotype"/>
          <w:b/>
        </w:rPr>
        <w:t xml:space="preserve"> an exception to </w:t>
      </w:r>
      <w:r w:rsidR="007F06AA">
        <w:rPr>
          <w:rFonts w:ascii="Palatino Linotype" w:hAnsi="Palatino Linotype"/>
          <w:b/>
        </w:rPr>
        <w:t>the general notice requirements</w:t>
      </w:r>
      <w:r>
        <w:rPr>
          <w:rFonts w:ascii="Palatino Linotype" w:hAnsi="Palatino Linotype"/>
          <w:b/>
        </w:rPr>
        <w:t>.</w:t>
      </w:r>
    </w:p>
    <w:p w:rsidR="0094231A" w:rsidRDefault="0094231A" w:rsidP="001D5AFA">
      <w:pPr>
        <w:spacing w:before="240" w:after="240"/>
        <w:rPr>
          <w:rFonts w:ascii="Palatino Linotype" w:hAnsi="Palatino Linotype"/>
          <w:szCs w:val="26"/>
        </w:rPr>
      </w:pPr>
      <w:r>
        <w:rPr>
          <w:rFonts w:ascii="Palatino Linotype" w:hAnsi="Palatino Linotype"/>
          <w:szCs w:val="26"/>
        </w:rPr>
        <w:t>Under the proposed protocol LCE will submit to SCE a CCA Service Request (CCASR) on behalf of a residential customer who wishes to transfer to LCE</w:t>
      </w:r>
      <w:r w:rsidR="00B01996">
        <w:rPr>
          <w:rFonts w:ascii="Palatino Linotype" w:hAnsi="Palatino Linotype"/>
          <w:szCs w:val="26"/>
        </w:rPr>
        <w:t xml:space="preserve"> outside of the automatic enrollment period</w:t>
      </w:r>
      <w:r>
        <w:rPr>
          <w:rFonts w:ascii="Palatino Linotype" w:hAnsi="Palatino Linotype"/>
          <w:szCs w:val="26"/>
        </w:rPr>
        <w:t xml:space="preserve">. The residential customer will not be required to fill out </w:t>
      </w:r>
      <w:r w:rsidR="00B01996">
        <w:rPr>
          <w:rFonts w:ascii="Palatino Linotype" w:hAnsi="Palatino Linotype"/>
          <w:szCs w:val="26"/>
        </w:rPr>
        <w:t>F</w:t>
      </w:r>
      <w:r>
        <w:rPr>
          <w:rFonts w:ascii="Palatino Linotype" w:hAnsi="Palatino Linotype"/>
          <w:szCs w:val="26"/>
        </w:rPr>
        <w:t xml:space="preserve">orm 14-954. SCE and LCE will </w:t>
      </w:r>
      <w:r w:rsidR="00B01996">
        <w:rPr>
          <w:rFonts w:ascii="Palatino Linotype" w:hAnsi="Palatino Linotype"/>
          <w:szCs w:val="26"/>
        </w:rPr>
        <w:t xml:space="preserve">then </w:t>
      </w:r>
      <w:r>
        <w:rPr>
          <w:rFonts w:ascii="Palatino Linotype" w:hAnsi="Palatino Linotype"/>
          <w:szCs w:val="26"/>
        </w:rPr>
        <w:t xml:space="preserve">cooperate in good faith to implement an exception process for customers seeking to transfer to LCE outside of the </w:t>
      </w:r>
      <w:r w:rsidR="00B01996">
        <w:rPr>
          <w:rFonts w:ascii="Palatino Linotype" w:hAnsi="Palatino Linotype"/>
          <w:szCs w:val="26"/>
        </w:rPr>
        <w:t>a</w:t>
      </w:r>
      <w:r>
        <w:rPr>
          <w:rFonts w:ascii="Palatino Linotype" w:hAnsi="Palatino Linotype"/>
          <w:szCs w:val="26"/>
        </w:rPr>
        <w:t xml:space="preserve">utomatic </w:t>
      </w:r>
      <w:r w:rsidR="00B01996">
        <w:rPr>
          <w:rFonts w:ascii="Palatino Linotype" w:hAnsi="Palatino Linotype"/>
          <w:szCs w:val="26"/>
        </w:rPr>
        <w:t>e</w:t>
      </w:r>
      <w:r>
        <w:rPr>
          <w:rFonts w:ascii="Palatino Linotype" w:hAnsi="Palatino Linotype"/>
          <w:szCs w:val="26"/>
        </w:rPr>
        <w:t xml:space="preserve">nrollment </w:t>
      </w:r>
      <w:r w:rsidR="00B01996">
        <w:rPr>
          <w:rFonts w:ascii="Palatino Linotype" w:hAnsi="Palatino Linotype"/>
          <w:szCs w:val="26"/>
        </w:rPr>
        <w:t>p</w:t>
      </w:r>
      <w:r>
        <w:rPr>
          <w:rFonts w:ascii="Palatino Linotype" w:hAnsi="Palatino Linotype"/>
          <w:szCs w:val="26"/>
        </w:rPr>
        <w:t>eriod., with the expectation that the exception process will involve a</w:t>
      </w:r>
      <w:r w:rsidRPr="0094231A">
        <w:rPr>
          <w:rFonts w:ascii="Palatino Linotype" w:hAnsi="Palatino Linotype"/>
          <w:i/>
          <w:szCs w:val="26"/>
        </w:rPr>
        <w:t xml:space="preserve"> de minimis</w:t>
      </w:r>
      <w:r>
        <w:rPr>
          <w:rFonts w:ascii="Arial" w:hAnsi="Arial" w:cs="Arial"/>
          <w:color w:val="222222"/>
          <w:lang w:val="en"/>
        </w:rPr>
        <w:t xml:space="preserve"> </w:t>
      </w:r>
      <w:r>
        <w:rPr>
          <w:rFonts w:ascii="Palatino Linotype" w:hAnsi="Palatino Linotype"/>
          <w:szCs w:val="26"/>
        </w:rPr>
        <w:t xml:space="preserve">number of customers and LCE’s transfer would occur as soon as reasonably practicable following LCE’s request. </w:t>
      </w:r>
    </w:p>
    <w:p w:rsidR="0094231A" w:rsidRDefault="0094231A" w:rsidP="00B01996">
      <w:pPr>
        <w:rPr>
          <w:rFonts w:ascii="Palatino Linotype" w:hAnsi="Palatino Linotype"/>
          <w:szCs w:val="26"/>
        </w:rPr>
      </w:pPr>
      <w:r>
        <w:rPr>
          <w:rFonts w:ascii="Palatino Linotype" w:hAnsi="Palatino Linotype"/>
          <w:szCs w:val="26"/>
        </w:rPr>
        <w:t xml:space="preserve">A non-residential customer wishing to transfer from SCE to LCE will still have to </w:t>
      </w:r>
      <w:r w:rsidRPr="00B01996">
        <w:t>fill</w:t>
      </w:r>
      <w:r>
        <w:rPr>
          <w:rFonts w:ascii="Palatino Linotype" w:hAnsi="Palatino Linotype"/>
          <w:szCs w:val="26"/>
        </w:rPr>
        <w:t xml:space="preserve"> out this form and give six months’ notice.</w:t>
      </w:r>
    </w:p>
    <w:p w:rsidR="00B01996" w:rsidRDefault="00B01996" w:rsidP="00B01996">
      <w:pPr>
        <w:rPr>
          <w:rFonts w:ascii="Palatino Linotype" w:hAnsi="Palatino Linotype"/>
          <w:szCs w:val="26"/>
        </w:rPr>
      </w:pPr>
    </w:p>
    <w:p w:rsidR="00893484" w:rsidRDefault="00893484" w:rsidP="00893484">
      <w:pPr>
        <w:pStyle w:val="Heading1"/>
      </w:pPr>
      <w:r>
        <w:t xml:space="preserve">Notice </w:t>
      </w:r>
    </w:p>
    <w:p w:rsidR="00893484" w:rsidRPr="00085FE1" w:rsidRDefault="00893484" w:rsidP="00085FE1">
      <w:pPr>
        <w:spacing w:before="240"/>
        <w:rPr>
          <w:rFonts w:ascii="Palatino Linotype" w:hAnsi="Palatino Linotype"/>
          <w:szCs w:val="26"/>
        </w:rPr>
      </w:pPr>
      <w:r w:rsidRPr="00085FE1">
        <w:rPr>
          <w:rFonts w:ascii="Palatino Linotype" w:hAnsi="Palatino Linotype"/>
          <w:szCs w:val="26"/>
        </w:rPr>
        <w:t xml:space="preserve">Notice of A.L. </w:t>
      </w:r>
      <w:r w:rsidR="00792455">
        <w:rPr>
          <w:rFonts w:ascii="Palatino Linotype" w:hAnsi="Palatino Linotype"/>
          <w:szCs w:val="26"/>
        </w:rPr>
        <w:t>3364-E</w:t>
      </w:r>
      <w:r w:rsidRPr="00085FE1">
        <w:rPr>
          <w:rFonts w:ascii="Palatino Linotype" w:hAnsi="Palatino Linotype"/>
          <w:szCs w:val="26"/>
        </w:rPr>
        <w:t xml:space="preserve"> was made by publication in the Commission’s Daily Calendar.  </w:t>
      </w:r>
      <w:r w:rsidR="00792455">
        <w:rPr>
          <w:rFonts w:ascii="Palatino Linotype" w:hAnsi="Palatino Linotype"/>
          <w:szCs w:val="26"/>
        </w:rPr>
        <w:t>SCE</w:t>
      </w:r>
      <w:r w:rsidRPr="00085FE1">
        <w:rPr>
          <w:rFonts w:ascii="Palatino Linotype" w:hAnsi="Palatino Linotype"/>
          <w:szCs w:val="26"/>
        </w:rPr>
        <w:t xml:space="preserve"> states that a copy of the Advice Letter was mailed and distributed in accordance with Section 4 of General Order 96-B. </w:t>
      </w:r>
    </w:p>
    <w:p w:rsidR="00893484" w:rsidRDefault="00893484" w:rsidP="00893484"/>
    <w:p w:rsidR="00893484" w:rsidRDefault="00893484" w:rsidP="00893484">
      <w:pPr>
        <w:pStyle w:val="Heading1"/>
      </w:pPr>
      <w:r>
        <w:t>Protests</w:t>
      </w:r>
    </w:p>
    <w:p w:rsidR="00893484" w:rsidRDefault="00893484" w:rsidP="00FB0A96">
      <w:pPr>
        <w:spacing w:before="240"/>
        <w:rPr>
          <w:rFonts w:ascii="Palatino Linotype" w:hAnsi="Palatino Linotype"/>
          <w:szCs w:val="26"/>
        </w:rPr>
      </w:pPr>
      <w:r w:rsidRPr="00FB0A96">
        <w:rPr>
          <w:rFonts w:ascii="Palatino Linotype" w:hAnsi="Palatino Linotype"/>
          <w:szCs w:val="26"/>
        </w:rPr>
        <w:t xml:space="preserve">Advice Letter </w:t>
      </w:r>
      <w:r w:rsidR="00792455">
        <w:rPr>
          <w:rFonts w:ascii="Palatino Linotype" w:hAnsi="Palatino Linotype"/>
          <w:szCs w:val="26"/>
        </w:rPr>
        <w:t>3364-E</w:t>
      </w:r>
      <w:r w:rsidRPr="00FB0A96">
        <w:rPr>
          <w:rFonts w:ascii="Palatino Linotype" w:hAnsi="Palatino Linotype"/>
          <w:szCs w:val="26"/>
        </w:rPr>
        <w:t xml:space="preserve"> was</w:t>
      </w:r>
      <w:r w:rsidR="00EC6897">
        <w:rPr>
          <w:rFonts w:ascii="Palatino Linotype" w:hAnsi="Palatino Linotype"/>
          <w:szCs w:val="26"/>
        </w:rPr>
        <w:t xml:space="preserve"> not</w:t>
      </w:r>
      <w:r w:rsidRPr="00FB0A96">
        <w:rPr>
          <w:rFonts w:ascii="Palatino Linotype" w:hAnsi="Palatino Linotype"/>
          <w:szCs w:val="26"/>
        </w:rPr>
        <w:t xml:space="preserve"> protested.  </w:t>
      </w:r>
    </w:p>
    <w:p w:rsidR="00EC6897" w:rsidRDefault="00EC6897" w:rsidP="00FB0A96">
      <w:pPr>
        <w:spacing w:before="240"/>
        <w:rPr>
          <w:rFonts w:ascii="Palatino Linotype" w:hAnsi="Palatino Linotype"/>
          <w:szCs w:val="26"/>
        </w:rPr>
      </w:pPr>
      <w:r>
        <w:rPr>
          <w:rFonts w:ascii="Palatino Linotype" w:hAnsi="Palatino Linotype"/>
          <w:szCs w:val="26"/>
        </w:rPr>
        <w:t xml:space="preserve">Lancaster Choice Energy filed a response in support of A.L. 3364-E on </w:t>
      </w:r>
      <w:r w:rsidR="00B14747">
        <w:rPr>
          <w:rFonts w:ascii="Palatino Linotype" w:hAnsi="Palatino Linotype"/>
          <w:szCs w:val="26"/>
        </w:rPr>
        <w:br/>
      </w:r>
      <w:r>
        <w:rPr>
          <w:rFonts w:ascii="Palatino Linotype" w:hAnsi="Palatino Linotype"/>
          <w:szCs w:val="26"/>
        </w:rPr>
        <w:t>March 3, 2016.</w:t>
      </w:r>
    </w:p>
    <w:p w:rsidR="00EC6897" w:rsidRPr="00FB0A96" w:rsidRDefault="00EC6897" w:rsidP="00FB0A96">
      <w:pPr>
        <w:spacing w:before="240"/>
        <w:rPr>
          <w:rFonts w:ascii="Palatino Linotype" w:hAnsi="Palatino Linotype"/>
          <w:szCs w:val="26"/>
        </w:rPr>
      </w:pPr>
    </w:p>
    <w:p w:rsidR="00893484" w:rsidRDefault="00893484" w:rsidP="00893484">
      <w:pPr>
        <w:pStyle w:val="Heading1"/>
      </w:pPr>
      <w:r w:rsidRPr="00073E0F">
        <w:lastRenderedPageBreak/>
        <w:t>Discussion</w:t>
      </w:r>
    </w:p>
    <w:p w:rsidR="00893484" w:rsidRDefault="00893484" w:rsidP="00893484">
      <w:pPr>
        <w:pStyle w:val="ListParagraph"/>
        <w:spacing w:before="240"/>
        <w:ind w:left="0"/>
        <w:rPr>
          <w:rFonts w:ascii="Palatino Linotype" w:hAnsi="Palatino Linotype"/>
        </w:rPr>
      </w:pPr>
      <w:r w:rsidRPr="00201B56">
        <w:rPr>
          <w:rFonts w:ascii="Palatino Linotype" w:hAnsi="Palatino Linotype"/>
        </w:rPr>
        <w:t>Energy Division has reviewed A</w:t>
      </w:r>
      <w:r>
        <w:rPr>
          <w:rFonts w:ascii="Palatino Linotype" w:hAnsi="Palatino Linotype"/>
        </w:rPr>
        <w:t>.</w:t>
      </w:r>
      <w:r w:rsidRPr="00201B56">
        <w:rPr>
          <w:rFonts w:ascii="Palatino Linotype" w:hAnsi="Palatino Linotype"/>
        </w:rPr>
        <w:t>L</w:t>
      </w:r>
      <w:r>
        <w:rPr>
          <w:rFonts w:ascii="Palatino Linotype" w:hAnsi="Palatino Linotype"/>
        </w:rPr>
        <w:t>.</w:t>
      </w:r>
      <w:r w:rsidRPr="00201B56">
        <w:rPr>
          <w:rFonts w:ascii="Palatino Linotype" w:hAnsi="Palatino Linotype"/>
        </w:rPr>
        <w:t xml:space="preserve"> </w:t>
      </w:r>
      <w:r w:rsidR="00792455">
        <w:rPr>
          <w:rFonts w:ascii="Palatino Linotype" w:hAnsi="Palatino Linotype"/>
        </w:rPr>
        <w:t>3364-E</w:t>
      </w:r>
      <w:r w:rsidR="00ED7FE1">
        <w:rPr>
          <w:rFonts w:ascii="Palatino Linotype" w:hAnsi="Palatino Linotype"/>
        </w:rPr>
        <w:t xml:space="preserve"> and</w:t>
      </w:r>
      <w:r w:rsidRPr="00201B56">
        <w:rPr>
          <w:rFonts w:ascii="Palatino Linotype" w:hAnsi="Palatino Linotype"/>
        </w:rPr>
        <w:t xml:space="preserve"> </w:t>
      </w:r>
      <w:r w:rsidR="001D5AFA">
        <w:rPr>
          <w:rFonts w:ascii="Palatino Linotype" w:hAnsi="Palatino Linotype"/>
        </w:rPr>
        <w:t>L</w:t>
      </w:r>
      <w:r w:rsidR="00792455">
        <w:rPr>
          <w:rFonts w:ascii="Palatino Linotype" w:hAnsi="Palatino Linotype"/>
        </w:rPr>
        <w:t>CE</w:t>
      </w:r>
      <w:r w:rsidR="001D5AFA">
        <w:rPr>
          <w:rFonts w:ascii="Palatino Linotype" w:hAnsi="Palatino Linotype"/>
        </w:rPr>
        <w:t>’</w:t>
      </w:r>
      <w:r w:rsidRPr="00201B56">
        <w:rPr>
          <w:rFonts w:ascii="Palatino Linotype" w:hAnsi="Palatino Linotype"/>
        </w:rPr>
        <w:t xml:space="preserve">s </w:t>
      </w:r>
      <w:r w:rsidR="00085FE1" w:rsidRPr="00BE17C7">
        <w:rPr>
          <w:rFonts w:ascii="Palatino Linotype" w:hAnsi="Palatino Linotype"/>
        </w:rPr>
        <w:t>re</w:t>
      </w:r>
      <w:r w:rsidR="001D5AFA">
        <w:rPr>
          <w:rFonts w:ascii="Palatino Linotype" w:hAnsi="Palatino Linotype"/>
        </w:rPr>
        <w:t xml:space="preserve">sponse thereto. Energy Division has also convened several phone calls with SCE and LCE to further understand the contours </w:t>
      </w:r>
      <w:r w:rsidR="009A082C">
        <w:rPr>
          <w:rFonts w:ascii="Palatino Linotype" w:hAnsi="Palatino Linotype"/>
        </w:rPr>
        <w:t xml:space="preserve">and effects </w:t>
      </w:r>
      <w:r w:rsidR="001D5AFA">
        <w:rPr>
          <w:rFonts w:ascii="Palatino Linotype" w:hAnsi="Palatino Linotype"/>
        </w:rPr>
        <w:t>of the protocol.</w:t>
      </w:r>
    </w:p>
    <w:p w:rsidR="004C1C83" w:rsidRPr="00E704DB" w:rsidRDefault="00E704DB" w:rsidP="00CC226B">
      <w:pPr>
        <w:keepNext/>
        <w:spacing w:before="240"/>
        <w:rPr>
          <w:rFonts w:ascii="Palatino Linotype" w:hAnsi="Palatino Linotype"/>
          <w:b/>
        </w:rPr>
      </w:pPr>
      <w:r w:rsidRPr="00E704DB">
        <w:rPr>
          <w:rFonts w:ascii="Palatino Linotype" w:hAnsi="Palatino Linotype"/>
          <w:b/>
        </w:rPr>
        <w:t>SCE and LCE negotiated this agreement in good faith</w:t>
      </w:r>
      <w:r w:rsidR="004C1C83" w:rsidRPr="00E704DB">
        <w:rPr>
          <w:rFonts w:ascii="Palatino Linotype" w:hAnsi="Palatino Linotype"/>
          <w:b/>
        </w:rPr>
        <w:t>.</w:t>
      </w:r>
    </w:p>
    <w:p w:rsidR="00771478" w:rsidRDefault="00E704DB" w:rsidP="00A96961">
      <w:pPr>
        <w:spacing w:before="240"/>
        <w:rPr>
          <w:rFonts w:ascii="Palatino Linotype" w:hAnsi="Palatino Linotype"/>
          <w:b/>
        </w:rPr>
      </w:pPr>
      <w:r w:rsidRPr="00E704DB">
        <w:rPr>
          <w:rFonts w:ascii="Palatino Linotype" w:hAnsi="Palatino Linotype"/>
        </w:rPr>
        <w:t xml:space="preserve">Both SCE and LCE went through numerous rounds of </w:t>
      </w:r>
      <w:r w:rsidR="00B01996">
        <w:rPr>
          <w:rFonts w:ascii="Palatino Linotype" w:hAnsi="Palatino Linotype"/>
        </w:rPr>
        <w:t xml:space="preserve">good faith </w:t>
      </w:r>
      <w:r w:rsidRPr="00E704DB">
        <w:rPr>
          <w:rFonts w:ascii="Palatino Linotype" w:hAnsi="Palatino Linotype"/>
        </w:rPr>
        <w:t>negotiation</w:t>
      </w:r>
      <w:r w:rsidR="00B01996">
        <w:rPr>
          <w:rFonts w:ascii="Palatino Linotype" w:hAnsi="Palatino Linotype"/>
        </w:rPr>
        <w:t>s</w:t>
      </w:r>
      <w:r w:rsidRPr="00E704DB">
        <w:rPr>
          <w:rFonts w:ascii="Palatino Linotype" w:hAnsi="Palatino Linotype"/>
        </w:rPr>
        <w:t xml:space="preserve"> to reach the proposed protocol which </w:t>
      </w:r>
      <w:r w:rsidR="00E15EA0">
        <w:rPr>
          <w:rFonts w:ascii="Palatino Linotype" w:hAnsi="Palatino Linotype"/>
        </w:rPr>
        <w:t>is the subject of A.L. 3364-E. LCE filed a response in support of the protocol in A.L. 3364-E.</w:t>
      </w:r>
    </w:p>
    <w:p w:rsidR="00E704DB" w:rsidRDefault="00E704DB">
      <w:pPr>
        <w:keepNext/>
        <w:spacing w:before="240"/>
        <w:rPr>
          <w:rFonts w:ascii="Palatino Linotype" w:hAnsi="Palatino Linotype"/>
          <w:b/>
        </w:rPr>
      </w:pPr>
      <w:r w:rsidRPr="00E704DB">
        <w:rPr>
          <w:rFonts w:ascii="Palatino Linotype" w:hAnsi="Palatino Linotype"/>
          <w:b/>
        </w:rPr>
        <w:t xml:space="preserve">SCE bundled ratepayers are protected from harm </w:t>
      </w:r>
      <w:r w:rsidR="00ED7FE1">
        <w:rPr>
          <w:rFonts w:ascii="Palatino Linotype" w:hAnsi="Palatino Linotype"/>
          <w:b/>
        </w:rPr>
        <w:t xml:space="preserve">because the requested exception applies only as long as the number of customers transferring is </w:t>
      </w:r>
      <w:r w:rsidRPr="00E704DB">
        <w:rPr>
          <w:rFonts w:ascii="Palatino Linotype" w:hAnsi="Palatino Linotype"/>
          <w:b/>
          <w:i/>
        </w:rPr>
        <w:t>de minimis</w:t>
      </w:r>
      <w:r w:rsidR="00ED7FE1">
        <w:rPr>
          <w:rFonts w:ascii="Palatino Linotype" w:hAnsi="Palatino Linotype"/>
          <w:b/>
          <w:i/>
        </w:rPr>
        <w:t xml:space="preserve">. </w:t>
      </w:r>
      <w:r w:rsidR="00B01996">
        <w:rPr>
          <w:rFonts w:ascii="Palatino Linotype" w:hAnsi="Palatino Linotype"/>
          <w:b/>
        </w:rPr>
        <w:t xml:space="preserve"> If future CCAs form in SCE’s territory and similarly request exemptions, SCE reserves its right to suspend the protocol.</w:t>
      </w:r>
    </w:p>
    <w:p w:rsidR="00E704DB" w:rsidRDefault="00E704DB" w:rsidP="00073E0F">
      <w:pPr>
        <w:spacing w:before="240"/>
        <w:rPr>
          <w:rFonts w:ascii="Palatino Linotype" w:hAnsi="Palatino Linotype"/>
        </w:rPr>
      </w:pPr>
      <w:r>
        <w:rPr>
          <w:rFonts w:ascii="Palatino Linotype" w:hAnsi="Palatino Linotype"/>
        </w:rPr>
        <w:t xml:space="preserve">The protocol states that the exception process can only accommodate a </w:t>
      </w:r>
      <w:r>
        <w:rPr>
          <w:rFonts w:ascii="Palatino Linotype" w:hAnsi="Palatino Linotype"/>
          <w:i/>
        </w:rPr>
        <w:t>d</w:t>
      </w:r>
      <w:r w:rsidR="00E15EA0">
        <w:rPr>
          <w:rFonts w:ascii="Palatino Linotype" w:hAnsi="Palatino Linotype"/>
          <w:i/>
        </w:rPr>
        <w:t>e</w:t>
      </w:r>
      <w:r>
        <w:rPr>
          <w:rFonts w:ascii="Palatino Linotype" w:hAnsi="Palatino Linotype"/>
          <w:i/>
        </w:rPr>
        <w:t xml:space="preserve"> minimis</w:t>
      </w:r>
      <w:r>
        <w:rPr>
          <w:rFonts w:ascii="Palatino Linotype" w:hAnsi="Palatino Linotype"/>
        </w:rPr>
        <w:t xml:space="preserve"> number of customers.</w:t>
      </w:r>
      <w:r>
        <w:rPr>
          <w:rStyle w:val="FootnoteReference"/>
          <w:rFonts w:ascii="Palatino Linotype" w:hAnsi="Palatino Linotype"/>
        </w:rPr>
        <w:footnoteReference w:id="1"/>
      </w:r>
      <w:r w:rsidR="00065B60">
        <w:rPr>
          <w:rFonts w:ascii="Palatino Linotype" w:hAnsi="Palatino Linotype"/>
        </w:rPr>
        <w:t xml:space="preserve"> If other CCA programs become operational in SCE’s service territory and request a similar exception as LCE is requesting here, and SCE determines that in the aggregate, those requests exceed the </w:t>
      </w:r>
      <w:r w:rsidR="00065B60">
        <w:rPr>
          <w:rFonts w:ascii="Palatino Linotype" w:hAnsi="Palatino Linotype"/>
          <w:i/>
        </w:rPr>
        <w:t>d</w:t>
      </w:r>
      <w:r w:rsidR="00E15EA0">
        <w:rPr>
          <w:rFonts w:ascii="Palatino Linotype" w:hAnsi="Palatino Linotype"/>
          <w:i/>
        </w:rPr>
        <w:t>e</w:t>
      </w:r>
      <w:r w:rsidR="00065B60">
        <w:rPr>
          <w:rFonts w:ascii="Palatino Linotype" w:hAnsi="Palatino Linotype"/>
          <w:i/>
        </w:rPr>
        <w:t xml:space="preserve"> minimis </w:t>
      </w:r>
      <w:proofErr w:type="gramStart"/>
      <w:r w:rsidR="00065B60">
        <w:rPr>
          <w:rFonts w:ascii="Palatino Linotype" w:hAnsi="Palatino Linotype"/>
        </w:rPr>
        <w:t>threshold,</w:t>
      </w:r>
      <w:proofErr w:type="gramEnd"/>
      <w:r w:rsidR="00065B60">
        <w:rPr>
          <w:rFonts w:ascii="Palatino Linotype" w:hAnsi="Palatino Linotype"/>
        </w:rPr>
        <w:t xml:space="preserve"> SCE can suspend the exception process.</w:t>
      </w:r>
      <w:r w:rsidR="00CE513C">
        <w:rPr>
          <w:rStyle w:val="FootnoteReference"/>
          <w:rFonts w:ascii="Palatino Linotype" w:hAnsi="Palatino Linotype"/>
        </w:rPr>
        <w:footnoteReference w:id="2"/>
      </w:r>
      <w:r w:rsidR="00065B60">
        <w:rPr>
          <w:rFonts w:ascii="Palatino Linotype" w:hAnsi="Palatino Linotype"/>
        </w:rPr>
        <w:t xml:space="preserve"> Further, SCE and LCE will cooperate in good faith to anticipate, identify, and if possible, implement measures that may allow SCE to forestall suspension of the exception process and continue to accommodate a reasonable number of additional requests.</w:t>
      </w:r>
      <w:r w:rsidR="00CE513C">
        <w:rPr>
          <w:rStyle w:val="FootnoteReference"/>
          <w:rFonts w:ascii="Palatino Linotype" w:hAnsi="Palatino Linotype"/>
        </w:rPr>
        <w:footnoteReference w:id="3"/>
      </w:r>
      <w:r w:rsidR="00E15EA0">
        <w:rPr>
          <w:rFonts w:ascii="Palatino Linotype" w:hAnsi="Palatino Linotype"/>
        </w:rPr>
        <w:t xml:space="preserve"> SCE </w:t>
      </w:r>
      <w:proofErr w:type="gramStart"/>
      <w:r w:rsidR="00E15EA0">
        <w:rPr>
          <w:rFonts w:ascii="Palatino Linotype" w:hAnsi="Palatino Linotype"/>
        </w:rPr>
        <w:t>stated</w:t>
      </w:r>
      <w:proofErr w:type="gramEnd"/>
      <w:r w:rsidR="00782946">
        <w:rPr>
          <w:rFonts w:ascii="Palatino Linotype" w:hAnsi="Palatino Linotype"/>
        </w:rPr>
        <w:t>,</w:t>
      </w:r>
      <w:r w:rsidR="00DE3259">
        <w:rPr>
          <w:rFonts w:ascii="Palatino Linotype" w:hAnsi="Palatino Linotype"/>
        </w:rPr>
        <w:t xml:space="preserve"> in a conference ca</w:t>
      </w:r>
      <w:r w:rsidR="000171B3">
        <w:rPr>
          <w:rFonts w:ascii="Palatino Linotype" w:hAnsi="Palatino Linotype"/>
        </w:rPr>
        <w:t>ll with LCE and Energy Division</w:t>
      </w:r>
      <w:r w:rsidR="00782946">
        <w:rPr>
          <w:rFonts w:ascii="Palatino Linotype" w:hAnsi="Palatino Linotype"/>
        </w:rPr>
        <w:t>,</w:t>
      </w:r>
      <w:r w:rsidR="00E15EA0">
        <w:rPr>
          <w:rFonts w:ascii="Palatino Linotype" w:hAnsi="Palatino Linotype"/>
        </w:rPr>
        <w:t xml:space="preserve"> that implementing this protocol will not negatively affect its bundled </w:t>
      </w:r>
      <w:r w:rsidR="00782946">
        <w:rPr>
          <w:rFonts w:ascii="Palatino Linotype" w:hAnsi="Palatino Linotype"/>
        </w:rPr>
        <w:t>ratepayers or power procurement planning, nor will it</w:t>
      </w:r>
      <w:r w:rsidR="00782946" w:rsidDel="00323443">
        <w:rPr>
          <w:rFonts w:ascii="Palatino Linotype" w:hAnsi="Palatino Linotype"/>
        </w:rPr>
        <w:t xml:space="preserve"> </w:t>
      </w:r>
      <w:r w:rsidR="00E15EA0">
        <w:rPr>
          <w:rFonts w:ascii="Palatino Linotype" w:hAnsi="Palatino Linotype"/>
        </w:rPr>
        <w:t>result in cost shifting.</w:t>
      </w:r>
    </w:p>
    <w:p w:rsidR="00B01996" w:rsidRDefault="00B01996" w:rsidP="00073E0F">
      <w:pPr>
        <w:spacing w:before="240"/>
        <w:rPr>
          <w:rFonts w:ascii="Palatino Linotype" w:hAnsi="Palatino Linotype"/>
        </w:rPr>
      </w:pPr>
      <w:r>
        <w:rPr>
          <w:rFonts w:ascii="Palatino Linotype" w:hAnsi="Palatino Linotype"/>
        </w:rPr>
        <w:t xml:space="preserve">In the event that </w:t>
      </w:r>
      <w:r w:rsidR="00BB171D">
        <w:rPr>
          <w:rFonts w:ascii="Palatino Linotype" w:hAnsi="Palatino Linotype"/>
        </w:rPr>
        <w:t xml:space="preserve">more </w:t>
      </w:r>
      <w:r>
        <w:rPr>
          <w:rFonts w:ascii="Palatino Linotype" w:hAnsi="Palatino Linotype"/>
        </w:rPr>
        <w:t>CCA</w:t>
      </w:r>
      <w:r w:rsidR="00BB171D">
        <w:rPr>
          <w:rFonts w:ascii="Palatino Linotype" w:hAnsi="Palatino Linotype"/>
        </w:rPr>
        <w:t>s</w:t>
      </w:r>
      <w:r>
        <w:rPr>
          <w:rFonts w:ascii="Palatino Linotype" w:hAnsi="Palatino Linotype"/>
        </w:rPr>
        <w:t xml:space="preserve"> form in SCE’s territory, nothing here would obligate SCE to agree to a similar protocol for those CCAs.</w:t>
      </w:r>
    </w:p>
    <w:p w:rsidR="004F1E50" w:rsidRDefault="004F1E50" w:rsidP="004F1E50">
      <w:pPr>
        <w:spacing w:before="240" w:after="240"/>
        <w:rPr>
          <w:rFonts w:ascii="Palatino Linotype" w:hAnsi="Palatino Linotype"/>
          <w:szCs w:val="26"/>
        </w:rPr>
      </w:pPr>
      <w:r>
        <w:rPr>
          <w:rFonts w:ascii="Palatino Linotype" w:hAnsi="Palatino Linotype"/>
        </w:rPr>
        <w:lastRenderedPageBreak/>
        <w:t xml:space="preserve">This resolution is memorializing a protocol that is creating an exception to SCE’s tariffs under very specific circumstances which accommodates a defined </w:t>
      </w:r>
      <w:r>
        <w:rPr>
          <w:rFonts w:ascii="Palatino Linotype" w:hAnsi="Palatino Linotype"/>
          <w:i/>
        </w:rPr>
        <w:t>de minimis</w:t>
      </w:r>
      <w:r>
        <w:rPr>
          <w:rFonts w:ascii="Palatino Linotype" w:hAnsi="Palatino Linotype"/>
        </w:rPr>
        <w:t xml:space="preserve"> number of customers.  SCE is waiving its otherwise applicable six month notice requirement and customer signature form for SCE customers who wish to transfer to LCE.  This exception is a result of a </w:t>
      </w:r>
      <w:r w:rsidRPr="00196C71">
        <w:rPr>
          <w:rFonts w:ascii="Palatino Linotype" w:hAnsi="Palatino Linotype"/>
        </w:rPr>
        <w:t>SCE and LCE negotiated agreement in good faith</w:t>
      </w:r>
      <w:r>
        <w:rPr>
          <w:rFonts w:ascii="Palatino Linotype" w:hAnsi="Palatino Linotype"/>
        </w:rPr>
        <w:t xml:space="preserve">. </w:t>
      </w:r>
      <w:r w:rsidRPr="00196C71">
        <w:rPr>
          <w:rFonts w:ascii="Palatino Linotype" w:hAnsi="Palatino Linotype"/>
        </w:rPr>
        <w:t xml:space="preserve"> </w:t>
      </w:r>
      <w:r>
        <w:rPr>
          <w:rFonts w:ascii="Palatino Linotype" w:hAnsi="Palatino Linotype"/>
          <w:szCs w:val="26"/>
        </w:rPr>
        <w:t>Thus, given the very unique circumstances, this resolution does not establish preceden</w:t>
      </w:r>
      <w:r w:rsidR="00771478">
        <w:rPr>
          <w:rFonts w:ascii="Palatino Linotype" w:hAnsi="Palatino Linotype"/>
          <w:szCs w:val="26"/>
        </w:rPr>
        <w:t>t</w:t>
      </w:r>
      <w:r>
        <w:rPr>
          <w:rFonts w:ascii="Palatino Linotype" w:hAnsi="Palatino Linotype"/>
          <w:szCs w:val="26"/>
        </w:rPr>
        <w:t xml:space="preserve"> in any other proceeding.</w:t>
      </w:r>
    </w:p>
    <w:p w:rsidR="00DF57A8" w:rsidRPr="00FF27A8" w:rsidRDefault="00DF57A8" w:rsidP="004F1E50">
      <w:pPr>
        <w:spacing w:before="240" w:after="240"/>
        <w:rPr>
          <w:rFonts w:ascii="Palatino Linotype" w:hAnsi="Palatino Linotype"/>
          <w:szCs w:val="26"/>
        </w:rPr>
      </w:pPr>
      <w:r>
        <w:rPr>
          <w:rFonts w:ascii="Palatino Linotype" w:hAnsi="Palatino Linotype"/>
          <w:szCs w:val="26"/>
        </w:rPr>
        <w:t>Resolution E-4730 clarified the Commission’s interpretation of the 12-month stay requirement. In order to be eligible for th</w:t>
      </w:r>
      <w:r w:rsidR="00A93CD3">
        <w:rPr>
          <w:rFonts w:ascii="Palatino Linotype" w:hAnsi="Palatino Linotype"/>
          <w:szCs w:val="26"/>
        </w:rPr>
        <w:t>e</w:t>
      </w:r>
      <w:r>
        <w:rPr>
          <w:rFonts w:ascii="Palatino Linotype" w:hAnsi="Palatino Linotype"/>
          <w:szCs w:val="26"/>
        </w:rPr>
        <w:t xml:space="preserve"> exemption</w:t>
      </w:r>
      <w:r w:rsidR="00A93CD3">
        <w:rPr>
          <w:rFonts w:ascii="Palatino Linotype" w:hAnsi="Palatino Linotype"/>
          <w:szCs w:val="26"/>
        </w:rPr>
        <w:t xml:space="preserve"> contemplated in this protocol</w:t>
      </w:r>
      <w:r>
        <w:rPr>
          <w:rFonts w:ascii="Palatino Linotype" w:hAnsi="Palatino Linotype"/>
          <w:szCs w:val="26"/>
        </w:rPr>
        <w:t xml:space="preserve">, a customer who was previously an LCE customer </w:t>
      </w:r>
      <w:r w:rsidR="00A93CD3">
        <w:rPr>
          <w:rFonts w:ascii="Palatino Linotype" w:hAnsi="Palatino Linotype"/>
          <w:szCs w:val="26"/>
        </w:rPr>
        <w:t>will have to</w:t>
      </w:r>
      <w:r>
        <w:rPr>
          <w:rFonts w:ascii="Palatino Linotype" w:hAnsi="Palatino Linotype"/>
          <w:szCs w:val="26"/>
        </w:rPr>
        <w:t xml:space="preserve"> serve its </w:t>
      </w:r>
      <w:r w:rsidR="00A93CD3">
        <w:rPr>
          <w:rFonts w:ascii="Palatino Linotype" w:hAnsi="Palatino Linotype"/>
          <w:szCs w:val="26"/>
        </w:rPr>
        <w:t>twelve</w:t>
      </w:r>
      <w:r>
        <w:rPr>
          <w:rFonts w:ascii="Palatino Linotype" w:hAnsi="Palatino Linotype"/>
          <w:szCs w:val="26"/>
        </w:rPr>
        <w:t xml:space="preserve">-month stay requirement before being eligible to once again return to LCE. </w:t>
      </w:r>
      <w:r>
        <w:rPr>
          <w:rFonts w:ascii="Palatino Linotype" w:hAnsi="Palatino Linotype"/>
          <w:i/>
          <w:szCs w:val="26"/>
        </w:rPr>
        <w:t xml:space="preserve">See </w:t>
      </w:r>
      <w:r>
        <w:rPr>
          <w:rFonts w:ascii="Palatino Linotype" w:hAnsi="Palatino Linotype"/>
          <w:szCs w:val="26"/>
        </w:rPr>
        <w:t xml:space="preserve">SCE Electric Rule 23 L.3.a. For a customer making the switch to LCE for the first time, there is no </w:t>
      </w:r>
      <w:r w:rsidR="00A93CD3">
        <w:rPr>
          <w:rFonts w:ascii="Palatino Linotype" w:hAnsi="Palatino Linotype"/>
          <w:szCs w:val="26"/>
        </w:rPr>
        <w:t>twelve</w:t>
      </w:r>
      <w:r>
        <w:rPr>
          <w:rFonts w:ascii="Palatino Linotype" w:hAnsi="Palatino Linotype"/>
          <w:szCs w:val="26"/>
        </w:rPr>
        <w:t>-month stay requirement.</w:t>
      </w:r>
    </w:p>
    <w:p w:rsidR="00893484" w:rsidRPr="002E10C2" w:rsidRDefault="00893484" w:rsidP="00893484">
      <w:pPr>
        <w:pStyle w:val="standard"/>
        <w:spacing w:line="240" w:lineRule="auto"/>
      </w:pPr>
    </w:p>
    <w:p w:rsidR="00893484" w:rsidRDefault="00893484" w:rsidP="00893484">
      <w:pPr>
        <w:pStyle w:val="Heading1"/>
        <w:spacing w:before="0"/>
      </w:pPr>
      <w:r>
        <w:t>Comments</w:t>
      </w:r>
    </w:p>
    <w:p w:rsidR="00893484" w:rsidRPr="00DA7A58" w:rsidRDefault="00893484" w:rsidP="00DE3259">
      <w:pPr>
        <w:pStyle w:val="ListParagraph"/>
        <w:spacing w:before="240" w:after="240"/>
        <w:ind w:left="0"/>
        <w:rPr>
          <w:rFonts w:ascii="Palatino Linotype" w:hAnsi="Palatino Linotype"/>
        </w:rPr>
      </w:pPr>
      <w:r w:rsidRPr="00DA7A58">
        <w:rPr>
          <w:rFonts w:ascii="Palatino Linotype" w:hAnsi="Palatino Linotype"/>
        </w:rPr>
        <w:t>Public Utilities Code section 311(g</w:t>
      </w:r>
      <w:proofErr w:type="gramStart"/>
      <w:r w:rsidRPr="00DA7A58">
        <w:rPr>
          <w:rFonts w:ascii="Palatino Linotype" w:hAnsi="Palatino Linotype"/>
        </w:rPr>
        <w:t>)(</w:t>
      </w:r>
      <w:proofErr w:type="gramEnd"/>
      <w:r w:rsidRPr="00DA7A58">
        <w:rPr>
          <w:rFonts w:ascii="Palatino Linotype" w:hAnsi="Palatino Linotype"/>
        </w:rPr>
        <w:t xml:space="preserve">1) provides that this </w:t>
      </w:r>
      <w:r w:rsidR="002D54B9">
        <w:rPr>
          <w:rFonts w:ascii="Palatino Linotype" w:hAnsi="Palatino Linotype"/>
        </w:rPr>
        <w:t>R</w:t>
      </w:r>
      <w:r w:rsidRPr="00DA7A58">
        <w:rPr>
          <w:rFonts w:ascii="Palatino Linotype" w:hAnsi="Palatino Linotype"/>
        </w:rPr>
        <w:t>esolution must be served on all parties and subject to at least 30 days public review and comment prior to a vote of the Commission.  Section 311(g</w:t>
      </w:r>
      <w:proofErr w:type="gramStart"/>
      <w:r w:rsidRPr="00DA7A58">
        <w:rPr>
          <w:rFonts w:ascii="Palatino Linotype" w:hAnsi="Palatino Linotype"/>
        </w:rPr>
        <w:t>)(</w:t>
      </w:r>
      <w:proofErr w:type="gramEnd"/>
      <w:r w:rsidRPr="00DA7A58">
        <w:rPr>
          <w:rFonts w:ascii="Palatino Linotype" w:hAnsi="Palatino Linotype"/>
        </w:rPr>
        <w:t xml:space="preserve">2) provides that this 30-day period may be reduced or waived upon the stipulation of all parties in the proceeding.  </w:t>
      </w:r>
    </w:p>
    <w:p w:rsidR="00DE3259" w:rsidRDefault="00DE3259" w:rsidP="00DA7A58">
      <w:pPr>
        <w:pStyle w:val="ListParagraph"/>
        <w:spacing w:before="240"/>
        <w:ind w:left="0"/>
        <w:rPr>
          <w:rFonts w:ascii="Palatino Linotype" w:hAnsi="Palatino Linotype"/>
        </w:rPr>
      </w:pPr>
    </w:p>
    <w:p w:rsidR="00893484" w:rsidRPr="00DA7A58" w:rsidRDefault="00893484" w:rsidP="00DA7A58">
      <w:pPr>
        <w:pStyle w:val="ListParagraph"/>
        <w:spacing w:before="240"/>
        <w:ind w:left="0"/>
        <w:rPr>
          <w:rFonts w:ascii="Palatino Linotype" w:hAnsi="Palatino Linotype"/>
        </w:rPr>
      </w:pPr>
      <w:r w:rsidRPr="00DA7A58">
        <w:rPr>
          <w:rFonts w:ascii="Palatino Linotype" w:hAnsi="Palatino Linotype"/>
        </w:rPr>
        <w:t xml:space="preserve">The 30-day comment period for the draft of this </w:t>
      </w:r>
      <w:r w:rsidR="00782946">
        <w:rPr>
          <w:rFonts w:ascii="Palatino Linotype" w:hAnsi="Palatino Linotype"/>
        </w:rPr>
        <w:t>R</w:t>
      </w:r>
      <w:r w:rsidR="00782946" w:rsidRPr="00DA7A58">
        <w:rPr>
          <w:rFonts w:ascii="Palatino Linotype" w:hAnsi="Palatino Linotype"/>
        </w:rPr>
        <w:t xml:space="preserve">esolution </w:t>
      </w:r>
      <w:r w:rsidRPr="00DA7A58">
        <w:rPr>
          <w:rFonts w:ascii="Palatino Linotype" w:hAnsi="Palatino Linotype"/>
        </w:rPr>
        <w:t xml:space="preserve">was neither waived nor reduced.  Accordingly, this draft resolution was mailed to parties for comments, and will be placed on the Commission's agenda no earlier than </w:t>
      </w:r>
      <w:r w:rsidRPr="00DA7A58">
        <w:rPr>
          <w:rFonts w:ascii="Palatino Linotype" w:hAnsi="Palatino Linotype"/>
        </w:rPr>
        <w:br/>
        <w:t>30 days from today.</w:t>
      </w:r>
    </w:p>
    <w:p w:rsidR="00893484" w:rsidRPr="00DA7A58" w:rsidRDefault="00893484" w:rsidP="00DA7A58">
      <w:pPr>
        <w:pStyle w:val="ListParagraph"/>
        <w:spacing w:before="240"/>
        <w:ind w:left="0"/>
        <w:rPr>
          <w:rFonts w:ascii="Palatino Linotype" w:hAnsi="Palatino Linotype"/>
        </w:rPr>
      </w:pPr>
    </w:p>
    <w:p w:rsidR="00893484" w:rsidRPr="00C66BD5" w:rsidRDefault="00893484" w:rsidP="00893484">
      <w:pPr>
        <w:pStyle w:val="Heading1"/>
      </w:pPr>
      <w:r w:rsidRPr="00C66BD5">
        <w:t>Findings</w:t>
      </w:r>
    </w:p>
    <w:p w:rsidR="0097582C" w:rsidRPr="00E15EA0" w:rsidRDefault="00E15EA0" w:rsidP="00893484">
      <w:pPr>
        <w:pStyle w:val="ListParagraph"/>
        <w:numPr>
          <w:ilvl w:val="0"/>
          <w:numId w:val="7"/>
        </w:numPr>
        <w:spacing w:before="240"/>
        <w:rPr>
          <w:rFonts w:ascii="Palatino Linotype" w:hAnsi="Palatino Linotype"/>
        </w:rPr>
      </w:pPr>
      <w:r w:rsidRPr="00E15EA0">
        <w:rPr>
          <w:rFonts w:ascii="Palatino Linotype" w:hAnsi="Palatino Linotype"/>
        </w:rPr>
        <w:t>Southern California Edison and Lancaster Choice Energy negotiated the proposed protocol in good faith.</w:t>
      </w:r>
    </w:p>
    <w:p w:rsidR="00E15EA0" w:rsidRPr="00E15EA0" w:rsidRDefault="00E15EA0" w:rsidP="00E15EA0">
      <w:pPr>
        <w:pStyle w:val="ListParagraph"/>
        <w:spacing w:before="240"/>
        <w:rPr>
          <w:rFonts w:ascii="Palatino Linotype" w:hAnsi="Palatino Linotype"/>
        </w:rPr>
      </w:pPr>
    </w:p>
    <w:p w:rsidR="00E15EA0" w:rsidRDefault="00ED7FE1" w:rsidP="00893484">
      <w:pPr>
        <w:pStyle w:val="ListParagraph"/>
        <w:numPr>
          <w:ilvl w:val="0"/>
          <w:numId w:val="7"/>
        </w:numPr>
        <w:spacing w:before="240"/>
        <w:rPr>
          <w:rFonts w:ascii="Palatino Linotype" w:hAnsi="Palatino Linotype"/>
        </w:rPr>
      </w:pPr>
      <w:r>
        <w:rPr>
          <w:rFonts w:ascii="Palatino Linotype" w:hAnsi="Palatino Linotype"/>
        </w:rPr>
        <w:t xml:space="preserve">Limiting the exception to only a </w:t>
      </w:r>
      <w:r w:rsidR="00E15EA0">
        <w:rPr>
          <w:rFonts w:ascii="Palatino Linotype" w:hAnsi="Palatino Linotype"/>
          <w:i/>
        </w:rPr>
        <w:t>de</w:t>
      </w:r>
      <w:r w:rsidR="00E15EA0" w:rsidRPr="00E15EA0">
        <w:rPr>
          <w:rFonts w:ascii="Palatino Linotype" w:hAnsi="Palatino Linotype"/>
          <w:i/>
        </w:rPr>
        <w:t xml:space="preserve"> minimis</w:t>
      </w:r>
      <w:r>
        <w:rPr>
          <w:rFonts w:ascii="Palatino Linotype" w:hAnsi="Palatino Linotype"/>
          <w:i/>
        </w:rPr>
        <w:t xml:space="preserve"> </w:t>
      </w:r>
      <w:r w:rsidRPr="00CC226B">
        <w:rPr>
          <w:rFonts w:ascii="Palatino Linotype" w:hAnsi="Palatino Linotype"/>
        </w:rPr>
        <w:t>number of customers</w:t>
      </w:r>
      <w:r>
        <w:rPr>
          <w:rFonts w:ascii="Palatino Linotype" w:hAnsi="Palatino Linotype"/>
          <w:i/>
        </w:rPr>
        <w:t xml:space="preserve"> </w:t>
      </w:r>
      <w:r w:rsidR="00E15EA0" w:rsidRPr="00E15EA0">
        <w:rPr>
          <w:rFonts w:ascii="Palatino Linotype" w:hAnsi="Palatino Linotype"/>
        </w:rPr>
        <w:t>provides bundled ratepayers sufficient protection from cost shifting.</w:t>
      </w:r>
    </w:p>
    <w:p w:rsidR="004F1E50" w:rsidRPr="00771478" w:rsidRDefault="004F1E50" w:rsidP="00771478">
      <w:pPr>
        <w:pStyle w:val="ListParagraph"/>
        <w:rPr>
          <w:rFonts w:ascii="Palatino Linotype" w:hAnsi="Palatino Linotype"/>
        </w:rPr>
      </w:pPr>
    </w:p>
    <w:p w:rsidR="004F1E50" w:rsidRPr="00E15EA0" w:rsidRDefault="004F1E50" w:rsidP="004F1E50">
      <w:pPr>
        <w:pStyle w:val="ListParagraph"/>
        <w:numPr>
          <w:ilvl w:val="0"/>
          <w:numId w:val="7"/>
        </w:numPr>
        <w:spacing w:before="240"/>
        <w:rPr>
          <w:rFonts w:ascii="Palatino Linotype" w:hAnsi="Palatino Linotype"/>
        </w:rPr>
      </w:pPr>
      <w:r w:rsidRPr="004F1E50">
        <w:rPr>
          <w:rFonts w:ascii="Palatino Linotype" w:hAnsi="Palatino Linotype"/>
        </w:rPr>
        <w:lastRenderedPageBreak/>
        <w:t xml:space="preserve">This resolution does not establish </w:t>
      </w:r>
      <w:r w:rsidR="00771478" w:rsidRPr="004F1E50">
        <w:rPr>
          <w:rFonts w:ascii="Palatino Linotype" w:hAnsi="Palatino Linotype"/>
        </w:rPr>
        <w:t>preceden</w:t>
      </w:r>
      <w:r w:rsidR="00771478">
        <w:rPr>
          <w:rFonts w:ascii="Palatino Linotype" w:hAnsi="Palatino Linotype"/>
        </w:rPr>
        <w:t>t in</w:t>
      </w:r>
      <w:r w:rsidRPr="004F1E50">
        <w:rPr>
          <w:rFonts w:ascii="Palatino Linotype" w:hAnsi="Palatino Linotype"/>
        </w:rPr>
        <w:t xml:space="preserve"> any other proceeding.</w:t>
      </w:r>
    </w:p>
    <w:p w:rsidR="00893484" w:rsidRDefault="00893484" w:rsidP="00893484"/>
    <w:p w:rsidR="00893484" w:rsidRDefault="00893484" w:rsidP="00893484">
      <w:pPr>
        <w:pStyle w:val="Heading1"/>
        <w:spacing w:after="0"/>
      </w:pPr>
      <w:r>
        <w:t>Therefore it is ordered that:</w:t>
      </w:r>
    </w:p>
    <w:p w:rsidR="00893484" w:rsidRDefault="00893484" w:rsidP="00893484">
      <w:pPr>
        <w:rPr>
          <w:b/>
        </w:rPr>
      </w:pPr>
    </w:p>
    <w:p w:rsidR="00893484" w:rsidRDefault="003C3595" w:rsidP="003C3595">
      <w:pPr>
        <w:pStyle w:val="ListParagraph"/>
        <w:numPr>
          <w:ilvl w:val="0"/>
          <w:numId w:val="24"/>
        </w:numPr>
        <w:rPr>
          <w:rFonts w:ascii="Palatino Linotype" w:hAnsi="Palatino Linotype"/>
          <w:snapToGrid w:val="0"/>
        </w:rPr>
      </w:pPr>
      <w:r>
        <w:rPr>
          <w:rFonts w:ascii="Palatino Linotype" w:hAnsi="Palatino Linotype"/>
          <w:snapToGrid w:val="0"/>
        </w:rPr>
        <w:t>Southern California Edison’s request to establish a protocol for customer advance notice of transfer to Lancaster Choice Energy’s Community Choice Aggregation service is approved</w:t>
      </w:r>
      <w:r w:rsidR="00543FEC">
        <w:rPr>
          <w:rFonts w:ascii="Palatino Linotype" w:hAnsi="Palatino Linotype"/>
          <w:snapToGrid w:val="0"/>
        </w:rPr>
        <w:t xml:space="preserve"> as described in Advice Letter 3364-E, Attachment B</w:t>
      </w:r>
      <w:r>
        <w:rPr>
          <w:rFonts w:ascii="Palatino Linotype" w:hAnsi="Palatino Linotype"/>
          <w:snapToGrid w:val="0"/>
        </w:rPr>
        <w:t>.</w:t>
      </w:r>
    </w:p>
    <w:p w:rsidR="003C3595" w:rsidRPr="003C3595" w:rsidRDefault="003C3595" w:rsidP="003C3595">
      <w:pPr>
        <w:pStyle w:val="ListParagraph"/>
        <w:rPr>
          <w:rFonts w:ascii="Palatino Linotype" w:hAnsi="Palatino Linotype"/>
          <w:snapToGrid w:val="0"/>
        </w:rPr>
      </w:pPr>
    </w:p>
    <w:p w:rsidR="00893484" w:rsidRPr="00DA7A58" w:rsidRDefault="00893484" w:rsidP="00893484">
      <w:pPr>
        <w:tabs>
          <w:tab w:val="left" w:pos="720"/>
          <w:tab w:val="left" w:pos="1296"/>
          <w:tab w:val="left" w:pos="2016"/>
          <w:tab w:val="left" w:pos="2736"/>
          <w:tab w:val="left" w:pos="3456"/>
          <w:tab w:val="left" w:pos="4176"/>
          <w:tab w:val="left" w:pos="5760"/>
        </w:tabs>
        <w:rPr>
          <w:rFonts w:ascii="Palatino Linotype" w:hAnsi="Palatino Linotype"/>
        </w:rPr>
      </w:pPr>
      <w:r w:rsidRPr="00DA7A58">
        <w:rPr>
          <w:rFonts w:ascii="Palatino Linotype" w:hAnsi="Palatino Linotype"/>
        </w:rPr>
        <w:t>This Resolution is effective today.</w:t>
      </w:r>
    </w:p>
    <w:p w:rsidR="00893484" w:rsidRPr="00DA7A58" w:rsidRDefault="00893484" w:rsidP="00893484">
      <w:pPr>
        <w:tabs>
          <w:tab w:val="left" w:pos="720"/>
          <w:tab w:val="left" w:pos="1296"/>
          <w:tab w:val="left" w:pos="2016"/>
          <w:tab w:val="left" w:pos="2736"/>
          <w:tab w:val="left" w:pos="3456"/>
          <w:tab w:val="left" w:pos="4176"/>
          <w:tab w:val="left" w:pos="5760"/>
        </w:tabs>
        <w:rPr>
          <w:rFonts w:ascii="Palatino Linotype" w:hAnsi="Palatino Linotype"/>
        </w:rPr>
      </w:pPr>
    </w:p>
    <w:p w:rsidR="00893484" w:rsidRPr="00DA7A58" w:rsidRDefault="00893484" w:rsidP="00893484">
      <w:pPr>
        <w:rPr>
          <w:rFonts w:ascii="Palatino Linotype" w:hAnsi="Palatino Linotype"/>
          <w:snapToGrid w:val="0"/>
        </w:rPr>
      </w:pPr>
      <w:r w:rsidRPr="00DA7A58">
        <w:rPr>
          <w:rFonts w:ascii="Palatino Linotype" w:hAnsi="Palatino Linotype"/>
          <w:snapToGrid w:val="0"/>
        </w:rPr>
        <w:t xml:space="preserve">I certify that the foregoing resolution was duly introduced, passed and adopted at a conference of the Public Utilities Commission of the State of California held on </w:t>
      </w:r>
      <w:r w:rsidR="00D87F1D">
        <w:rPr>
          <w:rFonts w:ascii="Palatino Linotype" w:hAnsi="Palatino Linotype"/>
          <w:snapToGrid w:val="0"/>
        </w:rPr>
        <w:t>August 18</w:t>
      </w:r>
      <w:r w:rsidR="003659EC" w:rsidRPr="00DA7A58">
        <w:rPr>
          <w:rFonts w:ascii="Palatino Linotype" w:hAnsi="Palatino Linotype"/>
          <w:snapToGrid w:val="0"/>
        </w:rPr>
        <w:t>, 2016</w:t>
      </w:r>
      <w:r w:rsidRPr="00DA7A58">
        <w:rPr>
          <w:rFonts w:ascii="Palatino Linotype" w:hAnsi="Palatino Linotype"/>
          <w:snapToGrid w:val="0"/>
        </w:rPr>
        <w:t>, the following Commissioners voting favorably thereon:</w:t>
      </w:r>
    </w:p>
    <w:p w:rsidR="00893484" w:rsidRPr="00DA7A58" w:rsidRDefault="00893484" w:rsidP="00893484">
      <w:pPr>
        <w:tabs>
          <w:tab w:val="left" w:pos="720"/>
          <w:tab w:val="left" w:pos="1152"/>
          <w:tab w:val="left" w:pos="1728"/>
          <w:tab w:val="left" w:pos="3168"/>
          <w:tab w:val="left" w:pos="5040"/>
        </w:tabs>
        <w:ind w:right="144"/>
        <w:rPr>
          <w:rFonts w:ascii="Palatino Linotype" w:hAnsi="Palatino Linotype"/>
        </w:rPr>
      </w:pPr>
    </w:p>
    <w:p w:rsidR="00893484" w:rsidRDefault="00893484" w:rsidP="00893484">
      <w:pPr>
        <w:tabs>
          <w:tab w:val="left" w:pos="720"/>
          <w:tab w:val="left" w:pos="1152"/>
          <w:tab w:val="left" w:pos="1728"/>
          <w:tab w:val="left" w:pos="3168"/>
          <w:tab w:val="left" w:pos="5040"/>
        </w:tabs>
        <w:ind w:right="144"/>
      </w:pPr>
    </w:p>
    <w:p w:rsidR="00893484" w:rsidRDefault="00893484" w:rsidP="00893484">
      <w:pPr>
        <w:tabs>
          <w:tab w:val="left" w:pos="720"/>
          <w:tab w:val="left" w:pos="1152"/>
          <w:tab w:val="left" w:pos="1728"/>
          <w:tab w:val="left" w:pos="3168"/>
          <w:tab w:val="left" w:pos="5040"/>
        </w:tabs>
        <w:ind w:right="144"/>
      </w:pPr>
    </w:p>
    <w:p w:rsidR="00893484" w:rsidRDefault="00893484" w:rsidP="00893484">
      <w:pPr>
        <w:tabs>
          <w:tab w:val="left" w:pos="720"/>
          <w:tab w:val="left" w:pos="1152"/>
          <w:tab w:val="left" w:pos="1728"/>
          <w:tab w:val="left" w:pos="3168"/>
          <w:tab w:val="left" w:pos="5040"/>
        </w:tabs>
        <w:ind w:right="144"/>
      </w:pPr>
      <w:r>
        <w:tab/>
      </w:r>
      <w:r>
        <w:tab/>
      </w:r>
      <w:r>
        <w:tab/>
      </w:r>
      <w:r>
        <w:tab/>
      </w:r>
      <w:r>
        <w:tab/>
      </w:r>
      <w:r>
        <w:tab/>
        <w:t>_______________</w:t>
      </w:r>
      <w:r w:rsidR="00B14747">
        <w:softHyphen/>
      </w:r>
      <w:r w:rsidR="00B14747">
        <w:softHyphen/>
      </w:r>
      <w:r w:rsidR="00B14747">
        <w:softHyphen/>
        <w:t>______</w:t>
      </w:r>
    </w:p>
    <w:p w:rsidR="00893484" w:rsidRDefault="00893484" w:rsidP="00893484">
      <w:r>
        <w:tab/>
      </w:r>
      <w:r>
        <w:tab/>
      </w:r>
      <w:r>
        <w:tab/>
      </w:r>
      <w:r>
        <w:tab/>
      </w:r>
      <w:r>
        <w:tab/>
      </w:r>
      <w:r>
        <w:tab/>
      </w:r>
      <w:r>
        <w:tab/>
      </w:r>
      <w:r>
        <w:tab/>
        <w:t>TIMOTHY J. SULLIVAN</w:t>
      </w:r>
    </w:p>
    <w:p w:rsidR="00893484" w:rsidRDefault="00893484" w:rsidP="00893484">
      <w:r>
        <w:tab/>
      </w:r>
      <w:r>
        <w:tab/>
      </w:r>
      <w:r>
        <w:tab/>
      </w:r>
      <w:r>
        <w:tab/>
      </w:r>
      <w:r>
        <w:tab/>
      </w:r>
      <w:r>
        <w:tab/>
        <w:t xml:space="preserve"> </w:t>
      </w:r>
      <w:r>
        <w:tab/>
      </w:r>
      <w:r>
        <w:tab/>
        <w:t>Executive Director</w:t>
      </w:r>
    </w:p>
    <w:p w:rsidR="00E35D46" w:rsidRDefault="00B67A91"/>
    <w:sectPr w:rsidR="00E35D46" w:rsidSect="00893484">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91" w:rsidRDefault="00B67A91" w:rsidP="00893484">
      <w:r>
        <w:separator/>
      </w:r>
    </w:p>
  </w:endnote>
  <w:endnote w:type="continuationSeparator" w:id="0">
    <w:p w:rsidR="00B67A91" w:rsidRDefault="00B67A91" w:rsidP="0089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E1" w:rsidRDefault="001663A5">
    <w:pPr>
      <w:pStyle w:val="Footer"/>
    </w:pPr>
    <w:r>
      <w:rPr>
        <w:rStyle w:val="PageNumber"/>
      </w:rPr>
      <w:fldChar w:fldCharType="begin"/>
    </w:r>
    <w:r>
      <w:rPr>
        <w:rStyle w:val="PageNumber"/>
      </w:rPr>
      <w:instrText xml:space="preserve"> PAGE </w:instrText>
    </w:r>
    <w:r>
      <w:rPr>
        <w:rStyle w:val="PageNumber"/>
      </w:rPr>
      <w:fldChar w:fldCharType="separate"/>
    </w:r>
    <w:r w:rsidR="009F6ED9">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E1" w:rsidRDefault="001A21AC" w:rsidP="00B1490C">
    <w:pPr>
      <w:pStyle w:val="Footer"/>
      <w:tabs>
        <w:tab w:val="clear" w:pos="4320"/>
        <w:tab w:val="center" w:pos="4680"/>
      </w:tabs>
      <w:jc w:val="left"/>
    </w:pPr>
    <w:r w:rsidRPr="001A21AC">
      <w:rPr>
        <w:rFonts w:ascii="Tahoma" w:hAnsi="Tahoma" w:cs="Tahoma"/>
        <w:sz w:val="16"/>
        <w:szCs w:val="17"/>
      </w:rPr>
      <w:t>164746463</w:t>
    </w:r>
    <w:r w:rsidR="001663A5">
      <w:rPr>
        <w:rFonts w:ascii="Tahoma" w:hAnsi="Tahoma" w:cs="Tahoma"/>
        <w:sz w:val="17"/>
        <w:szCs w:val="17"/>
      </w:rPr>
      <w:tab/>
    </w:r>
    <w:r w:rsidR="001663A5">
      <w:rPr>
        <w:rStyle w:val="PageNumber"/>
      </w:rPr>
      <w:fldChar w:fldCharType="begin"/>
    </w:r>
    <w:r w:rsidR="001663A5">
      <w:rPr>
        <w:rStyle w:val="PageNumber"/>
      </w:rPr>
      <w:instrText xml:space="preserve"> PAGE </w:instrText>
    </w:r>
    <w:r w:rsidR="001663A5">
      <w:rPr>
        <w:rStyle w:val="PageNumber"/>
      </w:rPr>
      <w:fldChar w:fldCharType="separate"/>
    </w:r>
    <w:r w:rsidR="009F6ED9">
      <w:rPr>
        <w:rStyle w:val="PageNumber"/>
        <w:noProof/>
      </w:rPr>
      <w:t>1</w:t>
    </w:r>
    <w:r w:rsidR="001663A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91" w:rsidRDefault="00B67A91" w:rsidP="00893484">
      <w:r>
        <w:separator/>
      </w:r>
    </w:p>
  </w:footnote>
  <w:footnote w:type="continuationSeparator" w:id="0">
    <w:p w:rsidR="00B67A91" w:rsidRDefault="00B67A91" w:rsidP="00893484">
      <w:r>
        <w:continuationSeparator/>
      </w:r>
    </w:p>
  </w:footnote>
  <w:footnote w:id="1">
    <w:p w:rsidR="00E704DB" w:rsidRDefault="00E704DB" w:rsidP="00163346">
      <w:pPr>
        <w:pStyle w:val="FootnoteText"/>
        <w:numPr>
          <w:ilvl w:val="0"/>
          <w:numId w:val="0"/>
        </w:numPr>
        <w:spacing w:after="0"/>
        <w:ind w:left="360" w:hanging="360"/>
      </w:pPr>
      <w:r>
        <w:rPr>
          <w:rStyle w:val="FootnoteReference"/>
        </w:rPr>
        <w:footnoteRef/>
      </w:r>
      <w:r>
        <w:t xml:space="preserve">    </w:t>
      </w:r>
      <w:r w:rsidR="00CE513C">
        <w:t xml:space="preserve"> </w:t>
      </w:r>
      <w:r>
        <w:t>In a</w:t>
      </w:r>
      <w:r w:rsidR="00163346">
        <w:t xml:space="preserve"> May 6, 2016,</w:t>
      </w:r>
      <w:r>
        <w:t xml:space="preserve"> conference call between Energy Division staff, LCE, and SCE, SCE and LCE stated that the </w:t>
      </w:r>
      <w:r>
        <w:rPr>
          <w:i/>
        </w:rPr>
        <w:t>d</w:t>
      </w:r>
      <w:r w:rsidR="00E15EA0">
        <w:rPr>
          <w:i/>
        </w:rPr>
        <w:t>e</w:t>
      </w:r>
      <w:r>
        <w:rPr>
          <w:i/>
        </w:rPr>
        <w:t xml:space="preserve"> minimis </w:t>
      </w:r>
      <w:r>
        <w:t xml:space="preserve">threshold was estimated to be between three and five exempted residential transfers per month. </w:t>
      </w:r>
    </w:p>
  </w:footnote>
  <w:footnote w:id="2">
    <w:p w:rsidR="00CE513C" w:rsidRDefault="00CE513C" w:rsidP="00163346">
      <w:pPr>
        <w:pStyle w:val="FootnoteText"/>
        <w:numPr>
          <w:ilvl w:val="0"/>
          <w:numId w:val="0"/>
        </w:numPr>
        <w:spacing w:after="0"/>
        <w:ind w:left="360" w:hanging="360"/>
      </w:pPr>
      <w:r>
        <w:rPr>
          <w:rStyle w:val="FootnoteReference"/>
        </w:rPr>
        <w:footnoteRef/>
      </w:r>
      <w:r>
        <w:t xml:space="preserve">     </w:t>
      </w:r>
      <w:r>
        <w:rPr>
          <w:i/>
        </w:rPr>
        <w:t xml:space="preserve">See </w:t>
      </w:r>
      <w:r>
        <w:t xml:space="preserve">A.L. 3364-E, Attachment B, Notice Protocol, pp. 1-2. </w:t>
      </w:r>
    </w:p>
  </w:footnote>
  <w:footnote w:id="3">
    <w:p w:rsidR="00CE513C" w:rsidRDefault="00CE513C" w:rsidP="00163346">
      <w:pPr>
        <w:pStyle w:val="FootnoteText"/>
        <w:numPr>
          <w:ilvl w:val="0"/>
          <w:numId w:val="0"/>
        </w:numPr>
        <w:spacing w:after="0"/>
        <w:ind w:left="360" w:hanging="360"/>
      </w:pPr>
      <w:r>
        <w:rPr>
          <w:rStyle w:val="FootnoteReference"/>
        </w:rPr>
        <w:footnoteRef/>
      </w:r>
      <w:r>
        <w:t xml:space="preserve">     </w:t>
      </w:r>
      <w:r>
        <w:rPr>
          <w:i/>
        </w:rPr>
        <w:t xml:space="preserve">See </w:t>
      </w:r>
      <w:r>
        <w:t>A.L. 3364-E, Attachment B, Notice Protocol,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E1" w:rsidRDefault="001663A5">
    <w:pPr>
      <w:pStyle w:val="Header"/>
      <w:tabs>
        <w:tab w:val="clear" w:pos="4320"/>
        <w:tab w:val="clear" w:pos="8640"/>
        <w:tab w:val="center" w:pos="4680"/>
        <w:tab w:val="right" w:pos="9180"/>
      </w:tabs>
    </w:pPr>
    <w:r>
      <w:t xml:space="preserve">Resolution </w:t>
    </w:r>
    <w:r w:rsidR="003659EC">
      <w:t>E-4</w:t>
    </w:r>
    <w:r w:rsidR="000B296F">
      <w:t>789</w:t>
    </w:r>
    <w:r>
      <w:tab/>
      <w:t>DRAFT</w:t>
    </w:r>
    <w:r>
      <w:tab/>
    </w:r>
    <w:r w:rsidR="00C90962">
      <w:t>August 18</w:t>
    </w:r>
    <w:r w:rsidR="003659EC">
      <w:t>, 2016</w:t>
    </w:r>
  </w:p>
  <w:p w:rsidR="007259E1" w:rsidRDefault="009F6ED9" w:rsidP="00380FBE">
    <w:pPr>
      <w:pStyle w:val="Header"/>
      <w:tabs>
        <w:tab w:val="clear" w:pos="4320"/>
        <w:tab w:val="clear" w:pos="8640"/>
        <w:tab w:val="center" w:pos="4680"/>
        <w:tab w:val="right" w:pos="9180"/>
      </w:tabs>
    </w:pPr>
    <w:r>
      <w:t>SCE AL</w:t>
    </w:r>
    <w:r w:rsidR="000B296F">
      <w:t xml:space="preserve"> 3364-E</w:t>
    </w:r>
    <w:r w:rsidR="001663A5">
      <w:t>/WM4</w:t>
    </w:r>
  </w:p>
  <w:p w:rsidR="007259E1" w:rsidRDefault="00B67A91" w:rsidP="00380FBE">
    <w:pPr>
      <w:pStyle w:val="Header"/>
      <w:tabs>
        <w:tab w:val="clear" w:pos="4320"/>
        <w:tab w:val="clear" w:pos="8640"/>
        <w:tab w:val="center" w:pos="4680"/>
        <w:tab w:val="right" w:pos="91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E1" w:rsidRPr="00A324C5" w:rsidRDefault="001663A5" w:rsidP="00A324C5">
    <w:pPr>
      <w:pStyle w:val="Header"/>
      <w:jc w:val="center"/>
      <w:rPr>
        <w:rFonts w:ascii="Helvetica" w:hAnsi="Helvetica"/>
        <w:sz w:val="28"/>
      </w:rPr>
    </w:pPr>
    <w:r w:rsidRPr="00A324C5">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DDF"/>
    <w:multiLevelType w:val="hybridMultilevel"/>
    <w:tmpl w:val="4442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373D5"/>
    <w:multiLevelType w:val="hybridMultilevel"/>
    <w:tmpl w:val="A2AA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66ADC"/>
    <w:multiLevelType w:val="hybridMultilevel"/>
    <w:tmpl w:val="98D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855BD"/>
    <w:multiLevelType w:val="hybridMultilevel"/>
    <w:tmpl w:val="FEE070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BDB7819"/>
    <w:multiLevelType w:val="singleLevel"/>
    <w:tmpl w:val="0409000F"/>
    <w:lvl w:ilvl="0">
      <w:start w:val="1"/>
      <w:numFmt w:val="decimal"/>
      <w:lvlText w:val="%1."/>
      <w:lvlJc w:val="left"/>
      <w:pPr>
        <w:tabs>
          <w:tab w:val="num" w:pos="360"/>
        </w:tabs>
        <w:ind w:left="360" w:hanging="360"/>
      </w:pPr>
    </w:lvl>
  </w:abstractNum>
  <w:abstractNum w:abstractNumId="5">
    <w:nsid w:val="0F4C1223"/>
    <w:multiLevelType w:val="hybridMultilevel"/>
    <w:tmpl w:val="ED5EDE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21E3898"/>
    <w:multiLevelType w:val="hybridMultilevel"/>
    <w:tmpl w:val="BA3C0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65B5898"/>
    <w:multiLevelType w:val="hybridMultilevel"/>
    <w:tmpl w:val="2732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C046F"/>
    <w:multiLevelType w:val="hybridMultilevel"/>
    <w:tmpl w:val="7C9A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nsid w:val="2762273E"/>
    <w:multiLevelType w:val="hybridMultilevel"/>
    <w:tmpl w:val="6ED41F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9920BA2"/>
    <w:multiLevelType w:val="hybridMultilevel"/>
    <w:tmpl w:val="6A269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11CB9"/>
    <w:multiLevelType w:val="hybridMultilevel"/>
    <w:tmpl w:val="9EEA1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D71F97"/>
    <w:multiLevelType w:val="hybridMultilevel"/>
    <w:tmpl w:val="1CF42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126ABF"/>
    <w:multiLevelType w:val="hybridMultilevel"/>
    <w:tmpl w:val="F06616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0AF4275"/>
    <w:multiLevelType w:val="hybridMultilevel"/>
    <w:tmpl w:val="91AA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64DA1"/>
    <w:multiLevelType w:val="hybridMultilevel"/>
    <w:tmpl w:val="DC06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44559"/>
    <w:multiLevelType w:val="hybridMultilevel"/>
    <w:tmpl w:val="4548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85559"/>
    <w:multiLevelType w:val="hybridMultilevel"/>
    <w:tmpl w:val="62B2C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01277"/>
    <w:multiLevelType w:val="hybridMultilevel"/>
    <w:tmpl w:val="36B8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82073"/>
    <w:multiLevelType w:val="hybridMultilevel"/>
    <w:tmpl w:val="3A4857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5B685D74"/>
    <w:multiLevelType w:val="hybridMultilevel"/>
    <w:tmpl w:val="19949334"/>
    <w:lvl w:ilvl="0" w:tplc="B3927AC4">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7957DF"/>
    <w:multiLevelType w:val="hybridMultilevel"/>
    <w:tmpl w:val="CC764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BD4613"/>
    <w:multiLevelType w:val="hybridMultilevel"/>
    <w:tmpl w:val="FAEE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12"/>
  </w:num>
  <w:num w:numId="5">
    <w:abstractNumId w:val="15"/>
  </w:num>
  <w:num w:numId="6">
    <w:abstractNumId w:val="18"/>
  </w:num>
  <w:num w:numId="7">
    <w:abstractNumId w:val="19"/>
  </w:num>
  <w:num w:numId="8">
    <w:abstractNumId w:val="22"/>
  </w:num>
  <w:num w:numId="9">
    <w:abstractNumId w:val="11"/>
  </w:num>
  <w:num w:numId="10">
    <w:abstractNumId w:val="21"/>
  </w:num>
  <w:num w:numId="11">
    <w:abstractNumId w:val="8"/>
  </w:num>
  <w:num w:numId="12">
    <w:abstractNumId w:val="7"/>
  </w:num>
  <w:num w:numId="13">
    <w:abstractNumId w:val="20"/>
  </w:num>
  <w:num w:numId="14">
    <w:abstractNumId w:val="5"/>
  </w:num>
  <w:num w:numId="15">
    <w:abstractNumId w:val="3"/>
  </w:num>
  <w:num w:numId="16">
    <w:abstractNumId w:val="10"/>
  </w:num>
  <w:num w:numId="17">
    <w:abstractNumId w:val="14"/>
  </w:num>
  <w:num w:numId="18">
    <w:abstractNumId w:val="2"/>
  </w:num>
  <w:num w:numId="19">
    <w:abstractNumId w:val="16"/>
  </w:num>
  <w:num w:numId="20">
    <w:abstractNumId w:val="1"/>
  </w:num>
  <w:num w:numId="21">
    <w:abstractNumId w:val="6"/>
  </w:num>
  <w:num w:numId="22">
    <w:abstractNumId w:val="17"/>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84"/>
    <w:rsid w:val="000171B3"/>
    <w:rsid w:val="00060BBE"/>
    <w:rsid w:val="00065B60"/>
    <w:rsid w:val="00073E0F"/>
    <w:rsid w:val="00085FE1"/>
    <w:rsid w:val="000863FA"/>
    <w:rsid w:val="000A5A04"/>
    <w:rsid w:val="000A76C0"/>
    <w:rsid w:val="000A7F71"/>
    <w:rsid w:val="000B296F"/>
    <w:rsid w:val="000D022B"/>
    <w:rsid w:val="00163346"/>
    <w:rsid w:val="001663A5"/>
    <w:rsid w:val="00175619"/>
    <w:rsid w:val="00194208"/>
    <w:rsid w:val="001A0D37"/>
    <w:rsid w:val="001A21AC"/>
    <w:rsid w:val="001B40BF"/>
    <w:rsid w:val="001D5AFA"/>
    <w:rsid w:val="0020252F"/>
    <w:rsid w:val="00231A70"/>
    <w:rsid w:val="00291DED"/>
    <w:rsid w:val="00296F6F"/>
    <w:rsid w:val="002A5745"/>
    <w:rsid w:val="002A7CD4"/>
    <w:rsid w:val="002D54B9"/>
    <w:rsid w:val="00303FD4"/>
    <w:rsid w:val="00323443"/>
    <w:rsid w:val="003659EC"/>
    <w:rsid w:val="00366579"/>
    <w:rsid w:val="00372E07"/>
    <w:rsid w:val="00392EBB"/>
    <w:rsid w:val="003966E9"/>
    <w:rsid w:val="003C3595"/>
    <w:rsid w:val="003D3A18"/>
    <w:rsid w:val="003D6ADA"/>
    <w:rsid w:val="003E25DE"/>
    <w:rsid w:val="003F1626"/>
    <w:rsid w:val="00412A3C"/>
    <w:rsid w:val="00472B55"/>
    <w:rsid w:val="00472E46"/>
    <w:rsid w:val="00476FCF"/>
    <w:rsid w:val="0048461F"/>
    <w:rsid w:val="00487D00"/>
    <w:rsid w:val="004C03AF"/>
    <w:rsid w:val="004C1C83"/>
    <w:rsid w:val="004F1E50"/>
    <w:rsid w:val="00501EA2"/>
    <w:rsid w:val="00543FEC"/>
    <w:rsid w:val="00557AC9"/>
    <w:rsid w:val="005A1242"/>
    <w:rsid w:val="005C6EDC"/>
    <w:rsid w:val="005F2D63"/>
    <w:rsid w:val="00606BD3"/>
    <w:rsid w:val="00607702"/>
    <w:rsid w:val="00627F30"/>
    <w:rsid w:val="006403B8"/>
    <w:rsid w:val="006B1FA5"/>
    <w:rsid w:val="006F0DEE"/>
    <w:rsid w:val="00700100"/>
    <w:rsid w:val="00721F0D"/>
    <w:rsid w:val="00722636"/>
    <w:rsid w:val="007235B4"/>
    <w:rsid w:val="00735178"/>
    <w:rsid w:val="00753804"/>
    <w:rsid w:val="00771478"/>
    <w:rsid w:val="00782946"/>
    <w:rsid w:val="00792455"/>
    <w:rsid w:val="00797B7F"/>
    <w:rsid w:val="007A63D5"/>
    <w:rsid w:val="007D144E"/>
    <w:rsid w:val="007E21DC"/>
    <w:rsid w:val="007F06AA"/>
    <w:rsid w:val="00811B06"/>
    <w:rsid w:val="00811BAE"/>
    <w:rsid w:val="00821B18"/>
    <w:rsid w:val="00856DAB"/>
    <w:rsid w:val="00893010"/>
    <w:rsid w:val="00893484"/>
    <w:rsid w:val="008A29D3"/>
    <w:rsid w:val="008A686A"/>
    <w:rsid w:val="008B0163"/>
    <w:rsid w:val="008C5312"/>
    <w:rsid w:val="00925029"/>
    <w:rsid w:val="0094231A"/>
    <w:rsid w:val="00963487"/>
    <w:rsid w:val="0097582C"/>
    <w:rsid w:val="009A082C"/>
    <w:rsid w:val="009C5000"/>
    <w:rsid w:val="009E6249"/>
    <w:rsid w:val="009F4CBB"/>
    <w:rsid w:val="009F6ED9"/>
    <w:rsid w:val="00A40E58"/>
    <w:rsid w:val="00A432D9"/>
    <w:rsid w:val="00A51A5F"/>
    <w:rsid w:val="00A93CD3"/>
    <w:rsid w:val="00A96961"/>
    <w:rsid w:val="00AB6F70"/>
    <w:rsid w:val="00AF0E59"/>
    <w:rsid w:val="00AF2CA8"/>
    <w:rsid w:val="00B01996"/>
    <w:rsid w:val="00B13F07"/>
    <w:rsid w:val="00B14747"/>
    <w:rsid w:val="00B418C6"/>
    <w:rsid w:val="00B43917"/>
    <w:rsid w:val="00B67A91"/>
    <w:rsid w:val="00BA30D2"/>
    <w:rsid w:val="00BB0A0C"/>
    <w:rsid w:val="00BB171D"/>
    <w:rsid w:val="00BE17C7"/>
    <w:rsid w:val="00BF04CF"/>
    <w:rsid w:val="00C02E16"/>
    <w:rsid w:val="00C2507A"/>
    <w:rsid w:val="00C65338"/>
    <w:rsid w:val="00C66BD5"/>
    <w:rsid w:val="00C87B56"/>
    <w:rsid w:val="00C90962"/>
    <w:rsid w:val="00CA2115"/>
    <w:rsid w:val="00CA59D4"/>
    <w:rsid w:val="00CB3445"/>
    <w:rsid w:val="00CB3981"/>
    <w:rsid w:val="00CB42BD"/>
    <w:rsid w:val="00CC226B"/>
    <w:rsid w:val="00CD2E4F"/>
    <w:rsid w:val="00CE513C"/>
    <w:rsid w:val="00D26185"/>
    <w:rsid w:val="00D50110"/>
    <w:rsid w:val="00D60A12"/>
    <w:rsid w:val="00D65872"/>
    <w:rsid w:val="00D76747"/>
    <w:rsid w:val="00D82AEC"/>
    <w:rsid w:val="00D87F1D"/>
    <w:rsid w:val="00D9417D"/>
    <w:rsid w:val="00DA223D"/>
    <w:rsid w:val="00DA7A58"/>
    <w:rsid w:val="00DC0525"/>
    <w:rsid w:val="00DC0EA3"/>
    <w:rsid w:val="00DE3259"/>
    <w:rsid w:val="00DF0291"/>
    <w:rsid w:val="00DF57A8"/>
    <w:rsid w:val="00E15EA0"/>
    <w:rsid w:val="00E3306A"/>
    <w:rsid w:val="00E60D91"/>
    <w:rsid w:val="00E704DB"/>
    <w:rsid w:val="00EC6897"/>
    <w:rsid w:val="00ED7FE1"/>
    <w:rsid w:val="00EF4E01"/>
    <w:rsid w:val="00F07DBF"/>
    <w:rsid w:val="00F5233A"/>
    <w:rsid w:val="00F55FD4"/>
    <w:rsid w:val="00F56B24"/>
    <w:rsid w:val="00FB0A96"/>
    <w:rsid w:val="00FB54A7"/>
    <w:rsid w:val="00FD1622"/>
    <w:rsid w:val="00FD2D68"/>
    <w:rsid w:val="00FF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84"/>
    <w:pPr>
      <w:spacing w:after="0" w:line="240" w:lineRule="auto"/>
    </w:pPr>
    <w:rPr>
      <w:rFonts w:ascii="Palatino" w:eastAsia="Times New Roman" w:hAnsi="Palatino" w:cs="Times New Roman"/>
      <w:sz w:val="26"/>
      <w:szCs w:val="20"/>
    </w:rPr>
  </w:style>
  <w:style w:type="paragraph" w:styleId="Heading1">
    <w:name w:val="heading 1"/>
    <w:basedOn w:val="Normal"/>
    <w:next w:val="standard"/>
    <w:link w:val="Heading1Char"/>
    <w:qFormat/>
    <w:rsid w:val="00893484"/>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qFormat/>
    <w:rsid w:val="00893484"/>
    <w:pPr>
      <w:keepNext/>
      <w:numPr>
        <w:ilvl w:val="1"/>
        <w:numId w:val="1"/>
      </w:numPr>
      <w:spacing w:before="120" w:after="120"/>
      <w:outlineLvl w:val="1"/>
    </w:pPr>
    <w:rPr>
      <w:rFonts w:ascii="Helvetica" w:hAnsi="Helvetica"/>
      <w:b/>
      <w:i/>
    </w:rPr>
  </w:style>
  <w:style w:type="paragraph" w:styleId="Heading6">
    <w:name w:val="heading 6"/>
    <w:basedOn w:val="Normal"/>
    <w:next w:val="Normal"/>
    <w:link w:val="Heading6Char"/>
    <w:uiPriority w:val="9"/>
    <w:semiHidden/>
    <w:unhideWhenUsed/>
    <w:qFormat/>
    <w:rsid w:val="00F56B2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484"/>
    <w:rPr>
      <w:rFonts w:ascii="Helvetica" w:eastAsia="Times New Roman" w:hAnsi="Helvetica" w:cs="Times New Roman"/>
      <w:b/>
      <w:caps/>
      <w:kern w:val="28"/>
      <w:sz w:val="26"/>
      <w:szCs w:val="20"/>
      <w:u w:val="single"/>
    </w:rPr>
  </w:style>
  <w:style w:type="character" w:customStyle="1" w:styleId="Heading2Char">
    <w:name w:val="Heading 2 Char"/>
    <w:basedOn w:val="DefaultParagraphFont"/>
    <w:link w:val="Heading2"/>
    <w:rsid w:val="00893484"/>
    <w:rPr>
      <w:rFonts w:ascii="Helvetica" w:eastAsia="Times New Roman" w:hAnsi="Helvetica" w:cs="Times New Roman"/>
      <w:b/>
      <w:i/>
      <w:sz w:val="26"/>
      <w:szCs w:val="20"/>
    </w:rPr>
  </w:style>
  <w:style w:type="paragraph" w:styleId="FootnoteText">
    <w:name w:val="footnote text"/>
    <w:aliases w:val="Footnote Text Char1,Footnote Text Char Char,ft Char,ft Char Char Char,fn,ft,Footnote Text Char Char1,Footnote Text Char2 Char,Footnote Text Char Char1 Char,Footnote Text Char1 Char Char Char,Footnote Text Char Char Char Char Char"/>
    <w:basedOn w:val="Normal"/>
    <w:link w:val="FootnoteTextChar"/>
    <w:semiHidden/>
    <w:rsid w:val="00893484"/>
    <w:pPr>
      <w:numPr>
        <w:numId w:val="1"/>
      </w:numPr>
      <w:spacing w:after="240"/>
    </w:pPr>
    <w:rPr>
      <w:sz w:val="24"/>
    </w:rPr>
  </w:style>
  <w:style w:type="character" w:customStyle="1" w:styleId="FootnoteTextChar">
    <w:name w:val="Footnote Text Char"/>
    <w:aliases w:val="Footnote Text Char1 Char,Footnote Text Char Char Char,ft Char Char,ft Char Char Char Char,fn Char,ft Char1,Footnote Text Char Char1 Char1,Footnote Text Char2 Char Char,Footnote Text Char Char1 Char Char"/>
    <w:basedOn w:val="DefaultParagraphFont"/>
    <w:link w:val="FootnoteText"/>
    <w:semiHidden/>
    <w:rsid w:val="00893484"/>
    <w:rPr>
      <w:rFonts w:ascii="Palatino" w:eastAsia="Times New Roman" w:hAnsi="Palatino" w:cs="Times New Roman"/>
      <w:sz w:val="24"/>
      <w:szCs w:val="20"/>
    </w:rPr>
  </w:style>
  <w:style w:type="paragraph" w:customStyle="1" w:styleId="standard">
    <w:name w:val="standard"/>
    <w:basedOn w:val="Normal"/>
    <w:rsid w:val="00893484"/>
    <w:pPr>
      <w:spacing w:line="360" w:lineRule="auto"/>
      <w:ind w:firstLine="720"/>
    </w:pPr>
  </w:style>
  <w:style w:type="paragraph" w:customStyle="1" w:styleId="mainex">
    <w:name w:val="mainex"/>
    <w:basedOn w:val="Normal"/>
    <w:rsid w:val="00893484"/>
    <w:pPr>
      <w:keepNext/>
      <w:jc w:val="center"/>
    </w:pPr>
    <w:rPr>
      <w:rFonts w:ascii="Helvetica" w:hAnsi="Helvetica"/>
      <w:b/>
      <w:spacing w:val="120"/>
    </w:rPr>
  </w:style>
  <w:style w:type="paragraph" w:styleId="Header">
    <w:name w:val="header"/>
    <w:basedOn w:val="Normal"/>
    <w:link w:val="HeaderChar"/>
    <w:rsid w:val="00893484"/>
    <w:pPr>
      <w:widowControl w:val="0"/>
      <w:tabs>
        <w:tab w:val="center" w:pos="4320"/>
        <w:tab w:val="right" w:pos="8640"/>
      </w:tabs>
    </w:pPr>
  </w:style>
  <w:style w:type="character" w:customStyle="1" w:styleId="HeaderChar">
    <w:name w:val="Header Char"/>
    <w:basedOn w:val="DefaultParagraphFont"/>
    <w:link w:val="Header"/>
    <w:rsid w:val="00893484"/>
    <w:rPr>
      <w:rFonts w:ascii="Palatino" w:eastAsia="Times New Roman" w:hAnsi="Palatino" w:cs="Times New Roman"/>
      <w:sz w:val="26"/>
      <w:szCs w:val="20"/>
    </w:rPr>
  </w:style>
  <w:style w:type="paragraph" w:styleId="Footer">
    <w:name w:val="footer"/>
    <w:basedOn w:val="Normal"/>
    <w:link w:val="FooterChar"/>
    <w:rsid w:val="00893484"/>
    <w:pPr>
      <w:tabs>
        <w:tab w:val="center" w:pos="4320"/>
        <w:tab w:val="right" w:pos="8640"/>
      </w:tabs>
      <w:jc w:val="center"/>
    </w:pPr>
  </w:style>
  <w:style w:type="character" w:customStyle="1" w:styleId="FooterChar">
    <w:name w:val="Footer Char"/>
    <w:basedOn w:val="DefaultParagraphFont"/>
    <w:link w:val="Footer"/>
    <w:rsid w:val="00893484"/>
    <w:rPr>
      <w:rFonts w:ascii="Palatino" w:eastAsia="Times New Roman" w:hAnsi="Palatino" w:cs="Times New Roman"/>
      <w:sz w:val="26"/>
      <w:szCs w:val="20"/>
    </w:rPr>
  </w:style>
  <w:style w:type="paragraph" w:customStyle="1" w:styleId="titlebar">
    <w:name w:val="title bar"/>
    <w:basedOn w:val="Normal"/>
    <w:rsid w:val="00893484"/>
    <w:pPr>
      <w:keepNext/>
      <w:suppressAutoHyphens/>
      <w:jc w:val="center"/>
    </w:pPr>
    <w:rPr>
      <w:rFonts w:ascii="Helvetica" w:hAnsi="Helvetica"/>
      <w:b/>
    </w:rPr>
  </w:style>
  <w:style w:type="character" w:styleId="PageNumber">
    <w:name w:val="page number"/>
    <w:basedOn w:val="DefaultParagraphFont"/>
    <w:rsid w:val="00893484"/>
  </w:style>
  <w:style w:type="character" w:styleId="FootnoteReference">
    <w:name w:val="footnote reference"/>
    <w:aliases w:val="o,Style 17,fr"/>
    <w:semiHidden/>
    <w:rsid w:val="00893484"/>
    <w:rPr>
      <w:vertAlign w:val="superscript"/>
    </w:rPr>
  </w:style>
  <w:style w:type="paragraph" w:customStyle="1" w:styleId="Res-Caption">
    <w:name w:val="Res-Caption"/>
    <w:basedOn w:val="Normal"/>
    <w:rsid w:val="00893484"/>
    <w:pPr>
      <w:ind w:left="720" w:right="720"/>
    </w:pPr>
  </w:style>
  <w:style w:type="paragraph" w:styleId="ListParagraph">
    <w:name w:val="List Paragraph"/>
    <w:basedOn w:val="Normal"/>
    <w:uiPriority w:val="34"/>
    <w:qFormat/>
    <w:rsid w:val="00893484"/>
    <w:pPr>
      <w:ind w:left="720"/>
      <w:contextualSpacing/>
    </w:pPr>
  </w:style>
  <w:style w:type="character" w:customStyle="1" w:styleId="Heading6Char">
    <w:name w:val="Heading 6 Char"/>
    <w:basedOn w:val="DefaultParagraphFont"/>
    <w:link w:val="Heading6"/>
    <w:uiPriority w:val="9"/>
    <w:semiHidden/>
    <w:rsid w:val="00F56B24"/>
    <w:rPr>
      <w:rFonts w:asciiTheme="majorHAnsi" w:eastAsiaTheme="majorEastAsia" w:hAnsiTheme="majorHAnsi" w:cstheme="majorBidi"/>
      <w:i/>
      <w:iCs/>
      <w:color w:val="243F60" w:themeColor="accent1" w:themeShade="7F"/>
      <w:sz w:val="26"/>
      <w:szCs w:val="20"/>
    </w:rPr>
  </w:style>
  <w:style w:type="paragraph" w:customStyle="1" w:styleId="Default">
    <w:name w:val="Default"/>
    <w:rsid w:val="00A40E58"/>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1D5AF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D5AFA"/>
    <w:rPr>
      <w:rFonts w:ascii="Calibri" w:hAnsi="Calibri"/>
      <w:szCs w:val="21"/>
    </w:rPr>
  </w:style>
  <w:style w:type="paragraph" w:styleId="BalloonText">
    <w:name w:val="Balloon Text"/>
    <w:basedOn w:val="Normal"/>
    <w:link w:val="BalloonTextChar"/>
    <w:uiPriority w:val="99"/>
    <w:semiHidden/>
    <w:unhideWhenUsed/>
    <w:rsid w:val="009A082C"/>
    <w:rPr>
      <w:rFonts w:ascii="Tahoma" w:hAnsi="Tahoma" w:cs="Tahoma"/>
      <w:sz w:val="16"/>
      <w:szCs w:val="16"/>
    </w:rPr>
  </w:style>
  <w:style w:type="character" w:customStyle="1" w:styleId="BalloonTextChar">
    <w:name w:val="Balloon Text Char"/>
    <w:basedOn w:val="DefaultParagraphFont"/>
    <w:link w:val="BalloonText"/>
    <w:uiPriority w:val="99"/>
    <w:semiHidden/>
    <w:rsid w:val="009A08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84"/>
    <w:pPr>
      <w:spacing w:after="0" w:line="240" w:lineRule="auto"/>
    </w:pPr>
    <w:rPr>
      <w:rFonts w:ascii="Palatino" w:eastAsia="Times New Roman" w:hAnsi="Palatino" w:cs="Times New Roman"/>
      <w:sz w:val="26"/>
      <w:szCs w:val="20"/>
    </w:rPr>
  </w:style>
  <w:style w:type="paragraph" w:styleId="Heading1">
    <w:name w:val="heading 1"/>
    <w:basedOn w:val="Normal"/>
    <w:next w:val="standard"/>
    <w:link w:val="Heading1Char"/>
    <w:qFormat/>
    <w:rsid w:val="00893484"/>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qFormat/>
    <w:rsid w:val="00893484"/>
    <w:pPr>
      <w:keepNext/>
      <w:numPr>
        <w:ilvl w:val="1"/>
        <w:numId w:val="1"/>
      </w:numPr>
      <w:spacing w:before="120" w:after="120"/>
      <w:outlineLvl w:val="1"/>
    </w:pPr>
    <w:rPr>
      <w:rFonts w:ascii="Helvetica" w:hAnsi="Helvetica"/>
      <w:b/>
      <w:i/>
    </w:rPr>
  </w:style>
  <w:style w:type="paragraph" w:styleId="Heading6">
    <w:name w:val="heading 6"/>
    <w:basedOn w:val="Normal"/>
    <w:next w:val="Normal"/>
    <w:link w:val="Heading6Char"/>
    <w:uiPriority w:val="9"/>
    <w:semiHidden/>
    <w:unhideWhenUsed/>
    <w:qFormat/>
    <w:rsid w:val="00F56B2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484"/>
    <w:rPr>
      <w:rFonts w:ascii="Helvetica" w:eastAsia="Times New Roman" w:hAnsi="Helvetica" w:cs="Times New Roman"/>
      <w:b/>
      <w:caps/>
      <w:kern w:val="28"/>
      <w:sz w:val="26"/>
      <w:szCs w:val="20"/>
      <w:u w:val="single"/>
    </w:rPr>
  </w:style>
  <w:style w:type="character" w:customStyle="1" w:styleId="Heading2Char">
    <w:name w:val="Heading 2 Char"/>
    <w:basedOn w:val="DefaultParagraphFont"/>
    <w:link w:val="Heading2"/>
    <w:rsid w:val="00893484"/>
    <w:rPr>
      <w:rFonts w:ascii="Helvetica" w:eastAsia="Times New Roman" w:hAnsi="Helvetica" w:cs="Times New Roman"/>
      <w:b/>
      <w:i/>
      <w:sz w:val="26"/>
      <w:szCs w:val="20"/>
    </w:rPr>
  </w:style>
  <w:style w:type="paragraph" w:styleId="FootnoteText">
    <w:name w:val="footnote text"/>
    <w:aliases w:val="Footnote Text Char1,Footnote Text Char Char,ft Char,ft Char Char Char,fn,ft,Footnote Text Char Char1,Footnote Text Char2 Char,Footnote Text Char Char1 Char,Footnote Text Char1 Char Char Char,Footnote Text Char Char Char Char Char"/>
    <w:basedOn w:val="Normal"/>
    <w:link w:val="FootnoteTextChar"/>
    <w:semiHidden/>
    <w:rsid w:val="00893484"/>
    <w:pPr>
      <w:numPr>
        <w:numId w:val="1"/>
      </w:numPr>
      <w:spacing w:after="240"/>
    </w:pPr>
    <w:rPr>
      <w:sz w:val="24"/>
    </w:rPr>
  </w:style>
  <w:style w:type="character" w:customStyle="1" w:styleId="FootnoteTextChar">
    <w:name w:val="Footnote Text Char"/>
    <w:aliases w:val="Footnote Text Char1 Char,Footnote Text Char Char Char,ft Char Char,ft Char Char Char Char,fn Char,ft Char1,Footnote Text Char Char1 Char1,Footnote Text Char2 Char Char,Footnote Text Char Char1 Char Char"/>
    <w:basedOn w:val="DefaultParagraphFont"/>
    <w:link w:val="FootnoteText"/>
    <w:semiHidden/>
    <w:rsid w:val="00893484"/>
    <w:rPr>
      <w:rFonts w:ascii="Palatino" w:eastAsia="Times New Roman" w:hAnsi="Palatino" w:cs="Times New Roman"/>
      <w:sz w:val="24"/>
      <w:szCs w:val="20"/>
    </w:rPr>
  </w:style>
  <w:style w:type="paragraph" w:customStyle="1" w:styleId="standard">
    <w:name w:val="standard"/>
    <w:basedOn w:val="Normal"/>
    <w:rsid w:val="00893484"/>
    <w:pPr>
      <w:spacing w:line="360" w:lineRule="auto"/>
      <w:ind w:firstLine="720"/>
    </w:pPr>
  </w:style>
  <w:style w:type="paragraph" w:customStyle="1" w:styleId="mainex">
    <w:name w:val="mainex"/>
    <w:basedOn w:val="Normal"/>
    <w:rsid w:val="00893484"/>
    <w:pPr>
      <w:keepNext/>
      <w:jc w:val="center"/>
    </w:pPr>
    <w:rPr>
      <w:rFonts w:ascii="Helvetica" w:hAnsi="Helvetica"/>
      <w:b/>
      <w:spacing w:val="120"/>
    </w:rPr>
  </w:style>
  <w:style w:type="paragraph" w:styleId="Header">
    <w:name w:val="header"/>
    <w:basedOn w:val="Normal"/>
    <w:link w:val="HeaderChar"/>
    <w:rsid w:val="00893484"/>
    <w:pPr>
      <w:widowControl w:val="0"/>
      <w:tabs>
        <w:tab w:val="center" w:pos="4320"/>
        <w:tab w:val="right" w:pos="8640"/>
      </w:tabs>
    </w:pPr>
  </w:style>
  <w:style w:type="character" w:customStyle="1" w:styleId="HeaderChar">
    <w:name w:val="Header Char"/>
    <w:basedOn w:val="DefaultParagraphFont"/>
    <w:link w:val="Header"/>
    <w:rsid w:val="00893484"/>
    <w:rPr>
      <w:rFonts w:ascii="Palatino" w:eastAsia="Times New Roman" w:hAnsi="Palatino" w:cs="Times New Roman"/>
      <w:sz w:val="26"/>
      <w:szCs w:val="20"/>
    </w:rPr>
  </w:style>
  <w:style w:type="paragraph" w:styleId="Footer">
    <w:name w:val="footer"/>
    <w:basedOn w:val="Normal"/>
    <w:link w:val="FooterChar"/>
    <w:rsid w:val="00893484"/>
    <w:pPr>
      <w:tabs>
        <w:tab w:val="center" w:pos="4320"/>
        <w:tab w:val="right" w:pos="8640"/>
      </w:tabs>
      <w:jc w:val="center"/>
    </w:pPr>
  </w:style>
  <w:style w:type="character" w:customStyle="1" w:styleId="FooterChar">
    <w:name w:val="Footer Char"/>
    <w:basedOn w:val="DefaultParagraphFont"/>
    <w:link w:val="Footer"/>
    <w:rsid w:val="00893484"/>
    <w:rPr>
      <w:rFonts w:ascii="Palatino" w:eastAsia="Times New Roman" w:hAnsi="Palatino" w:cs="Times New Roman"/>
      <w:sz w:val="26"/>
      <w:szCs w:val="20"/>
    </w:rPr>
  </w:style>
  <w:style w:type="paragraph" w:customStyle="1" w:styleId="titlebar">
    <w:name w:val="title bar"/>
    <w:basedOn w:val="Normal"/>
    <w:rsid w:val="00893484"/>
    <w:pPr>
      <w:keepNext/>
      <w:suppressAutoHyphens/>
      <w:jc w:val="center"/>
    </w:pPr>
    <w:rPr>
      <w:rFonts w:ascii="Helvetica" w:hAnsi="Helvetica"/>
      <w:b/>
    </w:rPr>
  </w:style>
  <w:style w:type="character" w:styleId="PageNumber">
    <w:name w:val="page number"/>
    <w:basedOn w:val="DefaultParagraphFont"/>
    <w:rsid w:val="00893484"/>
  </w:style>
  <w:style w:type="character" w:styleId="FootnoteReference">
    <w:name w:val="footnote reference"/>
    <w:aliases w:val="o,Style 17,fr"/>
    <w:semiHidden/>
    <w:rsid w:val="00893484"/>
    <w:rPr>
      <w:vertAlign w:val="superscript"/>
    </w:rPr>
  </w:style>
  <w:style w:type="paragraph" w:customStyle="1" w:styleId="Res-Caption">
    <w:name w:val="Res-Caption"/>
    <w:basedOn w:val="Normal"/>
    <w:rsid w:val="00893484"/>
    <w:pPr>
      <w:ind w:left="720" w:right="720"/>
    </w:pPr>
  </w:style>
  <w:style w:type="paragraph" w:styleId="ListParagraph">
    <w:name w:val="List Paragraph"/>
    <w:basedOn w:val="Normal"/>
    <w:uiPriority w:val="34"/>
    <w:qFormat/>
    <w:rsid w:val="00893484"/>
    <w:pPr>
      <w:ind w:left="720"/>
      <w:contextualSpacing/>
    </w:pPr>
  </w:style>
  <w:style w:type="character" w:customStyle="1" w:styleId="Heading6Char">
    <w:name w:val="Heading 6 Char"/>
    <w:basedOn w:val="DefaultParagraphFont"/>
    <w:link w:val="Heading6"/>
    <w:uiPriority w:val="9"/>
    <w:semiHidden/>
    <w:rsid w:val="00F56B24"/>
    <w:rPr>
      <w:rFonts w:asciiTheme="majorHAnsi" w:eastAsiaTheme="majorEastAsia" w:hAnsiTheme="majorHAnsi" w:cstheme="majorBidi"/>
      <w:i/>
      <w:iCs/>
      <w:color w:val="243F60" w:themeColor="accent1" w:themeShade="7F"/>
      <w:sz w:val="26"/>
      <w:szCs w:val="20"/>
    </w:rPr>
  </w:style>
  <w:style w:type="paragraph" w:customStyle="1" w:styleId="Default">
    <w:name w:val="Default"/>
    <w:rsid w:val="00A40E58"/>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1D5AF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D5AFA"/>
    <w:rPr>
      <w:rFonts w:ascii="Calibri" w:hAnsi="Calibri"/>
      <w:szCs w:val="21"/>
    </w:rPr>
  </w:style>
  <w:style w:type="paragraph" w:styleId="BalloonText">
    <w:name w:val="Balloon Text"/>
    <w:basedOn w:val="Normal"/>
    <w:link w:val="BalloonTextChar"/>
    <w:uiPriority w:val="99"/>
    <w:semiHidden/>
    <w:unhideWhenUsed/>
    <w:rsid w:val="009A082C"/>
    <w:rPr>
      <w:rFonts w:ascii="Tahoma" w:hAnsi="Tahoma" w:cs="Tahoma"/>
      <w:sz w:val="16"/>
      <w:szCs w:val="16"/>
    </w:rPr>
  </w:style>
  <w:style w:type="character" w:customStyle="1" w:styleId="BalloonTextChar">
    <w:name w:val="Balloon Text Char"/>
    <w:basedOn w:val="DefaultParagraphFont"/>
    <w:link w:val="BalloonText"/>
    <w:uiPriority w:val="99"/>
    <w:semiHidden/>
    <w:rsid w:val="009A08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7234">
      <w:bodyDiv w:val="1"/>
      <w:marLeft w:val="0"/>
      <w:marRight w:val="0"/>
      <w:marTop w:val="0"/>
      <w:marBottom w:val="0"/>
      <w:divBdr>
        <w:top w:val="single" w:sz="12" w:space="0" w:color="767575"/>
        <w:left w:val="none" w:sz="0" w:space="0" w:color="auto"/>
        <w:bottom w:val="none" w:sz="0" w:space="0" w:color="auto"/>
        <w:right w:val="none" w:sz="0" w:space="0" w:color="auto"/>
      </w:divBdr>
      <w:divsChild>
        <w:div w:id="1155342402">
          <w:marLeft w:val="0"/>
          <w:marRight w:val="0"/>
          <w:marTop w:val="0"/>
          <w:marBottom w:val="0"/>
          <w:divBdr>
            <w:top w:val="none" w:sz="0" w:space="0" w:color="auto"/>
            <w:left w:val="none" w:sz="0" w:space="0" w:color="auto"/>
            <w:bottom w:val="none" w:sz="0" w:space="0" w:color="auto"/>
            <w:right w:val="none" w:sz="0" w:space="0" w:color="auto"/>
          </w:divBdr>
          <w:divsChild>
            <w:div w:id="1967881907">
              <w:marLeft w:val="0"/>
              <w:marRight w:val="0"/>
              <w:marTop w:val="0"/>
              <w:marBottom w:val="0"/>
              <w:divBdr>
                <w:top w:val="none" w:sz="0" w:space="0" w:color="auto"/>
                <w:left w:val="none" w:sz="0" w:space="0" w:color="auto"/>
                <w:bottom w:val="none" w:sz="0" w:space="0" w:color="auto"/>
                <w:right w:val="none" w:sz="0" w:space="0" w:color="auto"/>
              </w:divBdr>
              <w:divsChild>
                <w:div w:id="9675922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78023835">
                      <w:marLeft w:val="0"/>
                      <w:marRight w:val="0"/>
                      <w:marTop w:val="0"/>
                      <w:marBottom w:val="0"/>
                      <w:divBdr>
                        <w:top w:val="none" w:sz="0" w:space="0" w:color="auto"/>
                        <w:left w:val="none" w:sz="0" w:space="0" w:color="auto"/>
                        <w:bottom w:val="none" w:sz="0" w:space="0" w:color="auto"/>
                        <w:right w:val="none" w:sz="0" w:space="0" w:color="auto"/>
                      </w:divBdr>
                      <w:divsChild>
                        <w:div w:id="1427921229">
                          <w:marLeft w:val="0"/>
                          <w:marRight w:val="0"/>
                          <w:marTop w:val="0"/>
                          <w:marBottom w:val="0"/>
                          <w:divBdr>
                            <w:top w:val="none" w:sz="0" w:space="0" w:color="auto"/>
                            <w:left w:val="none" w:sz="0" w:space="0" w:color="auto"/>
                            <w:bottom w:val="none" w:sz="0" w:space="0" w:color="auto"/>
                            <w:right w:val="none" w:sz="0" w:space="0" w:color="auto"/>
                          </w:divBdr>
                          <w:divsChild>
                            <w:div w:id="1521044354">
                              <w:marLeft w:val="0"/>
                              <w:marRight w:val="0"/>
                              <w:marTop w:val="0"/>
                              <w:marBottom w:val="0"/>
                              <w:divBdr>
                                <w:top w:val="none" w:sz="0" w:space="0" w:color="auto"/>
                                <w:left w:val="none" w:sz="0" w:space="0" w:color="auto"/>
                                <w:bottom w:val="none" w:sz="0" w:space="0" w:color="auto"/>
                                <w:right w:val="none" w:sz="0" w:space="0" w:color="auto"/>
                              </w:divBdr>
                              <w:divsChild>
                                <w:div w:id="214632751">
                                  <w:marLeft w:val="0"/>
                                  <w:marRight w:val="0"/>
                                  <w:marTop w:val="0"/>
                                  <w:marBottom w:val="0"/>
                                  <w:divBdr>
                                    <w:top w:val="none" w:sz="0" w:space="0" w:color="auto"/>
                                    <w:left w:val="none" w:sz="0" w:space="0" w:color="auto"/>
                                    <w:bottom w:val="none" w:sz="0" w:space="0" w:color="auto"/>
                                    <w:right w:val="none" w:sz="0" w:space="0" w:color="auto"/>
                                  </w:divBdr>
                                  <w:divsChild>
                                    <w:div w:id="1181815950">
                                      <w:marLeft w:val="0"/>
                                      <w:marRight w:val="0"/>
                                      <w:marTop w:val="0"/>
                                      <w:marBottom w:val="0"/>
                                      <w:divBdr>
                                        <w:top w:val="none" w:sz="0" w:space="0" w:color="auto"/>
                                        <w:left w:val="none" w:sz="0" w:space="0" w:color="auto"/>
                                        <w:bottom w:val="none" w:sz="0" w:space="0" w:color="auto"/>
                                        <w:right w:val="none" w:sz="0" w:space="0" w:color="auto"/>
                                      </w:divBdr>
                                      <w:divsChild>
                                        <w:div w:id="1911572984">
                                          <w:marLeft w:val="0"/>
                                          <w:marRight w:val="0"/>
                                          <w:marTop w:val="0"/>
                                          <w:marBottom w:val="0"/>
                                          <w:divBdr>
                                            <w:top w:val="none" w:sz="0" w:space="0" w:color="auto"/>
                                            <w:left w:val="none" w:sz="0" w:space="0" w:color="auto"/>
                                            <w:bottom w:val="none" w:sz="0" w:space="0" w:color="auto"/>
                                            <w:right w:val="none" w:sz="0" w:space="0" w:color="auto"/>
                                          </w:divBdr>
                                          <w:divsChild>
                                            <w:div w:id="363411156">
                                              <w:marLeft w:val="0"/>
                                              <w:marRight w:val="0"/>
                                              <w:marTop w:val="0"/>
                                              <w:marBottom w:val="240"/>
                                              <w:divBdr>
                                                <w:top w:val="none" w:sz="0" w:space="0" w:color="auto"/>
                                                <w:left w:val="none" w:sz="0" w:space="0" w:color="auto"/>
                                                <w:bottom w:val="none" w:sz="0" w:space="0" w:color="auto"/>
                                                <w:right w:val="none" w:sz="0" w:space="0" w:color="auto"/>
                                              </w:divBdr>
                                            </w:div>
                                            <w:div w:id="118228121">
                                              <w:marLeft w:val="0"/>
                                              <w:marRight w:val="0"/>
                                              <w:marTop w:val="0"/>
                                              <w:marBottom w:val="240"/>
                                              <w:divBdr>
                                                <w:top w:val="none" w:sz="0" w:space="0" w:color="auto"/>
                                                <w:left w:val="none" w:sz="0" w:space="0" w:color="auto"/>
                                                <w:bottom w:val="none" w:sz="0" w:space="0" w:color="auto"/>
                                                <w:right w:val="none" w:sz="0" w:space="0" w:color="auto"/>
                                              </w:divBdr>
                                            </w:div>
                                            <w:div w:id="1515847745">
                                              <w:marLeft w:val="0"/>
                                              <w:marRight w:val="0"/>
                                              <w:marTop w:val="0"/>
                                              <w:marBottom w:val="240"/>
                                              <w:divBdr>
                                                <w:top w:val="none" w:sz="0" w:space="0" w:color="auto"/>
                                                <w:left w:val="none" w:sz="0" w:space="0" w:color="auto"/>
                                                <w:bottom w:val="none" w:sz="0" w:space="0" w:color="auto"/>
                                                <w:right w:val="none" w:sz="0" w:space="0" w:color="auto"/>
                                              </w:divBdr>
                                            </w:div>
                                            <w:div w:id="1243219985">
                                              <w:marLeft w:val="0"/>
                                              <w:marRight w:val="0"/>
                                              <w:marTop w:val="0"/>
                                              <w:marBottom w:val="240"/>
                                              <w:divBdr>
                                                <w:top w:val="none" w:sz="0" w:space="0" w:color="auto"/>
                                                <w:left w:val="none" w:sz="0" w:space="0" w:color="auto"/>
                                                <w:bottom w:val="none" w:sz="0" w:space="0" w:color="auto"/>
                                                <w:right w:val="none" w:sz="0" w:space="0" w:color="auto"/>
                                              </w:divBdr>
                                            </w:div>
                                            <w:div w:id="1957636147">
                                              <w:marLeft w:val="0"/>
                                              <w:marRight w:val="0"/>
                                              <w:marTop w:val="0"/>
                                              <w:marBottom w:val="240"/>
                                              <w:divBdr>
                                                <w:top w:val="none" w:sz="0" w:space="0" w:color="auto"/>
                                                <w:left w:val="none" w:sz="0" w:space="0" w:color="auto"/>
                                                <w:bottom w:val="none" w:sz="0" w:space="0" w:color="auto"/>
                                                <w:right w:val="none" w:sz="0" w:space="0" w:color="auto"/>
                                              </w:divBdr>
                                            </w:div>
                                            <w:div w:id="1352489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489601">
      <w:bodyDiv w:val="1"/>
      <w:marLeft w:val="0"/>
      <w:marRight w:val="0"/>
      <w:marTop w:val="0"/>
      <w:marBottom w:val="0"/>
      <w:divBdr>
        <w:top w:val="single" w:sz="12" w:space="0" w:color="767575"/>
        <w:left w:val="none" w:sz="0" w:space="0" w:color="auto"/>
        <w:bottom w:val="none" w:sz="0" w:space="0" w:color="auto"/>
        <w:right w:val="none" w:sz="0" w:space="0" w:color="auto"/>
      </w:divBdr>
      <w:divsChild>
        <w:div w:id="267549295">
          <w:marLeft w:val="0"/>
          <w:marRight w:val="0"/>
          <w:marTop w:val="0"/>
          <w:marBottom w:val="0"/>
          <w:divBdr>
            <w:top w:val="none" w:sz="0" w:space="0" w:color="auto"/>
            <w:left w:val="none" w:sz="0" w:space="0" w:color="auto"/>
            <w:bottom w:val="none" w:sz="0" w:space="0" w:color="auto"/>
            <w:right w:val="none" w:sz="0" w:space="0" w:color="auto"/>
          </w:divBdr>
          <w:divsChild>
            <w:div w:id="1544055676">
              <w:marLeft w:val="0"/>
              <w:marRight w:val="0"/>
              <w:marTop w:val="0"/>
              <w:marBottom w:val="0"/>
              <w:divBdr>
                <w:top w:val="none" w:sz="0" w:space="0" w:color="auto"/>
                <w:left w:val="none" w:sz="0" w:space="0" w:color="auto"/>
                <w:bottom w:val="none" w:sz="0" w:space="0" w:color="auto"/>
                <w:right w:val="none" w:sz="0" w:space="0" w:color="auto"/>
              </w:divBdr>
              <w:divsChild>
                <w:div w:id="97648897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31548011">
                      <w:marLeft w:val="0"/>
                      <w:marRight w:val="0"/>
                      <w:marTop w:val="0"/>
                      <w:marBottom w:val="0"/>
                      <w:divBdr>
                        <w:top w:val="none" w:sz="0" w:space="0" w:color="auto"/>
                        <w:left w:val="none" w:sz="0" w:space="0" w:color="auto"/>
                        <w:bottom w:val="none" w:sz="0" w:space="0" w:color="auto"/>
                        <w:right w:val="none" w:sz="0" w:space="0" w:color="auto"/>
                      </w:divBdr>
                      <w:divsChild>
                        <w:div w:id="1904876156">
                          <w:marLeft w:val="0"/>
                          <w:marRight w:val="0"/>
                          <w:marTop w:val="0"/>
                          <w:marBottom w:val="0"/>
                          <w:divBdr>
                            <w:top w:val="none" w:sz="0" w:space="0" w:color="auto"/>
                            <w:left w:val="none" w:sz="0" w:space="0" w:color="auto"/>
                            <w:bottom w:val="none" w:sz="0" w:space="0" w:color="auto"/>
                            <w:right w:val="none" w:sz="0" w:space="0" w:color="auto"/>
                          </w:divBdr>
                          <w:divsChild>
                            <w:div w:id="1243219026">
                              <w:marLeft w:val="0"/>
                              <w:marRight w:val="0"/>
                              <w:marTop w:val="0"/>
                              <w:marBottom w:val="0"/>
                              <w:divBdr>
                                <w:top w:val="none" w:sz="0" w:space="0" w:color="auto"/>
                                <w:left w:val="none" w:sz="0" w:space="0" w:color="auto"/>
                                <w:bottom w:val="none" w:sz="0" w:space="0" w:color="auto"/>
                                <w:right w:val="none" w:sz="0" w:space="0" w:color="auto"/>
                              </w:divBdr>
                            </w:div>
                            <w:div w:id="1809007607">
                              <w:marLeft w:val="0"/>
                              <w:marRight w:val="0"/>
                              <w:marTop w:val="0"/>
                              <w:marBottom w:val="0"/>
                              <w:divBdr>
                                <w:top w:val="none" w:sz="0" w:space="0" w:color="auto"/>
                                <w:left w:val="none" w:sz="0" w:space="0" w:color="auto"/>
                                <w:bottom w:val="none" w:sz="0" w:space="0" w:color="auto"/>
                                <w:right w:val="none" w:sz="0" w:space="0" w:color="auto"/>
                              </w:divBdr>
                              <w:divsChild>
                                <w:div w:id="623850559">
                                  <w:marLeft w:val="0"/>
                                  <w:marRight w:val="0"/>
                                  <w:marTop w:val="0"/>
                                  <w:marBottom w:val="0"/>
                                  <w:divBdr>
                                    <w:top w:val="none" w:sz="0" w:space="0" w:color="auto"/>
                                    <w:left w:val="none" w:sz="0" w:space="0" w:color="auto"/>
                                    <w:bottom w:val="none" w:sz="0" w:space="0" w:color="auto"/>
                                    <w:right w:val="none" w:sz="0" w:space="0" w:color="auto"/>
                                  </w:divBdr>
                                  <w:divsChild>
                                    <w:div w:id="528488504">
                                      <w:marLeft w:val="0"/>
                                      <w:marRight w:val="0"/>
                                      <w:marTop w:val="0"/>
                                      <w:marBottom w:val="0"/>
                                      <w:divBdr>
                                        <w:top w:val="none" w:sz="0" w:space="0" w:color="auto"/>
                                        <w:left w:val="none" w:sz="0" w:space="0" w:color="auto"/>
                                        <w:bottom w:val="none" w:sz="0" w:space="0" w:color="auto"/>
                                        <w:right w:val="none" w:sz="0" w:space="0" w:color="auto"/>
                                      </w:divBdr>
                                      <w:divsChild>
                                        <w:div w:id="2089114534">
                                          <w:marLeft w:val="0"/>
                                          <w:marRight w:val="0"/>
                                          <w:marTop w:val="0"/>
                                          <w:marBottom w:val="0"/>
                                          <w:divBdr>
                                            <w:top w:val="none" w:sz="0" w:space="0" w:color="auto"/>
                                            <w:left w:val="none" w:sz="0" w:space="0" w:color="auto"/>
                                            <w:bottom w:val="none" w:sz="0" w:space="0" w:color="auto"/>
                                            <w:right w:val="none" w:sz="0" w:space="0" w:color="auto"/>
                                          </w:divBdr>
                                          <w:divsChild>
                                            <w:div w:id="927231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724308">
      <w:bodyDiv w:val="1"/>
      <w:marLeft w:val="0"/>
      <w:marRight w:val="0"/>
      <w:marTop w:val="0"/>
      <w:marBottom w:val="0"/>
      <w:divBdr>
        <w:top w:val="none" w:sz="0" w:space="0" w:color="auto"/>
        <w:left w:val="none" w:sz="0" w:space="0" w:color="auto"/>
        <w:bottom w:val="none" w:sz="0" w:space="0" w:color="auto"/>
        <w:right w:val="none" w:sz="0" w:space="0" w:color="auto"/>
      </w:divBdr>
    </w:div>
    <w:div w:id="1207448122">
      <w:bodyDiv w:val="1"/>
      <w:marLeft w:val="0"/>
      <w:marRight w:val="0"/>
      <w:marTop w:val="0"/>
      <w:marBottom w:val="0"/>
      <w:divBdr>
        <w:top w:val="none" w:sz="0" w:space="0" w:color="auto"/>
        <w:left w:val="none" w:sz="0" w:space="0" w:color="auto"/>
        <w:bottom w:val="none" w:sz="0" w:space="0" w:color="auto"/>
        <w:right w:val="none" w:sz="0" w:space="0" w:color="auto"/>
      </w:divBdr>
    </w:div>
    <w:div w:id="175532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F85A-1065-4CBA-B8C6-7829344A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Maguire, William</dc:creator>
  <cp:lastModifiedBy>Castillo, Nicholas</cp:lastModifiedBy>
  <cp:revision>6</cp:revision>
  <cp:lastPrinted>2016-07-05T19:01:00Z</cp:lastPrinted>
  <dcterms:created xsi:type="dcterms:W3CDTF">2016-07-05T19:00:00Z</dcterms:created>
  <dcterms:modified xsi:type="dcterms:W3CDTF">2016-07-05T23:33:00Z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oFAAspTNh41gn7AzrMByAsDO37ASbun0fRgwv4ynWoK1+ZBWhGKSfYcx/KHz7b1avKIwWNGntcdvybRo
opkVw6JwH8UOgPQWROSjUfUw1001KpmnjYvLm7NXQzgaxL2wHA3+rAEYhFlMfa5r3iWfOSKUPssJ
6pPdXns2VDz9gRWdkOR+rWv8gfeucY998ps+IFtNoQ8dVwGIJAFc8W1YFPPCyLxHqKNQqyXEQax1
oDCYl4/x7Ps8uV63E</vt:lpwstr>
  </property>
  <property fmtid="{D5CDD505-2E9C-101B-9397-08002B2CF9AE}" pid="3" name="MAIL_MSG_ID2">
    <vt:lpwstr>v0KrQO8kjwmEJapfnZViEjFlTRQpKW8kZ9gYIxKGi/yS6hrC4klaAckE14U
xUW9oGjmnn3aDrBrO/XIAtHjczgDf7uuaEe8k906pHx/1TR3</vt:lpwstr>
  </property>
  <property fmtid="{D5CDD505-2E9C-101B-9397-08002B2CF9AE}" pid="4" name="RESPONSE_SENDER_NAME">
    <vt:lpwstr>sAAAGYoQX4c3X/IS24g1WChb0u/Ge4kIQjYuPUSJ15bq18g=</vt:lpwstr>
  </property>
  <property fmtid="{D5CDD505-2E9C-101B-9397-08002B2CF9AE}" pid="5" name="EMAIL_OWNER_ADDRESS">
    <vt:lpwstr>4AAA6DouqOs9baHyvwtwmg4Xo337NhGC6xKNwSSOp7XKfJPzmQ0kj3q9zw==</vt:lpwstr>
  </property>
</Properties>
</file>