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D53" w:rsidRPr="00B8240F" w:rsidRDefault="00846D53" w:rsidP="00846D53">
      <w:pPr>
        <w:pStyle w:val="Title"/>
        <w:tabs>
          <w:tab w:val="right" w:pos="10080"/>
        </w:tabs>
        <w:rPr>
          <w:rFonts w:ascii="Palatino Linotype" w:hAnsi="Palatino Linotype"/>
          <w:color w:val="000000" w:themeColor="text1"/>
        </w:rPr>
      </w:pPr>
    </w:p>
    <w:p w:rsidR="00846D53" w:rsidRPr="00B8240F" w:rsidRDefault="00E532A0" w:rsidP="00846D53">
      <w:pPr>
        <w:pStyle w:val="Title"/>
        <w:tabs>
          <w:tab w:val="right" w:pos="10080"/>
        </w:tabs>
        <w:rPr>
          <w:rFonts w:ascii="Palatino Linotype" w:hAnsi="Palatino Linotype"/>
          <w:color w:val="000000" w:themeColor="text1"/>
        </w:rPr>
      </w:pPr>
      <w:r w:rsidRPr="00B8240F">
        <w:rPr>
          <w:rFonts w:ascii="Palatino Linotype" w:hAnsi="Palatino Linotype"/>
          <w:color w:val="000000" w:themeColor="text1"/>
        </w:rPr>
        <w:t>PUBLIC UTILITIES COMMISSION OF THE STATE OF CALIFORNIA</w:t>
      </w:r>
    </w:p>
    <w:p w:rsidR="00846D53" w:rsidRPr="00B8240F" w:rsidRDefault="00846D53" w:rsidP="00846D53">
      <w:pPr>
        <w:tabs>
          <w:tab w:val="right" w:pos="10080"/>
        </w:tabs>
        <w:rPr>
          <w:rFonts w:ascii="Palatino Linotype" w:hAnsi="Palatino Linotype"/>
          <w:color w:val="000000" w:themeColor="text1"/>
        </w:rPr>
      </w:pPr>
    </w:p>
    <w:tbl>
      <w:tblPr>
        <w:tblW w:w="0" w:type="auto"/>
        <w:tblLayout w:type="fixed"/>
        <w:tblLook w:val="0000" w:firstRow="0" w:lastRow="0" w:firstColumn="0" w:lastColumn="0" w:noHBand="0" w:noVBand="0"/>
      </w:tblPr>
      <w:tblGrid>
        <w:gridCol w:w="6408"/>
        <w:gridCol w:w="3168"/>
      </w:tblGrid>
      <w:tr w:rsidR="00846D53" w:rsidRPr="00725836">
        <w:tc>
          <w:tcPr>
            <w:tcW w:w="6408" w:type="dxa"/>
          </w:tcPr>
          <w:p w:rsidR="00846D53" w:rsidRPr="00B8240F" w:rsidRDefault="00E532A0" w:rsidP="003C722F">
            <w:pPr>
              <w:rPr>
                <w:rFonts w:ascii="Palatino Linotype" w:hAnsi="Palatino Linotype"/>
                <w:b/>
                <w:color w:val="000000" w:themeColor="text1"/>
              </w:rPr>
            </w:pPr>
            <w:r w:rsidRPr="00B8240F">
              <w:rPr>
                <w:rFonts w:ascii="Palatino Linotype" w:hAnsi="Palatino Linotype"/>
                <w:b/>
                <w:color w:val="000000" w:themeColor="text1"/>
              </w:rPr>
              <w:t>Communications Division</w:t>
            </w:r>
          </w:p>
        </w:tc>
        <w:tc>
          <w:tcPr>
            <w:tcW w:w="3168" w:type="dxa"/>
          </w:tcPr>
          <w:p w:rsidR="00846D53" w:rsidRPr="00B8240F" w:rsidRDefault="00E532A0" w:rsidP="003C722F">
            <w:pPr>
              <w:pStyle w:val="xl24"/>
              <w:spacing w:before="0" w:beforeAutospacing="0" w:after="0" w:afterAutospacing="0"/>
              <w:rPr>
                <w:rFonts w:ascii="Palatino Linotype" w:eastAsia="Times New Roman" w:hAnsi="Palatino Linotype" w:cs="Times New Roman"/>
                <w:bCs w:val="0"/>
                <w:color w:val="000000" w:themeColor="text1"/>
                <w:szCs w:val="20"/>
              </w:rPr>
            </w:pPr>
            <w:r w:rsidRPr="00B8240F">
              <w:rPr>
                <w:rFonts w:ascii="Palatino Linotype" w:eastAsia="Times New Roman" w:hAnsi="Palatino Linotype" w:cs="Times New Roman"/>
                <w:bCs w:val="0"/>
                <w:color w:val="000000" w:themeColor="text1"/>
                <w:szCs w:val="20"/>
              </w:rPr>
              <w:t>RESOLUTION T- 1</w:t>
            </w:r>
            <w:r w:rsidR="00E363E4">
              <w:rPr>
                <w:rFonts w:ascii="Palatino Linotype" w:eastAsia="Times New Roman" w:hAnsi="Palatino Linotype" w:cs="Times New Roman"/>
                <w:bCs w:val="0"/>
                <w:color w:val="000000" w:themeColor="text1"/>
                <w:szCs w:val="20"/>
              </w:rPr>
              <w:t>7</w:t>
            </w:r>
            <w:r w:rsidR="00FF2BDF">
              <w:rPr>
                <w:rFonts w:ascii="Palatino Linotype" w:eastAsia="Times New Roman" w:hAnsi="Palatino Linotype" w:cs="Times New Roman"/>
                <w:bCs w:val="0"/>
                <w:color w:val="000000" w:themeColor="text1"/>
                <w:szCs w:val="20"/>
              </w:rPr>
              <w:t>529</w:t>
            </w:r>
          </w:p>
        </w:tc>
      </w:tr>
      <w:tr w:rsidR="00846D53" w:rsidRPr="00725836">
        <w:tc>
          <w:tcPr>
            <w:tcW w:w="6408" w:type="dxa"/>
          </w:tcPr>
          <w:p w:rsidR="00846D53" w:rsidRPr="005F4DF0" w:rsidRDefault="00CD56D6" w:rsidP="003C722F">
            <w:pPr>
              <w:rPr>
                <w:rFonts w:ascii="Palatino Linotype" w:hAnsi="Palatino Linotype"/>
                <w:b/>
                <w:i/>
                <w:color w:val="000000" w:themeColor="text1"/>
              </w:rPr>
            </w:pPr>
            <w:r w:rsidRPr="00CD56D6">
              <w:rPr>
                <w:rFonts w:ascii="Palatino Linotype" w:hAnsi="Palatino Linotype"/>
                <w:b/>
                <w:color w:val="000000" w:themeColor="text1"/>
              </w:rPr>
              <w:t>Broadband, Video and Market Branch</w:t>
            </w:r>
          </w:p>
        </w:tc>
        <w:tc>
          <w:tcPr>
            <w:tcW w:w="3168" w:type="dxa"/>
          </w:tcPr>
          <w:p w:rsidR="00846D53" w:rsidRPr="00B8240F" w:rsidRDefault="00216946" w:rsidP="003C722F">
            <w:pPr>
              <w:jc w:val="right"/>
              <w:rPr>
                <w:rFonts w:ascii="Palatino Linotype" w:hAnsi="Palatino Linotype"/>
                <w:b/>
                <w:color w:val="000000" w:themeColor="text1"/>
              </w:rPr>
            </w:pPr>
            <w:r>
              <w:rPr>
                <w:rFonts w:ascii="Palatino Linotype" w:hAnsi="Palatino Linotype"/>
                <w:b/>
                <w:color w:val="000000" w:themeColor="text1"/>
              </w:rPr>
              <w:t>August 18</w:t>
            </w:r>
            <w:r w:rsidR="00E532A0" w:rsidRPr="00B8240F">
              <w:rPr>
                <w:rFonts w:ascii="Palatino Linotype" w:hAnsi="Palatino Linotype"/>
                <w:b/>
                <w:color w:val="000000" w:themeColor="text1"/>
              </w:rPr>
              <w:t>, 2016</w:t>
            </w:r>
          </w:p>
        </w:tc>
      </w:tr>
    </w:tbl>
    <w:p w:rsidR="00846D53" w:rsidRPr="00B8240F" w:rsidRDefault="00E532A0" w:rsidP="00846D53">
      <w:pPr>
        <w:tabs>
          <w:tab w:val="right" w:pos="9360"/>
        </w:tabs>
        <w:rPr>
          <w:rFonts w:ascii="Palatino Linotype" w:hAnsi="Palatino Linotype"/>
          <w:b/>
          <w:color w:val="000000" w:themeColor="text1"/>
        </w:rPr>
      </w:pPr>
      <w:r w:rsidRPr="00B8240F">
        <w:rPr>
          <w:rFonts w:ascii="Palatino Linotype" w:hAnsi="Palatino Linotype"/>
          <w:b/>
          <w:color w:val="000000" w:themeColor="text1"/>
        </w:rPr>
        <w:tab/>
      </w:r>
      <w:r w:rsidRPr="00B8240F">
        <w:rPr>
          <w:rFonts w:ascii="Palatino Linotype" w:hAnsi="Palatino Linotype"/>
          <w:b/>
          <w:color w:val="000000" w:themeColor="text1"/>
        </w:rPr>
        <w:tab/>
      </w:r>
      <w:r w:rsidRPr="00B8240F">
        <w:rPr>
          <w:rFonts w:ascii="Palatino Linotype" w:hAnsi="Palatino Linotype"/>
          <w:b/>
          <w:color w:val="000000" w:themeColor="text1"/>
        </w:rPr>
        <w:tab/>
        <w:t xml:space="preserve">        </w:t>
      </w:r>
      <w:r w:rsidRPr="00B8240F">
        <w:rPr>
          <w:rFonts w:ascii="Palatino Linotype" w:hAnsi="Palatino Linotype"/>
          <w:color w:val="000000" w:themeColor="text1"/>
        </w:rPr>
        <w:tab/>
      </w:r>
      <w:r w:rsidRPr="00B8240F">
        <w:rPr>
          <w:rFonts w:ascii="Palatino Linotype" w:hAnsi="Palatino Linotype"/>
          <w:color w:val="000000" w:themeColor="text1"/>
        </w:rPr>
        <w:tab/>
      </w:r>
    </w:p>
    <w:p w:rsidR="00846D53" w:rsidRPr="00B8240F" w:rsidRDefault="00846D53" w:rsidP="00846D53">
      <w:pPr>
        <w:tabs>
          <w:tab w:val="right" w:pos="10080"/>
        </w:tabs>
        <w:rPr>
          <w:rFonts w:ascii="Palatino Linotype" w:hAnsi="Palatino Linotype"/>
          <w:color w:val="000000" w:themeColor="text1"/>
        </w:rPr>
      </w:pPr>
    </w:p>
    <w:p w:rsidR="00846D53" w:rsidRPr="00B8240F" w:rsidRDefault="00E532A0" w:rsidP="00846D53">
      <w:pPr>
        <w:tabs>
          <w:tab w:val="right" w:pos="10080"/>
        </w:tabs>
        <w:jc w:val="center"/>
        <w:rPr>
          <w:rFonts w:ascii="Palatino Linotype" w:hAnsi="Palatino Linotype"/>
          <w:b/>
          <w:color w:val="000000" w:themeColor="text1"/>
          <w:u w:val="single"/>
        </w:rPr>
      </w:pPr>
      <w:r w:rsidRPr="00B8240F">
        <w:rPr>
          <w:rFonts w:ascii="Palatino Linotype" w:hAnsi="Palatino Linotype"/>
          <w:b/>
          <w:color w:val="000000" w:themeColor="text1"/>
          <w:u w:val="single"/>
        </w:rPr>
        <w:t>R</w:t>
      </w:r>
      <w:r w:rsidRPr="00B8240F">
        <w:rPr>
          <w:rFonts w:ascii="Palatino Linotype" w:hAnsi="Palatino Linotype"/>
          <w:b/>
          <w:color w:val="000000" w:themeColor="text1"/>
        </w:rPr>
        <w:t xml:space="preserve"> </w:t>
      </w:r>
      <w:r w:rsidRPr="00B8240F">
        <w:rPr>
          <w:rFonts w:ascii="Palatino Linotype" w:hAnsi="Palatino Linotype"/>
          <w:b/>
          <w:color w:val="000000" w:themeColor="text1"/>
          <w:u w:val="single"/>
        </w:rPr>
        <w:t>E</w:t>
      </w:r>
      <w:r w:rsidRPr="00B8240F">
        <w:rPr>
          <w:rFonts w:ascii="Palatino Linotype" w:hAnsi="Palatino Linotype"/>
          <w:b/>
          <w:color w:val="000000" w:themeColor="text1"/>
        </w:rPr>
        <w:t xml:space="preserve"> </w:t>
      </w:r>
      <w:r w:rsidRPr="00B8240F">
        <w:rPr>
          <w:rFonts w:ascii="Palatino Linotype" w:hAnsi="Palatino Linotype"/>
          <w:b/>
          <w:color w:val="000000" w:themeColor="text1"/>
          <w:u w:val="single"/>
        </w:rPr>
        <w:t>S</w:t>
      </w:r>
      <w:r w:rsidRPr="00B8240F">
        <w:rPr>
          <w:rFonts w:ascii="Palatino Linotype" w:hAnsi="Palatino Linotype"/>
          <w:b/>
          <w:color w:val="000000" w:themeColor="text1"/>
        </w:rPr>
        <w:t xml:space="preserve"> </w:t>
      </w:r>
      <w:r w:rsidRPr="00B8240F">
        <w:rPr>
          <w:rFonts w:ascii="Palatino Linotype" w:hAnsi="Palatino Linotype"/>
          <w:b/>
          <w:color w:val="000000" w:themeColor="text1"/>
          <w:u w:val="single"/>
        </w:rPr>
        <w:t>O</w:t>
      </w:r>
      <w:r w:rsidRPr="00B8240F">
        <w:rPr>
          <w:rFonts w:ascii="Palatino Linotype" w:hAnsi="Palatino Linotype"/>
          <w:b/>
          <w:color w:val="000000" w:themeColor="text1"/>
        </w:rPr>
        <w:t xml:space="preserve"> </w:t>
      </w:r>
      <w:r w:rsidRPr="00B8240F">
        <w:rPr>
          <w:rFonts w:ascii="Palatino Linotype" w:hAnsi="Palatino Linotype"/>
          <w:b/>
          <w:color w:val="000000" w:themeColor="text1"/>
          <w:u w:val="single"/>
        </w:rPr>
        <w:t>L</w:t>
      </w:r>
      <w:r w:rsidRPr="00B8240F">
        <w:rPr>
          <w:rFonts w:ascii="Palatino Linotype" w:hAnsi="Palatino Linotype"/>
          <w:b/>
          <w:color w:val="000000" w:themeColor="text1"/>
        </w:rPr>
        <w:t xml:space="preserve"> </w:t>
      </w:r>
      <w:r w:rsidRPr="00B8240F">
        <w:rPr>
          <w:rFonts w:ascii="Palatino Linotype" w:hAnsi="Palatino Linotype"/>
          <w:b/>
          <w:color w:val="000000" w:themeColor="text1"/>
          <w:u w:val="single"/>
        </w:rPr>
        <w:t>U</w:t>
      </w:r>
      <w:r w:rsidRPr="00B8240F">
        <w:rPr>
          <w:rFonts w:ascii="Palatino Linotype" w:hAnsi="Palatino Linotype"/>
          <w:b/>
          <w:color w:val="000000" w:themeColor="text1"/>
        </w:rPr>
        <w:t xml:space="preserve"> </w:t>
      </w:r>
      <w:r w:rsidRPr="00B8240F">
        <w:rPr>
          <w:rFonts w:ascii="Palatino Linotype" w:hAnsi="Palatino Linotype"/>
          <w:b/>
          <w:color w:val="000000" w:themeColor="text1"/>
          <w:u w:val="single"/>
        </w:rPr>
        <w:t>T</w:t>
      </w:r>
      <w:r w:rsidRPr="00B8240F">
        <w:rPr>
          <w:rFonts w:ascii="Palatino Linotype" w:hAnsi="Palatino Linotype"/>
          <w:b/>
          <w:color w:val="000000" w:themeColor="text1"/>
        </w:rPr>
        <w:t xml:space="preserve"> </w:t>
      </w:r>
      <w:r w:rsidRPr="00B8240F">
        <w:rPr>
          <w:rFonts w:ascii="Palatino Linotype" w:hAnsi="Palatino Linotype"/>
          <w:b/>
          <w:color w:val="000000" w:themeColor="text1"/>
          <w:u w:val="single"/>
        </w:rPr>
        <w:t>I</w:t>
      </w:r>
      <w:r w:rsidRPr="00B8240F">
        <w:rPr>
          <w:rFonts w:ascii="Palatino Linotype" w:hAnsi="Palatino Linotype"/>
          <w:b/>
          <w:color w:val="000000" w:themeColor="text1"/>
        </w:rPr>
        <w:t xml:space="preserve"> </w:t>
      </w:r>
      <w:r w:rsidRPr="00B8240F">
        <w:rPr>
          <w:rFonts w:ascii="Palatino Linotype" w:hAnsi="Palatino Linotype"/>
          <w:b/>
          <w:color w:val="000000" w:themeColor="text1"/>
          <w:u w:val="single"/>
        </w:rPr>
        <w:t>O</w:t>
      </w:r>
      <w:r w:rsidRPr="00B8240F">
        <w:rPr>
          <w:rFonts w:ascii="Palatino Linotype" w:hAnsi="Palatino Linotype"/>
          <w:b/>
          <w:color w:val="000000" w:themeColor="text1"/>
        </w:rPr>
        <w:t xml:space="preserve"> </w:t>
      </w:r>
      <w:r w:rsidRPr="00B8240F">
        <w:rPr>
          <w:rFonts w:ascii="Palatino Linotype" w:hAnsi="Palatino Linotype"/>
          <w:b/>
          <w:color w:val="000000" w:themeColor="text1"/>
          <w:u w:val="single"/>
        </w:rPr>
        <w:t>N</w:t>
      </w:r>
    </w:p>
    <w:p w:rsidR="00846D53" w:rsidRPr="000571D5" w:rsidRDefault="00846D53" w:rsidP="00846D53">
      <w:pPr>
        <w:tabs>
          <w:tab w:val="right" w:pos="10080"/>
        </w:tabs>
        <w:jc w:val="center"/>
        <w:rPr>
          <w:rFonts w:ascii="Palatino Linotype" w:hAnsi="Palatino Linotype"/>
          <w:b/>
          <w:color w:val="000000" w:themeColor="text1"/>
        </w:rPr>
      </w:pPr>
    </w:p>
    <w:p w:rsidR="00846D53" w:rsidRPr="000571D5" w:rsidRDefault="00846D53" w:rsidP="00846D53">
      <w:pPr>
        <w:tabs>
          <w:tab w:val="right" w:pos="10080"/>
        </w:tabs>
        <w:rPr>
          <w:rFonts w:ascii="Palatino Linotype" w:hAnsi="Palatino Linotype"/>
          <w:color w:val="000000" w:themeColor="text1"/>
        </w:rPr>
      </w:pPr>
    </w:p>
    <w:p w:rsidR="00846D53" w:rsidRPr="000571D5" w:rsidRDefault="00E363E4" w:rsidP="00846D53">
      <w:pPr>
        <w:tabs>
          <w:tab w:val="right" w:pos="10080"/>
        </w:tabs>
        <w:rPr>
          <w:rFonts w:ascii="Palatino Linotype" w:hAnsi="Palatino Linotype"/>
          <w:b/>
          <w:color w:val="000000" w:themeColor="text1"/>
          <w:u w:val="single"/>
        </w:rPr>
      </w:pPr>
      <w:r>
        <w:rPr>
          <w:rFonts w:ascii="Palatino Linotype" w:hAnsi="Palatino Linotype"/>
          <w:b/>
          <w:color w:val="000000" w:themeColor="text1"/>
        </w:rPr>
        <w:t>RESOLUTION T-17</w:t>
      </w:r>
      <w:r w:rsidR="00677329">
        <w:rPr>
          <w:rFonts w:ascii="Palatino Linotype" w:hAnsi="Palatino Linotype"/>
          <w:b/>
          <w:color w:val="000000" w:themeColor="text1"/>
        </w:rPr>
        <w:t>529</w:t>
      </w:r>
      <w:r w:rsidR="00E532A0" w:rsidRPr="000571D5">
        <w:rPr>
          <w:rFonts w:ascii="Palatino Linotype" w:hAnsi="Palatino Linotype"/>
          <w:b/>
          <w:color w:val="000000" w:themeColor="text1"/>
        </w:rPr>
        <w:t>:  Approval of funding for the</w:t>
      </w:r>
      <w:r w:rsidR="00ED2B76">
        <w:rPr>
          <w:rFonts w:ascii="Palatino Linotype" w:hAnsi="Palatino Linotype"/>
          <w:b/>
          <w:color w:val="000000" w:themeColor="text1"/>
        </w:rPr>
        <w:t xml:space="preserve"> Rural and Regional</w:t>
      </w:r>
      <w:r w:rsidR="00E532A0" w:rsidRPr="000571D5">
        <w:rPr>
          <w:rFonts w:ascii="Palatino Linotype" w:hAnsi="Palatino Linotype"/>
          <w:b/>
          <w:color w:val="000000" w:themeColor="text1"/>
        </w:rPr>
        <w:t xml:space="preserve"> </w:t>
      </w:r>
      <w:r w:rsidR="00ED2B76">
        <w:rPr>
          <w:rFonts w:ascii="Palatino Linotype" w:hAnsi="Palatino Linotype"/>
          <w:b/>
          <w:color w:val="000000" w:themeColor="text1"/>
        </w:rPr>
        <w:t>Consortia</w:t>
      </w:r>
      <w:r w:rsidR="00E532A0" w:rsidRPr="000571D5">
        <w:rPr>
          <w:rFonts w:ascii="Palatino Linotype" w:hAnsi="Palatino Linotype"/>
          <w:b/>
          <w:color w:val="000000" w:themeColor="text1"/>
        </w:rPr>
        <w:t xml:space="preserve"> grant applications of the </w:t>
      </w:r>
      <w:r w:rsidR="00ED2B76">
        <w:rPr>
          <w:rFonts w:ascii="Palatino Linotype" w:hAnsi="Palatino Linotype"/>
          <w:b/>
          <w:color w:val="000000" w:themeColor="text1"/>
        </w:rPr>
        <w:t>Central Coast Broadband Consortium, the East Bay Broadband Co</w:t>
      </w:r>
      <w:r w:rsidR="00216946">
        <w:rPr>
          <w:rFonts w:ascii="Palatino Linotype" w:hAnsi="Palatino Linotype"/>
          <w:b/>
          <w:color w:val="000000" w:themeColor="text1"/>
        </w:rPr>
        <w:t>n</w:t>
      </w:r>
      <w:r w:rsidR="00ED2B76">
        <w:rPr>
          <w:rFonts w:ascii="Palatino Linotype" w:hAnsi="Palatino Linotype"/>
          <w:b/>
          <w:color w:val="000000" w:themeColor="text1"/>
        </w:rPr>
        <w:t xml:space="preserve">sortium, and the Tahoe </w:t>
      </w:r>
      <w:r w:rsidR="008820FC">
        <w:rPr>
          <w:rFonts w:ascii="Palatino Linotype" w:hAnsi="Palatino Linotype"/>
          <w:b/>
          <w:color w:val="000000" w:themeColor="text1"/>
        </w:rPr>
        <w:t>Basin Project</w:t>
      </w:r>
      <w:r w:rsidR="00E532A0" w:rsidRPr="000571D5">
        <w:rPr>
          <w:rFonts w:ascii="Palatino Linotype" w:hAnsi="Palatino Linotype"/>
          <w:b/>
          <w:color w:val="000000" w:themeColor="text1"/>
        </w:rPr>
        <w:t xml:space="preserve"> in the amount of </w:t>
      </w:r>
      <w:r w:rsidR="00E532A0" w:rsidRPr="00570302">
        <w:rPr>
          <w:rFonts w:ascii="Palatino Linotype" w:hAnsi="Palatino Linotype"/>
          <w:b/>
          <w:color w:val="000000" w:themeColor="text1"/>
        </w:rPr>
        <w:t>$</w:t>
      </w:r>
      <w:r w:rsidR="00B50924" w:rsidRPr="00570302">
        <w:rPr>
          <w:rFonts w:ascii="Palatino Linotype" w:hAnsi="Palatino Linotype"/>
          <w:b/>
          <w:color w:val="000000" w:themeColor="text1"/>
        </w:rPr>
        <w:t>73</w:t>
      </w:r>
      <w:r w:rsidR="00CB3D82">
        <w:rPr>
          <w:rFonts w:ascii="Palatino Linotype" w:hAnsi="Palatino Linotype"/>
          <w:b/>
          <w:color w:val="000000" w:themeColor="text1"/>
        </w:rPr>
        <w:t>6</w:t>
      </w:r>
      <w:r w:rsidR="00B50924" w:rsidRPr="00570302">
        <w:rPr>
          <w:rFonts w:ascii="Palatino Linotype" w:hAnsi="Palatino Linotype"/>
          <w:b/>
          <w:color w:val="000000" w:themeColor="text1"/>
        </w:rPr>
        <w:t>,</w:t>
      </w:r>
      <w:r w:rsidR="00CB3D82">
        <w:rPr>
          <w:rFonts w:ascii="Palatino Linotype" w:hAnsi="Palatino Linotype"/>
          <w:b/>
          <w:color w:val="000000" w:themeColor="text1"/>
        </w:rPr>
        <w:t>6</w:t>
      </w:r>
      <w:r w:rsidR="00B50924" w:rsidRPr="00570302">
        <w:rPr>
          <w:rFonts w:ascii="Palatino Linotype" w:hAnsi="Palatino Linotype"/>
          <w:b/>
          <w:color w:val="000000" w:themeColor="text1"/>
        </w:rPr>
        <w:t>60</w:t>
      </w:r>
      <w:r w:rsidR="00E532A0" w:rsidRPr="00570302">
        <w:rPr>
          <w:rFonts w:ascii="Palatino Linotype" w:hAnsi="Palatino Linotype"/>
          <w:b/>
          <w:color w:val="000000" w:themeColor="text1"/>
        </w:rPr>
        <w:t>.</w:t>
      </w:r>
      <w:r w:rsidR="00E532A0" w:rsidRPr="00570302">
        <w:rPr>
          <w:rFonts w:ascii="Palatino Linotype" w:hAnsi="Palatino Linotype"/>
          <w:b/>
          <w:color w:val="000000" w:themeColor="text1"/>
          <w:highlight w:val="yellow"/>
        </w:rPr>
        <w:t xml:space="preserve">  </w:t>
      </w:r>
      <w:r w:rsidR="00466CC1">
        <w:rPr>
          <w:rFonts w:ascii="Palatino Linotype" w:hAnsi="Palatino Linotype"/>
          <w:b/>
          <w:color w:val="000000" w:themeColor="text1"/>
        </w:rPr>
        <w:t>Modifies</w:t>
      </w:r>
      <w:r w:rsidR="005B6135">
        <w:rPr>
          <w:rFonts w:ascii="Palatino Linotype" w:hAnsi="Palatino Linotype"/>
          <w:b/>
          <w:color w:val="000000" w:themeColor="text1"/>
        </w:rPr>
        <w:t xml:space="preserve"> </w:t>
      </w:r>
      <w:r w:rsidR="005B6135" w:rsidRPr="00E73F85">
        <w:rPr>
          <w:rFonts w:ascii="Palatino Linotype" w:hAnsi="Palatino Linotype"/>
          <w:b/>
          <w:color w:val="000000" w:themeColor="text1"/>
        </w:rPr>
        <w:t>D.</w:t>
      </w:r>
      <w:r w:rsidR="00ED2B76">
        <w:rPr>
          <w:rFonts w:ascii="Palatino Linotype" w:hAnsi="Palatino Linotype"/>
          <w:b/>
          <w:color w:val="000000" w:themeColor="text1"/>
        </w:rPr>
        <w:t>11.06-038</w:t>
      </w:r>
      <w:r w:rsidR="005B6135">
        <w:rPr>
          <w:rFonts w:ascii="Palatino Linotype" w:hAnsi="Palatino Linotype"/>
          <w:b/>
          <w:color w:val="000000" w:themeColor="text1"/>
        </w:rPr>
        <w:t xml:space="preserve">, </w:t>
      </w:r>
      <w:r w:rsidR="007833AD">
        <w:rPr>
          <w:rFonts w:ascii="Palatino Linotype" w:hAnsi="Palatino Linotype"/>
          <w:b/>
          <w:color w:val="000000" w:themeColor="text1"/>
        </w:rPr>
        <w:t>Ordering Paragraph 4,</w:t>
      </w:r>
      <w:r w:rsidR="00C446E8">
        <w:rPr>
          <w:rFonts w:ascii="Palatino Linotype" w:hAnsi="Palatino Linotype"/>
          <w:b/>
          <w:color w:val="000000" w:themeColor="text1"/>
        </w:rPr>
        <w:t xml:space="preserve"> </w:t>
      </w:r>
      <w:proofErr w:type="gramStart"/>
      <w:r w:rsidR="00C446E8">
        <w:rPr>
          <w:rFonts w:ascii="Palatino Linotype" w:hAnsi="Palatino Linotype"/>
          <w:b/>
          <w:color w:val="000000" w:themeColor="text1"/>
        </w:rPr>
        <w:t>Annual</w:t>
      </w:r>
      <w:proofErr w:type="gramEnd"/>
      <w:r w:rsidR="00C446E8">
        <w:rPr>
          <w:rFonts w:ascii="Palatino Linotype" w:hAnsi="Palatino Linotype"/>
          <w:b/>
          <w:color w:val="000000" w:themeColor="text1"/>
        </w:rPr>
        <w:t xml:space="preserve"> Summit Requirement</w:t>
      </w:r>
      <w:r w:rsidR="00677329">
        <w:rPr>
          <w:rFonts w:ascii="Palatino Linotype" w:hAnsi="Palatino Linotype"/>
          <w:b/>
          <w:color w:val="000000" w:themeColor="text1"/>
        </w:rPr>
        <w:t xml:space="preserve"> to authorize Communications Division to conduct at least one Regional Consortia Learning Community Summit during the implementation of the</w:t>
      </w:r>
      <w:r w:rsidR="007F4851">
        <w:rPr>
          <w:rFonts w:ascii="Palatino Linotype" w:hAnsi="Palatino Linotype"/>
          <w:b/>
          <w:color w:val="000000" w:themeColor="text1"/>
        </w:rPr>
        <w:t xml:space="preserve"> reallocated $5 million in the</w:t>
      </w:r>
      <w:r w:rsidR="00677329">
        <w:rPr>
          <w:rFonts w:ascii="Palatino Linotype" w:hAnsi="Palatino Linotype"/>
          <w:b/>
          <w:color w:val="000000" w:themeColor="text1"/>
        </w:rPr>
        <w:t xml:space="preserve"> Consortia Account.</w:t>
      </w:r>
      <w:r w:rsidR="007833AD">
        <w:rPr>
          <w:rFonts w:ascii="Palatino Linotype" w:hAnsi="Palatino Linotype"/>
          <w:b/>
          <w:color w:val="000000" w:themeColor="text1"/>
        </w:rPr>
        <w:t xml:space="preserve"> </w:t>
      </w:r>
      <w:r w:rsidR="005B6135">
        <w:rPr>
          <w:rFonts w:ascii="Palatino Linotype" w:hAnsi="Palatino Linotype"/>
          <w:b/>
          <w:color w:val="000000" w:themeColor="text1"/>
        </w:rPr>
        <w:t xml:space="preserve">  </w:t>
      </w:r>
    </w:p>
    <w:p w:rsidR="00846D53" w:rsidRPr="000571D5" w:rsidRDefault="00E532A0" w:rsidP="00846D53">
      <w:pPr>
        <w:tabs>
          <w:tab w:val="right" w:pos="9360"/>
        </w:tabs>
        <w:rPr>
          <w:rFonts w:ascii="Palatino Linotype" w:hAnsi="Palatino Linotype"/>
          <w:b/>
          <w:color w:val="000000" w:themeColor="text1"/>
        </w:rPr>
      </w:pPr>
      <w:r w:rsidRPr="000571D5">
        <w:rPr>
          <w:rFonts w:ascii="Palatino Linotype" w:hAnsi="Palatino Linotype"/>
          <w:b/>
          <w:color w:val="000000" w:themeColor="text1"/>
          <w:u w:val="single"/>
        </w:rPr>
        <w:tab/>
      </w:r>
    </w:p>
    <w:p w:rsidR="00846D53" w:rsidRPr="000571D5" w:rsidRDefault="00846D53" w:rsidP="00846D53">
      <w:pPr>
        <w:tabs>
          <w:tab w:val="right" w:pos="10080"/>
        </w:tabs>
        <w:rPr>
          <w:rFonts w:ascii="Palatino Linotype" w:hAnsi="Palatino Linotype"/>
          <w:color w:val="000000" w:themeColor="text1"/>
        </w:rPr>
      </w:pPr>
    </w:p>
    <w:p w:rsidR="00846D53" w:rsidRPr="000571D5" w:rsidRDefault="00E532A0" w:rsidP="00846D53">
      <w:pPr>
        <w:tabs>
          <w:tab w:val="right" w:pos="10080"/>
        </w:tabs>
        <w:rPr>
          <w:rFonts w:ascii="Palatino Linotype" w:hAnsi="Palatino Linotype"/>
          <w:b/>
          <w:color w:val="000000" w:themeColor="text1"/>
        </w:rPr>
      </w:pPr>
      <w:r w:rsidRPr="000571D5">
        <w:rPr>
          <w:rFonts w:ascii="Palatino Linotype" w:hAnsi="Palatino Linotype"/>
          <w:b/>
          <w:color w:val="000000" w:themeColor="text1"/>
        </w:rPr>
        <w:t>I.     SUMMARY</w:t>
      </w:r>
    </w:p>
    <w:p w:rsidR="00846D53" w:rsidRPr="000571D5" w:rsidRDefault="00846D53" w:rsidP="00846D53">
      <w:pPr>
        <w:tabs>
          <w:tab w:val="right" w:pos="10080"/>
        </w:tabs>
        <w:rPr>
          <w:rFonts w:ascii="Palatino Linotype" w:hAnsi="Palatino Linotype"/>
          <w:color w:val="000000" w:themeColor="text1"/>
          <w:u w:val="single"/>
        </w:rPr>
      </w:pPr>
    </w:p>
    <w:p w:rsidR="00834A88" w:rsidRDefault="00E532A0" w:rsidP="005B6135">
      <w:pPr>
        <w:rPr>
          <w:rFonts w:ascii="Palatino Linotype" w:hAnsi="Palatino Linotype"/>
          <w:b/>
          <w:color w:val="000000" w:themeColor="text1"/>
        </w:rPr>
      </w:pPr>
      <w:r w:rsidRPr="000571D5">
        <w:rPr>
          <w:rFonts w:ascii="Palatino Linotype" w:hAnsi="Palatino Linotype"/>
          <w:color w:val="000000" w:themeColor="text1"/>
        </w:rPr>
        <w:t>This Resolution approves grant funding in the amount of $</w:t>
      </w:r>
      <w:r w:rsidR="00152626">
        <w:rPr>
          <w:rFonts w:ascii="Palatino Linotype" w:hAnsi="Palatino Linotype"/>
          <w:color w:val="000000" w:themeColor="text1"/>
        </w:rPr>
        <w:t>736,660</w:t>
      </w:r>
      <w:r w:rsidRPr="000571D5">
        <w:rPr>
          <w:rFonts w:ascii="Palatino Linotype" w:hAnsi="Palatino Linotype"/>
          <w:color w:val="000000" w:themeColor="text1"/>
        </w:rPr>
        <w:t xml:space="preserve"> from the California Advanced Services Fund (CASF) </w:t>
      </w:r>
      <w:r w:rsidR="00ED2B76">
        <w:rPr>
          <w:rFonts w:ascii="Palatino Linotype" w:hAnsi="Palatino Linotype"/>
          <w:color w:val="000000" w:themeColor="text1"/>
        </w:rPr>
        <w:t>Rural and Regional Urban Consortia Account (</w:t>
      </w:r>
      <w:r w:rsidR="0095172B">
        <w:rPr>
          <w:rFonts w:ascii="Palatino Linotype" w:hAnsi="Palatino Linotype"/>
          <w:color w:val="000000" w:themeColor="text1"/>
        </w:rPr>
        <w:t>Consortia Account</w:t>
      </w:r>
      <w:r w:rsidRPr="000571D5">
        <w:rPr>
          <w:rFonts w:ascii="Palatino Linotype" w:hAnsi="Palatino Linotype"/>
          <w:color w:val="000000" w:themeColor="text1"/>
        </w:rPr>
        <w:t xml:space="preserve">) </w:t>
      </w:r>
      <w:r w:rsidR="00596C71">
        <w:rPr>
          <w:rFonts w:ascii="Palatino Linotype" w:hAnsi="Palatino Linotype"/>
          <w:color w:val="000000" w:themeColor="text1"/>
        </w:rPr>
        <w:t>for</w:t>
      </w:r>
      <w:r w:rsidRPr="000571D5">
        <w:rPr>
          <w:rFonts w:ascii="Palatino Linotype" w:hAnsi="Palatino Linotype"/>
          <w:color w:val="000000" w:themeColor="text1"/>
        </w:rPr>
        <w:t xml:space="preserve"> th</w:t>
      </w:r>
      <w:r w:rsidR="00ED2B76">
        <w:rPr>
          <w:rFonts w:ascii="Palatino Linotype" w:hAnsi="Palatino Linotype"/>
          <w:color w:val="000000" w:themeColor="text1"/>
        </w:rPr>
        <w:t xml:space="preserve">e </w:t>
      </w:r>
      <w:r w:rsidRPr="000571D5">
        <w:rPr>
          <w:rFonts w:ascii="Palatino Linotype" w:hAnsi="Palatino Linotype"/>
          <w:color w:val="000000" w:themeColor="text1"/>
        </w:rPr>
        <w:t xml:space="preserve">grant applications </w:t>
      </w:r>
      <w:r w:rsidR="00596C71">
        <w:rPr>
          <w:rFonts w:ascii="Palatino Linotype" w:hAnsi="Palatino Linotype"/>
          <w:color w:val="000000" w:themeColor="text1"/>
        </w:rPr>
        <w:t>of</w:t>
      </w:r>
      <w:r w:rsidR="00596C71" w:rsidRPr="000571D5">
        <w:rPr>
          <w:rFonts w:ascii="Palatino Linotype" w:hAnsi="Palatino Linotype"/>
          <w:color w:val="000000" w:themeColor="text1"/>
        </w:rPr>
        <w:t xml:space="preserve"> </w:t>
      </w:r>
      <w:r w:rsidRPr="000571D5">
        <w:rPr>
          <w:rFonts w:ascii="Palatino Linotype" w:hAnsi="Palatino Linotype"/>
          <w:color w:val="000000" w:themeColor="text1"/>
        </w:rPr>
        <w:t xml:space="preserve">the </w:t>
      </w:r>
      <w:r w:rsidR="00ED2B76">
        <w:rPr>
          <w:rFonts w:ascii="Palatino Linotype" w:hAnsi="Palatino Linotype"/>
          <w:color w:val="000000" w:themeColor="text1"/>
        </w:rPr>
        <w:t xml:space="preserve">Central Coast Broadband Consortium </w:t>
      </w:r>
      <w:r w:rsidRPr="000571D5">
        <w:rPr>
          <w:rFonts w:ascii="Palatino Linotype" w:hAnsi="Palatino Linotype"/>
          <w:color w:val="000000" w:themeColor="text1"/>
        </w:rPr>
        <w:t>(</w:t>
      </w:r>
      <w:r w:rsidR="00ED2B76">
        <w:rPr>
          <w:rFonts w:ascii="Palatino Linotype" w:hAnsi="Palatino Linotype"/>
          <w:color w:val="000000" w:themeColor="text1"/>
        </w:rPr>
        <w:t>CCBC)</w:t>
      </w:r>
      <w:r w:rsidRPr="000571D5">
        <w:rPr>
          <w:rFonts w:ascii="Palatino Linotype" w:hAnsi="Palatino Linotype"/>
          <w:color w:val="000000" w:themeColor="text1"/>
        </w:rPr>
        <w:t xml:space="preserve">, </w:t>
      </w:r>
      <w:r w:rsidR="00AC74FF">
        <w:rPr>
          <w:rFonts w:ascii="Palatino Linotype" w:hAnsi="Palatino Linotype"/>
          <w:color w:val="000000" w:themeColor="text1"/>
        </w:rPr>
        <w:t xml:space="preserve">East Bay Broadband Consortium (EBBC), </w:t>
      </w:r>
      <w:r w:rsidR="00C360A1">
        <w:rPr>
          <w:rFonts w:ascii="Palatino Linotype" w:hAnsi="Palatino Linotype"/>
          <w:color w:val="000000" w:themeColor="text1"/>
        </w:rPr>
        <w:t>and Tahoe Basin Project (TBP</w:t>
      </w:r>
      <w:r w:rsidR="00AC74FF">
        <w:rPr>
          <w:rFonts w:ascii="Palatino Linotype" w:hAnsi="Palatino Linotype"/>
          <w:color w:val="000000" w:themeColor="text1"/>
        </w:rPr>
        <w:t xml:space="preserve">).  These </w:t>
      </w:r>
      <w:r w:rsidR="00834A88">
        <w:rPr>
          <w:rFonts w:ascii="Palatino Linotype" w:hAnsi="Palatino Linotype"/>
          <w:color w:val="000000" w:themeColor="text1"/>
        </w:rPr>
        <w:t>three</w:t>
      </w:r>
      <w:r w:rsidR="00AC74FF">
        <w:rPr>
          <w:rFonts w:ascii="Palatino Linotype" w:hAnsi="Palatino Linotype"/>
          <w:color w:val="000000" w:themeColor="text1"/>
        </w:rPr>
        <w:t xml:space="preserve"> </w:t>
      </w:r>
      <w:r w:rsidRPr="000571D5">
        <w:rPr>
          <w:rFonts w:ascii="Palatino Linotype" w:hAnsi="Palatino Linotype"/>
          <w:color w:val="000000" w:themeColor="text1"/>
        </w:rPr>
        <w:t xml:space="preserve">projects </w:t>
      </w:r>
      <w:r w:rsidR="00444C84" w:rsidRPr="000571D5">
        <w:rPr>
          <w:rFonts w:ascii="Palatino Linotype" w:hAnsi="Palatino Linotype"/>
          <w:color w:val="000000" w:themeColor="text1"/>
        </w:rPr>
        <w:t>will</w:t>
      </w:r>
      <w:r w:rsidR="00B21635">
        <w:rPr>
          <w:rFonts w:ascii="Palatino Linotype" w:hAnsi="Palatino Linotype"/>
          <w:color w:val="000000" w:themeColor="text1"/>
        </w:rPr>
        <w:t xml:space="preserve"> further broadband deployment, access and/or adoption in their regions</w:t>
      </w:r>
      <w:r w:rsidRPr="000571D5">
        <w:rPr>
          <w:rFonts w:ascii="Palatino Linotype" w:hAnsi="Palatino Linotype"/>
          <w:color w:val="000000" w:themeColor="text1"/>
        </w:rPr>
        <w:t xml:space="preserve">.  </w:t>
      </w:r>
      <w:r w:rsidRPr="00087895">
        <w:rPr>
          <w:rFonts w:ascii="Palatino Linotype" w:hAnsi="Palatino Linotype"/>
          <w:color w:val="000000" w:themeColor="text1"/>
        </w:rPr>
        <w:t xml:space="preserve">This </w:t>
      </w:r>
      <w:r w:rsidR="00E95EB4" w:rsidRPr="00087895">
        <w:rPr>
          <w:rFonts w:ascii="Palatino Linotype" w:hAnsi="Palatino Linotype"/>
          <w:color w:val="000000" w:themeColor="text1"/>
        </w:rPr>
        <w:t>R</w:t>
      </w:r>
      <w:r w:rsidR="00B21635" w:rsidRPr="00087895">
        <w:rPr>
          <w:rFonts w:ascii="Palatino Linotype" w:hAnsi="Palatino Linotype"/>
          <w:color w:val="000000" w:themeColor="text1"/>
        </w:rPr>
        <w:t xml:space="preserve">esolution also </w:t>
      </w:r>
      <w:r w:rsidR="00631D66" w:rsidRPr="00087895">
        <w:rPr>
          <w:rFonts w:ascii="Palatino Linotype" w:hAnsi="Palatino Linotype"/>
          <w:color w:val="000000" w:themeColor="text1"/>
        </w:rPr>
        <w:t>modifies</w:t>
      </w:r>
      <w:r w:rsidR="005B6135" w:rsidRPr="00087895">
        <w:rPr>
          <w:rFonts w:ascii="Palatino Linotype" w:hAnsi="Palatino Linotype"/>
          <w:color w:val="000000" w:themeColor="text1"/>
        </w:rPr>
        <w:t xml:space="preserve"> </w:t>
      </w:r>
      <w:r w:rsidR="00F568CA" w:rsidRPr="00087895">
        <w:rPr>
          <w:rFonts w:ascii="Palatino Linotype" w:hAnsi="Palatino Linotype"/>
          <w:color w:val="000000" w:themeColor="text1"/>
        </w:rPr>
        <w:t>D.11-06-038</w:t>
      </w:r>
      <w:r w:rsidR="00596C71" w:rsidRPr="00087895">
        <w:rPr>
          <w:rFonts w:ascii="Palatino Linotype" w:hAnsi="Palatino Linotype"/>
          <w:color w:val="000000" w:themeColor="text1"/>
        </w:rPr>
        <w:t>,</w:t>
      </w:r>
      <w:r w:rsidR="00951862" w:rsidRPr="00087895">
        <w:rPr>
          <w:rFonts w:ascii="Palatino Linotype" w:hAnsi="Palatino Linotype"/>
          <w:color w:val="000000" w:themeColor="text1"/>
        </w:rPr>
        <w:t xml:space="preserve"> </w:t>
      </w:r>
      <w:r w:rsidR="00C446E8">
        <w:rPr>
          <w:rFonts w:ascii="Palatino Linotype" w:hAnsi="Palatino Linotype"/>
          <w:color w:val="000000" w:themeColor="text1"/>
        </w:rPr>
        <w:t xml:space="preserve">annual summit requirement, </w:t>
      </w:r>
      <w:r w:rsidR="00951862" w:rsidRPr="00087895">
        <w:rPr>
          <w:rFonts w:ascii="Palatino Linotype" w:hAnsi="Palatino Linotype"/>
          <w:color w:val="000000" w:themeColor="text1"/>
        </w:rPr>
        <w:t xml:space="preserve">authorizing CD to conduct </w:t>
      </w:r>
      <w:r w:rsidR="00951862" w:rsidRPr="000A3782">
        <w:rPr>
          <w:rFonts w:ascii="Palatino Linotype" w:hAnsi="Palatino Linotype"/>
          <w:color w:val="000000" w:themeColor="text1"/>
        </w:rPr>
        <w:t>at least one</w:t>
      </w:r>
      <w:r w:rsidR="00951862" w:rsidRPr="00087895">
        <w:rPr>
          <w:rFonts w:ascii="Palatino Linotype" w:hAnsi="Palatino Linotype"/>
          <w:color w:val="000000" w:themeColor="text1"/>
        </w:rPr>
        <w:t xml:space="preserve"> </w:t>
      </w:r>
      <w:r w:rsidR="00451B78" w:rsidRPr="00087895">
        <w:rPr>
          <w:rFonts w:ascii="Palatino Linotype" w:hAnsi="Palatino Linotype"/>
          <w:color w:val="000000" w:themeColor="text1"/>
        </w:rPr>
        <w:t xml:space="preserve">Regional Consortia Learning </w:t>
      </w:r>
      <w:r w:rsidR="00CC45CD">
        <w:rPr>
          <w:rFonts w:ascii="Palatino Linotype" w:hAnsi="Palatino Linotype"/>
          <w:color w:val="000000" w:themeColor="text1"/>
        </w:rPr>
        <w:t xml:space="preserve">Community </w:t>
      </w:r>
      <w:r w:rsidR="00451B78" w:rsidRPr="00087895">
        <w:rPr>
          <w:rFonts w:ascii="Palatino Linotype" w:hAnsi="Palatino Linotype"/>
          <w:color w:val="000000" w:themeColor="text1"/>
        </w:rPr>
        <w:t xml:space="preserve">Summit </w:t>
      </w:r>
      <w:r w:rsidR="00951862" w:rsidRPr="00087895">
        <w:rPr>
          <w:rFonts w:ascii="Palatino Linotype" w:hAnsi="Palatino Linotype"/>
          <w:color w:val="000000" w:themeColor="text1"/>
        </w:rPr>
        <w:t xml:space="preserve">during the implementation of the </w:t>
      </w:r>
      <w:r w:rsidR="00B0771A" w:rsidRPr="00087895">
        <w:rPr>
          <w:rFonts w:ascii="Palatino Linotype" w:hAnsi="Palatino Linotype"/>
          <w:color w:val="000000" w:themeColor="text1"/>
        </w:rPr>
        <w:t>reallocated $</w:t>
      </w:r>
      <w:r w:rsidR="00951862" w:rsidRPr="00087895">
        <w:rPr>
          <w:rFonts w:ascii="Palatino Linotype" w:hAnsi="Palatino Linotype"/>
          <w:color w:val="000000" w:themeColor="text1"/>
        </w:rPr>
        <w:t>5</w:t>
      </w:r>
      <w:r w:rsidR="00B0771A" w:rsidRPr="00087895">
        <w:rPr>
          <w:rFonts w:ascii="Palatino Linotype" w:hAnsi="Palatino Linotype"/>
          <w:color w:val="000000" w:themeColor="text1"/>
        </w:rPr>
        <w:t xml:space="preserve"> million</w:t>
      </w:r>
      <w:r w:rsidR="00CB3D82" w:rsidRPr="00087895">
        <w:rPr>
          <w:rFonts w:ascii="Palatino Linotype" w:hAnsi="Palatino Linotype"/>
          <w:color w:val="000000" w:themeColor="text1"/>
        </w:rPr>
        <w:t>, instead of a</w:t>
      </w:r>
      <w:r w:rsidR="00C446E8">
        <w:rPr>
          <w:rFonts w:ascii="Palatino Linotype" w:hAnsi="Palatino Linotype"/>
          <w:color w:val="000000" w:themeColor="text1"/>
        </w:rPr>
        <w:t>n</w:t>
      </w:r>
      <w:r w:rsidR="00CB3D82" w:rsidRPr="00087895">
        <w:rPr>
          <w:rFonts w:ascii="Palatino Linotype" w:hAnsi="Palatino Linotype"/>
          <w:color w:val="000000" w:themeColor="text1"/>
        </w:rPr>
        <w:t xml:space="preserve"> </w:t>
      </w:r>
      <w:r w:rsidR="00C446E8">
        <w:rPr>
          <w:rFonts w:ascii="Palatino Linotype" w:hAnsi="Palatino Linotype"/>
          <w:color w:val="000000" w:themeColor="text1"/>
        </w:rPr>
        <w:t xml:space="preserve">annual </w:t>
      </w:r>
      <w:r w:rsidR="00CB3D82" w:rsidRPr="00087895">
        <w:rPr>
          <w:rFonts w:ascii="Palatino Linotype" w:hAnsi="Palatino Linotype"/>
          <w:color w:val="000000" w:themeColor="text1"/>
        </w:rPr>
        <w:t>summit</w:t>
      </w:r>
      <w:r w:rsidR="00B0771A" w:rsidRPr="00087895">
        <w:rPr>
          <w:rFonts w:ascii="Palatino Linotype" w:hAnsi="Palatino Linotype"/>
          <w:color w:val="000000" w:themeColor="text1"/>
        </w:rPr>
        <w:t>, in order to make the most cost effective use of funds</w:t>
      </w:r>
      <w:r w:rsidR="00451B78" w:rsidRPr="00087895">
        <w:rPr>
          <w:rFonts w:ascii="Palatino Linotype" w:hAnsi="Palatino Linotype"/>
          <w:color w:val="000000" w:themeColor="text1"/>
        </w:rPr>
        <w:t>.</w:t>
      </w:r>
      <w:r w:rsidR="00451B78" w:rsidRPr="00087895">
        <w:rPr>
          <w:rStyle w:val="FootnoteReference"/>
          <w:rFonts w:ascii="Palatino Linotype" w:hAnsi="Palatino Linotype"/>
          <w:b/>
          <w:color w:val="000000" w:themeColor="text1"/>
        </w:rPr>
        <w:footnoteReference w:id="1"/>
      </w:r>
    </w:p>
    <w:p w:rsidR="00834A88" w:rsidRDefault="00834A88" w:rsidP="005B6135">
      <w:pPr>
        <w:rPr>
          <w:rFonts w:ascii="Palatino Linotype" w:hAnsi="Palatino Linotype"/>
          <w:b/>
          <w:color w:val="000000" w:themeColor="text1"/>
        </w:rPr>
      </w:pPr>
    </w:p>
    <w:p w:rsidR="005B6135" w:rsidRPr="00086D23" w:rsidRDefault="00930D78" w:rsidP="005B6135">
      <w:pPr>
        <w:rPr>
          <w:rFonts w:ascii="Palatino Linotype" w:hAnsi="Palatino Linotype"/>
          <w:color w:val="000000" w:themeColor="text1"/>
        </w:rPr>
      </w:pPr>
      <w:r>
        <w:rPr>
          <w:rFonts w:ascii="Palatino Linotype" w:hAnsi="Palatino Linotype"/>
          <w:color w:val="000000" w:themeColor="text1"/>
        </w:rPr>
        <w:t>By furthering broadband deployment, access and adoption, these projects are expected to enhance public safety in the Central Co</w:t>
      </w:r>
      <w:r w:rsidR="00B50924">
        <w:rPr>
          <w:rFonts w:ascii="Palatino Linotype" w:hAnsi="Palatino Linotype"/>
          <w:color w:val="000000" w:themeColor="text1"/>
        </w:rPr>
        <w:t>a</w:t>
      </w:r>
      <w:r>
        <w:rPr>
          <w:rFonts w:ascii="Palatino Linotype" w:hAnsi="Palatino Linotype"/>
          <w:color w:val="000000" w:themeColor="text1"/>
        </w:rPr>
        <w:t xml:space="preserve">st, East Bay, and Tahoe Basin in the event of </w:t>
      </w:r>
      <w:r w:rsidR="00834A88" w:rsidRPr="001C265B">
        <w:rPr>
          <w:rFonts w:ascii="Palatino Linotype" w:hAnsi="Palatino Linotype"/>
          <w:color w:val="000000" w:themeColor="text1"/>
        </w:rPr>
        <w:t xml:space="preserve">fire, flooding, and earthquakes. </w:t>
      </w:r>
    </w:p>
    <w:p w:rsidR="00392F9A" w:rsidRDefault="00392F9A" w:rsidP="00846D53">
      <w:pPr>
        <w:tabs>
          <w:tab w:val="right" w:pos="10080"/>
        </w:tabs>
        <w:rPr>
          <w:rFonts w:ascii="Palatino Linotype" w:hAnsi="Palatino Linotype"/>
          <w:b/>
          <w:color w:val="000000" w:themeColor="text1"/>
          <w:u w:val="single"/>
        </w:rPr>
      </w:pPr>
    </w:p>
    <w:p w:rsidR="00846D53" w:rsidRPr="000571D5" w:rsidRDefault="00E532A0" w:rsidP="00846D53">
      <w:pPr>
        <w:tabs>
          <w:tab w:val="right" w:pos="10080"/>
        </w:tabs>
        <w:rPr>
          <w:rFonts w:ascii="Palatino Linotype" w:hAnsi="Palatino Linotype"/>
          <w:b/>
          <w:color w:val="000000" w:themeColor="text1"/>
        </w:rPr>
      </w:pPr>
      <w:r w:rsidRPr="000571D5">
        <w:rPr>
          <w:rFonts w:ascii="Palatino Linotype" w:hAnsi="Palatino Linotype"/>
          <w:b/>
          <w:color w:val="000000" w:themeColor="text1"/>
        </w:rPr>
        <w:lastRenderedPageBreak/>
        <w:t>II.     BACKGROUND</w:t>
      </w:r>
    </w:p>
    <w:p w:rsidR="003B11FD" w:rsidRPr="001377AE" w:rsidRDefault="003B11FD" w:rsidP="001377AE">
      <w:pPr>
        <w:pStyle w:val="Default"/>
        <w:rPr>
          <w:rFonts w:ascii="Palatino Linotype" w:hAnsi="Palatino Linotype"/>
          <w:color w:val="000000" w:themeColor="text1"/>
        </w:rPr>
      </w:pPr>
    </w:p>
    <w:p w:rsidR="001B6793" w:rsidRPr="001C265B" w:rsidRDefault="0002477B" w:rsidP="00241E4C">
      <w:pPr>
        <w:rPr>
          <w:rFonts w:ascii="Palatino Linotype" w:hAnsi="Palatino Linotype"/>
          <w:color w:val="000000" w:themeColor="text1"/>
        </w:rPr>
      </w:pPr>
      <w:r w:rsidRPr="001C265B">
        <w:rPr>
          <w:rFonts w:ascii="Palatino Linotype" w:hAnsi="Palatino Linotype"/>
          <w:color w:val="000000" w:themeColor="text1"/>
        </w:rPr>
        <w:t xml:space="preserve">On September 2, 2015, the Governor signed </w:t>
      </w:r>
      <w:r w:rsidR="00677329">
        <w:rPr>
          <w:rFonts w:ascii="Palatino Linotype" w:hAnsi="Palatino Linotype"/>
          <w:color w:val="000000" w:themeColor="text1"/>
        </w:rPr>
        <w:t>AB 1262 (Wood, Chapter 242, Statues of 2015)</w:t>
      </w:r>
      <w:r w:rsidRPr="001C265B">
        <w:rPr>
          <w:rFonts w:ascii="Palatino Linotype" w:hAnsi="Palatino Linotype"/>
          <w:color w:val="000000" w:themeColor="text1"/>
        </w:rPr>
        <w:t xml:space="preserve"> that reallocated $5 </w:t>
      </w:r>
      <w:r w:rsidR="004307A9">
        <w:rPr>
          <w:rFonts w:ascii="Palatino Linotype" w:hAnsi="Palatino Linotype"/>
          <w:color w:val="000000" w:themeColor="text1"/>
        </w:rPr>
        <w:t>m</w:t>
      </w:r>
      <w:r w:rsidRPr="001C265B">
        <w:rPr>
          <w:rFonts w:ascii="Palatino Linotype" w:hAnsi="Palatino Linotype"/>
          <w:color w:val="000000" w:themeColor="text1"/>
        </w:rPr>
        <w:t xml:space="preserve">illion from the CASF Broadband Infrastructure Revolving Loan Account to the CASF Consortia Account, thus making more funds available for consortia activities. </w:t>
      </w:r>
      <w:r w:rsidR="00FE6903" w:rsidRPr="001C265B">
        <w:rPr>
          <w:rFonts w:ascii="Palatino Linotype" w:hAnsi="Palatino Linotype"/>
          <w:color w:val="000000" w:themeColor="text1"/>
        </w:rPr>
        <w:t xml:space="preserve"> Prospective applicants were in</w:t>
      </w:r>
      <w:r w:rsidR="0095172B" w:rsidRPr="001C265B">
        <w:rPr>
          <w:rFonts w:ascii="Palatino Linotype" w:hAnsi="Palatino Linotype"/>
          <w:color w:val="000000" w:themeColor="text1"/>
        </w:rPr>
        <w:t>vited to submit new proposals</w:t>
      </w:r>
      <w:r w:rsidR="00FE6903" w:rsidRPr="001C265B">
        <w:rPr>
          <w:rFonts w:ascii="Palatino Linotype" w:hAnsi="Palatino Linotype"/>
          <w:color w:val="000000" w:themeColor="text1"/>
        </w:rPr>
        <w:t xml:space="preserve"> on January 29, 2016.</w:t>
      </w:r>
      <w:r w:rsidR="00791314">
        <w:rPr>
          <w:rFonts w:ascii="Palatino Linotype" w:hAnsi="Palatino Linotype"/>
          <w:color w:val="000000" w:themeColor="text1"/>
        </w:rPr>
        <w:t xml:space="preserve"> </w:t>
      </w:r>
      <w:r w:rsidR="00FE6903" w:rsidRPr="001C265B">
        <w:rPr>
          <w:rFonts w:ascii="Palatino Linotype" w:hAnsi="Palatino Linotype"/>
          <w:color w:val="000000" w:themeColor="text1"/>
        </w:rPr>
        <w:t xml:space="preserve"> </w:t>
      </w:r>
      <w:r w:rsidRPr="001C265B">
        <w:rPr>
          <w:rFonts w:ascii="Palatino Linotype" w:hAnsi="Palatino Linotype"/>
          <w:color w:val="000000" w:themeColor="text1"/>
        </w:rPr>
        <w:t xml:space="preserve">The recent application process is consistent with </w:t>
      </w:r>
      <w:r w:rsidR="00941623" w:rsidRPr="001C265B">
        <w:rPr>
          <w:rFonts w:ascii="Palatino Linotype" w:hAnsi="Palatino Linotype"/>
          <w:color w:val="000000" w:themeColor="text1"/>
        </w:rPr>
        <w:t xml:space="preserve">Decision </w:t>
      </w:r>
      <w:r w:rsidRPr="001C265B">
        <w:rPr>
          <w:rFonts w:ascii="Palatino Linotype" w:hAnsi="Palatino Linotype"/>
          <w:color w:val="000000" w:themeColor="text1"/>
        </w:rPr>
        <w:t>(</w:t>
      </w:r>
      <w:hyperlink r:id="rId9" w:tgtFrame="_blank" w:tooltip="D.)11-06-038" w:history="1">
        <w:r w:rsidRPr="001C265B">
          <w:rPr>
            <w:rFonts w:ascii="Palatino Linotype" w:hAnsi="Palatino Linotype"/>
            <w:color w:val="000000" w:themeColor="text1"/>
          </w:rPr>
          <w:t>D.)</w:t>
        </w:r>
        <w:r w:rsidR="00776D66" w:rsidRPr="001C265B">
          <w:rPr>
            <w:rFonts w:ascii="Palatino Linotype" w:hAnsi="Palatino Linotype"/>
            <w:color w:val="000000" w:themeColor="text1"/>
          </w:rPr>
          <w:t xml:space="preserve"> </w:t>
        </w:r>
        <w:r w:rsidRPr="001C265B">
          <w:rPr>
            <w:rFonts w:ascii="Palatino Linotype" w:hAnsi="Palatino Linotype"/>
            <w:color w:val="000000" w:themeColor="text1"/>
          </w:rPr>
          <w:t>11-06-038</w:t>
        </w:r>
      </w:hyperlink>
      <w:r w:rsidR="00776D66" w:rsidRPr="001C265B">
        <w:rPr>
          <w:rFonts w:ascii="Palatino Linotype" w:hAnsi="Palatino Linotype"/>
          <w:color w:val="000000" w:themeColor="text1"/>
        </w:rPr>
        <w:t>, with the addition of a performance review for applicants with prior Consortia grant experience</w:t>
      </w:r>
      <w:r w:rsidRPr="001C265B">
        <w:rPr>
          <w:rFonts w:ascii="Palatino Linotype" w:hAnsi="Palatino Linotype"/>
          <w:color w:val="000000" w:themeColor="text1"/>
        </w:rPr>
        <w:t xml:space="preserve">. </w:t>
      </w:r>
      <w:r w:rsidR="00776D66" w:rsidRPr="001C265B">
        <w:rPr>
          <w:rFonts w:ascii="Palatino Linotype" w:hAnsi="Palatino Linotype"/>
          <w:color w:val="000000" w:themeColor="text1"/>
        </w:rPr>
        <w:t xml:space="preserve">  </w:t>
      </w:r>
    </w:p>
    <w:p w:rsidR="006B231F" w:rsidRPr="000571D5" w:rsidRDefault="006B231F" w:rsidP="00846D53">
      <w:pPr>
        <w:pStyle w:val="Default"/>
        <w:rPr>
          <w:rFonts w:ascii="Palatino Linotype" w:hAnsi="Palatino Linotype"/>
          <w:color w:val="000000" w:themeColor="text1"/>
        </w:rPr>
      </w:pPr>
    </w:p>
    <w:p w:rsidR="00370BD8" w:rsidRPr="000571D5" w:rsidRDefault="00E532A0" w:rsidP="007765CB">
      <w:pPr>
        <w:tabs>
          <w:tab w:val="right" w:pos="10080"/>
        </w:tabs>
        <w:rPr>
          <w:rFonts w:ascii="Palatino Linotype" w:hAnsi="Palatino Linotype"/>
          <w:b/>
          <w:color w:val="000000" w:themeColor="text1"/>
        </w:rPr>
      </w:pPr>
      <w:bookmarkStart w:id="0" w:name="_Toc444857025"/>
      <w:r w:rsidRPr="000571D5">
        <w:rPr>
          <w:rFonts w:ascii="Palatino Linotype" w:hAnsi="Palatino Linotype"/>
          <w:b/>
          <w:color w:val="000000" w:themeColor="text1"/>
        </w:rPr>
        <w:t xml:space="preserve">III.     </w:t>
      </w:r>
      <w:r w:rsidR="00F81E4A">
        <w:rPr>
          <w:rFonts w:ascii="Palatino Linotype" w:hAnsi="Palatino Linotype"/>
          <w:b/>
          <w:color w:val="000000" w:themeColor="text1"/>
        </w:rPr>
        <w:t xml:space="preserve">APPLICANT REQUEST </w:t>
      </w:r>
      <w:bookmarkEnd w:id="0"/>
    </w:p>
    <w:p w:rsidR="006B231F" w:rsidRPr="000571D5" w:rsidRDefault="006B231F" w:rsidP="00846D53">
      <w:pPr>
        <w:pStyle w:val="Default"/>
        <w:rPr>
          <w:rFonts w:ascii="Palatino Linotype" w:hAnsi="Palatino Linotype"/>
          <w:color w:val="000000" w:themeColor="text1"/>
        </w:rPr>
      </w:pPr>
    </w:p>
    <w:p w:rsidR="00F81E4A" w:rsidRDefault="0095172B" w:rsidP="00846D53">
      <w:pPr>
        <w:pStyle w:val="Default"/>
        <w:rPr>
          <w:rFonts w:ascii="Palatino Linotype" w:hAnsi="Palatino Linotype"/>
          <w:color w:val="000000" w:themeColor="text1"/>
        </w:rPr>
      </w:pPr>
      <w:r>
        <w:rPr>
          <w:rFonts w:ascii="Palatino Linotype" w:hAnsi="Palatino Linotype"/>
          <w:color w:val="000000" w:themeColor="text1"/>
        </w:rPr>
        <w:t>On January 29, 2016</w:t>
      </w:r>
      <w:r w:rsidR="00E532A0" w:rsidRPr="000571D5">
        <w:rPr>
          <w:rFonts w:ascii="Palatino Linotype" w:hAnsi="Palatino Linotype"/>
          <w:color w:val="000000" w:themeColor="text1"/>
        </w:rPr>
        <w:t xml:space="preserve">, </w:t>
      </w:r>
      <w:r w:rsidR="00930D78">
        <w:rPr>
          <w:rFonts w:ascii="Palatino Linotype" w:hAnsi="Palatino Linotype"/>
          <w:color w:val="000000" w:themeColor="text1"/>
        </w:rPr>
        <w:t>CCBC</w:t>
      </w:r>
      <w:r w:rsidR="00F81E4A" w:rsidRPr="000571D5">
        <w:rPr>
          <w:rFonts w:ascii="Palatino Linotype" w:hAnsi="Palatino Linotype"/>
          <w:color w:val="000000" w:themeColor="text1"/>
        </w:rPr>
        <w:t xml:space="preserve">, </w:t>
      </w:r>
      <w:r w:rsidR="00930D78">
        <w:rPr>
          <w:rFonts w:ascii="Palatino Linotype" w:hAnsi="Palatino Linotype"/>
          <w:color w:val="000000" w:themeColor="text1"/>
        </w:rPr>
        <w:t>EBBC</w:t>
      </w:r>
      <w:r w:rsidR="00F81E4A">
        <w:rPr>
          <w:rFonts w:ascii="Palatino Linotype" w:hAnsi="Palatino Linotype"/>
          <w:color w:val="000000" w:themeColor="text1"/>
        </w:rPr>
        <w:t xml:space="preserve">, and </w:t>
      </w:r>
      <w:r w:rsidR="00930D78">
        <w:rPr>
          <w:rFonts w:ascii="Palatino Linotype" w:hAnsi="Palatino Linotype"/>
          <w:color w:val="000000" w:themeColor="text1"/>
        </w:rPr>
        <w:t>TBP</w:t>
      </w:r>
      <w:r w:rsidR="00F81E4A">
        <w:rPr>
          <w:rFonts w:ascii="Palatino Linotype" w:hAnsi="Palatino Linotype"/>
          <w:color w:val="000000" w:themeColor="text1"/>
        </w:rPr>
        <w:t xml:space="preserve"> </w:t>
      </w:r>
      <w:r w:rsidR="00E532A0" w:rsidRPr="000571D5">
        <w:rPr>
          <w:rFonts w:ascii="Palatino Linotype" w:hAnsi="Palatino Linotype"/>
          <w:color w:val="000000" w:themeColor="text1"/>
        </w:rPr>
        <w:t xml:space="preserve">submitted </w:t>
      </w:r>
      <w:r w:rsidR="00785152">
        <w:rPr>
          <w:rFonts w:ascii="Palatino Linotype" w:hAnsi="Palatino Linotype"/>
          <w:color w:val="000000" w:themeColor="text1"/>
        </w:rPr>
        <w:t xml:space="preserve">grant </w:t>
      </w:r>
      <w:r w:rsidR="00F81E4A">
        <w:rPr>
          <w:rFonts w:ascii="Palatino Linotype" w:hAnsi="Palatino Linotype"/>
          <w:color w:val="000000" w:themeColor="text1"/>
        </w:rPr>
        <w:t xml:space="preserve">applications </w:t>
      </w:r>
      <w:r w:rsidR="00E532A0" w:rsidRPr="000571D5">
        <w:rPr>
          <w:rFonts w:ascii="Palatino Linotype" w:hAnsi="Palatino Linotype"/>
          <w:color w:val="000000" w:themeColor="text1"/>
        </w:rPr>
        <w:t xml:space="preserve">for CASF </w:t>
      </w:r>
      <w:r>
        <w:rPr>
          <w:rFonts w:ascii="Palatino Linotype" w:hAnsi="Palatino Linotype"/>
          <w:color w:val="000000" w:themeColor="text1"/>
        </w:rPr>
        <w:t xml:space="preserve">Consortia </w:t>
      </w:r>
      <w:r w:rsidR="00E532A0" w:rsidRPr="000571D5">
        <w:rPr>
          <w:rFonts w:ascii="Palatino Linotype" w:hAnsi="Palatino Linotype"/>
          <w:color w:val="000000" w:themeColor="text1"/>
        </w:rPr>
        <w:t>funding.</w:t>
      </w:r>
      <w:r w:rsidR="00834A88">
        <w:rPr>
          <w:rStyle w:val="FootnoteReference"/>
          <w:rFonts w:ascii="Palatino Linotype" w:hAnsi="Palatino Linotype"/>
          <w:color w:val="000000" w:themeColor="text1"/>
        </w:rPr>
        <w:footnoteReference w:id="2"/>
      </w:r>
      <w:r w:rsidR="00E532A0" w:rsidRPr="000571D5">
        <w:rPr>
          <w:rFonts w:ascii="Palatino Linotype" w:hAnsi="Palatino Linotype"/>
          <w:color w:val="000000" w:themeColor="text1"/>
        </w:rPr>
        <w:t xml:space="preserve">  </w:t>
      </w:r>
    </w:p>
    <w:p w:rsidR="00F81E4A" w:rsidRDefault="00F81E4A" w:rsidP="00846D53">
      <w:pPr>
        <w:pStyle w:val="Default"/>
        <w:rPr>
          <w:rFonts w:ascii="Palatino Linotype" w:hAnsi="Palatino Linotype"/>
          <w:color w:val="000000" w:themeColor="text1"/>
        </w:rPr>
      </w:pPr>
    </w:p>
    <w:p w:rsidR="0063775D" w:rsidRDefault="00F81E4A" w:rsidP="00846D53">
      <w:pPr>
        <w:pStyle w:val="Default"/>
        <w:rPr>
          <w:rFonts w:ascii="Palatino Linotype" w:hAnsi="Palatino Linotype"/>
          <w:color w:val="000000" w:themeColor="text1"/>
        </w:rPr>
      </w:pPr>
      <w:r w:rsidRPr="000571D5">
        <w:rPr>
          <w:rFonts w:ascii="Palatino Linotype" w:hAnsi="Palatino Linotype"/>
          <w:i/>
          <w:color w:val="000000" w:themeColor="text1"/>
        </w:rPr>
        <w:t>Applicants:</w:t>
      </w:r>
      <w:r w:rsidRPr="000571D5">
        <w:rPr>
          <w:rFonts w:ascii="Palatino Linotype" w:hAnsi="Palatino Linotype"/>
          <w:color w:val="000000" w:themeColor="text1"/>
        </w:rPr>
        <w:t xml:space="preserve">  </w:t>
      </w:r>
    </w:p>
    <w:p w:rsidR="00F81E4A" w:rsidRDefault="00F81E4A" w:rsidP="00846D53">
      <w:pPr>
        <w:pStyle w:val="Default"/>
        <w:rPr>
          <w:rFonts w:ascii="Palatino Linotype" w:hAnsi="Palatino Linotype"/>
          <w:color w:val="000000" w:themeColor="text1"/>
        </w:rPr>
      </w:pPr>
      <w:r w:rsidRPr="00A77ADC">
        <w:rPr>
          <w:rFonts w:ascii="Palatino Linotype" w:hAnsi="Palatino Linotype"/>
          <w:b/>
          <w:color w:val="000000" w:themeColor="text1"/>
        </w:rPr>
        <w:t>CCBC</w:t>
      </w:r>
      <w:r w:rsidR="0063775D">
        <w:rPr>
          <w:rFonts w:ascii="Palatino Linotype" w:hAnsi="Palatino Linotype"/>
          <w:color w:val="000000" w:themeColor="text1"/>
        </w:rPr>
        <w:t xml:space="preserve"> represents Monterey, Santa Cruz, and San Benito Counties.</w:t>
      </w:r>
      <w:r w:rsidR="00241E4C">
        <w:rPr>
          <w:rFonts w:ascii="Palatino Linotype" w:hAnsi="Palatino Linotype"/>
          <w:color w:val="000000" w:themeColor="text1"/>
        </w:rPr>
        <w:t xml:space="preserve">  CCBC was approved </w:t>
      </w:r>
      <w:r w:rsidR="00086D23">
        <w:rPr>
          <w:rFonts w:ascii="Palatino Linotype" w:hAnsi="Palatino Linotype"/>
          <w:color w:val="000000" w:themeColor="text1"/>
        </w:rPr>
        <w:t>fo</w:t>
      </w:r>
      <w:r w:rsidR="009D6973">
        <w:rPr>
          <w:rFonts w:ascii="Palatino Linotype" w:hAnsi="Palatino Linotype"/>
          <w:color w:val="000000" w:themeColor="text1"/>
        </w:rPr>
        <w:t>r a $450,000 Consortia Account g</w:t>
      </w:r>
      <w:r w:rsidR="00086D23">
        <w:rPr>
          <w:rFonts w:ascii="Palatino Linotype" w:hAnsi="Palatino Linotype"/>
          <w:color w:val="000000" w:themeColor="text1"/>
        </w:rPr>
        <w:t>rant in December 2011</w:t>
      </w:r>
      <w:r w:rsidR="009D6973">
        <w:rPr>
          <w:rFonts w:ascii="Palatino Linotype" w:hAnsi="Palatino Linotype"/>
          <w:color w:val="000000" w:themeColor="text1"/>
        </w:rPr>
        <w:t xml:space="preserve">(Resolution </w:t>
      </w:r>
      <w:r w:rsidR="009D6973">
        <w:rPr>
          <w:rFonts w:ascii="Palatino" w:hAnsi="Palatino" w:cs="Times New Roman"/>
          <w:bCs/>
          <w:szCs w:val="20"/>
        </w:rPr>
        <w:t>T- 17349)</w:t>
      </w:r>
      <w:r w:rsidR="003F1483">
        <w:rPr>
          <w:rFonts w:ascii="Palatino Linotype" w:hAnsi="Palatino Linotype"/>
          <w:color w:val="000000" w:themeColor="text1"/>
        </w:rPr>
        <w:t xml:space="preserve">.  </w:t>
      </w:r>
      <w:r w:rsidR="001E5DB0">
        <w:rPr>
          <w:rFonts w:ascii="Palatino Linotype" w:hAnsi="Palatino Linotype"/>
          <w:color w:val="000000" w:themeColor="text1"/>
        </w:rPr>
        <w:t>The fourth year extension of the program</w:t>
      </w:r>
      <w:r w:rsidR="00044981">
        <w:rPr>
          <w:rFonts w:ascii="Palatino Linotype" w:hAnsi="Palatino Linotype"/>
          <w:color w:val="000000" w:themeColor="text1"/>
        </w:rPr>
        <w:t xml:space="preserve"> ended in December 2015</w:t>
      </w:r>
      <w:r w:rsidR="00B50924">
        <w:rPr>
          <w:rFonts w:ascii="Palatino Linotype" w:hAnsi="Palatino Linotype"/>
          <w:color w:val="000000" w:themeColor="text1"/>
        </w:rPr>
        <w:t>.</w:t>
      </w:r>
      <w:r w:rsidR="003F1483">
        <w:rPr>
          <w:rFonts w:ascii="Palatino Linotype" w:hAnsi="Palatino Linotype"/>
          <w:color w:val="000000" w:themeColor="text1"/>
        </w:rPr>
        <w:t xml:space="preserve">  CCBC’s </w:t>
      </w:r>
      <w:r w:rsidR="004307A9">
        <w:rPr>
          <w:rFonts w:ascii="Palatino Linotype" w:hAnsi="Palatino Linotype"/>
          <w:color w:val="000000" w:themeColor="text1"/>
        </w:rPr>
        <w:t>c</w:t>
      </w:r>
      <w:r w:rsidR="003F1483">
        <w:rPr>
          <w:rFonts w:ascii="Palatino Linotype" w:hAnsi="Palatino Linotype"/>
          <w:color w:val="000000" w:themeColor="text1"/>
        </w:rPr>
        <w:t>onsortia grant</w:t>
      </w:r>
      <w:r w:rsidR="001E5DB0">
        <w:rPr>
          <w:rFonts w:ascii="Palatino Linotype" w:hAnsi="Palatino Linotype"/>
          <w:color w:val="000000" w:themeColor="text1"/>
        </w:rPr>
        <w:t xml:space="preserve"> approval was </w:t>
      </w:r>
      <w:r w:rsidR="00D22409">
        <w:rPr>
          <w:rFonts w:ascii="Palatino Linotype" w:hAnsi="Palatino Linotype"/>
          <w:color w:val="000000" w:themeColor="text1"/>
        </w:rPr>
        <w:t xml:space="preserve">for </w:t>
      </w:r>
      <w:r w:rsidR="00D975D3">
        <w:rPr>
          <w:rFonts w:ascii="Palatino Linotype" w:hAnsi="Palatino Linotype"/>
          <w:color w:val="000000" w:themeColor="text1"/>
        </w:rPr>
        <w:t>infrastructure data collection and analysis, model policy development</w:t>
      </w:r>
      <w:r w:rsidR="00785152">
        <w:rPr>
          <w:rFonts w:ascii="Palatino Linotype" w:hAnsi="Palatino Linotype"/>
          <w:color w:val="000000" w:themeColor="text1"/>
        </w:rPr>
        <w:t>,</w:t>
      </w:r>
      <w:r w:rsidR="00D975D3">
        <w:rPr>
          <w:rFonts w:ascii="Palatino Linotype" w:hAnsi="Palatino Linotype"/>
          <w:color w:val="000000" w:themeColor="text1"/>
        </w:rPr>
        <w:t xml:space="preserve"> and diffusion</w:t>
      </w:r>
      <w:r w:rsidR="00023DE4">
        <w:rPr>
          <w:rFonts w:ascii="Palatino Linotype" w:hAnsi="Palatino Linotype"/>
          <w:color w:val="000000" w:themeColor="text1"/>
        </w:rPr>
        <w:t xml:space="preserve"> of </w:t>
      </w:r>
      <w:r w:rsidR="001C265B">
        <w:rPr>
          <w:rFonts w:ascii="Palatino Linotype" w:hAnsi="Palatino Linotype"/>
          <w:color w:val="000000" w:themeColor="text1"/>
        </w:rPr>
        <w:t>its</w:t>
      </w:r>
      <w:r w:rsidR="00023DE4">
        <w:rPr>
          <w:rFonts w:ascii="Palatino Linotype" w:hAnsi="Palatino Linotype"/>
          <w:color w:val="000000" w:themeColor="text1"/>
        </w:rPr>
        <w:t xml:space="preserve"> information</w:t>
      </w:r>
      <w:r w:rsidR="00044981">
        <w:rPr>
          <w:rFonts w:ascii="Palatino Linotype" w:hAnsi="Palatino Linotype"/>
          <w:color w:val="000000" w:themeColor="text1"/>
        </w:rPr>
        <w:t>.</w:t>
      </w:r>
      <w:r w:rsidR="00044981">
        <w:rPr>
          <w:rStyle w:val="FootnoteReference"/>
          <w:rFonts w:ascii="Palatino Linotype" w:hAnsi="Palatino Linotype"/>
          <w:color w:val="000000" w:themeColor="text1"/>
        </w:rPr>
        <w:footnoteReference w:id="3"/>
      </w:r>
      <w:r w:rsidR="00044981">
        <w:rPr>
          <w:rFonts w:ascii="Palatino Linotype" w:hAnsi="Palatino Linotype"/>
          <w:color w:val="000000" w:themeColor="text1"/>
        </w:rPr>
        <w:t xml:space="preserve"> </w:t>
      </w:r>
    </w:p>
    <w:p w:rsidR="00F81E4A" w:rsidRDefault="00F81E4A" w:rsidP="00846D53">
      <w:pPr>
        <w:pStyle w:val="Default"/>
        <w:rPr>
          <w:rFonts w:ascii="Palatino Linotype" w:hAnsi="Palatino Linotype"/>
          <w:color w:val="000000" w:themeColor="text1"/>
        </w:rPr>
      </w:pPr>
    </w:p>
    <w:p w:rsidR="003F1483" w:rsidRDefault="00F81E4A" w:rsidP="00846D53">
      <w:pPr>
        <w:pStyle w:val="Default"/>
        <w:rPr>
          <w:rFonts w:ascii="Palatino Linotype" w:hAnsi="Palatino Linotype"/>
          <w:color w:val="000000" w:themeColor="text1"/>
        </w:rPr>
      </w:pPr>
      <w:r w:rsidRPr="00A77ADC">
        <w:rPr>
          <w:rFonts w:ascii="Palatino Linotype" w:hAnsi="Palatino Linotype"/>
          <w:b/>
          <w:color w:val="000000" w:themeColor="text1"/>
        </w:rPr>
        <w:t>EBBC</w:t>
      </w:r>
      <w:r w:rsidR="0063775D">
        <w:rPr>
          <w:rFonts w:ascii="Palatino Linotype" w:hAnsi="Palatino Linotype"/>
          <w:color w:val="000000" w:themeColor="text1"/>
        </w:rPr>
        <w:t xml:space="preserve"> represents Alameda, Contra Costa, and Solano Counties</w:t>
      </w:r>
      <w:r w:rsidR="00D975D3">
        <w:rPr>
          <w:rFonts w:ascii="Palatino Linotype" w:hAnsi="Palatino Linotype"/>
          <w:color w:val="000000" w:themeColor="text1"/>
        </w:rPr>
        <w:t>.  EBBC was approved fo</w:t>
      </w:r>
      <w:r w:rsidR="009D6973">
        <w:rPr>
          <w:rFonts w:ascii="Palatino Linotype" w:hAnsi="Palatino Linotype"/>
          <w:color w:val="000000" w:themeColor="text1"/>
        </w:rPr>
        <w:t>r a $450,000 Consortia Account g</w:t>
      </w:r>
      <w:r w:rsidR="00D975D3">
        <w:rPr>
          <w:rFonts w:ascii="Palatino Linotype" w:hAnsi="Palatino Linotype"/>
          <w:color w:val="000000" w:themeColor="text1"/>
        </w:rPr>
        <w:t>rant in December 2011</w:t>
      </w:r>
      <w:r w:rsidR="009D6973">
        <w:rPr>
          <w:rFonts w:ascii="Palatino Linotype" w:hAnsi="Palatino Linotype"/>
          <w:color w:val="000000" w:themeColor="text1"/>
        </w:rPr>
        <w:t xml:space="preserve">(Resolution </w:t>
      </w:r>
      <w:r w:rsidR="009D6973">
        <w:rPr>
          <w:rFonts w:ascii="Palatino" w:hAnsi="Palatino" w:cs="Times New Roman"/>
          <w:bCs/>
          <w:szCs w:val="20"/>
        </w:rPr>
        <w:t>T- 17349)</w:t>
      </w:r>
      <w:r w:rsidR="00D975D3">
        <w:rPr>
          <w:rFonts w:ascii="Palatino Linotype" w:hAnsi="Palatino Linotype"/>
          <w:color w:val="000000" w:themeColor="text1"/>
        </w:rPr>
        <w:t>.  The fourth year extension of the program ended in December 2015</w:t>
      </w:r>
      <w:r w:rsidR="001E5DB0">
        <w:rPr>
          <w:rFonts w:ascii="Palatino Linotype" w:hAnsi="Palatino Linotype"/>
          <w:color w:val="000000" w:themeColor="text1"/>
        </w:rPr>
        <w:t xml:space="preserve">.  </w:t>
      </w:r>
      <w:r w:rsidR="003F1483">
        <w:rPr>
          <w:rFonts w:ascii="Palatino Linotype" w:hAnsi="Palatino Linotype"/>
          <w:color w:val="000000" w:themeColor="text1"/>
        </w:rPr>
        <w:t xml:space="preserve">EBBC’s </w:t>
      </w:r>
      <w:r w:rsidR="004307A9">
        <w:rPr>
          <w:rFonts w:ascii="Palatino Linotype" w:hAnsi="Palatino Linotype"/>
          <w:color w:val="000000" w:themeColor="text1"/>
        </w:rPr>
        <w:t>c</w:t>
      </w:r>
      <w:r w:rsidR="003F1483">
        <w:rPr>
          <w:rFonts w:ascii="Palatino Linotype" w:hAnsi="Palatino Linotype"/>
          <w:color w:val="000000" w:themeColor="text1"/>
        </w:rPr>
        <w:t xml:space="preserve">onsortia grant approval was for the development of </w:t>
      </w:r>
      <w:r w:rsidR="001C265B">
        <w:rPr>
          <w:rFonts w:ascii="Palatino Linotype" w:hAnsi="Palatino Linotype"/>
          <w:color w:val="000000" w:themeColor="text1"/>
        </w:rPr>
        <w:t>an</w:t>
      </w:r>
      <w:r w:rsidR="00FA1A32">
        <w:rPr>
          <w:rFonts w:ascii="Palatino Linotype" w:hAnsi="Palatino Linotype"/>
          <w:color w:val="000000" w:themeColor="text1"/>
        </w:rPr>
        <w:t xml:space="preserve"> infrastructure needs assessment and </w:t>
      </w:r>
      <w:r w:rsidR="003F1483">
        <w:rPr>
          <w:rFonts w:ascii="Palatino Linotype" w:hAnsi="Palatino Linotype"/>
          <w:color w:val="000000" w:themeColor="text1"/>
        </w:rPr>
        <w:t>i</w:t>
      </w:r>
      <w:r w:rsidR="00FA1A32">
        <w:rPr>
          <w:rFonts w:ascii="Palatino Linotype" w:hAnsi="Palatino Linotype"/>
          <w:color w:val="000000" w:themeColor="text1"/>
        </w:rPr>
        <w:t>mprovements in broadband infrastructure</w:t>
      </w:r>
      <w:r w:rsidR="003F1483">
        <w:rPr>
          <w:rFonts w:ascii="Palatino Linotype" w:hAnsi="Palatino Linotype"/>
          <w:color w:val="000000" w:themeColor="text1"/>
        </w:rPr>
        <w:t xml:space="preserve">.  EBBC </w:t>
      </w:r>
      <w:r w:rsidR="00FA1A32">
        <w:rPr>
          <w:rFonts w:ascii="Palatino Linotype" w:hAnsi="Palatino Linotype"/>
          <w:color w:val="000000" w:themeColor="text1"/>
        </w:rPr>
        <w:t>joined with other organizations to provide free refurbished computers, tech support, and digital training for those without access.</w:t>
      </w:r>
      <w:r w:rsidR="003F1483">
        <w:rPr>
          <w:rStyle w:val="FootnoteReference"/>
          <w:rFonts w:ascii="Palatino Linotype" w:hAnsi="Palatino Linotype"/>
          <w:color w:val="000000" w:themeColor="text1"/>
        </w:rPr>
        <w:footnoteReference w:id="4"/>
      </w:r>
    </w:p>
    <w:p w:rsidR="00F81E4A" w:rsidRDefault="00F81E4A" w:rsidP="00846D53">
      <w:pPr>
        <w:pStyle w:val="Default"/>
        <w:rPr>
          <w:rFonts w:ascii="Palatino Linotype" w:hAnsi="Palatino Linotype"/>
          <w:color w:val="000000" w:themeColor="text1"/>
        </w:rPr>
      </w:pPr>
    </w:p>
    <w:p w:rsidR="00F81E4A" w:rsidRDefault="00F81E4A" w:rsidP="00846D53">
      <w:pPr>
        <w:pStyle w:val="Default"/>
        <w:rPr>
          <w:rFonts w:ascii="Palatino Linotype" w:hAnsi="Palatino Linotype"/>
          <w:color w:val="000000" w:themeColor="text1"/>
        </w:rPr>
      </w:pPr>
      <w:r w:rsidRPr="00A77ADC">
        <w:rPr>
          <w:rFonts w:ascii="Palatino Linotype" w:hAnsi="Palatino Linotype"/>
          <w:b/>
          <w:color w:val="000000" w:themeColor="text1"/>
        </w:rPr>
        <w:t>TBP</w:t>
      </w:r>
      <w:r w:rsidR="0063775D">
        <w:rPr>
          <w:rFonts w:ascii="Palatino Linotype" w:hAnsi="Palatino Linotype"/>
          <w:color w:val="000000" w:themeColor="text1"/>
        </w:rPr>
        <w:t xml:space="preserve"> </w:t>
      </w:r>
      <w:r w:rsidR="006E16B9">
        <w:rPr>
          <w:rFonts w:ascii="Palatino Linotype" w:hAnsi="Palatino Linotype"/>
          <w:color w:val="000000" w:themeColor="text1"/>
        </w:rPr>
        <w:t xml:space="preserve">represents </w:t>
      </w:r>
      <w:r w:rsidR="002F2118">
        <w:rPr>
          <w:rFonts w:ascii="Palatino Linotype" w:hAnsi="Palatino Linotype"/>
          <w:color w:val="000000" w:themeColor="text1"/>
        </w:rPr>
        <w:t xml:space="preserve">the </w:t>
      </w:r>
      <w:r w:rsidR="006E16B9">
        <w:rPr>
          <w:rFonts w:ascii="Palatino Linotype" w:hAnsi="Palatino Linotype"/>
          <w:color w:val="000000" w:themeColor="text1"/>
        </w:rPr>
        <w:t>Lake Tahoe Basin</w:t>
      </w:r>
      <w:r w:rsidR="00785152">
        <w:rPr>
          <w:rFonts w:ascii="Palatino Linotype" w:hAnsi="Palatino Linotype"/>
          <w:color w:val="000000" w:themeColor="text1"/>
        </w:rPr>
        <w:t>, and is located within the Gold Country Consortium region</w:t>
      </w:r>
      <w:r w:rsidR="009D6973">
        <w:rPr>
          <w:rFonts w:ascii="Palatino Linotype" w:hAnsi="Palatino Linotype"/>
          <w:color w:val="000000" w:themeColor="text1"/>
        </w:rPr>
        <w:t xml:space="preserve">.  In </w:t>
      </w:r>
      <w:r w:rsidR="009B1F31">
        <w:rPr>
          <w:rFonts w:ascii="Palatino Linotype" w:hAnsi="Palatino Linotype"/>
          <w:color w:val="000000" w:themeColor="text1"/>
        </w:rPr>
        <w:t>May 2014,</w:t>
      </w:r>
      <w:r w:rsidR="00B0771A">
        <w:rPr>
          <w:rFonts w:ascii="Palatino Linotype" w:hAnsi="Palatino Linotype"/>
          <w:color w:val="000000" w:themeColor="text1"/>
        </w:rPr>
        <w:t xml:space="preserve"> </w:t>
      </w:r>
      <w:r w:rsidR="009B1F31">
        <w:rPr>
          <w:rFonts w:ascii="Palatino Linotype" w:hAnsi="Palatino Linotype"/>
          <w:color w:val="000000" w:themeColor="text1"/>
        </w:rPr>
        <w:t>TBP was awarded a grant of $167,000 for two years</w:t>
      </w:r>
      <w:r w:rsidR="008758E4">
        <w:rPr>
          <w:rFonts w:ascii="Palatino Linotype" w:hAnsi="Palatino Linotype"/>
          <w:color w:val="000000" w:themeColor="text1"/>
        </w:rPr>
        <w:t xml:space="preserve"> </w:t>
      </w:r>
      <w:r w:rsidR="00D14E4C">
        <w:rPr>
          <w:rFonts w:ascii="Palatino Linotype" w:hAnsi="Palatino Linotype"/>
          <w:color w:val="000000" w:themeColor="text1"/>
        </w:rPr>
        <w:t>to focus</w:t>
      </w:r>
      <w:r w:rsidR="00D76947">
        <w:rPr>
          <w:rFonts w:ascii="Palatino Linotype" w:hAnsi="Palatino Linotype"/>
          <w:color w:val="000000" w:themeColor="text1"/>
        </w:rPr>
        <w:t xml:space="preserve"> on infrastructure needs assessment</w:t>
      </w:r>
      <w:r w:rsidR="009D6973">
        <w:rPr>
          <w:rFonts w:ascii="Palatino Linotype" w:hAnsi="Palatino Linotype"/>
          <w:color w:val="000000" w:themeColor="text1"/>
        </w:rPr>
        <w:t xml:space="preserve"> (Resolution T-17440).</w:t>
      </w:r>
      <w:r w:rsidR="00D14E4C">
        <w:rPr>
          <w:rFonts w:ascii="Palatino Linotype" w:hAnsi="Palatino Linotype"/>
          <w:color w:val="000000" w:themeColor="text1"/>
        </w:rPr>
        <w:t xml:space="preserve">  TBP</w:t>
      </w:r>
      <w:r w:rsidR="00D76947">
        <w:rPr>
          <w:rFonts w:ascii="Palatino Linotype" w:hAnsi="Palatino Linotype"/>
          <w:color w:val="000000" w:themeColor="text1"/>
        </w:rPr>
        <w:t xml:space="preserve"> </w:t>
      </w:r>
      <w:r w:rsidR="005B44E6">
        <w:rPr>
          <w:rFonts w:ascii="Palatino Linotype" w:hAnsi="Palatino Linotype"/>
          <w:color w:val="000000" w:themeColor="text1"/>
        </w:rPr>
        <w:t xml:space="preserve">convened </w:t>
      </w:r>
      <w:r w:rsidR="00D76947">
        <w:rPr>
          <w:rFonts w:ascii="Palatino Linotype" w:hAnsi="Palatino Linotype"/>
          <w:color w:val="000000" w:themeColor="text1"/>
        </w:rPr>
        <w:t>discussions regarding dig once</w:t>
      </w:r>
      <w:r w:rsidR="000C56B1">
        <w:rPr>
          <w:rStyle w:val="FootnoteReference"/>
          <w:rFonts w:ascii="Palatino Linotype" w:hAnsi="Palatino Linotype"/>
          <w:color w:val="000000" w:themeColor="text1"/>
        </w:rPr>
        <w:footnoteReference w:id="5"/>
      </w:r>
      <w:r w:rsidR="00D76947">
        <w:rPr>
          <w:rFonts w:ascii="Palatino Linotype" w:hAnsi="Palatino Linotype"/>
          <w:color w:val="000000" w:themeColor="text1"/>
        </w:rPr>
        <w:t xml:space="preserve"> policies</w:t>
      </w:r>
      <w:r w:rsidR="005B44E6">
        <w:rPr>
          <w:rFonts w:ascii="Palatino Linotype" w:hAnsi="Palatino Linotype"/>
          <w:color w:val="000000" w:themeColor="text1"/>
        </w:rPr>
        <w:t xml:space="preserve"> and optimizing existing cell tower </w:t>
      </w:r>
      <w:r w:rsidR="005B44E6">
        <w:rPr>
          <w:rFonts w:ascii="Palatino Linotype" w:hAnsi="Palatino Linotype"/>
          <w:color w:val="000000" w:themeColor="text1"/>
        </w:rPr>
        <w:lastRenderedPageBreak/>
        <w:t xml:space="preserve">infrastructure and new siting with </w:t>
      </w:r>
      <w:r w:rsidR="00D76947">
        <w:rPr>
          <w:rFonts w:ascii="Palatino Linotype" w:hAnsi="Palatino Linotype"/>
          <w:color w:val="000000" w:themeColor="text1"/>
        </w:rPr>
        <w:t xml:space="preserve">local, </w:t>
      </w:r>
      <w:r w:rsidR="001C265B">
        <w:rPr>
          <w:rFonts w:ascii="Palatino Linotype" w:hAnsi="Palatino Linotype"/>
          <w:color w:val="000000" w:themeColor="text1"/>
        </w:rPr>
        <w:t xml:space="preserve">regional </w:t>
      </w:r>
      <w:r w:rsidR="00D76947">
        <w:rPr>
          <w:rFonts w:ascii="Palatino Linotype" w:hAnsi="Palatino Linotype"/>
          <w:color w:val="000000" w:themeColor="text1"/>
        </w:rPr>
        <w:t>and federal stakeholders,</w:t>
      </w:r>
      <w:r w:rsidR="005B44E6">
        <w:rPr>
          <w:rFonts w:ascii="Palatino Linotype" w:hAnsi="Palatino Linotype"/>
          <w:color w:val="000000" w:themeColor="text1"/>
        </w:rPr>
        <w:t xml:space="preserve"> and private companies.</w:t>
      </w:r>
      <w:r w:rsidR="003F1483">
        <w:rPr>
          <w:rStyle w:val="FootnoteReference"/>
          <w:rFonts w:ascii="Palatino Linotype" w:hAnsi="Palatino Linotype"/>
          <w:color w:val="000000" w:themeColor="text1"/>
        </w:rPr>
        <w:footnoteReference w:id="6"/>
      </w:r>
    </w:p>
    <w:p w:rsidR="00F81E4A" w:rsidRDefault="00F81E4A" w:rsidP="00846D53">
      <w:pPr>
        <w:pStyle w:val="Default"/>
        <w:rPr>
          <w:rFonts w:ascii="Palatino Linotype" w:hAnsi="Palatino Linotype"/>
          <w:color w:val="000000" w:themeColor="text1"/>
        </w:rPr>
      </w:pPr>
    </w:p>
    <w:p w:rsidR="001377AE" w:rsidRDefault="00F81E4A" w:rsidP="00846D53">
      <w:pPr>
        <w:pStyle w:val="Default"/>
        <w:rPr>
          <w:rFonts w:ascii="Palatino Linotype" w:hAnsi="Palatino Linotype"/>
          <w:color w:val="000000" w:themeColor="text1"/>
        </w:rPr>
      </w:pPr>
      <w:r w:rsidRPr="000571D5">
        <w:rPr>
          <w:rFonts w:ascii="Palatino Linotype" w:hAnsi="Palatino Linotype"/>
          <w:i/>
          <w:color w:val="000000" w:themeColor="text1"/>
        </w:rPr>
        <w:t>Pro</w:t>
      </w:r>
      <w:r w:rsidR="00540A7C">
        <w:rPr>
          <w:rFonts w:ascii="Palatino Linotype" w:hAnsi="Palatino Linotype"/>
          <w:i/>
          <w:color w:val="000000" w:themeColor="text1"/>
        </w:rPr>
        <w:t>posal</w:t>
      </w:r>
      <w:r w:rsidRPr="000571D5">
        <w:rPr>
          <w:rFonts w:ascii="Palatino Linotype" w:hAnsi="Palatino Linotype"/>
          <w:i/>
          <w:color w:val="000000" w:themeColor="text1"/>
        </w:rPr>
        <w:t>s</w:t>
      </w:r>
    </w:p>
    <w:p w:rsidR="00540A7C" w:rsidRDefault="00F81E4A" w:rsidP="00846D53">
      <w:pPr>
        <w:pStyle w:val="Default"/>
        <w:rPr>
          <w:rFonts w:ascii="Palatino Linotype" w:hAnsi="Palatino Linotype"/>
          <w:color w:val="000000" w:themeColor="text1"/>
        </w:rPr>
      </w:pPr>
      <w:r w:rsidRPr="000571D5">
        <w:rPr>
          <w:rFonts w:ascii="Palatino Linotype" w:hAnsi="Palatino Linotype"/>
          <w:color w:val="000000" w:themeColor="text1"/>
        </w:rPr>
        <w:t xml:space="preserve">  </w:t>
      </w:r>
    </w:p>
    <w:p w:rsidR="00951862" w:rsidRPr="00677329" w:rsidRDefault="00F81E4A" w:rsidP="009A36A4">
      <w:pPr>
        <w:autoSpaceDE w:val="0"/>
        <w:autoSpaceDN w:val="0"/>
        <w:adjustRightInd w:val="0"/>
        <w:rPr>
          <w:rFonts w:ascii="Palatino Linotype" w:hAnsi="Palatino Linotype"/>
          <w:color w:val="000000" w:themeColor="text1"/>
        </w:rPr>
      </w:pPr>
      <w:r w:rsidRPr="0002726E">
        <w:rPr>
          <w:rFonts w:ascii="Palatino Linotype" w:hAnsi="Palatino Linotype" w:cs="Palatino Linotype"/>
          <w:color w:val="000000" w:themeColor="text1"/>
        </w:rPr>
        <w:t>CCBC</w:t>
      </w:r>
      <w:r w:rsidR="0059608D" w:rsidRPr="0002726E">
        <w:rPr>
          <w:rFonts w:ascii="Palatino Linotype" w:hAnsi="Palatino Linotype" w:cs="Palatino Linotype"/>
          <w:color w:val="000000" w:themeColor="text1"/>
        </w:rPr>
        <w:t xml:space="preserve"> </w:t>
      </w:r>
      <w:r w:rsidR="00A16569" w:rsidRPr="0002726E">
        <w:rPr>
          <w:rFonts w:ascii="Palatino Linotype" w:hAnsi="Palatino Linotype" w:cs="Palatino Linotype"/>
          <w:color w:val="000000" w:themeColor="text1"/>
        </w:rPr>
        <w:t>requests</w:t>
      </w:r>
      <w:r w:rsidR="00540A7C" w:rsidRPr="0002726E">
        <w:rPr>
          <w:rFonts w:ascii="Palatino Linotype" w:hAnsi="Palatino Linotype" w:cs="Palatino Linotype"/>
          <w:color w:val="000000" w:themeColor="text1"/>
        </w:rPr>
        <w:t xml:space="preserve"> </w:t>
      </w:r>
      <w:r w:rsidR="00A16569" w:rsidRPr="0002726E">
        <w:rPr>
          <w:rFonts w:ascii="Palatino Linotype" w:hAnsi="Palatino Linotype" w:cs="Palatino Linotype"/>
          <w:color w:val="000000" w:themeColor="text1"/>
        </w:rPr>
        <w:t xml:space="preserve">$264,500 for </w:t>
      </w:r>
      <w:r w:rsidR="00540A7C" w:rsidRPr="0002726E">
        <w:rPr>
          <w:rFonts w:ascii="Palatino Linotype" w:hAnsi="Palatino Linotype" w:cs="Palatino Linotype"/>
          <w:color w:val="000000" w:themeColor="text1"/>
        </w:rPr>
        <w:t xml:space="preserve">a five-year program.  The consortium </w:t>
      </w:r>
      <w:r w:rsidR="0059608D" w:rsidRPr="0002726E">
        <w:rPr>
          <w:rFonts w:ascii="Palatino Linotype" w:hAnsi="Palatino Linotype" w:cs="Palatino Linotype"/>
          <w:color w:val="000000" w:themeColor="text1"/>
        </w:rPr>
        <w:t>will</w:t>
      </w:r>
      <w:r w:rsidR="00540A7C" w:rsidRPr="0002726E">
        <w:rPr>
          <w:rFonts w:ascii="Palatino Linotype" w:hAnsi="Palatino Linotype" w:cs="Palatino Linotype"/>
          <w:color w:val="000000" w:themeColor="text1"/>
        </w:rPr>
        <w:t xml:space="preserve"> </w:t>
      </w:r>
      <w:r w:rsidR="00241E4C" w:rsidRPr="0002726E">
        <w:rPr>
          <w:rFonts w:ascii="Palatino Linotype" w:hAnsi="Palatino Linotype" w:cs="Palatino Linotype"/>
          <w:color w:val="000000" w:themeColor="text1"/>
        </w:rPr>
        <w:t>focus on deployment</w:t>
      </w:r>
      <w:r w:rsidR="00A97060" w:rsidRPr="0002726E">
        <w:rPr>
          <w:rFonts w:ascii="Palatino Linotype" w:hAnsi="Palatino Linotype" w:cs="Palatino Linotype"/>
          <w:color w:val="000000" w:themeColor="text1"/>
        </w:rPr>
        <w:t xml:space="preserve"> </w:t>
      </w:r>
      <w:r w:rsidR="00241E4C" w:rsidRPr="0002726E">
        <w:rPr>
          <w:rFonts w:ascii="Palatino Linotype" w:hAnsi="Palatino Linotype" w:cs="Palatino Linotype"/>
          <w:color w:val="000000" w:themeColor="text1"/>
        </w:rPr>
        <w:t xml:space="preserve">by </w:t>
      </w:r>
      <w:r w:rsidR="00540A7C" w:rsidRPr="0002726E">
        <w:rPr>
          <w:rFonts w:ascii="Palatino Linotype" w:hAnsi="Palatino Linotype" w:cs="Palatino Linotype"/>
          <w:color w:val="000000" w:themeColor="text1"/>
        </w:rPr>
        <w:t>continu</w:t>
      </w:r>
      <w:r w:rsidR="00241E4C" w:rsidRPr="0002726E">
        <w:rPr>
          <w:rFonts w:ascii="Palatino Linotype" w:hAnsi="Palatino Linotype" w:cs="Palatino Linotype"/>
          <w:color w:val="000000" w:themeColor="text1"/>
        </w:rPr>
        <w:t xml:space="preserve">ing </w:t>
      </w:r>
      <w:r w:rsidR="00540A7C" w:rsidRPr="0002726E">
        <w:rPr>
          <w:rFonts w:ascii="Palatino Linotype" w:hAnsi="Palatino Linotype" w:cs="Palatino Linotype"/>
          <w:color w:val="000000" w:themeColor="text1"/>
        </w:rPr>
        <w:t>to develop GIS resources and web platform functionality so that the data documenting uns</w:t>
      </w:r>
      <w:r w:rsidR="00A16569" w:rsidRPr="0002726E">
        <w:rPr>
          <w:rFonts w:ascii="Palatino Linotype" w:hAnsi="Palatino Linotype" w:cs="Palatino Linotype"/>
          <w:color w:val="000000" w:themeColor="text1"/>
        </w:rPr>
        <w:t>erved and underserved priority a</w:t>
      </w:r>
      <w:r w:rsidR="00540A7C" w:rsidRPr="0002726E">
        <w:rPr>
          <w:rFonts w:ascii="Palatino Linotype" w:hAnsi="Palatino Linotype" w:cs="Palatino Linotype"/>
          <w:color w:val="000000" w:themeColor="text1"/>
        </w:rPr>
        <w:t xml:space="preserve">reas in Monterey, San Benito, and Santa Cruz Counties (identified in T-17443) will </w:t>
      </w:r>
      <w:r w:rsidR="00CC4CDE" w:rsidRPr="0002726E">
        <w:rPr>
          <w:rFonts w:ascii="Palatino Linotype" w:hAnsi="Palatino Linotype" w:cs="Palatino Linotype"/>
          <w:color w:val="000000" w:themeColor="text1"/>
        </w:rPr>
        <w:t>facilitate investment in broadband infrastructure.</w:t>
      </w:r>
      <w:r w:rsidR="00540A7C" w:rsidRPr="0002726E">
        <w:rPr>
          <w:rFonts w:ascii="Palatino Linotype" w:hAnsi="Palatino Linotype" w:cs="Palatino Linotype"/>
          <w:color w:val="000000" w:themeColor="text1"/>
        </w:rPr>
        <w:t xml:space="preserve"> </w:t>
      </w:r>
      <w:r w:rsidR="00D14E4C" w:rsidRPr="0002726E">
        <w:rPr>
          <w:rFonts w:ascii="Palatino Linotype" w:hAnsi="Palatino Linotype" w:cs="Palatino Linotype"/>
          <w:color w:val="000000" w:themeColor="text1"/>
        </w:rPr>
        <w:t xml:space="preserve"> </w:t>
      </w:r>
      <w:r w:rsidR="00540A7C" w:rsidRPr="0002726E">
        <w:rPr>
          <w:rFonts w:ascii="Palatino Linotype" w:hAnsi="Palatino Linotype" w:cs="Palatino Linotype"/>
          <w:color w:val="000000" w:themeColor="text1"/>
        </w:rPr>
        <w:t xml:space="preserve">The Consortium also proposes to continue its work on local broadband-enhancing policies by supporting their development and implementation with data </w:t>
      </w:r>
      <w:r w:rsidR="00A77ADC" w:rsidRPr="0002726E">
        <w:rPr>
          <w:rFonts w:ascii="Palatino Linotype" w:hAnsi="Palatino Linotype" w:cs="Palatino Linotype"/>
          <w:color w:val="000000" w:themeColor="text1"/>
        </w:rPr>
        <w:t xml:space="preserve">collection </w:t>
      </w:r>
      <w:r w:rsidR="00540A7C" w:rsidRPr="0002726E">
        <w:rPr>
          <w:rFonts w:ascii="Palatino Linotype" w:hAnsi="Palatino Linotype" w:cs="Palatino Linotype"/>
          <w:color w:val="000000" w:themeColor="text1"/>
        </w:rPr>
        <w:t>and data analysis and helping to create model policy language.</w:t>
      </w:r>
      <w:r w:rsidR="00D14E4C" w:rsidRPr="0002726E">
        <w:rPr>
          <w:rFonts w:ascii="Palatino Linotype" w:hAnsi="Palatino Linotype" w:cs="Palatino Linotype"/>
          <w:color w:val="000000" w:themeColor="text1"/>
        </w:rPr>
        <w:t xml:space="preserve">  </w:t>
      </w:r>
      <w:r w:rsidR="00A16569" w:rsidRPr="0002726E">
        <w:rPr>
          <w:rFonts w:ascii="Palatino Linotype" w:hAnsi="Palatino Linotype" w:cs="Palatino Linotype"/>
          <w:color w:val="000000" w:themeColor="text1"/>
        </w:rPr>
        <w:t>CCBC also proposes</w:t>
      </w:r>
      <w:r w:rsidR="00540A7C" w:rsidRPr="0002726E">
        <w:rPr>
          <w:rFonts w:ascii="Palatino Linotype" w:hAnsi="Palatino Linotype" w:cs="Palatino Linotype"/>
          <w:color w:val="000000" w:themeColor="text1"/>
        </w:rPr>
        <w:t xml:space="preserve"> meetings to organize and implement infrastructure enhancement strategies, to update elected officials, to coordinate efforts with local agencies</w:t>
      </w:r>
      <w:r w:rsidR="00A705EC" w:rsidRPr="0002726E">
        <w:rPr>
          <w:rFonts w:ascii="Palatino Linotype" w:hAnsi="Palatino Linotype" w:cs="Palatino Linotype"/>
          <w:color w:val="000000" w:themeColor="text1"/>
        </w:rPr>
        <w:t xml:space="preserve"> and</w:t>
      </w:r>
      <w:r w:rsidR="00540A7C" w:rsidRPr="0002726E">
        <w:rPr>
          <w:rFonts w:ascii="Palatino Linotype" w:hAnsi="Palatino Linotype" w:cs="Palatino Linotype"/>
          <w:color w:val="000000" w:themeColor="text1"/>
        </w:rPr>
        <w:t xml:space="preserve"> to ensure implementable consortium products.</w:t>
      </w:r>
      <w:r w:rsidR="00677329">
        <w:rPr>
          <w:rFonts w:ascii="Palatino Linotype" w:hAnsi="Palatino Linotype" w:cs="Palatino Linotype"/>
          <w:color w:val="000000" w:themeColor="text1"/>
        </w:rPr>
        <w:t xml:space="preserve">  </w:t>
      </w:r>
      <w:r w:rsidR="00677329">
        <w:rPr>
          <w:rFonts w:ascii="Palatino Linotype" w:hAnsi="Palatino Linotype"/>
          <w:color w:val="000000" w:themeColor="text1"/>
        </w:rPr>
        <w:t>According to CCBC, the reason for requesting</w:t>
      </w:r>
      <w:r w:rsidR="00677329" w:rsidRPr="00250AD7">
        <w:rPr>
          <w:rFonts w:ascii="Palatino Linotype" w:hAnsi="Palatino Linotype"/>
          <w:color w:val="000000" w:themeColor="text1"/>
        </w:rPr>
        <w:t xml:space="preserve"> a longer program time </w:t>
      </w:r>
      <w:r w:rsidR="00677329">
        <w:rPr>
          <w:rFonts w:ascii="Palatino Linotype" w:hAnsi="Palatino Linotype"/>
          <w:color w:val="000000" w:themeColor="text1"/>
        </w:rPr>
        <w:t xml:space="preserve">is </w:t>
      </w:r>
      <w:r w:rsidR="00013E41">
        <w:rPr>
          <w:rFonts w:ascii="Palatino Linotype" w:hAnsi="Palatino Linotype"/>
          <w:color w:val="000000" w:themeColor="text1"/>
        </w:rPr>
        <w:t>that</w:t>
      </w:r>
      <w:r w:rsidR="00677329" w:rsidRPr="00250AD7">
        <w:rPr>
          <w:rFonts w:ascii="Palatino Linotype" w:hAnsi="Palatino Linotype"/>
          <w:color w:val="000000" w:themeColor="text1"/>
        </w:rPr>
        <w:t xml:space="preserve"> three years is required to update and extend its web based platform with the necessary data and analysis, and two additional years are needed to sustain the tool to support current and anticipated projects.</w:t>
      </w:r>
      <w:r w:rsidR="00677329">
        <w:rPr>
          <w:rFonts w:ascii="Palatino Linotype" w:hAnsi="Palatino Linotype"/>
          <w:color w:val="000000" w:themeColor="text1"/>
        </w:rPr>
        <w:t xml:space="preserve">  </w:t>
      </w:r>
    </w:p>
    <w:p w:rsidR="00AB0CAB" w:rsidRPr="0002726E" w:rsidRDefault="00AB0CAB" w:rsidP="00540A7C">
      <w:pPr>
        <w:autoSpaceDE w:val="0"/>
        <w:autoSpaceDN w:val="0"/>
        <w:adjustRightInd w:val="0"/>
        <w:rPr>
          <w:rFonts w:ascii="Palatino Linotype" w:hAnsi="Palatino Linotype" w:cs="Palatino Linotype"/>
          <w:color w:val="000000" w:themeColor="text1"/>
        </w:rPr>
      </w:pPr>
    </w:p>
    <w:p w:rsidR="00F81E4A" w:rsidRPr="0002726E" w:rsidRDefault="00F81E4A" w:rsidP="00F81E4A">
      <w:pPr>
        <w:pStyle w:val="Default"/>
        <w:rPr>
          <w:rFonts w:ascii="Palatino Linotype" w:hAnsi="Palatino Linotype" w:cs="Palatino Linotype"/>
          <w:color w:val="000000" w:themeColor="text1"/>
        </w:rPr>
      </w:pPr>
      <w:r w:rsidRPr="0002726E">
        <w:rPr>
          <w:rFonts w:ascii="Palatino Linotype" w:hAnsi="Palatino Linotype" w:cs="Palatino Linotype"/>
          <w:color w:val="000000" w:themeColor="text1"/>
        </w:rPr>
        <w:t>EBBC</w:t>
      </w:r>
      <w:r w:rsidR="00A16569" w:rsidRPr="0002726E">
        <w:rPr>
          <w:rFonts w:ascii="Palatino Linotype" w:hAnsi="Palatino Linotype" w:cs="Palatino Linotype"/>
          <w:color w:val="000000" w:themeColor="text1"/>
        </w:rPr>
        <w:t xml:space="preserve"> requests $272,160 for a </w:t>
      </w:r>
      <w:r w:rsidR="002F2118" w:rsidRPr="0002726E">
        <w:rPr>
          <w:rFonts w:ascii="Palatino Linotype" w:hAnsi="Palatino Linotype" w:cs="Palatino Linotype"/>
          <w:color w:val="000000" w:themeColor="text1"/>
        </w:rPr>
        <w:t>thre</w:t>
      </w:r>
      <w:r w:rsidR="00173EA8" w:rsidRPr="0002726E">
        <w:rPr>
          <w:rFonts w:ascii="Palatino Linotype" w:hAnsi="Palatino Linotype" w:cs="Palatino Linotype"/>
          <w:color w:val="000000" w:themeColor="text1"/>
        </w:rPr>
        <w:t>e-year program</w:t>
      </w:r>
      <w:r w:rsidR="00CC4CDE" w:rsidRPr="0002726E">
        <w:rPr>
          <w:rFonts w:ascii="Palatino Linotype" w:hAnsi="Palatino Linotype" w:cs="Palatino Linotype"/>
          <w:color w:val="000000" w:themeColor="text1"/>
        </w:rPr>
        <w:t xml:space="preserve">. </w:t>
      </w:r>
      <w:r w:rsidR="002F2118" w:rsidRPr="0002726E">
        <w:rPr>
          <w:rFonts w:ascii="Palatino Linotype" w:hAnsi="Palatino Linotype" w:cs="Palatino Linotype"/>
          <w:color w:val="000000" w:themeColor="text1"/>
        </w:rPr>
        <w:t xml:space="preserve"> </w:t>
      </w:r>
      <w:r w:rsidR="00A705EC" w:rsidRPr="0002726E">
        <w:rPr>
          <w:rFonts w:ascii="Palatino Linotype" w:hAnsi="Palatino Linotype" w:cs="Palatino Linotype"/>
          <w:color w:val="000000" w:themeColor="text1"/>
        </w:rPr>
        <w:t>EBBC proposes to</w:t>
      </w:r>
      <w:r w:rsidR="00C005FF" w:rsidRPr="0002726E">
        <w:rPr>
          <w:rFonts w:ascii="Palatino Linotype" w:hAnsi="Palatino Linotype" w:cs="Palatino Linotype"/>
          <w:color w:val="000000" w:themeColor="text1"/>
        </w:rPr>
        <w:t xml:space="preserve"> continue a</w:t>
      </w:r>
      <w:r w:rsidR="00005F7B" w:rsidRPr="0002726E">
        <w:rPr>
          <w:rFonts w:ascii="Palatino Linotype" w:hAnsi="Palatino Linotype" w:cs="Palatino Linotype"/>
          <w:color w:val="000000" w:themeColor="text1"/>
        </w:rPr>
        <w:t xml:space="preserve"> broadband access and adoption program that coordinates donations and refurbishing laptop computers </w:t>
      </w:r>
      <w:r w:rsidR="00F752CD">
        <w:rPr>
          <w:rFonts w:ascii="Palatino Linotype" w:hAnsi="Palatino Linotype" w:cs="Palatino Linotype"/>
          <w:color w:val="000000" w:themeColor="text1"/>
        </w:rPr>
        <w:t xml:space="preserve">destined </w:t>
      </w:r>
      <w:r w:rsidR="005C18DA">
        <w:rPr>
          <w:rFonts w:ascii="Palatino Linotype" w:hAnsi="Palatino Linotype" w:cs="Palatino Linotype"/>
          <w:color w:val="000000" w:themeColor="text1"/>
        </w:rPr>
        <w:t>for</w:t>
      </w:r>
      <w:r w:rsidR="00005F7B" w:rsidRPr="0002726E">
        <w:rPr>
          <w:rFonts w:ascii="Palatino Linotype" w:hAnsi="Palatino Linotype" w:cs="Palatino Linotype"/>
          <w:color w:val="000000" w:themeColor="text1"/>
        </w:rPr>
        <w:t xml:space="preserve"> disadvantaged students in Alameda and Contra Costa Counties.  </w:t>
      </w:r>
      <w:r w:rsidR="00A705EC" w:rsidRPr="0002726E">
        <w:rPr>
          <w:rFonts w:ascii="Palatino Linotype" w:hAnsi="Palatino Linotype" w:cs="Palatino Linotype"/>
          <w:color w:val="000000" w:themeColor="text1"/>
        </w:rPr>
        <w:t xml:space="preserve">EBBC further proposes to </w:t>
      </w:r>
      <w:r w:rsidR="00C07352" w:rsidRPr="0002726E">
        <w:rPr>
          <w:rFonts w:ascii="Palatino Linotype" w:hAnsi="Palatino Linotype" w:cs="Palatino Linotype"/>
          <w:color w:val="000000" w:themeColor="text1"/>
        </w:rPr>
        <w:t>provide</w:t>
      </w:r>
      <w:r w:rsidR="00005F7B" w:rsidRPr="0002726E">
        <w:rPr>
          <w:rFonts w:ascii="Palatino Linotype" w:hAnsi="Palatino Linotype" w:cs="Palatino Linotype"/>
          <w:color w:val="000000" w:themeColor="text1"/>
        </w:rPr>
        <w:t xml:space="preserve"> </w:t>
      </w:r>
      <w:r w:rsidR="005C18DA">
        <w:rPr>
          <w:rFonts w:ascii="Palatino Linotype" w:hAnsi="Palatino Linotype" w:cs="Palatino Linotype"/>
          <w:color w:val="000000" w:themeColor="text1"/>
        </w:rPr>
        <w:t xml:space="preserve">families with </w:t>
      </w:r>
      <w:r w:rsidR="00005F7B" w:rsidRPr="0002726E">
        <w:rPr>
          <w:rFonts w:ascii="Palatino Linotype" w:hAnsi="Palatino Linotype" w:cs="Palatino Linotype"/>
          <w:color w:val="000000" w:themeColor="text1"/>
        </w:rPr>
        <w:t xml:space="preserve">free digital literacy training and </w:t>
      </w:r>
      <w:r w:rsidR="00C07352" w:rsidRPr="0002726E">
        <w:rPr>
          <w:rFonts w:ascii="Palatino Linotype" w:hAnsi="Palatino Linotype" w:cs="Palatino Linotype"/>
          <w:color w:val="000000" w:themeColor="text1"/>
        </w:rPr>
        <w:t>assist</w:t>
      </w:r>
      <w:r w:rsidR="00005F7B" w:rsidRPr="0002726E">
        <w:rPr>
          <w:rFonts w:ascii="Palatino Linotype" w:hAnsi="Palatino Linotype" w:cs="Palatino Linotype"/>
          <w:color w:val="000000" w:themeColor="text1"/>
        </w:rPr>
        <w:t xml:space="preserve"> with </w:t>
      </w:r>
      <w:r w:rsidR="005C18DA" w:rsidRPr="0002726E">
        <w:rPr>
          <w:rFonts w:ascii="Palatino Linotype" w:hAnsi="Palatino Linotype" w:cs="Palatino Linotype"/>
          <w:color w:val="000000" w:themeColor="text1"/>
        </w:rPr>
        <w:t>low</w:t>
      </w:r>
      <w:r w:rsidR="00013E41">
        <w:rPr>
          <w:rFonts w:ascii="Palatino Linotype" w:hAnsi="Palatino Linotype" w:cs="Palatino Linotype"/>
          <w:color w:val="000000" w:themeColor="text1"/>
        </w:rPr>
        <w:t>-</w:t>
      </w:r>
      <w:r w:rsidR="005C18DA" w:rsidRPr="0002726E">
        <w:rPr>
          <w:rFonts w:ascii="Palatino Linotype" w:hAnsi="Palatino Linotype" w:cs="Palatino Linotype"/>
          <w:color w:val="000000" w:themeColor="text1"/>
        </w:rPr>
        <w:t xml:space="preserve">cost internet subscriptions </w:t>
      </w:r>
      <w:r w:rsidR="00005F7B" w:rsidRPr="0002726E">
        <w:rPr>
          <w:rFonts w:ascii="Palatino Linotype" w:hAnsi="Palatino Linotype" w:cs="Palatino Linotype"/>
          <w:color w:val="000000" w:themeColor="text1"/>
        </w:rPr>
        <w:t>regist</w:t>
      </w:r>
      <w:r w:rsidR="005C18DA">
        <w:rPr>
          <w:rFonts w:ascii="Palatino Linotype" w:hAnsi="Palatino Linotype" w:cs="Palatino Linotype"/>
          <w:color w:val="000000" w:themeColor="text1"/>
        </w:rPr>
        <w:t>ration</w:t>
      </w:r>
      <w:r w:rsidR="00005F7B" w:rsidRPr="0002726E">
        <w:rPr>
          <w:rFonts w:ascii="Palatino Linotype" w:hAnsi="Palatino Linotype" w:cs="Palatino Linotype"/>
          <w:color w:val="000000" w:themeColor="text1"/>
        </w:rPr>
        <w:t xml:space="preserve">. </w:t>
      </w:r>
      <w:r w:rsidR="008B7A95" w:rsidRPr="0002726E">
        <w:rPr>
          <w:rFonts w:ascii="Palatino Linotype" w:hAnsi="Palatino Linotype" w:cs="Palatino Linotype"/>
          <w:color w:val="000000" w:themeColor="text1"/>
        </w:rPr>
        <w:t xml:space="preserve"> </w:t>
      </w:r>
      <w:r w:rsidR="00A705EC" w:rsidRPr="0002726E">
        <w:rPr>
          <w:rFonts w:ascii="Palatino Linotype" w:hAnsi="Palatino Linotype" w:cs="Palatino Linotype"/>
          <w:color w:val="000000" w:themeColor="text1"/>
        </w:rPr>
        <w:t xml:space="preserve">EBBC’s </w:t>
      </w:r>
      <w:r w:rsidR="00005F7B" w:rsidRPr="0002726E">
        <w:rPr>
          <w:rFonts w:ascii="Palatino Linotype" w:hAnsi="Palatino Linotype" w:cs="Palatino Linotype"/>
          <w:color w:val="000000" w:themeColor="text1"/>
        </w:rPr>
        <w:t>proposal includes collaboration with tech educators</w:t>
      </w:r>
      <w:r w:rsidR="004242E1" w:rsidRPr="0002726E">
        <w:rPr>
          <w:rFonts w:ascii="Palatino Linotype" w:hAnsi="Palatino Linotype" w:cs="Palatino Linotype"/>
          <w:color w:val="000000" w:themeColor="text1"/>
        </w:rPr>
        <w:t>,</w:t>
      </w:r>
      <w:r w:rsidR="00005F7B" w:rsidRPr="0002726E">
        <w:rPr>
          <w:rFonts w:ascii="Palatino Linotype" w:hAnsi="Palatino Linotype" w:cs="Palatino Linotype"/>
          <w:color w:val="000000" w:themeColor="text1"/>
        </w:rPr>
        <w:t xml:space="preserve"> non</w:t>
      </w:r>
      <w:r w:rsidR="00A705EC" w:rsidRPr="0002726E">
        <w:rPr>
          <w:rFonts w:ascii="Palatino Linotype" w:hAnsi="Palatino Linotype" w:cs="Palatino Linotype"/>
          <w:color w:val="000000" w:themeColor="text1"/>
        </w:rPr>
        <w:t>-</w:t>
      </w:r>
      <w:r w:rsidR="00005F7B" w:rsidRPr="0002726E">
        <w:rPr>
          <w:rFonts w:ascii="Palatino Linotype" w:hAnsi="Palatino Linotype" w:cs="Palatino Linotype"/>
          <w:color w:val="000000" w:themeColor="text1"/>
        </w:rPr>
        <w:t>profits</w:t>
      </w:r>
      <w:r w:rsidR="004242E1" w:rsidRPr="0002726E">
        <w:rPr>
          <w:rFonts w:ascii="Palatino Linotype" w:hAnsi="Palatino Linotype" w:cs="Palatino Linotype"/>
          <w:color w:val="000000" w:themeColor="text1"/>
        </w:rPr>
        <w:t xml:space="preserve">, </w:t>
      </w:r>
      <w:r w:rsidR="00005F7B" w:rsidRPr="0002726E">
        <w:rPr>
          <w:rFonts w:ascii="Palatino Linotype" w:hAnsi="Palatino Linotype" w:cs="Palatino Linotype"/>
          <w:color w:val="000000" w:themeColor="text1"/>
        </w:rPr>
        <w:t>public agencies</w:t>
      </w:r>
      <w:r w:rsidR="004242E1" w:rsidRPr="0002726E">
        <w:rPr>
          <w:rFonts w:ascii="Palatino Linotype" w:hAnsi="Palatino Linotype" w:cs="Palatino Linotype"/>
          <w:color w:val="000000" w:themeColor="text1"/>
        </w:rPr>
        <w:t>, and tech companies</w:t>
      </w:r>
      <w:r w:rsidR="00005F7B" w:rsidRPr="0002726E">
        <w:rPr>
          <w:rFonts w:ascii="Palatino Linotype" w:hAnsi="Palatino Linotype" w:cs="Palatino Linotype"/>
          <w:color w:val="000000" w:themeColor="text1"/>
        </w:rPr>
        <w:t xml:space="preserve"> to expand a “</w:t>
      </w:r>
      <w:proofErr w:type="spellStart"/>
      <w:r w:rsidR="00005F7B" w:rsidRPr="0002726E">
        <w:rPr>
          <w:rFonts w:ascii="Palatino Linotype" w:hAnsi="Palatino Linotype" w:cs="Palatino Linotype"/>
          <w:color w:val="000000" w:themeColor="text1"/>
        </w:rPr>
        <w:t>TechEquity</w:t>
      </w:r>
      <w:proofErr w:type="spellEnd"/>
      <w:r w:rsidR="00005F7B" w:rsidRPr="0002726E">
        <w:rPr>
          <w:rFonts w:ascii="Palatino Linotype" w:hAnsi="Palatino Linotype" w:cs="Palatino Linotype"/>
          <w:color w:val="000000" w:themeColor="text1"/>
        </w:rPr>
        <w:t>” initiative- a program that seeks to increase tech education, internships, and jobs, for students of color and women</w:t>
      </w:r>
      <w:r w:rsidR="008B7A95" w:rsidRPr="0002726E">
        <w:rPr>
          <w:rFonts w:ascii="Palatino Linotype" w:hAnsi="Palatino Linotype" w:cs="Palatino Linotype"/>
          <w:color w:val="000000" w:themeColor="text1"/>
        </w:rPr>
        <w:t xml:space="preserve"> throughout the region</w:t>
      </w:r>
      <w:r w:rsidR="00005F7B" w:rsidRPr="0002726E">
        <w:rPr>
          <w:rFonts w:ascii="Palatino Linotype" w:hAnsi="Palatino Linotype" w:cs="Palatino Linotype"/>
          <w:color w:val="000000" w:themeColor="text1"/>
        </w:rPr>
        <w:t>.</w:t>
      </w:r>
      <w:r w:rsidR="00791314" w:rsidRPr="0002726E">
        <w:rPr>
          <w:rFonts w:ascii="Palatino Linotype" w:hAnsi="Palatino Linotype" w:cs="Palatino Linotype"/>
          <w:color w:val="000000" w:themeColor="text1"/>
        </w:rPr>
        <w:t xml:space="preserve"> </w:t>
      </w:r>
      <w:r w:rsidR="00A77ADC" w:rsidRPr="0002726E">
        <w:rPr>
          <w:rFonts w:ascii="Palatino Linotype" w:hAnsi="Palatino Linotype" w:cs="Palatino Linotype"/>
          <w:color w:val="000000" w:themeColor="text1"/>
        </w:rPr>
        <w:t xml:space="preserve"> </w:t>
      </w:r>
      <w:r w:rsidR="004242E1" w:rsidRPr="0002726E">
        <w:rPr>
          <w:rFonts w:ascii="Palatino Linotype" w:hAnsi="Palatino Linotype" w:cs="Palatino Linotype"/>
          <w:color w:val="000000" w:themeColor="text1"/>
        </w:rPr>
        <w:t>EBBC would</w:t>
      </w:r>
      <w:r w:rsidR="00A705EC" w:rsidRPr="0002726E">
        <w:rPr>
          <w:rFonts w:ascii="Palatino Linotype" w:hAnsi="Palatino Linotype" w:cs="Palatino Linotype"/>
          <w:color w:val="000000" w:themeColor="text1"/>
        </w:rPr>
        <w:t xml:space="preserve"> also</w:t>
      </w:r>
      <w:r w:rsidR="004242E1" w:rsidRPr="0002726E">
        <w:rPr>
          <w:rFonts w:ascii="Palatino Linotype" w:hAnsi="Palatino Linotype" w:cs="Palatino Linotype"/>
          <w:color w:val="000000" w:themeColor="text1"/>
        </w:rPr>
        <w:t xml:space="preserve"> organize </w:t>
      </w:r>
      <w:r w:rsidR="00A705EC" w:rsidRPr="0002726E">
        <w:rPr>
          <w:rFonts w:ascii="Palatino Linotype" w:hAnsi="Palatino Linotype" w:cs="Palatino Linotype"/>
          <w:color w:val="000000" w:themeColor="text1"/>
        </w:rPr>
        <w:t xml:space="preserve">a yearly </w:t>
      </w:r>
      <w:r w:rsidR="004242E1" w:rsidRPr="0002726E">
        <w:rPr>
          <w:rFonts w:ascii="Palatino Linotype" w:hAnsi="Palatino Linotype" w:cs="Palatino Linotype"/>
          <w:color w:val="000000" w:themeColor="text1"/>
        </w:rPr>
        <w:t>summit to discus</w:t>
      </w:r>
      <w:r w:rsidR="00516960" w:rsidRPr="0002726E">
        <w:rPr>
          <w:rFonts w:ascii="Palatino Linotype" w:hAnsi="Palatino Linotype" w:cs="Palatino Linotype"/>
          <w:color w:val="000000" w:themeColor="text1"/>
        </w:rPr>
        <w:t xml:space="preserve">s the progress of its projects </w:t>
      </w:r>
      <w:r w:rsidR="004242E1" w:rsidRPr="0002726E">
        <w:rPr>
          <w:rFonts w:ascii="Palatino Linotype" w:hAnsi="Palatino Linotype" w:cs="Palatino Linotype"/>
          <w:color w:val="000000" w:themeColor="text1"/>
        </w:rPr>
        <w:t xml:space="preserve">and plan future work.  </w:t>
      </w:r>
    </w:p>
    <w:p w:rsidR="00F81E4A" w:rsidRPr="0002726E" w:rsidRDefault="00F81E4A" w:rsidP="00F81E4A">
      <w:pPr>
        <w:pStyle w:val="Default"/>
        <w:rPr>
          <w:rFonts w:ascii="Palatino Linotype" w:hAnsi="Palatino Linotype" w:cs="Palatino Linotype"/>
          <w:color w:val="000000" w:themeColor="text1"/>
        </w:rPr>
      </w:pPr>
    </w:p>
    <w:p w:rsidR="00A638A1" w:rsidRPr="0002726E" w:rsidRDefault="00F81E4A" w:rsidP="00F81E4A">
      <w:pPr>
        <w:pStyle w:val="Default"/>
        <w:rPr>
          <w:rFonts w:ascii="Palatino Linotype" w:hAnsi="Palatino Linotype" w:cs="Palatino Linotype"/>
          <w:color w:val="000000" w:themeColor="text1"/>
        </w:rPr>
      </w:pPr>
      <w:r w:rsidRPr="0002726E">
        <w:rPr>
          <w:rFonts w:ascii="Palatino Linotype" w:hAnsi="Palatino Linotype" w:cs="Palatino Linotype"/>
          <w:color w:val="000000" w:themeColor="text1"/>
        </w:rPr>
        <w:t>TBP</w:t>
      </w:r>
      <w:r w:rsidR="00A16569" w:rsidRPr="0002726E">
        <w:rPr>
          <w:rFonts w:ascii="Palatino Linotype" w:hAnsi="Palatino Linotype" w:cs="Palatino Linotype"/>
          <w:color w:val="000000" w:themeColor="text1"/>
        </w:rPr>
        <w:t xml:space="preserve"> requests $200,000 for</w:t>
      </w:r>
      <w:r w:rsidR="00A638A1" w:rsidRPr="0002726E">
        <w:rPr>
          <w:rFonts w:ascii="Palatino Linotype" w:hAnsi="Palatino Linotype" w:cs="Palatino Linotype"/>
          <w:color w:val="000000" w:themeColor="text1"/>
        </w:rPr>
        <w:t xml:space="preserve"> </w:t>
      </w:r>
      <w:r w:rsidR="00D43B76" w:rsidRPr="0002726E">
        <w:rPr>
          <w:rFonts w:ascii="Palatino Linotype" w:hAnsi="Palatino Linotype" w:cs="Palatino Linotype"/>
          <w:color w:val="000000" w:themeColor="text1"/>
        </w:rPr>
        <w:t xml:space="preserve">a </w:t>
      </w:r>
      <w:r w:rsidR="008B7A95" w:rsidRPr="0002726E">
        <w:rPr>
          <w:rFonts w:ascii="Palatino Linotype" w:hAnsi="Palatino Linotype" w:cs="Palatino Linotype"/>
          <w:color w:val="000000" w:themeColor="text1"/>
        </w:rPr>
        <w:t>two</w:t>
      </w:r>
      <w:r w:rsidR="00D43B76" w:rsidRPr="0002726E">
        <w:rPr>
          <w:rFonts w:ascii="Palatino Linotype" w:hAnsi="Palatino Linotype" w:cs="Palatino Linotype"/>
          <w:color w:val="000000" w:themeColor="text1"/>
        </w:rPr>
        <w:t xml:space="preserve">-year program.  </w:t>
      </w:r>
      <w:r w:rsidR="003B5E25" w:rsidRPr="0002726E">
        <w:rPr>
          <w:rFonts w:ascii="Palatino Linotype" w:hAnsi="Palatino Linotype" w:cs="Palatino Linotype"/>
          <w:color w:val="000000" w:themeColor="text1"/>
        </w:rPr>
        <w:t xml:space="preserve">TBP </w:t>
      </w:r>
      <w:r w:rsidR="00D43B76" w:rsidRPr="0002726E">
        <w:rPr>
          <w:rFonts w:ascii="Palatino Linotype" w:hAnsi="Palatino Linotype" w:cs="Palatino Linotype"/>
          <w:color w:val="000000" w:themeColor="text1"/>
        </w:rPr>
        <w:t xml:space="preserve">proposes </w:t>
      </w:r>
      <w:r w:rsidR="00A638A1" w:rsidRPr="0002726E">
        <w:rPr>
          <w:rFonts w:ascii="Palatino Linotype" w:hAnsi="Palatino Linotype" w:cs="Palatino Linotype"/>
          <w:color w:val="000000" w:themeColor="text1"/>
        </w:rPr>
        <w:t>to target identified priority areas for last</w:t>
      </w:r>
      <w:r w:rsidR="003B5E25" w:rsidRPr="0002726E">
        <w:rPr>
          <w:rFonts w:ascii="Palatino Linotype" w:hAnsi="Palatino Linotype" w:cs="Palatino Linotype"/>
          <w:color w:val="000000" w:themeColor="text1"/>
        </w:rPr>
        <w:t xml:space="preserve"> </w:t>
      </w:r>
      <w:r w:rsidR="00A638A1" w:rsidRPr="0002726E">
        <w:rPr>
          <w:rFonts w:ascii="Palatino Linotype" w:hAnsi="Palatino Linotype" w:cs="Palatino Linotype"/>
          <w:color w:val="000000" w:themeColor="text1"/>
        </w:rPr>
        <w:t xml:space="preserve">mile broadband infrastructure </w:t>
      </w:r>
      <w:r w:rsidR="00241E4C" w:rsidRPr="0002726E">
        <w:rPr>
          <w:rFonts w:ascii="Palatino Linotype" w:hAnsi="Palatino Linotype" w:cs="Palatino Linotype"/>
          <w:color w:val="000000" w:themeColor="text1"/>
        </w:rPr>
        <w:t>deployment</w:t>
      </w:r>
      <w:r w:rsidR="00A638A1" w:rsidRPr="0002726E">
        <w:rPr>
          <w:rFonts w:ascii="Palatino Linotype" w:hAnsi="Palatino Linotype" w:cs="Palatino Linotype"/>
          <w:color w:val="000000" w:themeColor="text1"/>
        </w:rPr>
        <w:t>, with the objective of ISP recruitment and grant application development.</w:t>
      </w:r>
      <w:r w:rsidR="00903DFA" w:rsidRPr="0002726E">
        <w:rPr>
          <w:rFonts w:ascii="Palatino Linotype" w:hAnsi="Palatino Linotype" w:cs="Palatino Linotype"/>
          <w:color w:val="000000" w:themeColor="text1"/>
        </w:rPr>
        <w:t xml:space="preserve"> </w:t>
      </w:r>
      <w:r w:rsidR="008B7A95" w:rsidRPr="0002726E">
        <w:rPr>
          <w:rFonts w:ascii="Palatino Linotype" w:hAnsi="Palatino Linotype" w:cs="Palatino Linotype"/>
          <w:color w:val="000000" w:themeColor="text1"/>
        </w:rPr>
        <w:t xml:space="preserve"> </w:t>
      </w:r>
      <w:r w:rsidR="00D43B76" w:rsidRPr="0002726E">
        <w:rPr>
          <w:rFonts w:ascii="Palatino Linotype" w:hAnsi="Palatino Linotype" w:cs="Palatino Linotype"/>
          <w:color w:val="000000" w:themeColor="text1"/>
        </w:rPr>
        <w:t>TBP</w:t>
      </w:r>
      <w:r w:rsidR="00903DFA" w:rsidRPr="0002726E">
        <w:rPr>
          <w:rFonts w:ascii="Palatino Linotype" w:hAnsi="Palatino Linotype" w:cs="Palatino Linotype"/>
          <w:color w:val="000000" w:themeColor="text1"/>
        </w:rPr>
        <w:t xml:space="preserve"> proposes to convene interagency meetings to develop a d</w:t>
      </w:r>
      <w:r w:rsidR="00566CC3" w:rsidRPr="0002726E">
        <w:rPr>
          <w:rFonts w:ascii="Palatino Linotype" w:hAnsi="Palatino Linotype" w:cs="Palatino Linotype"/>
          <w:color w:val="000000" w:themeColor="text1"/>
        </w:rPr>
        <w:t>ig once policy</w:t>
      </w:r>
      <w:r w:rsidR="000C56B1" w:rsidRPr="0002726E">
        <w:rPr>
          <w:rFonts w:ascii="Palatino Linotype" w:hAnsi="Palatino Linotype" w:cs="Palatino Linotype"/>
          <w:color w:val="000000" w:themeColor="text1"/>
        </w:rPr>
        <w:t xml:space="preserve"> </w:t>
      </w:r>
      <w:r w:rsidR="008B7A95" w:rsidRPr="0002726E">
        <w:rPr>
          <w:rFonts w:ascii="Palatino Linotype" w:hAnsi="Palatino Linotype" w:cs="Palatino Linotype"/>
          <w:color w:val="000000" w:themeColor="text1"/>
        </w:rPr>
        <w:t>f</w:t>
      </w:r>
      <w:r w:rsidR="00566CC3" w:rsidRPr="0002726E">
        <w:rPr>
          <w:rFonts w:ascii="Palatino Linotype" w:hAnsi="Palatino Linotype" w:cs="Palatino Linotype"/>
          <w:color w:val="000000" w:themeColor="text1"/>
        </w:rPr>
        <w:t xml:space="preserve">or the </w:t>
      </w:r>
      <w:r w:rsidR="008B7A95" w:rsidRPr="0002726E">
        <w:rPr>
          <w:rFonts w:ascii="Palatino Linotype" w:hAnsi="Palatino Linotype" w:cs="Palatino Linotype"/>
          <w:color w:val="000000" w:themeColor="text1"/>
        </w:rPr>
        <w:t>B</w:t>
      </w:r>
      <w:r w:rsidR="00566CC3" w:rsidRPr="0002726E">
        <w:rPr>
          <w:rFonts w:ascii="Palatino Linotype" w:hAnsi="Palatino Linotype" w:cs="Palatino Linotype"/>
          <w:color w:val="000000" w:themeColor="text1"/>
        </w:rPr>
        <w:t>asin,</w:t>
      </w:r>
      <w:r w:rsidR="00903DFA" w:rsidRPr="0002726E">
        <w:rPr>
          <w:rFonts w:ascii="Palatino Linotype" w:hAnsi="Palatino Linotype" w:cs="Palatino Linotype"/>
          <w:color w:val="000000" w:themeColor="text1"/>
        </w:rPr>
        <w:t xml:space="preserve"> </w:t>
      </w:r>
      <w:r w:rsidR="003B5E25" w:rsidRPr="0002726E">
        <w:rPr>
          <w:rFonts w:ascii="Palatino Linotype" w:hAnsi="Palatino Linotype" w:cs="Palatino Linotype"/>
          <w:color w:val="000000" w:themeColor="text1"/>
        </w:rPr>
        <w:t xml:space="preserve">and </w:t>
      </w:r>
      <w:r w:rsidR="00903DFA" w:rsidRPr="0002726E">
        <w:rPr>
          <w:rFonts w:ascii="Palatino Linotype" w:hAnsi="Palatino Linotype" w:cs="Palatino Linotype"/>
          <w:color w:val="000000" w:themeColor="text1"/>
        </w:rPr>
        <w:t xml:space="preserve">to </w:t>
      </w:r>
      <w:r w:rsidR="00566CC3" w:rsidRPr="0002726E">
        <w:rPr>
          <w:rFonts w:ascii="Palatino Linotype" w:hAnsi="Palatino Linotype" w:cs="Palatino Linotype"/>
          <w:color w:val="000000" w:themeColor="text1"/>
        </w:rPr>
        <w:t>assist in streamlining</w:t>
      </w:r>
      <w:r w:rsidR="00EF18B1" w:rsidRPr="0002726E">
        <w:rPr>
          <w:rFonts w:ascii="Palatino Linotype" w:hAnsi="Palatino Linotype" w:cs="Palatino Linotype"/>
          <w:color w:val="000000" w:themeColor="text1"/>
        </w:rPr>
        <w:t xml:space="preserve"> </w:t>
      </w:r>
      <w:r w:rsidR="00CC4CDE" w:rsidRPr="0002726E">
        <w:rPr>
          <w:rFonts w:ascii="Palatino Linotype" w:hAnsi="Palatino Linotype" w:cs="Palatino Linotype"/>
          <w:color w:val="000000" w:themeColor="text1"/>
        </w:rPr>
        <w:t xml:space="preserve">the </w:t>
      </w:r>
      <w:r w:rsidR="00EF18B1" w:rsidRPr="0002726E">
        <w:rPr>
          <w:rFonts w:ascii="Palatino Linotype" w:hAnsi="Palatino Linotype" w:cs="Palatino Linotype"/>
          <w:color w:val="000000" w:themeColor="text1"/>
        </w:rPr>
        <w:t xml:space="preserve">middle mile </w:t>
      </w:r>
      <w:r w:rsidR="00566CC3" w:rsidRPr="0002726E">
        <w:rPr>
          <w:rFonts w:ascii="Palatino Linotype" w:hAnsi="Palatino Linotype" w:cs="Palatino Linotype"/>
          <w:color w:val="000000" w:themeColor="text1"/>
        </w:rPr>
        <w:t>permit</w:t>
      </w:r>
      <w:r w:rsidR="00EF18B1" w:rsidRPr="0002726E">
        <w:rPr>
          <w:rFonts w:ascii="Palatino Linotype" w:hAnsi="Palatino Linotype" w:cs="Palatino Linotype"/>
          <w:color w:val="000000" w:themeColor="text1"/>
        </w:rPr>
        <w:t xml:space="preserve"> process</w:t>
      </w:r>
      <w:r w:rsidR="00566CC3" w:rsidRPr="0002726E">
        <w:rPr>
          <w:rFonts w:ascii="Palatino Linotype" w:hAnsi="Palatino Linotype" w:cs="Palatino Linotype"/>
          <w:color w:val="000000" w:themeColor="text1"/>
        </w:rPr>
        <w:t xml:space="preserve">, implementation and </w:t>
      </w:r>
      <w:r w:rsidR="00A16569" w:rsidRPr="0002726E">
        <w:rPr>
          <w:rFonts w:ascii="Palatino Linotype" w:hAnsi="Palatino Linotype" w:cs="Palatino Linotype"/>
          <w:color w:val="000000" w:themeColor="text1"/>
        </w:rPr>
        <w:t>d</w:t>
      </w:r>
      <w:r w:rsidR="00566CC3" w:rsidRPr="0002726E">
        <w:rPr>
          <w:rFonts w:ascii="Palatino Linotype" w:hAnsi="Palatino Linotype" w:cs="Palatino Linotype"/>
          <w:color w:val="000000" w:themeColor="text1"/>
        </w:rPr>
        <w:t>ocumentation/</w:t>
      </w:r>
      <w:r w:rsidR="00A16569" w:rsidRPr="0002726E">
        <w:rPr>
          <w:rFonts w:ascii="Palatino Linotype" w:hAnsi="Palatino Linotype" w:cs="Palatino Linotype"/>
          <w:color w:val="000000" w:themeColor="text1"/>
        </w:rPr>
        <w:t xml:space="preserve"> </w:t>
      </w:r>
      <w:r w:rsidR="00566CC3" w:rsidRPr="0002726E">
        <w:rPr>
          <w:rFonts w:ascii="Palatino Linotype" w:hAnsi="Palatino Linotype" w:cs="Palatino Linotype"/>
          <w:color w:val="000000" w:themeColor="text1"/>
        </w:rPr>
        <w:t>analysis of such projects</w:t>
      </w:r>
      <w:r w:rsidR="00EF18B1" w:rsidRPr="0002726E">
        <w:rPr>
          <w:rFonts w:ascii="Palatino Linotype" w:hAnsi="Palatino Linotype" w:cs="Palatino Linotype"/>
          <w:color w:val="000000" w:themeColor="text1"/>
        </w:rPr>
        <w:t xml:space="preserve">. </w:t>
      </w:r>
      <w:r w:rsidR="008B7A95" w:rsidRPr="0002726E">
        <w:rPr>
          <w:rFonts w:ascii="Palatino Linotype" w:hAnsi="Palatino Linotype" w:cs="Palatino Linotype"/>
          <w:color w:val="000000" w:themeColor="text1"/>
        </w:rPr>
        <w:t xml:space="preserve"> </w:t>
      </w:r>
      <w:r w:rsidR="00566CC3" w:rsidRPr="0002726E">
        <w:rPr>
          <w:rFonts w:ascii="Palatino Linotype" w:hAnsi="Palatino Linotype" w:cs="Palatino Linotype"/>
          <w:color w:val="000000" w:themeColor="text1"/>
        </w:rPr>
        <w:t>Finally,</w:t>
      </w:r>
      <w:r w:rsidR="000034A1" w:rsidRPr="0002726E">
        <w:rPr>
          <w:rFonts w:ascii="Palatino Linotype" w:hAnsi="Palatino Linotype" w:cs="Palatino Linotype"/>
          <w:color w:val="000000" w:themeColor="text1"/>
        </w:rPr>
        <w:t xml:space="preserve"> </w:t>
      </w:r>
      <w:r w:rsidR="00566CC3" w:rsidRPr="0002726E">
        <w:rPr>
          <w:rFonts w:ascii="Palatino Linotype" w:hAnsi="Palatino Linotype" w:cs="Palatino Linotype"/>
          <w:color w:val="000000" w:themeColor="text1"/>
        </w:rPr>
        <w:t>TBP seeks to coordinate with cellular service providers, tower companies, landholding agencies, and permitting agencies to as</w:t>
      </w:r>
      <w:r w:rsidR="000034A1" w:rsidRPr="0002726E">
        <w:rPr>
          <w:rFonts w:ascii="Palatino Linotype" w:hAnsi="Palatino Linotype" w:cs="Palatino Linotype"/>
          <w:color w:val="000000" w:themeColor="text1"/>
        </w:rPr>
        <w:t xml:space="preserve">sist </w:t>
      </w:r>
      <w:r w:rsidR="000034A1" w:rsidRPr="0002726E">
        <w:rPr>
          <w:rFonts w:ascii="Palatino Linotype" w:hAnsi="Palatino Linotype" w:cs="Palatino Linotype"/>
          <w:color w:val="000000" w:themeColor="text1"/>
        </w:rPr>
        <w:lastRenderedPageBreak/>
        <w:t>with siting feasibility analyse</w:t>
      </w:r>
      <w:r w:rsidR="00566CC3" w:rsidRPr="0002726E">
        <w:rPr>
          <w:rFonts w:ascii="Palatino Linotype" w:hAnsi="Palatino Linotype" w:cs="Palatino Linotype"/>
          <w:color w:val="000000" w:themeColor="text1"/>
        </w:rPr>
        <w:t>s</w:t>
      </w:r>
      <w:r w:rsidR="000034A1" w:rsidRPr="0002726E">
        <w:rPr>
          <w:rFonts w:ascii="Palatino Linotype" w:hAnsi="Palatino Linotype" w:cs="Palatino Linotype"/>
          <w:color w:val="000000" w:themeColor="text1"/>
        </w:rPr>
        <w:t xml:space="preserve">, </w:t>
      </w:r>
      <w:r w:rsidR="003B5E25" w:rsidRPr="0002726E">
        <w:rPr>
          <w:rFonts w:ascii="Palatino Linotype" w:hAnsi="Palatino Linotype" w:cs="Palatino Linotype"/>
          <w:color w:val="000000" w:themeColor="text1"/>
        </w:rPr>
        <w:t xml:space="preserve">and </w:t>
      </w:r>
      <w:r w:rsidR="000034A1" w:rsidRPr="0002726E">
        <w:rPr>
          <w:rFonts w:ascii="Palatino Linotype" w:hAnsi="Palatino Linotype" w:cs="Palatino Linotype"/>
          <w:color w:val="000000" w:themeColor="text1"/>
        </w:rPr>
        <w:t xml:space="preserve">to host discussions regarding co-location, improved siting and permitting. </w:t>
      </w:r>
      <w:r w:rsidR="00566CC3" w:rsidRPr="0002726E">
        <w:rPr>
          <w:rFonts w:ascii="Palatino Linotype" w:hAnsi="Palatino Linotype" w:cs="Palatino Linotype"/>
          <w:color w:val="000000" w:themeColor="text1"/>
        </w:rPr>
        <w:t xml:space="preserve">  </w:t>
      </w:r>
    </w:p>
    <w:p w:rsidR="00392F9A" w:rsidRPr="0002726E" w:rsidRDefault="00392F9A" w:rsidP="00846D53">
      <w:pPr>
        <w:pStyle w:val="Default"/>
        <w:rPr>
          <w:rFonts w:ascii="Palatino Linotype" w:hAnsi="Palatino Linotype" w:cs="Palatino Linotype"/>
          <w:color w:val="000000" w:themeColor="text1"/>
        </w:rPr>
      </w:pPr>
    </w:p>
    <w:p w:rsidR="00F81E4A" w:rsidRDefault="00394577" w:rsidP="007765CB">
      <w:pPr>
        <w:tabs>
          <w:tab w:val="right" w:pos="10080"/>
        </w:tabs>
        <w:rPr>
          <w:rFonts w:ascii="Palatino Linotype" w:hAnsi="Palatino Linotype"/>
          <w:b/>
          <w:color w:val="000000" w:themeColor="text1"/>
        </w:rPr>
      </w:pPr>
      <w:r w:rsidRPr="00394577">
        <w:rPr>
          <w:rFonts w:ascii="Palatino Linotype" w:hAnsi="Palatino Linotype"/>
          <w:b/>
          <w:color w:val="000000" w:themeColor="text1"/>
        </w:rPr>
        <w:t>IV</w:t>
      </w:r>
      <w:r>
        <w:rPr>
          <w:rFonts w:ascii="Palatino Linotype" w:hAnsi="Palatino Linotype"/>
          <w:b/>
          <w:color w:val="000000" w:themeColor="text1"/>
        </w:rPr>
        <w:t xml:space="preserve">.    </w:t>
      </w:r>
      <w:r w:rsidR="007765CB">
        <w:rPr>
          <w:rFonts w:ascii="Palatino Linotype" w:hAnsi="Palatino Linotype"/>
          <w:b/>
          <w:color w:val="000000" w:themeColor="text1"/>
        </w:rPr>
        <w:t xml:space="preserve">  </w:t>
      </w:r>
      <w:r w:rsidR="00F81E4A">
        <w:rPr>
          <w:rFonts w:ascii="Palatino Linotype" w:hAnsi="Palatino Linotype"/>
          <w:b/>
          <w:color w:val="000000" w:themeColor="text1"/>
        </w:rPr>
        <w:t>NOTICES</w:t>
      </w:r>
    </w:p>
    <w:p w:rsidR="00F81E4A" w:rsidRDefault="00F81E4A" w:rsidP="00F81E4A">
      <w:pPr>
        <w:pStyle w:val="Default"/>
        <w:rPr>
          <w:rFonts w:ascii="Palatino Linotype" w:hAnsi="Palatino Linotype" w:cs="Palatino Linotype"/>
          <w:color w:val="000000" w:themeColor="text1"/>
        </w:rPr>
      </w:pPr>
      <w:r w:rsidRPr="00B8240F">
        <w:rPr>
          <w:rFonts w:ascii="Palatino Linotype" w:hAnsi="Palatino Linotype" w:cs="Palatino Linotype"/>
          <w:color w:val="000000" w:themeColor="text1"/>
        </w:rPr>
        <w:t xml:space="preserve">On </w:t>
      </w:r>
      <w:r w:rsidR="00EC146E">
        <w:rPr>
          <w:rFonts w:ascii="Palatino Linotype" w:hAnsi="Palatino Linotype" w:cs="Palatino Linotype"/>
          <w:color w:val="000000" w:themeColor="text1"/>
        </w:rPr>
        <w:t>February 18</w:t>
      </w:r>
      <w:r w:rsidRPr="00B8240F">
        <w:rPr>
          <w:rFonts w:ascii="Palatino Linotype" w:hAnsi="Palatino Linotype" w:cs="Palatino Linotype"/>
          <w:color w:val="000000" w:themeColor="text1"/>
        </w:rPr>
        <w:t>, 201</w:t>
      </w:r>
      <w:r>
        <w:rPr>
          <w:rFonts w:ascii="Palatino Linotype" w:hAnsi="Palatino Linotype" w:cs="Palatino Linotype"/>
          <w:color w:val="000000" w:themeColor="text1"/>
        </w:rPr>
        <w:t>6, CD posted a list of applications received</w:t>
      </w:r>
      <w:r w:rsidRPr="00B8240F">
        <w:rPr>
          <w:rFonts w:ascii="Palatino Linotype" w:hAnsi="Palatino Linotype" w:cs="Palatino Linotype"/>
          <w:color w:val="000000" w:themeColor="text1"/>
        </w:rPr>
        <w:t xml:space="preserve"> on the Commission’s CASF </w:t>
      </w:r>
      <w:r>
        <w:rPr>
          <w:rFonts w:ascii="Palatino Linotype" w:hAnsi="Palatino Linotype" w:cs="Palatino Linotype"/>
          <w:color w:val="000000" w:themeColor="text1"/>
        </w:rPr>
        <w:t>Consortia</w:t>
      </w:r>
      <w:r w:rsidRPr="00B8240F">
        <w:rPr>
          <w:rFonts w:ascii="Palatino Linotype" w:hAnsi="Palatino Linotype" w:cs="Palatino Linotype"/>
          <w:color w:val="000000" w:themeColor="text1"/>
        </w:rPr>
        <w:t xml:space="preserve"> </w:t>
      </w:r>
      <w:r>
        <w:rPr>
          <w:rFonts w:ascii="Palatino Linotype" w:hAnsi="Palatino Linotype" w:cs="Palatino Linotype"/>
          <w:color w:val="000000" w:themeColor="text1"/>
        </w:rPr>
        <w:t>A</w:t>
      </w:r>
      <w:r w:rsidRPr="00B8240F">
        <w:rPr>
          <w:rFonts w:ascii="Palatino Linotype" w:hAnsi="Palatino Linotype" w:cs="Palatino Linotype"/>
          <w:color w:val="000000" w:themeColor="text1"/>
        </w:rPr>
        <w:t>ccount webpage,</w:t>
      </w:r>
      <w:r w:rsidRPr="00B8240F">
        <w:rPr>
          <w:rStyle w:val="FootnoteReference"/>
          <w:rFonts w:ascii="Palatino Linotype" w:hAnsi="Palatino Linotype" w:cs="Palatino Linotype"/>
          <w:color w:val="000000" w:themeColor="text1"/>
        </w:rPr>
        <w:footnoteReference w:id="7"/>
      </w:r>
      <w:r w:rsidRPr="00B8240F">
        <w:rPr>
          <w:rFonts w:ascii="Palatino Linotype" w:hAnsi="Palatino Linotype" w:cs="Palatino Linotype"/>
          <w:color w:val="000000" w:themeColor="text1"/>
        </w:rPr>
        <w:t xml:space="preserve"> and sent </w:t>
      </w:r>
      <w:r w:rsidR="00625BCC">
        <w:rPr>
          <w:rFonts w:ascii="Palatino Linotype" w:hAnsi="Palatino Linotype" w:cs="Palatino Linotype"/>
          <w:color w:val="000000" w:themeColor="text1"/>
        </w:rPr>
        <w:t xml:space="preserve">email </w:t>
      </w:r>
      <w:r w:rsidRPr="00B8240F">
        <w:rPr>
          <w:rFonts w:ascii="Palatino Linotype" w:hAnsi="Palatino Linotype" w:cs="Palatino Linotype"/>
          <w:color w:val="000000" w:themeColor="text1"/>
        </w:rPr>
        <w:t xml:space="preserve">notices regarding the proposed projects to its </w:t>
      </w:r>
      <w:r w:rsidR="00625BCC">
        <w:rPr>
          <w:rFonts w:ascii="Palatino Linotype" w:hAnsi="Palatino Linotype" w:cs="Palatino Linotype"/>
          <w:color w:val="000000" w:themeColor="text1"/>
        </w:rPr>
        <w:t xml:space="preserve">CASF </w:t>
      </w:r>
      <w:r w:rsidR="00DB78D2">
        <w:rPr>
          <w:rFonts w:ascii="Palatino Linotype" w:hAnsi="Palatino Linotype" w:cs="Palatino Linotype"/>
          <w:color w:val="000000" w:themeColor="text1"/>
        </w:rPr>
        <w:t>Distribution L</w:t>
      </w:r>
      <w:r w:rsidRPr="00B8240F">
        <w:rPr>
          <w:rFonts w:ascii="Palatino Linotype" w:hAnsi="Palatino Linotype" w:cs="Palatino Linotype"/>
          <w:color w:val="000000" w:themeColor="text1"/>
        </w:rPr>
        <w:t xml:space="preserve">ist.  </w:t>
      </w:r>
      <w:r>
        <w:rPr>
          <w:rFonts w:ascii="Palatino Linotype" w:hAnsi="Palatino Linotype" w:cs="Palatino Linotype"/>
          <w:color w:val="000000" w:themeColor="text1"/>
        </w:rPr>
        <w:t xml:space="preserve"> </w:t>
      </w:r>
    </w:p>
    <w:p w:rsidR="00A241E8" w:rsidRDefault="00A241E8" w:rsidP="007765CB">
      <w:pPr>
        <w:pStyle w:val="Default"/>
        <w:rPr>
          <w:rFonts w:ascii="Palatino Linotype" w:hAnsi="Palatino Linotype" w:cs="Palatino Linotype"/>
          <w:b/>
          <w:color w:val="000000" w:themeColor="text1"/>
        </w:rPr>
      </w:pPr>
    </w:p>
    <w:p w:rsidR="001E222C" w:rsidRPr="007765CB" w:rsidRDefault="001E222C" w:rsidP="00012014">
      <w:pPr>
        <w:pStyle w:val="Default"/>
        <w:rPr>
          <w:rFonts w:ascii="Palatino Linotype" w:hAnsi="Palatino Linotype" w:cs="Palatino Linotype"/>
          <w:b/>
          <w:color w:val="000000" w:themeColor="text1"/>
        </w:rPr>
      </w:pPr>
      <w:r w:rsidRPr="007765CB">
        <w:rPr>
          <w:rFonts w:ascii="Palatino Linotype" w:hAnsi="Palatino Linotype" w:cs="Palatino Linotype"/>
          <w:b/>
          <w:color w:val="000000" w:themeColor="text1"/>
        </w:rPr>
        <w:t>V.</w:t>
      </w:r>
      <w:r w:rsidR="007765CB">
        <w:rPr>
          <w:rFonts w:ascii="Palatino Linotype" w:hAnsi="Palatino Linotype" w:cs="Palatino Linotype"/>
          <w:b/>
          <w:color w:val="000000" w:themeColor="text1"/>
        </w:rPr>
        <w:tab/>
      </w:r>
      <w:r w:rsidRPr="007765CB">
        <w:rPr>
          <w:rFonts w:ascii="Palatino Linotype" w:hAnsi="Palatino Linotype" w:cs="Palatino Linotype"/>
          <w:b/>
          <w:color w:val="000000" w:themeColor="text1"/>
        </w:rPr>
        <w:t>PROJECT REVIEW</w:t>
      </w:r>
    </w:p>
    <w:p w:rsidR="001E222C" w:rsidRDefault="001E222C" w:rsidP="001E222C">
      <w:pPr>
        <w:pStyle w:val="NormalWeb"/>
        <w:numPr>
          <w:ilvl w:val="0"/>
          <w:numId w:val="4"/>
        </w:numPr>
        <w:rPr>
          <w:rFonts w:ascii="Palatino Linotype" w:hAnsi="Palatino Linotype"/>
          <w:color w:val="000000" w:themeColor="text1"/>
          <w:u w:val="single"/>
        </w:rPr>
      </w:pPr>
      <w:r w:rsidRPr="00B8240F">
        <w:rPr>
          <w:rFonts w:ascii="Palatino Linotype" w:hAnsi="Palatino Linotype"/>
          <w:color w:val="000000" w:themeColor="text1"/>
          <w:u w:val="single"/>
        </w:rPr>
        <w:t>Project Eligibility</w:t>
      </w:r>
    </w:p>
    <w:p w:rsidR="00F529F8" w:rsidRPr="001340E1" w:rsidRDefault="00F529F8" w:rsidP="00F529F8">
      <w:pPr>
        <w:pStyle w:val="NormalWeb"/>
        <w:rPr>
          <w:rFonts w:ascii="Palatino Linotype" w:hAnsi="Palatino Linotype"/>
          <w:color w:val="000000" w:themeColor="text1"/>
        </w:rPr>
      </w:pPr>
      <w:r w:rsidRPr="001340E1">
        <w:rPr>
          <w:rFonts w:ascii="Palatino Linotype" w:hAnsi="Palatino Linotype"/>
          <w:color w:val="000000" w:themeColor="text1"/>
        </w:rPr>
        <w:t>CCBC, EBBC, and TBP applications are eligible because they meet the minimum criteria established by D.11-06-038</w:t>
      </w:r>
      <w:r w:rsidR="001340E1" w:rsidRPr="001340E1">
        <w:rPr>
          <w:rFonts w:ascii="Palatino Linotype" w:hAnsi="Palatino Linotype"/>
          <w:color w:val="000000" w:themeColor="text1"/>
        </w:rPr>
        <w:t xml:space="preserve"> and </w:t>
      </w:r>
      <w:r w:rsidR="00674CE0">
        <w:rPr>
          <w:rFonts w:ascii="Palatino Linotype" w:hAnsi="Palatino Linotype"/>
          <w:color w:val="000000" w:themeColor="text1"/>
        </w:rPr>
        <w:t xml:space="preserve">CD’s review of how efficiently and cost-effectively previously </w:t>
      </w:r>
      <w:r w:rsidR="003D49C8">
        <w:rPr>
          <w:rFonts w:ascii="Palatino Linotype" w:hAnsi="Palatino Linotype"/>
          <w:color w:val="000000" w:themeColor="text1"/>
        </w:rPr>
        <w:t xml:space="preserve">granted Consortia funds were spent as a basis for awarding any new and/or additional funding.  </w:t>
      </w:r>
      <w:r w:rsidR="00DB78D2">
        <w:rPr>
          <w:rFonts w:ascii="Palatino Linotype" w:hAnsi="Palatino Linotype"/>
          <w:color w:val="000000" w:themeColor="text1"/>
        </w:rPr>
        <w:t xml:space="preserve"> </w:t>
      </w:r>
    </w:p>
    <w:p w:rsidR="001E222C" w:rsidRDefault="001E222C" w:rsidP="001E222C">
      <w:pPr>
        <w:pStyle w:val="ListParagraph"/>
        <w:numPr>
          <w:ilvl w:val="0"/>
          <w:numId w:val="4"/>
        </w:numPr>
        <w:rPr>
          <w:rFonts w:ascii="Palatino Linotype" w:hAnsi="Palatino Linotype"/>
          <w:color w:val="000000" w:themeColor="text1"/>
          <w:u w:val="single"/>
        </w:rPr>
      </w:pPr>
      <w:r w:rsidRPr="00B8240F">
        <w:rPr>
          <w:rFonts w:ascii="Palatino Linotype" w:hAnsi="Palatino Linotype"/>
          <w:color w:val="000000" w:themeColor="text1"/>
          <w:u w:val="single"/>
        </w:rPr>
        <w:t>Project Criteria Evaluation</w:t>
      </w:r>
    </w:p>
    <w:p w:rsidR="009A3EC9" w:rsidRDefault="009A3EC9" w:rsidP="007765CB">
      <w:pPr>
        <w:rPr>
          <w:rFonts w:ascii="Palatino Linotype" w:hAnsi="Palatino Linotype"/>
          <w:color w:val="000000" w:themeColor="text1"/>
          <w:u w:val="single"/>
        </w:rPr>
      </w:pPr>
    </w:p>
    <w:p w:rsidR="001377AE" w:rsidRDefault="003C2687" w:rsidP="009A3EC9">
      <w:pPr>
        <w:ind w:right="-14"/>
        <w:rPr>
          <w:rFonts w:ascii="Palatino Linotype" w:hAnsi="Palatino Linotype"/>
        </w:rPr>
      </w:pPr>
      <w:r>
        <w:rPr>
          <w:rFonts w:ascii="Palatino Linotype" w:hAnsi="Palatino Linotype"/>
        </w:rPr>
        <w:t xml:space="preserve">Proposals from previously funded Regional Consortia were considered in the context of past performance in implementing their Action Plan and Work Plan.  Additionally, </w:t>
      </w:r>
      <w:r w:rsidR="009A3EC9" w:rsidRPr="007E0F84">
        <w:rPr>
          <w:rFonts w:ascii="Palatino Linotype" w:hAnsi="Palatino Linotype"/>
        </w:rPr>
        <w:t xml:space="preserve">CD evaluated </w:t>
      </w:r>
      <w:r w:rsidR="00941623">
        <w:rPr>
          <w:rFonts w:ascii="Palatino Linotype" w:hAnsi="Palatino Linotype"/>
        </w:rPr>
        <w:t>all proposals</w:t>
      </w:r>
      <w:r w:rsidR="009A3EC9" w:rsidRPr="007E0F84">
        <w:rPr>
          <w:rFonts w:ascii="Palatino Linotype" w:hAnsi="Palatino Linotype"/>
        </w:rPr>
        <w:t xml:space="preserve"> with respect to the</w:t>
      </w:r>
      <w:r w:rsidR="009A3EC9">
        <w:rPr>
          <w:rFonts w:ascii="Palatino Linotype" w:hAnsi="Palatino Linotype"/>
        </w:rPr>
        <w:t xml:space="preserve"> criteria defined in D.11-06-038</w:t>
      </w:r>
      <w:r w:rsidR="009A3EC9" w:rsidRPr="007E0F84">
        <w:rPr>
          <w:rFonts w:ascii="Palatino Linotype" w:hAnsi="Palatino Linotype"/>
        </w:rPr>
        <w:t xml:space="preserve">, </w:t>
      </w:r>
      <w:r w:rsidR="009A3EC9">
        <w:rPr>
          <w:rFonts w:ascii="Palatino Linotype" w:hAnsi="Palatino Linotype"/>
        </w:rPr>
        <w:t>Attachment G</w:t>
      </w:r>
      <w:r w:rsidR="009A3EC9" w:rsidRPr="007E0F84">
        <w:rPr>
          <w:rFonts w:ascii="Palatino Linotype" w:hAnsi="Palatino Linotype"/>
        </w:rPr>
        <w:t xml:space="preserve">, </w:t>
      </w:r>
      <w:proofErr w:type="gramStart"/>
      <w:r w:rsidR="009A3EC9">
        <w:rPr>
          <w:rFonts w:ascii="Palatino Linotype" w:hAnsi="Palatino Linotype"/>
        </w:rPr>
        <w:t>Scoring</w:t>
      </w:r>
      <w:proofErr w:type="gramEnd"/>
      <w:r w:rsidR="009A3EC9">
        <w:rPr>
          <w:rFonts w:ascii="Palatino Linotype" w:hAnsi="Palatino Linotype"/>
        </w:rPr>
        <w:t xml:space="preserve"> Criteria</w:t>
      </w:r>
      <w:r w:rsidR="009A3EC9" w:rsidRPr="007E0F84">
        <w:rPr>
          <w:rFonts w:ascii="Palatino Linotype" w:hAnsi="Palatino Linotype"/>
        </w:rPr>
        <w:t xml:space="preserve">.  </w:t>
      </w:r>
      <w:r w:rsidR="009A3EC9">
        <w:rPr>
          <w:rFonts w:ascii="Palatino Linotype" w:hAnsi="Palatino Linotype"/>
        </w:rPr>
        <w:t>The criteria include</w:t>
      </w:r>
      <w:r w:rsidR="005C18DA">
        <w:rPr>
          <w:rFonts w:ascii="Palatino Linotype" w:hAnsi="Palatino Linotype"/>
        </w:rPr>
        <w:t>s</w:t>
      </w:r>
      <w:r w:rsidR="009A3EC9">
        <w:rPr>
          <w:rFonts w:ascii="Palatino Linotype" w:hAnsi="Palatino Linotype"/>
        </w:rPr>
        <w:t>: (1</w:t>
      </w:r>
      <w:r w:rsidR="009A3EC9" w:rsidRPr="007E0F84">
        <w:rPr>
          <w:rFonts w:ascii="Palatino Linotype" w:hAnsi="Palatino Linotype"/>
        </w:rPr>
        <w:t>)</w:t>
      </w:r>
      <w:r w:rsidRPr="003C2687">
        <w:rPr>
          <w:rFonts w:ascii="Palatino Linotype" w:hAnsi="Palatino Linotype"/>
        </w:rPr>
        <w:t xml:space="preserve"> </w:t>
      </w:r>
      <w:r>
        <w:rPr>
          <w:rFonts w:ascii="Palatino Linotype" w:hAnsi="Palatino Linotype"/>
        </w:rPr>
        <w:t>Work Plan,</w:t>
      </w:r>
      <w:r w:rsidR="009A3EC9">
        <w:rPr>
          <w:rFonts w:ascii="Palatino Linotype" w:hAnsi="Palatino Linotype"/>
        </w:rPr>
        <w:t xml:space="preserve"> (2) </w:t>
      </w:r>
      <w:r>
        <w:rPr>
          <w:rFonts w:ascii="Palatino Linotype" w:hAnsi="Palatino Linotype"/>
        </w:rPr>
        <w:t xml:space="preserve">Action Plan, </w:t>
      </w:r>
      <w:r w:rsidR="009A3EC9">
        <w:rPr>
          <w:rFonts w:ascii="Palatino Linotype" w:hAnsi="Palatino Linotype"/>
        </w:rPr>
        <w:t xml:space="preserve">(3) </w:t>
      </w:r>
      <w:r>
        <w:rPr>
          <w:rFonts w:ascii="Palatino Linotype" w:hAnsi="Palatino Linotype"/>
        </w:rPr>
        <w:t>Budget</w:t>
      </w:r>
      <w:r w:rsidR="009A3EC9">
        <w:rPr>
          <w:rFonts w:ascii="Palatino Linotype" w:hAnsi="Palatino Linotype"/>
        </w:rPr>
        <w:t xml:space="preserve">, (4) </w:t>
      </w:r>
      <w:r>
        <w:rPr>
          <w:rFonts w:ascii="Palatino Linotype" w:hAnsi="Palatino Linotype"/>
        </w:rPr>
        <w:t xml:space="preserve">Regional Consortium’s/Members Experience, </w:t>
      </w:r>
      <w:r w:rsidR="00CC5683">
        <w:rPr>
          <w:rFonts w:ascii="Palatino Linotype" w:hAnsi="Palatino Linotype"/>
        </w:rPr>
        <w:t xml:space="preserve">and </w:t>
      </w:r>
      <w:r w:rsidR="009A3EC9">
        <w:rPr>
          <w:rFonts w:ascii="Palatino Linotype" w:hAnsi="Palatino Linotype"/>
        </w:rPr>
        <w:t xml:space="preserve">(5) </w:t>
      </w:r>
      <w:r>
        <w:rPr>
          <w:rFonts w:ascii="Palatino Linotype" w:hAnsi="Palatino Linotype"/>
        </w:rPr>
        <w:t>Regional Consortium Representation and Endorsements</w:t>
      </w:r>
      <w:r w:rsidR="009A3EC9" w:rsidRPr="007E0F84">
        <w:rPr>
          <w:rFonts w:ascii="Palatino Linotype" w:hAnsi="Palatino Linotype"/>
        </w:rPr>
        <w:t xml:space="preserve">.  </w:t>
      </w:r>
      <w:r w:rsidR="00941623">
        <w:rPr>
          <w:rFonts w:ascii="Palatino Linotype" w:hAnsi="Palatino Linotype"/>
        </w:rPr>
        <w:t xml:space="preserve"> </w:t>
      </w:r>
      <w:r w:rsidR="009A3EC9">
        <w:rPr>
          <w:rFonts w:ascii="Palatino Linotype" w:hAnsi="Palatino Linotype"/>
        </w:rPr>
        <w:t xml:space="preserve">CD’s evaluation of </w:t>
      </w:r>
      <w:r w:rsidR="00DB78D2">
        <w:rPr>
          <w:rFonts w:ascii="Palatino Linotype" w:hAnsi="Palatino Linotype"/>
        </w:rPr>
        <w:t>these three</w:t>
      </w:r>
      <w:r w:rsidR="00CC5683">
        <w:rPr>
          <w:rFonts w:ascii="Palatino Linotype" w:hAnsi="Palatino Linotype"/>
        </w:rPr>
        <w:t xml:space="preserve"> projects</w:t>
      </w:r>
      <w:r w:rsidR="009A3EC9">
        <w:rPr>
          <w:rFonts w:ascii="Palatino Linotype" w:hAnsi="Palatino Linotype"/>
        </w:rPr>
        <w:t xml:space="preserve"> is summarized below.</w:t>
      </w:r>
    </w:p>
    <w:p w:rsidR="001377AE" w:rsidRPr="002717B0" w:rsidRDefault="001377AE" w:rsidP="001377AE">
      <w:pPr>
        <w:pStyle w:val="NormalWeb"/>
        <w:rPr>
          <w:rFonts w:ascii="Palatino Linotype" w:hAnsi="Palatino Linotype"/>
          <w:i/>
        </w:rPr>
      </w:pPr>
      <w:r>
        <w:rPr>
          <w:rFonts w:ascii="Palatino Linotype" w:hAnsi="Palatino Linotype"/>
          <w:i/>
        </w:rPr>
        <w:t>Past Performance</w:t>
      </w:r>
    </w:p>
    <w:p w:rsidR="001377AE" w:rsidRDefault="001377AE" w:rsidP="001377AE">
      <w:pPr>
        <w:pStyle w:val="NormalWeb"/>
        <w:rPr>
          <w:rFonts w:ascii="Palatino Linotype" w:hAnsi="Palatino Linotype"/>
          <w:b/>
        </w:rPr>
      </w:pPr>
      <w:r w:rsidRPr="002717B0">
        <w:rPr>
          <w:rFonts w:ascii="Palatino Linotype" w:hAnsi="Palatino Linotype"/>
          <w:b/>
        </w:rPr>
        <w:t>CCBC</w:t>
      </w:r>
    </w:p>
    <w:p w:rsidR="001377AE" w:rsidRDefault="001377AE" w:rsidP="001377AE">
      <w:pPr>
        <w:autoSpaceDE w:val="0"/>
        <w:autoSpaceDN w:val="0"/>
        <w:adjustRightInd w:val="0"/>
        <w:rPr>
          <w:rFonts w:ascii="Palatino Linotype" w:hAnsi="Palatino Linotype"/>
          <w:color w:val="000000" w:themeColor="text1"/>
        </w:rPr>
      </w:pPr>
      <w:r w:rsidRPr="005B782B">
        <w:rPr>
          <w:rFonts w:ascii="Palatino Linotype" w:hAnsi="Palatino Linotype"/>
          <w:color w:val="000000" w:themeColor="text1"/>
        </w:rPr>
        <w:t xml:space="preserve">To date, </w:t>
      </w:r>
      <w:r>
        <w:rPr>
          <w:rFonts w:ascii="Palatino Linotype" w:hAnsi="Palatino Linotype"/>
          <w:color w:val="000000" w:themeColor="text1"/>
        </w:rPr>
        <w:t>CCBC</w:t>
      </w:r>
      <w:r w:rsidRPr="005B782B">
        <w:rPr>
          <w:rFonts w:ascii="Palatino Linotype" w:hAnsi="Palatino Linotype"/>
          <w:color w:val="000000" w:themeColor="text1"/>
        </w:rPr>
        <w:t xml:space="preserve"> has successfully produced GIS and other analytical tools that have been effective in documenting broadband infrastructure and service gaps throughout its region.  Along with its public outreach and coordination, these technical resources have been used to </w:t>
      </w:r>
      <w:r>
        <w:rPr>
          <w:rFonts w:ascii="Palatino Linotype" w:hAnsi="Palatino Linotype"/>
          <w:color w:val="000000" w:themeColor="text1"/>
        </w:rPr>
        <w:t xml:space="preserve">support and </w:t>
      </w:r>
      <w:r w:rsidRPr="005B782B">
        <w:rPr>
          <w:rFonts w:ascii="Palatino Linotype" w:hAnsi="Palatino Linotype"/>
          <w:color w:val="000000" w:themeColor="text1"/>
        </w:rPr>
        <w:t xml:space="preserve">expedite infrastructure planning and development. </w:t>
      </w:r>
      <w:r>
        <w:rPr>
          <w:rFonts w:ascii="Palatino Linotype" w:hAnsi="Palatino Linotype"/>
          <w:color w:val="000000" w:themeColor="text1"/>
        </w:rPr>
        <w:t xml:space="preserve"> </w:t>
      </w:r>
      <w:r w:rsidRPr="005B782B">
        <w:rPr>
          <w:rFonts w:ascii="Palatino Linotype" w:hAnsi="Palatino Linotype"/>
          <w:color w:val="000000" w:themeColor="text1"/>
        </w:rPr>
        <w:t>Since the Consortium began its work, more than ten broadband infrastructure proposals were approved</w:t>
      </w:r>
      <w:r>
        <w:rPr>
          <w:rFonts w:ascii="Palatino Linotype" w:hAnsi="Palatino Linotype"/>
          <w:color w:val="000000" w:themeColor="text1"/>
        </w:rPr>
        <w:t xml:space="preserve"> – f</w:t>
      </w:r>
      <w:r w:rsidRPr="005B782B">
        <w:rPr>
          <w:rFonts w:ascii="Palatino Linotype" w:hAnsi="Palatino Linotype"/>
          <w:color w:val="000000" w:themeColor="text1"/>
        </w:rPr>
        <w:t xml:space="preserve">our </w:t>
      </w:r>
      <w:r>
        <w:rPr>
          <w:rFonts w:ascii="Palatino Linotype" w:hAnsi="Palatino Linotype"/>
          <w:color w:val="000000" w:themeColor="text1"/>
        </w:rPr>
        <w:t>of them were</w:t>
      </w:r>
      <w:r w:rsidRPr="005B782B">
        <w:rPr>
          <w:rFonts w:ascii="Palatino Linotype" w:hAnsi="Palatino Linotype"/>
          <w:color w:val="000000" w:themeColor="text1"/>
        </w:rPr>
        <w:t xml:space="preserve"> CASF infrastructure</w:t>
      </w:r>
      <w:r>
        <w:rPr>
          <w:rFonts w:ascii="Palatino Linotype" w:hAnsi="Palatino Linotype"/>
          <w:color w:val="000000" w:themeColor="text1"/>
        </w:rPr>
        <w:t xml:space="preserve"> grant proposals</w:t>
      </w:r>
      <w:r w:rsidRPr="005B782B">
        <w:rPr>
          <w:rFonts w:ascii="Palatino Linotype" w:hAnsi="Palatino Linotype"/>
          <w:color w:val="000000" w:themeColor="text1"/>
        </w:rPr>
        <w:t xml:space="preserve">. </w:t>
      </w:r>
      <w:r>
        <w:rPr>
          <w:rFonts w:ascii="Palatino Linotype" w:hAnsi="Palatino Linotype"/>
          <w:color w:val="000000" w:themeColor="text1"/>
        </w:rPr>
        <w:t xml:space="preserve"> CCBC provided resources to more deployment projects in the region that are in various stages of development.  </w:t>
      </w:r>
      <w:r w:rsidRPr="005B782B">
        <w:rPr>
          <w:rFonts w:ascii="Palatino Linotype" w:hAnsi="Palatino Linotype"/>
          <w:color w:val="000000" w:themeColor="text1"/>
        </w:rPr>
        <w:t xml:space="preserve">CCBC has also provided a GIS analysis and web-platform model for other consortia to emulate. </w:t>
      </w:r>
    </w:p>
    <w:p w:rsidR="001377AE" w:rsidRDefault="001377AE" w:rsidP="001377AE">
      <w:pPr>
        <w:autoSpaceDE w:val="0"/>
        <w:autoSpaceDN w:val="0"/>
        <w:adjustRightInd w:val="0"/>
        <w:rPr>
          <w:rFonts w:ascii="Palatino Linotype" w:hAnsi="Palatino Linotype"/>
          <w:b/>
        </w:rPr>
      </w:pPr>
      <w:r w:rsidRPr="002717B0">
        <w:rPr>
          <w:rFonts w:ascii="Palatino Linotype" w:hAnsi="Palatino Linotype"/>
          <w:b/>
        </w:rPr>
        <w:lastRenderedPageBreak/>
        <w:t>EBBC</w:t>
      </w:r>
    </w:p>
    <w:p w:rsidR="001377AE" w:rsidRPr="00B675C9" w:rsidRDefault="001377AE" w:rsidP="001377AE">
      <w:pPr>
        <w:pStyle w:val="NormalWeb"/>
        <w:rPr>
          <w:rFonts w:ascii="Palatino Linotype" w:hAnsi="Palatino Linotype"/>
        </w:rPr>
      </w:pPr>
      <w:r w:rsidRPr="00B675C9">
        <w:rPr>
          <w:rFonts w:ascii="Palatino Linotype" w:hAnsi="Palatino Linotype"/>
        </w:rPr>
        <w:t>Ove</w:t>
      </w:r>
      <w:r>
        <w:rPr>
          <w:rFonts w:ascii="Palatino Linotype" w:hAnsi="Palatino Linotype"/>
        </w:rPr>
        <w:t xml:space="preserve">r the prior grant cycle, EBBC worked with the Oakland Housing Authority to develop a CASF public housing grant application, and attended regional meetings to advocate for making the East Bay a “gigabit region.”  EBBC coordinated workshops and tech fairs where more than 1,300 free computers, training, and tech support were delivered. EBBC coordinated and/or facilitated donations and refurbishing of more than 1,400 computers, the refurbishing of student computer labs and simulation stations at rec centers.  EBBC also worked with other organizations to bring “tech equity” to students of color and women in the region. </w:t>
      </w:r>
    </w:p>
    <w:p w:rsidR="001377AE" w:rsidRDefault="001377AE" w:rsidP="001377AE">
      <w:pPr>
        <w:autoSpaceDE w:val="0"/>
        <w:autoSpaceDN w:val="0"/>
        <w:adjustRightInd w:val="0"/>
        <w:rPr>
          <w:rFonts w:ascii="Palatino Linotype" w:hAnsi="Palatino Linotype"/>
          <w:b/>
        </w:rPr>
      </w:pPr>
      <w:r w:rsidRPr="002717B0">
        <w:rPr>
          <w:rFonts w:ascii="Palatino Linotype" w:hAnsi="Palatino Linotype"/>
          <w:b/>
        </w:rPr>
        <w:t>TBP</w:t>
      </w:r>
    </w:p>
    <w:p w:rsidR="001377AE" w:rsidRDefault="001377AE" w:rsidP="001377AE">
      <w:pPr>
        <w:autoSpaceDE w:val="0"/>
        <w:autoSpaceDN w:val="0"/>
        <w:adjustRightInd w:val="0"/>
        <w:rPr>
          <w:rFonts w:ascii="Palatino Linotype" w:hAnsi="Palatino Linotype"/>
          <w:b/>
        </w:rPr>
      </w:pPr>
    </w:p>
    <w:p w:rsidR="001377AE" w:rsidRPr="00CD11FC" w:rsidRDefault="001377AE" w:rsidP="001377AE">
      <w:pPr>
        <w:rPr>
          <w:rFonts w:ascii="Palatino Linotype" w:hAnsi="Palatino Linotype"/>
          <w:color w:val="000000" w:themeColor="text1"/>
        </w:rPr>
      </w:pPr>
      <w:r w:rsidRPr="00077585">
        <w:rPr>
          <w:rFonts w:ascii="Palatino Linotype" w:hAnsi="Palatino Linotype"/>
          <w:color w:val="000000" w:themeColor="text1"/>
        </w:rPr>
        <w:t>The TBP efforts, thus far, include a public awareness and data gathering campaign, resulting in over 1,000 new speed tests being submitted to the CPUC for inclusion on its interactive map; creation of a map that included the latest broadband availability data and the results of a Tahoe (and surroundings) field survey, validating middle mile resources data; classification of un/underserved neighborhoods and recruitment of potential ISPs, resulting in two CASF grant applications and identification of other potential projects; and the introduction of the “dig once” policy concept to all relevant jurisdictions and utilities, and agreement to pursue a global policy for the Basin.</w:t>
      </w:r>
      <w:r w:rsidRPr="00CD11FC">
        <w:rPr>
          <w:rFonts w:ascii="Palatino Linotype" w:hAnsi="Palatino Linotype"/>
          <w:color w:val="000000" w:themeColor="text1"/>
        </w:rPr>
        <w:t xml:space="preserve">  Finally, the TBP initiated an effort to expand and strengthen the cellular network around the Basin </w:t>
      </w:r>
      <w:r>
        <w:rPr>
          <w:rFonts w:ascii="Palatino Linotype" w:hAnsi="Palatino Linotype"/>
          <w:color w:val="000000" w:themeColor="text1"/>
        </w:rPr>
        <w:t>by</w:t>
      </w:r>
      <w:r w:rsidRPr="00CD11FC">
        <w:rPr>
          <w:rFonts w:ascii="Palatino Linotype" w:hAnsi="Palatino Linotype"/>
          <w:color w:val="000000" w:themeColor="text1"/>
        </w:rPr>
        <w:t xml:space="preserve"> engaging the cellular providers, USFS and TRPA, establishing a new evaluation process for siting and </w:t>
      </w:r>
      <w:r w:rsidRPr="00077585">
        <w:rPr>
          <w:rFonts w:ascii="Palatino Linotype" w:hAnsi="Palatino Linotype"/>
          <w:color w:val="000000" w:themeColor="text1"/>
        </w:rPr>
        <w:t>potentially</w:t>
      </w:r>
      <w:r>
        <w:rPr>
          <w:rFonts w:ascii="Palatino Linotype" w:hAnsi="Palatino Linotype"/>
          <w:color w:val="000000" w:themeColor="text1"/>
        </w:rPr>
        <w:t xml:space="preserve"> </w:t>
      </w:r>
      <w:r w:rsidRPr="00CD11FC">
        <w:rPr>
          <w:rFonts w:ascii="Palatino Linotype" w:hAnsi="Palatino Linotype"/>
          <w:color w:val="000000" w:themeColor="text1"/>
        </w:rPr>
        <w:t>consolidating infrastructure.</w:t>
      </w:r>
    </w:p>
    <w:p w:rsidR="001377AE" w:rsidRDefault="001377AE" w:rsidP="001377AE">
      <w:pPr>
        <w:autoSpaceDE w:val="0"/>
        <w:autoSpaceDN w:val="0"/>
        <w:adjustRightInd w:val="0"/>
        <w:rPr>
          <w:rFonts w:ascii="Palatino Linotype" w:hAnsi="Palatino Linotype"/>
          <w:color w:val="000000" w:themeColor="text1"/>
        </w:rPr>
      </w:pPr>
    </w:p>
    <w:p w:rsidR="001377AE" w:rsidRDefault="001377AE" w:rsidP="001377AE">
      <w:pPr>
        <w:autoSpaceDE w:val="0"/>
        <w:autoSpaceDN w:val="0"/>
        <w:adjustRightInd w:val="0"/>
        <w:rPr>
          <w:rFonts w:ascii="Palatino Linotype" w:hAnsi="Palatino Linotype"/>
          <w:color w:val="000000" w:themeColor="text1"/>
        </w:rPr>
      </w:pPr>
      <w:r>
        <w:rPr>
          <w:rFonts w:ascii="Palatino Linotype" w:hAnsi="Palatino Linotype"/>
          <w:color w:val="000000" w:themeColor="text1"/>
        </w:rPr>
        <w:t>During the previous grant cycle, the Fiscal Agents for CCBC, EBBC, and TBP filed appropriate documentation with reimbursement requests, and fulfilled other consortium-related responsibilities.</w:t>
      </w:r>
    </w:p>
    <w:p w:rsidR="008D1AE3" w:rsidRDefault="008D1AE3" w:rsidP="001377AE">
      <w:pPr>
        <w:autoSpaceDE w:val="0"/>
        <w:autoSpaceDN w:val="0"/>
        <w:adjustRightInd w:val="0"/>
        <w:rPr>
          <w:rFonts w:ascii="Palatino Linotype" w:hAnsi="Palatino Linotype"/>
          <w:color w:val="000000" w:themeColor="text1"/>
        </w:rPr>
      </w:pPr>
    </w:p>
    <w:p w:rsidR="008D1AE3" w:rsidRPr="00985B4A" w:rsidRDefault="008D1AE3" w:rsidP="00AE52B0">
      <w:pPr>
        <w:pStyle w:val="NormalWeb"/>
        <w:spacing w:before="0"/>
        <w:rPr>
          <w:rFonts w:ascii="Palatino Linotype" w:hAnsi="Palatino Linotype"/>
          <w:i/>
        </w:rPr>
      </w:pPr>
      <w:r w:rsidRPr="008B0F39">
        <w:rPr>
          <w:rFonts w:ascii="Palatino Linotype" w:hAnsi="Palatino Linotype"/>
          <w:i/>
        </w:rPr>
        <w:t>Work Plan</w:t>
      </w:r>
    </w:p>
    <w:p w:rsidR="008D1AE3" w:rsidRDefault="008D1AE3" w:rsidP="008D1AE3">
      <w:pPr>
        <w:pStyle w:val="NormalWeb"/>
        <w:rPr>
          <w:rFonts w:ascii="Palatino Linotype" w:hAnsi="Palatino Linotype"/>
        </w:rPr>
      </w:pPr>
      <w:r w:rsidRPr="00421080">
        <w:rPr>
          <w:rFonts w:ascii="Palatino Linotype" w:hAnsi="Palatino Linotype"/>
          <w:b/>
        </w:rPr>
        <w:t>CCBC</w:t>
      </w:r>
      <w:r>
        <w:rPr>
          <w:rFonts w:ascii="Palatino Linotype" w:hAnsi="Palatino Linotype"/>
          <w:b/>
        </w:rPr>
        <w:t>’</w:t>
      </w:r>
      <w:r w:rsidRPr="00421080">
        <w:rPr>
          <w:rFonts w:ascii="Palatino Linotype" w:hAnsi="Palatino Linotype"/>
        </w:rPr>
        <w:t>s Work Plan contains discrete, clear tasks and deliverables, with acceptable timelines for completion</w:t>
      </w:r>
      <w:r w:rsidR="00FA66D1">
        <w:rPr>
          <w:rFonts w:ascii="Palatino Linotype" w:hAnsi="Palatino Linotype"/>
        </w:rPr>
        <w:t xml:space="preserve"> (see Appendix A)</w:t>
      </w:r>
      <w:r w:rsidRPr="00421080">
        <w:rPr>
          <w:rFonts w:ascii="Palatino Linotype" w:hAnsi="Palatino Linotype"/>
        </w:rPr>
        <w:t xml:space="preserve">.  The Work Plan is directly related to the Action Plan and </w:t>
      </w:r>
      <w:r>
        <w:rPr>
          <w:rFonts w:ascii="Palatino Linotype" w:hAnsi="Palatino Linotype"/>
        </w:rPr>
        <w:t>its</w:t>
      </w:r>
      <w:r w:rsidRPr="00421080">
        <w:rPr>
          <w:rFonts w:ascii="Palatino Linotype" w:hAnsi="Palatino Linotype"/>
        </w:rPr>
        <w:t xml:space="preserve"> goals.</w:t>
      </w:r>
      <w:r>
        <w:rPr>
          <w:rFonts w:ascii="Palatino Linotype" w:hAnsi="Palatino Linotype"/>
        </w:rPr>
        <w:t xml:space="preserve">  For example, CCBC plans to collect and integrate Form 477, CAF2 and other data into its GIS analysis, and further develop its web platform content for use in broadband infrastructure planning and development.</w:t>
      </w:r>
    </w:p>
    <w:p w:rsidR="008D1AE3" w:rsidRDefault="008D1AE3" w:rsidP="008D1AE3">
      <w:pPr>
        <w:pStyle w:val="NormalWeb"/>
        <w:rPr>
          <w:rFonts w:ascii="Palatino Linotype" w:hAnsi="Palatino Linotype"/>
          <w:b/>
        </w:rPr>
      </w:pPr>
      <w:r w:rsidRPr="00421080">
        <w:rPr>
          <w:rFonts w:ascii="Palatino Linotype" w:hAnsi="Palatino Linotype"/>
          <w:b/>
        </w:rPr>
        <w:t>EBBC</w:t>
      </w:r>
      <w:r>
        <w:rPr>
          <w:rFonts w:ascii="Palatino Linotype" w:hAnsi="Palatino Linotype"/>
          <w:b/>
        </w:rPr>
        <w:t>’s</w:t>
      </w:r>
      <w:r w:rsidRPr="00421080">
        <w:rPr>
          <w:rFonts w:ascii="Palatino Linotype" w:hAnsi="Palatino Linotype"/>
        </w:rPr>
        <w:t xml:space="preserve"> Work Plan contains discrete, clear tasks and deliverables, with acceptable timelines for completion</w:t>
      </w:r>
      <w:r w:rsidR="00FA66D1">
        <w:rPr>
          <w:rFonts w:ascii="Palatino Linotype" w:hAnsi="Palatino Linotype"/>
        </w:rPr>
        <w:t xml:space="preserve"> (see Appendix B)</w:t>
      </w:r>
      <w:r w:rsidRPr="00421080">
        <w:rPr>
          <w:rFonts w:ascii="Palatino Linotype" w:hAnsi="Palatino Linotype"/>
        </w:rPr>
        <w:t xml:space="preserve">.  The Work Plan is directly related to the Action Plan and </w:t>
      </w:r>
      <w:r>
        <w:rPr>
          <w:rFonts w:ascii="Palatino Linotype" w:hAnsi="Palatino Linotype"/>
        </w:rPr>
        <w:t>its</w:t>
      </w:r>
      <w:r w:rsidRPr="00421080">
        <w:rPr>
          <w:rFonts w:ascii="Palatino Linotype" w:hAnsi="Palatino Linotype"/>
        </w:rPr>
        <w:t xml:space="preserve"> goals.</w:t>
      </w:r>
      <w:r>
        <w:rPr>
          <w:rFonts w:ascii="Palatino Linotype" w:hAnsi="Palatino Linotype"/>
        </w:rPr>
        <w:t xml:space="preserve">  For example, EEBC proposes to coordinate the donation and distribution of 2,000 computers; and partner with public agencies, schools, and </w:t>
      </w:r>
      <w:r>
        <w:rPr>
          <w:rFonts w:ascii="Palatino Linotype" w:hAnsi="Palatino Linotype"/>
        </w:rPr>
        <w:lastRenderedPageBreak/>
        <w:t xml:space="preserve">community groups to encourage diversity and equity in tech education and tech business hiring. </w:t>
      </w:r>
    </w:p>
    <w:p w:rsidR="008D1AE3" w:rsidRDefault="008D1AE3" w:rsidP="008D1AE3">
      <w:pPr>
        <w:pStyle w:val="NormalWeb"/>
        <w:rPr>
          <w:rFonts w:ascii="Palatino Linotype" w:hAnsi="Palatino Linotype"/>
        </w:rPr>
      </w:pPr>
      <w:r w:rsidRPr="00CE794A">
        <w:rPr>
          <w:rFonts w:ascii="Palatino Linotype" w:hAnsi="Palatino Linotype"/>
          <w:b/>
        </w:rPr>
        <w:t>TBP</w:t>
      </w:r>
      <w:r>
        <w:rPr>
          <w:rFonts w:ascii="Palatino Linotype" w:hAnsi="Palatino Linotype"/>
          <w:b/>
        </w:rPr>
        <w:t>’s</w:t>
      </w:r>
      <w:r w:rsidRPr="00421080">
        <w:rPr>
          <w:rFonts w:ascii="Palatino Linotype" w:hAnsi="Palatino Linotype"/>
        </w:rPr>
        <w:t xml:space="preserve"> Work Plan contains discrete, clear tasks and deliverables, with acceptable timelines for completion</w:t>
      </w:r>
      <w:r w:rsidR="00FA66D1">
        <w:rPr>
          <w:rFonts w:ascii="Palatino Linotype" w:hAnsi="Palatino Linotype"/>
        </w:rPr>
        <w:t xml:space="preserve"> (see Appendix C)</w:t>
      </w:r>
      <w:r w:rsidRPr="00421080">
        <w:rPr>
          <w:rFonts w:ascii="Palatino Linotype" w:hAnsi="Palatino Linotype"/>
        </w:rPr>
        <w:t xml:space="preserve">.  The Work Plan is directly related to the Action Plan and </w:t>
      </w:r>
      <w:r>
        <w:rPr>
          <w:rFonts w:ascii="Palatino Linotype" w:hAnsi="Palatino Linotype"/>
        </w:rPr>
        <w:t>its</w:t>
      </w:r>
      <w:r w:rsidRPr="00421080">
        <w:rPr>
          <w:rFonts w:ascii="Palatino Linotype" w:hAnsi="Palatino Linotype"/>
        </w:rPr>
        <w:t xml:space="preserve"> goals.</w:t>
      </w:r>
      <w:r>
        <w:rPr>
          <w:rFonts w:ascii="Palatino Linotype" w:hAnsi="Palatino Linotype"/>
        </w:rPr>
        <w:t xml:space="preserve">  For example, TBP plans to bring together cities, counties, regional, federal agencies, utilities, and educational institutions to develop and adopt a “universal” dig once policy.  </w:t>
      </w:r>
    </w:p>
    <w:p w:rsidR="008D1AE3" w:rsidRPr="00985B4A" w:rsidRDefault="008D1AE3" w:rsidP="008D1AE3">
      <w:pPr>
        <w:pStyle w:val="NormalWeb"/>
        <w:rPr>
          <w:rFonts w:ascii="Palatino Linotype" w:hAnsi="Palatino Linotype"/>
          <w:i/>
        </w:rPr>
      </w:pPr>
      <w:r w:rsidRPr="001340E1">
        <w:rPr>
          <w:rFonts w:ascii="Palatino Linotype" w:hAnsi="Palatino Linotype"/>
          <w:i/>
        </w:rPr>
        <w:t>Action Plan</w:t>
      </w:r>
    </w:p>
    <w:p w:rsidR="008D1AE3" w:rsidRDefault="008D1AE3" w:rsidP="008D1AE3">
      <w:pPr>
        <w:pStyle w:val="NormalWeb"/>
        <w:rPr>
          <w:rFonts w:ascii="Palatino Linotype" w:hAnsi="Palatino Linotype"/>
        </w:rPr>
      </w:pPr>
      <w:r w:rsidRPr="00421080">
        <w:rPr>
          <w:rFonts w:ascii="Palatino Linotype" w:hAnsi="Palatino Linotype"/>
          <w:b/>
        </w:rPr>
        <w:t>CCBC</w:t>
      </w:r>
      <w:r w:rsidRPr="00421080">
        <w:rPr>
          <w:rFonts w:ascii="Palatino Linotype" w:hAnsi="Palatino Linotype"/>
        </w:rPr>
        <w:t xml:space="preserve"> provided a clear Action</w:t>
      </w:r>
      <w:r>
        <w:rPr>
          <w:rFonts w:ascii="Palatino Linotype" w:hAnsi="Palatino Linotype"/>
        </w:rPr>
        <w:t xml:space="preserve"> Plan</w:t>
      </w:r>
      <w:r w:rsidRPr="00421080">
        <w:rPr>
          <w:rFonts w:ascii="Palatino Linotype" w:hAnsi="Palatino Linotype"/>
        </w:rPr>
        <w:t xml:space="preserve"> </w:t>
      </w:r>
      <w:r>
        <w:rPr>
          <w:rFonts w:ascii="Palatino Linotype" w:hAnsi="Palatino Linotype"/>
        </w:rPr>
        <w:t>consistent with program requirements defined in D.11-06-038.</w:t>
      </w:r>
      <w:r w:rsidRPr="00421080">
        <w:rPr>
          <w:rFonts w:ascii="Palatino Linotype" w:hAnsi="Palatino Linotype"/>
        </w:rPr>
        <w:t xml:space="preserve"> </w:t>
      </w:r>
      <w:r>
        <w:rPr>
          <w:rFonts w:ascii="Palatino Linotype" w:hAnsi="Palatino Linotype"/>
        </w:rPr>
        <w:t xml:space="preserve"> CCBC proposes deployment-enhancing tools, as well as planning and policy assistant that are consistent with the “core responsibilities” outlined in D.11-06-038.</w:t>
      </w:r>
      <w:r>
        <w:rPr>
          <w:rStyle w:val="FootnoteReference"/>
          <w:rFonts w:ascii="Palatino Linotype" w:hAnsi="Palatino Linotype"/>
        </w:rPr>
        <w:footnoteReference w:id="8"/>
      </w:r>
    </w:p>
    <w:p w:rsidR="008D1AE3" w:rsidRDefault="008D1AE3" w:rsidP="008D1AE3">
      <w:pPr>
        <w:pStyle w:val="NormalWeb"/>
        <w:rPr>
          <w:rFonts w:ascii="Palatino Linotype" w:hAnsi="Palatino Linotype"/>
        </w:rPr>
      </w:pPr>
      <w:r w:rsidRPr="00421080">
        <w:rPr>
          <w:rFonts w:ascii="Palatino Linotype" w:hAnsi="Palatino Linotype"/>
          <w:b/>
        </w:rPr>
        <w:t>EBBC</w:t>
      </w:r>
      <w:r w:rsidRPr="00421080">
        <w:rPr>
          <w:rFonts w:ascii="Palatino Linotype" w:hAnsi="Palatino Linotype"/>
        </w:rPr>
        <w:t xml:space="preserve"> provided a clear Action </w:t>
      </w:r>
      <w:r>
        <w:rPr>
          <w:rFonts w:ascii="Palatino Linotype" w:hAnsi="Palatino Linotype"/>
        </w:rPr>
        <w:t>P</w:t>
      </w:r>
      <w:r w:rsidRPr="00421080">
        <w:rPr>
          <w:rFonts w:ascii="Palatino Linotype" w:hAnsi="Palatino Linotype"/>
        </w:rPr>
        <w:t xml:space="preserve">lan </w:t>
      </w:r>
      <w:r>
        <w:rPr>
          <w:rFonts w:ascii="Palatino Linotype" w:hAnsi="Palatino Linotype"/>
        </w:rPr>
        <w:t xml:space="preserve">consistent with program requirements defined in D.11-06-038. </w:t>
      </w:r>
      <w:r w:rsidRPr="00421080">
        <w:rPr>
          <w:rFonts w:ascii="Palatino Linotype" w:hAnsi="Palatino Linotype"/>
        </w:rPr>
        <w:t xml:space="preserve"> </w:t>
      </w:r>
      <w:r>
        <w:rPr>
          <w:rFonts w:ascii="Palatino Linotype" w:hAnsi="Palatino Linotype"/>
        </w:rPr>
        <w:t>The Action Plan</w:t>
      </w:r>
      <w:r w:rsidRPr="00421080">
        <w:rPr>
          <w:rFonts w:ascii="Palatino Linotype" w:hAnsi="Palatino Linotype"/>
        </w:rPr>
        <w:t xml:space="preserve"> contains sufficient detail and outlines proposed actions that build upon past efforts</w:t>
      </w:r>
      <w:r>
        <w:rPr>
          <w:rFonts w:ascii="Palatino Linotype" w:hAnsi="Palatino Linotype"/>
        </w:rPr>
        <w:t>, and</w:t>
      </w:r>
      <w:r w:rsidRPr="00421080">
        <w:rPr>
          <w:rFonts w:ascii="Palatino Linotype" w:hAnsi="Palatino Linotype"/>
        </w:rPr>
        <w:t xml:space="preserve"> includes a program that is consistent with D.11-06-038 “core responsibilities.”</w:t>
      </w:r>
      <w:r>
        <w:rPr>
          <w:rStyle w:val="FootnoteReference"/>
          <w:rFonts w:ascii="Palatino Linotype" w:hAnsi="Palatino Linotype"/>
        </w:rPr>
        <w:footnoteReference w:id="9"/>
      </w:r>
      <w:r w:rsidRPr="00421080">
        <w:rPr>
          <w:rFonts w:ascii="Palatino Linotype" w:hAnsi="Palatino Linotype"/>
        </w:rPr>
        <w:t xml:space="preserve"> </w:t>
      </w:r>
      <w:r>
        <w:rPr>
          <w:rFonts w:ascii="Palatino Linotype" w:hAnsi="Palatino Linotype"/>
        </w:rPr>
        <w:t xml:space="preserve"> </w:t>
      </w:r>
      <w:r w:rsidRPr="00421080">
        <w:rPr>
          <w:rFonts w:ascii="Palatino Linotype" w:hAnsi="Palatino Linotype"/>
        </w:rPr>
        <w:t xml:space="preserve"> </w:t>
      </w:r>
      <w:r>
        <w:rPr>
          <w:rFonts w:ascii="Palatino Linotype" w:hAnsi="Palatino Linotype"/>
        </w:rPr>
        <w:t xml:space="preserve">   </w:t>
      </w:r>
    </w:p>
    <w:p w:rsidR="008D1AE3" w:rsidRDefault="008D1AE3" w:rsidP="008D1AE3">
      <w:pPr>
        <w:pStyle w:val="NormalWeb"/>
        <w:rPr>
          <w:rFonts w:ascii="Palatino Linotype" w:hAnsi="Palatino Linotype"/>
        </w:rPr>
      </w:pPr>
      <w:r w:rsidRPr="00421080">
        <w:rPr>
          <w:rFonts w:ascii="Palatino Linotype" w:hAnsi="Palatino Linotype"/>
          <w:b/>
        </w:rPr>
        <w:t>TBP</w:t>
      </w:r>
      <w:r>
        <w:rPr>
          <w:rFonts w:ascii="Palatino Linotype" w:hAnsi="Palatino Linotype"/>
        </w:rPr>
        <w:t xml:space="preserve"> </w:t>
      </w:r>
      <w:r w:rsidRPr="00421080">
        <w:rPr>
          <w:rFonts w:ascii="Palatino Linotype" w:hAnsi="Palatino Linotype"/>
        </w:rPr>
        <w:t xml:space="preserve">provided a clear Action </w:t>
      </w:r>
      <w:r>
        <w:rPr>
          <w:rFonts w:ascii="Palatino Linotype" w:hAnsi="Palatino Linotype"/>
        </w:rPr>
        <w:t>P</w:t>
      </w:r>
      <w:r w:rsidRPr="00421080">
        <w:rPr>
          <w:rFonts w:ascii="Palatino Linotype" w:hAnsi="Palatino Linotype"/>
        </w:rPr>
        <w:t>lan</w:t>
      </w:r>
      <w:r>
        <w:rPr>
          <w:rFonts w:ascii="Palatino Linotype" w:hAnsi="Palatino Linotype"/>
        </w:rPr>
        <w:t>,</w:t>
      </w:r>
      <w:r w:rsidRPr="002E039B">
        <w:rPr>
          <w:rFonts w:ascii="Palatino Linotype" w:hAnsi="Palatino Linotype"/>
        </w:rPr>
        <w:t xml:space="preserve"> </w:t>
      </w:r>
      <w:r>
        <w:rPr>
          <w:rFonts w:ascii="Palatino Linotype" w:hAnsi="Palatino Linotype"/>
        </w:rPr>
        <w:t>consistent with program requirements of D.11-06-038</w:t>
      </w:r>
      <w:r w:rsidRPr="00421080">
        <w:rPr>
          <w:rFonts w:ascii="Palatino Linotype" w:hAnsi="Palatino Linotype"/>
        </w:rPr>
        <w:t xml:space="preserve">.  </w:t>
      </w:r>
      <w:r>
        <w:rPr>
          <w:rFonts w:ascii="Palatino Linotype" w:hAnsi="Palatino Linotype"/>
        </w:rPr>
        <w:t>The Action Plan</w:t>
      </w:r>
      <w:r w:rsidRPr="00421080">
        <w:rPr>
          <w:rFonts w:ascii="Palatino Linotype" w:hAnsi="Palatino Linotype"/>
        </w:rPr>
        <w:t xml:space="preserve"> contains sufficient detail and outlines proposed actions that build upon past efforts</w:t>
      </w:r>
      <w:r>
        <w:rPr>
          <w:rFonts w:ascii="Palatino Linotype" w:hAnsi="Palatino Linotype"/>
        </w:rPr>
        <w:t>, and</w:t>
      </w:r>
      <w:r w:rsidRPr="00421080">
        <w:rPr>
          <w:rFonts w:ascii="Palatino Linotype" w:hAnsi="Palatino Linotype"/>
        </w:rPr>
        <w:t xml:space="preserve"> includes a program that is consistent with D.11-06-038 “core responsibilities.”</w:t>
      </w:r>
      <w:r>
        <w:rPr>
          <w:rStyle w:val="FootnoteReference"/>
          <w:rFonts w:ascii="Palatino Linotype" w:hAnsi="Palatino Linotype"/>
        </w:rPr>
        <w:footnoteReference w:id="10"/>
      </w:r>
      <w:r w:rsidRPr="00421080">
        <w:rPr>
          <w:rFonts w:ascii="Palatino Linotype" w:hAnsi="Palatino Linotype"/>
        </w:rPr>
        <w:t xml:space="preserve"> </w:t>
      </w:r>
      <w:r>
        <w:rPr>
          <w:rFonts w:ascii="Palatino Linotype" w:hAnsi="Palatino Linotype"/>
        </w:rPr>
        <w:t xml:space="preserve"> </w:t>
      </w:r>
      <w:r w:rsidRPr="00421080">
        <w:rPr>
          <w:rFonts w:ascii="Palatino Linotype" w:hAnsi="Palatino Linotype"/>
        </w:rPr>
        <w:t xml:space="preserve"> </w:t>
      </w:r>
      <w:r>
        <w:rPr>
          <w:rFonts w:ascii="Palatino Linotype" w:hAnsi="Palatino Linotype"/>
        </w:rPr>
        <w:t xml:space="preserve"> </w:t>
      </w:r>
    </w:p>
    <w:p w:rsidR="008D1AE3" w:rsidRPr="00791314" w:rsidRDefault="008D1AE3" w:rsidP="008D1AE3">
      <w:pPr>
        <w:pStyle w:val="NormalWeb"/>
        <w:rPr>
          <w:rFonts w:ascii="Palatino Linotype" w:hAnsi="Palatino Linotype"/>
          <w:i/>
        </w:rPr>
      </w:pPr>
      <w:r w:rsidRPr="00791314">
        <w:rPr>
          <w:rFonts w:ascii="Palatino Linotype" w:hAnsi="Palatino Linotype"/>
          <w:i/>
        </w:rPr>
        <w:t>Budget</w:t>
      </w:r>
    </w:p>
    <w:p w:rsidR="008D1AE3" w:rsidRDefault="008D1AE3" w:rsidP="008D1AE3">
      <w:pPr>
        <w:pStyle w:val="NormalWeb"/>
        <w:rPr>
          <w:rFonts w:ascii="Palatino Linotype" w:hAnsi="Palatino Linotype"/>
        </w:rPr>
      </w:pPr>
      <w:r w:rsidRPr="00CD11FC">
        <w:rPr>
          <w:rFonts w:ascii="Palatino Linotype" w:hAnsi="Palatino Linotype"/>
          <w:b/>
        </w:rPr>
        <w:t>CCBC</w:t>
      </w:r>
      <w:r w:rsidRPr="00CD11FC">
        <w:rPr>
          <w:rFonts w:ascii="Palatino Linotype" w:hAnsi="Palatino Linotype"/>
        </w:rPr>
        <w:t xml:space="preserve">’s budget </w:t>
      </w:r>
      <w:r w:rsidRPr="00BB0298">
        <w:rPr>
          <w:rFonts w:ascii="Palatino Linotype" w:hAnsi="Palatino Linotype"/>
        </w:rPr>
        <w:t>request of $264,500 covers a five-year period and therefore the proposal is a deviation from the three</w:t>
      </w:r>
      <w:r>
        <w:rPr>
          <w:rFonts w:ascii="Palatino Linotype" w:hAnsi="Palatino Linotype"/>
        </w:rPr>
        <w:t>-</w:t>
      </w:r>
      <w:r w:rsidRPr="00BB0298">
        <w:rPr>
          <w:rFonts w:ascii="Palatino Linotype" w:hAnsi="Palatino Linotype"/>
        </w:rPr>
        <w:t>year program cycle established in D.11-06-038.</w:t>
      </w:r>
      <w:r w:rsidRPr="00BB0298">
        <w:rPr>
          <w:rStyle w:val="FootnoteReference"/>
          <w:rFonts w:ascii="Palatino Linotype" w:hAnsi="Palatino Linotype"/>
        </w:rPr>
        <w:footnoteReference w:id="11"/>
      </w:r>
      <w:r>
        <w:rPr>
          <w:rFonts w:ascii="Palatino Linotype" w:hAnsi="Palatino Linotype"/>
        </w:rPr>
        <w:t xml:space="preserve">  </w:t>
      </w:r>
      <w:r w:rsidRPr="00BB0298">
        <w:rPr>
          <w:rFonts w:ascii="Palatino Linotype" w:hAnsi="Palatino Linotype"/>
        </w:rPr>
        <w:t xml:space="preserve">In </w:t>
      </w:r>
      <w:r>
        <w:rPr>
          <w:rFonts w:ascii="Palatino Linotype" w:hAnsi="Palatino Linotype"/>
        </w:rPr>
        <w:t xml:space="preserve">D.11-06-038, the Commission established </w:t>
      </w:r>
      <w:r w:rsidRPr="00BB0298">
        <w:rPr>
          <w:rFonts w:ascii="Palatino Linotype" w:hAnsi="Palatino Linotype"/>
        </w:rPr>
        <w:t>a maximum of $150,000 per year budget for three</w:t>
      </w:r>
      <w:r>
        <w:rPr>
          <w:rFonts w:ascii="Palatino Linotype" w:hAnsi="Palatino Linotype"/>
        </w:rPr>
        <w:t xml:space="preserve"> </w:t>
      </w:r>
      <w:r w:rsidRPr="00BB0298">
        <w:rPr>
          <w:rFonts w:ascii="Palatino Linotype" w:hAnsi="Palatino Linotype"/>
        </w:rPr>
        <w:t>years</w:t>
      </w:r>
      <w:r>
        <w:rPr>
          <w:rFonts w:ascii="Palatino Linotype" w:hAnsi="Palatino Linotype"/>
        </w:rPr>
        <w:t xml:space="preserve">, </w:t>
      </w:r>
      <w:r w:rsidRPr="00BB0298">
        <w:rPr>
          <w:rFonts w:ascii="Palatino Linotype" w:hAnsi="Palatino Linotype"/>
        </w:rPr>
        <w:t>with a total of $10 million in funding.  The caps were deemed reasonable with respect to the budget available.</w:t>
      </w:r>
      <w:r w:rsidRPr="00BB0298">
        <w:rPr>
          <w:rStyle w:val="FootnoteReference"/>
          <w:rFonts w:ascii="Palatino Linotype" w:hAnsi="Palatino Linotype"/>
        </w:rPr>
        <w:footnoteReference w:id="12"/>
      </w:r>
      <w:r w:rsidRPr="00BB0298">
        <w:rPr>
          <w:rFonts w:ascii="Palatino Linotype" w:hAnsi="Palatino Linotype"/>
        </w:rPr>
        <w:t xml:space="preserve">  </w:t>
      </w:r>
    </w:p>
    <w:p w:rsidR="008D1AE3" w:rsidRDefault="008D1AE3" w:rsidP="008D1AE3">
      <w:pPr>
        <w:autoSpaceDE w:val="0"/>
        <w:autoSpaceDN w:val="0"/>
        <w:adjustRightInd w:val="0"/>
        <w:rPr>
          <w:rFonts w:ascii="Palatino Linotype" w:hAnsi="Palatino Linotype"/>
          <w:color w:val="000000" w:themeColor="text1"/>
        </w:rPr>
      </w:pPr>
      <w:r w:rsidRPr="007E1E95">
        <w:rPr>
          <w:rFonts w:ascii="Palatino Linotype" w:hAnsi="Palatino Linotype"/>
          <w:color w:val="000000" w:themeColor="text1"/>
        </w:rPr>
        <w:t xml:space="preserve">While the length </w:t>
      </w:r>
      <w:r w:rsidRPr="005B782B">
        <w:rPr>
          <w:rFonts w:ascii="Palatino Linotype" w:hAnsi="Palatino Linotype"/>
          <w:color w:val="000000" w:themeColor="text1"/>
        </w:rPr>
        <w:t xml:space="preserve">of the </w:t>
      </w:r>
      <w:r>
        <w:rPr>
          <w:rFonts w:ascii="Palatino Linotype" w:hAnsi="Palatino Linotype"/>
          <w:color w:val="000000" w:themeColor="text1"/>
        </w:rPr>
        <w:t>CCBC program</w:t>
      </w:r>
      <w:r w:rsidRPr="005B782B">
        <w:rPr>
          <w:rFonts w:ascii="Palatino Linotype" w:hAnsi="Palatino Linotype"/>
          <w:color w:val="000000" w:themeColor="text1"/>
        </w:rPr>
        <w:t xml:space="preserve"> would be a deviation from </w:t>
      </w:r>
      <w:r>
        <w:rPr>
          <w:rFonts w:ascii="Palatino Linotype" w:hAnsi="Palatino Linotype"/>
          <w:color w:val="000000" w:themeColor="text1"/>
        </w:rPr>
        <w:t xml:space="preserve">D.11-06-038’s three-year cap, </w:t>
      </w:r>
      <w:r w:rsidRPr="005B782B">
        <w:rPr>
          <w:rFonts w:ascii="Palatino Linotype" w:hAnsi="Palatino Linotype"/>
          <w:color w:val="000000" w:themeColor="text1"/>
        </w:rPr>
        <w:t>its proposed budget of $264,5</w:t>
      </w:r>
      <w:r>
        <w:rPr>
          <w:rFonts w:ascii="Palatino Linotype" w:hAnsi="Palatino Linotype"/>
          <w:color w:val="000000" w:themeColor="text1"/>
        </w:rPr>
        <w:t xml:space="preserve">00 is well under the yearly cap </w:t>
      </w:r>
      <w:r w:rsidRPr="005B782B">
        <w:rPr>
          <w:rFonts w:ascii="Palatino Linotype" w:hAnsi="Palatino Linotype"/>
          <w:color w:val="000000" w:themeColor="text1"/>
        </w:rPr>
        <w:t xml:space="preserve">and the total </w:t>
      </w:r>
      <w:r w:rsidRPr="005B782B">
        <w:rPr>
          <w:rFonts w:ascii="Palatino Linotype" w:hAnsi="Palatino Linotype"/>
          <w:color w:val="000000" w:themeColor="text1"/>
        </w:rPr>
        <w:lastRenderedPageBreak/>
        <w:t>grant cap of $450,000</w:t>
      </w:r>
      <w:r>
        <w:rPr>
          <w:rFonts w:ascii="Palatino Linotype" w:hAnsi="Palatino Linotype"/>
          <w:color w:val="000000" w:themeColor="text1"/>
        </w:rPr>
        <w:t xml:space="preserve">.  CD staff agrees with CCBC that </w:t>
      </w:r>
      <w:r w:rsidRPr="00250AD7">
        <w:rPr>
          <w:rFonts w:ascii="Palatino Linotype" w:hAnsi="Palatino Linotype"/>
          <w:color w:val="000000" w:themeColor="text1"/>
        </w:rPr>
        <w:t>three years is required to update and extend its web based platform with the necessary data and analysis, and two additional years are needed to sustain the tool to support current and anticipated projects.</w:t>
      </w:r>
      <w:r>
        <w:rPr>
          <w:rFonts w:ascii="Palatino Linotype" w:hAnsi="Palatino Linotype"/>
          <w:color w:val="000000" w:themeColor="text1"/>
        </w:rPr>
        <w:t xml:space="preserve">  </w:t>
      </w:r>
    </w:p>
    <w:p w:rsidR="008D1AE3" w:rsidRDefault="008D1AE3" w:rsidP="008D1AE3">
      <w:pPr>
        <w:autoSpaceDE w:val="0"/>
        <w:autoSpaceDN w:val="0"/>
        <w:adjustRightInd w:val="0"/>
        <w:rPr>
          <w:rFonts w:ascii="Palatino Linotype" w:hAnsi="Palatino Linotype"/>
          <w:color w:val="000000" w:themeColor="text1"/>
        </w:rPr>
      </w:pPr>
    </w:p>
    <w:p w:rsidR="008D1AE3" w:rsidRDefault="008D1AE3" w:rsidP="008D1AE3">
      <w:pPr>
        <w:autoSpaceDE w:val="0"/>
        <w:autoSpaceDN w:val="0"/>
        <w:adjustRightInd w:val="0"/>
        <w:rPr>
          <w:rFonts w:ascii="Palatino Linotype" w:hAnsi="Palatino Linotype"/>
          <w:color w:val="000000" w:themeColor="text1"/>
        </w:rPr>
      </w:pPr>
      <w:r>
        <w:rPr>
          <w:rFonts w:ascii="Palatino Linotype" w:hAnsi="Palatino Linotype"/>
          <w:color w:val="000000" w:themeColor="text1"/>
        </w:rPr>
        <w:t>During the grant cycle,</w:t>
      </w:r>
      <w:r w:rsidRPr="005B782B">
        <w:rPr>
          <w:rFonts w:ascii="Palatino Linotype" w:hAnsi="Palatino Linotype"/>
          <w:color w:val="000000" w:themeColor="text1"/>
        </w:rPr>
        <w:t xml:space="preserve"> </w:t>
      </w:r>
      <w:r>
        <w:rPr>
          <w:rFonts w:ascii="Palatino Linotype" w:hAnsi="Palatino Linotype"/>
          <w:color w:val="000000" w:themeColor="text1"/>
        </w:rPr>
        <w:t>CCBC</w:t>
      </w:r>
      <w:r w:rsidRPr="005B782B">
        <w:rPr>
          <w:rFonts w:ascii="Palatino Linotype" w:hAnsi="Palatino Linotype"/>
          <w:color w:val="000000" w:themeColor="text1"/>
        </w:rPr>
        <w:t xml:space="preserve"> plans to enhance its cost effectiveness by continuing to leverage non-CASF resources, such as work of its manage</w:t>
      </w:r>
      <w:r>
        <w:rPr>
          <w:rFonts w:ascii="Palatino Linotype" w:hAnsi="Palatino Linotype"/>
          <w:color w:val="000000" w:themeColor="text1"/>
        </w:rPr>
        <w:t xml:space="preserve">ment team, time spent by local </w:t>
      </w:r>
      <w:r w:rsidRPr="005B782B">
        <w:rPr>
          <w:rFonts w:ascii="Palatino Linotype" w:hAnsi="Palatino Linotype"/>
          <w:color w:val="000000" w:themeColor="text1"/>
        </w:rPr>
        <w:t xml:space="preserve">government Public Works’ staff for infrastructure standards development, as well as pro bono contributions of Internet </w:t>
      </w:r>
      <w:r w:rsidRPr="009A36A4">
        <w:rPr>
          <w:rFonts w:ascii="Palatino Linotype" w:hAnsi="Palatino Linotype"/>
          <w:color w:val="000000" w:themeColor="text1"/>
        </w:rPr>
        <w:t>Service Providers and economic development professionals on technical work groups.  For these reasons, CD staff believes the budget is reasonable for the tasks proposed.</w:t>
      </w:r>
      <w:r>
        <w:rPr>
          <w:rFonts w:ascii="Palatino Linotype" w:hAnsi="Palatino Linotype"/>
          <w:color w:val="000000" w:themeColor="text1"/>
        </w:rPr>
        <w:t xml:space="preserve"> </w:t>
      </w:r>
    </w:p>
    <w:p w:rsidR="008D1AE3" w:rsidRDefault="008D1AE3" w:rsidP="008D1AE3">
      <w:pPr>
        <w:pStyle w:val="NormalWeb"/>
        <w:rPr>
          <w:rFonts w:ascii="Palatino Linotype" w:hAnsi="Palatino Linotype"/>
        </w:rPr>
      </w:pPr>
      <w:r w:rsidRPr="00CD11FC">
        <w:rPr>
          <w:rFonts w:ascii="Palatino Linotype" w:hAnsi="Palatino Linotype"/>
          <w:b/>
        </w:rPr>
        <w:t>EBBC</w:t>
      </w:r>
      <w:r>
        <w:rPr>
          <w:rFonts w:ascii="Palatino Linotype" w:hAnsi="Palatino Linotype"/>
          <w:b/>
        </w:rPr>
        <w:t>’s</w:t>
      </w:r>
      <w:r w:rsidRPr="00CD11FC">
        <w:rPr>
          <w:rFonts w:ascii="Palatino Linotype" w:hAnsi="Palatino Linotype"/>
        </w:rPr>
        <w:t xml:space="preserve"> </w:t>
      </w:r>
      <w:r>
        <w:rPr>
          <w:rFonts w:ascii="Palatino Linotype" w:hAnsi="Palatino Linotype"/>
        </w:rPr>
        <w:t>budget</w:t>
      </w:r>
      <w:r w:rsidRPr="00CD11FC">
        <w:rPr>
          <w:rFonts w:ascii="Palatino Linotype" w:hAnsi="Palatino Linotype"/>
        </w:rPr>
        <w:t xml:space="preserve"> </w:t>
      </w:r>
      <w:r>
        <w:rPr>
          <w:rFonts w:ascii="Palatino Linotype" w:hAnsi="Palatino Linotype"/>
        </w:rPr>
        <w:t xml:space="preserve">request is $272,160 for three years.  CD staff determined that the budget is reasonable for the tasks proposed. </w:t>
      </w:r>
    </w:p>
    <w:p w:rsidR="008D1AE3" w:rsidRPr="00587B32" w:rsidRDefault="008D1AE3" w:rsidP="008D1AE3">
      <w:pPr>
        <w:pStyle w:val="NormalWeb"/>
        <w:rPr>
          <w:rFonts w:ascii="Palatino Linotype" w:hAnsi="Palatino Linotype"/>
        </w:rPr>
      </w:pPr>
      <w:r w:rsidRPr="002717B0">
        <w:rPr>
          <w:rFonts w:ascii="Palatino Linotype" w:hAnsi="Palatino Linotype"/>
          <w:b/>
        </w:rPr>
        <w:t>TBP</w:t>
      </w:r>
      <w:r>
        <w:rPr>
          <w:rFonts w:ascii="Palatino Linotype" w:hAnsi="Palatino Linotype"/>
          <w:b/>
        </w:rPr>
        <w:t>’s</w:t>
      </w:r>
      <w:r>
        <w:rPr>
          <w:rFonts w:ascii="Palatino Linotype" w:hAnsi="Palatino Linotype"/>
        </w:rPr>
        <w:t xml:space="preserve"> budget request is $200,000 for two years.  CD staff determined that the budget is reasonable for the tasks proposed.</w:t>
      </w:r>
      <w:r w:rsidRPr="00FE426D">
        <w:rPr>
          <w:rStyle w:val="FootnoteReference"/>
          <w:rFonts w:ascii="Palatino Linotype" w:hAnsi="Palatino Linotype"/>
        </w:rPr>
        <w:t xml:space="preserve"> </w:t>
      </w:r>
      <w:r w:rsidRPr="005837E5">
        <w:rPr>
          <w:rStyle w:val="FootnoteReference"/>
          <w:rFonts w:ascii="Palatino Linotype" w:hAnsi="Palatino Linotype"/>
        </w:rPr>
        <w:footnoteReference w:id="13"/>
      </w:r>
    </w:p>
    <w:p w:rsidR="008D1AE3" w:rsidRPr="00985B4A" w:rsidRDefault="008D1AE3" w:rsidP="008D1AE3">
      <w:pPr>
        <w:pStyle w:val="NormalWeb"/>
        <w:rPr>
          <w:rFonts w:ascii="Palatino Linotype" w:hAnsi="Palatino Linotype"/>
          <w:i/>
        </w:rPr>
      </w:pPr>
      <w:r w:rsidRPr="001340E1">
        <w:rPr>
          <w:rFonts w:ascii="Palatino Linotype" w:hAnsi="Palatino Linotype"/>
          <w:i/>
        </w:rPr>
        <w:t>Regional Consortium’s/Members Experience</w:t>
      </w:r>
    </w:p>
    <w:p w:rsidR="008D1AE3" w:rsidRDefault="008D1AE3" w:rsidP="008D1AE3">
      <w:pPr>
        <w:pStyle w:val="NormalWeb"/>
        <w:rPr>
          <w:rFonts w:ascii="Palatino Linotype" w:hAnsi="Palatino Linotype"/>
        </w:rPr>
      </w:pPr>
      <w:r w:rsidRPr="00791314">
        <w:rPr>
          <w:rFonts w:ascii="Palatino Linotype" w:hAnsi="Palatino Linotype"/>
          <w:b/>
        </w:rPr>
        <w:t>CCBC</w:t>
      </w:r>
      <w:r w:rsidRPr="00421080">
        <w:rPr>
          <w:rFonts w:ascii="Palatino Linotype" w:hAnsi="Palatino Linotype"/>
        </w:rPr>
        <w:t xml:space="preserve"> and its members have experience with community groups and have demonstrated success in helping to achieve </w:t>
      </w:r>
      <w:r>
        <w:rPr>
          <w:rFonts w:ascii="Palatino Linotype" w:hAnsi="Palatino Linotype"/>
        </w:rPr>
        <w:t xml:space="preserve">broadband </w:t>
      </w:r>
      <w:r w:rsidRPr="00421080">
        <w:rPr>
          <w:rFonts w:ascii="Palatino Linotype" w:hAnsi="Palatino Linotype"/>
        </w:rPr>
        <w:t xml:space="preserve">deployment in the region.  </w:t>
      </w:r>
      <w:r>
        <w:rPr>
          <w:rFonts w:ascii="Palatino Linotype" w:hAnsi="Palatino Linotype"/>
        </w:rPr>
        <w:t xml:space="preserve">They </w:t>
      </w:r>
      <w:r w:rsidRPr="00F52001">
        <w:rPr>
          <w:rFonts w:ascii="Palatino Linotype" w:hAnsi="Palatino Linotype"/>
        </w:rPr>
        <w:t>have also had success in building regional, collaborative broadband related efforts.  Members have direct experience with managing broadband services at worksites.  Members work with</w:t>
      </w:r>
      <w:r w:rsidRPr="00421080">
        <w:rPr>
          <w:rFonts w:ascii="Palatino Linotype" w:hAnsi="Palatino Linotype"/>
        </w:rPr>
        <w:t xml:space="preserve"> culturally and linguistically diverse communities.  </w:t>
      </w:r>
    </w:p>
    <w:p w:rsidR="008D1AE3" w:rsidRDefault="008D1AE3" w:rsidP="008D1AE3">
      <w:pPr>
        <w:pStyle w:val="NormalWeb"/>
        <w:rPr>
          <w:rFonts w:ascii="Palatino Linotype" w:hAnsi="Palatino Linotype"/>
        </w:rPr>
      </w:pPr>
      <w:r w:rsidRPr="00791314">
        <w:rPr>
          <w:rFonts w:ascii="Palatino Linotype" w:hAnsi="Palatino Linotype"/>
          <w:b/>
        </w:rPr>
        <w:t>EBBC</w:t>
      </w:r>
      <w:r w:rsidRPr="00421080">
        <w:rPr>
          <w:rFonts w:ascii="Palatino Linotype" w:hAnsi="Palatino Linotype"/>
        </w:rPr>
        <w:t xml:space="preserve"> and its members have experience with community groups and have demonstrated success in helping to achieve internet access and adoption in the region for disadvantaged youth</w:t>
      </w:r>
      <w:r w:rsidRPr="00677329">
        <w:rPr>
          <w:rFonts w:ascii="Palatino Linotype" w:hAnsi="Palatino Linotype"/>
        </w:rPr>
        <w:t xml:space="preserve">.  EBBC </w:t>
      </w:r>
      <w:r w:rsidRPr="009A36A4">
        <w:rPr>
          <w:rFonts w:ascii="Palatino Linotype" w:hAnsi="Palatino Linotype"/>
        </w:rPr>
        <w:t>and its members</w:t>
      </w:r>
      <w:r w:rsidRPr="00677329">
        <w:rPr>
          <w:rFonts w:ascii="Palatino Linotype" w:hAnsi="Palatino Linotype"/>
        </w:rPr>
        <w:t xml:space="preserve"> have had success in building regional, multi-party collaborative broadband-related efforts.  </w:t>
      </w:r>
      <w:r w:rsidRPr="009A36A4">
        <w:rPr>
          <w:rFonts w:ascii="Palatino Linotype" w:hAnsi="Palatino Linotype"/>
        </w:rPr>
        <w:t>Consortium members</w:t>
      </w:r>
      <w:r w:rsidRPr="00677329">
        <w:rPr>
          <w:rFonts w:ascii="Palatino Linotype" w:hAnsi="Palatino Linotype"/>
        </w:rPr>
        <w:t xml:space="preserve"> have direct experience with managing broadband servic</w:t>
      </w:r>
      <w:r w:rsidRPr="0094300B">
        <w:rPr>
          <w:rFonts w:ascii="Palatino Linotype" w:hAnsi="Palatino Linotype"/>
        </w:rPr>
        <w:t>es</w:t>
      </w:r>
      <w:r w:rsidRPr="007C44E3">
        <w:rPr>
          <w:rFonts w:ascii="Palatino Linotype" w:hAnsi="Palatino Linotype"/>
        </w:rPr>
        <w:t xml:space="preserve"> and </w:t>
      </w:r>
      <w:r w:rsidRPr="00FD70A5">
        <w:rPr>
          <w:rFonts w:ascii="Palatino Linotype" w:hAnsi="Palatino Linotype"/>
        </w:rPr>
        <w:t>work</w:t>
      </w:r>
      <w:r w:rsidRPr="00FF24F6">
        <w:rPr>
          <w:rFonts w:ascii="Palatino Linotype" w:hAnsi="Palatino Linotype"/>
        </w:rPr>
        <w:t>ing</w:t>
      </w:r>
      <w:r w:rsidRPr="00BC611F">
        <w:rPr>
          <w:rFonts w:ascii="Palatino Linotype" w:hAnsi="Palatino Linotype"/>
        </w:rPr>
        <w:t xml:space="preserve"> with culturally and</w:t>
      </w:r>
      <w:r w:rsidRPr="00421080">
        <w:rPr>
          <w:rFonts w:ascii="Palatino Linotype" w:hAnsi="Palatino Linotype"/>
        </w:rPr>
        <w:t xml:space="preserve"> linguistically diverse communities.  </w:t>
      </w:r>
    </w:p>
    <w:p w:rsidR="008D1AE3" w:rsidRDefault="008D1AE3" w:rsidP="00FA66D1">
      <w:pPr>
        <w:pStyle w:val="NormalWeb"/>
      </w:pPr>
      <w:r w:rsidRPr="00421080">
        <w:rPr>
          <w:rFonts w:ascii="Palatino Linotype" w:hAnsi="Palatino Linotype"/>
          <w:b/>
        </w:rPr>
        <w:t>TBP</w:t>
      </w:r>
      <w:r w:rsidRPr="00421080">
        <w:rPr>
          <w:rFonts w:ascii="Palatino Linotype" w:hAnsi="Palatino Linotype"/>
        </w:rPr>
        <w:t xml:space="preserve"> members have experience working with community groups. Both the consortium and its members have demonstrated success in facilitating broadband deployment.  TBP and </w:t>
      </w:r>
      <w:r>
        <w:rPr>
          <w:rFonts w:ascii="Palatino Linotype" w:hAnsi="Palatino Linotype"/>
        </w:rPr>
        <w:t xml:space="preserve">its </w:t>
      </w:r>
      <w:r w:rsidRPr="00421080">
        <w:rPr>
          <w:rFonts w:ascii="Palatino Linotype" w:hAnsi="Palatino Linotype"/>
        </w:rPr>
        <w:t xml:space="preserve">members have had success in building regional, multi-party collaborative broadband-related efforts.  </w:t>
      </w:r>
      <w:r>
        <w:rPr>
          <w:rFonts w:ascii="Palatino Linotype" w:hAnsi="Palatino Linotype"/>
        </w:rPr>
        <w:t>They also</w:t>
      </w:r>
      <w:r w:rsidRPr="00421080">
        <w:rPr>
          <w:rFonts w:ascii="Palatino Linotype" w:hAnsi="Palatino Linotype"/>
        </w:rPr>
        <w:t xml:space="preserve"> have direct experience with managing broadband services and with culturally and linguistically diverse communities</w:t>
      </w:r>
      <w:r w:rsidR="00E84ADD">
        <w:t>.</w:t>
      </w:r>
    </w:p>
    <w:p w:rsidR="00AE52B0" w:rsidRDefault="00AE52B0" w:rsidP="00421080">
      <w:pPr>
        <w:pStyle w:val="NormalWeb"/>
        <w:rPr>
          <w:rFonts w:ascii="Palatino Linotype" w:hAnsi="Palatino Linotype"/>
          <w:i/>
        </w:rPr>
      </w:pPr>
    </w:p>
    <w:p w:rsidR="001E222C" w:rsidRPr="00985B4A" w:rsidRDefault="00CC5683" w:rsidP="00421080">
      <w:pPr>
        <w:pStyle w:val="NormalWeb"/>
        <w:rPr>
          <w:rFonts w:ascii="Palatino Linotype" w:hAnsi="Palatino Linotype"/>
          <w:i/>
        </w:rPr>
      </w:pPr>
      <w:r w:rsidRPr="001340E1">
        <w:rPr>
          <w:rFonts w:ascii="Palatino Linotype" w:hAnsi="Palatino Linotype"/>
          <w:i/>
        </w:rPr>
        <w:lastRenderedPageBreak/>
        <w:t>Regional Consortium Representation and Endorsements</w:t>
      </w:r>
    </w:p>
    <w:p w:rsidR="00951862" w:rsidRDefault="00EC146E" w:rsidP="00812D28">
      <w:pPr>
        <w:pStyle w:val="NormalWeb"/>
        <w:rPr>
          <w:rFonts w:ascii="Palatino Linotype" w:hAnsi="Palatino Linotype"/>
        </w:rPr>
      </w:pPr>
      <w:r w:rsidRPr="00421080">
        <w:rPr>
          <w:rFonts w:ascii="Palatino Linotype" w:hAnsi="Palatino Linotype"/>
          <w:b/>
        </w:rPr>
        <w:t>CCBC</w:t>
      </w:r>
      <w:r w:rsidR="00066F5A" w:rsidRPr="00421080">
        <w:rPr>
          <w:rFonts w:ascii="Palatino Linotype" w:hAnsi="Palatino Linotype"/>
        </w:rPr>
        <w:t xml:space="preserve"> representation includes local cit</w:t>
      </w:r>
      <w:r w:rsidR="00F52001">
        <w:rPr>
          <w:rFonts w:ascii="Palatino Linotype" w:hAnsi="Palatino Linotype"/>
        </w:rPr>
        <w:t>y</w:t>
      </w:r>
      <w:r w:rsidR="00066F5A" w:rsidRPr="00421080">
        <w:rPr>
          <w:rFonts w:ascii="Palatino Linotype" w:hAnsi="Palatino Linotype"/>
        </w:rPr>
        <w:t xml:space="preserve"> and count</w:t>
      </w:r>
      <w:r w:rsidR="00F52001">
        <w:rPr>
          <w:rFonts w:ascii="Palatino Linotype" w:hAnsi="Palatino Linotype"/>
        </w:rPr>
        <w:t>y agencies</w:t>
      </w:r>
      <w:r w:rsidR="00066F5A" w:rsidRPr="00421080">
        <w:rPr>
          <w:rFonts w:ascii="Palatino Linotype" w:hAnsi="Palatino Linotype"/>
        </w:rPr>
        <w:t>, educational institutions, industry</w:t>
      </w:r>
      <w:r w:rsidR="002501B7" w:rsidRPr="00421080">
        <w:rPr>
          <w:rFonts w:ascii="Palatino Linotype" w:hAnsi="Palatino Linotype"/>
        </w:rPr>
        <w:t xml:space="preserve"> and economic development interests</w:t>
      </w:r>
      <w:r w:rsidR="00066F5A" w:rsidRPr="00421080">
        <w:rPr>
          <w:rFonts w:ascii="Palatino Linotype" w:hAnsi="Palatino Linotype"/>
        </w:rPr>
        <w:t xml:space="preserve">, and community based organizations. </w:t>
      </w:r>
      <w:r w:rsidR="005F7152" w:rsidRPr="00421080">
        <w:rPr>
          <w:rFonts w:ascii="Palatino Linotype" w:hAnsi="Palatino Linotype"/>
        </w:rPr>
        <w:t xml:space="preserve"> </w:t>
      </w:r>
      <w:r w:rsidR="00BA7B72">
        <w:rPr>
          <w:rFonts w:ascii="Palatino Linotype" w:hAnsi="Palatino Linotype"/>
        </w:rPr>
        <w:t>CD received t</w:t>
      </w:r>
      <w:r w:rsidR="005F7152" w:rsidRPr="00421080">
        <w:rPr>
          <w:rFonts w:ascii="Palatino Linotype" w:hAnsi="Palatino Linotype"/>
        </w:rPr>
        <w:t xml:space="preserve">welve </w:t>
      </w:r>
      <w:r w:rsidRPr="00421080">
        <w:rPr>
          <w:rFonts w:ascii="Palatino Linotype" w:hAnsi="Palatino Linotype"/>
        </w:rPr>
        <w:t xml:space="preserve">endorsements </w:t>
      </w:r>
      <w:r w:rsidR="005C6746">
        <w:rPr>
          <w:rFonts w:ascii="Palatino Linotype" w:hAnsi="Palatino Linotype"/>
        </w:rPr>
        <w:t xml:space="preserve">from </w:t>
      </w:r>
      <w:r w:rsidR="000D4F57">
        <w:rPr>
          <w:rFonts w:ascii="Palatino Linotype" w:hAnsi="Palatino Linotype"/>
        </w:rPr>
        <w:t>local</w:t>
      </w:r>
      <w:r w:rsidR="00D43B76">
        <w:rPr>
          <w:rFonts w:ascii="Palatino Linotype" w:hAnsi="Palatino Linotype"/>
        </w:rPr>
        <w:t xml:space="preserve"> government entities and </w:t>
      </w:r>
      <w:r w:rsidR="000D4F57">
        <w:rPr>
          <w:rFonts w:ascii="Palatino Linotype" w:hAnsi="Palatino Linotype"/>
        </w:rPr>
        <w:t>businesses, economic development organizations, and academic institutions</w:t>
      </w:r>
      <w:r w:rsidR="00BA7B72">
        <w:rPr>
          <w:rFonts w:ascii="Palatino Linotype" w:hAnsi="Palatino Linotype"/>
        </w:rPr>
        <w:t>.</w:t>
      </w:r>
    </w:p>
    <w:p w:rsidR="00951862" w:rsidRDefault="00EC146E" w:rsidP="00812D28">
      <w:pPr>
        <w:pStyle w:val="NormalWeb"/>
        <w:rPr>
          <w:rFonts w:ascii="Palatino Linotype" w:hAnsi="Palatino Linotype"/>
        </w:rPr>
      </w:pPr>
      <w:r w:rsidRPr="00421080">
        <w:rPr>
          <w:rFonts w:ascii="Palatino Linotype" w:hAnsi="Palatino Linotype"/>
          <w:b/>
        </w:rPr>
        <w:t>EBBC</w:t>
      </w:r>
      <w:r w:rsidR="005F7152" w:rsidRPr="00421080">
        <w:rPr>
          <w:rFonts w:ascii="Palatino Linotype" w:hAnsi="Palatino Linotype"/>
        </w:rPr>
        <w:t xml:space="preserve"> </w:t>
      </w:r>
      <w:r w:rsidR="00D12995" w:rsidRPr="00421080">
        <w:rPr>
          <w:rFonts w:ascii="Palatino Linotype" w:hAnsi="Palatino Linotype"/>
        </w:rPr>
        <w:t>represents</w:t>
      </w:r>
      <w:r w:rsidR="00D12995">
        <w:rPr>
          <w:rFonts w:ascii="Palatino Linotype" w:hAnsi="Palatino Linotype"/>
        </w:rPr>
        <w:t xml:space="preserve"> a variety of entities, including</w:t>
      </w:r>
      <w:r w:rsidR="005F7152" w:rsidRPr="00421080">
        <w:rPr>
          <w:rFonts w:ascii="Palatino Linotype" w:hAnsi="Palatino Linotype"/>
        </w:rPr>
        <w:t xml:space="preserve"> local governments, health care and educational entities, business and community</w:t>
      </w:r>
      <w:r w:rsidR="006E2840" w:rsidRPr="00421080">
        <w:rPr>
          <w:rFonts w:ascii="Palatino Linotype" w:hAnsi="Palatino Linotype"/>
        </w:rPr>
        <w:t>-</w:t>
      </w:r>
      <w:r w:rsidR="005F7152" w:rsidRPr="00421080">
        <w:rPr>
          <w:rFonts w:ascii="Palatino Linotype" w:hAnsi="Palatino Linotype"/>
        </w:rPr>
        <w:t>based organizations.  Four endorsement</w:t>
      </w:r>
      <w:r w:rsidR="006E2840" w:rsidRPr="00421080">
        <w:rPr>
          <w:rFonts w:ascii="Palatino Linotype" w:hAnsi="Palatino Linotype"/>
        </w:rPr>
        <w:t xml:space="preserve"> letters </w:t>
      </w:r>
      <w:r w:rsidR="00D43B76">
        <w:rPr>
          <w:rFonts w:ascii="Palatino Linotype" w:hAnsi="Palatino Linotype"/>
        </w:rPr>
        <w:t xml:space="preserve">from </w:t>
      </w:r>
      <w:r w:rsidR="00D66431">
        <w:rPr>
          <w:rFonts w:ascii="Palatino Linotype" w:hAnsi="Palatino Linotype"/>
        </w:rPr>
        <w:t xml:space="preserve">local and regional </w:t>
      </w:r>
      <w:r w:rsidR="00D43B76">
        <w:rPr>
          <w:rFonts w:ascii="Palatino Linotype" w:hAnsi="Palatino Linotype"/>
        </w:rPr>
        <w:t>government entities</w:t>
      </w:r>
      <w:r w:rsidR="00D66431">
        <w:rPr>
          <w:rFonts w:ascii="Palatino Linotype" w:hAnsi="Palatino Linotype"/>
        </w:rPr>
        <w:t>,</w:t>
      </w:r>
      <w:r w:rsidR="00D43B76">
        <w:rPr>
          <w:rFonts w:ascii="Palatino Linotype" w:hAnsi="Palatino Linotype"/>
        </w:rPr>
        <w:t xml:space="preserve"> </w:t>
      </w:r>
      <w:r w:rsidR="00D66431">
        <w:rPr>
          <w:rFonts w:ascii="Palatino Linotype" w:hAnsi="Palatino Linotype"/>
        </w:rPr>
        <w:t>as well as an economic development organization</w:t>
      </w:r>
      <w:r w:rsidR="00D43B76">
        <w:rPr>
          <w:rFonts w:ascii="Palatino Linotype" w:hAnsi="Palatino Linotype"/>
        </w:rPr>
        <w:t xml:space="preserve"> </w:t>
      </w:r>
      <w:r w:rsidR="006E2840" w:rsidRPr="00421080">
        <w:rPr>
          <w:rFonts w:ascii="Palatino Linotype" w:hAnsi="Palatino Linotype"/>
        </w:rPr>
        <w:t>were received.</w:t>
      </w:r>
    </w:p>
    <w:p w:rsidR="005220A1" w:rsidRPr="002717B0" w:rsidRDefault="006E2840" w:rsidP="00AE52B0">
      <w:pPr>
        <w:pStyle w:val="NormalWeb"/>
        <w:rPr>
          <w:rFonts w:ascii="Palatino Linotype" w:hAnsi="Palatino Linotype"/>
          <w:b/>
        </w:rPr>
      </w:pPr>
      <w:r w:rsidRPr="00791314">
        <w:rPr>
          <w:rFonts w:ascii="Palatino Linotype" w:hAnsi="Palatino Linotype"/>
          <w:b/>
        </w:rPr>
        <w:t xml:space="preserve">TBP </w:t>
      </w:r>
      <w:r w:rsidRPr="00421080">
        <w:rPr>
          <w:rFonts w:ascii="Palatino Linotype" w:hAnsi="Palatino Linotype"/>
        </w:rPr>
        <w:t xml:space="preserve">represents regional, city and county </w:t>
      </w:r>
      <w:r w:rsidR="00514D7D" w:rsidRPr="00421080">
        <w:rPr>
          <w:rFonts w:ascii="Palatino Linotype" w:hAnsi="Palatino Linotype"/>
        </w:rPr>
        <w:t>public entities</w:t>
      </w:r>
      <w:r w:rsidRPr="00421080">
        <w:rPr>
          <w:rFonts w:ascii="Palatino Linotype" w:hAnsi="Palatino Linotype"/>
        </w:rPr>
        <w:t xml:space="preserve"> as well as health, business, and educational stakeholders.</w:t>
      </w:r>
      <w:r w:rsidR="00514D7D" w:rsidRPr="00421080">
        <w:rPr>
          <w:rFonts w:ascii="Palatino Linotype" w:hAnsi="Palatino Linotype"/>
        </w:rPr>
        <w:t xml:space="preserve"> </w:t>
      </w:r>
      <w:r w:rsidR="00BA7B72">
        <w:rPr>
          <w:rFonts w:ascii="Palatino Linotype" w:hAnsi="Palatino Linotype"/>
        </w:rPr>
        <w:t xml:space="preserve"> CD received t</w:t>
      </w:r>
      <w:r w:rsidR="00514D7D" w:rsidRPr="00421080">
        <w:rPr>
          <w:rFonts w:ascii="Palatino Linotype" w:hAnsi="Palatino Linotype"/>
        </w:rPr>
        <w:t xml:space="preserve">hirteen endorsements </w:t>
      </w:r>
      <w:r w:rsidR="00D43B76">
        <w:rPr>
          <w:rFonts w:ascii="Palatino Linotype" w:hAnsi="Palatino Linotype"/>
        </w:rPr>
        <w:t xml:space="preserve">from </w:t>
      </w:r>
      <w:r w:rsidR="00D66431">
        <w:rPr>
          <w:rFonts w:ascii="Palatino Linotype" w:hAnsi="Palatino Linotype"/>
        </w:rPr>
        <w:t xml:space="preserve">local, </w:t>
      </w:r>
      <w:r w:rsidR="00D43B76">
        <w:rPr>
          <w:rFonts w:ascii="Palatino Linotype" w:hAnsi="Palatino Linotype"/>
        </w:rPr>
        <w:t>regional</w:t>
      </w:r>
      <w:r w:rsidR="00D66431">
        <w:rPr>
          <w:rFonts w:ascii="Palatino Linotype" w:hAnsi="Palatino Linotype"/>
        </w:rPr>
        <w:t xml:space="preserve"> and federal</w:t>
      </w:r>
      <w:r w:rsidR="00D43B76">
        <w:rPr>
          <w:rFonts w:ascii="Palatino Linotype" w:hAnsi="Palatino Linotype"/>
        </w:rPr>
        <w:t xml:space="preserve"> government entities</w:t>
      </w:r>
      <w:r w:rsidR="00D66431">
        <w:rPr>
          <w:rFonts w:ascii="Palatino Linotype" w:hAnsi="Palatino Linotype"/>
        </w:rPr>
        <w:t xml:space="preserve">, private businesses, academic institutions, </w:t>
      </w:r>
      <w:r w:rsidR="00D43B76">
        <w:rPr>
          <w:rFonts w:ascii="Palatino Linotype" w:hAnsi="Palatino Linotype"/>
        </w:rPr>
        <w:t>and</w:t>
      </w:r>
      <w:r w:rsidR="00D66431">
        <w:rPr>
          <w:rFonts w:ascii="Palatino Linotype" w:hAnsi="Palatino Linotype"/>
        </w:rPr>
        <w:t xml:space="preserve"> economic development organizations</w:t>
      </w:r>
      <w:r w:rsidR="00514D7D" w:rsidRPr="00421080">
        <w:rPr>
          <w:rFonts w:ascii="Palatino Linotype" w:hAnsi="Palatino Linotype"/>
        </w:rPr>
        <w:t xml:space="preserve">. </w:t>
      </w:r>
    </w:p>
    <w:p w:rsidR="00A45304" w:rsidRPr="00B8240F" w:rsidRDefault="00A45304" w:rsidP="00A45304">
      <w:pPr>
        <w:tabs>
          <w:tab w:val="right" w:pos="10080"/>
        </w:tabs>
        <w:rPr>
          <w:rFonts w:ascii="Palatino Linotype" w:hAnsi="Palatino Linotype"/>
          <w:b/>
          <w:color w:val="000000" w:themeColor="text1"/>
        </w:rPr>
      </w:pPr>
      <w:r>
        <w:rPr>
          <w:rFonts w:ascii="Palatino Linotype" w:hAnsi="Palatino Linotype"/>
          <w:b/>
          <w:color w:val="000000" w:themeColor="text1"/>
        </w:rPr>
        <w:t>V.     STAFF RECOMMENDATIONS FOR FUNDING</w:t>
      </w:r>
    </w:p>
    <w:p w:rsidR="005220A1" w:rsidRPr="00DF5FBC" w:rsidRDefault="005220A1" w:rsidP="005220A1">
      <w:pPr>
        <w:tabs>
          <w:tab w:val="right" w:pos="10080"/>
        </w:tabs>
        <w:rPr>
          <w:rFonts w:ascii="Palatino Linotype" w:hAnsi="Palatino Linotype"/>
          <w:b/>
          <w:color w:val="000000" w:themeColor="text1"/>
        </w:rPr>
      </w:pPr>
    </w:p>
    <w:p w:rsidR="005220A1" w:rsidRPr="00FE426D" w:rsidRDefault="00FE426D" w:rsidP="00F0103D">
      <w:pPr>
        <w:autoSpaceDE w:val="0"/>
        <w:autoSpaceDN w:val="0"/>
        <w:adjustRightInd w:val="0"/>
        <w:rPr>
          <w:rFonts w:ascii="Palatino Linotype" w:hAnsi="Palatino Linotype"/>
          <w:color w:val="000000" w:themeColor="text1"/>
        </w:rPr>
      </w:pPr>
      <w:r w:rsidRPr="00CD11FC">
        <w:rPr>
          <w:rFonts w:ascii="Palatino Linotype" w:hAnsi="Palatino Linotype"/>
          <w:color w:val="000000" w:themeColor="text1"/>
        </w:rPr>
        <w:t xml:space="preserve">CD </w:t>
      </w:r>
      <w:r w:rsidR="004E7EBE">
        <w:rPr>
          <w:rFonts w:ascii="Palatino Linotype" w:hAnsi="Palatino Linotype"/>
          <w:color w:val="000000" w:themeColor="text1"/>
        </w:rPr>
        <w:t xml:space="preserve">staff </w:t>
      </w:r>
      <w:r w:rsidRPr="00CD11FC">
        <w:rPr>
          <w:rFonts w:ascii="Palatino Linotype" w:hAnsi="Palatino Linotype"/>
          <w:color w:val="000000" w:themeColor="text1"/>
        </w:rPr>
        <w:t xml:space="preserve">has </w:t>
      </w:r>
      <w:r>
        <w:rPr>
          <w:rFonts w:ascii="Palatino Linotype" w:hAnsi="Palatino Linotype"/>
          <w:color w:val="000000" w:themeColor="text1"/>
        </w:rPr>
        <w:t xml:space="preserve">determined that </w:t>
      </w:r>
      <w:r w:rsidR="00724FA4" w:rsidRPr="001340E1">
        <w:rPr>
          <w:rFonts w:ascii="Palatino Linotype" w:hAnsi="Palatino Linotype"/>
          <w:color w:val="000000" w:themeColor="text1"/>
        </w:rPr>
        <w:t xml:space="preserve">CCBC, EBBC, and TBP applications </w:t>
      </w:r>
      <w:r>
        <w:rPr>
          <w:rFonts w:ascii="Palatino Linotype" w:hAnsi="Palatino Linotype"/>
          <w:color w:val="000000" w:themeColor="text1"/>
        </w:rPr>
        <w:t xml:space="preserve">qualify for funding.  </w:t>
      </w:r>
      <w:r w:rsidRPr="00CD11FC">
        <w:rPr>
          <w:rFonts w:ascii="Palatino Linotype" w:hAnsi="Palatino Linotype"/>
          <w:color w:val="000000" w:themeColor="text1"/>
        </w:rPr>
        <w:t>The</w:t>
      </w:r>
      <w:r>
        <w:rPr>
          <w:rFonts w:ascii="Palatino Linotype" w:hAnsi="Palatino Linotype"/>
          <w:color w:val="000000" w:themeColor="text1"/>
        </w:rPr>
        <w:t>y</w:t>
      </w:r>
      <w:r w:rsidRPr="00CD11FC">
        <w:rPr>
          <w:rFonts w:ascii="Palatino Linotype" w:hAnsi="Palatino Linotype"/>
          <w:color w:val="000000" w:themeColor="text1"/>
        </w:rPr>
        <w:t xml:space="preserve"> all</w:t>
      </w:r>
      <w:r>
        <w:rPr>
          <w:rFonts w:ascii="Palatino Linotype" w:hAnsi="Palatino Linotype"/>
          <w:color w:val="000000" w:themeColor="text1"/>
        </w:rPr>
        <w:t xml:space="preserve"> scored at least 70 of 100 points with </w:t>
      </w:r>
      <w:r w:rsidRPr="007E1E95">
        <w:rPr>
          <w:rFonts w:ascii="Palatino Linotype" w:hAnsi="Palatino Linotype"/>
          <w:color w:val="000000" w:themeColor="text1"/>
        </w:rPr>
        <w:t xml:space="preserve">clear and detailed proposals.  </w:t>
      </w:r>
      <w:r w:rsidR="00451B78" w:rsidRPr="00FE426D">
        <w:rPr>
          <w:rFonts w:ascii="Palatino Linotype" w:hAnsi="Palatino Linotype"/>
          <w:color w:val="000000" w:themeColor="text1"/>
        </w:rPr>
        <w:t>CD</w:t>
      </w:r>
      <w:r w:rsidR="004E7EBE">
        <w:rPr>
          <w:rFonts w:ascii="Palatino Linotype" w:hAnsi="Palatino Linotype"/>
          <w:color w:val="000000" w:themeColor="text1"/>
        </w:rPr>
        <w:t xml:space="preserve"> staff’s </w:t>
      </w:r>
      <w:r w:rsidR="00451B78" w:rsidRPr="00FE426D">
        <w:rPr>
          <w:rFonts w:ascii="Palatino Linotype" w:hAnsi="Palatino Linotype"/>
          <w:color w:val="000000" w:themeColor="text1"/>
        </w:rPr>
        <w:t>evaluation of these pro</w:t>
      </w:r>
      <w:r w:rsidR="00FA2F29">
        <w:rPr>
          <w:rFonts w:ascii="Palatino Linotype" w:hAnsi="Palatino Linotype"/>
          <w:color w:val="000000" w:themeColor="text1"/>
        </w:rPr>
        <w:t xml:space="preserve">posals </w:t>
      </w:r>
      <w:r w:rsidR="00451B78" w:rsidRPr="00FE426D">
        <w:rPr>
          <w:rFonts w:ascii="Palatino Linotype" w:hAnsi="Palatino Linotype"/>
          <w:color w:val="000000" w:themeColor="text1"/>
        </w:rPr>
        <w:t>finds that they meet the requirements of D. 11-06-038, and support broadband deployment, access, and adoption</w:t>
      </w:r>
      <w:r w:rsidR="005837E5">
        <w:rPr>
          <w:rFonts w:ascii="Palatino Linotype" w:hAnsi="Palatino Linotype"/>
          <w:color w:val="000000" w:themeColor="text1"/>
        </w:rPr>
        <w:t>.</w:t>
      </w:r>
      <w:r w:rsidR="00451B78" w:rsidRPr="00FE426D">
        <w:rPr>
          <w:rFonts w:ascii="Palatino Linotype" w:hAnsi="Palatino Linotype"/>
          <w:color w:val="000000" w:themeColor="text1"/>
        </w:rPr>
        <w:t xml:space="preserve">  CD</w:t>
      </w:r>
      <w:r w:rsidR="004E7EBE">
        <w:rPr>
          <w:rFonts w:ascii="Palatino Linotype" w:hAnsi="Palatino Linotype"/>
          <w:color w:val="000000" w:themeColor="text1"/>
        </w:rPr>
        <w:t xml:space="preserve"> staff</w:t>
      </w:r>
      <w:r w:rsidR="00451B78" w:rsidRPr="00FE426D">
        <w:rPr>
          <w:rFonts w:ascii="Palatino Linotype" w:hAnsi="Palatino Linotype"/>
          <w:color w:val="000000" w:themeColor="text1"/>
        </w:rPr>
        <w:t xml:space="preserve"> recommends approval of these pro</w:t>
      </w:r>
      <w:r w:rsidR="00FA2F29">
        <w:rPr>
          <w:rFonts w:ascii="Palatino Linotype" w:hAnsi="Palatino Linotype"/>
          <w:color w:val="000000" w:themeColor="text1"/>
        </w:rPr>
        <w:t>posals</w:t>
      </w:r>
      <w:r w:rsidR="00451B78" w:rsidRPr="00FE426D">
        <w:rPr>
          <w:rFonts w:ascii="Palatino Linotype" w:hAnsi="Palatino Linotype"/>
          <w:color w:val="000000" w:themeColor="text1"/>
        </w:rPr>
        <w:t xml:space="preserve">.  </w:t>
      </w:r>
    </w:p>
    <w:p w:rsidR="00B84E47" w:rsidRDefault="00B84E47" w:rsidP="00846D53">
      <w:pPr>
        <w:autoSpaceDE w:val="0"/>
        <w:autoSpaceDN w:val="0"/>
        <w:adjustRightInd w:val="0"/>
        <w:rPr>
          <w:rFonts w:ascii="Palatino Linotype" w:hAnsi="Palatino Linotype"/>
          <w:b/>
          <w:color w:val="000000" w:themeColor="text1"/>
        </w:rPr>
      </w:pPr>
    </w:p>
    <w:p w:rsidR="00846D53" w:rsidRPr="00B8240F" w:rsidRDefault="00E532A0" w:rsidP="00846D53">
      <w:pPr>
        <w:autoSpaceDE w:val="0"/>
        <w:autoSpaceDN w:val="0"/>
        <w:adjustRightInd w:val="0"/>
        <w:rPr>
          <w:rFonts w:ascii="Palatino Linotype" w:hAnsi="Palatino Linotype"/>
          <w:b/>
          <w:color w:val="000000" w:themeColor="text1"/>
        </w:rPr>
      </w:pPr>
      <w:r w:rsidRPr="00B8240F">
        <w:rPr>
          <w:rFonts w:ascii="Palatino Linotype" w:hAnsi="Palatino Linotype"/>
          <w:b/>
          <w:color w:val="000000" w:themeColor="text1"/>
        </w:rPr>
        <w:t>V</w:t>
      </w:r>
      <w:r w:rsidR="00A45304">
        <w:rPr>
          <w:rFonts w:ascii="Palatino Linotype" w:hAnsi="Palatino Linotype"/>
          <w:b/>
          <w:color w:val="000000" w:themeColor="text1"/>
        </w:rPr>
        <w:t>I</w:t>
      </w:r>
      <w:r w:rsidRPr="00B8240F">
        <w:rPr>
          <w:rFonts w:ascii="Palatino Linotype" w:hAnsi="Palatino Linotype"/>
          <w:b/>
          <w:color w:val="000000" w:themeColor="text1"/>
        </w:rPr>
        <w:t>.     COMPLIANCE REQUIREMENTS</w:t>
      </w:r>
    </w:p>
    <w:p w:rsidR="00846D53" w:rsidRPr="00B8240F" w:rsidRDefault="00846D53" w:rsidP="00846D53">
      <w:pPr>
        <w:autoSpaceDE w:val="0"/>
        <w:autoSpaceDN w:val="0"/>
        <w:adjustRightInd w:val="0"/>
        <w:rPr>
          <w:rFonts w:ascii="Palatino Linotype" w:hAnsi="Palatino Linotype"/>
          <w:b/>
          <w:color w:val="000000" w:themeColor="text1"/>
        </w:rPr>
      </w:pPr>
    </w:p>
    <w:p w:rsidR="00846D53" w:rsidRDefault="00DB62BB" w:rsidP="00846D53">
      <w:pPr>
        <w:autoSpaceDE w:val="0"/>
        <w:autoSpaceDN w:val="0"/>
        <w:adjustRightInd w:val="0"/>
        <w:rPr>
          <w:rFonts w:ascii="Palatino Linotype" w:hAnsi="Palatino Linotype"/>
          <w:color w:val="000000" w:themeColor="text1"/>
        </w:rPr>
      </w:pPr>
      <w:r>
        <w:rPr>
          <w:rFonts w:ascii="Palatino Linotype" w:hAnsi="Palatino Linotype"/>
          <w:color w:val="000000" w:themeColor="text1"/>
        </w:rPr>
        <w:t>CCBC, EBBC, and TBP</w:t>
      </w:r>
      <w:r w:rsidR="00BE2B00">
        <w:rPr>
          <w:rFonts w:ascii="Palatino Linotype" w:hAnsi="Palatino Linotype"/>
          <w:color w:val="000000" w:themeColor="text1"/>
        </w:rPr>
        <w:t xml:space="preserve"> </w:t>
      </w:r>
      <w:r w:rsidR="00E532A0" w:rsidRPr="00A241E8">
        <w:rPr>
          <w:rFonts w:ascii="Palatino Linotype" w:hAnsi="Palatino Linotype"/>
          <w:color w:val="000000" w:themeColor="text1"/>
        </w:rPr>
        <w:t>are required to comply with all the guidelines, requirements, and conditions associated with the grant of CASF f</w:t>
      </w:r>
      <w:r w:rsidR="00F50DD5" w:rsidRPr="00A241E8">
        <w:rPr>
          <w:rFonts w:ascii="Palatino Linotype" w:hAnsi="Palatino Linotype"/>
          <w:color w:val="000000" w:themeColor="text1"/>
        </w:rPr>
        <w:t>unds as specified in D.11-06-038</w:t>
      </w:r>
      <w:r w:rsidR="00E532A0" w:rsidRPr="00A241E8">
        <w:rPr>
          <w:rFonts w:ascii="Palatino Linotype" w:hAnsi="Palatino Linotype"/>
          <w:color w:val="000000" w:themeColor="text1"/>
        </w:rPr>
        <w:t>.  Such compliance includes, but is not limited to the following:</w:t>
      </w:r>
    </w:p>
    <w:p w:rsidR="00F8631C" w:rsidRDefault="00F8631C" w:rsidP="00846D53">
      <w:pPr>
        <w:autoSpaceDE w:val="0"/>
        <w:autoSpaceDN w:val="0"/>
        <w:adjustRightInd w:val="0"/>
        <w:rPr>
          <w:rFonts w:ascii="Palatino Linotype" w:hAnsi="Palatino Linotype"/>
          <w:color w:val="000000" w:themeColor="text1"/>
        </w:rPr>
      </w:pPr>
    </w:p>
    <w:p w:rsidR="00A45304" w:rsidRPr="007E1E95" w:rsidRDefault="00A45304" w:rsidP="00A45304">
      <w:pPr>
        <w:pStyle w:val="ListParagraph"/>
        <w:rPr>
          <w:rFonts w:ascii="Palatino Linotype" w:hAnsi="Palatino Linotype"/>
          <w:color w:val="000000" w:themeColor="text1"/>
          <w:u w:val="single"/>
        </w:rPr>
      </w:pPr>
      <w:bookmarkStart w:id="1" w:name="_Toc449095543"/>
      <w:r w:rsidRPr="007E1E95">
        <w:rPr>
          <w:rFonts w:ascii="Palatino Linotype" w:hAnsi="Palatino Linotype"/>
          <w:color w:val="000000" w:themeColor="text1"/>
        </w:rPr>
        <w:t>A.</w:t>
      </w:r>
      <w:r w:rsidRPr="007E1E95">
        <w:rPr>
          <w:rFonts w:ascii="Palatino Linotype" w:hAnsi="Palatino Linotype"/>
          <w:color w:val="000000" w:themeColor="text1"/>
        </w:rPr>
        <w:tab/>
      </w:r>
      <w:r w:rsidRPr="007E1E95">
        <w:rPr>
          <w:rFonts w:ascii="Palatino Linotype" w:hAnsi="Palatino Linotype"/>
          <w:color w:val="000000" w:themeColor="text1"/>
          <w:u w:val="single"/>
        </w:rPr>
        <w:t>Execution and Performance</w:t>
      </w:r>
    </w:p>
    <w:bookmarkEnd w:id="1"/>
    <w:p w:rsidR="00AE52B0" w:rsidRDefault="00AE52B0" w:rsidP="00AE52B0">
      <w:pPr>
        <w:autoSpaceDE w:val="0"/>
        <w:autoSpaceDN w:val="0"/>
        <w:adjustRightInd w:val="0"/>
        <w:rPr>
          <w:rFonts w:ascii="Palatino Linotype" w:hAnsi="Palatino Linotype"/>
          <w:color w:val="000000" w:themeColor="text1"/>
        </w:rPr>
      </w:pPr>
    </w:p>
    <w:p w:rsidR="001E6123" w:rsidRPr="00934F4E" w:rsidRDefault="001E6123" w:rsidP="001E6123">
      <w:pPr>
        <w:tabs>
          <w:tab w:val="left" w:pos="720"/>
        </w:tabs>
        <w:rPr>
          <w:rFonts w:ascii="Palatino Linotype" w:hAnsi="Palatino Linotype"/>
          <w:color w:val="000000" w:themeColor="text1"/>
        </w:rPr>
      </w:pPr>
      <w:r w:rsidRPr="00934F4E">
        <w:rPr>
          <w:rFonts w:ascii="Palatino Linotype" w:hAnsi="Palatino Linotype"/>
          <w:color w:val="000000" w:themeColor="text1"/>
        </w:rPr>
        <w:t>CD</w:t>
      </w:r>
      <w:r w:rsidR="004E7EBE">
        <w:rPr>
          <w:rFonts w:ascii="Palatino Linotype" w:hAnsi="Palatino Linotype"/>
          <w:color w:val="000000" w:themeColor="text1"/>
        </w:rPr>
        <w:t xml:space="preserve"> staff</w:t>
      </w:r>
      <w:r w:rsidRPr="00934F4E">
        <w:rPr>
          <w:rFonts w:ascii="Palatino Linotype" w:hAnsi="Palatino Linotype"/>
          <w:color w:val="000000" w:themeColor="text1"/>
        </w:rPr>
        <w:t xml:space="preserve"> will coordinate start dates with each consortium grantee.  The estimated start date is</w:t>
      </w:r>
      <w:r w:rsidR="00FE426D" w:rsidRPr="00934F4E">
        <w:rPr>
          <w:rFonts w:ascii="Palatino Linotype" w:hAnsi="Palatino Linotype"/>
          <w:color w:val="000000" w:themeColor="text1"/>
        </w:rPr>
        <w:t xml:space="preserve"> September 1, 2016</w:t>
      </w:r>
      <w:r w:rsidR="00451B78" w:rsidRPr="00934F4E">
        <w:rPr>
          <w:rFonts w:ascii="Palatino Linotype" w:hAnsi="Palatino Linotype"/>
          <w:color w:val="000000" w:themeColor="text1"/>
        </w:rPr>
        <w:t>.</w:t>
      </w:r>
      <w:r w:rsidR="00FE426D" w:rsidRPr="00934F4E">
        <w:rPr>
          <w:rFonts w:ascii="Palatino Linotype" w:hAnsi="Palatino Linotype"/>
          <w:color w:val="000000" w:themeColor="text1"/>
        </w:rPr>
        <w:t xml:space="preserve">  </w:t>
      </w:r>
      <w:r w:rsidRPr="00934F4E">
        <w:rPr>
          <w:rFonts w:ascii="Palatino Linotype" w:hAnsi="Palatino Linotype"/>
          <w:color w:val="000000" w:themeColor="text1"/>
        </w:rPr>
        <w:t xml:space="preserve">By receiving a CASF grant from the Commission, </w:t>
      </w:r>
      <w:r w:rsidR="00724FA4" w:rsidRPr="001340E1">
        <w:rPr>
          <w:rFonts w:ascii="Palatino Linotype" w:hAnsi="Palatino Linotype"/>
          <w:color w:val="000000" w:themeColor="text1"/>
        </w:rPr>
        <w:t xml:space="preserve">CCBC, EBBC, and TBP </w:t>
      </w:r>
      <w:r w:rsidRPr="00934F4E">
        <w:rPr>
          <w:rFonts w:ascii="Palatino Linotype" w:hAnsi="Palatino Linotype"/>
          <w:color w:val="000000" w:themeColor="text1"/>
        </w:rPr>
        <w:t xml:space="preserve">agrees to comply with the terms, conditions, and requirements of the grant and thus submits to the jurisdiction of the Commission with regard to disbursement and administration of the grant. </w:t>
      </w:r>
    </w:p>
    <w:p w:rsidR="001E6123" w:rsidRPr="00934F4E" w:rsidRDefault="001E6123" w:rsidP="001E6123">
      <w:pPr>
        <w:tabs>
          <w:tab w:val="left" w:pos="720"/>
        </w:tabs>
        <w:rPr>
          <w:rFonts w:ascii="Palatino Linotype" w:hAnsi="Palatino Linotype"/>
          <w:color w:val="000000" w:themeColor="text1"/>
        </w:rPr>
      </w:pPr>
    </w:p>
    <w:p w:rsidR="001E6123" w:rsidRPr="00934F4E" w:rsidRDefault="001E6123" w:rsidP="001E6123">
      <w:pPr>
        <w:tabs>
          <w:tab w:val="left" w:pos="720"/>
        </w:tabs>
        <w:rPr>
          <w:rFonts w:ascii="Palatino Linotype" w:hAnsi="Palatino Linotype"/>
          <w:color w:val="000000" w:themeColor="text1"/>
        </w:rPr>
      </w:pPr>
      <w:r w:rsidRPr="00934F4E">
        <w:rPr>
          <w:rFonts w:ascii="Palatino Linotype" w:hAnsi="Palatino Linotype"/>
          <w:color w:val="000000" w:themeColor="text1"/>
        </w:rPr>
        <w:t xml:space="preserve">Should </w:t>
      </w:r>
      <w:r w:rsidR="00724FA4" w:rsidRPr="001340E1">
        <w:rPr>
          <w:rFonts w:ascii="Palatino Linotype" w:hAnsi="Palatino Linotype"/>
          <w:color w:val="000000" w:themeColor="text1"/>
        </w:rPr>
        <w:t>C</w:t>
      </w:r>
      <w:r w:rsidR="00724FA4">
        <w:rPr>
          <w:rFonts w:ascii="Palatino Linotype" w:hAnsi="Palatino Linotype"/>
          <w:color w:val="000000" w:themeColor="text1"/>
        </w:rPr>
        <w:t xml:space="preserve">CBC, EBBC, or TBP </w:t>
      </w:r>
      <w:r w:rsidRPr="00934F4E">
        <w:rPr>
          <w:rFonts w:ascii="Palatino Linotype" w:hAnsi="Palatino Linotype"/>
          <w:color w:val="000000" w:themeColor="text1"/>
        </w:rPr>
        <w:t>fail to complete the project</w:t>
      </w:r>
      <w:r w:rsidR="00724FA4">
        <w:rPr>
          <w:rFonts w:ascii="Palatino Linotype" w:hAnsi="Palatino Linotype"/>
          <w:color w:val="000000" w:themeColor="text1"/>
        </w:rPr>
        <w:t xml:space="preserve"> in accordance with the terms of the CPUC approval as set forth in this resolution</w:t>
      </w:r>
      <w:r w:rsidRPr="00934F4E">
        <w:rPr>
          <w:rFonts w:ascii="Palatino Linotype" w:hAnsi="Palatino Linotype"/>
          <w:color w:val="000000" w:themeColor="text1"/>
        </w:rPr>
        <w:t xml:space="preserve">, </w:t>
      </w:r>
      <w:r w:rsidR="00724FA4">
        <w:rPr>
          <w:rFonts w:ascii="Palatino Linotype" w:hAnsi="Palatino Linotype"/>
          <w:color w:val="000000" w:themeColor="text1"/>
        </w:rPr>
        <w:t>CCBC, EBBC, or TBP</w:t>
      </w:r>
      <w:r w:rsidR="00724FA4" w:rsidRPr="001340E1">
        <w:rPr>
          <w:rFonts w:ascii="Palatino Linotype" w:hAnsi="Palatino Linotype"/>
          <w:color w:val="000000" w:themeColor="text1"/>
        </w:rPr>
        <w:t xml:space="preserve"> </w:t>
      </w:r>
      <w:r w:rsidRPr="00934F4E">
        <w:rPr>
          <w:rFonts w:ascii="Palatino Linotype" w:hAnsi="Palatino Linotype"/>
          <w:color w:val="000000" w:themeColor="text1"/>
        </w:rPr>
        <w:t xml:space="preserve">must reimburse </w:t>
      </w:r>
      <w:r w:rsidRPr="00934F4E">
        <w:rPr>
          <w:rFonts w:ascii="Palatino Linotype" w:hAnsi="Palatino Linotype"/>
          <w:color w:val="000000" w:themeColor="text1"/>
        </w:rPr>
        <w:lastRenderedPageBreak/>
        <w:t xml:space="preserve">some or all of the </w:t>
      </w:r>
      <w:r w:rsidR="00724FA4">
        <w:rPr>
          <w:rFonts w:ascii="Palatino Linotype" w:hAnsi="Palatino Linotype"/>
          <w:color w:val="000000" w:themeColor="text1"/>
        </w:rPr>
        <w:t>CASF funds it has</w:t>
      </w:r>
      <w:r w:rsidRPr="00934F4E">
        <w:rPr>
          <w:rFonts w:ascii="Palatino Linotype" w:hAnsi="Palatino Linotype"/>
          <w:color w:val="000000" w:themeColor="text1"/>
        </w:rPr>
        <w:t xml:space="preserve"> </w:t>
      </w:r>
      <w:proofErr w:type="gramStart"/>
      <w:r w:rsidRPr="00934F4E">
        <w:rPr>
          <w:rFonts w:ascii="Palatino Linotype" w:hAnsi="Palatino Linotype"/>
          <w:color w:val="000000" w:themeColor="text1"/>
        </w:rPr>
        <w:t>received.</w:t>
      </w:r>
      <w:proofErr w:type="gramEnd"/>
      <w:r w:rsidRPr="00934F4E">
        <w:rPr>
          <w:rFonts w:ascii="Palatino Linotype" w:hAnsi="Palatino Linotype"/>
          <w:color w:val="000000" w:themeColor="text1"/>
        </w:rPr>
        <w:t xml:space="preserve">  If </w:t>
      </w:r>
      <w:r w:rsidR="00724FA4" w:rsidRPr="001340E1">
        <w:rPr>
          <w:rFonts w:ascii="Palatino Linotype" w:hAnsi="Palatino Linotype"/>
          <w:color w:val="000000" w:themeColor="text1"/>
        </w:rPr>
        <w:t xml:space="preserve">CCBC, EBBC, </w:t>
      </w:r>
      <w:r w:rsidR="00724FA4">
        <w:rPr>
          <w:rFonts w:ascii="Palatino Linotype" w:hAnsi="Palatino Linotype"/>
          <w:color w:val="000000" w:themeColor="text1"/>
        </w:rPr>
        <w:t>or TBP</w:t>
      </w:r>
      <w:r w:rsidR="00724FA4" w:rsidRPr="001340E1">
        <w:rPr>
          <w:rFonts w:ascii="Palatino Linotype" w:hAnsi="Palatino Linotype"/>
          <w:color w:val="000000" w:themeColor="text1"/>
        </w:rPr>
        <w:t xml:space="preserve"> </w:t>
      </w:r>
      <w:r w:rsidRPr="00934F4E">
        <w:rPr>
          <w:rFonts w:ascii="Palatino Linotype" w:hAnsi="Palatino Linotype"/>
          <w:color w:val="000000" w:themeColor="text1"/>
        </w:rPr>
        <w:t xml:space="preserve">fails to perform in good faith, or in accordance with the expectations set forth in its Action Plan, Work Plan and Consent Form, as affirmed in the affidavit, the Commission may withhold subsequent grant disbursement or suspend or terminate the Consortium grant, as warranted.  </w:t>
      </w:r>
    </w:p>
    <w:p w:rsidR="001E6123" w:rsidRPr="00934F4E" w:rsidRDefault="001E6123" w:rsidP="001E6123">
      <w:pPr>
        <w:tabs>
          <w:tab w:val="left" w:pos="720"/>
        </w:tabs>
        <w:rPr>
          <w:rFonts w:ascii="Palatino Linotype" w:hAnsi="Palatino Linotype"/>
          <w:color w:val="000000" w:themeColor="text1"/>
        </w:rPr>
      </w:pPr>
    </w:p>
    <w:p w:rsidR="001E6123" w:rsidRDefault="001E6123" w:rsidP="001E6123">
      <w:pPr>
        <w:tabs>
          <w:tab w:val="left" w:pos="720"/>
        </w:tabs>
        <w:rPr>
          <w:rFonts w:ascii="Palatino" w:hAnsi="Palatino"/>
        </w:rPr>
      </w:pPr>
      <w:r w:rsidRPr="00934F4E">
        <w:rPr>
          <w:rFonts w:ascii="Palatino Linotype" w:hAnsi="Palatino Linotype"/>
          <w:color w:val="000000" w:themeColor="text1"/>
        </w:rPr>
        <w:t xml:space="preserve">Any changes to the terms and conditions underlying the Commission approval of the Consortium grant must be communicated in writing to the Communications Director at least 30 days before the anticipated change, and may be subject to approval by either the Director or by Commission resolution before becoming effective. </w:t>
      </w:r>
      <w:r w:rsidR="00394577">
        <w:rPr>
          <w:rFonts w:ascii="Palatino" w:hAnsi="Palatino"/>
          <w:b/>
          <w:u w:val="single"/>
        </w:rPr>
        <w:t xml:space="preserve"> </w:t>
      </w:r>
    </w:p>
    <w:p w:rsidR="001E6123" w:rsidRDefault="00884E94" w:rsidP="00884E94">
      <w:pPr>
        <w:tabs>
          <w:tab w:val="left" w:pos="720"/>
        </w:tabs>
        <w:rPr>
          <w:rFonts w:ascii="Palatino" w:hAnsi="Palatino"/>
        </w:rPr>
      </w:pPr>
      <w:r>
        <w:rPr>
          <w:rFonts w:ascii="Palatino" w:hAnsi="Palatino"/>
        </w:rPr>
        <w:t xml:space="preserve"> </w:t>
      </w:r>
    </w:p>
    <w:p w:rsidR="00A45304" w:rsidRDefault="00884E94" w:rsidP="00A45304">
      <w:pPr>
        <w:tabs>
          <w:tab w:val="left" w:pos="720"/>
        </w:tabs>
        <w:ind w:left="720"/>
        <w:rPr>
          <w:rFonts w:ascii="Palatino" w:hAnsi="Palatino"/>
          <w:u w:val="single"/>
        </w:rPr>
      </w:pPr>
      <w:r>
        <w:rPr>
          <w:rFonts w:ascii="Palatino" w:hAnsi="Palatino"/>
        </w:rPr>
        <w:t>B</w:t>
      </w:r>
      <w:r w:rsidR="00A45304" w:rsidRPr="007E1E95">
        <w:rPr>
          <w:rFonts w:ascii="Palatino" w:hAnsi="Palatino"/>
        </w:rPr>
        <w:t>.</w:t>
      </w:r>
      <w:r w:rsidR="00A45304" w:rsidRPr="007E1E95">
        <w:rPr>
          <w:rFonts w:ascii="Palatino" w:hAnsi="Palatino"/>
        </w:rPr>
        <w:tab/>
      </w:r>
      <w:r w:rsidRPr="007872D2">
        <w:rPr>
          <w:rFonts w:ascii="Palatino" w:hAnsi="Palatino"/>
          <w:u w:val="single"/>
        </w:rPr>
        <w:t xml:space="preserve">Modification of </w:t>
      </w:r>
      <w:r w:rsidR="00A45304" w:rsidRPr="007872D2">
        <w:rPr>
          <w:rFonts w:ascii="Palatino" w:hAnsi="Palatino"/>
          <w:u w:val="single"/>
        </w:rPr>
        <w:t>A</w:t>
      </w:r>
      <w:r w:rsidR="00A45304" w:rsidRPr="007E1E95">
        <w:rPr>
          <w:rFonts w:ascii="Palatino" w:hAnsi="Palatino"/>
          <w:u w:val="single"/>
        </w:rPr>
        <w:t>nnual Summit</w:t>
      </w:r>
      <w:r>
        <w:rPr>
          <w:rFonts w:ascii="Palatino" w:hAnsi="Palatino"/>
          <w:u w:val="single"/>
        </w:rPr>
        <w:t xml:space="preserve"> Requirement</w:t>
      </w:r>
    </w:p>
    <w:p w:rsidR="00934F4E" w:rsidRPr="00934F4E" w:rsidRDefault="00934F4E" w:rsidP="00A45304">
      <w:pPr>
        <w:tabs>
          <w:tab w:val="left" w:pos="720"/>
        </w:tabs>
        <w:ind w:left="720"/>
        <w:rPr>
          <w:rFonts w:ascii="Palatino Linotype" w:hAnsi="Palatino Linotype"/>
          <w:color w:val="000000" w:themeColor="text1"/>
        </w:rPr>
      </w:pPr>
    </w:p>
    <w:p w:rsidR="00BE1142" w:rsidRPr="00A241E8" w:rsidRDefault="00D725E3" w:rsidP="00BE1142">
      <w:pPr>
        <w:pStyle w:val="FootnoteText"/>
        <w:rPr>
          <w:rFonts w:ascii="Palatino Linotype" w:hAnsi="Palatino Linotype"/>
          <w:color w:val="000000" w:themeColor="text1"/>
          <w:sz w:val="24"/>
          <w:szCs w:val="24"/>
        </w:rPr>
      </w:pPr>
      <w:r w:rsidRPr="00D725E3">
        <w:rPr>
          <w:rFonts w:ascii="Palatino Linotype" w:hAnsi="Palatino Linotype"/>
          <w:color w:val="000000" w:themeColor="text1"/>
          <w:sz w:val="24"/>
          <w:szCs w:val="24"/>
        </w:rPr>
        <w:t xml:space="preserve">D.11-06-038 directed </w:t>
      </w:r>
      <w:r w:rsidRPr="0035457D">
        <w:rPr>
          <w:rFonts w:ascii="Palatino Linotype" w:hAnsi="Palatino Linotype"/>
          <w:sz w:val="24"/>
          <w:szCs w:val="24"/>
        </w:rPr>
        <w:t>CD staff to schedule and host on at least an annual basis a Regional Consortia Learning Community Summit, and required all consortia receiving California Advanced Services Fund grants to attend the Summit.</w:t>
      </w:r>
      <w:r w:rsidRPr="0035457D">
        <w:rPr>
          <w:rFonts w:ascii="Palatino Linotype" w:hAnsi="Palatino Linotype"/>
        </w:rPr>
        <w:t xml:space="preserve">  </w:t>
      </w:r>
      <w:r w:rsidR="00B84E47" w:rsidRPr="00934F4E">
        <w:rPr>
          <w:rFonts w:ascii="Palatino Linotype" w:hAnsi="Palatino Linotype"/>
          <w:color w:val="000000" w:themeColor="text1"/>
          <w:sz w:val="24"/>
          <w:szCs w:val="24"/>
        </w:rPr>
        <w:t>Staf</w:t>
      </w:r>
      <w:r w:rsidR="00884E94">
        <w:rPr>
          <w:rFonts w:ascii="Palatino Linotype" w:hAnsi="Palatino Linotype"/>
          <w:color w:val="000000" w:themeColor="text1"/>
          <w:sz w:val="24"/>
          <w:szCs w:val="24"/>
        </w:rPr>
        <w:t xml:space="preserve">f recommends a modification to </w:t>
      </w:r>
      <w:r w:rsidR="00B84E47" w:rsidRPr="00934F4E">
        <w:rPr>
          <w:rFonts w:ascii="Palatino Linotype" w:hAnsi="Palatino Linotype"/>
          <w:color w:val="000000" w:themeColor="text1"/>
          <w:sz w:val="24"/>
          <w:szCs w:val="24"/>
        </w:rPr>
        <w:t xml:space="preserve">D.11-06-038 with respect to </w:t>
      </w:r>
      <w:r>
        <w:rPr>
          <w:rFonts w:ascii="Palatino Linotype" w:hAnsi="Palatino Linotype"/>
          <w:color w:val="000000" w:themeColor="text1"/>
          <w:sz w:val="24"/>
          <w:szCs w:val="24"/>
        </w:rPr>
        <w:t xml:space="preserve">the </w:t>
      </w:r>
      <w:r w:rsidR="00B84E47" w:rsidRPr="00934F4E">
        <w:rPr>
          <w:rFonts w:ascii="Palatino Linotype" w:hAnsi="Palatino Linotype"/>
          <w:color w:val="000000" w:themeColor="text1"/>
          <w:sz w:val="24"/>
          <w:szCs w:val="24"/>
        </w:rPr>
        <w:t xml:space="preserve">annual Regional Consortia Learning </w:t>
      </w:r>
      <w:r w:rsidR="00FC3F56">
        <w:rPr>
          <w:rFonts w:ascii="Palatino Linotype" w:hAnsi="Palatino Linotype"/>
          <w:color w:val="000000" w:themeColor="text1"/>
          <w:sz w:val="24"/>
          <w:szCs w:val="24"/>
        </w:rPr>
        <w:t xml:space="preserve">Community </w:t>
      </w:r>
      <w:r w:rsidR="00B84E47" w:rsidRPr="00934F4E">
        <w:rPr>
          <w:rFonts w:ascii="Palatino Linotype" w:hAnsi="Palatino Linotype"/>
          <w:color w:val="000000" w:themeColor="text1"/>
          <w:sz w:val="24"/>
          <w:szCs w:val="24"/>
        </w:rPr>
        <w:t>Summit</w:t>
      </w:r>
      <w:r>
        <w:rPr>
          <w:rFonts w:ascii="Palatino Linotype" w:hAnsi="Palatino Linotype"/>
          <w:color w:val="000000" w:themeColor="text1"/>
          <w:sz w:val="24"/>
          <w:szCs w:val="24"/>
        </w:rPr>
        <w:t xml:space="preserve"> requirement</w:t>
      </w:r>
      <w:r w:rsidR="00B84E47" w:rsidRPr="00934F4E">
        <w:rPr>
          <w:rFonts w:ascii="Palatino Linotype" w:hAnsi="Palatino Linotype"/>
          <w:color w:val="000000" w:themeColor="text1"/>
          <w:sz w:val="24"/>
          <w:szCs w:val="24"/>
        </w:rPr>
        <w:t xml:space="preserve">.  </w:t>
      </w:r>
      <w:r w:rsidR="004E7EBE">
        <w:rPr>
          <w:rFonts w:ascii="Palatino Linotype" w:hAnsi="Palatino Linotype"/>
          <w:color w:val="000000" w:themeColor="text1"/>
          <w:sz w:val="24"/>
          <w:szCs w:val="24"/>
        </w:rPr>
        <w:t>Specifically, given that</w:t>
      </w:r>
      <w:r w:rsidR="00451B78" w:rsidRPr="00884E94">
        <w:rPr>
          <w:rFonts w:ascii="Palatino Linotype" w:hAnsi="Palatino Linotype"/>
          <w:color w:val="000000" w:themeColor="text1"/>
          <w:sz w:val="24"/>
          <w:szCs w:val="24"/>
        </w:rPr>
        <w:t xml:space="preserve"> most applicants have operated as</w:t>
      </w:r>
      <w:r w:rsidR="00451B78" w:rsidRPr="00884E94">
        <w:rPr>
          <w:rFonts w:ascii="Palatino" w:hAnsi="Palatino"/>
          <w:sz w:val="24"/>
        </w:rPr>
        <w:t xml:space="preserve"> consortia for three or four years, CD </w:t>
      </w:r>
      <w:r w:rsidR="004E7EBE">
        <w:rPr>
          <w:rFonts w:ascii="Palatino" w:hAnsi="Palatino"/>
          <w:sz w:val="24"/>
        </w:rPr>
        <w:t xml:space="preserve">staff </w:t>
      </w:r>
      <w:r w:rsidR="00451B78" w:rsidRPr="00884E94">
        <w:rPr>
          <w:rFonts w:ascii="Palatino" w:hAnsi="Palatino"/>
          <w:sz w:val="24"/>
        </w:rPr>
        <w:t xml:space="preserve">recommends that </w:t>
      </w:r>
      <w:r w:rsidR="00FD011D">
        <w:rPr>
          <w:rFonts w:ascii="Palatino" w:hAnsi="Palatino"/>
          <w:sz w:val="24"/>
        </w:rPr>
        <w:t xml:space="preserve">at least </w:t>
      </w:r>
      <w:r w:rsidR="00884E94" w:rsidRPr="00884E94">
        <w:rPr>
          <w:rFonts w:ascii="Palatino" w:hAnsi="Palatino"/>
          <w:sz w:val="24"/>
        </w:rPr>
        <w:t>one</w:t>
      </w:r>
      <w:r w:rsidR="00451B78" w:rsidRPr="00884E94">
        <w:rPr>
          <w:rFonts w:ascii="Palatino" w:hAnsi="Palatino"/>
          <w:sz w:val="24"/>
        </w:rPr>
        <w:t xml:space="preserve"> summit </w:t>
      </w:r>
      <w:r w:rsidR="00884E94" w:rsidRPr="00884E94">
        <w:rPr>
          <w:rFonts w:ascii="Palatino" w:hAnsi="Palatino"/>
          <w:sz w:val="24"/>
        </w:rPr>
        <w:t>during the grant implementation period be organized</w:t>
      </w:r>
      <w:r>
        <w:rPr>
          <w:rFonts w:ascii="Palatino" w:hAnsi="Palatino"/>
          <w:sz w:val="24"/>
        </w:rPr>
        <w:t>, replacing the annual summit requirement provided in D.11-06-038.</w:t>
      </w:r>
      <w:r w:rsidR="00F8631C">
        <w:rPr>
          <w:rStyle w:val="FootnoteReference"/>
          <w:rFonts w:ascii="Palatino" w:hAnsi="Palatino"/>
          <w:sz w:val="24"/>
        </w:rPr>
        <w:footnoteReference w:id="14"/>
      </w:r>
      <w:r>
        <w:rPr>
          <w:rFonts w:ascii="Palatino" w:hAnsi="Palatino"/>
          <w:sz w:val="24"/>
        </w:rPr>
        <w:t xml:space="preserve"> </w:t>
      </w:r>
      <w:r w:rsidR="004307A9">
        <w:rPr>
          <w:rFonts w:ascii="Palatino" w:hAnsi="Palatino"/>
          <w:sz w:val="24"/>
        </w:rPr>
        <w:t xml:space="preserve">  </w:t>
      </w:r>
      <w:r w:rsidR="00451B78" w:rsidRPr="00A241E8">
        <w:rPr>
          <w:rFonts w:ascii="Palatino Linotype" w:hAnsi="Palatino Linotype"/>
          <w:color w:val="000000" w:themeColor="text1"/>
          <w:sz w:val="24"/>
          <w:szCs w:val="24"/>
        </w:rPr>
        <w:t xml:space="preserve">Since D.11-06-038 allocated up to $10,000 per consortium for summit attendance, </w:t>
      </w:r>
      <w:r w:rsidR="004E7EBE">
        <w:rPr>
          <w:rFonts w:ascii="Palatino Linotype" w:hAnsi="Palatino Linotype"/>
          <w:color w:val="000000" w:themeColor="text1"/>
          <w:sz w:val="24"/>
          <w:szCs w:val="24"/>
        </w:rPr>
        <w:t xml:space="preserve">modifying the summit requirement to </w:t>
      </w:r>
      <w:r w:rsidR="00FD011D">
        <w:rPr>
          <w:rFonts w:ascii="Palatino Linotype" w:hAnsi="Palatino Linotype"/>
          <w:color w:val="000000" w:themeColor="text1"/>
          <w:sz w:val="24"/>
          <w:szCs w:val="24"/>
        </w:rPr>
        <w:t xml:space="preserve">at least </w:t>
      </w:r>
      <w:r w:rsidR="004E7EBE">
        <w:rPr>
          <w:rFonts w:ascii="Palatino Linotype" w:hAnsi="Palatino Linotype"/>
          <w:color w:val="000000" w:themeColor="text1"/>
          <w:sz w:val="24"/>
          <w:szCs w:val="24"/>
        </w:rPr>
        <w:t xml:space="preserve">one summit during the grant cycle would be a </w:t>
      </w:r>
      <w:r w:rsidR="00451B78" w:rsidRPr="00A241E8">
        <w:rPr>
          <w:rFonts w:ascii="Palatino Linotype" w:hAnsi="Palatino Linotype"/>
          <w:color w:val="000000" w:themeColor="text1"/>
          <w:sz w:val="24"/>
          <w:szCs w:val="24"/>
        </w:rPr>
        <w:t>low</w:t>
      </w:r>
      <w:r w:rsidR="00182A6C">
        <w:rPr>
          <w:rFonts w:ascii="Palatino Linotype" w:hAnsi="Palatino Linotype"/>
          <w:color w:val="000000" w:themeColor="text1"/>
          <w:sz w:val="24"/>
          <w:szCs w:val="24"/>
        </w:rPr>
        <w:t>-</w:t>
      </w:r>
      <w:r w:rsidR="00451B78" w:rsidRPr="00A241E8">
        <w:rPr>
          <w:rFonts w:ascii="Palatino Linotype" w:hAnsi="Palatino Linotype"/>
          <w:color w:val="000000" w:themeColor="text1"/>
          <w:sz w:val="24"/>
          <w:szCs w:val="24"/>
        </w:rPr>
        <w:t>cost alternative for sharing information</w:t>
      </w:r>
      <w:r w:rsidR="004E7EBE">
        <w:rPr>
          <w:rFonts w:ascii="Palatino Linotype" w:hAnsi="Palatino Linotype"/>
          <w:color w:val="000000" w:themeColor="text1"/>
          <w:sz w:val="24"/>
          <w:szCs w:val="24"/>
        </w:rPr>
        <w:t>,</w:t>
      </w:r>
      <w:r w:rsidR="00451B78" w:rsidRPr="00A241E8">
        <w:rPr>
          <w:rFonts w:ascii="Palatino Linotype" w:hAnsi="Palatino Linotype"/>
          <w:color w:val="000000" w:themeColor="text1"/>
          <w:sz w:val="24"/>
          <w:szCs w:val="24"/>
        </w:rPr>
        <w:t xml:space="preserve"> </w:t>
      </w:r>
      <w:r w:rsidR="004E7EBE">
        <w:rPr>
          <w:rFonts w:ascii="Palatino Linotype" w:hAnsi="Palatino Linotype"/>
          <w:color w:val="000000" w:themeColor="text1"/>
          <w:sz w:val="24"/>
          <w:szCs w:val="24"/>
        </w:rPr>
        <w:t>and</w:t>
      </w:r>
      <w:r w:rsidR="00451B78" w:rsidRPr="00A241E8">
        <w:rPr>
          <w:rFonts w:ascii="Palatino Linotype" w:hAnsi="Palatino Linotype"/>
          <w:color w:val="000000" w:themeColor="text1"/>
          <w:sz w:val="24"/>
          <w:szCs w:val="24"/>
        </w:rPr>
        <w:t xml:space="preserve"> would improve the cost effectiveness of limited resources.</w:t>
      </w:r>
    </w:p>
    <w:p w:rsidR="00B84E47" w:rsidRDefault="007872D2" w:rsidP="007872D2">
      <w:pPr>
        <w:pStyle w:val="BodyText"/>
        <w:tabs>
          <w:tab w:val="clear" w:pos="720"/>
          <w:tab w:val="left" w:pos="2817"/>
        </w:tabs>
        <w:spacing w:after="0"/>
      </w:pPr>
      <w:r>
        <w:tab/>
      </w:r>
    </w:p>
    <w:p w:rsidR="00A45304" w:rsidRPr="007E1E95" w:rsidRDefault="008265A9" w:rsidP="00A45304">
      <w:pPr>
        <w:tabs>
          <w:tab w:val="left" w:pos="720"/>
        </w:tabs>
        <w:ind w:left="720"/>
        <w:rPr>
          <w:rFonts w:ascii="Palatino" w:hAnsi="Palatino"/>
          <w:u w:val="single"/>
        </w:rPr>
      </w:pPr>
      <w:r>
        <w:rPr>
          <w:rFonts w:ascii="Palatino" w:hAnsi="Palatino"/>
        </w:rPr>
        <w:t>C</w:t>
      </w:r>
      <w:r w:rsidR="00A45304" w:rsidRPr="007E1E95">
        <w:rPr>
          <w:rFonts w:ascii="Palatino" w:hAnsi="Palatino"/>
        </w:rPr>
        <w:t>.</w:t>
      </w:r>
      <w:r w:rsidR="00A45304" w:rsidRPr="007E1E95">
        <w:rPr>
          <w:rFonts w:ascii="Palatino" w:hAnsi="Palatino"/>
        </w:rPr>
        <w:tab/>
      </w:r>
      <w:r w:rsidR="00A45304" w:rsidRPr="007E1E95">
        <w:rPr>
          <w:rFonts w:ascii="Palatino" w:hAnsi="Palatino"/>
          <w:u w:val="single"/>
        </w:rPr>
        <w:t>Fiscal Agent</w:t>
      </w:r>
    </w:p>
    <w:p w:rsidR="00A73E62" w:rsidRDefault="00A73E62" w:rsidP="001E6123">
      <w:pPr>
        <w:tabs>
          <w:tab w:val="left" w:pos="720"/>
        </w:tabs>
        <w:rPr>
          <w:rFonts w:ascii="Palatino" w:hAnsi="Palatino"/>
          <w:b/>
          <w:u w:val="single"/>
        </w:rPr>
      </w:pPr>
    </w:p>
    <w:p w:rsidR="00221137" w:rsidRPr="00A241E8" w:rsidRDefault="00221137" w:rsidP="00221137">
      <w:pPr>
        <w:autoSpaceDE w:val="0"/>
        <w:autoSpaceDN w:val="0"/>
        <w:adjustRightInd w:val="0"/>
        <w:rPr>
          <w:rFonts w:ascii="Palatino Linotype" w:hAnsi="Palatino Linotype"/>
          <w:color w:val="000000" w:themeColor="text1"/>
        </w:rPr>
      </w:pPr>
      <w:r w:rsidRPr="00A241E8">
        <w:rPr>
          <w:rFonts w:ascii="Palatino Linotype" w:hAnsi="Palatino Linotype"/>
          <w:color w:val="000000" w:themeColor="text1"/>
        </w:rPr>
        <w:t>D.11-036-038</w:t>
      </w:r>
      <w:r w:rsidR="004E7EBE">
        <w:rPr>
          <w:rFonts w:ascii="Palatino Linotype" w:hAnsi="Palatino Linotype"/>
          <w:color w:val="000000" w:themeColor="text1"/>
        </w:rPr>
        <w:t xml:space="preserve"> requires</w:t>
      </w:r>
      <w:r w:rsidRPr="00A241E8">
        <w:rPr>
          <w:rFonts w:ascii="Palatino Linotype" w:hAnsi="Palatino Linotype"/>
          <w:color w:val="000000" w:themeColor="text1"/>
        </w:rPr>
        <w:t>:</w:t>
      </w:r>
    </w:p>
    <w:p w:rsidR="00BE1142" w:rsidRPr="00A241E8" w:rsidRDefault="00BE1142" w:rsidP="00221137">
      <w:pPr>
        <w:autoSpaceDE w:val="0"/>
        <w:autoSpaceDN w:val="0"/>
        <w:adjustRightInd w:val="0"/>
        <w:rPr>
          <w:rFonts w:ascii="Palatino Linotype" w:hAnsi="Palatino Linotype"/>
          <w:color w:val="000000" w:themeColor="text1"/>
        </w:rPr>
      </w:pPr>
    </w:p>
    <w:p w:rsidR="00221137" w:rsidRPr="003A1F89" w:rsidRDefault="00221137" w:rsidP="003A1F89">
      <w:pPr>
        <w:autoSpaceDE w:val="0"/>
        <w:autoSpaceDN w:val="0"/>
        <w:adjustRightInd w:val="0"/>
        <w:ind w:left="720"/>
        <w:rPr>
          <w:rFonts w:ascii="Palatino" w:hAnsi="Palatino"/>
        </w:rPr>
      </w:pPr>
      <w:r w:rsidRPr="003A1F89">
        <w:rPr>
          <w:rFonts w:ascii="Palatino" w:hAnsi="Palatino"/>
        </w:rPr>
        <w:t xml:space="preserve">Each regional Consortium must retain at least one Fiscal Agent with lead </w:t>
      </w:r>
    </w:p>
    <w:p w:rsidR="00221137" w:rsidRPr="003A1F89" w:rsidRDefault="00221137" w:rsidP="003A1F89">
      <w:pPr>
        <w:autoSpaceDE w:val="0"/>
        <w:autoSpaceDN w:val="0"/>
        <w:adjustRightInd w:val="0"/>
        <w:ind w:left="720"/>
        <w:rPr>
          <w:rFonts w:ascii="Palatino" w:hAnsi="Palatino"/>
        </w:rPr>
      </w:pPr>
      <w:proofErr w:type="gramStart"/>
      <w:r w:rsidRPr="003A1F89">
        <w:rPr>
          <w:rFonts w:ascii="Palatino" w:hAnsi="Palatino"/>
        </w:rPr>
        <w:t>responsibility</w:t>
      </w:r>
      <w:proofErr w:type="gramEnd"/>
      <w:r w:rsidRPr="003A1F89">
        <w:rPr>
          <w:rFonts w:ascii="Palatino" w:hAnsi="Palatino"/>
        </w:rPr>
        <w:t xml:space="preserve"> and legal authority to represent the Consortium for purposes of</w:t>
      </w:r>
    </w:p>
    <w:p w:rsidR="00221137" w:rsidRPr="003A1F89" w:rsidRDefault="00221137" w:rsidP="003A1F89">
      <w:pPr>
        <w:autoSpaceDE w:val="0"/>
        <w:autoSpaceDN w:val="0"/>
        <w:adjustRightInd w:val="0"/>
        <w:ind w:left="720"/>
        <w:rPr>
          <w:rFonts w:ascii="Palatino" w:hAnsi="Palatino"/>
        </w:rPr>
      </w:pPr>
      <w:proofErr w:type="gramStart"/>
      <w:r w:rsidRPr="003A1F89">
        <w:rPr>
          <w:rFonts w:ascii="Palatino" w:hAnsi="Palatino"/>
        </w:rPr>
        <w:t>sponsoring</w:t>
      </w:r>
      <w:proofErr w:type="gramEnd"/>
      <w:r w:rsidRPr="003A1F89">
        <w:rPr>
          <w:rFonts w:ascii="Palatino" w:hAnsi="Palatino"/>
        </w:rPr>
        <w:t xml:space="preserve"> the application, and for administration of Consortium activities,</w:t>
      </w:r>
    </w:p>
    <w:p w:rsidR="00221137" w:rsidRPr="003A1F89" w:rsidRDefault="00221137" w:rsidP="003A1F89">
      <w:pPr>
        <w:autoSpaceDE w:val="0"/>
        <w:autoSpaceDN w:val="0"/>
        <w:adjustRightInd w:val="0"/>
        <w:ind w:left="720"/>
        <w:rPr>
          <w:rFonts w:ascii="Palatino" w:hAnsi="Palatino"/>
        </w:rPr>
      </w:pPr>
      <w:proofErr w:type="gramStart"/>
      <w:r w:rsidRPr="003A1F89">
        <w:rPr>
          <w:rFonts w:ascii="Palatino" w:hAnsi="Palatino"/>
        </w:rPr>
        <w:t>including</w:t>
      </w:r>
      <w:proofErr w:type="gramEnd"/>
      <w:r w:rsidRPr="003A1F89">
        <w:rPr>
          <w:rFonts w:ascii="Palatino" w:hAnsi="Palatino"/>
        </w:rPr>
        <w:t xml:space="preserve"> receipt and disbursement of Consortium grant funds.  In any event,</w:t>
      </w:r>
    </w:p>
    <w:p w:rsidR="00221137" w:rsidRPr="003A1F89" w:rsidRDefault="00221137" w:rsidP="003A1F89">
      <w:pPr>
        <w:autoSpaceDE w:val="0"/>
        <w:autoSpaceDN w:val="0"/>
        <w:adjustRightInd w:val="0"/>
        <w:ind w:left="720"/>
        <w:rPr>
          <w:rFonts w:ascii="Palatino" w:hAnsi="Palatino"/>
        </w:rPr>
      </w:pPr>
      <w:proofErr w:type="gramStart"/>
      <w:r w:rsidRPr="003A1F89">
        <w:rPr>
          <w:rFonts w:ascii="Palatino" w:hAnsi="Palatino"/>
        </w:rPr>
        <w:t>the</w:t>
      </w:r>
      <w:proofErr w:type="gramEnd"/>
      <w:r w:rsidRPr="003A1F89">
        <w:rPr>
          <w:rFonts w:ascii="Palatino" w:hAnsi="Palatino"/>
        </w:rPr>
        <w:t xml:space="preserve"> Fiscal Agent must affirmatively agree, on behalf of the Consortium, to</w:t>
      </w:r>
    </w:p>
    <w:p w:rsidR="00221137" w:rsidRPr="003A1F89" w:rsidRDefault="00221137" w:rsidP="003A1F89">
      <w:pPr>
        <w:autoSpaceDE w:val="0"/>
        <w:autoSpaceDN w:val="0"/>
        <w:adjustRightInd w:val="0"/>
        <w:ind w:left="720"/>
        <w:rPr>
          <w:rFonts w:ascii="Palatino" w:hAnsi="Palatino"/>
        </w:rPr>
      </w:pPr>
      <w:proofErr w:type="gramStart"/>
      <w:r w:rsidRPr="003A1F89">
        <w:rPr>
          <w:rFonts w:ascii="Palatino" w:hAnsi="Palatino"/>
        </w:rPr>
        <w:t>comply</w:t>
      </w:r>
      <w:proofErr w:type="gramEnd"/>
      <w:r w:rsidRPr="003A1F89">
        <w:rPr>
          <w:rFonts w:ascii="Palatino" w:hAnsi="Palatino"/>
        </w:rPr>
        <w:t xml:space="preserve"> with the Commission’s directives and conditions relating to the review,</w:t>
      </w:r>
    </w:p>
    <w:p w:rsidR="00221137" w:rsidRPr="003A1F89" w:rsidRDefault="00221137" w:rsidP="003A1F89">
      <w:pPr>
        <w:autoSpaceDE w:val="0"/>
        <w:autoSpaceDN w:val="0"/>
        <w:adjustRightInd w:val="0"/>
        <w:ind w:left="720"/>
        <w:rPr>
          <w:rFonts w:ascii="Palatino" w:hAnsi="Palatino"/>
        </w:rPr>
      </w:pPr>
      <w:proofErr w:type="gramStart"/>
      <w:r w:rsidRPr="003A1F89">
        <w:rPr>
          <w:rFonts w:ascii="Palatino" w:hAnsi="Palatino"/>
        </w:rPr>
        <w:t>approval</w:t>
      </w:r>
      <w:proofErr w:type="gramEnd"/>
      <w:r w:rsidRPr="003A1F89">
        <w:rPr>
          <w:rFonts w:ascii="Palatino" w:hAnsi="Palatino"/>
        </w:rPr>
        <w:t>, and administration of any Consortia application grants.  This</w:t>
      </w:r>
    </w:p>
    <w:p w:rsidR="00221137" w:rsidRPr="003A1F89" w:rsidRDefault="00221137" w:rsidP="003A1F89">
      <w:pPr>
        <w:autoSpaceDE w:val="0"/>
        <w:autoSpaceDN w:val="0"/>
        <w:adjustRightInd w:val="0"/>
        <w:ind w:left="720"/>
        <w:rPr>
          <w:rFonts w:ascii="Palatino" w:hAnsi="Palatino"/>
        </w:rPr>
      </w:pPr>
      <w:proofErr w:type="gramStart"/>
      <w:r w:rsidRPr="003A1F89">
        <w:rPr>
          <w:rFonts w:ascii="Palatino" w:hAnsi="Palatino"/>
        </w:rPr>
        <w:t>requirement</w:t>
      </w:r>
      <w:proofErr w:type="gramEnd"/>
      <w:r w:rsidRPr="003A1F89">
        <w:rPr>
          <w:rFonts w:ascii="Palatino" w:hAnsi="Palatino"/>
        </w:rPr>
        <w:t xml:space="preserve"> is to provide assurance that Consortium members or contractors</w:t>
      </w:r>
    </w:p>
    <w:p w:rsidR="00221137" w:rsidRPr="003A1F89" w:rsidRDefault="00221137" w:rsidP="003A1F89">
      <w:pPr>
        <w:autoSpaceDE w:val="0"/>
        <w:autoSpaceDN w:val="0"/>
        <w:adjustRightInd w:val="0"/>
        <w:ind w:left="720"/>
        <w:rPr>
          <w:rFonts w:ascii="Palatino" w:hAnsi="Palatino"/>
        </w:rPr>
      </w:pPr>
      <w:proofErr w:type="gramStart"/>
      <w:r w:rsidRPr="003A1F89">
        <w:rPr>
          <w:rFonts w:ascii="Palatino" w:hAnsi="Palatino"/>
        </w:rPr>
        <w:t>retained</w:t>
      </w:r>
      <w:proofErr w:type="gramEnd"/>
      <w:r w:rsidRPr="003A1F89">
        <w:rPr>
          <w:rFonts w:ascii="Palatino" w:hAnsi="Palatino"/>
        </w:rPr>
        <w:t xml:space="preserve"> by the Consortium are capable and committed to delivering on the</w:t>
      </w:r>
    </w:p>
    <w:p w:rsidR="003A1F89" w:rsidRDefault="00221137" w:rsidP="003A1F89">
      <w:pPr>
        <w:tabs>
          <w:tab w:val="left" w:pos="720"/>
        </w:tabs>
        <w:ind w:left="720"/>
        <w:rPr>
          <w:rFonts w:ascii="Palatino" w:hAnsi="Palatino"/>
        </w:rPr>
      </w:pPr>
      <w:proofErr w:type="gramStart"/>
      <w:r w:rsidRPr="003A1F89">
        <w:rPr>
          <w:rFonts w:ascii="Palatino" w:hAnsi="Palatino"/>
        </w:rPr>
        <w:lastRenderedPageBreak/>
        <w:t>commitments</w:t>
      </w:r>
      <w:proofErr w:type="gramEnd"/>
      <w:r w:rsidRPr="003A1F89">
        <w:rPr>
          <w:rFonts w:ascii="Palatino" w:hAnsi="Palatino"/>
        </w:rPr>
        <w:t xml:space="preserve"> to be funded.</w:t>
      </w:r>
      <w:r w:rsidR="008758E4">
        <w:rPr>
          <w:rStyle w:val="FootnoteReference"/>
          <w:rFonts w:ascii="Palatino" w:hAnsi="Palatino"/>
        </w:rPr>
        <w:footnoteReference w:id="15"/>
      </w:r>
      <w:r w:rsidRPr="003A1F89">
        <w:rPr>
          <w:rFonts w:ascii="Palatino" w:hAnsi="Palatino"/>
        </w:rPr>
        <w:t xml:space="preserve">   </w:t>
      </w:r>
      <w:r w:rsidR="003A1F89">
        <w:rPr>
          <w:rFonts w:ascii="Palatino" w:hAnsi="Palatino"/>
        </w:rPr>
        <w:t xml:space="preserve"> </w:t>
      </w:r>
    </w:p>
    <w:p w:rsidR="003A1F89" w:rsidRDefault="003A1F89" w:rsidP="00221137">
      <w:pPr>
        <w:tabs>
          <w:tab w:val="left" w:pos="720"/>
        </w:tabs>
        <w:rPr>
          <w:rFonts w:ascii="Palatino" w:hAnsi="Palatino"/>
        </w:rPr>
      </w:pPr>
    </w:p>
    <w:p w:rsidR="008420AA" w:rsidRPr="00A241E8" w:rsidRDefault="008758E4" w:rsidP="00A241E8">
      <w:pPr>
        <w:autoSpaceDE w:val="0"/>
        <w:autoSpaceDN w:val="0"/>
        <w:adjustRightInd w:val="0"/>
        <w:rPr>
          <w:rFonts w:ascii="Palatino Linotype" w:hAnsi="Palatino Linotype"/>
          <w:color w:val="000000" w:themeColor="text1"/>
        </w:rPr>
      </w:pPr>
      <w:r w:rsidRPr="00A241E8">
        <w:rPr>
          <w:rFonts w:ascii="Palatino Linotype" w:hAnsi="Palatino Linotype"/>
          <w:color w:val="000000" w:themeColor="text1"/>
        </w:rPr>
        <w:t xml:space="preserve">CD </w:t>
      </w:r>
      <w:r w:rsidR="004E7EBE">
        <w:rPr>
          <w:rFonts w:ascii="Palatino Linotype" w:hAnsi="Palatino Linotype"/>
          <w:color w:val="000000" w:themeColor="text1"/>
        </w:rPr>
        <w:t xml:space="preserve">staff </w:t>
      </w:r>
      <w:r w:rsidRPr="00A241E8">
        <w:rPr>
          <w:rFonts w:ascii="Palatino Linotype" w:hAnsi="Palatino Linotype"/>
          <w:color w:val="000000" w:themeColor="text1"/>
        </w:rPr>
        <w:t>reviewed the applications and determined that all three applications me</w:t>
      </w:r>
      <w:r w:rsidR="004E7EBE">
        <w:rPr>
          <w:rFonts w:ascii="Palatino Linotype" w:hAnsi="Palatino Linotype"/>
          <w:color w:val="000000" w:themeColor="text1"/>
        </w:rPr>
        <w:t>e</w:t>
      </w:r>
      <w:r w:rsidRPr="00A241E8">
        <w:rPr>
          <w:rFonts w:ascii="Palatino Linotype" w:hAnsi="Palatino Linotype"/>
          <w:color w:val="000000" w:themeColor="text1"/>
        </w:rPr>
        <w:t>t this requirement.  Specifically, f</w:t>
      </w:r>
      <w:r w:rsidR="001C3CC5" w:rsidRPr="00A241E8">
        <w:rPr>
          <w:rFonts w:ascii="Palatino Linotype" w:hAnsi="Palatino Linotype"/>
          <w:color w:val="000000" w:themeColor="text1"/>
        </w:rPr>
        <w:t>or each application, t</w:t>
      </w:r>
      <w:r w:rsidR="00A73E62" w:rsidRPr="00A241E8">
        <w:rPr>
          <w:rFonts w:ascii="Palatino Linotype" w:hAnsi="Palatino Linotype"/>
          <w:color w:val="000000" w:themeColor="text1"/>
        </w:rPr>
        <w:t>he Fiscal Agent</w:t>
      </w:r>
      <w:r w:rsidR="001C3CC5" w:rsidRPr="00A241E8">
        <w:rPr>
          <w:rFonts w:ascii="Palatino Linotype" w:hAnsi="Palatino Linotype"/>
          <w:color w:val="000000" w:themeColor="text1"/>
        </w:rPr>
        <w:t xml:space="preserve"> </w:t>
      </w:r>
      <w:r w:rsidR="00A73E62" w:rsidRPr="00A241E8">
        <w:rPr>
          <w:rFonts w:ascii="Palatino Linotype" w:hAnsi="Palatino Linotype"/>
          <w:color w:val="000000" w:themeColor="text1"/>
        </w:rPr>
        <w:t>signed an affidavit, under penalty of perjury, that to the best of his or her knowledge, all statements and representations made in Consortium application are true and correct</w:t>
      </w:r>
      <w:r w:rsidRPr="00A241E8">
        <w:rPr>
          <w:rFonts w:ascii="Palatino Linotype" w:hAnsi="Palatino Linotype"/>
          <w:color w:val="000000" w:themeColor="text1"/>
        </w:rPr>
        <w:t>, and affirmed to fulfill the requirements of the CPUC with respect to grant administration.</w:t>
      </w:r>
      <w:r w:rsidRPr="00A241E8">
        <w:rPr>
          <w:rFonts w:ascii="Palatino Linotype" w:hAnsi="Palatino Linotype"/>
          <w:color w:val="000000" w:themeColor="text1"/>
          <w:vertAlign w:val="superscript"/>
        </w:rPr>
        <w:footnoteReference w:id="16"/>
      </w:r>
      <w:r w:rsidR="008420AA" w:rsidRPr="00A241E8">
        <w:rPr>
          <w:rFonts w:ascii="Palatino Linotype" w:hAnsi="Palatino Linotype"/>
          <w:color w:val="000000" w:themeColor="text1"/>
          <w:vertAlign w:val="superscript"/>
        </w:rPr>
        <w:t xml:space="preserve">  </w:t>
      </w:r>
    </w:p>
    <w:p w:rsidR="008420AA" w:rsidRPr="00A241E8" w:rsidRDefault="008420AA" w:rsidP="00A241E8">
      <w:pPr>
        <w:autoSpaceDE w:val="0"/>
        <w:autoSpaceDN w:val="0"/>
        <w:adjustRightInd w:val="0"/>
        <w:rPr>
          <w:rFonts w:ascii="Palatino Linotype" w:hAnsi="Palatino Linotype"/>
          <w:color w:val="000000" w:themeColor="text1"/>
        </w:rPr>
      </w:pPr>
    </w:p>
    <w:p w:rsidR="00677329" w:rsidRDefault="008420AA" w:rsidP="00A241E8">
      <w:pPr>
        <w:autoSpaceDE w:val="0"/>
        <w:autoSpaceDN w:val="0"/>
        <w:adjustRightInd w:val="0"/>
        <w:rPr>
          <w:rFonts w:ascii="Palatino Linotype" w:hAnsi="Palatino Linotype"/>
          <w:color w:val="000000" w:themeColor="text1"/>
        </w:rPr>
      </w:pPr>
      <w:r w:rsidRPr="00A241E8">
        <w:rPr>
          <w:rFonts w:ascii="Palatino Linotype" w:hAnsi="Palatino Linotype"/>
          <w:color w:val="000000" w:themeColor="text1"/>
        </w:rPr>
        <w:t>Each Fiscal Agent provided CD</w:t>
      </w:r>
      <w:r w:rsidR="004E7EBE">
        <w:rPr>
          <w:rFonts w:ascii="Palatino Linotype" w:hAnsi="Palatino Linotype"/>
          <w:color w:val="000000" w:themeColor="text1"/>
        </w:rPr>
        <w:t xml:space="preserve"> staff</w:t>
      </w:r>
      <w:r w:rsidR="00672E28">
        <w:rPr>
          <w:rFonts w:ascii="Palatino Linotype" w:hAnsi="Palatino Linotype"/>
          <w:color w:val="000000" w:themeColor="text1"/>
        </w:rPr>
        <w:t xml:space="preserve"> </w:t>
      </w:r>
      <w:r w:rsidRPr="00A241E8">
        <w:rPr>
          <w:rFonts w:ascii="Palatino Linotype" w:hAnsi="Palatino Linotype"/>
          <w:color w:val="000000" w:themeColor="text1"/>
        </w:rPr>
        <w:t>with a name of a qualified representative to carry out the duties and responsibilities described</w:t>
      </w:r>
      <w:r w:rsidR="004E7EBE">
        <w:rPr>
          <w:rFonts w:ascii="Palatino Linotype" w:hAnsi="Palatino Linotype"/>
          <w:color w:val="000000" w:themeColor="text1"/>
        </w:rPr>
        <w:t>, and</w:t>
      </w:r>
      <w:r w:rsidR="00BE223B">
        <w:rPr>
          <w:rFonts w:ascii="Palatino Linotype" w:hAnsi="Palatino Linotype"/>
          <w:color w:val="000000" w:themeColor="text1"/>
        </w:rPr>
        <w:t xml:space="preserve"> t</w:t>
      </w:r>
      <w:r w:rsidRPr="00A241E8">
        <w:rPr>
          <w:rFonts w:ascii="Palatino Linotype" w:hAnsi="Palatino Linotype"/>
          <w:color w:val="000000" w:themeColor="text1"/>
        </w:rPr>
        <w:t xml:space="preserve">he Fiscal Agent will be the primary contact regarding the consortium’s fiscal matters.  </w:t>
      </w:r>
    </w:p>
    <w:p w:rsidR="00677329" w:rsidRDefault="00677329" w:rsidP="00A241E8">
      <w:pPr>
        <w:autoSpaceDE w:val="0"/>
        <w:autoSpaceDN w:val="0"/>
        <w:adjustRightInd w:val="0"/>
        <w:rPr>
          <w:rFonts w:ascii="Palatino Linotype" w:hAnsi="Palatino Linotype"/>
          <w:color w:val="000000" w:themeColor="text1"/>
        </w:rPr>
      </w:pPr>
    </w:p>
    <w:p w:rsidR="00EF049C" w:rsidRDefault="004E7EBE" w:rsidP="00A241E8">
      <w:pPr>
        <w:autoSpaceDE w:val="0"/>
        <w:autoSpaceDN w:val="0"/>
        <w:adjustRightInd w:val="0"/>
        <w:rPr>
          <w:rFonts w:ascii="Palatino Linotype" w:hAnsi="Palatino Linotype"/>
          <w:color w:val="000000" w:themeColor="text1"/>
        </w:rPr>
      </w:pPr>
      <w:r>
        <w:rPr>
          <w:rFonts w:ascii="Palatino Linotype" w:hAnsi="Palatino Linotype"/>
          <w:color w:val="000000" w:themeColor="text1"/>
        </w:rPr>
        <w:t xml:space="preserve">The Fiscal Agent </w:t>
      </w:r>
      <w:r w:rsidR="00182A6C">
        <w:rPr>
          <w:rFonts w:ascii="Palatino Linotype" w:hAnsi="Palatino Linotype"/>
          <w:color w:val="000000" w:themeColor="text1"/>
        </w:rPr>
        <w:t>shall</w:t>
      </w:r>
      <w:r w:rsidR="00BE223B">
        <w:rPr>
          <w:rFonts w:ascii="Palatino Linotype" w:hAnsi="Palatino Linotype"/>
          <w:color w:val="000000" w:themeColor="text1"/>
        </w:rPr>
        <w:t xml:space="preserve"> </w:t>
      </w:r>
      <w:r w:rsidR="00677329">
        <w:rPr>
          <w:rFonts w:ascii="Palatino Linotype" w:hAnsi="Palatino Linotype"/>
          <w:color w:val="000000" w:themeColor="text1"/>
        </w:rPr>
        <w:t xml:space="preserve">comply with all rules and requirements set forth in D.11-06-038, including but not limited to </w:t>
      </w:r>
      <w:r w:rsidR="00BE223B">
        <w:rPr>
          <w:rFonts w:ascii="Palatino Linotype" w:hAnsi="Palatino Linotype"/>
          <w:color w:val="000000" w:themeColor="text1"/>
        </w:rPr>
        <w:t>ensur</w:t>
      </w:r>
      <w:r w:rsidR="00677329">
        <w:rPr>
          <w:rFonts w:ascii="Palatino Linotype" w:hAnsi="Palatino Linotype"/>
          <w:color w:val="000000" w:themeColor="text1"/>
        </w:rPr>
        <w:t>ing</w:t>
      </w:r>
      <w:r w:rsidR="00BE223B">
        <w:rPr>
          <w:rFonts w:ascii="Palatino Linotype" w:hAnsi="Palatino Linotype"/>
          <w:color w:val="000000" w:themeColor="text1"/>
        </w:rPr>
        <w:t xml:space="preserve"> implementation of the approved Work Plan within the allocated budget (in conjunction with the consortium program manager), and </w:t>
      </w:r>
      <w:r w:rsidR="00182A6C">
        <w:rPr>
          <w:rFonts w:ascii="Palatino Linotype" w:hAnsi="Palatino Linotype"/>
          <w:color w:val="000000" w:themeColor="text1"/>
        </w:rPr>
        <w:t>shall be</w:t>
      </w:r>
      <w:r w:rsidR="00677329">
        <w:rPr>
          <w:rFonts w:ascii="Palatino Linotype" w:hAnsi="Palatino Linotype"/>
          <w:color w:val="000000" w:themeColor="text1"/>
        </w:rPr>
        <w:t xml:space="preserve"> </w:t>
      </w:r>
      <w:r w:rsidR="00BE223B">
        <w:rPr>
          <w:rFonts w:ascii="Palatino Linotype" w:hAnsi="Palatino Linotype"/>
          <w:color w:val="000000" w:themeColor="text1"/>
        </w:rPr>
        <w:t xml:space="preserve">responsible </w:t>
      </w:r>
      <w:r>
        <w:rPr>
          <w:rFonts w:ascii="Palatino Linotype" w:hAnsi="Palatino Linotype"/>
          <w:color w:val="000000" w:themeColor="text1"/>
        </w:rPr>
        <w:t>for</w:t>
      </w:r>
      <w:r w:rsidRPr="00A241E8">
        <w:rPr>
          <w:rFonts w:ascii="Palatino Linotype" w:hAnsi="Palatino Linotype"/>
          <w:color w:val="000000" w:themeColor="text1"/>
        </w:rPr>
        <w:t xml:space="preserve"> </w:t>
      </w:r>
      <w:r w:rsidR="008420AA" w:rsidRPr="00A241E8">
        <w:rPr>
          <w:rFonts w:ascii="Palatino Linotype" w:hAnsi="Palatino Linotype"/>
          <w:color w:val="000000" w:themeColor="text1"/>
        </w:rPr>
        <w:t>notify</w:t>
      </w:r>
      <w:r>
        <w:rPr>
          <w:rFonts w:ascii="Palatino Linotype" w:hAnsi="Palatino Linotype"/>
          <w:color w:val="000000" w:themeColor="text1"/>
        </w:rPr>
        <w:t>ing</w:t>
      </w:r>
      <w:r w:rsidR="008420AA" w:rsidRPr="00A241E8">
        <w:rPr>
          <w:rFonts w:ascii="Palatino Linotype" w:hAnsi="Palatino Linotype"/>
          <w:color w:val="000000" w:themeColor="text1"/>
        </w:rPr>
        <w:t xml:space="preserve"> CD of any </w:t>
      </w:r>
      <w:r w:rsidR="00BE223B">
        <w:rPr>
          <w:rFonts w:ascii="Palatino Linotype" w:hAnsi="Palatino Linotype"/>
          <w:color w:val="000000" w:themeColor="text1"/>
        </w:rPr>
        <w:t xml:space="preserve">proposed </w:t>
      </w:r>
      <w:r w:rsidR="008420AA" w:rsidRPr="00A241E8">
        <w:rPr>
          <w:rFonts w:ascii="Palatino Linotype" w:hAnsi="Palatino Linotype"/>
          <w:color w:val="000000" w:themeColor="text1"/>
        </w:rPr>
        <w:t>change</w:t>
      </w:r>
      <w:r w:rsidR="00BE223B">
        <w:rPr>
          <w:rFonts w:ascii="Palatino Linotype" w:hAnsi="Palatino Linotype"/>
          <w:color w:val="000000" w:themeColor="text1"/>
        </w:rPr>
        <w:t>s to</w:t>
      </w:r>
      <w:r w:rsidR="008420AA" w:rsidRPr="00A241E8">
        <w:rPr>
          <w:rFonts w:ascii="Palatino Linotype" w:hAnsi="Palatino Linotype"/>
          <w:color w:val="000000" w:themeColor="text1"/>
        </w:rPr>
        <w:t xml:space="preserve">  </w:t>
      </w:r>
      <w:r w:rsidR="00BE223B">
        <w:rPr>
          <w:rFonts w:ascii="Palatino Linotype" w:hAnsi="Palatino Linotype"/>
          <w:color w:val="000000" w:themeColor="text1"/>
        </w:rPr>
        <w:t>W</w:t>
      </w:r>
      <w:r w:rsidR="008420AA" w:rsidRPr="00A241E8">
        <w:rPr>
          <w:rFonts w:ascii="Palatino Linotype" w:hAnsi="Palatino Linotype"/>
          <w:color w:val="000000" w:themeColor="text1"/>
        </w:rPr>
        <w:t xml:space="preserve">ork </w:t>
      </w:r>
      <w:r w:rsidR="00BE223B">
        <w:rPr>
          <w:rFonts w:ascii="Palatino Linotype" w:hAnsi="Palatino Linotype"/>
          <w:color w:val="000000" w:themeColor="text1"/>
        </w:rPr>
        <w:t>P</w:t>
      </w:r>
      <w:r w:rsidR="008420AA" w:rsidRPr="00A241E8">
        <w:rPr>
          <w:rFonts w:ascii="Palatino Linotype" w:hAnsi="Palatino Linotype"/>
          <w:color w:val="000000" w:themeColor="text1"/>
        </w:rPr>
        <w:t>lan or budget</w:t>
      </w:r>
      <w:r w:rsidR="00BE223B">
        <w:rPr>
          <w:rFonts w:ascii="Palatino Linotype" w:hAnsi="Palatino Linotype"/>
          <w:color w:val="000000" w:themeColor="text1"/>
        </w:rPr>
        <w:t xml:space="preserve"> during the course of the grant cycle</w:t>
      </w:r>
      <w:r w:rsidR="008420AA" w:rsidRPr="00A241E8">
        <w:rPr>
          <w:rFonts w:ascii="Palatino Linotype" w:hAnsi="Palatino Linotype"/>
          <w:color w:val="000000" w:themeColor="text1"/>
        </w:rPr>
        <w:t>.</w:t>
      </w:r>
    </w:p>
    <w:p w:rsidR="00A241E8" w:rsidRPr="00A241E8" w:rsidRDefault="00A241E8" w:rsidP="00A241E8">
      <w:pPr>
        <w:autoSpaceDE w:val="0"/>
        <w:autoSpaceDN w:val="0"/>
        <w:adjustRightInd w:val="0"/>
        <w:rPr>
          <w:rFonts w:ascii="Palatino Linotype" w:hAnsi="Palatino Linotype"/>
          <w:color w:val="000000" w:themeColor="text1"/>
        </w:rPr>
      </w:pPr>
    </w:p>
    <w:p w:rsidR="00A73E62" w:rsidRPr="00A241E8" w:rsidRDefault="001C3CC5" w:rsidP="00221137">
      <w:pPr>
        <w:tabs>
          <w:tab w:val="left" w:pos="720"/>
        </w:tabs>
        <w:rPr>
          <w:rFonts w:ascii="Palatino Linotype" w:hAnsi="Palatino Linotype"/>
          <w:color w:val="000000" w:themeColor="text1"/>
        </w:rPr>
      </w:pPr>
      <w:r w:rsidRPr="00A241E8">
        <w:rPr>
          <w:rFonts w:ascii="Palatino Linotype" w:hAnsi="Palatino Linotype"/>
          <w:color w:val="000000" w:themeColor="text1"/>
        </w:rPr>
        <w:t xml:space="preserve">D.11.036-038 </w:t>
      </w:r>
      <w:r w:rsidR="008420AA" w:rsidRPr="00A241E8">
        <w:rPr>
          <w:rFonts w:ascii="Palatino Linotype" w:hAnsi="Palatino Linotype"/>
          <w:color w:val="000000" w:themeColor="text1"/>
        </w:rPr>
        <w:t>fu</w:t>
      </w:r>
      <w:r w:rsidR="00494268">
        <w:rPr>
          <w:rFonts w:ascii="Palatino Linotype" w:hAnsi="Palatino Linotype"/>
          <w:color w:val="000000" w:themeColor="text1"/>
        </w:rPr>
        <w:t>rther requires each Consortia grantee to</w:t>
      </w:r>
      <w:r w:rsidRPr="00A241E8">
        <w:rPr>
          <w:rFonts w:ascii="Palatino Linotype" w:hAnsi="Palatino Linotype"/>
          <w:color w:val="000000" w:themeColor="text1"/>
        </w:rPr>
        <w:t>:</w:t>
      </w:r>
    </w:p>
    <w:p w:rsidR="001C3CC5" w:rsidRPr="00C01E1F" w:rsidRDefault="001C3CC5" w:rsidP="00221137">
      <w:pPr>
        <w:tabs>
          <w:tab w:val="left" w:pos="720"/>
        </w:tabs>
        <w:rPr>
          <w:rFonts w:ascii="Palatino" w:hAnsi="Palatino"/>
        </w:rPr>
      </w:pPr>
    </w:p>
    <w:p w:rsidR="001C3CC5" w:rsidRDefault="00494268" w:rsidP="001C3CC5">
      <w:pPr>
        <w:autoSpaceDE w:val="0"/>
        <w:autoSpaceDN w:val="0"/>
        <w:adjustRightInd w:val="0"/>
        <w:ind w:left="720"/>
        <w:rPr>
          <w:rFonts w:ascii="Palatino" w:hAnsi="Palatino"/>
        </w:rPr>
      </w:pPr>
      <w:r>
        <w:rPr>
          <w:rFonts w:ascii="Palatino" w:hAnsi="Palatino"/>
        </w:rPr>
        <w:t>…</w:t>
      </w:r>
      <w:r w:rsidR="005F2FA2" w:rsidRPr="00494268">
        <w:rPr>
          <w:rFonts w:ascii="Palatino" w:hAnsi="Palatino"/>
        </w:rPr>
        <w:t xml:space="preserve">maintain books, records, documents and other evidence sufficient to substantiate expenditures covered by the grant, according to generally accepted accounting practices.  Each Consortia grantee shall make these records available to the Commission upon request and agrees that these records are subject to a financial audit by the Commission at any time within three years after the Grantee incurred the expense being audited.  A Consortia grantee shall provide access to the Commission upon 24 </w:t>
      </w:r>
      <w:proofErr w:type="spellStart"/>
      <w:r w:rsidR="005F2FA2" w:rsidRPr="00494268">
        <w:rPr>
          <w:rFonts w:ascii="Palatino" w:hAnsi="Palatino"/>
        </w:rPr>
        <w:t>hours notice</w:t>
      </w:r>
      <w:proofErr w:type="spellEnd"/>
      <w:r w:rsidR="005F2FA2" w:rsidRPr="00494268">
        <w:rPr>
          <w:rFonts w:ascii="Palatino" w:hAnsi="Palatino"/>
        </w:rPr>
        <w:t xml:space="preserve"> to evaluate work completed or being performed pursuant to the grant.</w:t>
      </w:r>
      <w:r w:rsidR="00DD5C4A">
        <w:rPr>
          <w:rStyle w:val="FootnoteReference"/>
          <w:rFonts w:ascii="Palatino" w:hAnsi="Palatino"/>
        </w:rPr>
        <w:footnoteReference w:id="17"/>
      </w:r>
      <w:r w:rsidR="001C3CC5" w:rsidRPr="001C3CC5">
        <w:rPr>
          <w:rFonts w:ascii="Palatino" w:hAnsi="Palatino"/>
        </w:rPr>
        <w:t xml:space="preserve"> </w:t>
      </w:r>
    </w:p>
    <w:p w:rsidR="00352D37" w:rsidRPr="00494268" w:rsidRDefault="00352D37" w:rsidP="00494268">
      <w:pPr>
        <w:autoSpaceDE w:val="0"/>
        <w:autoSpaceDN w:val="0"/>
        <w:adjustRightInd w:val="0"/>
        <w:ind w:left="720"/>
        <w:rPr>
          <w:rFonts w:ascii="Palatino" w:hAnsi="Palatino"/>
        </w:rPr>
      </w:pPr>
    </w:p>
    <w:p w:rsidR="00352D37" w:rsidRPr="00C01E1F" w:rsidRDefault="00C01E1F" w:rsidP="00C01E1F">
      <w:pPr>
        <w:pStyle w:val="ListParagraph"/>
        <w:numPr>
          <w:ilvl w:val="0"/>
          <w:numId w:val="17"/>
        </w:numPr>
        <w:tabs>
          <w:tab w:val="left" w:pos="720"/>
        </w:tabs>
        <w:rPr>
          <w:rFonts w:ascii="Palatino" w:hAnsi="Palatino"/>
          <w:u w:val="single"/>
        </w:rPr>
      </w:pPr>
      <w:r w:rsidRPr="00C01E1F">
        <w:rPr>
          <w:rFonts w:ascii="Palatino" w:hAnsi="Palatino"/>
        </w:rPr>
        <w:t xml:space="preserve">      </w:t>
      </w:r>
      <w:r w:rsidR="003F53E7" w:rsidRPr="00C01E1F">
        <w:rPr>
          <w:rFonts w:ascii="Palatino" w:hAnsi="Palatino"/>
          <w:u w:val="single"/>
        </w:rPr>
        <w:t xml:space="preserve">Distinguishing CASF from other Financial Resources </w:t>
      </w:r>
    </w:p>
    <w:p w:rsidR="003F53E7" w:rsidRDefault="003F53E7" w:rsidP="00221137">
      <w:pPr>
        <w:tabs>
          <w:tab w:val="left" w:pos="720"/>
        </w:tabs>
        <w:rPr>
          <w:rFonts w:ascii="Palatino" w:hAnsi="Palatino"/>
        </w:rPr>
      </w:pPr>
    </w:p>
    <w:p w:rsidR="00C01E1F" w:rsidRDefault="00352D37" w:rsidP="00221137">
      <w:pPr>
        <w:tabs>
          <w:tab w:val="left" w:pos="720"/>
        </w:tabs>
        <w:rPr>
          <w:rFonts w:ascii="Palatino" w:hAnsi="Palatino"/>
        </w:rPr>
      </w:pPr>
      <w:r w:rsidRPr="00925B71">
        <w:rPr>
          <w:rFonts w:ascii="Palatino" w:hAnsi="Palatino"/>
        </w:rPr>
        <w:t>D</w:t>
      </w:r>
      <w:r>
        <w:rPr>
          <w:rFonts w:ascii="Palatino" w:hAnsi="Palatino"/>
        </w:rPr>
        <w:t>.11-06-038</w:t>
      </w:r>
      <w:r w:rsidR="00E76A39">
        <w:rPr>
          <w:rFonts w:ascii="Palatino" w:hAnsi="Palatino"/>
        </w:rPr>
        <w:t xml:space="preserve"> requires that</w:t>
      </w:r>
      <w:r w:rsidR="008420AA">
        <w:rPr>
          <w:rFonts w:ascii="Palatino" w:hAnsi="Palatino"/>
        </w:rPr>
        <w:t xml:space="preserve"> </w:t>
      </w:r>
      <w:r>
        <w:rPr>
          <w:rFonts w:ascii="Palatino" w:hAnsi="Palatino"/>
        </w:rPr>
        <w:t xml:space="preserve">the </w:t>
      </w:r>
      <w:r w:rsidRPr="00925B71">
        <w:rPr>
          <w:rFonts w:ascii="Palatino" w:hAnsi="Palatino"/>
        </w:rPr>
        <w:t>consortium</w:t>
      </w:r>
      <w:r w:rsidR="005D18C9">
        <w:rPr>
          <w:rFonts w:ascii="Palatino" w:hAnsi="Palatino"/>
        </w:rPr>
        <w:t xml:space="preserve"> </w:t>
      </w:r>
      <w:r>
        <w:rPr>
          <w:rFonts w:ascii="Palatino" w:hAnsi="Palatino"/>
        </w:rPr>
        <w:t xml:space="preserve">take steps to ensure that that CASF grant budget </w:t>
      </w:r>
      <w:r w:rsidR="00030753">
        <w:rPr>
          <w:rFonts w:ascii="Palatino" w:hAnsi="Palatino"/>
        </w:rPr>
        <w:t>does</w:t>
      </w:r>
      <w:r>
        <w:rPr>
          <w:rFonts w:ascii="Palatino" w:hAnsi="Palatino"/>
        </w:rPr>
        <w:t xml:space="preserve"> </w:t>
      </w:r>
      <w:r w:rsidR="00030753">
        <w:rPr>
          <w:rFonts w:ascii="Palatino" w:hAnsi="Palatino"/>
        </w:rPr>
        <w:t>duplicate</w:t>
      </w:r>
      <w:r>
        <w:rPr>
          <w:rFonts w:ascii="Palatino" w:hAnsi="Palatino"/>
        </w:rPr>
        <w:t xml:space="preserve"> </w:t>
      </w:r>
      <w:r w:rsidR="00030753">
        <w:rPr>
          <w:rFonts w:ascii="Palatino" w:hAnsi="Palatino"/>
        </w:rPr>
        <w:t xml:space="preserve">funding from </w:t>
      </w:r>
      <w:r w:rsidR="00580C97">
        <w:rPr>
          <w:rFonts w:ascii="Palatino" w:hAnsi="Palatino"/>
        </w:rPr>
        <w:t>other non-Consortia Account funding</w:t>
      </w:r>
      <w:r w:rsidR="00925B71">
        <w:rPr>
          <w:rFonts w:ascii="Palatino" w:hAnsi="Palatino"/>
        </w:rPr>
        <w:t>:</w:t>
      </w:r>
      <w:r w:rsidR="008420AA" w:rsidRPr="00925B71">
        <w:rPr>
          <w:vertAlign w:val="superscript"/>
        </w:rPr>
        <w:footnoteReference w:id="18"/>
      </w:r>
      <w:r w:rsidR="004307A9">
        <w:rPr>
          <w:rFonts w:ascii="Palatino" w:hAnsi="Palatino"/>
        </w:rPr>
        <w:t xml:space="preserve">  All grantees must ensure that </w:t>
      </w:r>
      <w:r w:rsidR="00182A6C">
        <w:rPr>
          <w:rFonts w:ascii="Palatino" w:hAnsi="Palatino"/>
          <w:i/>
        </w:rPr>
        <w:t xml:space="preserve">only </w:t>
      </w:r>
      <w:r w:rsidR="00C01E1F">
        <w:rPr>
          <w:rFonts w:ascii="Palatino" w:hAnsi="Palatino"/>
        </w:rPr>
        <w:t xml:space="preserve">CASF-approved activities will be billed to the Consortia </w:t>
      </w:r>
      <w:r w:rsidR="00C01E1F">
        <w:rPr>
          <w:rFonts w:ascii="Palatino" w:hAnsi="Palatino"/>
        </w:rPr>
        <w:lastRenderedPageBreak/>
        <w:t xml:space="preserve">Account, and activities obligated to other funding resources will not be billed to the CASF Consortia Account.  </w:t>
      </w:r>
    </w:p>
    <w:p w:rsidR="001C3CC5" w:rsidRPr="00925B71" w:rsidRDefault="005B5EED" w:rsidP="00221137">
      <w:pPr>
        <w:tabs>
          <w:tab w:val="left" w:pos="720"/>
        </w:tabs>
        <w:rPr>
          <w:rFonts w:ascii="Palatino" w:hAnsi="Palatino"/>
        </w:rPr>
      </w:pPr>
      <w:r w:rsidRPr="00925B71">
        <w:rPr>
          <w:rFonts w:ascii="Palatino" w:hAnsi="Palatino"/>
        </w:rPr>
        <w:t xml:space="preserve">  </w:t>
      </w:r>
      <w:r w:rsidR="001A5855" w:rsidRPr="00925B71">
        <w:rPr>
          <w:rFonts w:ascii="Palatino" w:hAnsi="Palatino"/>
        </w:rPr>
        <w:t xml:space="preserve"> </w:t>
      </w:r>
    </w:p>
    <w:p w:rsidR="001B7FD2" w:rsidRDefault="00C01E1F" w:rsidP="001B7FD2">
      <w:pPr>
        <w:tabs>
          <w:tab w:val="left" w:pos="720"/>
        </w:tabs>
        <w:rPr>
          <w:rFonts w:ascii="Palatino" w:hAnsi="Palatino"/>
        </w:rPr>
      </w:pPr>
      <w:r>
        <w:rPr>
          <w:rFonts w:ascii="Palatino" w:hAnsi="Palatino"/>
        </w:rPr>
        <w:t xml:space="preserve">Prior to initiation of </w:t>
      </w:r>
      <w:r w:rsidR="00FC74D9">
        <w:rPr>
          <w:rFonts w:ascii="Palatino" w:hAnsi="Palatino"/>
        </w:rPr>
        <w:t xml:space="preserve">Work Plan activities, the Fiscal Agents for </w:t>
      </w:r>
      <w:r>
        <w:rPr>
          <w:rFonts w:ascii="Palatino" w:hAnsi="Palatino"/>
        </w:rPr>
        <w:t>CCBC, EBBC, and TBP must communicate to CD staff how they</w:t>
      </w:r>
      <w:r w:rsidR="00FC74D9">
        <w:rPr>
          <w:rFonts w:ascii="Palatino" w:hAnsi="Palatino"/>
        </w:rPr>
        <w:t xml:space="preserve"> will ensure that </w:t>
      </w:r>
      <w:r>
        <w:rPr>
          <w:rFonts w:ascii="Palatino" w:hAnsi="Palatino"/>
        </w:rPr>
        <w:t xml:space="preserve">billing to discrete funding sources does not overlap.  </w:t>
      </w:r>
    </w:p>
    <w:p w:rsidR="001C3CC5" w:rsidRPr="00066990" w:rsidRDefault="001C3CC5" w:rsidP="00066990">
      <w:pPr>
        <w:autoSpaceDE w:val="0"/>
        <w:autoSpaceDN w:val="0"/>
        <w:adjustRightInd w:val="0"/>
        <w:rPr>
          <w:rFonts w:ascii="Palatino Linotype" w:hAnsi="Palatino Linotype"/>
          <w:color w:val="000000" w:themeColor="text1"/>
        </w:rPr>
      </w:pPr>
    </w:p>
    <w:p w:rsidR="004563FB" w:rsidRPr="007E1E95" w:rsidRDefault="004563FB" w:rsidP="004563FB">
      <w:pPr>
        <w:tabs>
          <w:tab w:val="left" w:pos="720"/>
        </w:tabs>
        <w:ind w:left="720"/>
        <w:rPr>
          <w:rFonts w:ascii="Palatino" w:hAnsi="Palatino"/>
          <w:u w:val="single"/>
        </w:rPr>
      </w:pPr>
      <w:r w:rsidRPr="007E1E95">
        <w:rPr>
          <w:rFonts w:ascii="Palatino" w:hAnsi="Palatino"/>
        </w:rPr>
        <w:t>E.</w:t>
      </w:r>
      <w:r w:rsidRPr="007E1E95">
        <w:rPr>
          <w:rFonts w:ascii="Palatino" w:hAnsi="Palatino"/>
        </w:rPr>
        <w:tab/>
      </w:r>
      <w:r w:rsidR="005F2FA2" w:rsidRPr="005D18C9">
        <w:rPr>
          <w:rFonts w:ascii="Palatino" w:hAnsi="Palatino"/>
          <w:u w:val="single"/>
        </w:rPr>
        <w:t>Payments</w:t>
      </w:r>
    </w:p>
    <w:p w:rsidR="00A73E62" w:rsidRPr="00066990" w:rsidRDefault="00A73E62" w:rsidP="00066990">
      <w:pPr>
        <w:autoSpaceDE w:val="0"/>
        <w:autoSpaceDN w:val="0"/>
        <w:adjustRightInd w:val="0"/>
        <w:rPr>
          <w:rFonts w:ascii="Palatino Linotype" w:hAnsi="Palatino Linotype"/>
          <w:color w:val="000000" w:themeColor="text1"/>
        </w:rPr>
      </w:pPr>
    </w:p>
    <w:p w:rsidR="001A5855" w:rsidRDefault="00186D33" w:rsidP="001A5855">
      <w:pPr>
        <w:rPr>
          <w:rFonts w:ascii="Palatino Linotype" w:hAnsi="Palatino Linotype" w:cs="Garamond"/>
          <w:color w:val="000000" w:themeColor="text1"/>
        </w:rPr>
      </w:pPr>
      <w:r>
        <w:rPr>
          <w:rFonts w:ascii="Palatino Linotype" w:hAnsi="Palatino Linotype" w:cs="Garamond"/>
          <w:color w:val="000000" w:themeColor="text1"/>
        </w:rPr>
        <w:t xml:space="preserve">D.11-06-038 requires </w:t>
      </w:r>
      <w:r w:rsidR="005D18C9">
        <w:rPr>
          <w:rFonts w:ascii="Palatino Linotype" w:hAnsi="Palatino Linotype" w:cs="Garamond"/>
          <w:color w:val="000000" w:themeColor="text1"/>
        </w:rPr>
        <w:t xml:space="preserve">that </w:t>
      </w:r>
      <w:r>
        <w:rPr>
          <w:rFonts w:ascii="Palatino Linotype" w:hAnsi="Palatino Linotype" w:cs="Garamond"/>
          <w:color w:val="000000" w:themeColor="text1"/>
        </w:rPr>
        <w:t>s</w:t>
      </w:r>
      <w:r w:rsidR="001A5855" w:rsidRPr="000571D5">
        <w:rPr>
          <w:rFonts w:ascii="Palatino Linotype" w:hAnsi="Palatino Linotype" w:cs="Garamond"/>
          <w:color w:val="000000" w:themeColor="text1"/>
        </w:rPr>
        <w:t xml:space="preserve">ubmission of invoices from and payments to </w:t>
      </w:r>
      <w:r w:rsidR="001A5855">
        <w:rPr>
          <w:rFonts w:ascii="Palatino Linotype" w:hAnsi="Palatino Linotype" w:cs="Garamond"/>
          <w:color w:val="000000" w:themeColor="text1"/>
        </w:rPr>
        <w:t>the grantees</w:t>
      </w:r>
      <w:r w:rsidR="001A5855" w:rsidRPr="000571D5">
        <w:rPr>
          <w:rFonts w:ascii="Palatino Linotype" w:hAnsi="Palatino Linotype" w:cs="Garamond"/>
          <w:color w:val="000000" w:themeColor="text1"/>
        </w:rPr>
        <w:t xml:space="preserve"> shall be made at </w:t>
      </w:r>
      <w:r w:rsidR="001A5855">
        <w:rPr>
          <w:rFonts w:ascii="Palatino Linotype" w:hAnsi="Palatino Linotype" w:cs="Garamond"/>
          <w:color w:val="000000" w:themeColor="text1"/>
        </w:rPr>
        <w:t>quarterly</w:t>
      </w:r>
      <w:r w:rsidR="001A5855" w:rsidRPr="000571D5">
        <w:rPr>
          <w:rFonts w:ascii="Palatino Linotype" w:hAnsi="Palatino Linotype" w:cs="Garamond"/>
          <w:color w:val="000000" w:themeColor="text1"/>
        </w:rPr>
        <w:t xml:space="preserve"> intervals</w:t>
      </w:r>
      <w:r>
        <w:rPr>
          <w:rFonts w:ascii="Palatino Linotype" w:hAnsi="Palatino Linotype" w:cs="Garamond"/>
          <w:color w:val="000000" w:themeColor="text1"/>
        </w:rPr>
        <w:t>.  Specifically, D.11-06-038 states:</w:t>
      </w:r>
    </w:p>
    <w:p w:rsidR="001A5855" w:rsidRDefault="001A5855" w:rsidP="001A5855">
      <w:pPr>
        <w:rPr>
          <w:rFonts w:ascii="Palatino Linotype" w:hAnsi="Palatino Linotype" w:cs="Garamond"/>
          <w:color w:val="000000" w:themeColor="text1"/>
        </w:rPr>
      </w:pPr>
    </w:p>
    <w:p w:rsidR="001A5855" w:rsidRPr="0002726E" w:rsidRDefault="001A5855" w:rsidP="00AB6A5F">
      <w:pPr>
        <w:autoSpaceDE w:val="0"/>
        <w:autoSpaceDN w:val="0"/>
        <w:adjustRightInd w:val="0"/>
        <w:ind w:left="720"/>
        <w:rPr>
          <w:rFonts w:ascii="Palatino" w:hAnsi="Palatino"/>
        </w:rPr>
      </w:pPr>
      <w:r w:rsidRPr="0002726E">
        <w:rPr>
          <w:rFonts w:ascii="Palatino" w:hAnsi="Palatino"/>
        </w:rPr>
        <w:t>In order to receive a progress payment, the Consortium must first submit</w:t>
      </w:r>
    </w:p>
    <w:p w:rsidR="001A5855" w:rsidRPr="0002726E" w:rsidRDefault="001A5855" w:rsidP="00AB6A5F">
      <w:pPr>
        <w:autoSpaceDE w:val="0"/>
        <w:autoSpaceDN w:val="0"/>
        <w:adjustRightInd w:val="0"/>
        <w:ind w:left="720"/>
        <w:rPr>
          <w:rFonts w:ascii="Palatino" w:hAnsi="Palatino"/>
        </w:rPr>
      </w:pPr>
      <w:proofErr w:type="gramStart"/>
      <w:r w:rsidRPr="0002726E">
        <w:rPr>
          <w:rFonts w:ascii="Palatino" w:hAnsi="Palatino"/>
        </w:rPr>
        <w:t>the</w:t>
      </w:r>
      <w:proofErr w:type="gramEnd"/>
      <w:r w:rsidRPr="0002726E">
        <w:rPr>
          <w:rFonts w:ascii="Palatino" w:hAnsi="Palatino"/>
        </w:rPr>
        <w:t xml:space="preserve"> Quarterly Progress Report to the Communications Division, together with all</w:t>
      </w:r>
    </w:p>
    <w:p w:rsidR="001A5855" w:rsidRPr="0002726E" w:rsidRDefault="001A5855" w:rsidP="00AB6A5F">
      <w:pPr>
        <w:autoSpaceDE w:val="0"/>
        <w:autoSpaceDN w:val="0"/>
        <w:adjustRightInd w:val="0"/>
        <w:ind w:left="720"/>
        <w:rPr>
          <w:rFonts w:ascii="Palatino" w:hAnsi="Palatino"/>
        </w:rPr>
      </w:pPr>
      <w:proofErr w:type="gramStart"/>
      <w:r w:rsidRPr="0002726E">
        <w:rPr>
          <w:rFonts w:ascii="Palatino" w:hAnsi="Palatino"/>
        </w:rPr>
        <w:t>requests</w:t>
      </w:r>
      <w:proofErr w:type="gramEnd"/>
      <w:r w:rsidRPr="0002726E">
        <w:rPr>
          <w:rFonts w:ascii="Palatino" w:hAnsi="Palatino"/>
        </w:rPr>
        <w:t xml:space="preserve"> for payment and reimbursement supported by relevant invoices</w:t>
      </w:r>
    </w:p>
    <w:p w:rsidR="001A5855" w:rsidRPr="0002726E" w:rsidRDefault="001A5855" w:rsidP="00AB6A5F">
      <w:pPr>
        <w:autoSpaceDE w:val="0"/>
        <w:autoSpaceDN w:val="0"/>
        <w:adjustRightInd w:val="0"/>
        <w:ind w:left="720"/>
        <w:rPr>
          <w:rFonts w:ascii="Palatino" w:hAnsi="Palatino"/>
        </w:rPr>
      </w:pPr>
      <w:proofErr w:type="gramStart"/>
      <w:r w:rsidRPr="0002726E">
        <w:rPr>
          <w:rFonts w:ascii="Palatino" w:hAnsi="Palatino"/>
        </w:rPr>
        <w:t>receipts</w:t>
      </w:r>
      <w:proofErr w:type="gramEnd"/>
      <w:r w:rsidRPr="0002726E">
        <w:rPr>
          <w:rFonts w:ascii="Palatino" w:hAnsi="Palatino"/>
        </w:rPr>
        <w:t>, etc.</w:t>
      </w:r>
      <w:r w:rsidR="00AB6A5F" w:rsidRPr="0002726E">
        <w:rPr>
          <w:rFonts w:ascii="Palatino" w:hAnsi="Palatino"/>
        </w:rPr>
        <w:t xml:space="preserve"> … Further, the Quarterly Progress Report shall indicate the actual date of completion of each task/milestone as well as problems/issues encountered and the actions taken to resolve these problems/issues.  The Quarterly Progress Report will be submitted and certified under penalty of perjury.</w:t>
      </w:r>
      <w:r w:rsidR="00DD5C4A">
        <w:rPr>
          <w:rStyle w:val="FootnoteReference"/>
          <w:rFonts w:ascii="Palatino" w:hAnsi="Palatino"/>
        </w:rPr>
        <w:footnoteReference w:id="19"/>
      </w:r>
      <w:r w:rsidR="00DD5C4A">
        <w:rPr>
          <w:rFonts w:ascii="Palatino" w:hAnsi="Palatino"/>
        </w:rPr>
        <w:t xml:space="preserve">  </w:t>
      </w:r>
    </w:p>
    <w:p w:rsidR="004563FB" w:rsidRPr="000571D5" w:rsidRDefault="004563FB" w:rsidP="004563FB">
      <w:pPr>
        <w:tabs>
          <w:tab w:val="right" w:pos="10080"/>
        </w:tabs>
        <w:jc w:val="both"/>
        <w:rPr>
          <w:rFonts w:ascii="Palatino Linotype" w:hAnsi="Palatino Linotype"/>
          <w:color w:val="000000" w:themeColor="text1"/>
        </w:rPr>
      </w:pPr>
    </w:p>
    <w:p w:rsidR="00EC6374" w:rsidRDefault="00C01D19" w:rsidP="00066990">
      <w:pPr>
        <w:autoSpaceDE w:val="0"/>
        <w:autoSpaceDN w:val="0"/>
        <w:adjustRightInd w:val="0"/>
        <w:rPr>
          <w:rFonts w:ascii="Palatino Linotype" w:hAnsi="Palatino Linotype" w:cs="Garamond"/>
          <w:color w:val="000000" w:themeColor="text1"/>
        </w:rPr>
      </w:pPr>
      <w:r w:rsidRPr="00925B71">
        <w:rPr>
          <w:rFonts w:ascii="Palatino Linotype" w:hAnsi="Palatino Linotype" w:cs="Garamond"/>
          <w:color w:val="000000" w:themeColor="text1"/>
        </w:rPr>
        <w:t xml:space="preserve">Furthermore, documentation should substantiate the consortium’s progress in following its proposed Action Plan, Work Plan, with the approved budget.  </w:t>
      </w:r>
      <w:r w:rsidR="00C302C8" w:rsidRPr="00925B71">
        <w:rPr>
          <w:rFonts w:ascii="Palatino Linotype" w:hAnsi="Palatino Linotype" w:cs="Garamond"/>
          <w:color w:val="000000" w:themeColor="text1"/>
        </w:rPr>
        <w:t>Billing should only be for activities related to broadband deployment, access</w:t>
      </w:r>
      <w:r w:rsidR="00182A6C">
        <w:rPr>
          <w:rFonts w:ascii="Palatino Linotype" w:hAnsi="Palatino Linotype" w:cs="Garamond"/>
          <w:color w:val="000000" w:themeColor="text1"/>
        </w:rPr>
        <w:t>,</w:t>
      </w:r>
      <w:r w:rsidR="00C302C8" w:rsidRPr="00925B71">
        <w:rPr>
          <w:rFonts w:ascii="Palatino Linotype" w:hAnsi="Palatino Linotype" w:cs="Garamond"/>
          <w:color w:val="000000" w:themeColor="text1"/>
        </w:rPr>
        <w:t xml:space="preserve"> and adoption</w:t>
      </w:r>
      <w:r w:rsidR="00C302C8" w:rsidRPr="005D18C9">
        <w:rPr>
          <w:rFonts w:ascii="Palatino Linotype" w:hAnsi="Palatino Linotype" w:cs="Garamond"/>
          <w:color w:val="000000" w:themeColor="text1"/>
        </w:rPr>
        <w:t xml:space="preserve">. </w:t>
      </w:r>
    </w:p>
    <w:p w:rsidR="00846D53" w:rsidRPr="00B8240F" w:rsidRDefault="00066990" w:rsidP="00066990">
      <w:pPr>
        <w:tabs>
          <w:tab w:val="left" w:pos="720"/>
        </w:tabs>
        <w:rPr>
          <w:rFonts w:ascii="Palatino Linotype" w:hAnsi="Palatino Linotype" w:cs="Garamond"/>
          <w:color w:val="000000" w:themeColor="text1"/>
        </w:rPr>
      </w:pPr>
      <w:r>
        <w:rPr>
          <w:rFonts w:ascii="Palatino" w:hAnsi="Palatino"/>
        </w:rPr>
        <w:t xml:space="preserve"> </w:t>
      </w:r>
    </w:p>
    <w:p w:rsidR="004563FB" w:rsidRPr="007E1E95" w:rsidRDefault="004563FB" w:rsidP="004563FB">
      <w:pPr>
        <w:pStyle w:val="ListParagraph"/>
        <w:numPr>
          <w:ilvl w:val="0"/>
          <w:numId w:val="14"/>
        </w:numPr>
        <w:ind w:left="1440" w:right="-18" w:hanging="720"/>
        <w:rPr>
          <w:rFonts w:ascii="Palatino Linotype" w:hAnsi="Palatino Linotype" w:cs="Garamond"/>
          <w:color w:val="000000" w:themeColor="text1"/>
          <w:u w:val="single"/>
        </w:rPr>
      </w:pPr>
      <w:r w:rsidRPr="007E1E95">
        <w:rPr>
          <w:rFonts w:ascii="Palatino Linotype" w:hAnsi="Palatino Linotype" w:cs="Garamond"/>
          <w:color w:val="000000" w:themeColor="text1"/>
          <w:u w:val="single"/>
        </w:rPr>
        <w:t>Project Audit</w:t>
      </w:r>
    </w:p>
    <w:p w:rsidR="00846D53" w:rsidRPr="00B8240F" w:rsidRDefault="00846D53" w:rsidP="00846D53">
      <w:pPr>
        <w:ind w:right="-18"/>
        <w:rPr>
          <w:rFonts w:ascii="Palatino Linotype" w:hAnsi="Palatino Linotype" w:cs="Garamond"/>
          <w:color w:val="000000" w:themeColor="text1"/>
        </w:rPr>
      </w:pPr>
    </w:p>
    <w:p w:rsidR="00846D53" w:rsidRDefault="00E532A0" w:rsidP="00846D53">
      <w:pPr>
        <w:ind w:right="-18"/>
        <w:rPr>
          <w:rFonts w:ascii="Palatino Linotype" w:hAnsi="Palatino Linotype" w:cs="Garamond"/>
          <w:color w:val="000000" w:themeColor="text1"/>
        </w:rPr>
      </w:pPr>
      <w:r w:rsidRPr="00B8240F">
        <w:rPr>
          <w:rFonts w:ascii="Palatino Linotype" w:hAnsi="Palatino Linotype" w:cs="Garamond"/>
          <w:color w:val="000000" w:themeColor="text1"/>
        </w:rPr>
        <w:t>The Commission</w:t>
      </w:r>
      <w:r w:rsidR="00653AB5">
        <w:rPr>
          <w:rFonts w:ascii="Palatino Linotype" w:hAnsi="Palatino Linotype" w:cs="Garamond"/>
          <w:color w:val="000000" w:themeColor="text1"/>
        </w:rPr>
        <w:t>’s Communications Division</w:t>
      </w:r>
      <w:r w:rsidRPr="00B8240F">
        <w:rPr>
          <w:rFonts w:ascii="Palatino Linotype" w:hAnsi="Palatino Linotype" w:cs="Garamond"/>
          <w:color w:val="000000" w:themeColor="text1"/>
        </w:rPr>
        <w:t xml:space="preserve"> has </w:t>
      </w:r>
      <w:r w:rsidR="00182A6C">
        <w:rPr>
          <w:rFonts w:ascii="Palatino Linotype" w:hAnsi="Palatino Linotype" w:cs="Garamond"/>
          <w:color w:val="000000" w:themeColor="text1"/>
        </w:rPr>
        <w:t>delegated</w:t>
      </w:r>
      <w:r w:rsidR="00182A6C" w:rsidRPr="00B8240F">
        <w:rPr>
          <w:rFonts w:ascii="Palatino Linotype" w:hAnsi="Palatino Linotype" w:cs="Garamond"/>
          <w:color w:val="000000" w:themeColor="text1"/>
        </w:rPr>
        <w:t xml:space="preserve"> </w:t>
      </w:r>
      <w:r w:rsidR="00653AB5">
        <w:rPr>
          <w:rFonts w:ascii="Palatino Linotype" w:hAnsi="Palatino Linotype" w:cs="Garamond"/>
          <w:color w:val="000000" w:themeColor="text1"/>
        </w:rPr>
        <w:t>authority</w:t>
      </w:r>
      <w:r w:rsidRPr="00B8240F">
        <w:rPr>
          <w:rFonts w:ascii="Palatino Linotype" w:hAnsi="Palatino Linotype" w:cs="Garamond"/>
          <w:color w:val="000000" w:themeColor="text1"/>
        </w:rPr>
        <w:t xml:space="preserve"> to </w:t>
      </w:r>
      <w:r w:rsidR="00653AB5">
        <w:rPr>
          <w:rFonts w:ascii="Palatino Linotype" w:hAnsi="Palatino Linotype" w:cs="Garamond"/>
          <w:color w:val="000000" w:themeColor="text1"/>
        </w:rPr>
        <w:t>initiate</w:t>
      </w:r>
      <w:r w:rsidRPr="00B8240F">
        <w:rPr>
          <w:rFonts w:ascii="Palatino Linotype" w:hAnsi="Palatino Linotype" w:cs="Garamond"/>
          <w:color w:val="000000" w:themeColor="text1"/>
        </w:rPr>
        <w:t xml:space="preserve"> any necessary audit, verification, and discovery</w:t>
      </w:r>
      <w:r w:rsidR="00653AB5">
        <w:rPr>
          <w:rFonts w:ascii="Palatino Linotype" w:hAnsi="Palatino Linotype" w:cs="Garamond"/>
          <w:color w:val="000000" w:themeColor="text1"/>
        </w:rPr>
        <w:t xml:space="preserve"> of consortium members relating to grant funding activities</w:t>
      </w:r>
      <w:r w:rsidRPr="00B8240F">
        <w:rPr>
          <w:rFonts w:ascii="Palatino Linotype" w:hAnsi="Palatino Linotype" w:cs="Garamond"/>
          <w:color w:val="000000" w:themeColor="text1"/>
        </w:rPr>
        <w:t xml:space="preserve"> to ensure that CASF funds are spent in accordance with Commission a</w:t>
      </w:r>
      <w:r w:rsidR="00653AB5">
        <w:rPr>
          <w:rFonts w:ascii="Palatino Linotype" w:hAnsi="Palatino Linotype" w:cs="Garamond"/>
          <w:color w:val="000000" w:themeColor="text1"/>
        </w:rPr>
        <w:t>dopted rules and standards</w:t>
      </w:r>
      <w:r w:rsidRPr="00B8240F">
        <w:rPr>
          <w:rFonts w:ascii="Palatino Linotype" w:hAnsi="Palatino Linotype" w:cs="Garamond"/>
          <w:color w:val="000000" w:themeColor="text1"/>
        </w:rPr>
        <w:t>.</w:t>
      </w:r>
      <w:r w:rsidRPr="00B8240F">
        <w:rPr>
          <w:rStyle w:val="FootnoteReference"/>
          <w:rFonts w:ascii="Palatino Linotype" w:hAnsi="Palatino Linotype" w:cs="Garamond"/>
          <w:color w:val="000000" w:themeColor="text1"/>
        </w:rPr>
        <w:footnoteReference w:id="20"/>
      </w:r>
    </w:p>
    <w:p w:rsidR="00A70028" w:rsidRPr="00B8240F" w:rsidRDefault="00A70028" w:rsidP="00846D53">
      <w:pPr>
        <w:ind w:right="-18"/>
        <w:rPr>
          <w:rFonts w:ascii="Palatino Linotype" w:hAnsi="Palatino Linotype" w:cs="Garamond"/>
          <w:color w:val="000000" w:themeColor="text1"/>
        </w:rPr>
      </w:pPr>
    </w:p>
    <w:p w:rsidR="00846D53" w:rsidRPr="000571D5" w:rsidRDefault="00BE2B00" w:rsidP="00846D53">
      <w:pPr>
        <w:ind w:right="-18"/>
        <w:rPr>
          <w:rFonts w:ascii="Palatino Linotype" w:hAnsi="Palatino Linotype" w:cs="Garamond"/>
          <w:color w:val="000000" w:themeColor="text1"/>
        </w:rPr>
      </w:pPr>
      <w:r>
        <w:rPr>
          <w:rFonts w:ascii="Palatino Linotype" w:hAnsi="Palatino Linotype" w:cs="Garamond"/>
          <w:color w:val="000000" w:themeColor="text1"/>
        </w:rPr>
        <w:t>Grant recipient</w:t>
      </w:r>
      <w:r w:rsidR="00E532A0" w:rsidRPr="000571D5">
        <w:rPr>
          <w:rFonts w:ascii="Palatino Linotype" w:hAnsi="Palatino Linotype" w:cs="Garamond"/>
          <w:color w:val="000000" w:themeColor="text1"/>
        </w:rPr>
        <w:t xml:space="preserve"> invoices</w:t>
      </w:r>
      <w:r>
        <w:rPr>
          <w:rFonts w:ascii="Palatino Linotype" w:hAnsi="Palatino Linotype" w:cs="Garamond"/>
          <w:color w:val="000000" w:themeColor="text1"/>
        </w:rPr>
        <w:t xml:space="preserve"> and other relevant </w:t>
      </w:r>
      <w:r w:rsidRPr="00FF24F6">
        <w:rPr>
          <w:rFonts w:ascii="Palatino Linotype" w:hAnsi="Palatino Linotype" w:cs="Garamond"/>
          <w:color w:val="000000" w:themeColor="text1"/>
        </w:rPr>
        <w:t>records</w:t>
      </w:r>
      <w:r w:rsidR="00E532A0" w:rsidRPr="00FF24F6">
        <w:rPr>
          <w:rFonts w:ascii="Palatino Linotype" w:hAnsi="Palatino Linotype" w:cs="Garamond"/>
          <w:color w:val="000000" w:themeColor="text1"/>
        </w:rPr>
        <w:t xml:space="preserve"> will be subject to a financial audit by the Commission at any time within three ye</w:t>
      </w:r>
      <w:r w:rsidR="00A56BB7" w:rsidRPr="00BC611F">
        <w:rPr>
          <w:rFonts w:ascii="Palatino Linotype" w:hAnsi="Palatino Linotype" w:cs="Garamond"/>
          <w:color w:val="000000" w:themeColor="text1"/>
        </w:rPr>
        <w:t>ars of completion of the grant funding</w:t>
      </w:r>
      <w:r w:rsidR="00E532A0" w:rsidRPr="00FF24F6">
        <w:rPr>
          <w:rFonts w:ascii="Palatino Linotype" w:hAnsi="Palatino Linotype" w:cs="Garamond"/>
          <w:color w:val="000000" w:themeColor="text1"/>
        </w:rPr>
        <w:t>.</w:t>
      </w:r>
      <w:r w:rsidR="00653AB5">
        <w:rPr>
          <w:rFonts w:ascii="Palatino Linotype" w:hAnsi="Palatino Linotype" w:cs="Garamond"/>
          <w:color w:val="000000" w:themeColor="text1"/>
        </w:rPr>
        <w:t xml:space="preserve"> </w:t>
      </w:r>
    </w:p>
    <w:p w:rsidR="00846D53" w:rsidRDefault="00846D53" w:rsidP="00846D53">
      <w:pPr>
        <w:ind w:right="-18"/>
        <w:rPr>
          <w:rFonts w:ascii="Palatino Linotype" w:hAnsi="Palatino Linotype" w:cs="Garamond"/>
          <w:color w:val="000000" w:themeColor="text1"/>
        </w:rPr>
      </w:pPr>
    </w:p>
    <w:p w:rsidR="00AE52B0" w:rsidRDefault="00AE52B0" w:rsidP="00392447">
      <w:pPr>
        <w:pStyle w:val="NormalWeb"/>
        <w:spacing w:before="0"/>
        <w:ind w:left="720"/>
        <w:rPr>
          <w:rFonts w:ascii="Palatino Linotype" w:hAnsi="Palatino Linotype"/>
        </w:rPr>
      </w:pPr>
    </w:p>
    <w:p w:rsidR="00AE52B0" w:rsidRDefault="00AE52B0" w:rsidP="00392447">
      <w:pPr>
        <w:pStyle w:val="NormalWeb"/>
        <w:spacing w:before="0"/>
        <w:ind w:left="720"/>
        <w:rPr>
          <w:rFonts w:ascii="Palatino Linotype" w:hAnsi="Palatino Linotype"/>
        </w:rPr>
      </w:pPr>
    </w:p>
    <w:p w:rsidR="00951862" w:rsidRDefault="004563FB" w:rsidP="00392447">
      <w:pPr>
        <w:pStyle w:val="NormalWeb"/>
        <w:spacing w:before="0"/>
        <w:ind w:left="720"/>
        <w:rPr>
          <w:rFonts w:ascii="Palatino Linotype" w:hAnsi="Palatino Linotype"/>
        </w:rPr>
      </w:pPr>
      <w:r w:rsidRPr="007E1E95">
        <w:rPr>
          <w:rFonts w:ascii="Palatino Linotype" w:hAnsi="Palatino Linotype"/>
        </w:rPr>
        <w:lastRenderedPageBreak/>
        <w:t>G.</w:t>
      </w:r>
      <w:r w:rsidRPr="007E1E95">
        <w:rPr>
          <w:rFonts w:ascii="Palatino Linotype" w:hAnsi="Palatino Linotype"/>
        </w:rPr>
        <w:tab/>
      </w:r>
      <w:r w:rsidRPr="007E1E95">
        <w:rPr>
          <w:rFonts w:ascii="Palatino Linotype" w:hAnsi="Palatino Linotype"/>
          <w:u w:val="single"/>
        </w:rPr>
        <w:t>Lobbying and Advocacy Efforts</w:t>
      </w:r>
    </w:p>
    <w:p w:rsidR="00345EB1" w:rsidRDefault="00345EB1" w:rsidP="00846D53">
      <w:pPr>
        <w:ind w:right="-18"/>
        <w:rPr>
          <w:rFonts w:ascii="Palatino Linotype" w:hAnsi="Palatino Linotype"/>
          <w:color w:val="000000" w:themeColor="text1"/>
        </w:rPr>
      </w:pPr>
      <w:r w:rsidRPr="005B782B">
        <w:rPr>
          <w:rFonts w:ascii="Palatino Linotype" w:hAnsi="Palatino Linotype"/>
          <w:color w:val="000000" w:themeColor="text1"/>
        </w:rPr>
        <w:t>Consortia members are free to advocate on any legislation of their choosing</w:t>
      </w:r>
      <w:r w:rsidR="00182A6C">
        <w:rPr>
          <w:rFonts w:ascii="Palatino Linotype" w:hAnsi="Palatino Linotype"/>
          <w:color w:val="000000" w:themeColor="text1"/>
        </w:rPr>
        <w:t>.  H</w:t>
      </w:r>
      <w:r w:rsidR="00880614">
        <w:rPr>
          <w:rFonts w:ascii="Palatino Linotype" w:hAnsi="Palatino Linotype"/>
          <w:color w:val="000000" w:themeColor="text1"/>
        </w:rPr>
        <w:t xml:space="preserve">owever, </w:t>
      </w:r>
      <w:r w:rsidRPr="005B782B">
        <w:rPr>
          <w:rFonts w:ascii="Palatino Linotype" w:hAnsi="Palatino Linotype"/>
          <w:color w:val="000000" w:themeColor="text1"/>
        </w:rPr>
        <w:t>no work on proposed state legislation, including meetings, travel, or lobbying may be billed</w:t>
      </w:r>
      <w:r>
        <w:rPr>
          <w:rFonts w:ascii="Palatino Linotype" w:hAnsi="Palatino Linotype"/>
          <w:color w:val="000000" w:themeColor="text1"/>
        </w:rPr>
        <w:t xml:space="preserve"> to</w:t>
      </w:r>
      <w:r w:rsidR="008420AA">
        <w:rPr>
          <w:rFonts w:ascii="Palatino Linotype" w:hAnsi="Palatino Linotype"/>
          <w:color w:val="000000" w:themeColor="text1"/>
        </w:rPr>
        <w:t xml:space="preserve"> or reimbursed by</w:t>
      </w:r>
      <w:r w:rsidRPr="005B782B">
        <w:rPr>
          <w:rFonts w:ascii="Palatino Linotype" w:hAnsi="Palatino Linotype"/>
          <w:color w:val="000000" w:themeColor="text1"/>
        </w:rPr>
        <w:t xml:space="preserve"> the </w:t>
      </w:r>
      <w:r w:rsidR="008420AA">
        <w:rPr>
          <w:rFonts w:ascii="Palatino Linotype" w:hAnsi="Palatino Linotype"/>
          <w:color w:val="000000" w:themeColor="text1"/>
        </w:rPr>
        <w:t xml:space="preserve">CASF </w:t>
      </w:r>
      <w:r w:rsidRPr="005B782B">
        <w:rPr>
          <w:rFonts w:ascii="Palatino Linotype" w:hAnsi="Palatino Linotype"/>
          <w:color w:val="000000" w:themeColor="text1"/>
        </w:rPr>
        <w:t xml:space="preserve">Consortia Grant program.  </w:t>
      </w:r>
    </w:p>
    <w:p w:rsidR="00A70028" w:rsidRPr="000571D5" w:rsidRDefault="00A70028" w:rsidP="00846D53">
      <w:pPr>
        <w:ind w:right="-18"/>
        <w:rPr>
          <w:rFonts w:ascii="Palatino Linotype" w:hAnsi="Palatino Linotype" w:cs="Garamond"/>
          <w:color w:val="000000" w:themeColor="text1"/>
        </w:rPr>
      </w:pPr>
    </w:p>
    <w:p w:rsidR="00951862" w:rsidRDefault="004563FB" w:rsidP="00392447">
      <w:pPr>
        <w:pStyle w:val="NormalWeb"/>
        <w:spacing w:before="0" w:after="0"/>
        <w:ind w:left="720"/>
        <w:rPr>
          <w:rFonts w:ascii="Palatino Linotype" w:hAnsi="Palatino Linotype" w:cs="Garamond"/>
          <w:color w:val="000000" w:themeColor="text1"/>
        </w:rPr>
      </w:pPr>
      <w:r>
        <w:rPr>
          <w:rFonts w:ascii="Palatino Linotype" w:hAnsi="Palatino Linotype"/>
        </w:rPr>
        <w:t>H</w:t>
      </w:r>
      <w:r w:rsidRPr="00850518">
        <w:rPr>
          <w:rFonts w:ascii="Palatino Linotype" w:hAnsi="Palatino Linotype"/>
        </w:rPr>
        <w:t>.</w:t>
      </w:r>
      <w:r w:rsidRPr="00850518">
        <w:rPr>
          <w:rFonts w:ascii="Palatino Linotype" w:hAnsi="Palatino Linotype"/>
        </w:rPr>
        <w:tab/>
      </w:r>
      <w:r>
        <w:rPr>
          <w:rFonts w:ascii="Palatino Linotype" w:hAnsi="Palatino Linotype"/>
          <w:u w:val="single"/>
        </w:rPr>
        <w:t>Reporting</w:t>
      </w:r>
    </w:p>
    <w:p w:rsidR="00951862" w:rsidRDefault="00951862">
      <w:pPr>
        <w:ind w:right="-18"/>
        <w:rPr>
          <w:rFonts w:ascii="Palatino Linotype" w:hAnsi="Palatino Linotype" w:cs="Garamond"/>
          <w:color w:val="000000" w:themeColor="text1"/>
        </w:rPr>
      </w:pPr>
    </w:p>
    <w:p w:rsidR="00D44B39" w:rsidRDefault="00D44B39" w:rsidP="00D44B39">
      <w:pPr>
        <w:pStyle w:val="Default"/>
        <w:rPr>
          <w:rFonts w:ascii="Palatino Linotype" w:hAnsi="Palatino Linotype" w:cs="Palatino Linotype"/>
        </w:rPr>
      </w:pPr>
      <w:r>
        <w:rPr>
          <w:rFonts w:ascii="Palatino Linotype" w:hAnsi="Palatino Linotype" w:cs="Palatino Linotype"/>
        </w:rPr>
        <w:t>All g</w:t>
      </w:r>
      <w:r w:rsidRPr="0070228F">
        <w:rPr>
          <w:rFonts w:ascii="Palatino Linotype" w:hAnsi="Palatino Linotype" w:cs="Palatino Linotype"/>
        </w:rPr>
        <w:t xml:space="preserve">rantees must submit quarterly progress reports on the status of the project irrespective of whether grantees request </w:t>
      </w:r>
      <w:r w:rsidRPr="00DD5C4A">
        <w:rPr>
          <w:rFonts w:ascii="Palatino Linotype" w:hAnsi="Palatino Linotype" w:cs="Palatino Linotype"/>
        </w:rPr>
        <w:t>reimbursement or payment.</w:t>
      </w:r>
      <w:r w:rsidR="00880614" w:rsidRPr="00DD5C4A">
        <w:rPr>
          <w:rStyle w:val="FootnoteReference"/>
          <w:rFonts w:ascii="Palatino Linotype" w:hAnsi="Palatino Linotype" w:cs="Palatino Linotype"/>
        </w:rPr>
        <w:footnoteReference w:id="21"/>
      </w:r>
      <w:r w:rsidRPr="00DD5C4A">
        <w:rPr>
          <w:rFonts w:ascii="Palatino Linotype" w:hAnsi="Palatino Linotype" w:cs="Palatino Linotype"/>
        </w:rPr>
        <w:t xml:space="preserve">  Quarterly progress reports </w:t>
      </w:r>
      <w:r w:rsidR="00182A6C" w:rsidRPr="00DD5C4A">
        <w:rPr>
          <w:rFonts w:ascii="Palatino Linotype" w:hAnsi="Palatino Linotype" w:cs="Palatino Linotype"/>
        </w:rPr>
        <w:t>must begin the first quarter</w:t>
      </w:r>
      <w:r w:rsidRPr="00DD5C4A">
        <w:rPr>
          <w:rFonts w:ascii="Palatino Linotype" w:hAnsi="Palatino Linotype" w:cs="Palatino Linotype"/>
        </w:rPr>
        <w:t xml:space="preserve"> </w:t>
      </w:r>
      <w:r w:rsidR="002A67C0" w:rsidRPr="00DD5C4A">
        <w:rPr>
          <w:rFonts w:ascii="Palatino Linotype" w:hAnsi="Palatino Linotype" w:cs="Palatino Linotype"/>
        </w:rPr>
        <w:t>after the Commission approval of the grant proposal.</w:t>
      </w:r>
      <w:r w:rsidR="007243D5" w:rsidRPr="00DD5C4A">
        <w:rPr>
          <w:rFonts w:ascii="Palatino Linotype" w:hAnsi="Palatino Linotype" w:cs="Palatino Linotype"/>
        </w:rPr>
        <w:t xml:space="preserve"> </w:t>
      </w:r>
      <w:r w:rsidR="004307A9" w:rsidRPr="00DD5C4A">
        <w:rPr>
          <w:rFonts w:ascii="Palatino Linotype" w:hAnsi="Palatino Linotype" w:cs="Palatino Linotype"/>
        </w:rPr>
        <w:t xml:space="preserve"> Quarterly reports are</w:t>
      </w:r>
      <w:r w:rsidR="007243D5" w:rsidRPr="00DD5C4A">
        <w:rPr>
          <w:rFonts w:ascii="Palatino Linotype" w:hAnsi="Palatino Linotype" w:cs="Palatino Linotype"/>
        </w:rPr>
        <w:t xml:space="preserve"> due December</w:t>
      </w:r>
      <w:r w:rsidR="007243D5">
        <w:rPr>
          <w:rFonts w:ascii="Palatino Linotype" w:hAnsi="Palatino Linotype" w:cs="Palatino Linotype"/>
        </w:rPr>
        <w:t xml:space="preserve"> 1, 2016, March 1, 2017, June 1, 2017, and so on for the remainder of the grant period</w:t>
      </w:r>
      <w:r w:rsidR="004307A9">
        <w:rPr>
          <w:rFonts w:ascii="Palatino Linotype" w:hAnsi="Palatino Linotype" w:cs="Palatino Linotype"/>
        </w:rPr>
        <w:t>, irrespective of payment requests</w:t>
      </w:r>
      <w:r w:rsidR="00E5483C">
        <w:rPr>
          <w:rFonts w:ascii="Palatino Linotype" w:hAnsi="Palatino Linotype" w:cs="Palatino Linotype"/>
        </w:rPr>
        <w:t>.</w:t>
      </w:r>
    </w:p>
    <w:p w:rsidR="004F6D86" w:rsidRDefault="004F6D86" w:rsidP="00D44B39">
      <w:pPr>
        <w:pStyle w:val="Default"/>
        <w:rPr>
          <w:rFonts w:ascii="Palatino Linotype" w:hAnsi="Palatino Linotype" w:cs="Palatino Linotype"/>
        </w:rPr>
      </w:pPr>
    </w:p>
    <w:p w:rsidR="004F6D86" w:rsidRDefault="00E95EB4" w:rsidP="00846D53">
      <w:pPr>
        <w:tabs>
          <w:tab w:val="right" w:pos="180"/>
        </w:tabs>
        <w:jc w:val="both"/>
        <w:rPr>
          <w:rFonts w:ascii="Palatino Linotype" w:hAnsi="Palatino Linotype"/>
          <w:b/>
          <w:color w:val="000000" w:themeColor="text1"/>
        </w:rPr>
      </w:pPr>
      <w:r>
        <w:rPr>
          <w:rFonts w:ascii="Palatino Linotype" w:hAnsi="Palatino Linotype"/>
          <w:b/>
          <w:color w:val="000000" w:themeColor="text1"/>
        </w:rPr>
        <w:t>VII.</w:t>
      </w:r>
      <w:r>
        <w:rPr>
          <w:rFonts w:ascii="Palatino Linotype" w:hAnsi="Palatino Linotype"/>
          <w:b/>
          <w:color w:val="000000" w:themeColor="text1"/>
        </w:rPr>
        <w:tab/>
      </w:r>
      <w:r w:rsidR="004F6D86">
        <w:rPr>
          <w:rFonts w:ascii="Palatino Linotype" w:hAnsi="Palatino Linotype"/>
          <w:b/>
          <w:color w:val="000000" w:themeColor="text1"/>
        </w:rPr>
        <w:t>SAFETY IMPACT</w:t>
      </w:r>
    </w:p>
    <w:p w:rsidR="004F6D86" w:rsidRDefault="004F6D86" w:rsidP="00846D53">
      <w:pPr>
        <w:tabs>
          <w:tab w:val="right" w:pos="180"/>
        </w:tabs>
        <w:jc w:val="both"/>
        <w:rPr>
          <w:rFonts w:ascii="Palatino Linotype" w:hAnsi="Palatino Linotype"/>
          <w:b/>
          <w:color w:val="000000" w:themeColor="text1"/>
        </w:rPr>
      </w:pPr>
    </w:p>
    <w:p w:rsidR="004F6D86" w:rsidRPr="00086D23" w:rsidRDefault="004F6D86" w:rsidP="004F6D86">
      <w:pPr>
        <w:rPr>
          <w:rFonts w:ascii="Palatino Linotype" w:hAnsi="Palatino Linotype"/>
          <w:color w:val="000000" w:themeColor="text1"/>
        </w:rPr>
      </w:pPr>
      <w:r>
        <w:rPr>
          <w:rFonts w:ascii="Palatino Linotype" w:hAnsi="Palatino Linotype"/>
          <w:color w:val="000000" w:themeColor="text1"/>
        </w:rPr>
        <w:t xml:space="preserve">By furthering broadband deployment, access and adoption, these projects are expected to enhance public safety in the Central Coast, East Bay, and Tahoe Basin in the event of </w:t>
      </w:r>
      <w:r w:rsidRPr="001C265B">
        <w:rPr>
          <w:rFonts w:ascii="Palatino Linotype" w:hAnsi="Palatino Linotype"/>
          <w:color w:val="000000" w:themeColor="text1"/>
        </w:rPr>
        <w:t xml:space="preserve">fire, flooding, and earthquakes. </w:t>
      </w:r>
    </w:p>
    <w:p w:rsidR="004F6D86" w:rsidRDefault="004F6D86" w:rsidP="00846D53">
      <w:pPr>
        <w:tabs>
          <w:tab w:val="right" w:pos="180"/>
        </w:tabs>
        <w:jc w:val="both"/>
        <w:rPr>
          <w:rFonts w:ascii="Palatino Linotype" w:hAnsi="Palatino Linotype"/>
          <w:b/>
          <w:color w:val="000000" w:themeColor="text1"/>
        </w:rPr>
      </w:pPr>
    </w:p>
    <w:p w:rsidR="004F6D86" w:rsidRDefault="004F6D86" w:rsidP="00846D53">
      <w:pPr>
        <w:tabs>
          <w:tab w:val="right" w:pos="180"/>
        </w:tabs>
        <w:jc w:val="both"/>
        <w:rPr>
          <w:rFonts w:ascii="Palatino Linotype" w:hAnsi="Palatino Linotype"/>
          <w:b/>
          <w:color w:val="000000" w:themeColor="text1"/>
        </w:rPr>
      </w:pPr>
      <w:r>
        <w:rPr>
          <w:rFonts w:ascii="Palatino Linotype" w:hAnsi="Palatino Linotype"/>
          <w:b/>
          <w:color w:val="000000" w:themeColor="text1"/>
        </w:rPr>
        <w:t>VIII.</w:t>
      </w:r>
      <w:r>
        <w:rPr>
          <w:rFonts w:ascii="Palatino Linotype" w:hAnsi="Palatino Linotype"/>
          <w:b/>
          <w:color w:val="000000" w:themeColor="text1"/>
        </w:rPr>
        <w:tab/>
      </w:r>
      <w:r w:rsidR="00E532A0" w:rsidRPr="000571D5">
        <w:rPr>
          <w:rFonts w:ascii="Palatino Linotype" w:hAnsi="Palatino Linotype"/>
          <w:b/>
          <w:color w:val="000000" w:themeColor="text1"/>
        </w:rPr>
        <w:t>COMMENTS</w:t>
      </w:r>
    </w:p>
    <w:p w:rsidR="00846D53" w:rsidRPr="000571D5" w:rsidRDefault="00846D53" w:rsidP="00FA66D1">
      <w:pPr>
        <w:tabs>
          <w:tab w:val="right" w:pos="180"/>
        </w:tabs>
        <w:jc w:val="both"/>
        <w:rPr>
          <w:rFonts w:ascii="Palatino Linotype" w:hAnsi="Palatino Linotype"/>
          <w:color w:val="000000" w:themeColor="text1"/>
          <w:highlight w:val="yellow"/>
        </w:rPr>
      </w:pPr>
    </w:p>
    <w:p w:rsidR="00846D53" w:rsidRPr="000571D5" w:rsidRDefault="00E532A0" w:rsidP="00846D53">
      <w:pPr>
        <w:tabs>
          <w:tab w:val="right" w:pos="10080"/>
        </w:tabs>
        <w:rPr>
          <w:rFonts w:ascii="Palatino Linotype" w:hAnsi="Palatino Linotype"/>
          <w:color w:val="000000" w:themeColor="text1"/>
        </w:rPr>
      </w:pPr>
      <w:r w:rsidRPr="000571D5">
        <w:rPr>
          <w:rFonts w:ascii="Palatino Linotype" w:hAnsi="Palatino Linotype"/>
          <w:color w:val="000000" w:themeColor="text1"/>
        </w:rPr>
        <w:t xml:space="preserve">In compliance with </w:t>
      </w:r>
      <w:r w:rsidR="00E95EB4">
        <w:rPr>
          <w:rFonts w:ascii="Palatino Linotype" w:hAnsi="Palatino Linotype"/>
          <w:color w:val="000000" w:themeColor="text1"/>
        </w:rPr>
        <w:t>P.U.</w:t>
      </w:r>
      <w:r w:rsidRPr="000571D5">
        <w:rPr>
          <w:rFonts w:ascii="Palatino Linotype" w:hAnsi="Palatino Linotype"/>
          <w:color w:val="000000" w:themeColor="text1"/>
        </w:rPr>
        <w:t xml:space="preserve"> Code </w:t>
      </w:r>
      <w:r w:rsidR="00E95EB4">
        <w:rPr>
          <w:rFonts w:ascii="Palatino Linotype" w:hAnsi="Palatino Linotype"/>
          <w:color w:val="000000" w:themeColor="text1"/>
        </w:rPr>
        <w:t>S</w:t>
      </w:r>
      <w:r w:rsidRPr="000571D5">
        <w:rPr>
          <w:rFonts w:ascii="Palatino Linotype" w:hAnsi="Palatino Linotype"/>
          <w:color w:val="000000" w:themeColor="text1"/>
        </w:rPr>
        <w:t>ection 311(g)(1), a Notice of Avail</w:t>
      </w:r>
      <w:r w:rsidR="00A56BB7">
        <w:rPr>
          <w:rFonts w:ascii="Palatino Linotype" w:hAnsi="Palatino Linotype"/>
          <w:color w:val="000000" w:themeColor="text1"/>
        </w:rPr>
        <w:t xml:space="preserve">ability was e-mailed on </w:t>
      </w:r>
      <w:r w:rsidR="00F8631C">
        <w:rPr>
          <w:rFonts w:ascii="Palatino Linotype" w:hAnsi="Palatino Linotype"/>
          <w:color w:val="000000" w:themeColor="text1"/>
        </w:rPr>
        <w:t>July 19, 2016</w:t>
      </w:r>
      <w:r w:rsidRPr="000571D5">
        <w:rPr>
          <w:rFonts w:ascii="Palatino Linotype" w:hAnsi="Palatino Linotype"/>
          <w:color w:val="000000" w:themeColor="text1"/>
        </w:rPr>
        <w:t xml:space="preserve">, informing all parties on the CASF Distribution List of the availability of the draft of this </w:t>
      </w:r>
      <w:r w:rsidR="00E95EB4">
        <w:rPr>
          <w:rFonts w:ascii="Palatino Linotype" w:hAnsi="Palatino Linotype"/>
          <w:color w:val="000000" w:themeColor="text1"/>
        </w:rPr>
        <w:t>R</w:t>
      </w:r>
      <w:r w:rsidRPr="000571D5">
        <w:rPr>
          <w:rFonts w:ascii="Palatino Linotype" w:hAnsi="Palatino Linotype"/>
          <w:color w:val="000000" w:themeColor="text1"/>
        </w:rPr>
        <w:t xml:space="preserve">esolution for public comments at the Commission’s website at </w:t>
      </w:r>
      <w:hyperlink r:id="rId10" w:history="1">
        <w:r w:rsidRPr="000571D5">
          <w:rPr>
            <w:rStyle w:val="Hyperlink"/>
            <w:rFonts w:ascii="Palatino Linotype" w:hAnsi="Palatino Linotype"/>
            <w:color w:val="000000" w:themeColor="text1"/>
          </w:rPr>
          <w:t>http://www.cpuc.ca.gov/</w:t>
        </w:r>
      </w:hyperlink>
      <w:r w:rsidRPr="000571D5">
        <w:rPr>
          <w:rFonts w:ascii="Palatino Linotype" w:hAnsi="Palatino Linotype"/>
          <w:color w:val="000000" w:themeColor="text1"/>
        </w:rPr>
        <w:t xml:space="preserve"> and is available for public comment.  This letter also </w:t>
      </w:r>
      <w:r w:rsidR="00742F41">
        <w:rPr>
          <w:rFonts w:ascii="Palatino Linotype" w:hAnsi="Palatino Linotype"/>
          <w:color w:val="000000" w:themeColor="text1"/>
        </w:rPr>
        <w:t xml:space="preserve">serves to </w:t>
      </w:r>
      <w:r w:rsidRPr="000571D5">
        <w:rPr>
          <w:rFonts w:ascii="Palatino Linotype" w:hAnsi="Palatino Linotype"/>
          <w:color w:val="000000" w:themeColor="text1"/>
        </w:rPr>
        <w:t xml:space="preserve">inform parties that the final conformed Resolution </w:t>
      </w:r>
      <w:r w:rsidR="00742F41">
        <w:rPr>
          <w:rFonts w:ascii="Palatino Linotype" w:hAnsi="Palatino Linotype"/>
          <w:color w:val="000000" w:themeColor="text1"/>
        </w:rPr>
        <w:t xml:space="preserve">the Commission </w:t>
      </w:r>
      <w:r w:rsidRPr="000571D5">
        <w:rPr>
          <w:rFonts w:ascii="Palatino Linotype" w:hAnsi="Palatino Linotype"/>
          <w:color w:val="000000" w:themeColor="text1"/>
        </w:rPr>
        <w:t>adopt</w:t>
      </w:r>
      <w:r w:rsidR="00742F41">
        <w:rPr>
          <w:rFonts w:ascii="Palatino Linotype" w:hAnsi="Palatino Linotype"/>
          <w:color w:val="000000" w:themeColor="text1"/>
        </w:rPr>
        <w:t xml:space="preserve">s </w:t>
      </w:r>
      <w:r w:rsidRPr="000571D5">
        <w:rPr>
          <w:rFonts w:ascii="Palatino Linotype" w:hAnsi="Palatino Linotype"/>
          <w:color w:val="000000" w:themeColor="text1"/>
        </w:rPr>
        <w:t xml:space="preserve">will be posted and available at this same website.  </w:t>
      </w:r>
    </w:p>
    <w:p w:rsidR="002D021D" w:rsidRPr="000571D5" w:rsidRDefault="002D021D" w:rsidP="00846D53">
      <w:pPr>
        <w:tabs>
          <w:tab w:val="right" w:pos="10080"/>
        </w:tabs>
        <w:jc w:val="both"/>
        <w:rPr>
          <w:rFonts w:ascii="Palatino Linotype" w:hAnsi="Palatino Linotype"/>
          <w:color w:val="000000" w:themeColor="text1"/>
        </w:rPr>
      </w:pPr>
    </w:p>
    <w:p w:rsidR="00846D53" w:rsidRPr="000571D5" w:rsidRDefault="00E532A0" w:rsidP="00846D53">
      <w:pPr>
        <w:tabs>
          <w:tab w:val="right" w:pos="10080"/>
        </w:tabs>
        <w:jc w:val="both"/>
        <w:rPr>
          <w:rFonts w:ascii="Palatino Linotype" w:hAnsi="Palatino Linotype"/>
          <w:b/>
          <w:color w:val="000000" w:themeColor="text1"/>
        </w:rPr>
      </w:pPr>
      <w:r w:rsidRPr="000571D5">
        <w:rPr>
          <w:rFonts w:ascii="Palatino Linotype" w:hAnsi="Palatino Linotype"/>
          <w:b/>
          <w:color w:val="000000" w:themeColor="text1"/>
        </w:rPr>
        <w:t>VI</w:t>
      </w:r>
      <w:r w:rsidR="004563FB">
        <w:rPr>
          <w:rFonts w:ascii="Palatino Linotype" w:hAnsi="Palatino Linotype"/>
          <w:b/>
          <w:color w:val="000000" w:themeColor="text1"/>
        </w:rPr>
        <w:t>I</w:t>
      </w:r>
      <w:r w:rsidRPr="000571D5">
        <w:rPr>
          <w:rFonts w:ascii="Palatino Linotype" w:hAnsi="Palatino Linotype"/>
          <w:b/>
          <w:color w:val="000000" w:themeColor="text1"/>
        </w:rPr>
        <w:t>I.    FINDINGS</w:t>
      </w:r>
    </w:p>
    <w:p w:rsidR="00846D53" w:rsidRPr="000571D5" w:rsidRDefault="00846D53" w:rsidP="00846D53">
      <w:pPr>
        <w:autoSpaceDE w:val="0"/>
        <w:autoSpaceDN w:val="0"/>
        <w:adjustRightInd w:val="0"/>
        <w:rPr>
          <w:rFonts w:ascii="Palatino Linotype" w:hAnsi="Palatino Linotype" w:cs="Palatino Linotype"/>
          <w:color w:val="000000" w:themeColor="text1"/>
        </w:rPr>
      </w:pPr>
    </w:p>
    <w:p w:rsidR="002D3353" w:rsidRDefault="002D3353" w:rsidP="00FA66D1">
      <w:pPr>
        <w:pStyle w:val="BodyText"/>
        <w:numPr>
          <w:ilvl w:val="0"/>
          <w:numId w:val="8"/>
        </w:numPr>
        <w:tabs>
          <w:tab w:val="clear" w:pos="720"/>
          <w:tab w:val="left" w:pos="360"/>
        </w:tabs>
        <w:spacing w:after="0"/>
        <w:ind w:left="360"/>
      </w:pPr>
      <w:r w:rsidRPr="001C265B">
        <w:rPr>
          <w:rFonts w:ascii="Palatino Linotype" w:hAnsi="Palatino Linotype"/>
          <w:color w:val="000000" w:themeColor="text1"/>
        </w:rPr>
        <w:t xml:space="preserve">On September 2, 2015, the Governor signed legislation (AB1262) that reallocated $5 </w:t>
      </w:r>
      <w:r w:rsidR="00BE2E36">
        <w:rPr>
          <w:rFonts w:ascii="Palatino Linotype" w:hAnsi="Palatino Linotype"/>
          <w:color w:val="000000" w:themeColor="text1"/>
        </w:rPr>
        <w:t>m</w:t>
      </w:r>
      <w:r w:rsidRPr="001C265B">
        <w:rPr>
          <w:rFonts w:ascii="Palatino Linotype" w:hAnsi="Palatino Linotype"/>
          <w:color w:val="000000" w:themeColor="text1"/>
        </w:rPr>
        <w:t>illion from the CASF Broadband Infrastructure Revolving Loan Account to the CASF Consortia Grant Account</w:t>
      </w:r>
      <w:r>
        <w:t>.</w:t>
      </w:r>
    </w:p>
    <w:p w:rsidR="00A00AC5" w:rsidRDefault="00A00AC5" w:rsidP="00FA66D1">
      <w:pPr>
        <w:pStyle w:val="BodyText"/>
        <w:numPr>
          <w:ilvl w:val="0"/>
          <w:numId w:val="8"/>
        </w:numPr>
        <w:tabs>
          <w:tab w:val="clear" w:pos="720"/>
          <w:tab w:val="left" w:pos="360"/>
        </w:tabs>
        <w:spacing w:after="0"/>
        <w:ind w:left="360"/>
      </w:pPr>
      <w:r w:rsidRPr="00525EFA">
        <w:t xml:space="preserve">Fifteen prospective </w:t>
      </w:r>
      <w:r w:rsidR="00392447" w:rsidRPr="00525EFA">
        <w:t xml:space="preserve">grantees </w:t>
      </w:r>
      <w:r w:rsidRPr="00525EFA">
        <w:t>filed applications on January 29, 2016</w:t>
      </w:r>
      <w:r w:rsidR="00AA5D3A" w:rsidRPr="00525EFA">
        <w:t xml:space="preserve">.  CD posted each </w:t>
      </w:r>
      <w:r w:rsidRPr="00525EFA">
        <w:t xml:space="preserve">applicant's name, contact information, and coverage area by county on the CPUC Consortia Account webpage on </w:t>
      </w:r>
      <w:r w:rsidR="008375D5" w:rsidRPr="00525EFA">
        <w:t xml:space="preserve">February </w:t>
      </w:r>
      <w:r w:rsidR="00792F46" w:rsidRPr="00525EFA">
        <w:t>18</w:t>
      </w:r>
      <w:r w:rsidR="00AA5D3A" w:rsidRPr="00525EFA">
        <w:t>.  CCBC, EBBC,</w:t>
      </w:r>
      <w:r w:rsidR="0020695E" w:rsidRPr="00525EFA">
        <w:t xml:space="preserve"> and TBP</w:t>
      </w:r>
      <w:r w:rsidR="00AA5D3A" w:rsidRPr="00525EFA">
        <w:t xml:space="preserve"> appear on this list.</w:t>
      </w:r>
    </w:p>
    <w:p w:rsidR="00E84ADD" w:rsidRPr="00525EFA" w:rsidRDefault="00E84ADD" w:rsidP="00FA66D1">
      <w:pPr>
        <w:pStyle w:val="BodyText"/>
        <w:tabs>
          <w:tab w:val="clear" w:pos="720"/>
          <w:tab w:val="left" w:pos="360"/>
        </w:tabs>
        <w:spacing w:after="0"/>
        <w:ind w:left="360"/>
      </w:pPr>
    </w:p>
    <w:p w:rsidR="00E84ADD" w:rsidRPr="00045F12" w:rsidRDefault="00451B78" w:rsidP="00FA66D1">
      <w:pPr>
        <w:pStyle w:val="BodyText"/>
        <w:tabs>
          <w:tab w:val="clear" w:pos="720"/>
          <w:tab w:val="left" w:pos="360"/>
        </w:tabs>
        <w:spacing w:after="0"/>
        <w:ind w:left="360"/>
        <w:rPr>
          <w:rFonts w:ascii="Palatino Linotype" w:hAnsi="Palatino Linotype"/>
          <w:color w:val="000000" w:themeColor="text1"/>
        </w:rPr>
      </w:pPr>
      <w:r w:rsidRPr="00525EFA">
        <w:lastRenderedPageBreak/>
        <w:t xml:space="preserve">CD reviewed each of these three applications according to the guidelines, requirements, and evaluation criteria adopted in D.11-06-038, which include regional consortium representation and endorsements, regional consortium’s/members’ experience, action plans, work plans, and budgets. CD also </w:t>
      </w:r>
      <w:r w:rsidR="00D946F8" w:rsidRPr="00525EFA">
        <w:t xml:space="preserve">evaluated </w:t>
      </w:r>
      <w:r w:rsidRPr="00525EFA">
        <w:t xml:space="preserve">the applications based on the merits of each proposal, past performance including achievements, fiscal responsibility and cost effectiveness.  The remaining </w:t>
      </w:r>
      <w:r w:rsidRPr="00045F12">
        <w:rPr>
          <w:rFonts w:ascii="Palatino Linotype" w:hAnsi="Palatino Linotype"/>
          <w:color w:val="000000" w:themeColor="text1"/>
        </w:rPr>
        <w:t>12 applications will be considered for subsequent resolutions.</w:t>
      </w:r>
    </w:p>
    <w:p w:rsidR="00E84ADD" w:rsidRPr="00E84ADD" w:rsidRDefault="00E84ADD" w:rsidP="00FA66D1">
      <w:pPr>
        <w:pStyle w:val="BodyText"/>
        <w:tabs>
          <w:tab w:val="clear" w:pos="720"/>
          <w:tab w:val="left" w:pos="360"/>
        </w:tabs>
        <w:spacing w:after="0"/>
        <w:ind w:left="360"/>
        <w:rPr>
          <w:rFonts w:ascii="Palatino Linotype" w:hAnsi="Palatino Linotype" w:cs="Palatino Linotype"/>
          <w:color w:val="000000" w:themeColor="text1"/>
        </w:rPr>
      </w:pPr>
    </w:p>
    <w:p w:rsidR="00951862" w:rsidRDefault="00E868CF" w:rsidP="00FA66D1">
      <w:pPr>
        <w:pStyle w:val="BodyText"/>
        <w:numPr>
          <w:ilvl w:val="0"/>
          <w:numId w:val="8"/>
        </w:numPr>
        <w:tabs>
          <w:tab w:val="clear" w:pos="720"/>
          <w:tab w:val="left" w:pos="360"/>
        </w:tabs>
        <w:spacing w:after="0"/>
        <w:ind w:left="360"/>
        <w:rPr>
          <w:rFonts w:ascii="Palatino Linotype" w:hAnsi="Palatino Linotype" w:cs="Palatino Linotype"/>
          <w:color w:val="000000" w:themeColor="text1"/>
        </w:rPr>
      </w:pPr>
      <w:r w:rsidRPr="00045F12">
        <w:rPr>
          <w:rFonts w:ascii="Palatino Linotype" w:hAnsi="Palatino Linotype"/>
          <w:color w:val="000000" w:themeColor="text1"/>
        </w:rPr>
        <w:t>Based</w:t>
      </w:r>
      <w:r w:rsidRPr="00525EFA">
        <w:rPr>
          <w:rFonts w:ascii="Palatino Linotype" w:hAnsi="Palatino Linotype" w:cs="Palatino Linotype"/>
          <w:color w:val="000000" w:themeColor="text1"/>
        </w:rPr>
        <w:t xml:space="preserve"> on its review, CD determined that all three projects meet eligibility requirements.  CD further determined that the proposed projects qualify for funding under D.11-06</w:t>
      </w:r>
      <w:r w:rsidR="00525EFA" w:rsidRPr="00525EFA">
        <w:rPr>
          <w:rFonts w:ascii="Palatino Linotype" w:hAnsi="Palatino Linotype" w:cs="Palatino Linotype"/>
          <w:color w:val="000000" w:themeColor="text1"/>
        </w:rPr>
        <w:t>-038.</w:t>
      </w:r>
    </w:p>
    <w:p w:rsidR="00E84ADD" w:rsidRPr="00525EFA" w:rsidRDefault="00E84ADD" w:rsidP="00FA66D1">
      <w:pPr>
        <w:pStyle w:val="BodyText"/>
        <w:tabs>
          <w:tab w:val="clear" w:pos="720"/>
          <w:tab w:val="left" w:pos="360"/>
        </w:tabs>
        <w:spacing w:after="0"/>
        <w:ind w:left="360"/>
        <w:rPr>
          <w:rFonts w:ascii="Palatino Linotype" w:hAnsi="Palatino Linotype" w:cs="Palatino Linotype"/>
          <w:color w:val="000000" w:themeColor="text1"/>
        </w:rPr>
      </w:pPr>
    </w:p>
    <w:p w:rsidR="00A00AC5" w:rsidRDefault="00451B78" w:rsidP="00E84ADD">
      <w:pPr>
        <w:pStyle w:val="ListParagraph"/>
        <w:numPr>
          <w:ilvl w:val="0"/>
          <w:numId w:val="8"/>
        </w:numPr>
        <w:tabs>
          <w:tab w:val="clear" w:pos="720"/>
          <w:tab w:val="num" w:pos="360"/>
        </w:tabs>
        <w:ind w:left="360"/>
        <w:rPr>
          <w:rFonts w:ascii="Palatino Linotype" w:hAnsi="Palatino Linotype" w:cs="Palatino Linotype"/>
          <w:color w:val="000000" w:themeColor="text1"/>
        </w:rPr>
      </w:pPr>
      <w:r w:rsidRPr="00525EFA">
        <w:rPr>
          <w:rFonts w:ascii="Palatino Linotype" w:hAnsi="Palatino Linotype" w:cs="Palatino Linotype"/>
          <w:color w:val="000000" w:themeColor="text1"/>
        </w:rPr>
        <w:t>CD recommends CASF consortia grant approval of total funding of $</w:t>
      </w:r>
      <w:r w:rsidR="002D3353">
        <w:rPr>
          <w:rFonts w:ascii="Palatino Linotype" w:hAnsi="Palatino Linotype" w:cs="Palatino Linotype"/>
          <w:color w:val="000000" w:themeColor="text1"/>
        </w:rPr>
        <w:t>736,660</w:t>
      </w:r>
      <w:r w:rsidRPr="00525EFA">
        <w:rPr>
          <w:rFonts w:ascii="Palatino Linotype" w:hAnsi="Palatino Linotype" w:cs="Palatino Linotype"/>
          <w:color w:val="000000" w:themeColor="text1"/>
        </w:rPr>
        <w:t xml:space="preserve"> for the three consortia.  </w:t>
      </w:r>
    </w:p>
    <w:p w:rsidR="00045F12" w:rsidRDefault="00045F12">
      <w:pPr>
        <w:pStyle w:val="ListParagraph"/>
        <w:ind w:left="360"/>
        <w:rPr>
          <w:rFonts w:ascii="Palatino Linotype" w:hAnsi="Palatino Linotype" w:cs="Palatino Linotype"/>
          <w:color w:val="000000" w:themeColor="text1"/>
        </w:rPr>
      </w:pPr>
    </w:p>
    <w:p w:rsidR="008375D5" w:rsidRDefault="001A3EFC" w:rsidP="00FA66D1">
      <w:pPr>
        <w:pStyle w:val="ListParagraph"/>
        <w:numPr>
          <w:ilvl w:val="0"/>
          <w:numId w:val="8"/>
        </w:numPr>
        <w:tabs>
          <w:tab w:val="clear" w:pos="720"/>
          <w:tab w:val="num" w:pos="360"/>
        </w:tabs>
        <w:ind w:left="360"/>
        <w:rPr>
          <w:rFonts w:ascii="Palatino Linotype" w:eastAsia="Times New Roman" w:hAnsi="Palatino Linotype" w:cs="Palatino Linotype"/>
          <w:color w:val="000000" w:themeColor="text1"/>
        </w:rPr>
      </w:pPr>
      <w:r>
        <w:rPr>
          <w:rFonts w:ascii="Palatino Linotype" w:hAnsi="Palatino Linotype" w:cs="Palatino Linotype"/>
          <w:color w:val="000000" w:themeColor="text1"/>
        </w:rPr>
        <w:t>CCBC,</w:t>
      </w:r>
      <w:r w:rsidR="00E868CF" w:rsidRPr="00694426">
        <w:rPr>
          <w:rFonts w:ascii="Palatino Linotype" w:hAnsi="Palatino Linotype" w:cs="Palatino Linotype"/>
          <w:color w:val="000000" w:themeColor="text1"/>
        </w:rPr>
        <w:t xml:space="preserve"> EBBC, and </w:t>
      </w:r>
      <w:r>
        <w:rPr>
          <w:rFonts w:ascii="Palatino Linotype" w:hAnsi="Palatino Linotype" w:cs="Palatino Linotype"/>
          <w:color w:val="000000" w:themeColor="text1"/>
        </w:rPr>
        <w:t>TBP</w:t>
      </w:r>
      <w:r w:rsidR="00A00AC5" w:rsidRPr="000571D5">
        <w:rPr>
          <w:rFonts w:ascii="Palatino Linotype" w:hAnsi="Palatino Linotype" w:cs="Palatino Linotype"/>
          <w:color w:val="000000" w:themeColor="text1"/>
        </w:rPr>
        <w:t xml:space="preserve"> are</w:t>
      </w:r>
      <w:r w:rsidR="00A00AC5" w:rsidRPr="000571D5">
        <w:rPr>
          <w:rFonts w:ascii="Palatino Linotype" w:eastAsia="Times New Roman" w:hAnsi="Palatino Linotype" w:cs="Palatino Linotype"/>
          <w:color w:val="000000" w:themeColor="text1"/>
        </w:rPr>
        <w:t xml:space="preserve"> required to comply with all guidelines, requirements, and conditions associated with the granting of CASF f</w:t>
      </w:r>
      <w:r w:rsidR="006A19A7">
        <w:rPr>
          <w:rFonts w:ascii="Palatino Linotype" w:eastAsia="Times New Roman" w:hAnsi="Palatino Linotype" w:cs="Palatino Linotype"/>
          <w:color w:val="000000" w:themeColor="text1"/>
        </w:rPr>
        <w:t>unds as specified in D.11-06-038</w:t>
      </w:r>
      <w:r w:rsidR="002D3353">
        <w:rPr>
          <w:rFonts w:ascii="Palatino Linotype" w:eastAsia="Times New Roman" w:hAnsi="Palatino Linotype" w:cs="Palatino Linotype"/>
          <w:color w:val="000000" w:themeColor="text1"/>
        </w:rPr>
        <w:t xml:space="preserve"> and this Resolution</w:t>
      </w:r>
      <w:r w:rsidR="00A00AC5" w:rsidRPr="000571D5">
        <w:rPr>
          <w:rFonts w:ascii="Palatino Linotype" w:eastAsia="Times New Roman" w:hAnsi="Palatino Linotype" w:cs="Palatino Linotype"/>
          <w:color w:val="000000" w:themeColor="text1"/>
        </w:rPr>
        <w:t>.</w:t>
      </w:r>
    </w:p>
    <w:p w:rsidR="00045F12" w:rsidRPr="00045F12" w:rsidRDefault="00045F12">
      <w:pPr>
        <w:pStyle w:val="ListParagraph"/>
        <w:rPr>
          <w:rFonts w:ascii="Palatino Linotype" w:eastAsia="Times New Roman" w:hAnsi="Palatino Linotype" w:cs="Palatino Linotype"/>
          <w:color w:val="000000" w:themeColor="text1"/>
        </w:rPr>
      </w:pPr>
    </w:p>
    <w:p w:rsidR="00880614" w:rsidRPr="007F4851" w:rsidRDefault="001A3EFC" w:rsidP="00FA66D1">
      <w:pPr>
        <w:pStyle w:val="ListParagraph"/>
        <w:numPr>
          <w:ilvl w:val="0"/>
          <w:numId w:val="8"/>
        </w:numPr>
        <w:tabs>
          <w:tab w:val="clear" w:pos="720"/>
        </w:tabs>
        <w:autoSpaceDE w:val="0"/>
        <w:autoSpaceDN w:val="0"/>
        <w:adjustRightInd w:val="0"/>
        <w:ind w:left="360"/>
        <w:rPr>
          <w:rFonts w:ascii="Palatino Linotype" w:hAnsi="Palatino Linotype" w:cs="Palatino Linotype"/>
          <w:color w:val="000000" w:themeColor="text1"/>
        </w:rPr>
      </w:pPr>
      <w:r w:rsidRPr="007F4851">
        <w:rPr>
          <w:rFonts w:ascii="Palatino Linotype" w:hAnsi="Palatino Linotype" w:cs="Palatino Linotype"/>
          <w:color w:val="000000" w:themeColor="text1"/>
        </w:rPr>
        <w:t>CCBC, EBBC, and TBP</w:t>
      </w:r>
      <w:r w:rsidR="00880614" w:rsidRPr="007F4851">
        <w:rPr>
          <w:rFonts w:ascii="Palatino Linotype" w:hAnsi="Palatino Linotype" w:cs="Palatino Linotype"/>
          <w:color w:val="000000" w:themeColor="text1"/>
        </w:rPr>
        <w:t xml:space="preserve"> are required to </w:t>
      </w:r>
      <w:r w:rsidR="008375D5" w:rsidRPr="007F4851">
        <w:rPr>
          <w:rFonts w:ascii="Palatino Linotype" w:hAnsi="Palatino Linotype" w:cs="Palatino Linotype"/>
          <w:color w:val="000000" w:themeColor="text1"/>
        </w:rPr>
        <w:t xml:space="preserve"> expressly exclude any costs for activities or programs </w:t>
      </w:r>
      <w:r w:rsidR="00880614" w:rsidRPr="007F4851">
        <w:rPr>
          <w:rFonts w:ascii="Palatino Linotype" w:hAnsi="Palatino Linotype" w:cs="Palatino Linotype"/>
          <w:color w:val="000000" w:themeColor="text1"/>
        </w:rPr>
        <w:t xml:space="preserve">from the proposed consortium budget </w:t>
      </w:r>
      <w:r w:rsidR="008375D5" w:rsidRPr="007F4851">
        <w:rPr>
          <w:rFonts w:ascii="Palatino Linotype" w:hAnsi="Palatino Linotype" w:cs="Palatino Linotype"/>
          <w:color w:val="000000" w:themeColor="text1"/>
        </w:rPr>
        <w:t xml:space="preserve">that are separately funded from any other sources in order to ensure that CASF grants do not duplicate funding from any other sources. </w:t>
      </w:r>
    </w:p>
    <w:p w:rsidR="00045F12" w:rsidRPr="00045F12" w:rsidRDefault="00045F12">
      <w:pPr>
        <w:pStyle w:val="ListParagraph"/>
        <w:rPr>
          <w:rFonts w:ascii="Palatino Linotype" w:hAnsi="Palatino Linotype" w:cs="Palatino Linotype"/>
          <w:color w:val="000000" w:themeColor="text1"/>
        </w:rPr>
      </w:pPr>
    </w:p>
    <w:p w:rsidR="001A3EFC" w:rsidRPr="00045F12" w:rsidRDefault="001A3EFC" w:rsidP="00FA66D1">
      <w:pPr>
        <w:pStyle w:val="ListParagraph"/>
        <w:numPr>
          <w:ilvl w:val="0"/>
          <w:numId w:val="8"/>
        </w:numPr>
        <w:tabs>
          <w:tab w:val="clear" w:pos="720"/>
          <w:tab w:val="num" w:pos="360"/>
        </w:tabs>
        <w:autoSpaceDE w:val="0"/>
        <w:autoSpaceDN w:val="0"/>
        <w:adjustRightInd w:val="0"/>
        <w:ind w:left="360"/>
        <w:rPr>
          <w:rFonts w:ascii="Palatino Linotype" w:hAnsi="Palatino Linotype" w:cs="Palatino Linotype"/>
          <w:color w:val="000000" w:themeColor="text1"/>
        </w:rPr>
      </w:pPr>
      <w:r w:rsidRPr="008A64AC">
        <w:rPr>
          <w:rFonts w:ascii="Palatino Linotype" w:hAnsi="Palatino Linotype" w:cs="Palatino Linotype"/>
          <w:color w:val="000000" w:themeColor="text1"/>
        </w:rPr>
        <w:t xml:space="preserve">The Commission finds CD’s </w:t>
      </w:r>
      <w:r w:rsidRPr="00F31F51">
        <w:rPr>
          <w:rFonts w:ascii="Palatino Linotype" w:hAnsi="Palatino Linotype" w:cs="Palatino Linotype"/>
          <w:color w:val="000000" w:themeColor="text1"/>
        </w:rPr>
        <w:t>recommendation</w:t>
      </w:r>
      <w:r w:rsidRPr="00F31F51">
        <w:rPr>
          <w:rFonts w:ascii="Palatino Linotype" w:eastAsia="Times New Roman" w:hAnsi="Palatino Linotype" w:cs="Palatino Linotype"/>
          <w:color w:val="000000" w:themeColor="text1"/>
        </w:rPr>
        <w:t xml:space="preserve"> </w:t>
      </w:r>
      <w:r w:rsidR="00451B78" w:rsidRPr="00F31F51">
        <w:rPr>
          <w:rFonts w:ascii="Palatino Linotype" w:eastAsia="Times New Roman" w:hAnsi="Palatino Linotype" w:cs="Palatino Linotype"/>
          <w:color w:val="000000" w:themeColor="text1"/>
        </w:rPr>
        <w:t>tha</w:t>
      </w:r>
      <w:r w:rsidR="00451B78" w:rsidRPr="008A64AC">
        <w:rPr>
          <w:rFonts w:ascii="Palatino Linotype" w:eastAsia="Times New Roman" w:hAnsi="Palatino Linotype" w:cs="Palatino Linotype"/>
          <w:color w:val="000000" w:themeColor="text1"/>
        </w:rPr>
        <w:t>t all three projects meet eligibility requirements and the proposed projects qualify for funding under D.11-06</w:t>
      </w:r>
      <w:r w:rsidRPr="008A64AC">
        <w:rPr>
          <w:rFonts w:ascii="Palatino Linotype" w:eastAsia="Times New Roman" w:hAnsi="Palatino Linotype" w:cs="Palatino Linotype"/>
          <w:color w:val="000000" w:themeColor="text1"/>
        </w:rPr>
        <w:t>-038, to be reasonable and consistent with Commission orders and, therefore, adopts such recommendation.</w:t>
      </w:r>
    </w:p>
    <w:p w:rsidR="00045F12" w:rsidRPr="008A64AC" w:rsidRDefault="00045F12">
      <w:pPr>
        <w:pStyle w:val="ListParagraph"/>
        <w:autoSpaceDE w:val="0"/>
        <w:autoSpaceDN w:val="0"/>
        <w:adjustRightInd w:val="0"/>
        <w:ind w:left="360"/>
        <w:rPr>
          <w:rFonts w:ascii="Palatino Linotype" w:hAnsi="Palatino Linotype" w:cs="Palatino Linotype"/>
          <w:color w:val="000000" w:themeColor="text1"/>
        </w:rPr>
      </w:pPr>
    </w:p>
    <w:p w:rsidR="00E84ADD" w:rsidRDefault="00A44EC4" w:rsidP="00FA66D1">
      <w:pPr>
        <w:pStyle w:val="BodyText"/>
        <w:numPr>
          <w:ilvl w:val="0"/>
          <w:numId w:val="8"/>
        </w:numPr>
        <w:tabs>
          <w:tab w:val="clear" w:pos="720"/>
        </w:tabs>
        <w:spacing w:after="0"/>
        <w:ind w:left="360"/>
        <w:rPr>
          <w:rFonts w:ascii="Palatino Linotype" w:eastAsia="SimSun" w:hAnsi="Palatino Linotype" w:cs="Palatino Linotype"/>
          <w:color w:val="000000" w:themeColor="text1"/>
          <w:szCs w:val="24"/>
        </w:rPr>
      </w:pPr>
      <w:r w:rsidRPr="002D3353">
        <w:rPr>
          <w:rFonts w:ascii="Palatino Linotype" w:eastAsia="SimSun" w:hAnsi="Palatino Linotype" w:cs="Palatino Linotype"/>
          <w:color w:val="000000" w:themeColor="text1"/>
          <w:szCs w:val="24"/>
        </w:rPr>
        <w:t>The annual</w:t>
      </w:r>
      <w:r w:rsidRPr="008375D5">
        <w:rPr>
          <w:rFonts w:ascii="Palatino Linotype" w:eastAsia="SimSun" w:hAnsi="Palatino Linotype" w:cs="Palatino Linotype"/>
          <w:color w:val="000000" w:themeColor="text1"/>
          <w:szCs w:val="24"/>
        </w:rPr>
        <w:t xml:space="preserve"> Consortia Learning </w:t>
      </w:r>
      <w:r w:rsidR="00CC45CD">
        <w:rPr>
          <w:rFonts w:ascii="Palatino Linotype" w:eastAsia="SimSun" w:hAnsi="Palatino Linotype" w:cs="Palatino Linotype"/>
          <w:color w:val="000000" w:themeColor="text1"/>
          <w:szCs w:val="24"/>
        </w:rPr>
        <w:t xml:space="preserve">Community </w:t>
      </w:r>
      <w:r w:rsidRPr="008375D5">
        <w:rPr>
          <w:rFonts w:ascii="Palatino Linotype" w:eastAsia="SimSun" w:hAnsi="Palatino Linotype" w:cs="Palatino Linotype"/>
          <w:color w:val="000000" w:themeColor="text1"/>
          <w:szCs w:val="24"/>
        </w:rPr>
        <w:t>Summit</w:t>
      </w:r>
      <w:r w:rsidR="00C568F1" w:rsidRPr="008375D5">
        <w:rPr>
          <w:rFonts w:ascii="Palatino Linotype" w:eastAsia="SimSun" w:hAnsi="Palatino Linotype" w:cs="Palatino Linotype"/>
          <w:color w:val="000000" w:themeColor="text1"/>
          <w:szCs w:val="24"/>
        </w:rPr>
        <w:t xml:space="preserve"> initiated by D.11-06-038</w:t>
      </w:r>
      <w:r w:rsidRPr="008375D5">
        <w:rPr>
          <w:rFonts w:ascii="Palatino Linotype" w:eastAsia="SimSun" w:hAnsi="Palatino Linotype" w:cs="Palatino Linotype"/>
          <w:color w:val="000000" w:themeColor="text1"/>
          <w:szCs w:val="24"/>
        </w:rPr>
        <w:t xml:space="preserve"> </w:t>
      </w:r>
      <w:r w:rsidR="00345A54">
        <w:rPr>
          <w:rFonts w:ascii="Palatino Linotype" w:eastAsia="SimSun" w:hAnsi="Palatino Linotype" w:cs="Palatino Linotype"/>
          <w:color w:val="000000" w:themeColor="text1"/>
          <w:szCs w:val="24"/>
        </w:rPr>
        <w:t xml:space="preserve">directs CD to schedule and host on at least an annual basis a Regional Consortia Learning Community Summit, and </w:t>
      </w:r>
      <w:r w:rsidR="001A3EFC">
        <w:rPr>
          <w:rFonts w:ascii="Palatino Linotype" w:eastAsia="SimSun" w:hAnsi="Palatino Linotype" w:cs="Palatino Linotype"/>
          <w:color w:val="000000" w:themeColor="text1"/>
          <w:szCs w:val="24"/>
        </w:rPr>
        <w:t xml:space="preserve">authorizes $2,000 per person for up to five delegates annually </w:t>
      </w:r>
      <w:r w:rsidRPr="008375D5">
        <w:rPr>
          <w:rFonts w:ascii="Palatino Linotype" w:eastAsia="SimSun" w:hAnsi="Palatino Linotype" w:cs="Palatino Linotype"/>
          <w:color w:val="000000" w:themeColor="text1"/>
          <w:szCs w:val="24"/>
        </w:rPr>
        <w:t>for each appro</w:t>
      </w:r>
      <w:r w:rsidR="00C568F1" w:rsidRPr="008820FC">
        <w:rPr>
          <w:rFonts w:ascii="Palatino Linotype" w:eastAsia="SimSun" w:hAnsi="Palatino Linotype" w:cs="Palatino Linotype"/>
          <w:color w:val="000000" w:themeColor="text1"/>
          <w:szCs w:val="24"/>
        </w:rPr>
        <w:t>ved consortium</w:t>
      </w:r>
      <w:r w:rsidR="00A047FF">
        <w:rPr>
          <w:rFonts w:ascii="Palatino Linotype" w:eastAsia="SimSun" w:hAnsi="Palatino Linotype" w:cs="Palatino Linotype"/>
          <w:color w:val="000000" w:themeColor="text1"/>
          <w:szCs w:val="24"/>
        </w:rPr>
        <w:t xml:space="preserve">.  </w:t>
      </w:r>
      <w:r w:rsidR="004F4069">
        <w:rPr>
          <w:rFonts w:ascii="Palatino Linotype" w:eastAsia="SimSun" w:hAnsi="Palatino Linotype" w:cs="Palatino Linotype"/>
          <w:color w:val="000000" w:themeColor="text1"/>
          <w:szCs w:val="24"/>
        </w:rPr>
        <w:t xml:space="preserve">Based on its review, CD determined that </w:t>
      </w:r>
      <w:r w:rsidR="00F31F51">
        <w:rPr>
          <w:rFonts w:ascii="Palatino Linotype" w:eastAsia="SimSun" w:hAnsi="Palatino Linotype" w:cs="Palatino Linotype"/>
          <w:color w:val="000000" w:themeColor="text1"/>
          <w:szCs w:val="24"/>
        </w:rPr>
        <w:t xml:space="preserve">reducing the frequency of </w:t>
      </w:r>
      <w:r w:rsidR="004F4069">
        <w:rPr>
          <w:rFonts w:ascii="Palatino Linotype" w:eastAsia="SimSun" w:hAnsi="Palatino Linotype" w:cs="Palatino Linotype"/>
          <w:color w:val="000000" w:themeColor="text1"/>
          <w:szCs w:val="24"/>
        </w:rPr>
        <w:t>the summit</w:t>
      </w:r>
      <w:r w:rsidR="00F31F51">
        <w:rPr>
          <w:rFonts w:ascii="Palatino Linotype" w:eastAsia="SimSun" w:hAnsi="Palatino Linotype" w:cs="Palatino Linotype"/>
          <w:color w:val="000000" w:themeColor="text1"/>
          <w:szCs w:val="24"/>
        </w:rPr>
        <w:t xml:space="preserve"> </w:t>
      </w:r>
      <w:r w:rsidR="002D3353">
        <w:rPr>
          <w:rFonts w:ascii="Palatino Linotype" w:eastAsia="SimSun" w:hAnsi="Palatino Linotype" w:cs="Palatino Linotype"/>
          <w:color w:val="000000" w:themeColor="text1"/>
          <w:szCs w:val="24"/>
        </w:rPr>
        <w:t xml:space="preserve">to </w:t>
      </w:r>
      <w:r w:rsidR="00345A54">
        <w:rPr>
          <w:rFonts w:ascii="Palatino Linotype" w:eastAsia="SimSun" w:hAnsi="Palatino Linotype" w:cs="Palatino Linotype"/>
          <w:color w:val="000000" w:themeColor="text1"/>
          <w:szCs w:val="24"/>
        </w:rPr>
        <w:t xml:space="preserve">at least </w:t>
      </w:r>
      <w:r w:rsidR="002D3353">
        <w:rPr>
          <w:rFonts w:ascii="Palatino Linotype" w:eastAsia="SimSun" w:hAnsi="Palatino Linotype" w:cs="Palatino Linotype"/>
          <w:color w:val="000000" w:themeColor="text1"/>
          <w:szCs w:val="24"/>
        </w:rPr>
        <w:t>one during the implementation of this grant cycle</w:t>
      </w:r>
      <w:r w:rsidR="00345A54">
        <w:rPr>
          <w:rFonts w:ascii="Palatino Linotype" w:eastAsia="SimSun" w:hAnsi="Palatino Linotype" w:cs="Palatino Linotype"/>
          <w:color w:val="000000" w:themeColor="text1"/>
          <w:szCs w:val="24"/>
        </w:rPr>
        <w:t>,</w:t>
      </w:r>
      <w:r w:rsidR="004F4069">
        <w:rPr>
          <w:rFonts w:ascii="Palatino Linotype" w:eastAsia="SimSun" w:hAnsi="Palatino Linotype" w:cs="Palatino Linotype"/>
          <w:color w:val="000000" w:themeColor="text1"/>
          <w:szCs w:val="24"/>
        </w:rPr>
        <w:t xml:space="preserve"> </w:t>
      </w:r>
      <w:r w:rsidR="00A047FF">
        <w:rPr>
          <w:rFonts w:ascii="Palatino Linotype" w:eastAsia="SimSun" w:hAnsi="Palatino Linotype" w:cs="Palatino Linotype"/>
          <w:color w:val="000000" w:themeColor="text1"/>
          <w:szCs w:val="24"/>
        </w:rPr>
        <w:t>allows</w:t>
      </w:r>
      <w:r w:rsidR="00FC3F56">
        <w:rPr>
          <w:rFonts w:ascii="Palatino Linotype" w:eastAsia="SimSun" w:hAnsi="Palatino Linotype" w:cs="Palatino Linotype"/>
          <w:color w:val="000000" w:themeColor="text1"/>
          <w:szCs w:val="24"/>
        </w:rPr>
        <w:t xml:space="preserve"> funds to </w:t>
      </w:r>
      <w:r w:rsidR="00C568F1" w:rsidRPr="008375D5">
        <w:rPr>
          <w:rFonts w:ascii="Palatino Linotype" w:eastAsia="SimSun" w:hAnsi="Palatino Linotype" w:cs="Palatino Linotype"/>
          <w:color w:val="000000" w:themeColor="text1"/>
          <w:szCs w:val="24"/>
        </w:rPr>
        <w:t>be spent more co</w:t>
      </w:r>
      <w:r w:rsidR="00F31F51">
        <w:rPr>
          <w:rFonts w:ascii="Palatino Linotype" w:eastAsia="SimSun" w:hAnsi="Palatino Linotype" w:cs="Palatino Linotype"/>
          <w:color w:val="000000" w:themeColor="text1"/>
          <w:szCs w:val="24"/>
        </w:rPr>
        <w:t>st effectively</w:t>
      </w:r>
      <w:r w:rsidR="00C568F1" w:rsidRPr="008375D5">
        <w:rPr>
          <w:rFonts w:ascii="Palatino Linotype" w:eastAsia="SimSun" w:hAnsi="Palatino Linotype" w:cs="Palatino Linotype"/>
          <w:color w:val="000000" w:themeColor="text1"/>
          <w:szCs w:val="24"/>
        </w:rPr>
        <w:t xml:space="preserve">.  </w:t>
      </w:r>
    </w:p>
    <w:p w:rsidR="00F8631C" w:rsidRPr="00E84ADD" w:rsidRDefault="00F8631C" w:rsidP="00F8631C">
      <w:pPr>
        <w:pStyle w:val="BodyText"/>
        <w:tabs>
          <w:tab w:val="clear" w:pos="720"/>
        </w:tabs>
        <w:spacing w:after="0"/>
        <w:rPr>
          <w:rFonts w:ascii="Palatino Linotype" w:eastAsia="SimSun" w:hAnsi="Palatino Linotype" w:cs="Palatino Linotype"/>
          <w:color w:val="000000" w:themeColor="text1"/>
          <w:szCs w:val="24"/>
        </w:rPr>
      </w:pPr>
    </w:p>
    <w:p w:rsidR="00951862" w:rsidRPr="00FA66D1" w:rsidRDefault="00345A54" w:rsidP="00FA66D1">
      <w:pPr>
        <w:pStyle w:val="BodyText"/>
        <w:numPr>
          <w:ilvl w:val="0"/>
          <w:numId w:val="8"/>
        </w:numPr>
        <w:tabs>
          <w:tab w:val="clear" w:pos="720"/>
        </w:tabs>
        <w:spacing w:after="0"/>
        <w:ind w:left="360"/>
        <w:rPr>
          <w:rFonts w:ascii="Palatino Linotype" w:eastAsia="SimSun" w:hAnsi="Palatino Linotype" w:cs="Palatino Linotype"/>
          <w:color w:val="000000" w:themeColor="text1"/>
          <w:szCs w:val="24"/>
        </w:rPr>
      </w:pPr>
      <w:r>
        <w:rPr>
          <w:rFonts w:ascii="Palatino Linotype" w:eastAsia="SimSun" w:hAnsi="Palatino Linotype" w:cs="Palatino Linotype"/>
          <w:color w:val="000000" w:themeColor="text1"/>
          <w:szCs w:val="24"/>
        </w:rPr>
        <w:t xml:space="preserve">CD recommends a modification to the annual summit requirement </w:t>
      </w:r>
      <w:r>
        <w:rPr>
          <w:rFonts w:ascii="Palatino Linotype" w:hAnsi="Palatino Linotype"/>
          <w:color w:val="000000" w:themeColor="text1"/>
        </w:rPr>
        <w:t xml:space="preserve">in </w:t>
      </w:r>
      <w:r w:rsidRPr="00087895">
        <w:rPr>
          <w:rFonts w:ascii="Palatino Linotype" w:hAnsi="Palatino Linotype"/>
          <w:color w:val="000000" w:themeColor="text1"/>
        </w:rPr>
        <w:t>D.11-06-038</w:t>
      </w:r>
      <w:r>
        <w:rPr>
          <w:rFonts w:ascii="Palatino Linotype" w:hAnsi="Palatino Linotype"/>
          <w:color w:val="000000" w:themeColor="text1"/>
        </w:rPr>
        <w:t xml:space="preserve">, </w:t>
      </w:r>
      <w:r w:rsidRPr="00087895">
        <w:rPr>
          <w:rFonts w:ascii="Palatino Linotype" w:hAnsi="Palatino Linotype"/>
          <w:color w:val="000000" w:themeColor="text1"/>
        </w:rPr>
        <w:t xml:space="preserve">authorizing CD to conduct </w:t>
      </w:r>
      <w:r w:rsidRPr="000A3782">
        <w:rPr>
          <w:rFonts w:ascii="Palatino Linotype" w:hAnsi="Palatino Linotype"/>
          <w:color w:val="000000" w:themeColor="text1"/>
        </w:rPr>
        <w:t>at least one</w:t>
      </w:r>
      <w:r w:rsidRPr="00087895">
        <w:rPr>
          <w:rFonts w:ascii="Palatino Linotype" w:hAnsi="Palatino Linotype"/>
          <w:color w:val="000000" w:themeColor="text1"/>
        </w:rPr>
        <w:t xml:space="preserve"> Regional Consortia Learning Summit during the implementation of the reallocated $5 million</w:t>
      </w:r>
      <w:r w:rsidR="00FF24F6">
        <w:rPr>
          <w:rFonts w:ascii="Palatino Linotype" w:hAnsi="Palatino Linotype"/>
          <w:color w:val="000000" w:themeColor="text1"/>
        </w:rPr>
        <w:t xml:space="preserve"> </w:t>
      </w:r>
      <w:r w:rsidRPr="00087895">
        <w:rPr>
          <w:rFonts w:ascii="Palatino Linotype" w:hAnsi="Palatino Linotype"/>
          <w:color w:val="000000" w:themeColor="text1"/>
        </w:rPr>
        <w:t>in order to make the most cost effective use of funds</w:t>
      </w:r>
      <w:r>
        <w:rPr>
          <w:rFonts w:ascii="Palatino Linotype" w:hAnsi="Palatino Linotype"/>
          <w:color w:val="000000" w:themeColor="text1"/>
        </w:rPr>
        <w:t>.</w:t>
      </w:r>
    </w:p>
    <w:p w:rsidR="001A3EFC" w:rsidRPr="00694426" w:rsidDel="001A3EFC" w:rsidRDefault="00F3080C" w:rsidP="00E84ADD">
      <w:pPr>
        <w:pStyle w:val="ListParagraph"/>
        <w:numPr>
          <w:ilvl w:val="0"/>
          <w:numId w:val="8"/>
        </w:numPr>
        <w:tabs>
          <w:tab w:val="clear" w:pos="720"/>
          <w:tab w:val="num" w:pos="360"/>
        </w:tabs>
        <w:ind w:left="360"/>
        <w:rPr>
          <w:rFonts w:ascii="Palatino Linotype" w:hAnsi="Palatino Linotype" w:cs="Palatino Linotype"/>
          <w:color w:val="000000" w:themeColor="text1"/>
        </w:rPr>
      </w:pPr>
      <w:r>
        <w:rPr>
          <w:rFonts w:ascii="Palatino Linotype" w:hAnsi="Palatino Linotype" w:cs="Palatino Linotype"/>
          <w:color w:val="000000" w:themeColor="text1"/>
        </w:rPr>
        <w:lastRenderedPageBreak/>
        <w:t>A notice was emailed on July 19, 2016</w:t>
      </w:r>
      <w:r w:rsidR="001A3EFC" w:rsidRPr="00694426" w:rsidDel="001A3EFC">
        <w:rPr>
          <w:rFonts w:ascii="Palatino Linotype" w:hAnsi="Palatino Linotype" w:cs="Palatino Linotype"/>
          <w:color w:val="000000" w:themeColor="text1"/>
        </w:rPr>
        <w:t>, informing the parties of record in Decision 11-06-038 of the availabi</w:t>
      </w:r>
      <w:r w:rsidR="001A3EFC" w:rsidRPr="005B72AF" w:rsidDel="001A3EFC">
        <w:rPr>
          <w:rFonts w:ascii="Palatino Linotype" w:hAnsi="Palatino Linotype" w:cs="Palatino Linotype"/>
          <w:color w:val="000000" w:themeColor="text1"/>
        </w:rPr>
        <w:t>lity of the draft of this Resolution for public comments at the Commission’s website http://www.cpuc.ca.gov/PUC/documents/.  This letter also informed parties that the final confirmed Resolution adopted by the Commission will be posted and available at this same website.</w:t>
      </w:r>
    </w:p>
    <w:p w:rsidR="00846D53" w:rsidRPr="000571D5" w:rsidRDefault="00846D53" w:rsidP="0020695E">
      <w:pPr>
        <w:autoSpaceDE w:val="0"/>
        <w:autoSpaceDN w:val="0"/>
        <w:adjustRightInd w:val="0"/>
        <w:ind w:left="720"/>
        <w:rPr>
          <w:rFonts w:ascii="Palatino Linotype" w:hAnsi="Palatino Linotype"/>
          <w:color w:val="000000" w:themeColor="text1"/>
        </w:rPr>
      </w:pPr>
    </w:p>
    <w:p w:rsidR="00846D53" w:rsidRPr="000571D5" w:rsidRDefault="00E532A0" w:rsidP="00846D53">
      <w:pPr>
        <w:tabs>
          <w:tab w:val="left" w:pos="240"/>
          <w:tab w:val="left" w:pos="720"/>
          <w:tab w:val="right" w:pos="10080"/>
        </w:tabs>
        <w:jc w:val="both"/>
        <w:rPr>
          <w:rFonts w:ascii="Palatino Linotype" w:hAnsi="Palatino Linotype"/>
          <w:color w:val="000000" w:themeColor="text1"/>
        </w:rPr>
      </w:pPr>
      <w:r w:rsidRPr="000571D5">
        <w:rPr>
          <w:rFonts w:ascii="Palatino Linotype" w:hAnsi="Palatino Linotype"/>
          <w:b/>
          <w:color w:val="000000" w:themeColor="text1"/>
        </w:rPr>
        <w:t>THER</w:t>
      </w:r>
      <w:r w:rsidR="004563FB">
        <w:rPr>
          <w:rFonts w:ascii="Palatino Linotype" w:hAnsi="Palatino Linotype"/>
          <w:b/>
          <w:color w:val="000000" w:themeColor="text1"/>
        </w:rPr>
        <w:t>E</w:t>
      </w:r>
      <w:r w:rsidRPr="000571D5">
        <w:rPr>
          <w:rFonts w:ascii="Palatino Linotype" w:hAnsi="Palatino Linotype"/>
          <w:b/>
          <w:color w:val="000000" w:themeColor="text1"/>
        </w:rPr>
        <w:t xml:space="preserve">FORE, IT IS ORDERED </w:t>
      </w:r>
      <w:r w:rsidR="00E84ADD">
        <w:rPr>
          <w:rFonts w:ascii="Palatino Linotype" w:hAnsi="Palatino Linotype"/>
          <w:b/>
          <w:color w:val="000000" w:themeColor="text1"/>
        </w:rPr>
        <w:t>THAT</w:t>
      </w:r>
      <w:r w:rsidRPr="000571D5">
        <w:rPr>
          <w:rFonts w:ascii="Palatino Linotype" w:hAnsi="Palatino Linotype"/>
          <w:color w:val="000000" w:themeColor="text1"/>
        </w:rPr>
        <w:t>:</w:t>
      </w:r>
    </w:p>
    <w:p w:rsidR="00846D53" w:rsidRPr="000571D5" w:rsidRDefault="00846D53" w:rsidP="00846D53">
      <w:pPr>
        <w:tabs>
          <w:tab w:val="left" w:pos="240"/>
          <w:tab w:val="left" w:pos="720"/>
          <w:tab w:val="right" w:pos="10080"/>
        </w:tabs>
        <w:jc w:val="both"/>
        <w:rPr>
          <w:rFonts w:ascii="Palatino Linotype" w:hAnsi="Palatino Linotype"/>
          <w:color w:val="000000" w:themeColor="text1"/>
        </w:rPr>
      </w:pPr>
    </w:p>
    <w:p w:rsidR="00846D53" w:rsidRPr="00547F44" w:rsidRDefault="00846D53" w:rsidP="00221137">
      <w:pPr>
        <w:pStyle w:val="ListParagraph"/>
        <w:numPr>
          <w:ilvl w:val="0"/>
          <w:numId w:val="10"/>
        </w:numPr>
        <w:autoSpaceDE w:val="0"/>
        <w:autoSpaceDN w:val="0"/>
        <w:adjustRightInd w:val="0"/>
        <w:spacing w:after="170"/>
        <w:rPr>
          <w:rFonts w:ascii="Palatino Linotype" w:hAnsi="Palatino Linotype" w:cs="Palatino Linotype"/>
          <w:color w:val="000000" w:themeColor="text1"/>
        </w:rPr>
      </w:pPr>
      <w:r w:rsidRPr="00547F44">
        <w:rPr>
          <w:rFonts w:ascii="Palatino Linotype" w:hAnsi="Palatino Linotype" w:cs="Palatino Linotype"/>
          <w:color w:val="000000" w:themeColor="text1"/>
        </w:rPr>
        <w:t xml:space="preserve">The Commission shall award </w:t>
      </w:r>
      <w:r w:rsidR="002C716B">
        <w:rPr>
          <w:rFonts w:ascii="Palatino Linotype" w:hAnsi="Palatino Linotype" w:cs="Palatino Linotype"/>
          <w:color w:val="000000" w:themeColor="text1"/>
        </w:rPr>
        <w:t>$264,500</w:t>
      </w:r>
      <w:r w:rsidR="00725836" w:rsidRPr="00547F44">
        <w:rPr>
          <w:rFonts w:ascii="Palatino Linotype" w:hAnsi="Palatino Linotype" w:cs="Palatino Linotype"/>
          <w:color w:val="000000" w:themeColor="text1"/>
        </w:rPr>
        <w:t xml:space="preserve"> to the </w:t>
      </w:r>
      <w:r w:rsidR="006A19A7" w:rsidRPr="00547F44">
        <w:rPr>
          <w:rFonts w:ascii="Palatino Linotype" w:hAnsi="Palatino Linotype" w:cs="Palatino Linotype"/>
          <w:color w:val="000000" w:themeColor="text1"/>
        </w:rPr>
        <w:t>Central Coast B</w:t>
      </w:r>
      <w:r w:rsidR="002C716B">
        <w:rPr>
          <w:rFonts w:ascii="Palatino Linotype" w:hAnsi="Palatino Linotype" w:cs="Palatino Linotype"/>
          <w:color w:val="000000" w:themeColor="text1"/>
        </w:rPr>
        <w:t xml:space="preserve">roadband </w:t>
      </w:r>
      <w:r w:rsidR="006A19A7" w:rsidRPr="00547F44">
        <w:rPr>
          <w:rFonts w:ascii="Palatino Linotype" w:hAnsi="Palatino Linotype" w:cs="Palatino Linotype"/>
          <w:color w:val="000000" w:themeColor="text1"/>
        </w:rPr>
        <w:t>C</w:t>
      </w:r>
      <w:r w:rsidR="002C716B">
        <w:rPr>
          <w:rFonts w:ascii="Palatino Linotype" w:hAnsi="Palatino Linotype" w:cs="Palatino Linotype"/>
          <w:color w:val="000000" w:themeColor="text1"/>
        </w:rPr>
        <w:t>onsortium</w:t>
      </w:r>
      <w:r w:rsidR="002D3353">
        <w:rPr>
          <w:rFonts w:ascii="Palatino Linotype" w:hAnsi="Palatino Linotype" w:cs="Palatino Linotype"/>
          <w:color w:val="000000" w:themeColor="text1"/>
        </w:rPr>
        <w:t>;</w:t>
      </w:r>
      <w:r w:rsidR="006A19A7" w:rsidRPr="00547F44">
        <w:rPr>
          <w:rFonts w:ascii="Palatino Linotype" w:hAnsi="Palatino Linotype" w:cs="Palatino Linotype"/>
          <w:color w:val="000000" w:themeColor="text1"/>
        </w:rPr>
        <w:t xml:space="preserve"> </w:t>
      </w:r>
      <w:r w:rsidR="002C716B">
        <w:rPr>
          <w:rFonts w:ascii="Palatino Linotype" w:hAnsi="Palatino Linotype" w:cs="Palatino Linotype"/>
          <w:color w:val="000000" w:themeColor="text1"/>
        </w:rPr>
        <w:t>$27</w:t>
      </w:r>
      <w:r w:rsidR="00F31F51">
        <w:rPr>
          <w:rFonts w:ascii="Palatino Linotype" w:hAnsi="Palatino Linotype" w:cs="Palatino Linotype"/>
          <w:color w:val="000000" w:themeColor="text1"/>
        </w:rPr>
        <w:t>2,1</w:t>
      </w:r>
      <w:r w:rsidR="002C716B">
        <w:rPr>
          <w:rFonts w:ascii="Palatino Linotype" w:hAnsi="Palatino Linotype" w:cs="Palatino Linotype"/>
          <w:color w:val="000000" w:themeColor="text1"/>
        </w:rPr>
        <w:t>60</w:t>
      </w:r>
      <w:r w:rsidR="00082330" w:rsidRPr="00547F44">
        <w:rPr>
          <w:rFonts w:ascii="Palatino Linotype" w:hAnsi="Palatino Linotype" w:cs="Palatino Linotype"/>
          <w:color w:val="000000" w:themeColor="text1"/>
        </w:rPr>
        <w:t xml:space="preserve"> to East Ba</w:t>
      </w:r>
      <w:r w:rsidR="002D3353">
        <w:rPr>
          <w:rFonts w:ascii="Palatino Linotype" w:hAnsi="Palatino Linotype" w:cs="Palatino Linotype"/>
          <w:color w:val="000000" w:themeColor="text1"/>
        </w:rPr>
        <w:t>y</w:t>
      </w:r>
      <w:r w:rsidR="002C716B">
        <w:rPr>
          <w:rFonts w:ascii="Palatino Linotype" w:hAnsi="Palatino Linotype" w:cs="Palatino Linotype"/>
          <w:color w:val="000000" w:themeColor="text1"/>
        </w:rPr>
        <w:t xml:space="preserve"> Broadband Consortium</w:t>
      </w:r>
      <w:r w:rsidR="00725836" w:rsidRPr="00547F44">
        <w:rPr>
          <w:rFonts w:ascii="Palatino Linotype" w:hAnsi="Palatino Linotype" w:cs="Palatino Linotype"/>
          <w:color w:val="000000" w:themeColor="text1"/>
        </w:rPr>
        <w:t>;</w:t>
      </w:r>
      <w:r w:rsidR="00082330" w:rsidRPr="00547F44">
        <w:rPr>
          <w:rFonts w:ascii="Palatino Linotype" w:hAnsi="Palatino Linotype" w:cs="Palatino Linotype"/>
          <w:color w:val="000000" w:themeColor="text1"/>
        </w:rPr>
        <w:t xml:space="preserve"> and </w:t>
      </w:r>
      <w:r w:rsidR="002C716B">
        <w:rPr>
          <w:rFonts w:ascii="Palatino Linotype" w:hAnsi="Palatino Linotype" w:cs="Palatino Linotype"/>
          <w:color w:val="000000" w:themeColor="text1"/>
        </w:rPr>
        <w:t>$200,000</w:t>
      </w:r>
      <w:r w:rsidR="00082330" w:rsidRPr="00547F44">
        <w:rPr>
          <w:rFonts w:ascii="Palatino Linotype" w:hAnsi="Palatino Linotype" w:cs="Palatino Linotype"/>
          <w:color w:val="000000" w:themeColor="text1"/>
        </w:rPr>
        <w:t xml:space="preserve"> to Tahoe</w:t>
      </w:r>
      <w:r w:rsidR="00725836" w:rsidRPr="00547F44">
        <w:rPr>
          <w:rFonts w:ascii="Palatino Linotype" w:hAnsi="Palatino Linotype" w:cs="Palatino Linotype"/>
          <w:color w:val="000000" w:themeColor="text1"/>
        </w:rPr>
        <w:t xml:space="preserve"> </w:t>
      </w:r>
      <w:r w:rsidR="002C716B">
        <w:rPr>
          <w:rFonts w:ascii="Palatino Linotype" w:hAnsi="Palatino Linotype" w:cs="Palatino Linotype"/>
          <w:color w:val="000000" w:themeColor="text1"/>
        </w:rPr>
        <w:t>Basin Project.</w:t>
      </w:r>
      <w:r w:rsidR="00082330" w:rsidRPr="00547F44">
        <w:rPr>
          <w:rFonts w:ascii="Palatino Linotype" w:hAnsi="Palatino Linotype" w:cs="Palatino Linotype"/>
          <w:color w:val="000000" w:themeColor="text1"/>
        </w:rPr>
        <w:t xml:space="preserve"> </w:t>
      </w:r>
      <w:r w:rsidRPr="00547F44">
        <w:rPr>
          <w:rFonts w:ascii="Palatino Linotype" w:hAnsi="Palatino Linotype" w:cs="Palatino Linotype"/>
          <w:color w:val="000000" w:themeColor="text1"/>
        </w:rPr>
        <w:t xml:space="preserve">  All awards are based on the descriptions of the projects as described herein</w:t>
      </w:r>
      <w:r w:rsidR="00F3080C">
        <w:rPr>
          <w:rFonts w:ascii="Palatino Linotype" w:hAnsi="Palatino Linotype" w:cs="Palatino Linotype"/>
          <w:color w:val="000000" w:themeColor="text1"/>
        </w:rPr>
        <w:t>.  W</w:t>
      </w:r>
      <w:r w:rsidR="002D3353">
        <w:rPr>
          <w:rFonts w:ascii="Palatino Linotype" w:hAnsi="Palatino Linotype" w:cs="Palatino Linotype"/>
          <w:color w:val="000000" w:themeColor="text1"/>
        </w:rPr>
        <w:t xml:space="preserve">ork plans </w:t>
      </w:r>
      <w:r w:rsidR="00F3080C">
        <w:rPr>
          <w:rFonts w:ascii="Palatino Linotype" w:hAnsi="Palatino Linotype" w:cs="Palatino Linotype"/>
          <w:color w:val="000000" w:themeColor="text1"/>
        </w:rPr>
        <w:t>are in the attached appendix.</w:t>
      </w:r>
    </w:p>
    <w:p w:rsidR="00951862" w:rsidRPr="00F31F51" w:rsidRDefault="002D3353" w:rsidP="00F31F51">
      <w:pPr>
        <w:numPr>
          <w:ilvl w:val="0"/>
          <w:numId w:val="10"/>
        </w:numPr>
        <w:autoSpaceDE w:val="0"/>
        <w:autoSpaceDN w:val="0"/>
        <w:adjustRightInd w:val="0"/>
        <w:spacing w:after="170"/>
        <w:rPr>
          <w:rFonts w:ascii="Palatino Linotype" w:hAnsi="Palatino Linotype" w:cs="Palatino Linotype"/>
          <w:color w:val="000000" w:themeColor="text1"/>
        </w:rPr>
      </w:pPr>
      <w:r>
        <w:rPr>
          <w:rFonts w:ascii="Palatino Linotype" w:hAnsi="Palatino Linotype" w:cs="Palatino Linotype"/>
          <w:color w:val="000000" w:themeColor="text1"/>
        </w:rPr>
        <w:t xml:space="preserve">Payments to the CASF recipients </w:t>
      </w:r>
      <w:r w:rsidR="00846D53" w:rsidRPr="00F31F51">
        <w:rPr>
          <w:rFonts w:ascii="Palatino Linotype" w:hAnsi="Palatino Linotype" w:cs="Palatino Linotype"/>
          <w:color w:val="000000" w:themeColor="text1"/>
        </w:rPr>
        <w:t xml:space="preserve">shall be in accordance </w:t>
      </w:r>
      <w:r w:rsidR="00073A17" w:rsidRPr="00F31F51">
        <w:rPr>
          <w:rFonts w:ascii="Palatino Linotype" w:hAnsi="Palatino Linotype" w:cs="Palatino Linotype"/>
          <w:color w:val="000000" w:themeColor="text1"/>
        </w:rPr>
        <w:t>with guidelines adopted in D.11-06-038</w:t>
      </w:r>
      <w:r w:rsidR="00846D53" w:rsidRPr="00F31F51">
        <w:rPr>
          <w:rFonts w:ascii="Palatino Linotype" w:hAnsi="Palatino Linotype" w:cs="Palatino Linotype"/>
          <w:color w:val="000000" w:themeColor="text1"/>
        </w:rPr>
        <w:t xml:space="preserve"> and in accordance with the process defined in the “Payments” section of this Resolution. </w:t>
      </w:r>
    </w:p>
    <w:p w:rsidR="00801AE5" w:rsidRDefault="002D3353" w:rsidP="00221137">
      <w:pPr>
        <w:numPr>
          <w:ilvl w:val="0"/>
          <w:numId w:val="10"/>
        </w:numPr>
        <w:autoSpaceDE w:val="0"/>
        <w:autoSpaceDN w:val="0"/>
        <w:adjustRightInd w:val="0"/>
        <w:spacing w:after="170"/>
        <w:rPr>
          <w:rFonts w:ascii="Palatino Linotype" w:hAnsi="Palatino Linotype" w:cs="Palatino Linotype"/>
          <w:color w:val="000000" w:themeColor="text1"/>
        </w:rPr>
      </w:pPr>
      <w:r>
        <w:rPr>
          <w:rFonts w:ascii="Palatino Linotype" w:hAnsi="Palatino Linotype" w:cs="Palatino Linotype"/>
          <w:color w:val="000000" w:themeColor="text1"/>
        </w:rPr>
        <w:t xml:space="preserve">The </w:t>
      </w:r>
      <w:r w:rsidR="00801AE5">
        <w:rPr>
          <w:rFonts w:ascii="Palatino Linotype" w:hAnsi="Palatino Linotype" w:cs="Palatino Linotype"/>
          <w:color w:val="000000" w:themeColor="text1"/>
        </w:rPr>
        <w:t>Consortium must retain at least one Fiscal Agent with lead responsibility and legal authority to represent the Consortium for purposes of sponsoring the application, and or administration of Consortium activities, including receipt and disbursement of Consortium grant funds.</w:t>
      </w:r>
    </w:p>
    <w:p w:rsidR="00801AE5" w:rsidRPr="000571D5" w:rsidRDefault="002D3353" w:rsidP="00221137">
      <w:pPr>
        <w:numPr>
          <w:ilvl w:val="0"/>
          <w:numId w:val="10"/>
        </w:numPr>
        <w:autoSpaceDE w:val="0"/>
        <w:autoSpaceDN w:val="0"/>
        <w:adjustRightInd w:val="0"/>
        <w:spacing w:after="170"/>
        <w:rPr>
          <w:rFonts w:ascii="Palatino Linotype" w:hAnsi="Palatino Linotype" w:cs="Palatino Linotype"/>
          <w:color w:val="000000" w:themeColor="text1"/>
        </w:rPr>
      </w:pPr>
      <w:r>
        <w:rPr>
          <w:rFonts w:ascii="Palatino Linotype" w:hAnsi="Palatino Linotype" w:cs="Palatino Linotype"/>
          <w:color w:val="000000" w:themeColor="text1"/>
        </w:rPr>
        <w:t>T</w:t>
      </w:r>
      <w:r w:rsidR="00801AE5">
        <w:rPr>
          <w:rFonts w:ascii="Palatino Linotype" w:hAnsi="Palatino Linotype" w:cs="Palatino Linotype"/>
          <w:color w:val="000000" w:themeColor="text1"/>
        </w:rPr>
        <w:t>he Fiscal Agent must affirmatively agree, on behalf of the Consortium, to comply with the Commission’s directives and conditions relating to the review, approval, and administration of any Consortia application grants.</w:t>
      </w:r>
    </w:p>
    <w:p w:rsidR="00BE5488" w:rsidRDefault="002D3353" w:rsidP="00221137">
      <w:pPr>
        <w:numPr>
          <w:ilvl w:val="0"/>
          <w:numId w:val="10"/>
        </w:numPr>
        <w:autoSpaceDE w:val="0"/>
        <w:autoSpaceDN w:val="0"/>
        <w:adjustRightInd w:val="0"/>
        <w:spacing w:after="170"/>
        <w:ind w:right="187"/>
        <w:rPr>
          <w:rFonts w:ascii="Palatino Linotype" w:hAnsi="Palatino Linotype" w:cs="Palatino Linotype"/>
          <w:color w:val="000000" w:themeColor="text1"/>
        </w:rPr>
      </w:pPr>
      <w:r>
        <w:rPr>
          <w:rFonts w:ascii="Palatino Linotype" w:hAnsi="Palatino Linotype" w:cs="Palatino Linotype"/>
          <w:color w:val="000000" w:themeColor="text1"/>
        </w:rPr>
        <w:t>CCBC, EBBC, and TBP</w:t>
      </w:r>
      <w:r w:rsidR="00846D53" w:rsidRPr="000571D5">
        <w:rPr>
          <w:rFonts w:ascii="Palatino Linotype" w:hAnsi="Palatino Linotype" w:cs="Palatino Linotype"/>
          <w:color w:val="000000" w:themeColor="text1"/>
        </w:rPr>
        <w:t xml:space="preserve"> shall comply with all guidelines, requirements and conditions associated with the CASF funds a</w:t>
      </w:r>
      <w:r w:rsidR="00E64D97">
        <w:rPr>
          <w:rFonts w:ascii="Palatino Linotype" w:hAnsi="Palatino Linotype" w:cs="Palatino Linotype"/>
          <w:color w:val="000000" w:themeColor="text1"/>
        </w:rPr>
        <w:t xml:space="preserve">ward as specified in D.11-06-038 and </w:t>
      </w:r>
      <w:r w:rsidR="00073A17">
        <w:rPr>
          <w:rFonts w:ascii="Palatino Linotype" w:hAnsi="Palatino Linotype" w:cs="Palatino Linotype"/>
          <w:color w:val="000000" w:themeColor="text1"/>
        </w:rPr>
        <w:t>this Resolution</w:t>
      </w:r>
      <w:r w:rsidR="00846D53" w:rsidRPr="000571D5">
        <w:rPr>
          <w:rFonts w:ascii="Palatino Linotype" w:hAnsi="Palatino Linotype" w:cs="Palatino Linotype"/>
          <w:color w:val="000000" w:themeColor="text1"/>
        </w:rPr>
        <w:t xml:space="preserve">. </w:t>
      </w:r>
    </w:p>
    <w:p w:rsidR="00F31F51" w:rsidRDefault="00F31F51" w:rsidP="00221137">
      <w:pPr>
        <w:numPr>
          <w:ilvl w:val="0"/>
          <w:numId w:val="10"/>
        </w:numPr>
        <w:autoSpaceDE w:val="0"/>
        <w:autoSpaceDN w:val="0"/>
        <w:adjustRightInd w:val="0"/>
        <w:spacing w:after="170"/>
        <w:ind w:right="187"/>
        <w:rPr>
          <w:rFonts w:ascii="Palatino Linotype" w:hAnsi="Palatino Linotype" w:cs="Palatino Linotype"/>
          <w:color w:val="000000" w:themeColor="text1"/>
        </w:rPr>
      </w:pPr>
      <w:r>
        <w:rPr>
          <w:rFonts w:ascii="Palatino Linotype" w:hAnsi="Palatino Linotype" w:cs="Palatino Linotype"/>
          <w:color w:val="000000" w:themeColor="text1"/>
        </w:rPr>
        <w:t>Prior to commencement of the grantee’s program, the Fiscal Agent must provide CD with the method chosen to distinguish</w:t>
      </w:r>
      <w:r w:rsidR="002E31D2">
        <w:rPr>
          <w:rFonts w:ascii="Palatino Linotype" w:hAnsi="Palatino Linotype" w:cs="Palatino Linotype"/>
          <w:color w:val="000000" w:themeColor="text1"/>
        </w:rPr>
        <w:t xml:space="preserve"> funding sources and billing practices, to </w:t>
      </w:r>
      <w:r w:rsidR="00EC6374">
        <w:rPr>
          <w:rFonts w:ascii="Palatino Linotype" w:hAnsi="Palatino Linotype" w:cs="Palatino Linotype"/>
          <w:color w:val="000000" w:themeColor="text1"/>
        </w:rPr>
        <w:t>ensure</w:t>
      </w:r>
      <w:r w:rsidR="002E31D2">
        <w:rPr>
          <w:rFonts w:ascii="Palatino Linotype" w:hAnsi="Palatino Linotype" w:cs="Palatino Linotype"/>
          <w:color w:val="000000" w:themeColor="text1"/>
        </w:rPr>
        <w:t xml:space="preserve"> </w:t>
      </w:r>
      <w:r w:rsidR="00EC6374">
        <w:rPr>
          <w:rFonts w:ascii="Palatino Linotype" w:hAnsi="Palatino Linotype" w:cs="Palatino Linotype"/>
          <w:color w:val="000000" w:themeColor="text1"/>
        </w:rPr>
        <w:t xml:space="preserve">that </w:t>
      </w:r>
      <w:r w:rsidR="002E31D2">
        <w:rPr>
          <w:rFonts w:ascii="Palatino Linotype" w:hAnsi="Palatino Linotype" w:cs="Palatino Linotype"/>
          <w:color w:val="000000" w:themeColor="text1"/>
        </w:rPr>
        <w:t>CASF</w:t>
      </w:r>
      <w:r w:rsidR="00EC6374">
        <w:rPr>
          <w:rFonts w:ascii="Palatino Linotype" w:hAnsi="Palatino Linotype" w:cs="Palatino Linotype"/>
          <w:color w:val="000000" w:themeColor="text1"/>
        </w:rPr>
        <w:t xml:space="preserve"> payments are not duplicated by other sources</w:t>
      </w:r>
      <w:r w:rsidR="002E31D2">
        <w:rPr>
          <w:rFonts w:ascii="Palatino Linotype" w:hAnsi="Palatino Linotype" w:cs="Palatino Linotype"/>
          <w:color w:val="000000" w:themeColor="text1"/>
        </w:rPr>
        <w:t>.</w:t>
      </w:r>
    </w:p>
    <w:p w:rsidR="00345A54" w:rsidRPr="002E31D2" w:rsidDel="00345A54" w:rsidRDefault="00451B78" w:rsidP="002E31D2">
      <w:pPr>
        <w:numPr>
          <w:ilvl w:val="0"/>
          <w:numId w:val="10"/>
        </w:numPr>
        <w:autoSpaceDE w:val="0"/>
        <w:autoSpaceDN w:val="0"/>
        <w:adjustRightInd w:val="0"/>
        <w:spacing w:after="170"/>
        <w:rPr>
          <w:rFonts w:ascii="Palatino Linotype" w:hAnsi="Palatino Linotype" w:cs="Palatino Linotype"/>
          <w:color w:val="000000" w:themeColor="text1"/>
        </w:rPr>
      </w:pPr>
      <w:r w:rsidRPr="002E31D2">
        <w:rPr>
          <w:rFonts w:ascii="Palatino Linotype" w:hAnsi="Palatino Linotype" w:cs="Palatino Linotype"/>
          <w:color w:val="000000" w:themeColor="text1"/>
        </w:rPr>
        <w:t>The disbursement of funds shall be subject to the requirements set forth in D</w:t>
      </w:r>
      <w:r w:rsidR="00073A17">
        <w:rPr>
          <w:rFonts w:ascii="Palatino Linotype" w:hAnsi="Palatino Linotype" w:cs="Palatino Linotype"/>
          <w:color w:val="000000" w:themeColor="text1"/>
        </w:rPr>
        <w:t>.</w:t>
      </w:r>
      <w:r w:rsidRPr="002E31D2">
        <w:rPr>
          <w:rFonts w:ascii="Palatino Linotype" w:hAnsi="Palatino Linotype" w:cs="Palatino Linotype"/>
          <w:color w:val="000000" w:themeColor="text1"/>
        </w:rPr>
        <w:t xml:space="preserve">11-06-038 including the submission of quarterly progress reports and supporting documentation for payment reimbursement, yearly status reports for informing the legislature, and a completion report to be submitted with the final payment request.  By receiving a CASF grant from the Commission, the consortia agrees to comply with the terms, conditions, and requirements of the grant and thus submits to the jurisdiction of the Commission with regard to disbursement and administration of the grant. </w:t>
      </w:r>
    </w:p>
    <w:p w:rsidR="00951862" w:rsidRPr="00580976" w:rsidRDefault="00451B78" w:rsidP="00580976">
      <w:pPr>
        <w:numPr>
          <w:ilvl w:val="0"/>
          <w:numId w:val="10"/>
        </w:numPr>
        <w:autoSpaceDE w:val="0"/>
        <w:autoSpaceDN w:val="0"/>
        <w:adjustRightInd w:val="0"/>
        <w:rPr>
          <w:rFonts w:ascii="Palatino Linotype" w:hAnsi="Palatino Linotype" w:cs="Palatino Linotype"/>
          <w:color w:val="000000" w:themeColor="text1"/>
        </w:rPr>
      </w:pPr>
      <w:r w:rsidRPr="00FC3F56">
        <w:rPr>
          <w:rFonts w:ascii="Palatino Linotype" w:hAnsi="Palatino Linotype" w:cs="Palatino Linotype"/>
          <w:color w:val="000000" w:themeColor="text1"/>
        </w:rPr>
        <w:lastRenderedPageBreak/>
        <w:t>The Consortia must use the grant funds solely for the approved project as described in the Cons</w:t>
      </w:r>
      <w:r w:rsidRPr="00580976">
        <w:rPr>
          <w:rFonts w:ascii="Palatino Linotype" w:hAnsi="Palatino Linotype" w:cs="Palatino Linotype"/>
          <w:color w:val="000000" w:themeColor="text1"/>
        </w:rPr>
        <w:t>ortia Commission-approved Action Plan and Work Plan, (or approved revisions to such Plans and budgets).</w:t>
      </w:r>
    </w:p>
    <w:p w:rsidR="002E31D2" w:rsidRDefault="002E31D2" w:rsidP="00580976">
      <w:pPr>
        <w:pStyle w:val="ListParagraph"/>
        <w:rPr>
          <w:rFonts w:ascii="Palatino Linotype" w:hAnsi="Palatino Linotype" w:cs="Palatino Linotype"/>
          <w:color w:val="000000" w:themeColor="text1"/>
        </w:rPr>
      </w:pPr>
    </w:p>
    <w:p w:rsidR="00415044" w:rsidRPr="00694426" w:rsidRDefault="00415044" w:rsidP="00415044">
      <w:pPr>
        <w:numPr>
          <w:ilvl w:val="0"/>
          <w:numId w:val="10"/>
        </w:numPr>
        <w:autoSpaceDE w:val="0"/>
        <w:autoSpaceDN w:val="0"/>
        <w:adjustRightInd w:val="0"/>
        <w:spacing w:after="170"/>
        <w:rPr>
          <w:rFonts w:ascii="Palatino Linotype" w:hAnsi="Palatino Linotype" w:cs="Palatino Linotype"/>
          <w:color w:val="000000" w:themeColor="text1"/>
        </w:rPr>
      </w:pPr>
      <w:r>
        <w:rPr>
          <w:rFonts w:ascii="Palatino Linotype" w:hAnsi="Palatino Linotype" w:cs="Palatino Linotype"/>
          <w:color w:val="000000" w:themeColor="text1"/>
        </w:rPr>
        <w:t>Any changes to the substantive terms and conditions underlying Commission approval of the grant (e.g., changes to Action Plan, Work Plan, budget or designated Fiscal Agent, etc.) must be communicated in writing to the Communications Division Director at least 30 days before the anticipated change, and may be subject to approval by either the Director or by Commission resolution before becoming effective.</w:t>
      </w:r>
    </w:p>
    <w:p w:rsidR="00951862" w:rsidRDefault="00451B78" w:rsidP="002E31D2">
      <w:pPr>
        <w:numPr>
          <w:ilvl w:val="0"/>
          <w:numId w:val="10"/>
        </w:numPr>
        <w:autoSpaceDE w:val="0"/>
        <w:autoSpaceDN w:val="0"/>
        <w:adjustRightInd w:val="0"/>
        <w:spacing w:after="170"/>
        <w:rPr>
          <w:rFonts w:ascii="Palatino Linotype" w:hAnsi="Palatino Linotype" w:cs="Palatino Linotype"/>
          <w:color w:val="000000" w:themeColor="text1"/>
        </w:rPr>
      </w:pPr>
      <w:r w:rsidRPr="002E31D2">
        <w:rPr>
          <w:rFonts w:ascii="Palatino Linotype" w:hAnsi="Palatino Linotype" w:cs="Palatino Linotype"/>
          <w:color w:val="000000" w:themeColor="text1"/>
        </w:rPr>
        <w:t>The Commission may withhold or terminate grant payments if the consortium does not comply with any of the requirements set forth in Decision 11-06-038 and this Resolution.</w:t>
      </w:r>
      <w:r w:rsidR="002E31D2">
        <w:rPr>
          <w:rFonts w:ascii="Palatino Linotype" w:hAnsi="Palatino Linotype" w:cs="Palatino Linotype"/>
          <w:color w:val="000000" w:themeColor="text1"/>
        </w:rPr>
        <w:t xml:space="preserve"> </w:t>
      </w:r>
    </w:p>
    <w:p w:rsidR="00951862" w:rsidRPr="002E31D2" w:rsidRDefault="00451B78" w:rsidP="002E31D2">
      <w:pPr>
        <w:numPr>
          <w:ilvl w:val="0"/>
          <w:numId w:val="10"/>
        </w:numPr>
        <w:autoSpaceDE w:val="0"/>
        <w:autoSpaceDN w:val="0"/>
        <w:adjustRightInd w:val="0"/>
        <w:spacing w:after="170"/>
        <w:rPr>
          <w:rFonts w:ascii="Palatino Linotype" w:hAnsi="Palatino Linotype" w:cs="Palatino Linotype"/>
          <w:color w:val="000000" w:themeColor="text1"/>
        </w:rPr>
      </w:pPr>
      <w:r w:rsidRPr="002E31D2">
        <w:rPr>
          <w:rFonts w:ascii="Palatino Linotype" w:hAnsi="Palatino Linotype" w:cs="Palatino Linotype"/>
          <w:color w:val="000000" w:themeColor="text1"/>
        </w:rPr>
        <w:t xml:space="preserve">In the event that the </w:t>
      </w:r>
      <w:r w:rsidR="002E31D2">
        <w:rPr>
          <w:rFonts w:ascii="Palatino Linotype" w:hAnsi="Palatino Linotype" w:cs="Palatino Linotype"/>
          <w:color w:val="000000" w:themeColor="text1"/>
        </w:rPr>
        <w:t>g</w:t>
      </w:r>
      <w:r w:rsidRPr="002E31D2">
        <w:rPr>
          <w:rFonts w:ascii="Palatino Linotype" w:hAnsi="Palatino Linotype" w:cs="Palatino Linotype"/>
          <w:color w:val="000000" w:themeColor="text1"/>
        </w:rPr>
        <w:t xml:space="preserve">rantee fails to complete the project in accordance with the terms </w:t>
      </w:r>
      <w:r w:rsidRPr="00FF24F6">
        <w:rPr>
          <w:rFonts w:ascii="Palatino Linotype" w:hAnsi="Palatino Linotype" w:cs="Palatino Linotype"/>
          <w:color w:val="000000" w:themeColor="text1"/>
        </w:rPr>
        <w:t>of approval granted by the Commission and this Resolution, the grantee</w:t>
      </w:r>
      <w:r w:rsidR="002E31D2" w:rsidRPr="00FF24F6">
        <w:rPr>
          <w:rFonts w:ascii="Palatino Linotype" w:hAnsi="Palatino Linotype" w:cs="Palatino Linotype"/>
          <w:color w:val="000000" w:themeColor="text1"/>
        </w:rPr>
        <w:t xml:space="preserve">, represented </w:t>
      </w:r>
      <w:r w:rsidR="002E31D2" w:rsidRPr="00DD5C4A">
        <w:rPr>
          <w:rFonts w:ascii="Palatino Linotype" w:hAnsi="Palatino Linotype" w:cs="Palatino Linotype"/>
          <w:color w:val="000000" w:themeColor="text1"/>
        </w:rPr>
        <w:t>by t</w:t>
      </w:r>
      <w:r w:rsidR="002E31D2" w:rsidRPr="00FF24F6">
        <w:rPr>
          <w:rFonts w:ascii="Palatino Linotype" w:hAnsi="Palatino Linotype" w:cs="Palatino Linotype"/>
          <w:color w:val="000000" w:themeColor="text1"/>
        </w:rPr>
        <w:t>he Fiscal Agent,</w:t>
      </w:r>
      <w:r w:rsidRPr="00FF24F6">
        <w:rPr>
          <w:rFonts w:ascii="Palatino Linotype" w:hAnsi="Palatino Linotype" w:cs="Palatino Linotype"/>
          <w:color w:val="000000" w:themeColor="text1"/>
        </w:rPr>
        <w:t xml:space="preserve"> will be required to reimburse some or a</w:t>
      </w:r>
      <w:r w:rsidRPr="00BC611F">
        <w:rPr>
          <w:rFonts w:ascii="Palatino Linotype" w:hAnsi="Palatino Linotype" w:cs="Palatino Linotype"/>
          <w:color w:val="000000" w:themeColor="text1"/>
        </w:rPr>
        <w:t>ll of the CASF funds that it has</w:t>
      </w:r>
      <w:r w:rsidRPr="002E31D2">
        <w:rPr>
          <w:rFonts w:ascii="Palatino Linotype" w:hAnsi="Palatino Linotype" w:cs="Palatino Linotype"/>
          <w:color w:val="000000" w:themeColor="text1"/>
        </w:rPr>
        <w:t xml:space="preserve"> received. </w:t>
      </w:r>
    </w:p>
    <w:p w:rsidR="00951862" w:rsidRPr="00580976" w:rsidRDefault="00A047FF" w:rsidP="00580976">
      <w:pPr>
        <w:pStyle w:val="BodyText"/>
        <w:numPr>
          <w:ilvl w:val="0"/>
          <w:numId w:val="10"/>
        </w:numPr>
        <w:tabs>
          <w:tab w:val="clear" w:pos="720"/>
        </w:tabs>
        <w:autoSpaceDE w:val="0"/>
        <w:autoSpaceDN w:val="0"/>
        <w:adjustRightInd w:val="0"/>
        <w:spacing w:after="170"/>
        <w:rPr>
          <w:rFonts w:ascii="Palatino Linotype" w:hAnsi="Palatino Linotype" w:cs="Palatino Linotype"/>
          <w:color w:val="000000" w:themeColor="text1"/>
        </w:rPr>
      </w:pPr>
      <w:r w:rsidRPr="00580976">
        <w:rPr>
          <w:rFonts w:ascii="Palatino Linotype" w:hAnsi="Palatino Linotype" w:cs="Palatino Linotype"/>
          <w:color w:val="000000" w:themeColor="text1"/>
        </w:rPr>
        <w:t xml:space="preserve">The Commission adopts </w:t>
      </w:r>
      <w:r>
        <w:rPr>
          <w:rFonts w:ascii="Palatino Linotype" w:hAnsi="Palatino Linotype" w:cs="Palatino Linotype"/>
          <w:color w:val="000000" w:themeColor="text1"/>
        </w:rPr>
        <w:t>CD’s</w:t>
      </w:r>
      <w:r w:rsidR="00580976">
        <w:rPr>
          <w:rFonts w:ascii="Palatino Linotype" w:hAnsi="Palatino Linotype" w:cs="Palatino Linotype"/>
          <w:color w:val="000000" w:themeColor="text1"/>
        </w:rPr>
        <w:t xml:space="preserve"> </w:t>
      </w:r>
      <w:r w:rsidRPr="00580976">
        <w:rPr>
          <w:rFonts w:ascii="Palatino Linotype" w:hAnsi="Palatino Linotype" w:cs="Palatino Linotype"/>
          <w:color w:val="000000" w:themeColor="text1"/>
        </w:rPr>
        <w:t xml:space="preserve">modification to the </w:t>
      </w:r>
      <w:r w:rsidRPr="00580976">
        <w:rPr>
          <w:rFonts w:ascii="Palatino Linotype" w:eastAsia="SimSun" w:hAnsi="Palatino Linotype" w:cs="Palatino Linotype"/>
          <w:color w:val="000000" w:themeColor="text1"/>
          <w:szCs w:val="24"/>
        </w:rPr>
        <w:t>annual Consortia Learning Summit initiated by D.11-06-038</w:t>
      </w:r>
      <w:r>
        <w:rPr>
          <w:rFonts w:ascii="Palatino Linotype" w:eastAsia="SimSun" w:hAnsi="Palatino Linotype" w:cs="Palatino Linotype"/>
          <w:color w:val="000000" w:themeColor="text1"/>
          <w:szCs w:val="24"/>
        </w:rPr>
        <w:t>, which modifies</w:t>
      </w:r>
      <w:r w:rsidRPr="00580976">
        <w:rPr>
          <w:rFonts w:ascii="Palatino Linotype" w:eastAsia="SimSun" w:hAnsi="Palatino Linotype" w:cs="Palatino Linotype"/>
          <w:color w:val="000000" w:themeColor="text1"/>
          <w:szCs w:val="24"/>
        </w:rPr>
        <w:t xml:space="preserve"> the frequency of the summit</w:t>
      </w:r>
      <w:r>
        <w:rPr>
          <w:rFonts w:ascii="Palatino Linotype" w:eastAsia="SimSun" w:hAnsi="Palatino Linotype" w:cs="Palatino Linotype"/>
          <w:color w:val="000000" w:themeColor="text1"/>
          <w:szCs w:val="24"/>
        </w:rPr>
        <w:t>,</w:t>
      </w:r>
      <w:r w:rsidRPr="00580976">
        <w:rPr>
          <w:rFonts w:ascii="Palatino Linotype" w:hAnsi="Palatino Linotype"/>
          <w:color w:val="000000" w:themeColor="text1"/>
        </w:rPr>
        <w:t xml:space="preserve"> authorizing CD to conduct at least one Regional Consortia Learning Summit during the implementation of the reallocated $5 million, instead of an annual summit</w:t>
      </w:r>
      <w:r>
        <w:rPr>
          <w:rFonts w:ascii="Palatino Linotype" w:hAnsi="Palatino Linotype"/>
          <w:color w:val="000000" w:themeColor="text1"/>
        </w:rPr>
        <w:t xml:space="preserve">. </w:t>
      </w:r>
      <w:r w:rsidR="002E31D2" w:rsidRPr="00580976">
        <w:rPr>
          <w:rFonts w:ascii="Palatino Linotype" w:hAnsi="Palatino Linotype" w:cs="Palatino Linotype"/>
          <w:color w:val="000000" w:themeColor="text1"/>
        </w:rPr>
        <w:t xml:space="preserve"> </w:t>
      </w:r>
      <w:r w:rsidR="00A62FE7" w:rsidRPr="00580976">
        <w:rPr>
          <w:rFonts w:ascii="Palatino Linotype" w:hAnsi="Palatino Linotype" w:cs="Palatino Linotype"/>
          <w:color w:val="000000" w:themeColor="text1"/>
        </w:rPr>
        <w:t xml:space="preserve"> </w:t>
      </w:r>
    </w:p>
    <w:p w:rsidR="00186D33" w:rsidRPr="00FA66D1" w:rsidRDefault="00451B78" w:rsidP="00FF100C">
      <w:pPr>
        <w:numPr>
          <w:ilvl w:val="0"/>
          <w:numId w:val="10"/>
        </w:numPr>
        <w:autoSpaceDE w:val="0"/>
        <w:autoSpaceDN w:val="0"/>
        <w:adjustRightInd w:val="0"/>
        <w:spacing w:after="170"/>
        <w:ind w:right="180"/>
        <w:rPr>
          <w:rFonts w:ascii="Palatino Linotype" w:hAnsi="Palatino Linotype" w:cs="Palatino Linotype"/>
          <w:color w:val="000000" w:themeColor="text1"/>
        </w:rPr>
      </w:pPr>
      <w:r w:rsidRPr="00FA66D1">
        <w:rPr>
          <w:rFonts w:ascii="Palatino Linotype" w:hAnsi="Palatino Linotype" w:cs="Palatino Linotype"/>
          <w:color w:val="000000" w:themeColor="text1"/>
        </w:rPr>
        <w:t>The commencement of the grant cycle will be</w:t>
      </w:r>
      <w:r w:rsidR="003808D3" w:rsidRPr="00FA66D1">
        <w:rPr>
          <w:rFonts w:ascii="Palatino Linotype" w:hAnsi="Palatino Linotype" w:cs="Palatino Linotype"/>
          <w:color w:val="000000" w:themeColor="text1"/>
        </w:rPr>
        <w:t xml:space="preserve"> September 1, 2016.</w:t>
      </w:r>
    </w:p>
    <w:p w:rsidR="00846D53" w:rsidRPr="000571D5" w:rsidRDefault="00E532A0" w:rsidP="00846D53">
      <w:pPr>
        <w:tabs>
          <w:tab w:val="left" w:pos="240"/>
          <w:tab w:val="left" w:pos="720"/>
          <w:tab w:val="right" w:pos="10080"/>
        </w:tabs>
        <w:jc w:val="both"/>
        <w:rPr>
          <w:rFonts w:ascii="Palatino Linotype" w:hAnsi="Palatino Linotype"/>
          <w:color w:val="000000" w:themeColor="text1"/>
        </w:rPr>
      </w:pPr>
      <w:r w:rsidRPr="000571D5">
        <w:rPr>
          <w:rFonts w:ascii="Palatino Linotype" w:hAnsi="Palatino Linotype"/>
          <w:color w:val="000000" w:themeColor="text1"/>
        </w:rPr>
        <w:t>This Resolution is effective today.</w:t>
      </w:r>
    </w:p>
    <w:p w:rsidR="00846D53" w:rsidRPr="000571D5" w:rsidRDefault="00846D53" w:rsidP="00846D53">
      <w:pPr>
        <w:tabs>
          <w:tab w:val="left" w:pos="240"/>
          <w:tab w:val="left" w:pos="720"/>
          <w:tab w:val="right" w:pos="10080"/>
        </w:tabs>
        <w:jc w:val="both"/>
        <w:rPr>
          <w:rFonts w:ascii="Palatino Linotype" w:hAnsi="Palatino Linotype"/>
          <w:color w:val="000000" w:themeColor="text1"/>
        </w:rPr>
      </w:pPr>
    </w:p>
    <w:p w:rsidR="00846D53" w:rsidRPr="00B8240F" w:rsidRDefault="00E532A0" w:rsidP="00FF100C">
      <w:pPr>
        <w:tabs>
          <w:tab w:val="left" w:pos="240"/>
          <w:tab w:val="left" w:pos="720"/>
          <w:tab w:val="right" w:pos="10080"/>
        </w:tabs>
        <w:jc w:val="both"/>
        <w:rPr>
          <w:rFonts w:ascii="Palatino Linotype" w:hAnsi="Palatino Linotype"/>
          <w:color w:val="000000" w:themeColor="text1"/>
        </w:rPr>
      </w:pPr>
      <w:r w:rsidRPr="000571D5">
        <w:rPr>
          <w:rFonts w:ascii="Palatino Linotype" w:hAnsi="Palatino Linotype"/>
          <w:color w:val="000000" w:themeColor="text1"/>
        </w:rPr>
        <w:t xml:space="preserve">I hereby certify that this Resolution was adopted by the Public Utilities Commission at its regular meeting on </w:t>
      </w:r>
      <w:r w:rsidR="00F8631C">
        <w:rPr>
          <w:rFonts w:ascii="Palatino Linotype" w:hAnsi="Palatino Linotype"/>
          <w:color w:val="000000" w:themeColor="text1"/>
        </w:rPr>
        <w:t>August 18</w:t>
      </w:r>
      <w:r w:rsidR="00FF5722">
        <w:rPr>
          <w:rFonts w:ascii="Palatino Linotype" w:hAnsi="Palatino Linotype"/>
          <w:color w:val="000000" w:themeColor="text1"/>
        </w:rPr>
        <w:t xml:space="preserve">, 2016.  </w:t>
      </w:r>
      <w:r w:rsidRPr="000571D5">
        <w:rPr>
          <w:rFonts w:ascii="Palatino Linotype" w:hAnsi="Palatino Linotype"/>
          <w:color w:val="000000" w:themeColor="text1"/>
        </w:rPr>
        <w:t>The following Commissioners approved it:</w:t>
      </w:r>
    </w:p>
    <w:p w:rsidR="00FA66D1" w:rsidRDefault="00FA66D1" w:rsidP="00846D53">
      <w:pPr>
        <w:tabs>
          <w:tab w:val="right" w:pos="10080"/>
        </w:tabs>
        <w:rPr>
          <w:rFonts w:ascii="Palatino Linotype" w:hAnsi="Palatino Linotype"/>
          <w:color w:val="000000" w:themeColor="text1"/>
        </w:rPr>
      </w:pPr>
    </w:p>
    <w:p w:rsidR="00FA66D1" w:rsidRPr="00B8240F" w:rsidRDefault="00FA66D1" w:rsidP="00846D53">
      <w:pPr>
        <w:tabs>
          <w:tab w:val="right" w:pos="10080"/>
        </w:tabs>
        <w:rPr>
          <w:rFonts w:ascii="Palatino Linotype" w:hAnsi="Palatino Linotype"/>
          <w:color w:val="000000" w:themeColor="text1"/>
        </w:rPr>
      </w:pPr>
    </w:p>
    <w:p w:rsidR="00846D53" w:rsidRPr="00B8240F" w:rsidRDefault="00E532A0" w:rsidP="00846D53">
      <w:pPr>
        <w:tabs>
          <w:tab w:val="right" w:pos="8640"/>
        </w:tabs>
        <w:jc w:val="both"/>
        <w:rPr>
          <w:rFonts w:ascii="Palatino Linotype" w:hAnsi="Palatino Linotype"/>
          <w:color w:val="000000" w:themeColor="text1"/>
        </w:rPr>
      </w:pPr>
      <w:r w:rsidRPr="00B8240F">
        <w:rPr>
          <w:rFonts w:ascii="Palatino Linotype" w:hAnsi="Palatino Linotype"/>
          <w:color w:val="000000" w:themeColor="text1"/>
        </w:rPr>
        <w:tab/>
        <w:t>______________________________</w:t>
      </w:r>
    </w:p>
    <w:p w:rsidR="00846D53" w:rsidRPr="00B8240F" w:rsidRDefault="00E532A0" w:rsidP="00846D53">
      <w:pPr>
        <w:tabs>
          <w:tab w:val="left" w:pos="2790"/>
          <w:tab w:val="right" w:pos="7800"/>
        </w:tabs>
        <w:ind w:left="2610" w:firstLine="1980"/>
        <w:jc w:val="center"/>
        <w:rPr>
          <w:rFonts w:ascii="Palatino Linotype" w:hAnsi="Palatino Linotype"/>
          <w:color w:val="000000" w:themeColor="text1"/>
        </w:rPr>
      </w:pPr>
      <w:r w:rsidRPr="00B8240F">
        <w:rPr>
          <w:rFonts w:ascii="Palatino Linotype" w:hAnsi="Palatino Linotype"/>
          <w:color w:val="000000" w:themeColor="text1"/>
        </w:rPr>
        <w:t>TIMOTHY J. SULLIVAN</w:t>
      </w:r>
    </w:p>
    <w:p w:rsidR="00846D53" w:rsidRPr="00B8240F" w:rsidRDefault="00E532A0" w:rsidP="00846D53">
      <w:pPr>
        <w:tabs>
          <w:tab w:val="right" w:pos="7920"/>
        </w:tabs>
        <w:jc w:val="both"/>
        <w:rPr>
          <w:rFonts w:ascii="Palatino Linotype" w:hAnsi="Palatino Linotype"/>
          <w:color w:val="000000" w:themeColor="text1"/>
        </w:rPr>
      </w:pPr>
      <w:r w:rsidRPr="00B8240F">
        <w:rPr>
          <w:rFonts w:ascii="Palatino Linotype" w:hAnsi="Palatino Linotype"/>
          <w:color w:val="000000" w:themeColor="text1"/>
        </w:rPr>
        <w:tab/>
        <w:t xml:space="preserve">Executive Director   </w:t>
      </w:r>
    </w:p>
    <w:p w:rsidR="00E84ADD" w:rsidRDefault="004F6D86" w:rsidP="00FF100C">
      <w:pPr>
        <w:rPr>
          <w:rFonts w:ascii="Palatino Linotype" w:hAnsi="Palatino Linotype"/>
          <w:b/>
          <w:sz w:val="32"/>
          <w:szCs w:val="32"/>
        </w:rPr>
      </w:pPr>
      <w:r>
        <w:rPr>
          <w:rFonts w:ascii="Palatino Linotype" w:hAnsi="Palatino Linotype"/>
          <w:b/>
          <w:color w:val="000000" w:themeColor="text1"/>
          <w:sz w:val="32"/>
          <w:szCs w:val="32"/>
        </w:rPr>
        <w:br w:type="page"/>
      </w:r>
    </w:p>
    <w:p w:rsidR="00E84ADD" w:rsidRDefault="00E84ADD" w:rsidP="00FA66D1">
      <w:pPr>
        <w:jc w:val="center"/>
        <w:rPr>
          <w:rFonts w:ascii="Palatino Linotype" w:hAnsi="Palatino Linotype"/>
          <w:b/>
          <w:sz w:val="32"/>
          <w:szCs w:val="32"/>
        </w:rPr>
      </w:pPr>
    </w:p>
    <w:p w:rsidR="00E84ADD" w:rsidRDefault="00E84ADD" w:rsidP="00FA66D1">
      <w:pPr>
        <w:jc w:val="center"/>
        <w:rPr>
          <w:rFonts w:ascii="Palatino Linotype" w:hAnsi="Palatino Linotype"/>
          <w:b/>
          <w:sz w:val="32"/>
          <w:szCs w:val="32"/>
        </w:rPr>
      </w:pPr>
    </w:p>
    <w:p w:rsidR="00E84ADD" w:rsidRDefault="00E84ADD" w:rsidP="00FA66D1">
      <w:pPr>
        <w:jc w:val="center"/>
        <w:rPr>
          <w:rFonts w:ascii="Palatino Linotype" w:hAnsi="Palatino Linotype"/>
          <w:b/>
          <w:sz w:val="32"/>
          <w:szCs w:val="32"/>
        </w:rPr>
      </w:pPr>
    </w:p>
    <w:p w:rsidR="00E84ADD" w:rsidRDefault="00E84ADD" w:rsidP="00FA66D1">
      <w:pPr>
        <w:jc w:val="center"/>
        <w:rPr>
          <w:rFonts w:ascii="Palatino Linotype" w:hAnsi="Palatino Linotype"/>
          <w:b/>
          <w:sz w:val="32"/>
          <w:szCs w:val="32"/>
        </w:rPr>
      </w:pPr>
    </w:p>
    <w:p w:rsidR="00E84ADD" w:rsidRDefault="00E84ADD" w:rsidP="00FA66D1">
      <w:pPr>
        <w:jc w:val="center"/>
        <w:rPr>
          <w:rFonts w:ascii="Palatino Linotype" w:hAnsi="Palatino Linotype"/>
          <w:b/>
          <w:sz w:val="32"/>
          <w:szCs w:val="32"/>
        </w:rPr>
      </w:pPr>
    </w:p>
    <w:p w:rsidR="00E84ADD" w:rsidRDefault="00E84ADD" w:rsidP="00FA66D1">
      <w:pPr>
        <w:jc w:val="center"/>
        <w:rPr>
          <w:rFonts w:ascii="Palatino Linotype" w:hAnsi="Palatino Linotype"/>
          <w:b/>
          <w:sz w:val="32"/>
          <w:szCs w:val="32"/>
        </w:rPr>
      </w:pPr>
    </w:p>
    <w:p w:rsidR="00E84ADD" w:rsidRDefault="00E84ADD" w:rsidP="00FA66D1">
      <w:pPr>
        <w:jc w:val="center"/>
        <w:rPr>
          <w:rFonts w:ascii="Palatino Linotype" w:hAnsi="Palatino Linotype"/>
          <w:b/>
          <w:sz w:val="32"/>
          <w:szCs w:val="32"/>
        </w:rPr>
      </w:pPr>
    </w:p>
    <w:p w:rsidR="00E84ADD" w:rsidRDefault="00E84ADD" w:rsidP="00FA66D1">
      <w:pPr>
        <w:jc w:val="center"/>
        <w:rPr>
          <w:rFonts w:ascii="Palatino Linotype" w:hAnsi="Palatino Linotype"/>
          <w:b/>
          <w:sz w:val="32"/>
          <w:szCs w:val="32"/>
        </w:rPr>
      </w:pPr>
    </w:p>
    <w:p w:rsidR="00F3080C" w:rsidRDefault="00E84ADD" w:rsidP="00FA66D1">
      <w:pPr>
        <w:jc w:val="center"/>
        <w:rPr>
          <w:rFonts w:ascii="Palatino Linotype" w:hAnsi="Palatino Linotype"/>
          <w:b/>
          <w:sz w:val="32"/>
          <w:szCs w:val="32"/>
        </w:rPr>
      </w:pPr>
      <w:r w:rsidRPr="00CB2C07">
        <w:rPr>
          <w:rFonts w:ascii="Palatino Linotype" w:hAnsi="Palatino Linotype"/>
          <w:b/>
          <w:sz w:val="32"/>
          <w:szCs w:val="32"/>
        </w:rPr>
        <w:t>APPENDIX</w:t>
      </w:r>
    </w:p>
    <w:p w:rsidR="00E84ADD" w:rsidRDefault="00E84ADD">
      <w:pPr>
        <w:rPr>
          <w:rFonts w:ascii="Palatino Linotype" w:hAnsi="Palatino Linotype"/>
          <w:b/>
          <w:sz w:val="32"/>
          <w:szCs w:val="32"/>
        </w:rPr>
      </w:pPr>
      <w:r>
        <w:rPr>
          <w:rFonts w:ascii="Palatino Linotype" w:hAnsi="Palatino Linotype"/>
          <w:b/>
          <w:sz w:val="32"/>
          <w:szCs w:val="32"/>
        </w:rPr>
        <w:br w:type="page"/>
      </w:r>
    </w:p>
    <w:p w:rsidR="00E84ADD" w:rsidRPr="0070228F" w:rsidRDefault="00E84ADD" w:rsidP="00E84ADD">
      <w:pPr>
        <w:keepNext/>
        <w:keepLines/>
        <w:jc w:val="center"/>
        <w:rPr>
          <w:rFonts w:ascii="Palatino Linotype" w:hAnsi="Palatino Linotype"/>
          <w:b/>
        </w:rPr>
      </w:pPr>
      <w:r w:rsidRPr="0070228F">
        <w:rPr>
          <w:rFonts w:ascii="Palatino Linotype" w:hAnsi="Palatino Linotype"/>
          <w:b/>
        </w:rPr>
        <w:lastRenderedPageBreak/>
        <w:t>APPENDIX A</w:t>
      </w:r>
    </w:p>
    <w:p w:rsidR="00E84ADD" w:rsidRDefault="00E84ADD" w:rsidP="00FA66D1">
      <w:pPr>
        <w:jc w:val="center"/>
        <w:rPr>
          <w:rFonts w:ascii="Palatino Linotype" w:hAnsi="Palatino Linotype"/>
          <w:b/>
          <w:color w:val="000000" w:themeColor="text1"/>
        </w:rPr>
      </w:pPr>
      <w:r>
        <w:rPr>
          <w:rFonts w:ascii="Palatino Linotype" w:hAnsi="Palatino Linotype"/>
          <w:b/>
          <w:color w:val="000000" w:themeColor="text1"/>
        </w:rPr>
        <w:t>Central Coast Broadband Consortium Work Plan</w:t>
      </w:r>
    </w:p>
    <w:tbl>
      <w:tblPr>
        <w:tblpPr w:leftFromText="180" w:rightFromText="180" w:vertAnchor="text" w:horzAnchor="margin" w:tblpY="447"/>
        <w:tblW w:w="5000" w:type="pct"/>
        <w:tblLook w:val="04A0" w:firstRow="1" w:lastRow="0" w:firstColumn="1" w:lastColumn="0" w:noHBand="0" w:noVBand="1"/>
      </w:tblPr>
      <w:tblGrid>
        <w:gridCol w:w="2879"/>
        <w:gridCol w:w="1161"/>
        <w:gridCol w:w="1522"/>
        <w:gridCol w:w="879"/>
        <w:gridCol w:w="454"/>
        <w:gridCol w:w="454"/>
        <w:gridCol w:w="454"/>
        <w:gridCol w:w="454"/>
        <w:gridCol w:w="1319"/>
      </w:tblGrid>
      <w:tr w:rsidR="00103DFF" w:rsidRPr="00602215" w:rsidTr="00103DFF">
        <w:trPr>
          <w:trHeight w:val="300"/>
        </w:trPr>
        <w:tc>
          <w:tcPr>
            <w:tcW w:w="1503" w:type="pct"/>
            <w:tcBorders>
              <w:top w:val="nil"/>
              <w:left w:val="nil"/>
              <w:bottom w:val="nil"/>
              <w:right w:val="nil"/>
            </w:tcBorders>
            <w:shd w:val="clear" w:color="auto" w:fill="auto"/>
            <w:noWrap/>
            <w:vAlign w:val="bottom"/>
            <w:hideMark/>
          </w:tcPr>
          <w:p w:rsidR="00103DFF" w:rsidRPr="00602215" w:rsidRDefault="00103DFF" w:rsidP="00103DFF">
            <w:pPr>
              <w:rPr>
                <w:rFonts w:ascii="Calibri" w:hAnsi="Calibri"/>
                <w:color w:val="000000"/>
                <w:sz w:val="18"/>
                <w:szCs w:val="18"/>
              </w:rPr>
            </w:pPr>
          </w:p>
        </w:tc>
        <w:tc>
          <w:tcPr>
            <w:tcW w:w="606" w:type="pct"/>
            <w:tcBorders>
              <w:top w:val="nil"/>
              <w:left w:val="nil"/>
              <w:bottom w:val="nil"/>
              <w:right w:val="nil"/>
            </w:tcBorders>
            <w:shd w:val="clear" w:color="auto" w:fill="auto"/>
            <w:noWrap/>
            <w:vAlign w:val="bottom"/>
            <w:hideMark/>
          </w:tcPr>
          <w:p w:rsidR="00103DFF" w:rsidRPr="00602215" w:rsidRDefault="00103DFF" w:rsidP="00103DFF">
            <w:pPr>
              <w:jc w:val="center"/>
              <w:rPr>
                <w:rFonts w:ascii="Calibri" w:hAnsi="Calibri"/>
                <w:b/>
                <w:bCs/>
                <w:color w:val="000000"/>
                <w:sz w:val="18"/>
                <w:szCs w:val="18"/>
              </w:rPr>
            </w:pPr>
          </w:p>
        </w:tc>
        <w:tc>
          <w:tcPr>
            <w:tcW w:w="795" w:type="pct"/>
            <w:tcBorders>
              <w:top w:val="nil"/>
              <w:left w:val="nil"/>
              <w:bottom w:val="nil"/>
              <w:right w:val="nil"/>
            </w:tcBorders>
            <w:shd w:val="clear" w:color="auto" w:fill="auto"/>
            <w:noWrap/>
            <w:vAlign w:val="bottom"/>
            <w:hideMark/>
          </w:tcPr>
          <w:p w:rsidR="00103DFF" w:rsidRPr="00602215" w:rsidRDefault="00103DFF" w:rsidP="00103DFF">
            <w:pPr>
              <w:jc w:val="center"/>
              <w:rPr>
                <w:rFonts w:ascii="Calibri" w:hAnsi="Calibri"/>
                <w:b/>
                <w:bCs/>
                <w:color w:val="000000"/>
                <w:sz w:val="18"/>
                <w:szCs w:val="18"/>
              </w:rPr>
            </w:pPr>
          </w:p>
        </w:tc>
        <w:tc>
          <w:tcPr>
            <w:tcW w:w="459" w:type="pct"/>
            <w:tcBorders>
              <w:top w:val="nil"/>
              <w:left w:val="nil"/>
              <w:bottom w:val="nil"/>
              <w:right w:val="nil"/>
            </w:tcBorders>
            <w:shd w:val="clear" w:color="auto" w:fill="auto"/>
            <w:noWrap/>
            <w:vAlign w:val="bottom"/>
            <w:hideMark/>
          </w:tcPr>
          <w:p w:rsidR="00103DFF" w:rsidRPr="00602215" w:rsidRDefault="00103DFF" w:rsidP="00103DFF">
            <w:pPr>
              <w:jc w:val="center"/>
              <w:rPr>
                <w:rFonts w:ascii="Calibri" w:hAnsi="Calibri"/>
                <w:b/>
                <w:bCs/>
                <w:color w:val="000000"/>
                <w:sz w:val="18"/>
                <w:szCs w:val="18"/>
              </w:rPr>
            </w:pPr>
          </w:p>
        </w:tc>
        <w:tc>
          <w:tcPr>
            <w:tcW w:w="237" w:type="pct"/>
            <w:tcBorders>
              <w:top w:val="nil"/>
              <w:left w:val="nil"/>
              <w:bottom w:val="nil"/>
              <w:right w:val="nil"/>
            </w:tcBorders>
            <w:shd w:val="clear" w:color="auto" w:fill="auto"/>
            <w:noWrap/>
            <w:vAlign w:val="bottom"/>
            <w:hideMark/>
          </w:tcPr>
          <w:p w:rsidR="00103DFF" w:rsidRPr="00602215" w:rsidRDefault="00103DFF" w:rsidP="00103DFF">
            <w:pPr>
              <w:jc w:val="center"/>
              <w:rPr>
                <w:rFonts w:ascii="Calibri" w:hAnsi="Calibri"/>
                <w:b/>
                <w:bCs/>
                <w:color w:val="000000"/>
                <w:sz w:val="18"/>
                <w:szCs w:val="18"/>
              </w:rPr>
            </w:pPr>
          </w:p>
        </w:tc>
        <w:tc>
          <w:tcPr>
            <w:tcW w:w="237" w:type="pct"/>
            <w:tcBorders>
              <w:top w:val="nil"/>
              <w:left w:val="nil"/>
              <w:bottom w:val="nil"/>
              <w:right w:val="nil"/>
            </w:tcBorders>
            <w:shd w:val="clear" w:color="auto" w:fill="auto"/>
            <w:noWrap/>
            <w:vAlign w:val="bottom"/>
            <w:hideMark/>
          </w:tcPr>
          <w:p w:rsidR="00103DFF" w:rsidRPr="00602215" w:rsidRDefault="00103DFF" w:rsidP="00103DFF">
            <w:pPr>
              <w:jc w:val="center"/>
              <w:rPr>
                <w:rFonts w:ascii="Calibri" w:hAnsi="Calibri"/>
                <w:b/>
                <w:bCs/>
                <w:color w:val="000000"/>
                <w:sz w:val="18"/>
                <w:szCs w:val="18"/>
              </w:rPr>
            </w:pPr>
          </w:p>
        </w:tc>
        <w:tc>
          <w:tcPr>
            <w:tcW w:w="237" w:type="pct"/>
            <w:tcBorders>
              <w:top w:val="nil"/>
              <w:left w:val="nil"/>
              <w:bottom w:val="nil"/>
              <w:right w:val="nil"/>
            </w:tcBorders>
            <w:shd w:val="clear" w:color="auto" w:fill="auto"/>
            <w:noWrap/>
            <w:vAlign w:val="bottom"/>
            <w:hideMark/>
          </w:tcPr>
          <w:p w:rsidR="00103DFF" w:rsidRPr="00602215" w:rsidRDefault="00103DFF" w:rsidP="00103DFF">
            <w:pPr>
              <w:jc w:val="center"/>
              <w:rPr>
                <w:rFonts w:ascii="Calibri" w:hAnsi="Calibri"/>
                <w:b/>
                <w:bCs/>
                <w:color w:val="000000"/>
                <w:sz w:val="18"/>
                <w:szCs w:val="18"/>
              </w:rPr>
            </w:pPr>
          </w:p>
        </w:tc>
        <w:tc>
          <w:tcPr>
            <w:tcW w:w="237" w:type="pct"/>
            <w:tcBorders>
              <w:top w:val="nil"/>
              <w:left w:val="nil"/>
              <w:bottom w:val="nil"/>
              <w:right w:val="nil"/>
            </w:tcBorders>
            <w:shd w:val="clear" w:color="auto" w:fill="auto"/>
            <w:noWrap/>
            <w:vAlign w:val="bottom"/>
            <w:hideMark/>
          </w:tcPr>
          <w:p w:rsidR="00103DFF" w:rsidRPr="00602215" w:rsidRDefault="00103DFF" w:rsidP="00103DFF">
            <w:pPr>
              <w:rPr>
                <w:rFonts w:ascii="Calibri" w:hAnsi="Calibri"/>
                <w:color w:val="000000"/>
                <w:sz w:val="18"/>
                <w:szCs w:val="18"/>
              </w:rPr>
            </w:pPr>
          </w:p>
        </w:tc>
        <w:tc>
          <w:tcPr>
            <w:tcW w:w="689" w:type="pct"/>
            <w:tcBorders>
              <w:top w:val="nil"/>
              <w:left w:val="nil"/>
              <w:bottom w:val="nil"/>
              <w:right w:val="nil"/>
            </w:tcBorders>
            <w:shd w:val="clear" w:color="auto" w:fill="auto"/>
            <w:vAlign w:val="bottom"/>
            <w:hideMark/>
          </w:tcPr>
          <w:p w:rsidR="00103DFF" w:rsidRPr="00602215" w:rsidRDefault="00103DFF" w:rsidP="00103DFF">
            <w:pPr>
              <w:rPr>
                <w:rFonts w:ascii="Calibri" w:hAnsi="Calibri"/>
                <w:color w:val="000000"/>
                <w:sz w:val="18"/>
                <w:szCs w:val="18"/>
              </w:rPr>
            </w:pPr>
          </w:p>
        </w:tc>
      </w:tr>
      <w:tr w:rsidR="00103DFF" w:rsidRPr="0027712F" w:rsidTr="00103DFF">
        <w:trPr>
          <w:trHeight w:val="315"/>
        </w:trPr>
        <w:tc>
          <w:tcPr>
            <w:tcW w:w="1503" w:type="pct"/>
            <w:tcBorders>
              <w:top w:val="nil"/>
              <w:left w:val="nil"/>
              <w:bottom w:val="nil"/>
              <w:right w:val="nil"/>
            </w:tcBorders>
            <w:shd w:val="clear" w:color="auto" w:fill="auto"/>
            <w:noWrap/>
            <w:vAlign w:val="bottom"/>
            <w:hideMark/>
          </w:tcPr>
          <w:p w:rsidR="00103DFF" w:rsidRPr="0027712F" w:rsidRDefault="00103DFF" w:rsidP="00103DFF">
            <w:pPr>
              <w:rPr>
                <w:rFonts w:ascii="Calibri" w:hAnsi="Calibri"/>
                <w:b/>
                <w:color w:val="000000"/>
                <w:sz w:val="18"/>
                <w:szCs w:val="18"/>
              </w:rPr>
            </w:pPr>
          </w:p>
        </w:tc>
        <w:tc>
          <w:tcPr>
            <w:tcW w:w="606" w:type="pct"/>
            <w:tcBorders>
              <w:top w:val="nil"/>
              <w:left w:val="nil"/>
              <w:bottom w:val="nil"/>
              <w:right w:val="nil"/>
            </w:tcBorders>
            <w:shd w:val="clear" w:color="auto" w:fill="auto"/>
            <w:noWrap/>
            <w:vAlign w:val="bottom"/>
            <w:hideMark/>
          </w:tcPr>
          <w:p w:rsidR="00103DFF" w:rsidRPr="0027712F" w:rsidRDefault="00103DFF" w:rsidP="00103DFF">
            <w:pPr>
              <w:rPr>
                <w:rFonts w:ascii="Calibri" w:hAnsi="Calibri"/>
                <w:b/>
                <w:color w:val="000000"/>
                <w:sz w:val="18"/>
                <w:szCs w:val="18"/>
              </w:rPr>
            </w:pPr>
          </w:p>
        </w:tc>
        <w:tc>
          <w:tcPr>
            <w:tcW w:w="795" w:type="pct"/>
            <w:tcBorders>
              <w:top w:val="nil"/>
              <w:left w:val="nil"/>
              <w:bottom w:val="single" w:sz="8" w:space="0" w:color="auto"/>
              <w:right w:val="nil"/>
            </w:tcBorders>
            <w:shd w:val="clear" w:color="auto" w:fill="auto"/>
            <w:noWrap/>
            <w:vAlign w:val="bottom"/>
            <w:hideMark/>
          </w:tcPr>
          <w:p w:rsidR="00103DFF" w:rsidRPr="0027712F" w:rsidRDefault="00103DFF" w:rsidP="00103DFF">
            <w:pPr>
              <w:jc w:val="center"/>
              <w:rPr>
                <w:rFonts w:ascii="Calibri" w:hAnsi="Calibri"/>
                <w:b/>
                <w:color w:val="000000"/>
                <w:sz w:val="18"/>
                <w:szCs w:val="18"/>
              </w:rPr>
            </w:pPr>
            <w:r w:rsidRPr="0027712F">
              <w:rPr>
                <w:rFonts w:ascii="Calibri" w:hAnsi="Calibri"/>
                <w:b/>
                <w:color w:val="000000"/>
                <w:sz w:val="18"/>
                <w:szCs w:val="18"/>
              </w:rPr>
              <w:t>CCBC Work Plan Year 1</w:t>
            </w:r>
          </w:p>
        </w:tc>
        <w:tc>
          <w:tcPr>
            <w:tcW w:w="459" w:type="pct"/>
            <w:tcBorders>
              <w:top w:val="nil"/>
              <w:left w:val="nil"/>
              <w:bottom w:val="single" w:sz="8" w:space="0" w:color="auto"/>
              <w:right w:val="nil"/>
            </w:tcBorders>
            <w:shd w:val="clear" w:color="auto" w:fill="auto"/>
            <w:noWrap/>
            <w:vAlign w:val="bottom"/>
            <w:hideMark/>
          </w:tcPr>
          <w:p w:rsidR="00103DFF" w:rsidRPr="0027712F" w:rsidRDefault="00103DFF" w:rsidP="00103DFF">
            <w:pPr>
              <w:jc w:val="center"/>
              <w:rPr>
                <w:rFonts w:ascii="Calibri" w:hAnsi="Calibri"/>
                <w:b/>
                <w:color w:val="000000"/>
                <w:sz w:val="18"/>
                <w:szCs w:val="18"/>
              </w:rPr>
            </w:pPr>
            <w:r w:rsidRPr="0027712F">
              <w:rPr>
                <w:rFonts w:ascii="Calibri" w:hAnsi="Calibri"/>
                <w:b/>
                <w:color w:val="000000"/>
                <w:sz w:val="18"/>
                <w:szCs w:val="18"/>
              </w:rPr>
              <w:t> </w:t>
            </w:r>
          </w:p>
        </w:tc>
        <w:tc>
          <w:tcPr>
            <w:tcW w:w="237" w:type="pct"/>
            <w:tcBorders>
              <w:top w:val="nil"/>
              <w:left w:val="nil"/>
              <w:bottom w:val="nil"/>
              <w:right w:val="nil"/>
            </w:tcBorders>
            <w:shd w:val="clear" w:color="auto" w:fill="auto"/>
            <w:noWrap/>
            <w:vAlign w:val="bottom"/>
            <w:hideMark/>
          </w:tcPr>
          <w:p w:rsidR="00103DFF" w:rsidRPr="0027712F" w:rsidRDefault="00103DFF" w:rsidP="00103DFF">
            <w:pPr>
              <w:rPr>
                <w:rFonts w:ascii="Calibri" w:hAnsi="Calibri"/>
                <w:b/>
                <w:color w:val="000000"/>
                <w:sz w:val="18"/>
                <w:szCs w:val="18"/>
              </w:rPr>
            </w:pPr>
          </w:p>
        </w:tc>
        <w:tc>
          <w:tcPr>
            <w:tcW w:w="237" w:type="pct"/>
            <w:tcBorders>
              <w:top w:val="nil"/>
              <w:left w:val="nil"/>
              <w:bottom w:val="nil"/>
              <w:right w:val="nil"/>
            </w:tcBorders>
            <w:shd w:val="clear" w:color="auto" w:fill="auto"/>
            <w:noWrap/>
            <w:vAlign w:val="bottom"/>
            <w:hideMark/>
          </w:tcPr>
          <w:p w:rsidR="00103DFF" w:rsidRPr="0027712F" w:rsidRDefault="00103DFF" w:rsidP="00103DFF">
            <w:pPr>
              <w:rPr>
                <w:rFonts w:ascii="Calibri" w:hAnsi="Calibri"/>
                <w:b/>
                <w:color w:val="000000"/>
                <w:sz w:val="18"/>
                <w:szCs w:val="18"/>
              </w:rPr>
            </w:pPr>
          </w:p>
        </w:tc>
        <w:tc>
          <w:tcPr>
            <w:tcW w:w="237" w:type="pct"/>
            <w:tcBorders>
              <w:top w:val="nil"/>
              <w:left w:val="nil"/>
              <w:bottom w:val="nil"/>
              <w:right w:val="nil"/>
            </w:tcBorders>
            <w:shd w:val="clear" w:color="auto" w:fill="auto"/>
            <w:noWrap/>
            <w:vAlign w:val="bottom"/>
            <w:hideMark/>
          </w:tcPr>
          <w:p w:rsidR="00103DFF" w:rsidRPr="0027712F" w:rsidRDefault="00103DFF" w:rsidP="00103DFF">
            <w:pPr>
              <w:rPr>
                <w:rFonts w:ascii="Calibri" w:hAnsi="Calibri"/>
                <w:b/>
                <w:color w:val="000000"/>
                <w:sz w:val="18"/>
                <w:szCs w:val="18"/>
              </w:rPr>
            </w:pPr>
          </w:p>
        </w:tc>
        <w:tc>
          <w:tcPr>
            <w:tcW w:w="237" w:type="pct"/>
            <w:tcBorders>
              <w:top w:val="nil"/>
              <w:left w:val="nil"/>
              <w:bottom w:val="nil"/>
              <w:right w:val="nil"/>
            </w:tcBorders>
            <w:shd w:val="clear" w:color="auto" w:fill="auto"/>
            <w:noWrap/>
            <w:vAlign w:val="bottom"/>
            <w:hideMark/>
          </w:tcPr>
          <w:p w:rsidR="00103DFF" w:rsidRPr="0027712F" w:rsidRDefault="00103DFF" w:rsidP="00103DFF">
            <w:pPr>
              <w:rPr>
                <w:rFonts w:ascii="Calibri" w:hAnsi="Calibri"/>
                <w:b/>
                <w:color w:val="000000"/>
                <w:sz w:val="18"/>
                <w:szCs w:val="18"/>
              </w:rPr>
            </w:pPr>
          </w:p>
        </w:tc>
        <w:tc>
          <w:tcPr>
            <w:tcW w:w="689" w:type="pct"/>
            <w:tcBorders>
              <w:top w:val="nil"/>
              <w:left w:val="nil"/>
              <w:bottom w:val="nil"/>
              <w:right w:val="nil"/>
            </w:tcBorders>
            <w:shd w:val="clear" w:color="auto" w:fill="auto"/>
            <w:vAlign w:val="bottom"/>
            <w:hideMark/>
          </w:tcPr>
          <w:p w:rsidR="00103DFF" w:rsidRPr="0027712F" w:rsidRDefault="00103DFF" w:rsidP="00103DFF">
            <w:pPr>
              <w:rPr>
                <w:rFonts w:ascii="Calibri" w:hAnsi="Calibri"/>
                <w:b/>
                <w:color w:val="000000"/>
                <w:sz w:val="18"/>
                <w:szCs w:val="18"/>
              </w:rPr>
            </w:pPr>
          </w:p>
        </w:tc>
      </w:tr>
      <w:tr w:rsidR="00103DFF" w:rsidRPr="00602215" w:rsidTr="00103DFF">
        <w:trPr>
          <w:trHeight w:val="510"/>
        </w:trPr>
        <w:tc>
          <w:tcPr>
            <w:tcW w:w="1503"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03DFF" w:rsidRPr="00602215" w:rsidRDefault="00103DFF" w:rsidP="00103DFF">
            <w:pPr>
              <w:jc w:val="center"/>
              <w:rPr>
                <w:rFonts w:ascii="Calibri" w:hAnsi="Calibri"/>
                <w:b/>
                <w:bCs/>
                <w:color w:val="000000"/>
                <w:sz w:val="18"/>
                <w:szCs w:val="18"/>
              </w:rPr>
            </w:pPr>
            <w:r w:rsidRPr="00602215">
              <w:rPr>
                <w:rFonts w:ascii="Calibri" w:hAnsi="Calibri"/>
                <w:b/>
                <w:bCs/>
                <w:color w:val="000000"/>
                <w:sz w:val="18"/>
                <w:szCs w:val="18"/>
              </w:rPr>
              <w:t>Activities/Tasks</w:t>
            </w:r>
          </w:p>
        </w:tc>
        <w:tc>
          <w:tcPr>
            <w:tcW w:w="606" w:type="pct"/>
            <w:tcBorders>
              <w:top w:val="single" w:sz="8" w:space="0" w:color="auto"/>
              <w:left w:val="nil"/>
              <w:bottom w:val="single" w:sz="4" w:space="0" w:color="auto"/>
              <w:right w:val="single" w:sz="4" w:space="0" w:color="auto"/>
            </w:tcBorders>
            <w:shd w:val="clear" w:color="auto" w:fill="auto"/>
            <w:noWrap/>
            <w:vAlign w:val="center"/>
            <w:hideMark/>
          </w:tcPr>
          <w:p w:rsidR="00103DFF" w:rsidRPr="00602215" w:rsidRDefault="00103DFF" w:rsidP="00103DFF">
            <w:pPr>
              <w:jc w:val="center"/>
              <w:rPr>
                <w:rFonts w:ascii="Calibri" w:hAnsi="Calibri"/>
                <w:b/>
                <w:bCs/>
                <w:color w:val="000000"/>
                <w:sz w:val="18"/>
                <w:szCs w:val="18"/>
              </w:rPr>
            </w:pPr>
            <w:r w:rsidRPr="00602215">
              <w:rPr>
                <w:rFonts w:ascii="Calibri" w:hAnsi="Calibri"/>
                <w:b/>
                <w:bCs/>
                <w:color w:val="000000"/>
                <w:sz w:val="18"/>
                <w:szCs w:val="18"/>
              </w:rPr>
              <w:t>Who Manages</w:t>
            </w:r>
          </w:p>
        </w:tc>
        <w:tc>
          <w:tcPr>
            <w:tcW w:w="795" w:type="pct"/>
            <w:tcBorders>
              <w:top w:val="nil"/>
              <w:left w:val="nil"/>
              <w:bottom w:val="single" w:sz="4" w:space="0" w:color="auto"/>
              <w:right w:val="single" w:sz="4" w:space="0" w:color="auto"/>
            </w:tcBorders>
            <w:shd w:val="clear" w:color="auto" w:fill="auto"/>
            <w:noWrap/>
            <w:vAlign w:val="center"/>
            <w:hideMark/>
          </w:tcPr>
          <w:p w:rsidR="00103DFF" w:rsidRPr="00602215" w:rsidRDefault="00103DFF" w:rsidP="00103DFF">
            <w:pPr>
              <w:rPr>
                <w:rFonts w:ascii="Calibri" w:hAnsi="Calibri"/>
                <w:b/>
                <w:bCs/>
                <w:color w:val="000000"/>
                <w:sz w:val="18"/>
                <w:szCs w:val="18"/>
              </w:rPr>
            </w:pPr>
            <w:r w:rsidRPr="00602215">
              <w:rPr>
                <w:rFonts w:ascii="Calibri" w:hAnsi="Calibri"/>
                <w:b/>
                <w:bCs/>
                <w:color w:val="000000"/>
                <w:sz w:val="18"/>
                <w:szCs w:val="18"/>
              </w:rPr>
              <w:t>Start Date</w:t>
            </w:r>
          </w:p>
        </w:tc>
        <w:tc>
          <w:tcPr>
            <w:tcW w:w="459" w:type="pct"/>
            <w:tcBorders>
              <w:top w:val="nil"/>
              <w:left w:val="nil"/>
              <w:bottom w:val="single" w:sz="4" w:space="0" w:color="auto"/>
              <w:right w:val="single" w:sz="4" w:space="0" w:color="auto"/>
            </w:tcBorders>
            <w:shd w:val="clear" w:color="auto" w:fill="auto"/>
            <w:vAlign w:val="center"/>
            <w:hideMark/>
          </w:tcPr>
          <w:p w:rsidR="00103DFF" w:rsidRPr="00602215" w:rsidRDefault="00103DFF" w:rsidP="00103DFF">
            <w:pPr>
              <w:jc w:val="center"/>
              <w:rPr>
                <w:rFonts w:ascii="Calibri" w:hAnsi="Calibri"/>
                <w:b/>
                <w:bCs/>
                <w:color w:val="000000"/>
                <w:sz w:val="18"/>
                <w:szCs w:val="18"/>
              </w:rPr>
            </w:pPr>
            <w:r w:rsidRPr="00602215">
              <w:rPr>
                <w:rFonts w:ascii="Calibri" w:hAnsi="Calibri"/>
                <w:b/>
                <w:bCs/>
                <w:color w:val="000000"/>
                <w:sz w:val="18"/>
                <w:szCs w:val="18"/>
              </w:rPr>
              <w:t>Completion Date</w:t>
            </w:r>
          </w:p>
        </w:tc>
        <w:tc>
          <w:tcPr>
            <w:tcW w:w="237" w:type="pct"/>
            <w:tcBorders>
              <w:top w:val="single" w:sz="8" w:space="0" w:color="auto"/>
              <w:left w:val="nil"/>
              <w:bottom w:val="single" w:sz="4" w:space="0" w:color="auto"/>
              <w:right w:val="single" w:sz="4" w:space="0" w:color="auto"/>
            </w:tcBorders>
            <w:shd w:val="clear" w:color="auto" w:fill="auto"/>
            <w:noWrap/>
            <w:vAlign w:val="center"/>
            <w:hideMark/>
          </w:tcPr>
          <w:p w:rsidR="00103DFF" w:rsidRPr="00602215" w:rsidRDefault="00103DFF" w:rsidP="00103DFF">
            <w:pPr>
              <w:rPr>
                <w:rFonts w:ascii="Calibri" w:hAnsi="Calibri"/>
                <w:b/>
                <w:bCs/>
                <w:color w:val="000000"/>
                <w:sz w:val="18"/>
                <w:szCs w:val="18"/>
              </w:rPr>
            </w:pPr>
            <w:r w:rsidRPr="00602215">
              <w:rPr>
                <w:rFonts w:ascii="Calibri" w:hAnsi="Calibri"/>
                <w:b/>
                <w:bCs/>
                <w:color w:val="000000"/>
                <w:sz w:val="18"/>
                <w:szCs w:val="18"/>
              </w:rPr>
              <w:t>Q1</w:t>
            </w:r>
          </w:p>
        </w:tc>
        <w:tc>
          <w:tcPr>
            <w:tcW w:w="237" w:type="pct"/>
            <w:tcBorders>
              <w:top w:val="single" w:sz="8" w:space="0" w:color="auto"/>
              <w:left w:val="nil"/>
              <w:bottom w:val="single" w:sz="4" w:space="0" w:color="auto"/>
              <w:right w:val="single" w:sz="4" w:space="0" w:color="auto"/>
            </w:tcBorders>
            <w:shd w:val="clear" w:color="auto" w:fill="auto"/>
            <w:noWrap/>
            <w:vAlign w:val="center"/>
            <w:hideMark/>
          </w:tcPr>
          <w:p w:rsidR="00103DFF" w:rsidRPr="00602215" w:rsidRDefault="00103DFF" w:rsidP="00103DFF">
            <w:pPr>
              <w:rPr>
                <w:rFonts w:ascii="Calibri" w:hAnsi="Calibri"/>
                <w:b/>
                <w:bCs/>
                <w:color w:val="000000"/>
                <w:sz w:val="18"/>
                <w:szCs w:val="18"/>
              </w:rPr>
            </w:pPr>
            <w:r w:rsidRPr="00602215">
              <w:rPr>
                <w:rFonts w:ascii="Calibri" w:hAnsi="Calibri"/>
                <w:b/>
                <w:bCs/>
                <w:color w:val="000000"/>
                <w:sz w:val="18"/>
                <w:szCs w:val="18"/>
              </w:rPr>
              <w:t>Q2</w:t>
            </w:r>
          </w:p>
        </w:tc>
        <w:tc>
          <w:tcPr>
            <w:tcW w:w="237" w:type="pct"/>
            <w:tcBorders>
              <w:top w:val="single" w:sz="8" w:space="0" w:color="auto"/>
              <w:left w:val="nil"/>
              <w:bottom w:val="single" w:sz="4" w:space="0" w:color="auto"/>
              <w:right w:val="single" w:sz="4" w:space="0" w:color="auto"/>
            </w:tcBorders>
            <w:shd w:val="clear" w:color="auto" w:fill="auto"/>
            <w:noWrap/>
            <w:vAlign w:val="center"/>
            <w:hideMark/>
          </w:tcPr>
          <w:p w:rsidR="00103DFF" w:rsidRPr="00602215" w:rsidRDefault="00103DFF" w:rsidP="00103DFF">
            <w:pPr>
              <w:rPr>
                <w:rFonts w:ascii="Calibri" w:hAnsi="Calibri"/>
                <w:b/>
                <w:bCs/>
                <w:color w:val="000000"/>
                <w:sz w:val="18"/>
                <w:szCs w:val="18"/>
              </w:rPr>
            </w:pPr>
            <w:r w:rsidRPr="00602215">
              <w:rPr>
                <w:rFonts w:ascii="Calibri" w:hAnsi="Calibri"/>
                <w:b/>
                <w:bCs/>
                <w:color w:val="000000"/>
                <w:sz w:val="18"/>
                <w:szCs w:val="18"/>
              </w:rPr>
              <w:t>Q3</w:t>
            </w:r>
          </w:p>
        </w:tc>
        <w:tc>
          <w:tcPr>
            <w:tcW w:w="237" w:type="pct"/>
            <w:tcBorders>
              <w:top w:val="single" w:sz="8" w:space="0" w:color="auto"/>
              <w:left w:val="nil"/>
              <w:bottom w:val="single" w:sz="4" w:space="0" w:color="auto"/>
              <w:right w:val="single" w:sz="4" w:space="0" w:color="auto"/>
            </w:tcBorders>
            <w:shd w:val="clear" w:color="auto" w:fill="auto"/>
            <w:noWrap/>
            <w:vAlign w:val="center"/>
            <w:hideMark/>
          </w:tcPr>
          <w:p w:rsidR="00103DFF" w:rsidRPr="00602215" w:rsidRDefault="00103DFF" w:rsidP="00103DFF">
            <w:pPr>
              <w:rPr>
                <w:rFonts w:ascii="Calibri" w:hAnsi="Calibri"/>
                <w:b/>
                <w:bCs/>
                <w:color w:val="000000"/>
                <w:sz w:val="18"/>
                <w:szCs w:val="18"/>
              </w:rPr>
            </w:pPr>
            <w:r w:rsidRPr="00602215">
              <w:rPr>
                <w:rFonts w:ascii="Calibri" w:hAnsi="Calibri"/>
                <w:b/>
                <w:bCs/>
                <w:color w:val="000000"/>
                <w:sz w:val="18"/>
                <w:szCs w:val="18"/>
              </w:rPr>
              <w:t>Q4</w:t>
            </w:r>
          </w:p>
        </w:tc>
        <w:tc>
          <w:tcPr>
            <w:tcW w:w="689" w:type="pct"/>
            <w:tcBorders>
              <w:top w:val="single" w:sz="8" w:space="0" w:color="auto"/>
              <w:left w:val="nil"/>
              <w:bottom w:val="single" w:sz="4" w:space="0" w:color="auto"/>
              <w:right w:val="single" w:sz="4" w:space="0" w:color="auto"/>
            </w:tcBorders>
            <w:shd w:val="clear" w:color="auto" w:fill="auto"/>
            <w:vAlign w:val="center"/>
            <w:hideMark/>
          </w:tcPr>
          <w:p w:rsidR="00103DFF" w:rsidRPr="00602215" w:rsidRDefault="00103DFF" w:rsidP="00103DFF">
            <w:pPr>
              <w:rPr>
                <w:rFonts w:ascii="Calibri" w:hAnsi="Calibri"/>
                <w:b/>
                <w:bCs/>
                <w:color w:val="000000"/>
                <w:sz w:val="18"/>
                <w:szCs w:val="18"/>
              </w:rPr>
            </w:pPr>
            <w:r w:rsidRPr="00602215">
              <w:rPr>
                <w:rFonts w:ascii="Calibri" w:hAnsi="Calibri"/>
                <w:b/>
                <w:bCs/>
                <w:color w:val="000000"/>
                <w:sz w:val="18"/>
                <w:szCs w:val="18"/>
              </w:rPr>
              <w:t>Outcome or Deliverable</w:t>
            </w:r>
          </w:p>
        </w:tc>
      </w:tr>
      <w:tr w:rsidR="00103DFF" w:rsidRPr="00602215" w:rsidTr="00103DFF">
        <w:trPr>
          <w:trHeight w:val="300"/>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b/>
                <w:bCs/>
                <w:color w:val="000000"/>
                <w:sz w:val="18"/>
                <w:szCs w:val="18"/>
              </w:rPr>
            </w:pPr>
            <w:r w:rsidRPr="00602215">
              <w:rPr>
                <w:rFonts w:ascii="Calibri" w:hAnsi="Calibri"/>
                <w:b/>
                <w:bCs/>
                <w:color w:val="000000"/>
                <w:sz w:val="18"/>
                <w:szCs w:val="18"/>
              </w:rPr>
              <w:t>1. GIS analysis, update &amp; support</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Exec Team, COW</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r>
      <w:tr w:rsidR="00103DFF" w:rsidRPr="00602215" w:rsidTr="00103DFF">
        <w:trPr>
          <w:trHeight w:val="495"/>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Update Form 477 data</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1-Sep-16</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30-Nov-16</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75%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Integration/update of database with new Form 477 data</w:t>
            </w:r>
          </w:p>
        </w:tc>
      </w:tr>
      <w:tr w:rsidR="00103DFF" w:rsidRPr="00602215" w:rsidTr="00103DFF">
        <w:trPr>
          <w:trHeight w:val="735"/>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Gather &amp; analyze  conditional requirement data</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1-Jul-16</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30-Nov-16</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75%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Process for tracking Frontier, AT&amp;T and Charter upgrades/programs required by CPUC/FCC</w:t>
            </w:r>
          </w:p>
        </w:tc>
      </w:tr>
      <w:tr w:rsidR="00103DFF" w:rsidRPr="00602215" w:rsidTr="00103DFF">
        <w:trPr>
          <w:trHeight w:val="495"/>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Gather &amp; analyze CAF2,other data</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1-Jul-16</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30-Nov-16</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75%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Process for tracking Frontier and AT&amp;T CAF-2 implementation requirements.</w:t>
            </w:r>
          </w:p>
        </w:tc>
      </w:tr>
      <w:tr w:rsidR="00103DFF" w:rsidRPr="00602215" w:rsidTr="00103DFF">
        <w:trPr>
          <w:trHeight w:val="735"/>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Update COW GIS database &amp; maps</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1-Oct-16</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30-Mar-17</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50%</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50%</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Updated maps and online database, including Form 477, conditional requirement and CAF-2 data.</w:t>
            </w:r>
          </w:p>
        </w:tc>
      </w:tr>
      <w:tr w:rsidR="00103DFF" w:rsidRPr="00602215" w:rsidTr="00103DFF">
        <w:trPr>
          <w:trHeight w:val="495"/>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Provide project/initiative-specific support</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1-Jul-16</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30-Jun-17</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Goal: 5 broadband infrastructure projects/initiatives per year</w:t>
            </w:r>
          </w:p>
        </w:tc>
      </w:tr>
      <w:tr w:rsidR="00103DFF" w:rsidRPr="00602215" w:rsidTr="00103DFF">
        <w:trPr>
          <w:trHeight w:val="975"/>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Grading, zoning &amp; heat map analysis update</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1-Jul-16</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30-Nov-16</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75%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Updates to existing analytical methodologies for evaluating broadband infrastructure, gaps and project candidates.</w:t>
            </w:r>
          </w:p>
        </w:tc>
      </w:tr>
      <w:tr w:rsidR="00103DFF" w:rsidRPr="00602215" w:rsidTr="00103DFF">
        <w:trPr>
          <w:trHeight w:val="300"/>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b/>
                <w:bCs/>
                <w:color w:val="000000"/>
                <w:sz w:val="18"/>
                <w:szCs w:val="18"/>
              </w:rPr>
            </w:pPr>
            <w:r w:rsidRPr="00602215">
              <w:rPr>
                <w:rFonts w:ascii="Calibri" w:hAnsi="Calibri"/>
                <w:b/>
                <w:bCs/>
                <w:color w:val="000000"/>
                <w:sz w:val="18"/>
                <w:szCs w:val="18"/>
              </w:rPr>
              <w:t>2. Web platform maintenance &amp; development</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Exec Team, COW</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r>
      <w:tr w:rsidR="00103DFF" w:rsidRPr="00602215" w:rsidTr="00103DFF">
        <w:trPr>
          <w:trHeight w:val="735"/>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lastRenderedPageBreak/>
              <w:t>Map layer development</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1-Jul-16</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30-Jun-17</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proofErr w:type="spellStart"/>
            <w:r w:rsidRPr="00602215">
              <w:rPr>
                <w:rFonts w:ascii="Calibri" w:hAnsi="Calibri"/>
                <w:color w:val="000000"/>
                <w:sz w:val="18"/>
                <w:szCs w:val="18"/>
              </w:rPr>
              <w:t>On going</w:t>
            </w:r>
            <w:proofErr w:type="spellEnd"/>
            <w:r w:rsidRPr="00602215">
              <w:rPr>
                <w:rFonts w:ascii="Calibri" w:hAnsi="Calibri"/>
                <w:color w:val="000000"/>
                <w:sz w:val="18"/>
                <w:szCs w:val="18"/>
              </w:rPr>
              <w:t xml:space="preserve"> development of new online map layers, integrating Task 1 work product.</w:t>
            </w:r>
          </w:p>
        </w:tc>
      </w:tr>
      <w:tr w:rsidR="00103DFF" w:rsidRPr="00602215" w:rsidTr="00103DFF">
        <w:trPr>
          <w:trHeight w:val="735"/>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Content maintenance</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1-Jul-16</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30-Jun-17</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proofErr w:type="spellStart"/>
            <w:r w:rsidRPr="00602215">
              <w:rPr>
                <w:rFonts w:ascii="Calibri" w:hAnsi="Calibri"/>
                <w:color w:val="000000"/>
                <w:sz w:val="18"/>
                <w:szCs w:val="18"/>
              </w:rPr>
              <w:t>On going</w:t>
            </w:r>
            <w:proofErr w:type="spellEnd"/>
            <w:r w:rsidRPr="00602215">
              <w:rPr>
                <w:rFonts w:ascii="Calibri" w:hAnsi="Calibri"/>
                <w:color w:val="000000"/>
                <w:sz w:val="18"/>
                <w:szCs w:val="18"/>
              </w:rPr>
              <w:t xml:space="preserve"> development of new online content to supplement Task 1 work product.</w:t>
            </w:r>
          </w:p>
        </w:tc>
      </w:tr>
      <w:tr w:rsidR="00103DFF" w:rsidRPr="00602215" w:rsidTr="00103DFF">
        <w:trPr>
          <w:trHeight w:val="300"/>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b/>
                <w:bCs/>
                <w:color w:val="000000"/>
                <w:sz w:val="18"/>
                <w:szCs w:val="18"/>
              </w:rPr>
            </w:pPr>
            <w:r w:rsidRPr="00602215">
              <w:rPr>
                <w:rFonts w:ascii="Calibri" w:hAnsi="Calibri"/>
                <w:b/>
                <w:bCs/>
                <w:color w:val="000000"/>
                <w:sz w:val="18"/>
                <w:szCs w:val="18"/>
              </w:rPr>
              <w:t>3. Policy development &amp; advocacy</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Exec Team, TBD</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r>
      <w:tr w:rsidR="00103DFF" w:rsidRPr="00602215" w:rsidTr="00103DFF">
        <w:trPr>
          <w:trHeight w:val="735"/>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Standard specification development</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1-Jul-16</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31-Dec-16</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50%</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30%</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10%</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10%</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xml:space="preserve">Standard specifications for conduit, </w:t>
            </w:r>
            <w:proofErr w:type="spellStart"/>
            <w:r w:rsidRPr="00602215">
              <w:rPr>
                <w:rFonts w:ascii="Calibri" w:hAnsi="Calibri"/>
                <w:color w:val="000000"/>
                <w:sz w:val="18"/>
                <w:szCs w:val="18"/>
              </w:rPr>
              <w:t>microtrenching</w:t>
            </w:r>
            <w:proofErr w:type="spellEnd"/>
            <w:r w:rsidRPr="00602215">
              <w:rPr>
                <w:rFonts w:ascii="Calibri" w:hAnsi="Calibri"/>
                <w:color w:val="000000"/>
                <w:sz w:val="18"/>
                <w:szCs w:val="18"/>
              </w:rPr>
              <w:t>, other broadband-related public works initiatives.</w:t>
            </w:r>
          </w:p>
        </w:tc>
      </w:tr>
      <w:tr w:rsidR="00103DFF" w:rsidRPr="00602215" w:rsidTr="00103DFF">
        <w:trPr>
          <w:trHeight w:val="495"/>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Approval of broadband policy package</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1-Jul-16</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30-Jun-17</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Broadband policy package approval by 3 counties, 85% cities</w:t>
            </w:r>
          </w:p>
        </w:tc>
      </w:tr>
      <w:tr w:rsidR="00103DFF" w:rsidRPr="00602215" w:rsidTr="00103DFF">
        <w:trPr>
          <w:trHeight w:val="300"/>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b/>
                <w:bCs/>
                <w:color w:val="000000"/>
                <w:sz w:val="18"/>
                <w:szCs w:val="18"/>
              </w:rPr>
            </w:pPr>
            <w:r w:rsidRPr="00602215">
              <w:rPr>
                <w:rFonts w:ascii="Calibri" w:hAnsi="Calibri"/>
                <w:b/>
                <w:bCs/>
                <w:color w:val="000000"/>
                <w:sz w:val="18"/>
                <w:szCs w:val="18"/>
              </w:rPr>
              <w:t>4. Outreach &amp; project/initiative support</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MCBC</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r>
      <w:tr w:rsidR="00103DFF" w:rsidRPr="00602215" w:rsidTr="00103DFF">
        <w:trPr>
          <w:trHeight w:val="495"/>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Conference calls, meetings, events</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1-Jul-16</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30-Jun-17</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xml:space="preserve">2 </w:t>
            </w:r>
            <w:proofErr w:type="spellStart"/>
            <w:r w:rsidRPr="00602215">
              <w:rPr>
                <w:rFonts w:ascii="Calibri" w:hAnsi="Calibri"/>
                <w:color w:val="000000"/>
                <w:sz w:val="18"/>
                <w:szCs w:val="18"/>
              </w:rPr>
              <w:t>conf</w:t>
            </w:r>
            <w:proofErr w:type="spellEnd"/>
            <w:r w:rsidRPr="00602215">
              <w:rPr>
                <w:rFonts w:ascii="Calibri" w:hAnsi="Calibri"/>
                <w:color w:val="000000"/>
                <w:sz w:val="18"/>
                <w:szCs w:val="18"/>
              </w:rPr>
              <w:t xml:space="preserve"> calls/</w:t>
            </w:r>
            <w:proofErr w:type="spellStart"/>
            <w:r w:rsidRPr="00602215">
              <w:rPr>
                <w:rFonts w:ascii="Calibri" w:hAnsi="Calibri"/>
                <w:color w:val="000000"/>
                <w:sz w:val="18"/>
                <w:szCs w:val="18"/>
              </w:rPr>
              <w:t>mo</w:t>
            </w:r>
            <w:proofErr w:type="spellEnd"/>
            <w:r w:rsidRPr="00602215">
              <w:rPr>
                <w:rFonts w:ascii="Calibri" w:hAnsi="Calibri"/>
                <w:color w:val="000000"/>
                <w:sz w:val="18"/>
                <w:szCs w:val="18"/>
              </w:rPr>
              <w:t>, 2-4 meetings/</w:t>
            </w:r>
            <w:proofErr w:type="spellStart"/>
            <w:r w:rsidRPr="00602215">
              <w:rPr>
                <w:rFonts w:ascii="Calibri" w:hAnsi="Calibri"/>
                <w:color w:val="000000"/>
                <w:sz w:val="18"/>
                <w:szCs w:val="18"/>
              </w:rPr>
              <w:t>yr</w:t>
            </w:r>
            <w:proofErr w:type="spellEnd"/>
            <w:r w:rsidRPr="00602215">
              <w:rPr>
                <w:rFonts w:ascii="Calibri" w:hAnsi="Calibri"/>
                <w:color w:val="000000"/>
                <w:sz w:val="18"/>
                <w:szCs w:val="18"/>
              </w:rPr>
              <w:t>, admin</w:t>
            </w:r>
          </w:p>
        </w:tc>
      </w:tr>
      <w:tr w:rsidR="00103DFF" w:rsidRPr="00602215" w:rsidTr="00103DFF">
        <w:trPr>
          <w:trHeight w:val="495"/>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Coordination of support for regional projects</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1-Jul-16</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30-Jun-17</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xml:space="preserve">Permit &amp; review </w:t>
            </w:r>
            <w:proofErr w:type="spellStart"/>
            <w:r w:rsidRPr="00602215">
              <w:rPr>
                <w:rFonts w:ascii="Calibri" w:hAnsi="Calibri"/>
                <w:color w:val="000000"/>
                <w:sz w:val="18"/>
                <w:szCs w:val="18"/>
              </w:rPr>
              <w:t>coord</w:t>
            </w:r>
            <w:proofErr w:type="spellEnd"/>
            <w:r w:rsidRPr="00602215">
              <w:rPr>
                <w:rFonts w:ascii="Calibri" w:hAnsi="Calibri"/>
                <w:color w:val="000000"/>
                <w:sz w:val="18"/>
                <w:szCs w:val="18"/>
              </w:rPr>
              <w:t>, support letters for regional broadband projects.</w:t>
            </w:r>
          </w:p>
        </w:tc>
      </w:tr>
      <w:tr w:rsidR="00103DFF" w:rsidRPr="00602215" w:rsidTr="00103DFF">
        <w:trPr>
          <w:trHeight w:val="315"/>
        </w:trPr>
        <w:tc>
          <w:tcPr>
            <w:tcW w:w="1503" w:type="pct"/>
            <w:tcBorders>
              <w:top w:val="nil"/>
              <w:left w:val="single" w:sz="8" w:space="0" w:color="auto"/>
              <w:bottom w:val="single" w:sz="8" w:space="0" w:color="auto"/>
              <w:right w:val="single" w:sz="4" w:space="0" w:color="auto"/>
            </w:tcBorders>
            <w:shd w:val="clear" w:color="auto" w:fill="auto"/>
            <w:noWrap/>
            <w:vAlign w:val="bottom"/>
            <w:hideMark/>
          </w:tcPr>
          <w:p w:rsidR="00103DFF" w:rsidRPr="00602215" w:rsidRDefault="00103DFF" w:rsidP="00103DFF">
            <w:pPr>
              <w:rPr>
                <w:rFonts w:ascii="Calibri" w:hAnsi="Calibri"/>
                <w:b/>
                <w:bCs/>
                <w:color w:val="000000"/>
                <w:sz w:val="18"/>
                <w:szCs w:val="18"/>
              </w:rPr>
            </w:pPr>
            <w:r w:rsidRPr="00602215">
              <w:rPr>
                <w:rFonts w:ascii="Calibri" w:hAnsi="Calibri"/>
                <w:b/>
                <w:bCs/>
                <w:color w:val="000000"/>
                <w:sz w:val="18"/>
                <w:szCs w:val="18"/>
              </w:rPr>
              <w:t>5. Fiscal agent support &amp; oversight</w:t>
            </w:r>
          </w:p>
        </w:tc>
        <w:tc>
          <w:tcPr>
            <w:tcW w:w="606" w:type="pct"/>
            <w:tcBorders>
              <w:top w:val="nil"/>
              <w:left w:val="nil"/>
              <w:bottom w:val="single" w:sz="8"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COW</w:t>
            </w:r>
          </w:p>
        </w:tc>
        <w:tc>
          <w:tcPr>
            <w:tcW w:w="795" w:type="pct"/>
            <w:tcBorders>
              <w:top w:val="nil"/>
              <w:left w:val="nil"/>
              <w:bottom w:val="single" w:sz="8"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1-Jul-16</w:t>
            </w:r>
          </w:p>
        </w:tc>
        <w:tc>
          <w:tcPr>
            <w:tcW w:w="459" w:type="pct"/>
            <w:tcBorders>
              <w:top w:val="nil"/>
              <w:left w:val="nil"/>
              <w:bottom w:val="single" w:sz="8"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30-Jun-17</w:t>
            </w:r>
          </w:p>
        </w:tc>
        <w:tc>
          <w:tcPr>
            <w:tcW w:w="237" w:type="pct"/>
            <w:tcBorders>
              <w:top w:val="nil"/>
              <w:left w:val="nil"/>
              <w:bottom w:val="single" w:sz="8"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8"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8"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8"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689" w:type="pct"/>
            <w:tcBorders>
              <w:top w:val="nil"/>
              <w:left w:val="nil"/>
              <w:bottom w:val="single" w:sz="8"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xml:space="preserve"> Billing, audit, administration</w:t>
            </w:r>
          </w:p>
        </w:tc>
      </w:tr>
      <w:tr w:rsidR="00103DFF" w:rsidRPr="00602215" w:rsidTr="00103DFF">
        <w:trPr>
          <w:trHeight w:val="300"/>
        </w:trPr>
        <w:tc>
          <w:tcPr>
            <w:tcW w:w="1503" w:type="pct"/>
            <w:tcBorders>
              <w:top w:val="nil"/>
              <w:left w:val="nil"/>
              <w:bottom w:val="nil"/>
              <w:right w:val="nil"/>
            </w:tcBorders>
            <w:shd w:val="clear" w:color="auto" w:fill="auto"/>
            <w:noWrap/>
            <w:vAlign w:val="bottom"/>
            <w:hideMark/>
          </w:tcPr>
          <w:p w:rsidR="00103DFF" w:rsidRPr="00602215" w:rsidRDefault="00103DFF" w:rsidP="00103DFF">
            <w:pPr>
              <w:rPr>
                <w:rFonts w:ascii="Calibri" w:hAnsi="Calibri"/>
                <w:color w:val="000000"/>
                <w:sz w:val="18"/>
                <w:szCs w:val="18"/>
              </w:rPr>
            </w:pPr>
          </w:p>
        </w:tc>
        <w:tc>
          <w:tcPr>
            <w:tcW w:w="606" w:type="pct"/>
            <w:tcBorders>
              <w:top w:val="nil"/>
              <w:left w:val="nil"/>
              <w:bottom w:val="nil"/>
              <w:right w:val="nil"/>
            </w:tcBorders>
            <w:shd w:val="clear" w:color="auto" w:fill="auto"/>
            <w:noWrap/>
            <w:vAlign w:val="bottom"/>
            <w:hideMark/>
          </w:tcPr>
          <w:p w:rsidR="00103DFF" w:rsidRPr="00602215" w:rsidRDefault="00103DFF" w:rsidP="00103DFF">
            <w:pPr>
              <w:rPr>
                <w:rFonts w:ascii="Calibri" w:hAnsi="Calibri"/>
                <w:color w:val="000000"/>
                <w:sz w:val="18"/>
                <w:szCs w:val="18"/>
              </w:rPr>
            </w:pPr>
          </w:p>
        </w:tc>
        <w:tc>
          <w:tcPr>
            <w:tcW w:w="795" w:type="pct"/>
            <w:tcBorders>
              <w:top w:val="nil"/>
              <w:left w:val="nil"/>
              <w:bottom w:val="nil"/>
              <w:right w:val="nil"/>
            </w:tcBorders>
            <w:shd w:val="clear" w:color="auto" w:fill="auto"/>
            <w:noWrap/>
            <w:vAlign w:val="bottom"/>
            <w:hideMark/>
          </w:tcPr>
          <w:p w:rsidR="00103DFF" w:rsidRPr="00602215" w:rsidRDefault="00103DFF" w:rsidP="00103DFF">
            <w:pPr>
              <w:rPr>
                <w:rFonts w:ascii="Calibri" w:hAnsi="Calibri"/>
                <w:color w:val="000000"/>
                <w:sz w:val="18"/>
                <w:szCs w:val="18"/>
              </w:rPr>
            </w:pPr>
          </w:p>
        </w:tc>
        <w:tc>
          <w:tcPr>
            <w:tcW w:w="459" w:type="pct"/>
            <w:tcBorders>
              <w:top w:val="nil"/>
              <w:left w:val="nil"/>
              <w:bottom w:val="nil"/>
              <w:right w:val="nil"/>
            </w:tcBorders>
            <w:shd w:val="clear" w:color="auto" w:fill="auto"/>
            <w:noWrap/>
            <w:vAlign w:val="bottom"/>
            <w:hideMark/>
          </w:tcPr>
          <w:p w:rsidR="00103DFF" w:rsidRPr="00602215" w:rsidRDefault="00103DFF" w:rsidP="00103DFF">
            <w:pPr>
              <w:rPr>
                <w:rFonts w:ascii="Calibri" w:hAnsi="Calibri"/>
                <w:color w:val="000000"/>
                <w:sz w:val="18"/>
                <w:szCs w:val="18"/>
              </w:rPr>
            </w:pPr>
          </w:p>
        </w:tc>
        <w:tc>
          <w:tcPr>
            <w:tcW w:w="237" w:type="pct"/>
            <w:tcBorders>
              <w:top w:val="nil"/>
              <w:left w:val="nil"/>
              <w:bottom w:val="nil"/>
              <w:right w:val="nil"/>
            </w:tcBorders>
            <w:shd w:val="clear" w:color="auto" w:fill="auto"/>
            <w:noWrap/>
            <w:vAlign w:val="bottom"/>
            <w:hideMark/>
          </w:tcPr>
          <w:p w:rsidR="00103DFF" w:rsidRPr="00602215" w:rsidRDefault="00103DFF" w:rsidP="00103DFF">
            <w:pPr>
              <w:rPr>
                <w:rFonts w:ascii="Calibri" w:hAnsi="Calibri"/>
                <w:color w:val="000000"/>
                <w:sz w:val="18"/>
                <w:szCs w:val="18"/>
              </w:rPr>
            </w:pPr>
          </w:p>
        </w:tc>
        <w:tc>
          <w:tcPr>
            <w:tcW w:w="237" w:type="pct"/>
            <w:tcBorders>
              <w:top w:val="nil"/>
              <w:left w:val="nil"/>
              <w:bottom w:val="nil"/>
              <w:right w:val="nil"/>
            </w:tcBorders>
            <w:shd w:val="clear" w:color="auto" w:fill="auto"/>
            <w:noWrap/>
            <w:vAlign w:val="bottom"/>
            <w:hideMark/>
          </w:tcPr>
          <w:p w:rsidR="00103DFF" w:rsidRPr="00602215" w:rsidRDefault="00103DFF" w:rsidP="00103DFF">
            <w:pPr>
              <w:rPr>
                <w:rFonts w:ascii="Calibri" w:hAnsi="Calibri"/>
                <w:color w:val="000000"/>
                <w:sz w:val="18"/>
                <w:szCs w:val="18"/>
              </w:rPr>
            </w:pPr>
          </w:p>
        </w:tc>
        <w:tc>
          <w:tcPr>
            <w:tcW w:w="237" w:type="pct"/>
            <w:tcBorders>
              <w:top w:val="nil"/>
              <w:left w:val="nil"/>
              <w:bottom w:val="nil"/>
              <w:right w:val="nil"/>
            </w:tcBorders>
            <w:shd w:val="clear" w:color="auto" w:fill="auto"/>
            <w:noWrap/>
            <w:vAlign w:val="bottom"/>
            <w:hideMark/>
          </w:tcPr>
          <w:p w:rsidR="00103DFF" w:rsidRPr="00602215" w:rsidRDefault="00103DFF" w:rsidP="00103DFF">
            <w:pPr>
              <w:rPr>
                <w:rFonts w:ascii="Calibri" w:hAnsi="Calibri"/>
                <w:color w:val="000000"/>
                <w:sz w:val="18"/>
                <w:szCs w:val="18"/>
              </w:rPr>
            </w:pPr>
          </w:p>
        </w:tc>
        <w:tc>
          <w:tcPr>
            <w:tcW w:w="237" w:type="pct"/>
            <w:tcBorders>
              <w:top w:val="nil"/>
              <w:left w:val="nil"/>
              <w:bottom w:val="nil"/>
              <w:right w:val="nil"/>
            </w:tcBorders>
            <w:shd w:val="clear" w:color="auto" w:fill="auto"/>
            <w:noWrap/>
            <w:vAlign w:val="bottom"/>
            <w:hideMark/>
          </w:tcPr>
          <w:p w:rsidR="00103DFF" w:rsidRPr="00602215" w:rsidRDefault="00103DFF" w:rsidP="00103DFF">
            <w:pPr>
              <w:rPr>
                <w:rFonts w:ascii="Calibri" w:hAnsi="Calibri"/>
                <w:color w:val="000000"/>
                <w:sz w:val="18"/>
                <w:szCs w:val="18"/>
              </w:rPr>
            </w:pPr>
          </w:p>
        </w:tc>
        <w:tc>
          <w:tcPr>
            <w:tcW w:w="689" w:type="pct"/>
            <w:tcBorders>
              <w:top w:val="nil"/>
              <w:left w:val="nil"/>
              <w:bottom w:val="nil"/>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r>
      <w:tr w:rsidR="00103DFF" w:rsidRPr="00602215" w:rsidTr="00103DFF">
        <w:trPr>
          <w:trHeight w:val="315"/>
        </w:trPr>
        <w:tc>
          <w:tcPr>
            <w:tcW w:w="1503" w:type="pct"/>
            <w:tcBorders>
              <w:top w:val="nil"/>
              <w:left w:val="nil"/>
              <w:bottom w:val="nil"/>
              <w:right w:val="nil"/>
            </w:tcBorders>
            <w:shd w:val="clear" w:color="auto" w:fill="auto"/>
            <w:noWrap/>
            <w:vAlign w:val="bottom"/>
            <w:hideMark/>
          </w:tcPr>
          <w:p w:rsidR="00103DFF" w:rsidRPr="00602215" w:rsidRDefault="00103DFF" w:rsidP="00103DFF">
            <w:pPr>
              <w:rPr>
                <w:rFonts w:ascii="Calibri" w:hAnsi="Calibri"/>
                <w:color w:val="000000"/>
                <w:sz w:val="18"/>
                <w:szCs w:val="18"/>
              </w:rPr>
            </w:pPr>
          </w:p>
        </w:tc>
        <w:tc>
          <w:tcPr>
            <w:tcW w:w="606" w:type="pct"/>
            <w:tcBorders>
              <w:top w:val="nil"/>
              <w:left w:val="nil"/>
              <w:bottom w:val="nil"/>
              <w:right w:val="nil"/>
            </w:tcBorders>
            <w:shd w:val="clear" w:color="auto" w:fill="auto"/>
            <w:noWrap/>
            <w:vAlign w:val="bottom"/>
            <w:hideMark/>
          </w:tcPr>
          <w:p w:rsidR="00103DFF" w:rsidRPr="00602215" w:rsidRDefault="00103DFF" w:rsidP="00103DFF">
            <w:pPr>
              <w:rPr>
                <w:rFonts w:ascii="Calibri" w:hAnsi="Calibri"/>
                <w:color w:val="000000"/>
                <w:sz w:val="18"/>
                <w:szCs w:val="18"/>
              </w:rPr>
            </w:pPr>
          </w:p>
        </w:tc>
        <w:tc>
          <w:tcPr>
            <w:tcW w:w="795" w:type="pct"/>
            <w:tcBorders>
              <w:top w:val="nil"/>
              <w:left w:val="nil"/>
              <w:bottom w:val="single" w:sz="8" w:space="0" w:color="auto"/>
              <w:right w:val="nil"/>
            </w:tcBorders>
            <w:shd w:val="clear" w:color="auto" w:fill="auto"/>
            <w:noWrap/>
            <w:vAlign w:val="bottom"/>
            <w:hideMark/>
          </w:tcPr>
          <w:p w:rsidR="00103DFF" w:rsidRPr="00602215" w:rsidRDefault="00103DFF" w:rsidP="00103DFF">
            <w:pPr>
              <w:jc w:val="center"/>
              <w:rPr>
                <w:rFonts w:ascii="Calibri" w:hAnsi="Calibri"/>
                <w:color w:val="000000"/>
                <w:sz w:val="18"/>
                <w:szCs w:val="18"/>
              </w:rPr>
            </w:pPr>
            <w:r w:rsidRPr="00602215">
              <w:rPr>
                <w:rFonts w:ascii="Calibri" w:hAnsi="Calibri"/>
                <w:color w:val="000000"/>
                <w:sz w:val="18"/>
                <w:szCs w:val="18"/>
              </w:rPr>
              <w:t>Work Plan Year 2</w:t>
            </w:r>
          </w:p>
        </w:tc>
        <w:tc>
          <w:tcPr>
            <w:tcW w:w="459" w:type="pct"/>
            <w:tcBorders>
              <w:top w:val="nil"/>
              <w:left w:val="nil"/>
              <w:bottom w:val="single" w:sz="8" w:space="0" w:color="auto"/>
              <w:right w:val="nil"/>
            </w:tcBorders>
            <w:shd w:val="clear" w:color="auto" w:fill="auto"/>
            <w:noWrap/>
            <w:vAlign w:val="bottom"/>
            <w:hideMark/>
          </w:tcPr>
          <w:p w:rsidR="00103DFF" w:rsidRPr="00602215" w:rsidRDefault="00103DFF" w:rsidP="00103DFF">
            <w:pPr>
              <w:jc w:val="cente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nil"/>
              <w:right w:val="nil"/>
            </w:tcBorders>
            <w:shd w:val="clear" w:color="auto" w:fill="auto"/>
            <w:noWrap/>
            <w:vAlign w:val="bottom"/>
            <w:hideMark/>
          </w:tcPr>
          <w:p w:rsidR="00103DFF" w:rsidRPr="00602215" w:rsidRDefault="00103DFF" w:rsidP="00103DFF">
            <w:pPr>
              <w:rPr>
                <w:rFonts w:ascii="Calibri" w:hAnsi="Calibri"/>
                <w:color w:val="000000"/>
                <w:sz w:val="18"/>
                <w:szCs w:val="18"/>
              </w:rPr>
            </w:pPr>
          </w:p>
        </w:tc>
        <w:tc>
          <w:tcPr>
            <w:tcW w:w="237" w:type="pct"/>
            <w:tcBorders>
              <w:top w:val="nil"/>
              <w:left w:val="nil"/>
              <w:bottom w:val="nil"/>
              <w:right w:val="nil"/>
            </w:tcBorders>
            <w:shd w:val="clear" w:color="auto" w:fill="auto"/>
            <w:noWrap/>
            <w:vAlign w:val="bottom"/>
            <w:hideMark/>
          </w:tcPr>
          <w:p w:rsidR="00103DFF" w:rsidRPr="00602215" w:rsidRDefault="00103DFF" w:rsidP="00103DFF">
            <w:pPr>
              <w:rPr>
                <w:rFonts w:ascii="Calibri" w:hAnsi="Calibri"/>
                <w:color w:val="000000"/>
                <w:sz w:val="18"/>
                <w:szCs w:val="18"/>
              </w:rPr>
            </w:pPr>
          </w:p>
        </w:tc>
        <w:tc>
          <w:tcPr>
            <w:tcW w:w="237" w:type="pct"/>
            <w:tcBorders>
              <w:top w:val="nil"/>
              <w:left w:val="nil"/>
              <w:bottom w:val="nil"/>
              <w:right w:val="nil"/>
            </w:tcBorders>
            <w:shd w:val="clear" w:color="auto" w:fill="auto"/>
            <w:noWrap/>
            <w:vAlign w:val="bottom"/>
            <w:hideMark/>
          </w:tcPr>
          <w:p w:rsidR="00103DFF" w:rsidRPr="00602215" w:rsidRDefault="00103DFF" w:rsidP="00103DFF">
            <w:pPr>
              <w:rPr>
                <w:rFonts w:ascii="Calibri" w:hAnsi="Calibri"/>
                <w:color w:val="000000"/>
                <w:sz w:val="18"/>
                <w:szCs w:val="18"/>
              </w:rPr>
            </w:pPr>
          </w:p>
        </w:tc>
        <w:tc>
          <w:tcPr>
            <w:tcW w:w="237" w:type="pct"/>
            <w:tcBorders>
              <w:top w:val="nil"/>
              <w:left w:val="nil"/>
              <w:bottom w:val="nil"/>
              <w:right w:val="nil"/>
            </w:tcBorders>
            <w:shd w:val="clear" w:color="auto" w:fill="auto"/>
            <w:noWrap/>
            <w:vAlign w:val="bottom"/>
            <w:hideMark/>
          </w:tcPr>
          <w:p w:rsidR="00103DFF" w:rsidRPr="00602215" w:rsidRDefault="00103DFF" w:rsidP="00103DFF">
            <w:pPr>
              <w:rPr>
                <w:rFonts w:ascii="Calibri" w:hAnsi="Calibri"/>
                <w:color w:val="000000"/>
                <w:sz w:val="18"/>
                <w:szCs w:val="18"/>
              </w:rPr>
            </w:pPr>
          </w:p>
        </w:tc>
        <w:tc>
          <w:tcPr>
            <w:tcW w:w="689" w:type="pct"/>
            <w:tcBorders>
              <w:top w:val="nil"/>
              <w:left w:val="nil"/>
              <w:bottom w:val="nil"/>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r>
      <w:tr w:rsidR="00103DFF" w:rsidRPr="00602215" w:rsidTr="00103DFF">
        <w:trPr>
          <w:trHeight w:val="300"/>
        </w:trPr>
        <w:tc>
          <w:tcPr>
            <w:tcW w:w="1503"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03DFF" w:rsidRPr="00602215" w:rsidRDefault="00103DFF" w:rsidP="00103DFF">
            <w:pPr>
              <w:jc w:val="center"/>
              <w:rPr>
                <w:rFonts w:ascii="Calibri" w:hAnsi="Calibri"/>
                <w:b/>
                <w:bCs/>
                <w:color w:val="000000"/>
                <w:sz w:val="18"/>
                <w:szCs w:val="18"/>
              </w:rPr>
            </w:pPr>
            <w:r w:rsidRPr="00602215">
              <w:rPr>
                <w:rFonts w:ascii="Calibri" w:hAnsi="Calibri"/>
                <w:b/>
                <w:bCs/>
                <w:color w:val="000000"/>
                <w:sz w:val="18"/>
                <w:szCs w:val="18"/>
              </w:rPr>
              <w:t>Activities/Tasks</w:t>
            </w:r>
          </w:p>
        </w:tc>
        <w:tc>
          <w:tcPr>
            <w:tcW w:w="606" w:type="pct"/>
            <w:tcBorders>
              <w:top w:val="single" w:sz="8" w:space="0" w:color="auto"/>
              <w:left w:val="nil"/>
              <w:bottom w:val="single" w:sz="4" w:space="0" w:color="auto"/>
              <w:right w:val="single" w:sz="4" w:space="0" w:color="auto"/>
            </w:tcBorders>
            <w:shd w:val="clear" w:color="auto" w:fill="auto"/>
            <w:noWrap/>
            <w:vAlign w:val="center"/>
            <w:hideMark/>
          </w:tcPr>
          <w:p w:rsidR="00103DFF" w:rsidRPr="00602215" w:rsidRDefault="00103DFF" w:rsidP="00103DFF">
            <w:pPr>
              <w:jc w:val="center"/>
              <w:rPr>
                <w:rFonts w:ascii="Calibri" w:hAnsi="Calibri"/>
                <w:b/>
                <w:bCs/>
                <w:color w:val="000000"/>
                <w:sz w:val="18"/>
                <w:szCs w:val="18"/>
              </w:rPr>
            </w:pPr>
            <w:r w:rsidRPr="00602215">
              <w:rPr>
                <w:rFonts w:ascii="Calibri" w:hAnsi="Calibri"/>
                <w:b/>
                <w:bCs/>
                <w:color w:val="000000"/>
                <w:sz w:val="18"/>
                <w:szCs w:val="18"/>
              </w:rPr>
              <w:t>Who Manages</w:t>
            </w:r>
          </w:p>
        </w:tc>
        <w:tc>
          <w:tcPr>
            <w:tcW w:w="795" w:type="pct"/>
            <w:tcBorders>
              <w:top w:val="nil"/>
              <w:left w:val="nil"/>
              <w:bottom w:val="single" w:sz="4" w:space="0" w:color="auto"/>
              <w:right w:val="single" w:sz="4" w:space="0" w:color="auto"/>
            </w:tcBorders>
            <w:shd w:val="clear" w:color="auto" w:fill="auto"/>
            <w:noWrap/>
            <w:vAlign w:val="center"/>
            <w:hideMark/>
          </w:tcPr>
          <w:p w:rsidR="00103DFF" w:rsidRPr="00602215" w:rsidRDefault="00103DFF" w:rsidP="00103DFF">
            <w:pPr>
              <w:rPr>
                <w:rFonts w:ascii="Calibri" w:hAnsi="Calibri"/>
                <w:b/>
                <w:bCs/>
                <w:color w:val="000000"/>
                <w:sz w:val="18"/>
                <w:szCs w:val="18"/>
              </w:rPr>
            </w:pPr>
            <w:r w:rsidRPr="00602215">
              <w:rPr>
                <w:rFonts w:ascii="Calibri" w:hAnsi="Calibri"/>
                <w:b/>
                <w:bCs/>
                <w:color w:val="000000"/>
                <w:sz w:val="18"/>
                <w:szCs w:val="18"/>
              </w:rPr>
              <w:t>Start Date</w:t>
            </w:r>
          </w:p>
        </w:tc>
        <w:tc>
          <w:tcPr>
            <w:tcW w:w="459" w:type="pct"/>
            <w:tcBorders>
              <w:top w:val="nil"/>
              <w:left w:val="nil"/>
              <w:bottom w:val="single" w:sz="4" w:space="0" w:color="auto"/>
              <w:right w:val="single" w:sz="4" w:space="0" w:color="auto"/>
            </w:tcBorders>
            <w:shd w:val="clear" w:color="auto" w:fill="auto"/>
            <w:vAlign w:val="center"/>
            <w:hideMark/>
          </w:tcPr>
          <w:p w:rsidR="00103DFF" w:rsidRPr="00602215" w:rsidRDefault="00103DFF" w:rsidP="00103DFF">
            <w:pPr>
              <w:jc w:val="center"/>
              <w:rPr>
                <w:rFonts w:ascii="Calibri" w:hAnsi="Calibri"/>
                <w:b/>
                <w:bCs/>
                <w:color w:val="000000"/>
                <w:sz w:val="18"/>
                <w:szCs w:val="18"/>
              </w:rPr>
            </w:pPr>
            <w:r w:rsidRPr="00602215">
              <w:rPr>
                <w:rFonts w:ascii="Calibri" w:hAnsi="Calibri"/>
                <w:b/>
                <w:bCs/>
                <w:color w:val="000000"/>
                <w:sz w:val="18"/>
                <w:szCs w:val="18"/>
              </w:rPr>
              <w:t>Completion Date</w:t>
            </w:r>
          </w:p>
        </w:tc>
        <w:tc>
          <w:tcPr>
            <w:tcW w:w="237" w:type="pct"/>
            <w:tcBorders>
              <w:top w:val="single" w:sz="8" w:space="0" w:color="auto"/>
              <w:left w:val="nil"/>
              <w:bottom w:val="single" w:sz="4" w:space="0" w:color="auto"/>
              <w:right w:val="single" w:sz="4" w:space="0" w:color="auto"/>
            </w:tcBorders>
            <w:shd w:val="clear" w:color="auto" w:fill="auto"/>
            <w:noWrap/>
            <w:vAlign w:val="center"/>
            <w:hideMark/>
          </w:tcPr>
          <w:p w:rsidR="00103DFF" w:rsidRPr="00602215" w:rsidRDefault="00103DFF" w:rsidP="00103DFF">
            <w:pPr>
              <w:rPr>
                <w:rFonts w:ascii="Calibri" w:hAnsi="Calibri"/>
                <w:b/>
                <w:bCs/>
                <w:color w:val="000000"/>
                <w:sz w:val="18"/>
                <w:szCs w:val="18"/>
              </w:rPr>
            </w:pPr>
            <w:r w:rsidRPr="00602215">
              <w:rPr>
                <w:rFonts w:ascii="Calibri" w:hAnsi="Calibri"/>
                <w:b/>
                <w:bCs/>
                <w:color w:val="000000"/>
                <w:sz w:val="18"/>
                <w:szCs w:val="18"/>
              </w:rPr>
              <w:t>Q1</w:t>
            </w:r>
          </w:p>
        </w:tc>
        <w:tc>
          <w:tcPr>
            <w:tcW w:w="237" w:type="pct"/>
            <w:tcBorders>
              <w:top w:val="single" w:sz="8" w:space="0" w:color="auto"/>
              <w:left w:val="nil"/>
              <w:bottom w:val="single" w:sz="4" w:space="0" w:color="auto"/>
              <w:right w:val="single" w:sz="4" w:space="0" w:color="auto"/>
            </w:tcBorders>
            <w:shd w:val="clear" w:color="auto" w:fill="auto"/>
            <w:noWrap/>
            <w:vAlign w:val="center"/>
            <w:hideMark/>
          </w:tcPr>
          <w:p w:rsidR="00103DFF" w:rsidRPr="00602215" w:rsidRDefault="00103DFF" w:rsidP="00103DFF">
            <w:pPr>
              <w:rPr>
                <w:rFonts w:ascii="Calibri" w:hAnsi="Calibri"/>
                <w:b/>
                <w:bCs/>
                <w:color w:val="000000"/>
                <w:sz w:val="18"/>
                <w:szCs w:val="18"/>
              </w:rPr>
            </w:pPr>
            <w:r w:rsidRPr="00602215">
              <w:rPr>
                <w:rFonts w:ascii="Calibri" w:hAnsi="Calibri"/>
                <w:b/>
                <w:bCs/>
                <w:color w:val="000000"/>
                <w:sz w:val="18"/>
                <w:szCs w:val="18"/>
              </w:rPr>
              <w:t>Q2</w:t>
            </w:r>
          </w:p>
        </w:tc>
        <w:tc>
          <w:tcPr>
            <w:tcW w:w="237" w:type="pct"/>
            <w:tcBorders>
              <w:top w:val="single" w:sz="8" w:space="0" w:color="auto"/>
              <w:left w:val="nil"/>
              <w:bottom w:val="single" w:sz="4" w:space="0" w:color="auto"/>
              <w:right w:val="single" w:sz="4" w:space="0" w:color="auto"/>
            </w:tcBorders>
            <w:shd w:val="clear" w:color="auto" w:fill="auto"/>
            <w:noWrap/>
            <w:vAlign w:val="center"/>
            <w:hideMark/>
          </w:tcPr>
          <w:p w:rsidR="00103DFF" w:rsidRPr="00602215" w:rsidRDefault="00103DFF" w:rsidP="00103DFF">
            <w:pPr>
              <w:rPr>
                <w:rFonts w:ascii="Calibri" w:hAnsi="Calibri"/>
                <w:b/>
                <w:bCs/>
                <w:color w:val="000000"/>
                <w:sz w:val="18"/>
                <w:szCs w:val="18"/>
              </w:rPr>
            </w:pPr>
            <w:r w:rsidRPr="00602215">
              <w:rPr>
                <w:rFonts w:ascii="Calibri" w:hAnsi="Calibri"/>
                <w:b/>
                <w:bCs/>
                <w:color w:val="000000"/>
                <w:sz w:val="18"/>
                <w:szCs w:val="18"/>
              </w:rPr>
              <w:t>Q3</w:t>
            </w:r>
          </w:p>
        </w:tc>
        <w:tc>
          <w:tcPr>
            <w:tcW w:w="237" w:type="pct"/>
            <w:tcBorders>
              <w:top w:val="single" w:sz="8" w:space="0" w:color="auto"/>
              <w:left w:val="nil"/>
              <w:bottom w:val="single" w:sz="4" w:space="0" w:color="auto"/>
              <w:right w:val="single" w:sz="4" w:space="0" w:color="auto"/>
            </w:tcBorders>
            <w:shd w:val="clear" w:color="auto" w:fill="auto"/>
            <w:noWrap/>
            <w:vAlign w:val="center"/>
            <w:hideMark/>
          </w:tcPr>
          <w:p w:rsidR="00103DFF" w:rsidRPr="00602215" w:rsidRDefault="00103DFF" w:rsidP="00103DFF">
            <w:pPr>
              <w:rPr>
                <w:rFonts w:ascii="Calibri" w:hAnsi="Calibri"/>
                <w:b/>
                <w:bCs/>
                <w:color w:val="000000"/>
                <w:sz w:val="18"/>
                <w:szCs w:val="18"/>
              </w:rPr>
            </w:pPr>
            <w:r w:rsidRPr="00602215">
              <w:rPr>
                <w:rFonts w:ascii="Calibri" w:hAnsi="Calibri"/>
                <w:b/>
                <w:bCs/>
                <w:color w:val="000000"/>
                <w:sz w:val="18"/>
                <w:szCs w:val="18"/>
              </w:rPr>
              <w:t>Q4</w:t>
            </w:r>
          </w:p>
        </w:tc>
        <w:tc>
          <w:tcPr>
            <w:tcW w:w="689" w:type="pct"/>
            <w:tcBorders>
              <w:top w:val="single" w:sz="8" w:space="0" w:color="auto"/>
              <w:left w:val="nil"/>
              <w:bottom w:val="single" w:sz="4" w:space="0" w:color="auto"/>
              <w:right w:val="single" w:sz="4" w:space="0" w:color="auto"/>
            </w:tcBorders>
            <w:shd w:val="clear" w:color="auto" w:fill="auto"/>
            <w:vAlign w:val="center"/>
            <w:hideMark/>
          </w:tcPr>
          <w:p w:rsidR="00103DFF" w:rsidRPr="00602215" w:rsidRDefault="00103DFF" w:rsidP="00103DFF">
            <w:pPr>
              <w:rPr>
                <w:rFonts w:ascii="Calibri" w:hAnsi="Calibri"/>
                <w:b/>
                <w:bCs/>
                <w:color w:val="000000"/>
                <w:sz w:val="18"/>
                <w:szCs w:val="18"/>
              </w:rPr>
            </w:pPr>
            <w:r w:rsidRPr="00602215">
              <w:rPr>
                <w:rFonts w:ascii="Calibri" w:hAnsi="Calibri"/>
                <w:b/>
                <w:bCs/>
                <w:color w:val="000000"/>
                <w:sz w:val="18"/>
                <w:szCs w:val="18"/>
              </w:rPr>
              <w:t>Outcome or Deliverable</w:t>
            </w:r>
          </w:p>
        </w:tc>
      </w:tr>
      <w:tr w:rsidR="00103DFF" w:rsidRPr="00602215" w:rsidTr="00103DFF">
        <w:trPr>
          <w:trHeight w:val="300"/>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b/>
                <w:bCs/>
                <w:color w:val="000000"/>
                <w:sz w:val="18"/>
                <w:szCs w:val="18"/>
              </w:rPr>
            </w:pPr>
            <w:r w:rsidRPr="00602215">
              <w:rPr>
                <w:rFonts w:ascii="Calibri" w:hAnsi="Calibri"/>
                <w:b/>
                <w:bCs/>
                <w:color w:val="000000"/>
                <w:sz w:val="18"/>
                <w:szCs w:val="18"/>
              </w:rPr>
              <w:t>1. GIS analysis, update &amp; support</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Exec Team, COW</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r>
      <w:tr w:rsidR="00103DFF" w:rsidRPr="00602215" w:rsidTr="00103DFF">
        <w:trPr>
          <w:trHeight w:val="495"/>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Update Form 477 data</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1-Sep-17</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30-Nov-17</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75%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Integration/update of database with new Form 477 data</w:t>
            </w:r>
          </w:p>
        </w:tc>
      </w:tr>
      <w:tr w:rsidR="00103DFF" w:rsidRPr="00602215" w:rsidTr="00103DFF">
        <w:trPr>
          <w:trHeight w:val="735"/>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lastRenderedPageBreak/>
              <w:t>Gather &amp; analyze  conditional requirement data</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1-Jul-17</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30-Nov-17</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75%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Process for tracking Frontier, AT&amp;T and Charter upgrades/programs required by CPUC/FCC</w:t>
            </w:r>
          </w:p>
        </w:tc>
      </w:tr>
      <w:tr w:rsidR="00103DFF" w:rsidRPr="00602215" w:rsidTr="00103DFF">
        <w:trPr>
          <w:trHeight w:val="495"/>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Gather &amp; analyze CAF2,other data</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1-Jul-17</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30-Nov-17</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75%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Process for tracking Frontier and AT&amp;T CAF-2 implementation requirements.</w:t>
            </w:r>
          </w:p>
        </w:tc>
      </w:tr>
      <w:tr w:rsidR="00103DFF" w:rsidRPr="00602215" w:rsidTr="00103DFF">
        <w:trPr>
          <w:trHeight w:val="735"/>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Update COW GIS database &amp; maps</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1-Oct-17</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30-Mar-18</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50%</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50%</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Updated maps and online database, including Form 477, conditional requirement and CAF-2 data.</w:t>
            </w:r>
          </w:p>
        </w:tc>
      </w:tr>
      <w:tr w:rsidR="00103DFF" w:rsidRPr="00602215" w:rsidTr="00103DFF">
        <w:trPr>
          <w:trHeight w:val="495"/>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Provide project/initiative-specific support</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1-Jul-17</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30-Jun-18</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Goal: 5 broadband infrastructure projects/initiatives per year</w:t>
            </w:r>
          </w:p>
        </w:tc>
      </w:tr>
      <w:tr w:rsidR="00103DFF" w:rsidRPr="00602215" w:rsidTr="00103DFF">
        <w:trPr>
          <w:trHeight w:val="300"/>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b/>
                <w:bCs/>
                <w:color w:val="000000"/>
                <w:sz w:val="18"/>
                <w:szCs w:val="18"/>
              </w:rPr>
            </w:pPr>
            <w:r w:rsidRPr="00602215">
              <w:rPr>
                <w:rFonts w:ascii="Calibri" w:hAnsi="Calibri"/>
                <w:b/>
                <w:bCs/>
                <w:color w:val="000000"/>
                <w:sz w:val="18"/>
                <w:szCs w:val="18"/>
              </w:rPr>
              <w:t>2. Web platform maintenance &amp; development</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Exec Team, COW</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r>
      <w:tr w:rsidR="00103DFF" w:rsidRPr="00602215" w:rsidTr="00103DFF">
        <w:trPr>
          <w:trHeight w:val="735"/>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Map layer development</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1-Jul-17</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30-Jun-18</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proofErr w:type="spellStart"/>
            <w:r w:rsidRPr="00602215">
              <w:rPr>
                <w:rFonts w:ascii="Calibri" w:hAnsi="Calibri"/>
                <w:color w:val="000000"/>
                <w:sz w:val="18"/>
                <w:szCs w:val="18"/>
              </w:rPr>
              <w:t>On going</w:t>
            </w:r>
            <w:proofErr w:type="spellEnd"/>
            <w:r w:rsidRPr="00602215">
              <w:rPr>
                <w:rFonts w:ascii="Calibri" w:hAnsi="Calibri"/>
                <w:color w:val="000000"/>
                <w:sz w:val="18"/>
                <w:szCs w:val="18"/>
              </w:rPr>
              <w:t xml:space="preserve"> development of new online map layers, integrating Task 1 work product.</w:t>
            </w:r>
          </w:p>
        </w:tc>
      </w:tr>
      <w:tr w:rsidR="00103DFF" w:rsidRPr="00602215" w:rsidTr="00103DFF">
        <w:trPr>
          <w:trHeight w:val="735"/>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Content maintenance</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1-Jul-17</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30-Jun-18</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proofErr w:type="spellStart"/>
            <w:r w:rsidRPr="00602215">
              <w:rPr>
                <w:rFonts w:ascii="Calibri" w:hAnsi="Calibri"/>
                <w:color w:val="000000"/>
                <w:sz w:val="18"/>
                <w:szCs w:val="18"/>
              </w:rPr>
              <w:t>On going</w:t>
            </w:r>
            <w:proofErr w:type="spellEnd"/>
            <w:r w:rsidRPr="00602215">
              <w:rPr>
                <w:rFonts w:ascii="Calibri" w:hAnsi="Calibri"/>
                <w:color w:val="000000"/>
                <w:sz w:val="18"/>
                <w:szCs w:val="18"/>
              </w:rPr>
              <w:t xml:space="preserve"> development of new online content to supplement Task 1 work product.</w:t>
            </w:r>
          </w:p>
        </w:tc>
      </w:tr>
      <w:tr w:rsidR="00103DFF" w:rsidRPr="00602215" w:rsidTr="00103DFF">
        <w:trPr>
          <w:trHeight w:val="300"/>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Interface update</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1-Jan-18</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30-Jun-18</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50%</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50%</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Updated/refreshed platform interface</w:t>
            </w:r>
          </w:p>
        </w:tc>
      </w:tr>
      <w:tr w:rsidR="00103DFF" w:rsidRPr="00602215" w:rsidTr="00103DFF">
        <w:trPr>
          <w:trHeight w:val="300"/>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Fiber survey</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1-Jan-18</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30-Jun-18</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Three-county survey of fiber networks</w:t>
            </w:r>
          </w:p>
        </w:tc>
      </w:tr>
      <w:tr w:rsidR="00103DFF" w:rsidRPr="00602215" w:rsidTr="00103DFF">
        <w:trPr>
          <w:trHeight w:val="300"/>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b/>
                <w:bCs/>
                <w:color w:val="000000"/>
                <w:sz w:val="18"/>
                <w:szCs w:val="18"/>
              </w:rPr>
            </w:pPr>
            <w:r w:rsidRPr="00602215">
              <w:rPr>
                <w:rFonts w:ascii="Calibri" w:hAnsi="Calibri"/>
                <w:b/>
                <w:bCs/>
                <w:color w:val="000000"/>
                <w:sz w:val="18"/>
                <w:szCs w:val="18"/>
              </w:rPr>
              <w:t>3. Policy development &amp; advocacy</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Exec Team, TBD</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r>
      <w:tr w:rsidR="00103DFF" w:rsidRPr="00602215" w:rsidTr="00103DFF">
        <w:trPr>
          <w:trHeight w:val="975"/>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Standard specification development</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1-Jul-17</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30-Jun-18</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xml:space="preserve">Expanded and revised specifications for conduit, </w:t>
            </w:r>
            <w:proofErr w:type="spellStart"/>
            <w:r w:rsidRPr="00602215">
              <w:rPr>
                <w:rFonts w:ascii="Calibri" w:hAnsi="Calibri"/>
                <w:color w:val="000000"/>
                <w:sz w:val="18"/>
                <w:szCs w:val="18"/>
              </w:rPr>
              <w:t>microtrenching</w:t>
            </w:r>
            <w:proofErr w:type="spellEnd"/>
            <w:r w:rsidRPr="00602215">
              <w:rPr>
                <w:rFonts w:ascii="Calibri" w:hAnsi="Calibri"/>
                <w:color w:val="000000"/>
                <w:sz w:val="18"/>
                <w:szCs w:val="18"/>
              </w:rPr>
              <w:t xml:space="preserve">, other </w:t>
            </w:r>
            <w:r w:rsidRPr="00602215">
              <w:rPr>
                <w:rFonts w:ascii="Calibri" w:hAnsi="Calibri"/>
                <w:color w:val="000000"/>
                <w:sz w:val="18"/>
                <w:szCs w:val="18"/>
              </w:rPr>
              <w:lastRenderedPageBreak/>
              <w:t>broadband-related public works initiatives.</w:t>
            </w:r>
          </w:p>
        </w:tc>
      </w:tr>
      <w:tr w:rsidR="00103DFF" w:rsidRPr="00602215" w:rsidTr="00103DFF">
        <w:trPr>
          <w:trHeight w:val="495"/>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lastRenderedPageBreak/>
              <w:t>Implementation of broadband policy package</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1-Jul-17</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30-Jun-18</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Policy package implemented in 80% of jurisdictions</w:t>
            </w:r>
          </w:p>
        </w:tc>
      </w:tr>
      <w:tr w:rsidR="00103DFF" w:rsidRPr="00602215" w:rsidTr="00103DFF">
        <w:trPr>
          <w:trHeight w:val="300"/>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b/>
                <w:bCs/>
                <w:color w:val="000000"/>
                <w:sz w:val="18"/>
                <w:szCs w:val="18"/>
              </w:rPr>
            </w:pPr>
            <w:r w:rsidRPr="00602215">
              <w:rPr>
                <w:rFonts w:ascii="Calibri" w:hAnsi="Calibri"/>
                <w:b/>
                <w:bCs/>
                <w:color w:val="000000"/>
                <w:sz w:val="18"/>
                <w:szCs w:val="18"/>
              </w:rPr>
              <w:t>4. Outreach &amp; project/initiative support</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MCBC</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r>
      <w:tr w:rsidR="00103DFF" w:rsidRPr="00602215" w:rsidTr="00103DFF">
        <w:trPr>
          <w:trHeight w:val="495"/>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Conference calls, meetings, events</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1-Jul-17</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30-Jun-18</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xml:space="preserve">2 </w:t>
            </w:r>
            <w:proofErr w:type="spellStart"/>
            <w:r w:rsidRPr="00602215">
              <w:rPr>
                <w:rFonts w:ascii="Calibri" w:hAnsi="Calibri"/>
                <w:color w:val="000000"/>
                <w:sz w:val="18"/>
                <w:szCs w:val="18"/>
              </w:rPr>
              <w:t>conf</w:t>
            </w:r>
            <w:proofErr w:type="spellEnd"/>
            <w:r w:rsidRPr="00602215">
              <w:rPr>
                <w:rFonts w:ascii="Calibri" w:hAnsi="Calibri"/>
                <w:color w:val="000000"/>
                <w:sz w:val="18"/>
                <w:szCs w:val="18"/>
              </w:rPr>
              <w:t xml:space="preserve"> calls/</w:t>
            </w:r>
            <w:proofErr w:type="spellStart"/>
            <w:r w:rsidRPr="00602215">
              <w:rPr>
                <w:rFonts w:ascii="Calibri" w:hAnsi="Calibri"/>
                <w:color w:val="000000"/>
                <w:sz w:val="18"/>
                <w:szCs w:val="18"/>
              </w:rPr>
              <w:t>mo</w:t>
            </w:r>
            <w:proofErr w:type="spellEnd"/>
            <w:r w:rsidRPr="00602215">
              <w:rPr>
                <w:rFonts w:ascii="Calibri" w:hAnsi="Calibri"/>
                <w:color w:val="000000"/>
                <w:sz w:val="18"/>
                <w:szCs w:val="18"/>
              </w:rPr>
              <w:t>, 2-4 meetings/</w:t>
            </w:r>
            <w:proofErr w:type="spellStart"/>
            <w:r w:rsidRPr="00602215">
              <w:rPr>
                <w:rFonts w:ascii="Calibri" w:hAnsi="Calibri"/>
                <w:color w:val="000000"/>
                <w:sz w:val="18"/>
                <w:szCs w:val="18"/>
              </w:rPr>
              <w:t>yr</w:t>
            </w:r>
            <w:proofErr w:type="spellEnd"/>
            <w:r w:rsidRPr="00602215">
              <w:rPr>
                <w:rFonts w:ascii="Calibri" w:hAnsi="Calibri"/>
                <w:color w:val="000000"/>
                <w:sz w:val="18"/>
                <w:szCs w:val="18"/>
              </w:rPr>
              <w:t>, admin</w:t>
            </w:r>
          </w:p>
        </w:tc>
      </w:tr>
      <w:tr w:rsidR="00103DFF" w:rsidRPr="00602215" w:rsidTr="00103DFF">
        <w:trPr>
          <w:trHeight w:val="495"/>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Coordination of support for regional projects</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1-Jul-17</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30-Jun-18</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xml:space="preserve">Permit &amp; review </w:t>
            </w:r>
            <w:proofErr w:type="spellStart"/>
            <w:r w:rsidRPr="00602215">
              <w:rPr>
                <w:rFonts w:ascii="Calibri" w:hAnsi="Calibri"/>
                <w:color w:val="000000"/>
                <w:sz w:val="18"/>
                <w:szCs w:val="18"/>
              </w:rPr>
              <w:t>coord</w:t>
            </w:r>
            <w:proofErr w:type="spellEnd"/>
            <w:r w:rsidRPr="00602215">
              <w:rPr>
                <w:rFonts w:ascii="Calibri" w:hAnsi="Calibri"/>
                <w:color w:val="000000"/>
                <w:sz w:val="18"/>
                <w:szCs w:val="18"/>
              </w:rPr>
              <w:t>, support letters for regional broadband projects.</w:t>
            </w:r>
          </w:p>
        </w:tc>
      </w:tr>
      <w:tr w:rsidR="00103DFF" w:rsidRPr="00602215" w:rsidTr="00103DFF">
        <w:trPr>
          <w:trHeight w:val="315"/>
        </w:trPr>
        <w:tc>
          <w:tcPr>
            <w:tcW w:w="1503" w:type="pct"/>
            <w:tcBorders>
              <w:top w:val="nil"/>
              <w:left w:val="single" w:sz="8" w:space="0" w:color="auto"/>
              <w:bottom w:val="single" w:sz="8" w:space="0" w:color="auto"/>
              <w:right w:val="single" w:sz="4" w:space="0" w:color="auto"/>
            </w:tcBorders>
            <w:shd w:val="clear" w:color="auto" w:fill="auto"/>
            <w:noWrap/>
            <w:vAlign w:val="bottom"/>
            <w:hideMark/>
          </w:tcPr>
          <w:p w:rsidR="00103DFF" w:rsidRPr="00602215" w:rsidRDefault="00103DFF" w:rsidP="00103DFF">
            <w:pPr>
              <w:rPr>
                <w:rFonts w:ascii="Calibri" w:hAnsi="Calibri"/>
                <w:b/>
                <w:bCs/>
                <w:color w:val="000000"/>
                <w:sz w:val="18"/>
                <w:szCs w:val="18"/>
              </w:rPr>
            </w:pPr>
            <w:r w:rsidRPr="00602215">
              <w:rPr>
                <w:rFonts w:ascii="Calibri" w:hAnsi="Calibri"/>
                <w:b/>
                <w:bCs/>
                <w:color w:val="000000"/>
                <w:sz w:val="18"/>
                <w:szCs w:val="18"/>
              </w:rPr>
              <w:t>5. Fiscal agent support &amp; oversight</w:t>
            </w:r>
          </w:p>
        </w:tc>
        <w:tc>
          <w:tcPr>
            <w:tcW w:w="606" w:type="pct"/>
            <w:tcBorders>
              <w:top w:val="nil"/>
              <w:left w:val="nil"/>
              <w:bottom w:val="single" w:sz="8"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COW</w:t>
            </w:r>
          </w:p>
        </w:tc>
        <w:tc>
          <w:tcPr>
            <w:tcW w:w="795" w:type="pct"/>
            <w:tcBorders>
              <w:top w:val="nil"/>
              <w:left w:val="nil"/>
              <w:bottom w:val="single" w:sz="8"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1-Jul-17</w:t>
            </w:r>
          </w:p>
        </w:tc>
        <w:tc>
          <w:tcPr>
            <w:tcW w:w="459" w:type="pct"/>
            <w:tcBorders>
              <w:top w:val="nil"/>
              <w:left w:val="nil"/>
              <w:bottom w:val="single" w:sz="8"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30-Jun-18</w:t>
            </w:r>
          </w:p>
        </w:tc>
        <w:tc>
          <w:tcPr>
            <w:tcW w:w="237" w:type="pct"/>
            <w:tcBorders>
              <w:top w:val="nil"/>
              <w:left w:val="nil"/>
              <w:bottom w:val="single" w:sz="8"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8"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8"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8"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689" w:type="pct"/>
            <w:tcBorders>
              <w:top w:val="nil"/>
              <w:left w:val="nil"/>
              <w:bottom w:val="single" w:sz="8"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xml:space="preserve"> Billing, audit, administration</w:t>
            </w:r>
          </w:p>
        </w:tc>
      </w:tr>
      <w:tr w:rsidR="00103DFF" w:rsidRPr="00602215" w:rsidTr="00103DFF">
        <w:trPr>
          <w:trHeight w:val="300"/>
        </w:trPr>
        <w:tc>
          <w:tcPr>
            <w:tcW w:w="1503" w:type="pct"/>
            <w:tcBorders>
              <w:top w:val="nil"/>
              <w:left w:val="nil"/>
              <w:bottom w:val="nil"/>
              <w:right w:val="nil"/>
            </w:tcBorders>
            <w:shd w:val="clear" w:color="auto" w:fill="auto"/>
            <w:noWrap/>
            <w:vAlign w:val="bottom"/>
            <w:hideMark/>
          </w:tcPr>
          <w:p w:rsidR="00103DFF" w:rsidRPr="00602215" w:rsidRDefault="00103DFF" w:rsidP="00103DFF">
            <w:pPr>
              <w:rPr>
                <w:rFonts w:ascii="Calibri" w:hAnsi="Calibri"/>
                <w:color w:val="000000"/>
                <w:sz w:val="18"/>
                <w:szCs w:val="18"/>
              </w:rPr>
            </w:pPr>
          </w:p>
        </w:tc>
        <w:tc>
          <w:tcPr>
            <w:tcW w:w="606" w:type="pct"/>
            <w:tcBorders>
              <w:top w:val="nil"/>
              <w:left w:val="nil"/>
              <w:bottom w:val="nil"/>
              <w:right w:val="nil"/>
            </w:tcBorders>
            <w:shd w:val="clear" w:color="auto" w:fill="auto"/>
            <w:noWrap/>
            <w:vAlign w:val="bottom"/>
            <w:hideMark/>
          </w:tcPr>
          <w:p w:rsidR="00103DFF" w:rsidRPr="00602215" w:rsidRDefault="00103DFF" w:rsidP="00103DFF">
            <w:pPr>
              <w:rPr>
                <w:rFonts w:ascii="Calibri" w:hAnsi="Calibri"/>
                <w:color w:val="000000"/>
                <w:sz w:val="18"/>
                <w:szCs w:val="18"/>
              </w:rPr>
            </w:pPr>
          </w:p>
        </w:tc>
        <w:tc>
          <w:tcPr>
            <w:tcW w:w="795" w:type="pct"/>
            <w:tcBorders>
              <w:top w:val="nil"/>
              <w:left w:val="nil"/>
              <w:bottom w:val="nil"/>
              <w:right w:val="nil"/>
            </w:tcBorders>
            <w:shd w:val="clear" w:color="auto" w:fill="auto"/>
            <w:noWrap/>
            <w:vAlign w:val="bottom"/>
            <w:hideMark/>
          </w:tcPr>
          <w:p w:rsidR="00103DFF" w:rsidRPr="00602215" w:rsidRDefault="00103DFF" w:rsidP="00103DFF">
            <w:pPr>
              <w:rPr>
                <w:rFonts w:ascii="Calibri" w:hAnsi="Calibri"/>
                <w:color w:val="000000"/>
                <w:sz w:val="18"/>
                <w:szCs w:val="18"/>
              </w:rPr>
            </w:pPr>
          </w:p>
        </w:tc>
        <w:tc>
          <w:tcPr>
            <w:tcW w:w="459" w:type="pct"/>
            <w:tcBorders>
              <w:top w:val="nil"/>
              <w:left w:val="nil"/>
              <w:bottom w:val="nil"/>
              <w:right w:val="nil"/>
            </w:tcBorders>
            <w:shd w:val="clear" w:color="auto" w:fill="auto"/>
            <w:noWrap/>
            <w:vAlign w:val="bottom"/>
            <w:hideMark/>
          </w:tcPr>
          <w:p w:rsidR="00103DFF" w:rsidRPr="00602215" w:rsidRDefault="00103DFF" w:rsidP="00103DFF">
            <w:pPr>
              <w:rPr>
                <w:rFonts w:ascii="Calibri" w:hAnsi="Calibri"/>
                <w:color w:val="000000"/>
                <w:sz w:val="18"/>
                <w:szCs w:val="18"/>
              </w:rPr>
            </w:pPr>
          </w:p>
        </w:tc>
        <w:tc>
          <w:tcPr>
            <w:tcW w:w="237" w:type="pct"/>
            <w:tcBorders>
              <w:top w:val="nil"/>
              <w:left w:val="nil"/>
              <w:bottom w:val="nil"/>
              <w:right w:val="nil"/>
            </w:tcBorders>
            <w:shd w:val="clear" w:color="auto" w:fill="auto"/>
            <w:noWrap/>
            <w:vAlign w:val="bottom"/>
            <w:hideMark/>
          </w:tcPr>
          <w:p w:rsidR="00103DFF" w:rsidRPr="00602215" w:rsidRDefault="00103DFF" w:rsidP="00103DFF">
            <w:pPr>
              <w:rPr>
                <w:rFonts w:ascii="Calibri" w:hAnsi="Calibri"/>
                <w:color w:val="000000"/>
                <w:sz w:val="18"/>
                <w:szCs w:val="18"/>
              </w:rPr>
            </w:pPr>
          </w:p>
        </w:tc>
        <w:tc>
          <w:tcPr>
            <w:tcW w:w="237" w:type="pct"/>
            <w:tcBorders>
              <w:top w:val="nil"/>
              <w:left w:val="nil"/>
              <w:bottom w:val="nil"/>
              <w:right w:val="nil"/>
            </w:tcBorders>
            <w:shd w:val="clear" w:color="auto" w:fill="auto"/>
            <w:noWrap/>
            <w:vAlign w:val="bottom"/>
            <w:hideMark/>
          </w:tcPr>
          <w:p w:rsidR="00103DFF" w:rsidRPr="00602215" w:rsidRDefault="00103DFF" w:rsidP="00103DFF">
            <w:pPr>
              <w:rPr>
                <w:rFonts w:ascii="Calibri" w:hAnsi="Calibri"/>
                <w:color w:val="000000"/>
                <w:sz w:val="18"/>
                <w:szCs w:val="18"/>
              </w:rPr>
            </w:pPr>
          </w:p>
        </w:tc>
        <w:tc>
          <w:tcPr>
            <w:tcW w:w="237" w:type="pct"/>
            <w:tcBorders>
              <w:top w:val="nil"/>
              <w:left w:val="nil"/>
              <w:bottom w:val="nil"/>
              <w:right w:val="nil"/>
            </w:tcBorders>
            <w:shd w:val="clear" w:color="auto" w:fill="auto"/>
            <w:noWrap/>
            <w:vAlign w:val="bottom"/>
            <w:hideMark/>
          </w:tcPr>
          <w:p w:rsidR="00103DFF" w:rsidRPr="00602215" w:rsidRDefault="00103DFF" w:rsidP="00103DFF">
            <w:pPr>
              <w:rPr>
                <w:rFonts w:ascii="Calibri" w:hAnsi="Calibri"/>
                <w:color w:val="000000"/>
                <w:sz w:val="18"/>
                <w:szCs w:val="18"/>
              </w:rPr>
            </w:pPr>
          </w:p>
        </w:tc>
        <w:tc>
          <w:tcPr>
            <w:tcW w:w="237" w:type="pct"/>
            <w:tcBorders>
              <w:top w:val="nil"/>
              <w:left w:val="nil"/>
              <w:bottom w:val="nil"/>
              <w:right w:val="nil"/>
            </w:tcBorders>
            <w:shd w:val="clear" w:color="auto" w:fill="auto"/>
            <w:noWrap/>
            <w:vAlign w:val="bottom"/>
            <w:hideMark/>
          </w:tcPr>
          <w:p w:rsidR="00103DFF" w:rsidRPr="00602215" w:rsidRDefault="00103DFF" w:rsidP="00103DFF">
            <w:pPr>
              <w:rPr>
                <w:rFonts w:ascii="Calibri" w:hAnsi="Calibri"/>
                <w:color w:val="000000"/>
                <w:sz w:val="18"/>
                <w:szCs w:val="18"/>
              </w:rPr>
            </w:pPr>
          </w:p>
        </w:tc>
        <w:tc>
          <w:tcPr>
            <w:tcW w:w="689" w:type="pct"/>
            <w:tcBorders>
              <w:top w:val="nil"/>
              <w:left w:val="nil"/>
              <w:bottom w:val="nil"/>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r>
      <w:tr w:rsidR="00103DFF" w:rsidRPr="00602215" w:rsidTr="00103DFF">
        <w:trPr>
          <w:trHeight w:val="315"/>
        </w:trPr>
        <w:tc>
          <w:tcPr>
            <w:tcW w:w="1503" w:type="pct"/>
            <w:tcBorders>
              <w:top w:val="nil"/>
              <w:left w:val="nil"/>
              <w:bottom w:val="nil"/>
              <w:right w:val="nil"/>
            </w:tcBorders>
            <w:shd w:val="clear" w:color="auto" w:fill="auto"/>
            <w:noWrap/>
            <w:vAlign w:val="bottom"/>
            <w:hideMark/>
          </w:tcPr>
          <w:p w:rsidR="00103DFF" w:rsidRPr="00602215" w:rsidRDefault="00103DFF" w:rsidP="00103DFF">
            <w:pPr>
              <w:rPr>
                <w:rFonts w:ascii="Calibri" w:hAnsi="Calibri"/>
                <w:color w:val="000000"/>
                <w:sz w:val="18"/>
                <w:szCs w:val="18"/>
              </w:rPr>
            </w:pPr>
          </w:p>
        </w:tc>
        <w:tc>
          <w:tcPr>
            <w:tcW w:w="606" w:type="pct"/>
            <w:tcBorders>
              <w:top w:val="nil"/>
              <w:left w:val="nil"/>
              <w:bottom w:val="nil"/>
              <w:right w:val="nil"/>
            </w:tcBorders>
            <w:shd w:val="clear" w:color="auto" w:fill="auto"/>
            <w:noWrap/>
            <w:vAlign w:val="bottom"/>
            <w:hideMark/>
          </w:tcPr>
          <w:p w:rsidR="00103DFF" w:rsidRPr="00602215" w:rsidRDefault="00103DFF" w:rsidP="00103DFF">
            <w:pPr>
              <w:rPr>
                <w:rFonts w:ascii="Calibri" w:hAnsi="Calibri"/>
                <w:color w:val="000000"/>
                <w:sz w:val="18"/>
                <w:szCs w:val="18"/>
              </w:rPr>
            </w:pPr>
          </w:p>
        </w:tc>
        <w:tc>
          <w:tcPr>
            <w:tcW w:w="795" w:type="pct"/>
            <w:tcBorders>
              <w:top w:val="nil"/>
              <w:left w:val="nil"/>
              <w:bottom w:val="single" w:sz="8" w:space="0" w:color="auto"/>
              <w:right w:val="nil"/>
            </w:tcBorders>
            <w:shd w:val="clear" w:color="auto" w:fill="auto"/>
            <w:noWrap/>
            <w:vAlign w:val="bottom"/>
            <w:hideMark/>
          </w:tcPr>
          <w:p w:rsidR="00103DFF" w:rsidRPr="00602215" w:rsidRDefault="00103DFF" w:rsidP="00103DFF">
            <w:pPr>
              <w:jc w:val="center"/>
              <w:rPr>
                <w:rFonts w:ascii="Calibri" w:hAnsi="Calibri"/>
                <w:color w:val="000000"/>
                <w:sz w:val="18"/>
                <w:szCs w:val="18"/>
              </w:rPr>
            </w:pPr>
            <w:r w:rsidRPr="00602215">
              <w:rPr>
                <w:rFonts w:ascii="Calibri" w:hAnsi="Calibri"/>
                <w:color w:val="000000"/>
                <w:sz w:val="18"/>
                <w:szCs w:val="18"/>
              </w:rPr>
              <w:t>Work Plan Year 3</w:t>
            </w:r>
          </w:p>
        </w:tc>
        <w:tc>
          <w:tcPr>
            <w:tcW w:w="459" w:type="pct"/>
            <w:tcBorders>
              <w:top w:val="nil"/>
              <w:left w:val="nil"/>
              <w:bottom w:val="single" w:sz="8" w:space="0" w:color="auto"/>
              <w:right w:val="nil"/>
            </w:tcBorders>
            <w:shd w:val="clear" w:color="auto" w:fill="auto"/>
            <w:noWrap/>
            <w:vAlign w:val="bottom"/>
            <w:hideMark/>
          </w:tcPr>
          <w:p w:rsidR="00103DFF" w:rsidRPr="00602215" w:rsidRDefault="00103DFF" w:rsidP="00103DFF">
            <w:pPr>
              <w:jc w:val="cente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nil"/>
              <w:right w:val="nil"/>
            </w:tcBorders>
            <w:shd w:val="clear" w:color="auto" w:fill="auto"/>
            <w:noWrap/>
            <w:vAlign w:val="bottom"/>
            <w:hideMark/>
          </w:tcPr>
          <w:p w:rsidR="00103DFF" w:rsidRPr="00602215" w:rsidRDefault="00103DFF" w:rsidP="00103DFF">
            <w:pPr>
              <w:rPr>
                <w:rFonts w:ascii="Calibri" w:hAnsi="Calibri"/>
                <w:color w:val="000000"/>
                <w:sz w:val="18"/>
                <w:szCs w:val="18"/>
              </w:rPr>
            </w:pPr>
          </w:p>
        </w:tc>
        <w:tc>
          <w:tcPr>
            <w:tcW w:w="237" w:type="pct"/>
            <w:tcBorders>
              <w:top w:val="nil"/>
              <w:left w:val="nil"/>
              <w:bottom w:val="nil"/>
              <w:right w:val="nil"/>
            </w:tcBorders>
            <w:shd w:val="clear" w:color="auto" w:fill="auto"/>
            <w:noWrap/>
            <w:vAlign w:val="bottom"/>
            <w:hideMark/>
          </w:tcPr>
          <w:p w:rsidR="00103DFF" w:rsidRPr="00602215" w:rsidRDefault="00103DFF" w:rsidP="00103DFF">
            <w:pPr>
              <w:rPr>
                <w:rFonts w:ascii="Calibri" w:hAnsi="Calibri"/>
                <w:color w:val="000000"/>
                <w:sz w:val="18"/>
                <w:szCs w:val="18"/>
              </w:rPr>
            </w:pPr>
          </w:p>
        </w:tc>
        <w:tc>
          <w:tcPr>
            <w:tcW w:w="237" w:type="pct"/>
            <w:tcBorders>
              <w:top w:val="nil"/>
              <w:left w:val="nil"/>
              <w:bottom w:val="nil"/>
              <w:right w:val="nil"/>
            </w:tcBorders>
            <w:shd w:val="clear" w:color="auto" w:fill="auto"/>
            <w:noWrap/>
            <w:vAlign w:val="bottom"/>
            <w:hideMark/>
          </w:tcPr>
          <w:p w:rsidR="00103DFF" w:rsidRPr="00602215" w:rsidRDefault="00103DFF" w:rsidP="00103DFF">
            <w:pPr>
              <w:rPr>
                <w:rFonts w:ascii="Calibri" w:hAnsi="Calibri"/>
                <w:color w:val="000000"/>
                <w:sz w:val="18"/>
                <w:szCs w:val="18"/>
              </w:rPr>
            </w:pPr>
          </w:p>
        </w:tc>
        <w:tc>
          <w:tcPr>
            <w:tcW w:w="237" w:type="pct"/>
            <w:tcBorders>
              <w:top w:val="nil"/>
              <w:left w:val="nil"/>
              <w:bottom w:val="nil"/>
              <w:right w:val="nil"/>
            </w:tcBorders>
            <w:shd w:val="clear" w:color="auto" w:fill="auto"/>
            <w:noWrap/>
            <w:vAlign w:val="bottom"/>
            <w:hideMark/>
          </w:tcPr>
          <w:p w:rsidR="00103DFF" w:rsidRPr="00602215" w:rsidRDefault="00103DFF" w:rsidP="00103DFF">
            <w:pPr>
              <w:rPr>
                <w:rFonts w:ascii="Calibri" w:hAnsi="Calibri"/>
                <w:color w:val="000000"/>
                <w:sz w:val="18"/>
                <w:szCs w:val="18"/>
              </w:rPr>
            </w:pPr>
          </w:p>
        </w:tc>
        <w:tc>
          <w:tcPr>
            <w:tcW w:w="689" w:type="pct"/>
            <w:tcBorders>
              <w:top w:val="nil"/>
              <w:left w:val="nil"/>
              <w:bottom w:val="nil"/>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r>
      <w:tr w:rsidR="00103DFF" w:rsidRPr="00602215" w:rsidTr="00103DFF">
        <w:trPr>
          <w:trHeight w:val="300"/>
        </w:trPr>
        <w:tc>
          <w:tcPr>
            <w:tcW w:w="1503"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03DFF" w:rsidRPr="00602215" w:rsidRDefault="00103DFF" w:rsidP="00103DFF">
            <w:pPr>
              <w:jc w:val="center"/>
              <w:rPr>
                <w:rFonts w:ascii="Calibri" w:hAnsi="Calibri"/>
                <w:b/>
                <w:bCs/>
                <w:color w:val="000000"/>
                <w:sz w:val="18"/>
                <w:szCs w:val="18"/>
              </w:rPr>
            </w:pPr>
            <w:r w:rsidRPr="00602215">
              <w:rPr>
                <w:rFonts w:ascii="Calibri" w:hAnsi="Calibri"/>
                <w:b/>
                <w:bCs/>
                <w:color w:val="000000"/>
                <w:sz w:val="18"/>
                <w:szCs w:val="18"/>
              </w:rPr>
              <w:t>Activities/Tasks</w:t>
            </w:r>
          </w:p>
        </w:tc>
        <w:tc>
          <w:tcPr>
            <w:tcW w:w="606" w:type="pct"/>
            <w:tcBorders>
              <w:top w:val="single" w:sz="8" w:space="0" w:color="auto"/>
              <w:left w:val="nil"/>
              <w:bottom w:val="single" w:sz="4" w:space="0" w:color="auto"/>
              <w:right w:val="single" w:sz="4" w:space="0" w:color="auto"/>
            </w:tcBorders>
            <w:shd w:val="clear" w:color="auto" w:fill="auto"/>
            <w:noWrap/>
            <w:vAlign w:val="center"/>
            <w:hideMark/>
          </w:tcPr>
          <w:p w:rsidR="00103DFF" w:rsidRPr="00602215" w:rsidRDefault="00103DFF" w:rsidP="00103DFF">
            <w:pPr>
              <w:jc w:val="center"/>
              <w:rPr>
                <w:rFonts w:ascii="Calibri" w:hAnsi="Calibri"/>
                <w:b/>
                <w:bCs/>
                <w:color w:val="000000"/>
                <w:sz w:val="18"/>
                <w:szCs w:val="18"/>
              </w:rPr>
            </w:pPr>
            <w:r w:rsidRPr="00602215">
              <w:rPr>
                <w:rFonts w:ascii="Calibri" w:hAnsi="Calibri"/>
                <w:b/>
                <w:bCs/>
                <w:color w:val="000000"/>
                <w:sz w:val="18"/>
                <w:szCs w:val="18"/>
              </w:rPr>
              <w:t>Who Manages</w:t>
            </w:r>
          </w:p>
        </w:tc>
        <w:tc>
          <w:tcPr>
            <w:tcW w:w="795" w:type="pct"/>
            <w:tcBorders>
              <w:top w:val="nil"/>
              <w:left w:val="nil"/>
              <w:bottom w:val="single" w:sz="4" w:space="0" w:color="auto"/>
              <w:right w:val="single" w:sz="4" w:space="0" w:color="auto"/>
            </w:tcBorders>
            <w:shd w:val="clear" w:color="auto" w:fill="auto"/>
            <w:noWrap/>
            <w:vAlign w:val="center"/>
            <w:hideMark/>
          </w:tcPr>
          <w:p w:rsidR="00103DFF" w:rsidRPr="00602215" w:rsidRDefault="00103DFF" w:rsidP="00103DFF">
            <w:pPr>
              <w:rPr>
                <w:rFonts w:ascii="Calibri" w:hAnsi="Calibri"/>
                <w:b/>
                <w:bCs/>
                <w:color w:val="000000"/>
                <w:sz w:val="18"/>
                <w:szCs w:val="18"/>
              </w:rPr>
            </w:pPr>
            <w:r w:rsidRPr="00602215">
              <w:rPr>
                <w:rFonts w:ascii="Calibri" w:hAnsi="Calibri"/>
                <w:b/>
                <w:bCs/>
                <w:color w:val="000000"/>
                <w:sz w:val="18"/>
                <w:szCs w:val="18"/>
              </w:rPr>
              <w:t>Start Date</w:t>
            </w:r>
          </w:p>
        </w:tc>
        <w:tc>
          <w:tcPr>
            <w:tcW w:w="459" w:type="pct"/>
            <w:tcBorders>
              <w:top w:val="nil"/>
              <w:left w:val="nil"/>
              <w:bottom w:val="single" w:sz="4" w:space="0" w:color="auto"/>
              <w:right w:val="single" w:sz="4" w:space="0" w:color="auto"/>
            </w:tcBorders>
            <w:shd w:val="clear" w:color="auto" w:fill="auto"/>
            <w:vAlign w:val="center"/>
            <w:hideMark/>
          </w:tcPr>
          <w:p w:rsidR="00103DFF" w:rsidRPr="00602215" w:rsidRDefault="00103DFF" w:rsidP="00103DFF">
            <w:pPr>
              <w:jc w:val="center"/>
              <w:rPr>
                <w:rFonts w:ascii="Calibri" w:hAnsi="Calibri"/>
                <w:b/>
                <w:bCs/>
                <w:color w:val="000000"/>
                <w:sz w:val="18"/>
                <w:szCs w:val="18"/>
              </w:rPr>
            </w:pPr>
            <w:r w:rsidRPr="00602215">
              <w:rPr>
                <w:rFonts w:ascii="Calibri" w:hAnsi="Calibri"/>
                <w:b/>
                <w:bCs/>
                <w:color w:val="000000"/>
                <w:sz w:val="18"/>
                <w:szCs w:val="18"/>
              </w:rPr>
              <w:t>Completion Date</w:t>
            </w:r>
          </w:p>
        </w:tc>
        <w:tc>
          <w:tcPr>
            <w:tcW w:w="237" w:type="pct"/>
            <w:tcBorders>
              <w:top w:val="single" w:sz="8" w:space="0" w:color="auto"/>
              <w:left w:val="nil"/>
              <w:bottom w:val="single" w:sz="4" w:space="0" w:color="auto"/>
              <w:right w:val="single" w:sz="4" w:space="0" w:color="auto"/>
            </w:tcBorders>
            <w:shd w:val="clear" w:color="auto" w:fill="auto"/>
            <w:noWrap/>
            <w:vAlign w:val="center"/>
            <w:hideMark/>
          </w:tcPr>
          <w:p w:rsidR="00103DFF" w:rsidRPr="00602215" w:rsidRDefault="00103DFF" w:rsidP="00103DFF">
            <w:pPr>
              <w:rPr>
                <w:rFonts w:ascii="Calibri" w:hAnsi="Calibri"/>
                <w:b/>
                <w:bCs/>
                <w:color w:val="000000"/>
                <w:sz w:val="18"/>
                <w:szCs w:val="18"/>
              </w:rPr>
            </w:pPr>
            <w:r w:rsidRPr="00602215">
              <w:rPr>
                <w:rFonts w:ascii="Calibri" w:hAnsi="Calibri"/>
                <w:b/>
                <w:bCs/>
                <w:color w:val="000000"/>
                <w:sz w:val="18"/>
                <w:szCs w:val="18"/>
              </w:rPr>
              <w:t>Q1</w:t>
            </w:r>
          </w:p>
        </w:tc>
        <w:tc>
          <w:tcPr>
            <w:tcW w:w="237" w:type="pct"/>
            <w:tcBorders>
              <w:top w:val="single" w:sz="8" w:space="0" w:color="auto"/>
              <w:left w:val="nil"/>
              <w:bottom w:val="single" w:sz="4" w:space="0" w:color="auto"/>
              <w:right w:val="single" w:sz="4" w:space="0" w:color="auto"/>
            </w:tcBorders>
            <w:shd w:val="clear" w:color="auto" w:fill="auto"/>
            <w:noWrap/>
            <w:vAlign w:val="center"/>
            <w:hideMark/>
          </w:tcPr>
          <w:p w:rsidR="00103DFF" w:rsidRPr="00602215" w:rsidRDefault="00103DFF" w:rsidP="00103DFF">
            <w:pPr>
              <w:rPr>
                <w:rFonts w:ascii="Calibri" w:hAnsi="Calibri"/>
                <w:b/>
                <w:bCs/>
                <w:color w:val="000000"/>
                <w:sz w:val="18"/>
                <w:szCs w:val="18"/>
              </w:rPr>
            </w:pPr>
            <w:r w:rsidRPr="00602215">
              <w:rPr>
                <w:rFonts w:ascii="Calibri" w:hAnsi="Calibri"/>
                <w:b/>
                <w:bCs/>
                <w:color w:val="000000"/>
                <w:sz w:val="18"/>
                <w:szCs w:val="18"/>
              </w:rPr>
              <w:t>Q2</w:t>
            </w:r>
          </w:p>
        </w:tc>
        <w:tc>
          <w:tcPr>
            <w:tcW w:w="237" w:type="pct"/>
            <w:tcBorders>
              <w:top w:val="single" w:sz="8" w:space="0" w:color="auto"/>
              <w:left w:val="nil"/>
              <w:bottom w:val="single" w:sz="4" w:space="0" w:color="auto"/>
              <w:right w:val="single" w:sz="4" w:space="0" w:color="auto"/>
            </w:tcBorders>
            <w:shd w:val="clear" w:color="auto" w:fill="auto"/>
            <w:noWrap/>
            <w:vAlign w:val="center"/>
            <w:hideMark/>
          </w:tcPr>
          <w:p w:rsidR="00103DFF" w:rsidRPr="00602215" w:rsidRDefault="00103DFF" w:rsidP="00103DFF">
            <w:pPr>
              <w:rPr>
                <w:rFonts w:ascii="Calibri" w:hAnsi="Calibri"/>
                <w:b/>
                <w:bCs/>
                <w:color w:val="000000"/>
                <w:sz w:val="18"/>
                <w:szCs w:val="18"/>
              </w:rPr>
            </w:pPr>
            <w:r w:rsidRPr="00602215">
              <w:rPr>
                <w:rFonts w:ascii="Calibri" w:hAnsi="Calibri"/>
                <w:b/>
                <w:bCs/>
                <w:color w:val="000000"/>
                <w:sz w:val="18"/>
                <w:szCs w:val="18"/>
              </w:rPr>
              <w:t>Q3</w:t>
            </w:r>
          </w:p>
        </w:tc>
        <w:tc>
          <w:tcPr>
            <w:tcW w:w="237" w:type="pct"/>
            <w:tcBorders>
              <w:top w:val="single" w:sz="8" w:space="0" w:color="auto"/>
              <w:left w:val="nil"/>
              <w:bottom w:val="single" w:sz="4" w:space="0" w:color="auto"/>
              <w:right w:val="single" w:sz="4" w:space="0" w:color="auto"/>
            </w:tcBorders>
            <w:shd w:val="clear" w:color="auto" w:fill="auto"/>
            <w:noWrap/>
            <w:vAlign w:val="center"/>
            <w:hideMark/>
          </w:tcPr>
          <w:p w:rsidR="00103DFF" w:rsidRPr="00602215" w:rsidRDefault="00103DFF" w:rsidP="00103DFF">
            <w:pPr>
              <w:rPr>
                <w:rFonts w:ascii="Calibri" w:hAnsi="Calibri"/>
                <w:b/>
                <w:bCs/>
                <w:color w:val="000000"/>
                <w:sz w:val="18"/>
                <w:szCs w:val="18"/>
              </w:rPr>
            </w:pPr>
            <w:r w:rsidRPr="00602215">
              <w:rPr>
                <w:rFonts w:ascii="Calibri" w:hAnsi="Calibri"/>
                <w:b/>
                <w:bCs/>
                <w:color w:val="000000"/>
                <w:sz w:val="18"/>
                <w:szCs w:val="18"/>
              </w:rPr>
              <w:t>Q4</w:t>
            </w:r>
          </w:p>
        </w:tc>
        <w:tc>
          <w:tcPr>
            <w:tcW w:w="689" w:type="pct"/>
            <w:tcBorders>
              <w:top w:val="single" w:sz="8" w:space="0" w:color="auto"/>
              <w:left w:val="nil"/>
              <w:bottom w:val="single" w:sz="4" w:space="0" w:color="auto"/>
              <w:right w:val="single" w:sz="4" w:space="0" w:color="auto"/>
            </w:tcBorders>
            <w:shd w:val="clear" w:color="auto" w:fill="auto"/>
            <w:vAlign w:val="center"/>
            <w:hideMark/>
          </w:tcPr>
          <w:p w:rsidR="00103DFF" w:rsidRPr="00602215" w:rsidRDefault="00103DFF" w:rsidP="00103DFF">
            <w:pPr>
              <w:rPr>
                <w:rFonts w:ascii="Calibri" w:hAnsi="Calibri"/>
                <w:b/>
                <w:bCs/>
                <w:color w:val="000000"/>
                <w:sz w:val="18"/>
                <w:szCs w:val="18"/>
              </w:rPr>
            </w:pPr>
            <w:r w:rsidRPr="00602215">
              <w:rPr>
                <w:rFonts w:ascii="Calibri" w:hAnsi="Calibri"/>
                <w:b/>
                <w:bCs/>
                <w:color w:val="000000"/>
                <w:sz w:val="18"/>
                <w:szCs w:val="18"/>
              </w:rPr>
              <w:t>Outcome or Deliverable</w:t>
            </w:r>
          </w:p>
        </w:tc>
      </w:tr>
      <w:tr w:rsidR="00103DFF" w:rsidRPr="00602215" w:rsidTr="00103DFF">
        <w:trPr>
          <w:trHeight w:val="300"/>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b/>
                <w:bCs/>
                <w:color w:val="000000"/>
                <w:sz w:val="18"/>
                <w:szCs w:val="18"/>
              </w:rPr>
            </w:pPr>
            <w:r w:rsidRPr="00602215">
              <w:rPr>
                <w:rFonts w:ascii="Calibri" w:hAnsi="Calibri"/>
                <w:b/>
                <w:bCs/>
                <w:color w:val="000000"/>
                <w:sz w:val="18"/>
                <w:szCs w:val="18"/>
              </w:rPr>
              <w:t>1. GIS analysis, update &amp; support</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Exec Team, COW</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r>
      <w:tr w:rsidR="00103DFF" w:rsidRPr="00602215" w:rsidTr="00103DFF">
        <w:trPr>
          <w:trHeight w:val="495"/>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Update Form 477 data</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1-Sep-18</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30-Nov-18</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75%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Integration/update of database with new Form 477 data</w:t>
            </w:r>
          </w:p>
        </w:tc>
      </w:tr>
      <w:tr w:rsidR="00103DFF" w:rsidRPr="00602215" w:rsidTr="00103DFF">
        <w:trPr>
          <w:trHeight w:val="735"/>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Gather &amp; analyze  conditional requirement data</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1-Jul-18</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30-Nov-18</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75%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Process for tracking Frontier, AT&amp;T and Charter upgrades/programs required by CPUC/FCC</w:t>
            </w:r>
          </w:p>
        </w:tc>
      </w:tr>
      <w:tr w:rsidR="00103DFF" w:rsidRPr="00602215" w:rsidTr="00103DFF">
        <w:trPr>
          <w:trHeight w:val="495"/>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Gather &amp; analyze CAF2,other data</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1-Jul-18</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30-Nov-18</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75%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Process for tracking Frontier and AT&amp;T CAF-2 implementation requirements.</w:t>
            </w:r>
          </w:p>
        </w:tc>
      </w:tr>
      <w:tr w:rsidR="00103DFF" w:rsidRPr="00602215" w:rsidTr="00103DFF">
        <w:trPr>
          <w:trHeight w:val="735"/>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Update COW GIS database &amp; maps</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1-Oct-18</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30-Mar-19</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50%</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50%</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Updated maps and online database, including Form 477, conditional requirement and CAF-2 data.</w:t>
            </w:r>
          </w:p>
        </w:tc>
      </w:tr>
      <w:tr w:rsidR="00103DFF" w:rsidRPr="00602215" w:rsidTr="00103DFF">
        <w:trPr>
          <w:trHeight w:val="495"/>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lastRenderedPageBreak/>
              <w:t>Provide project/initiative-specific support</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1-Jul-18</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30-Jun-19</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Goal: 5 broadband infrastructure projects/initiatives per year</w:t>
            </w:r>
          </w:p>
        </w:tc>
      </w:tr>
      <w:tr w:rsidR="00103DFF" w:rsidRPr="00602215" w:rsidTr="00103DFF">
        <w:trPr>
          <w:trHeight w:val="300"/>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b/>
                <w:bCs/>
                <w:color w:val="000000"/>
                <w:sz w:val="18"/>
                <w:szCs w:val="18"/>
              </w:rPr>
            </w:pPr>
            <w:r w:rsidRPr="00602215">
              <w:rPr>
                <w:rFonts w:ascii="Calibri" w:hAnsi="Calibri"/>
                <w:b/>
                <w:bCs/>
                <w:color w:val="000000"/>
                <w:sz w:val="18"/>
                <w:szCs w:val="18"/>
              </w:rPr>
              <w:t>2. Web platform maintenance &amp; development</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Exec Team, COW</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r>
      <w:tr w:rsidR="00103DFF" w:rsidRPr="00602215" w:rsidTr="00103DFF">
        <w:trPr>
          <w:trHeight w:val="735"/>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Map layer development</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1-Jul-18</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30-Jun-19</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proofErr w:type="spellStart"/>
            <w:r w:rsidRPr="00602215">
              <w:rPr>
                <w:rFonts w:ascii="Calibri" w:hAnsi="Calibri"/>
                <w:color w:val="000000"/>
                <w:sz w:val="18"/>
                <w:szCs w:val="18"/>
              </w:rPr>
              <w:t>On going</w:t>
            </w:r>
            <w:proofErr w:type="spellEnd"/>
            <w:r w:rsidRPr="00602215">
              <w:rPr>
                <w:rFonts w:ascii="Calibri" w:hAnsi="Calibri"/>
                <w:color w:val="000000"/>
                <w:sz w:val="18"/>
                <w:szCs w:val="18"/>
              </w:rPr>
              <w:t xml:space="preserve"> development of new online map layers, integrating Task 1 work product.</w:t>
            </w:r>
          </w:p>
        </w:tc>
      </w:tr>
      <w:tr w:rsidR="00103DFF" w:rsidRPr="00602215" w:rsidTr="00103DFF">
        <w:trPr>
          <w:trHeight w:val="735"/>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Content maintenance</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1-Jul-18</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30-Jun-19</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proofErr w:type="spellStart"/>
            <w:r w:rsidRPr="00602215">
              <w:rPr>
                <w:rFonts w:ascii="Calibri" w:hAnsi="Calibri"/>
                <w:color w:val="000000"/>
                <w:sz w:val="18"/>
                <w:szCs w:val="18"/>
              </w:rPr>
              <w:t>On going</w:t>
            </w:r>
            <w:proofErr w:type="spellEnd"/>
            <w:r w:rsidRPr="00602215">
              <w:rPr>
                <w:rFonts w:ascii="Calibri" w:hAnsi="Calibri"/>
                <w:color w:val="000000"/>
                <w:sz w:val="18"/>
                <w:szCs w:val="18"/>
              </w:rPr>
              <w:t xml:space="preserve"> development of new online content to supplement Task 1 work product.</w:t>
            </w:r>
          </w:p>
        </w:tc>
      </w:tr>
      <w:tr w:rsidR="00103DFF" w:rsidRPr="00602215" w:rsidTr="00103DFF">
        <w:trPr>
          <w:trHeight w:val="495"/>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Major data refresh</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1-Jan-19</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30-Jun-19</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50%</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50%</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Review &amp; overhaul/update of all platform data</w:t>
            </w:r>
          </w:p>
        </w:tc>
      </w:tr>
      <w:tr w:rsidR="00103DFF" w:rsidRPr="00602215" w:rsidTr="00103DFF">
        <w:trPr>
          <w:trHeight w:val="300"/>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Fiber survey</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1-Jul-18</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31-Dec-18</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Three-county survey of fiber networks</w:t>
            </w:r>
          </w:p>
        </w:tc>
      </w:tr>
      <w:tr w:rsidR="00103DFF" w:rsidRPr="00602215" w:rsidTr="00103DFF">
        <w:trPr>
          <w:trHeight w:val="300"/>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b/>
                <w:bCs/>
                <w:color w:val="000000"/>
                <w:sz w:val="18"/>
                <w:szCs w:val="18"/>
              </w:rPr>
            </w:pPr>
            <w:r w:rsidRPr="00602215">
              <w:rPr>
                <w:rFonts w:ascii="Calibri" w:hAnsi="Calibri"/>
                <w:b/>
                <w:bCs/>
                <w:color w:val="000000"/>
                <w:sz w:val="18"/>
                <w:szCs w:val="18"/>
              </w:rPr>
              <w:t>4. Outreach &amp; project/initiative support</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MCBC</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r>
      <w:tr w:rsidR="00103DFF" w:rsidRPr="00602215" w:rsidTr="00103DFF">
        <w:trPr>
          <w:trHeight w:val="495"/>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Conference calls, meetings, events</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1-Jul-18</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30-Jun-19</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xml:space="preserve">2 </w:t>
            </w:r>
            <w:proofErr w:type="spellStart"/>
            <w:r w:rsidRPr="00602215">
              <w:rPr>
                <w:rFonts w:ascii="Calibri" w:hAnsi="Calibri"/>
                <w:color w:val="000000"/>
                <w:sz w:val="18"/>
                <w:szCs w:val="18"/>
              </w:rPr>
              <w:t>conf</w:t>
            </w:r>
            <w:proofErr w:type="spellEnd"/>
            <w:r w:rsidRPr="00602215">
              <w:rPr>
                <w:rFonts w:ascii="Calibri" w:hAnsi="Calibri"/>
                <w:color w:val="000000"/>
                <w:sz w:val="18"/>
                <w:szCs w:val="18"/>
              </w:rPr>
              <w:t xml:space="preserve"> calls/</w:t>
            </w:r>
            <w:proofErr w:type="spellStart"/>
            <w:r w:rsidRPr="00602215">
              <w:rPr>
                <w:rFonts w:ascii="Calibri" w:hAnsi="Calibri"/>
                <w:color w:val="000000"/>
                <w:sz w:val="18"/>
                <w:szCs w:val="18"/>
              </w:rPr>
              <w:t>mo</w:t>
            </w:r>
            <w:proofErr w:type="spellEnd"/>
            <w:r w:rsidRPr="00602215">
              <w:rPr>
                <w:rFonts w:ascii="Calibri" w:hAnsi="Calibri"/>
                <w:color w:val="000000"/>
                <w:sz w:val="18"/>
                <w:szCs w:val="18"/>
              </w:rPr>
              <w:t>, 2-4 meetings/</w:t>
            </w:r>
            <w:proofErr w:type="spellStart"/>
            <w:r w:rsidRPr="00602215">
              <w:rPr>
                <w:rFonts w:ascii="Calibri" w:hAnsi="Calibri"/>
                <w:color w:val="000000"/>
                <w:sz w:val="18"/>
                <w:szCs w:val="18"/>
              </w:rPr>
              <w:t>yr</w:t>
            </w:r>
            <w:proofErr w:type="spellEnd"/>
            <w:r w:rsidRPr="00602215">
              <w:rPr>
                <w:rFonts w:ascii="Calibri" w:hAnsi="Calibri"/>
                <w:color w:val="000000"/>
                <w:sz w:val="18"/>
                <w:szCs w:val="18"/>
              </w:rPr>
              <w:t>, admin</w:t>
            </w:r>
          </w:p>
        </w:tc>
      </w:tr>
      <w:tr w:rsidR="00103DFF" w:rsidRPr="00602215" w:rsidTr="00103DFF">
        <w:trPr>
          <w:trHeight w:val="495"/>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Coordination of support for regional projects</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1-Jul-18</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30-Jun-19</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xml:space="preserve">Permit &amp; review </w:t>
            </w:r>
            <w:proofErr w:type="spellStart"/>
            <w:r w:rsidRPr="00602215">
              <w:rPr>
                <w:rFonts w:ascii="Calibri" w:hAnsi="Calibri"/>
                <w:color w:val="000000"/>
                <w:sz w:val="18"/>
                <w:szCs w:val="18"/>
              </w:rPr>
              <w:t>coord</w:t>
            </w:r>
            <w:proofErr w:type="spellEnd"/>
            <w:r w:rsidRPr="00602215">
              <w:rPr>
                <w:rFonts w:ascii="Calibri" w:hAnsi="Calibri"/>
                <w:color w:val="000000"/>
                <w:sz w:val="18"/>
                <w:szCs w:val="18"/>
              </w:rPr>
              <w:t>, support letters for regional broadband projects.</w:t>
            </w:r>
          </w:p>
        </w:tc>
      </w:tr>
      <w:tr w:rsidR="00103DFF" w:rsidRPr="00602215" w:rsidTr="00103DFF">
        <w:trPr>
          <w:trHeight w:val="315"/>
        </w:trPr>
        <w:tc>
          <w:tcPr>
            <w:tcW w:w="1503" w:type="pct"/>
            <w:tcBorders>
              <w:top w:val="nil"/>
              <w:left w:val="single" w:sz="8" w:space="0" w:color="auto"/>
              <w:bottom w:val="single" w:sz="8" w:space="0" w:color="auto"/>
              <w:right w:val="single" w:sz="4" w:space="0" w:color="auto"/>
            </w:tcBorders>
            <w:shd w:val="clear" w:color="auto" w:fill="auto"/>
            <w:noWrap/>
            <w:vAlign w:val="bottom"/>
            <w:hideMark/>
          </w:tcPr>
          <w:p w:rsidR="00103DFF" w:rsidRPr="00602215" w:rsidRDefault="00103DFF" w:rsidP="00103DFF">
            <w:pPr>
              <w:rPr>
                <w:rFonts w:ascii="Calibri" w:hAnsi="Calibri"/>
                <w:b/>
                <w:bCs/>
                <w:color w:val="000000"/>
                <w:sz w:val="18"/>
                <w:szCs w:val="18"/>
              </w:rPr>
            </w:pPr>
            <w:r w:rsidRPr="00602215">
              <w:rPr>
                <w:rFonts w:ascii="Calibri" w:hAnsi="Calibri"/>
                <w:b/>
                <w:bCs/>
                <w:color w:val="000000"/>
                <w:sz w:val="18"/>
                <w:szCs w:val="18"/>
              </w:rPr>
              <w:t>5. Fiscal agent support &amp; oversight</w:t>
            </w:r>
          </w:p>
        </w:tc>
        <w:tc>
          <w:tcPr>
            <w:tcW w:w="606" w:type="pct"/>
            <w:tcBorders>
              <w:top w:val="nil"/>
              <w:left w:val="nil"/>
              <w:bottom w:val="single" w:sz="8"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COW</w:t>
            </w:r>
          </w:p>
        </w:tc>
        <w:tc>
          <w:tcPr>
            <w:tcW w:w="795" w:type="pct"/>
            <w:tcBorders>
              <w:top w:val="nil"/>
              <w:left w:val="nil"/>
              <w:bottom w:val="single" w:sz="8"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1-Jul-18</w:t>
            </w:r>
          </w:p>
        </w:tc>
        <w:tc>
          <w:tcPr>
            <w:tcW w:w="459" w:type="pct"/>
            <w:tcBorders>
              <w:top w:val="nil"/>
              <w:left w:val="nil"/>
              <w:bottom w:val="single" w:sz="8"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30-Jun-19</w:t>
            </w:r>
          </w:p>
        </w:tc>
        <w:tc>
          <w:tcPr>
            <w:tcW w:w="237" w:type="pct"/>
            <w:tcBorders>
              <w:top w:val="nil"/>
              <w:left w:val="nil"/>
              <w:bottom w:val="single" w:sz="8"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8"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8"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8"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689" w:type="pct"/>
            <w:tcBorders>
              <w:top w:val="nil"/>
              <w:left w:val="nil"/>
              <w:bottom w:val="single" w:sz="8"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xml:space="preserve"> Billing, audit, administration</w:t>
            </w:r>
          </w:p>
        </w:tc>
      </w:tr>
      <w:tr w:rsidR="00103DFF" w:rsidRPr="00602215" w:rsidTr="00FA66D1">
        <w:trPr>
          <w:trHeight w:val="71"/>
        </w:trPr>
        <w:tc>
          <w:tcPr>
            <w:tcW w:w="1503" w:type="pct"/>
            <w:tcBorders>
              <w:top w:val="nil"/>
              <w:left w:val="nil"/>
              <w:bottom w:val="nil"/>
              <w:right w:val="nil"/>
            </w:tcBorders>
            <w:shd w:val="clear" w:color="auto" w:fill="auto"/>
            <w:noWrap/>
            <w:vAlign w:val="bottom"/>
            <w:hideMark/>
          </w:tcPr>
          <w:p w:rsidR="00103DFF" w:rsidRDefault="00103DFF" w:rsidP="00103DFF">
            <w:pPr>
              <w:rPr>
                <w:rFonts w:ascii="Calibri" w:hAnsi="Calibri"/>
                <w:color w:val="000000"/>
                <w:sz w:val="18"/>
                <w:szCs w:val="18"/>
              </w:rPr>
            </w:pPr>
          </w:p>
          <w:p w:rsidR="00103DFF" w:rsidRPr="00602215" w:rsidRDefault="00103DFF" w:rsidP="00103DFF">
            <w:pPr>
              <w:rPr>
                <w:rFonts w:ascii="Calibri" w:hAnsi="Calibri"/>
                <w:color w:val="000000"/>
                <w:sz w:val="18"/>
                <w:szCs w:val="18"/>
              </w:rPr>
            </w:pPr>
          </w:p>
        </w:tc>
        <w:tc>
          <w:tcPr>
            <w:tcW w:w="606" w:type="pct"/>
            <w:tcBorders>
              <w:top w:val="nil"/>
              <w:left w:val="nil"/>
              <w:bottom w:val="nil"/>
              <w:right w:val="nil"/>
            </w:tcBorders>
            <w:shd w:val="clear" w:color="auto" w:fill="auto"/>
            <w:noWrap/>
            <w:vAlign w:val="bottom"/>
            <w:hideMark/>
          </w:tcPr>
          <w:p w:rsidR="00103DFF" w:rsidRPr="00602215" w:rsidRDefault="00103DFF" w:rsidP="00103DFF">
            <w:pPr>
              <w:rPr>
                <w:rFonts w:ascii="Calibri" w:hAnsi="Calibri"/>
                <w:color w:val="000000"/>
                <w:sz w:val="18"/>
                <w:szCs w:val="18"/>
              </w:rPr>
            </w:pPr>
          </w:p>
        </w:tc>
        <w:tc>
          <w:tcPr>
            <w:tcW w:w="795" w:type="pct"/>
            <w:tcBorders>
              <w:top w:val="nil"/>
              <w:left w:val="nil"/>
              <w:bottom w:val="single" w:sz="8" w:space="0" w:color="auto"/>
              <w:right w:val="nil"/>
            </w:tcBorders>
            <w:shd w:val="clear" w:color="auto" w:fill="auto"/>
            <w:noWrap/>
            <w:vAlign w:val="bottom"/>
            <w:hideMark/>
          </w:tcPr>
          <w:p w:rsidR="00103DFF" w:rsidRPr="00602215" w:rsidRDefault="00103DFF" w:rsidP="00103DFF">
            <w:pPr>
              <w:jc w:val="center"/>
              <w:rPr>
                <w:rFonts w:ascii="Calibri" w:hAnsi="Calibri"/>
                <w:color w:val="000000"/>
                <w:sz w:val="18"/>
                <w:szCs w:val="18"/>
              </w:rPr>
            </w:pPr>
            <w:r w:rsidRPr="00602215">
              <w:rPr>
                <w:rFonts w:ascii="Calibri" w:hAnsi="Calibri"/>
                <w:color w:val="000000"/>
                <w:sz w:val="18"/>
                <w:szCs w:val="18"/>
              </w:rPr>
              <w:t>Work Plan Year 4</w:t>
            </w:r>
          </w:p>
        </w:tc>
        <w:tc>
          <w:tcPr>
            <w:tcW w:w="459" w:type="pct"/>
            <w:tcBorders>
              <w:top w:val="nil"/>
              <w:left w:val="nil"/>
              <w:bottom w:val="single" w:sz="8" w:space="0" w:color="auto"/>
              <w:right w:val="nil"/>
            </w:tcBorders>
            <w:shd w:val="clear" w:color="auto" w:fill="auto"/>
            <w:noWrap/>
            <w:vAlign w:val="bottom"/>
            <w:hideMark/>
          </w:tcPr>
          <w:p w:rsidR="00103DFF" w:rsidRPr="00602215" w:rsidRDefault="00103DFF" w:rsidP="00103DFF">
            <w:pPr>
              <w:jc w:val="cente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nil"/>
              <w:right w:val="nil"/>
            </w:tcBorders>
            <w:shd w:val="clear" w:color="auto" w:fill="auto"/>
            <w:noWrap/>
            <w:vAlign w:val="bottom"/>
            <w:hideMark/>
          </w:tcPr>
          <w:p w:rsidR="00103DFF" w:rsidRPr="00602215" w:rsidRDefault="00103DFF" w:rsidP="00103DFF">
            <w:pPr>
              <w:rPr>
                <w:rFonts w:ascii="Calibri" w:hAnsi="Calibri"/>
                <w:color w:val="000000"/>
                <w:sz w:val="18"/>
                <w:szCs w:val="18"/>
              </w:rPr>
            </w:pPr>
          </w:p>
        </w:tc>
        <w:tc>
          <w:tcPr>
            <w:tcW w:w="237" w:type="pct"/>
            <w:tcBorders>
              <w:top w:val="nil"/>
              <w:left w:val="nil"/>
              <w:bottom w:val="nil"/>
              <w:right w:val="nil"/>
            </w:tcBorders>
            <w:shd w:val="clear" w:color="auto" w:fill="auto"/>
            <w:noWrap/>
            <w:vAlign w:val="bottom"/>
            <w:hideMark/>
          </w:tcPr>
          <w:p w:rsidR="00103DFF" w:rsidRPr="00602215" w:rsidRDefault="00103DFF" w:rsidP="00103DFF">
            <w:pPr>
              <w:rPr>
                <w:rFonts w:ascii="Calibri" w:hAnsi="Calibri"/>
                <w:color w:val="000000"/>
                <w:sz w:val="18"/>
                <w:szCs w:val="18"/>
              </w:rPr>
            </w:pPr>
          </w:p>
        </w:tc>
        <w:tc>
          <w:tcPr>
            <w:tcW w:w="237" w:type="pct"/>
            <w:tcBorders>
              <w:top w:val="nil"/>
              <w:left w:val="nil"/>
              <w:bottom w:val="nil"/>
              <w:right w:val="nil"/>
            </w:tcBorders>
            <w:shd w:val="clear" w:color="auto" w:fill="auto"/>
            <w:noWrap/>
            <w:vAlign w:val="bottom"/>
            <w:hideMark/>
          </w:tcPr>
          <w:p w:rsidR="00103DFF" w:rsidRPr="00602215" w:rsidRDefault="00103DFF" w:rsidP="00103DFF">
            <w:pPr>
              <w:rPr>
                <w:rFonts w:ascii="Calibri" w:hAnsi="Calibri"/>
                <w:color w:val="000000"/>
                <w:sz w:val="18"/>
                <w:szCs w:val="18"/>
              </w:rPr>
            </w:pPr>
          </w:p>
        </w:tc>
        <w:tc>
          <w:tcPr>
            <w:tcW w:w="237" w:type="pct"/>
            <w:tcBorders>
              <w:top w:val="nil"/>
              <w:left w:val="nil"/>
              <w:bottom w:val="nil"/>
              <w:right w:val="nil"/>
            </w:tcBorders>
            <w:shd w:val="clear" w:color="auto" w:fill="auto"/>
            <w:noWrap/>
            <w:vAlign w:val="bottom"/>
            <w:hideMark/>
          </w:tcPr>
          <w:p w:rsidR="00103DFF" w:rsidRPr="00602215" w:rsidRDefault="00103DFF" w:rsidP="00103DFF">
            <w:pPr>
              <w:rPr>
                <w:rFonts w:ascii="Calibri" w:hAnsi="Calibri"/>
                <w:color w:val="000000"/>
                <w:sz w:val="18"/>
                <w:szCs w:val="18"/>
              </w:rPr>
            </w:pPr>
          </w:p>
        </w:tc>
        <w:tc>
          <w:tcPr>
            <w:tcW w:w="689" w:type="pct"/>
            <w:tcBorders>
              <w:top w:val="nil"/>
              <w:left w:val="nil"/>
              <w:bottom w:val="nil"/>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r>
      <w:tr w:rsidR="00103DFF" w:rsidRPr="00602215" w:rsidTr="00103DFF">
        <w:trPr>
          <w:trHeight w:val="300"/>
        </w:trPr>
        <w:tc>
          <w:tcPr>
            <w:tcW w:w="1503"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03DFF" w:rsidRPr="00602215" w:rsidRDefault="00103DFF" w:rsidP="00103DFF">
            <w:pPr>
              <w:jc w:val="center"/>
              <w:rPr>
                <w:rFonts w:ascii="Calibri" w:hAnsi="Calibri"/>
                <w:b/>
                <w:bCs/>
                <w:color w:val="000000"/>
                <w:sz w:val="18"/>
                <w:szCs w:val="18"/>
              </w:rPr>
            </w:pPr>
            <w:r w:rsidRPr="00602215">
              <w:rPr>
                <w:rFonts w:ascii="Calibri" w:hAnsi="Calibri"/>
                <w:b/>
                <w:bCs/>
                <w:color w:val="000000"/>
                <w:sz w:val="18"/>
                <w:szCs w:val="18"/>
              </w:rPr>
              <w:t>Activities/Tasks</w:t>
            </w:r>
          </w:p>
        </w:tc>
        <w:tc>
          <w:tcPr>
            <w:tcW w:w="606" w:type="pct"/>
            <w:tcBorders>
              <w:top w:val="single" w:sz="8" w:space="0" w:color="auto"/>
              <w:left w:val="nil"/>
              <w:bottom w:val="single" w:sz="4" w:space="0" w:color="auto"/>
              <w:right w:val="single" w:sz="4" w:space="0" w:color="auto"/>
            </w:tcBorders>
            <w:shd w:val="clear" w:color="auto" w:fill="auto"/>
            <w:noWrap/>
            <w:vAlign w:val="center"/>
            <w:hideMark/>
          </w:tcPr>
          <w:p w:rsidR="00103DFF" w:rsidRPr="00602215" w:rsidRDefault="00103DFF" w:rsidP="00103DFF">
            <w:pPr>
              <w:jc w:val="center"/>
              <w:rPr>
                <w:rFonts w:ascii="Calibri" w:hAnsi="Calibri"/>
                <w:b/>
                <w:bCs/>
                <w:color w:val="000000"/>
                <w:sz w:val="18"/>
                <w:szCs w:val="18"/>
              </w:rPr>
            </w:pPr>
            <w:r w:rsidRPr="00602215">
              <w:rPr>
                <w:rFonts w:ascii="Calibri" w:hAnsi="Calibri"/>
                <w:b/>
                <w:bCs/>
                <w:color w:val="000000"/>
                <w:sz w:val="18"/>
                <w:szCs w:val="18"/>
              </w:rPr>
              <w:t>Who Manages</w:t>
            </w:r>
          </w:p>
        </w:tc>
        <w:tc>
          <w:tcPr>
            <w:tcW w:w="795" w:type="pct"/>
            <w:tcBorders>
              <w:top w:val="nil"/>
              <w:left w:val="nil"/>
              <w:bottom w:val="single" w:sz="4" w:space="0" w:color="auto"/>
              <w:right w:val="single" w:sz="4" w:space="0" w:color="auto"/>
            </w:tcBorders>
            <w:shd w:val="clear" w:color="auto" w:fill="auto"/>
            <w:noWrap/>
            <w:vAlign w:val="center"/>
            <w:hideMark/>
          </w:tcPr>
          <w:p w:rsidR="00103DFF" w:rsidRPr="00602215" w:rsidRDefault="00103DFF" w:rsidP="00103DFF">
            <w:pPr>
              <w:rPr>
                <w:rFonts w:ascii="Calibri" w:hAnsi="Calibri"/>
                <w:b/>
                <w:bCs/>
                <w:color w:val="000000"/>
                <w:sz w:val="18"/>
                <w:szCs w:val="18"/>
              </w:rPr>
            </w:pPr>
            <w:r w:rsidRPr="00602215">
              <w:rPr>
                <w:rFonts w:ascii="Calibri" w:hAnsi="Calibri"/>
                <w:b/>
                <w:bCs/>
                <w:color w:val="000000"/>
                <w:sz w:val="18"/>
                <w:szCs w:val="18"/>
              </w:rPr>
              <w:t>Start Date</w:t>
            </w:r>
          </w:p>
        </w:tc>
        <w:tc>
          <w:tcPr>
            <w:tcW w:w="459" w:type="pct"/>
            <w:tcBorders>
              <w:top w:val="nil"/>
              <w:left w:val="nil"/>
              <w:bottom w:val="single" w:sz="4" w:space="0" w:color="auto"/>
              <w:right w:val="single" w:sz="4" w:space="0" w:color="auto"/>
            </w:tcBorders>
            <w:shd w:val="clear" w:color="auto" w:fill="auto"/>
            <w:vAlign w:val="center"/>
            <w:hideMark/>
          </w:tcPr>
          <w:p w:rsidR="00103DFF" w:rsidRPr="00602215" w:rsidRDefault="00103DFF" w:rsidP="00103DFF">
            <w:pPr>
              <w:jc w:val="center"/>
              <w:rPr>
                <w:rFonts w:ascii="Calibri" w:hAnsi="Calibri"/>
                <w:b/>
                <w:bCs/>
                <w:color w:val="000000"/>
                <w:sz w:val="18"/>
                <w:szCs w:val="18"/>
              </w:rPr>
            </w:pPr>
            <w:r w:rsidRPr="00602215">
              <w:rPr>
                <w:rFonts w:ascii="Calibri" w:hAnsi="Calibri"/>
                <w:b/>
                <w:bCs/>
                <w:color w:val="000000"/>
                <w:sz w:val="18"/>
                <w:szCs w:val="18"/>
              </w:rPr>
              <w:t>Completion Date</w:t>
            </w:r>
          </w:p>
        </w:tc>
        <w:tc>
          <w:tcPr>
            <w:tcW w:w="237" w:type="pct"/>
            <w:tcBorders>
              <w:top w:val="single" w:sz="8" w:space="0" w:color="auto"/>
              <w:left w:val="nil"/>
              <w:bottom w:val="single" w:sz="4" w:space="0" w:color="auto"/>
              <w:right w:val="single" w:sz="4" w:space="0" w:color="auto"/>
            </w:tcBorders>
            <w:shd w:val="clear" w:color="auto" w:fill="auto"/>
            <w:noWrap/>
            <w:vAlign w:val="center"/>
            <w:hideMark/>
          </w:tcPr>
          <w:p w:rsidR="00103DFF" w:rsidRPr="00602215" w:rsidRDefault="00103DFF" w:rsidP="00103DFF">
            <w:pPr>
              <w:rPr>
                <w:rFonts w:ascii="Calibri" w:hAnsi="Calibri"/>
                <w:b/>
                <w:bCs/>
                <w:color w:val="000000"/>
                <w:sz w:val="18"/>
                <w:szCs w:val="18"/>
              </w:rPr>
            </w:pPr>
            <w:r w:rsidRPr="00602215">
              <w:rPr>
                <w:rFonts w:ascii="Calibri" w:hAnsi="Calibri"/>
                <w:b/>
                <w:bCs/>
                <w:color w:val="000000"/>
                <w:sz w:val="18"/>
                <w:szCs w:val="18"/>
              </w:rPr>
              <w:t>Q1</w:t>
            </w:r>
          </w:p>
        </w:tc>
        <w:tc>
          <w:tcPr>
            <w:tcW w:w="237" w:type="pct"/>
            <w:tcBorders>
              <w:top w:val="single" w:sz="8" w:space="0" w:color="auto"/>
              <w:left w:val="nil"/>
              <w:bottom w:val="single" w:sz="4" w:space="0" w:color="auto"/>
              <w:right w:val="single" w:sz="4" w:space="0" w:color="auto"/>
            </w:tcBorders>
            <w:shd w:val="clear" w:color="auto" w:fill="auto"/>
            <w:noWrap/>
            <w:vAlign w:val="center"/>
            <w:hideMark/>
          </w:tcPr>
          <w:p w:rsidR="00103DFF" w:rsidRPr="00602215" w:rsidRDefault="00103DFF" w:rsidP="00103DFF">
            <w:pPr>
              <w:rPr>
                <w:rFonts w:ascii="Calibri" w:hAnsi="Calibri"/>
                <w:b/>
                <w:bCs/>
                <w:color w:val="000000"/>
                <w:sz w:val="18"/>
                <w:szCs w:val="18"/>
              </w:rPr>
            </w:pPr>
            <w:r w:rsidRPr="00602215">
              <w:rPr>
                <w:rFonts w:ascii="Calibri" w:hAnsi="Calibri"/>
                <w:b/>
                <w:bCs/>
                <w:color w:val="000000"/>
                <w:sz w:val="18"/>
                <w:szCs w:val="18"/>
              </w:rPr>
              <w:t>Q2</w:t>
            </w:r>
          </w:p>
        </w:tc>
        <w:tc>
          <w:tcPr>
            <w:tcW w:w="237" w:type="pct"/>
            <w:tcBorders>
              <w:top w:val="single" w:sz="8" w:space="0" w:color="auto"/>
              <w:left w:val="nil"/>
              <w:bottom w:val="single" w:sz="4" w:space="0" w:color="auto"/>
              <w:right w:val="single" w:sz="4" w:space="0" w:color="auto"/>
            </w:tcBorders>
            <w:shd w:val="clear" w:color="auto" w:fill="auto"/>
            <w:noWrap/>
            <w:vAlign w:val="center"/>
            <w:hideMark/>
          </w:tcPr>
          <w:p w:rsidR="00103DFF" w:rsidRPr="00602215" w:rsidRDefault="00103DFF" w:rsidP="00103DFF">
            <w:pPr>
              <w:rPr>
                <w:rFonts w:ascii="Calibri" w:hAnsi="Calibri"/>
                <w:b/>
                <w:bCs/>
                <w:color w:val="000000"/>
                <w:sz w:val="18"/>
                <w:szCs w:val="18"/>
              </w:rPr>
            </w:pPr>
            <w:r w:rsidRPr="00602215">
              <w:rPr>
                <w:rFonts w:ascii="Calibri" w:hAnsi="Calibri"/>
                <w:b/>
                <w:bCs/>
                <w:color w:val="000000"/>
                <w:sz w:val="18"/>
                <w:szCs w:val="18"/>
              </w:rPr>
              <w:t>Q3</w:t>
            </w:r>
          </w:p>
        </w:tc>
        <w:tc>
          <w:tcPr>
            <w:tcW w:w="237" w:type="pct"/>
            <w:tcBorders>
              <w:top w:val="single" w:sz="8" w:space="0" w:color="auto"/>
              <w:left w:val="nil"/>
              <w:bottom w:val="single" w:sz="4" w:space="0" w:color="auto"/>
              <w:right w:val="single" w:sz="4" w:space="0" w:color="auto"/>
            </w:tcBorders>
            <w:shd w:val="clear" w:color="auto" w:fill="auto"/>
            <w:noWrap/>
            <w:vAlign w:val="center"/>
            <w:hideMark/>
          </w:tcPr>
          <w:p w:rsidR="00103DFF" w:rsidRPr="00602215" w:rsidRDefault="00103DFF" w:rsidP="00103DFF">
            <w:pPr>
              <w:rPr>
                <w:rFonts w:ascii="Calibri" w:hAnsi="Calibri"/>
                <w:b/>
                <w:bCs/>
                <w:color w:val="000000"/>
                <w:sz w:val="18"/>
                <w:szCs w:val="18"/>
              </w:rPr>
            </w:pPr>
            <w:r w:rsidRPr="00602215">
              <w:rPr>
                <w:rFonts w:ascii="Calibri" w:hAnsi="Calibri"/>
                <w:b/>
                <w:bCs/>
                <w:color w:val="000000"/>
                <w:sz w:val="18"/>
                <w:szCs w:val="18"/>
              </w:rPr>
              <w:t>Q4</w:t>
            </w:r>
          </w:p>
        </w:tc>
        <w:tc>
          <w:tcPr>
            <w:tcW w:w="689" w:type="pct"/>
            <w:tcBorders>
              <w:top w:val="single" w:sz="8" w:space="0" w:color="auto"/>
              <w:left w:val="nil"/>
              <w:bottom w:val="single" w:sz="4" w:space="0" w:color="auto"/>
              <w:right w:val="single" w:sz="4" w:space="0" w:color="auto"/>
            </w:tcBorders>
            <w:shd w:val="clear" w:color="auto" w:fill="auto"/>
            <w:vAlign w:val="center"/>
            <w:hideMark/>
          </w:tcPr>
          <w:p w:rsidR="00103DFF" w:rsidRPr="00602215" w:rsidRDefault="00103DFF" w:rsidP="00103DFF">
            <w:pPr>
              <w:rPr>
                <w:rFonts w:ascii="Calibri" w:hAnsi="Calibri"/>
                <w:b/>
                <w:bCs/>
                <w:color w:val="000000"/>
                <w:sz w:val="18"/>
                <w:szCs w:val="18"/>
              </w:rPr>
            </w:pPr>
            <w:r w:rsidRPr="00602215">
              <w:rPr>
                <w:rFonts w:ascii="Calibri" w:hAnsi="Calibri"/>
                <w:b/>
                <w:bCs/>
                <w:color w:val="000000"/>
                <w:sz w:val="18"/>
                <w:szCs w:val="18"/>
              </w:rPr>
              <w:t>Outcome or Deliverable</w:t>
            </w:r>
          </w:p>
        </w:tc>
      </w:tr>
      <w:tr w:rsidR="00103DFF" w:rsidRPr="00602215" w:rsidTr="00103DFF">
        <w:trPr>
          <w:trHeight w:val="300"/>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b/>
                <w:bCs/>
                <w:color w:val="000000"/>
                <w:sz w:val="18"/>
                <w:szCs w:val="18"/>
              </w:rPr>
            </w:pPr>
            <w:r w:rsidRPr="00602215">
              <w:rPr>
                <w:rFonts w:ascii="Calibri" w:hAnsi="Calibri"/>
                <w:b/>
                <w:bCs/>
                <w:color w:val="000000"/>
                <w:sz w:val="18"/>
                <w:szCs w:val="18"/>
              </w:rPr>
              <w:t>1. GIS analysis, update &amp; support</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Exec Team, COW</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r>
      <w:tr w:rsidR="00103DFF" w:rsidRPr="00602215" w:rsidTr="00103DFF">
        <w:trPr>
          <w:trHeight w:val="495"/>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Update Form 477 data</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1-Sep-19</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30-Nov-19</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75%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Integration/update of database with new Form 477 data</w:t>
            </w:r>
          </w:p>
        </w:tc>
      </w:tr>
      <w:tr w:rsidR="00103DFF" w:rsidRPr="00602215" w:rsidTr="00103DFF">
        <w:trPr>
          <w:trHeight w:val="735"/>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Gather &amp; analyze  conditional requirement data</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1-Jul-19</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30-Nov-19</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75%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Process for tracking Frontier, AT&amp;T and Charter upgrades/prog</w:t>
            </w:r>
            <w:r w:rsidRPr="00602215">
              <w:rPr>
                <w:rFonts w:ascii="Calibri" w:hAnsi="Calibri"/>
                <w:color w:val="000000"/>
                <w:sz w:val="18"/>
                <w:szCs w:val="18"/>
              </w:rPr>
              <w:lastRenderedPageBreak/>
              <w:t>rams required by CPUC/FCC</w:t>
            </w:r>
          </w:p>
        </w:tc>
      </w:tr>
      <w:tr w:rsidR="00103DFF" w:rsidRPr="00602215" w:rsidTr="00103DFF">
        <w:trPr>
          <w:trHeight w:val="495"/>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lastRenderedPageBreak/>
              <w:t>Gather &amp; analyze CAF2,other data</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1-Jul-19</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30-Nov-19</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75%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Process for tracking Frontier and AT&amp;T CAF-2 implementation requirements.</w:t>
            </w:r>
          </w:p>
        </w:tc>
      </w:tr>
      <w:tr w:rsidR="00103DFF" w:rsidRPr="00602215" w:rsidTr="00103DFF">
        <w:trPr>
          <w:trHeight w:val="735"/>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Update COW GIS database &amp; maps</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1-Oct-19</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30-Mar-20</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50%</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50%</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Updated maps and online database, including Form 477, conditional requirement and CAF-2 data.</w:t>
            </w:r>
          </w:p>
        </w:tc>
      </w:tr>
      <w:tr w:rsidR="00103DFF" w:rsidRPr="00602215" w:rsidTr="00103DFF">
        <w:trPr>
          <w:trHeight w:val="495"/>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Provide project/initiative-specific support</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1-Jul-19</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30-Jun-20</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Goal: 5 broadband infrastructure projects/initiatives per year</w:t>
            </w:r>
          </w:p>
        </w:tc>
      </w:tr>
      <w:tr w:rsidR="00103DFF" w:rsidRPr="00602215" w:rsidTr="00103DFF">
        <w:trPr>
          <w:trHeight w:val="300"/>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b/>
                <w:bCs/>
                <w:color w:val="000000"/>
                <w:sz w:val="18"/>
                <w:szCs w:val="18"/>
              </w:rPr>
            </w:pPr>
            <w:r w:rsidRPr="00602215">
              <w:rPr>
                <w:rFonts w:ascii="Calibri" w:hAnsi="Calibri"/>
                <w:b/>
                <w:bCs/>
                <w:color w:val="000000"/>
                <w:sz w:val="18"/>
                <w:szCs w:val="18"/>
              </w:rPr>
              <w:t>2. Web platform maintenance &amp; development</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Exec Team, COW</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r>
      <w:tr w:rsidR="00103DFF" w:rsidRPr="00602215" w:rsidTr="00103DFF">
        <w:trPr>
          <w:trHeight w:val="300"/>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Map layer development</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1-Jul-19</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30-Jun-20</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proofErr w:type="spellStart"/>
            <w:r w:rsidRPr="00602215">
              <w:rPr>
                <w:rFonts w:ascii="Calibri" w:hAnsi="Calibri"/>
                <w:color w:val="000000"/>
                <w:sz w:val="18"/>
                <w:szCs w:val="18"/>
              </w:rPr>
              <w:t>On going</w:t>
            </w:r>
            <w:proofErr w:type="spellEnd"/>
            <w:r w:rsidRPr="00602215">
              <w:rPr>
                <w:rFonts w:ascii="Calibri" w:hAnsi="Calibri"/>
                <w:color w:val="000000"/>
                <w:sz w:val="18"/>
                <w:szCs w:val="18"/>
              </w:rPr>
              <w:t xml:space="preserve"> development of new layers</w:t>
            </w:r>
          </w:p>
        </w:tc>
      </w:tr>
      <w:tr w:rsidR="00103DFF" w:rsidRPr="00602215" w:rsidTr="00103DFF">
        <w:trPr>
          <w:trHeight w:val="300"/>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Content maintenance</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1-Jul-19</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30-Jun-20</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proofErr w:type="spellStart"/>
            <w:r w:rsidRPr="00602215">
              <w:rPr>
                <w:rFonts w:ascii="Calibri" w:hAnsi="Calibri"/>
                <w:color w:val="000000"/>
                <w:sz w:val="18"/>
                <w:szCs w:val="18"/>
              </w:rPr>
              <w:t>On going</w:t>
            </w:r>
            <w:proofErr w:type="spellEnd"/>
            <w:r w:rsidRPr="00602215">
              <w:rPr>
                <w:rFonts w:ascii="Calibri" w:hAnsi="Calibri"/>
                <w:color w:val="000000"/>
                <w:sz w:val="18"/>
                <w:szCs w:val="18"/>
              </w:rPr>
              <w:t xml:space="preserve"> updates of platform data</w:t>
            </w:r>
          </w:p>
        </w:tc>
      </w:tr>
      <w:tr w:rsidR="00103DFF" w:rsidRPr="00602215" w:rsidTr="00103DFF">
        <w:trPr>
          <w:trHeight w:val="300"/>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b/>
                <w:bCs/>
                <w:color w:val="000000"/>
                <w:sz w:val="18"/>
                <w:szCs w:val="18"/>
              </w:rPr>
            </w:pPr>
            <w:r w:rsidRPr="00602215">
              <w:rPr>
                <w:rFonts w:ascii="Calibri" w:hAnsi="Calibri"/>
                <w:b/>
                <w:bCs/>
                <w:color w:val="000000"/>
                <w:sz w:val="18"/>
                <w:szCs w:val="18"/>
              </w:rPr>
              <w:t>4. Outreach &amp; project/initiative support</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MCBC</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r>
      <w:tr w:rsidR="00103DFF" w:rsidRPr="00602215" w:rsidTr="00103DFF">
        <w:trPr>
          <w:trHeight w:val="495"/>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Conference calls, meetings, events</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1-Jul-19</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30-Jun-20</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xml:space="preserve">2 </w:t>
            </w:r>
            <w:proofErr w:type="spellStart"/>
            <w:r w:rsidRPr="00602215">
              <w:rPr>
                <w:rFonts w:ascii="Calibri" w:hAnsi="Calibri"/>
                <w:color w:val="000000"/>
                <w:sz w:val="18"/>
                <w:szCs w:val="18"/>
              </w:rPr>
              <w:t>conf</w:t>
            </w:r>
            <w:proofErr w:type="spellEnd"/>
            <w:r w:rsidRPr="00602215">
              <w:rPr>
                <w:rFonts w:ascii="Calibri" w:hAnsi="Calibri"/>
                <w:color w:val="000000"/>
                <w:sz w:val="18"/>
                <w:szCs w:val="18"/>
              </w:rPr>
              <w:t xml:space="preserve"> calls/</w:t>
            </w:r>
            <w:proofErr w:type="spellStart"/>
            <w:r w:rsidRPr="00602215">
              <w:rPr>
                <w:rFonts w:ascii="Calibri" w:hAnsi="Calibri"/>
                <w:color w:val="000000"/>
                <w:sz w:val="18"/>
                <w:szCs w:val="18"/>
              </w:rPr>
              <w:t>mo</w:t>
            </w:r>
            <w:proofErr w:type="spellEnd"/>
            <w:r w:rsidRPr="00602215">
              <w:rPr>
                <w:rFonts w:ascii="Calibri" w:hAnsi="Calibri"/>
                <w:color w:val="000000"/>
                <w:sz w:val="18"/>
                <w:szCs w:val="18"/>
              </w:rPr>
              <w:t>, 2-4 meetings/</w:t>
            </w:r>
            <w:proofErr w:type="spellStart"/>
            <w:r w:rsidRPr="00602215">
              <w:rPr>
                <w:rFonts w:ascii="Calibri" w:hAnsi="Calibri"/>
                <w:color w:val="000000"/>
                <w:sz w:val="18"/>
                <w:szCs w:val="18"/>
              </w:rPr>
              <w:t>yr</w:t>
            </w:r>
            <w:proofErr w:type="spellEnd"/>
            <w:r w:rsidRPr="00602215">
              <w:rPr>
                <w:rFonts w:ascii="Calibri" w:hAnsi="Calibri"/>
                <w:color w:val="000000"/>
                <w:sz w:val="18"/>
                <w:szCs w:val="18"/>
              </w:rPr>
              <w:t>, admin</w:t>
            </w:r>
          </w:p>
        </w:tc>
      </w:tr>
      <w:tr w:rsidR="00103DFF" w:rsidRPr="00602215" w:rsidTr="00103DFF">
        <w:trPr>
          <w:trHeight w:val="495"/>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Coordination of support for regional projects</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1-Jul-19</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30-Jun-20</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xml:space="preserve">Permit &amp; review </w:t>
            </w:r>
            <w:proofErr w:type="spellStart"/>
            <w:r w:rsidRPr="00602215">
              <w:rPr>
                <w:rFonts w:ascii="Calibri" w:hAnsi="Calibri"/>
                <w:color w:val="000000"/>
                <w:sz w:val="18"/>
                <w:szCs w:val="18"/>
              </w:rPr>
              <w:t>coord</w:t>
            </w:r>
            <w:proofErr w:type="spellEnd"/>
            <w:r w:rsidRPr="00602215">
              <w:rPr>
                <w:rFonts w:ascii="Calibri" w:hAnsi="Calibri"/>
                <w:color w:val="000000"/>
                <w:sz w:val="18"/>
                <w:szCs w:val="18"/>
              </w:rPr>
              <w:t>, support letters for regional broadband projects.</w:t>
            </w:r>
          </w:p>
        </w:tc>
      </w:tr>
      <w:tr w:rsidR="00103DFF" w:rsidRPr="00602215" w:rsidTr="00103DFF">
        <w:trPr>
          <w:trHeight w:val="315"/>
        </w:trPr>
        <w:tc>
          <w:tcPr>
            <w:tcW w:w="1503" w:type="pct"/>
            <w:tcBorders>
              <w:top w:val="nil"/>
              <w:left w:val="single" w:sz="8" w:space="0" w:color="auto"/>
              <w:bottom w:val="single" w:sz="8" w:space="0" w:color="auto"/>
              <w:right w:val="single" w:sz="4" w:space="0" w:color="auto"/>
            </w:tcBorders>
            <w:shd w:val="clear" w:color="auto" w:fill="auto"/>
            <w:noWrap/>
            <w:vAlign w:val="bottom"/>
            <w:hideMark/>
          </w:tcPr>
          <w:p w:rsidR="00103DFF" w:rsidRPr="00602215" w:rsidRDefault="00103DFF" w:rsidP="00103DFF">
            <w:pPr>
              <w:rPr>
                <w:rFonts w:ascii="Calibri" w:hAnsi="Calibri"/>
                <w:b/>
                <w:bCs/>
                <w:color w:val="000000"/>
                <w:sz w:val="18"/>
                <w:szCs w:val="18"/>
              </w:rPr>
            </w:pPr>
            <w:r w:rsidRPr="00602215">
              <w:rPr>
                <w:rFonts w:ascii="Calibri" w:hAnsi="Calibri"/>
                <w:b/>
                <w:bCs/>
                <w:color w:val="000000"/>
                <w:sz w:val="18"/>
                <w:szCs w:val="18"/>
              </w:rPr>
              <w:t>5. Fiscal agent support &amp; oversight</w:t>
            </w:r>
          </w:p>
        </w:tc>
        <w:tc>
          <w:tcPr>
            <w:tcW w:w="606" w:type="pct"/>
            <w:tcBorders>
              <w:top w:val="nil"/>
              <w:left w:val="nil"/>
              <w:bottom w:val="single" w:sz="8"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COW</w:t>
            </w:r>
          </w:p>
        </w:tc>
        <w:tc>
          <w:tcPr>
            <w:tcW w:w="795" w:type="pct"/>
            <w:tcBorders>
              <w:top w:val="nil"/>
              <w:left w:val="nil"/>
              <w:bottom w:val="single" w:sz="8"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1-Jul-19</w:t>
            </w:r>
          </w:p>
        </w:tc>
        <w:tc>
          <w:tcPr>
            <w:tcW w:w="459" w:type="pct"/>
            <w:tcBorders>
              <w:top w:val="nil"/>
              <w:left w:val="nil"/>
              <w:bottom w:val="single" w:sz="8"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30-Jun-20</w:t>
            </w:r>
          </w:p>
        </w:tc>
        <w:tc>
          <w:tcPr>
            <w:tcW w:w="237" w:type="pct"/>
            <w:tcBorders>
              <w:top w:val="nil"/>
              <w:left w:val="nil"/>
              <w:bottom w:val="single" w:sz="8"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8"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8"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8"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689" w:type="pct"/>
            <w:tcBorders>
              <w:top w:val="nil"/>
              <w:left w:val="nil"/>
              <w:bottom w:val="single" w:sz="8"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xml:space="preserve"> Billing, audit, administration</w:t>
            </w:r>
          </w:p>
        </w:tc>
      </w:tr>
      <w:tr w:rsidR="00103DFF" w:rsidRPr="00602215" w:rsidTr="00103DFF">
        <w:trPr>
          <w:trHeight w:val="300"/>
        </w:trPr>
        <w:tc>
          <w:tcPr>
            <w:tcW w:w="1503" w:type="pct"/>
            <w:tcBorders>
              <w:top w:val="nil"/>
              <w:left w:val="nil"/>
              <w:bottom w:val="nil"/>
              <w:right w:val="nil"/>
            </w:tcBorders>
            <w:shd w:val="clear" w:color="auto" w:fill="auto"/>
            <w:noWrap/>
            <w:vAlign w:val="bottom"/>
            <w:hideMark/>
          </w:tcPr>
          <w:p w:rsidR="00103DFF" w:rsidRPr="00602215" w:rsidRDefault="00103DFF" w:rsidP="00103DFF">
            <w:pPr>
              <w:rPr>
                <w:rFonts w:ascii="Calibri" w:hAnsi="Calibri"/>
                <w:color w:val="000000"/>
                <w:sz w:val="18"/>
                <w:szCs w:val="18"/>
              </w:rPr>
            </w:pPr>
          </w:p>
        </w:tc>
        <w:tc>
          <w:tcPr>
            <w:tcW w:w="606" w:type="pct"/>
            <w:tcBorders>
              <w:top w:val="nil"/>
              <w:left w:val="nil"/>
              <w:bottom w:val="nil"/>
              <w:right w:val="nil"/>
            </w:tcBorders>
            <w:shd w:val="clear" w:color="auto" w:fill="auto"/>
            <w:noWrap/>
            <w:vAlign w:val="bottom"/>
            <w:hideMark/>
          </w:tcPr>
          <w:p w:rsidR="00103DFF" w:rsidRPr="00602215" w:rsidRDefault="00103DFF" w:rsidP="00103DFF">
            <w:pPr>
              <w:rPr>
                <w:rFonts w:ascii="Calibri" w:hAnsi="Calibri"/>
                <w:color w:val="000000"/>
                <w:sz w:val="18"/>
                <w:szCs w:val="18"/>
              </w:rPr>
            </w:pPr>
          </w:p>
        </w:tc>
        <w:tc>
          <w:tcPr>
            <w:tcW w:w="795" w:type="pct"/>
            <w:tcBorders>
              <w:top w:val="nil"/>
              <w:left w:val="nil"/>
              <w:bottom w:val="nil"/>
              <w:right w:val="nil"/>
            </w:tcBorders>
            <w:shd w:val="clear" w:color="auto" w:fill="auto"/>
            <w:noWrap/>
            <w:vAlign w:val="bottom"/>
            <w:hideMark/>
          </w:tcPr>
          <w:p w:rsidR="00103DFF" w:rsidRPr="00602215" w:rsidRDefault="00103DFF" w:rsidP="00103DFF">
            <w:pPr>
              <w:rPr>
                <w:rFonts w:ascii="Calibri" w:hAnsi="Calibri"/>
                <w:color w:val="000000"/>
                <w:sz w:val="18"/>
                <w:szCs w:val="18"/>
              </w:rPr>
            </w:pPr>
          </w:p>
        </w:tc>
        <w:tc>
          <w:tcPr>
            <w:tcW w:w="459" w:type="pct"/>
            <w:tcBorders>
              <w:top w:val="nil"/>
              <w:left w:val="nil"/>
              <w:bottom w:val="nil"/>
              <w:right w:val="nil"/>
            </w:tcBorders>
            <w:shd w:val="clear" w:color="auto" w:fill="auto"/>
            <w:noWrap/>
            <w:vAlign w:val="bottom"/>
            <w:hideMark/>
          </w:tcPr>
          <w:p w:rsidR="00103DFF" w:rsidRPr="00602215" w:rsidRDefault="00103DFF" w:rsidP="00103DFF">
            <w:pPr>
              <w:rPr>
                <w:rFonts w:ascii="Calibri" w:hAnsi="Calibri"/>
                <w:color w:val="000000"/>
                <w:sz w:val="18"/>
                <w:szCs w:val="18"/>
              </w:rPr>
            </w:pPr>
          </w:p>
        </w:tc>
        <w:tc>
          <w:tcPr>
            <w:tcW w:w="237" w:type="pct"/>
            <w:tcBorders>
              <w:top w:val="nil"/>
              <w:left w:val="nil"/>
              <w:bottom w:val="nil"/>
              <w:right w:val="nil"/>
            </w:tcBorders>
            <w:shd w:val="clear" w:color="auto" w:fill="auto"/>
            <w:noWrap/>
            <w:vAlign w:val="bottom"/>
            <w:hideMark/>
          </w:tcPr>
          <w:p w:rsidR="00103DFF" w:rsidRPr="00602215" w:rsidRDefault="00103DFF" w:rsidP="00103DFF">
            <w:pPr>
              <w:rPr>
                <w:rFonts w:ascii="Calibri" w:hAnsi="Calibri"/>
                <w:color w:val="000000"/>
                <w:sz w:val="18"/>
                <w:szCs w:val="18"/>
              </w:rPr>
            </w:pPr>
          </w:p>
        </w:tc>
        <w:tc>
          <w:tcPr>
            <w:tcW w:w="237" w:type="pct"/>
            <w:tcBorders>
              <w:top w:val="nil"/>
              <w:left w:val="nil"/>
              <w:bottom w:val="nil"/>
              <w:right w:val="nil"/>
            </w:tcBorders>
            <w:shd w:val="clear" w:color="auto" w:fill="auto"/>
            <w:noWrap/>
            <w:vAlign w:val="bottom"/>
            <w:hideMark/>
          </w:tcPr>
          <w:p w:rsidR="00103DFF" w:rsidRPr="00602215" w:rsidRDefault="00103DFF" w:rsidP="00103DFF">
            <w:pPr>
              <w:rPr>
                <w:rFonts w:ascii="Calibri" w:hAnsi="Calibri"/>
                <w:color w:val="000000"/>
                <w:sz w:val="18"/>
                <w:szCs w:val="18"/>
              </w:rPr>
            </w:pPr>
          </w:p>
        </w:tc>
        <w:tc>
          <w:tcPr>
            <w:tcW w:w="237" w:type="pct"/>
            <w:tcBorders>
              <w:top w:val="nil"/>
              <w:left w:val="nil"/>
              <w:bottom w:val="nil"/>
              <w:right w:val="nil"/>
            </w:tcBorders>
            <w:shd w:val="clear" w:color="auto" w:fill="auto"/>
            <w:noWrap/>
            <w:vAlign w:val="bottom"/>
            <w:hideMark/>
          </w:tcPr>
          <w:p w:rsidR="00103DFF" w:rsidRPr="00602215" w:rsidRDefault="00103DFF" w:rsidP="00103DFF">
            <w:pPr>
              <w:rPr>
                <w:rFonts w:ascii="Calibri" w:hAnsi="Calibri"/>
                <w:color w:val="000000"/>
                <w:sz w:val="18"/>
                <w:szCs w:val="18"/>
              </w:rPr>
            </w:pPr>
          </w:p>
        </w:tc>
        <w:tc>
          <w:tcPr>
            <w:tcW w:w="237" w:type="pct"/>
            <w:tcBorders>
              <w:top w:val="nil"/>
              <w:left w:val="nil"/>
              <w:bottom w:val="nil"/>
              <w:right w:val="nil"/>
            </w:tcBorders>
            <w:shd w:val="clear" w:color="auto" w:fill="auto"/>
            <w:noWrap/>
            <w:vAlign w:val="bottom"/>
            <w:hideMark/>
          </w:tcPr>
          <w:p w:rsidR="00103DFF" w:rsidRPr="00602215" w:rsidRDefault="00103DFF" w:rsidP="00103DFF">
            <w:pPr>
              <w:rPr>
                <w:rFonts w:ascii="Calibri" w:hAnsi="Calibri"/>
                <w:color w:val="000000"/>
                <w:sz w:val="18"/>
                <w:szCs w:val="18"/>
              </w:rPr>
            </w:pPr>
          </w:p>
        </w:tc>
        <w:tc>
          <w:tcPr>
            <w:tcW w:w="689" w:type="pct"/>
            <w:tcBorders>
              <w:top w:val="nil"/>
              <w:left w:val="nil"/>
              <w:bottom w:val="nil"/>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r>
      <w:tr w:rsidR="00103DFF" w:rsidRPr="00602215" w:rsidTr="00103DFF">
        <w:trPr>
          <w:trHeight w:val="315"/>
        </w:trPr>
        <w:tc>
          <w:tcPr>
            <w:tcW w:w="1503" w:type="pct"/>
            <w:tcBorders>
              <w:top w:val="nil"/>
              <w:left w:val="nil"/>
              <w:bottom w:val="nil"/>
              <w:right w:val="nil"/>
            </w:tcBorders>
            <w:shd w:val="clear" w:color="auto" w:fill="auto"/>
            <w:noWrap/>
            <w:vAlign w:val="bottom"/>
            <w:hideMark/>
          </w:tcPr>
          <w:p w:rsidR="00103DFF" w:rsidRPr="00602215" w:rsidRDefault="00103DFF" w:rsidP="00103DFF">
            <w:pPr>
              <w:rPr>
                <w:rFonts w:ascii="Calibri" w:hAnsi="Calibri"/>
                <w:color w:val="000000"/>
                <w:sz w:val="18"/>
                <w:szCs w:val="18"/>
              </w:rPr>
            </w:pPr>
          </w:p>
        </w:tc>
        <w:tc>
          <w:tcPr>
            <w:tcW w:w="606" w:type="pct"/>
            <w:tcBorders>
              <w:top w:val="nil"/>
              <w:left w:val="nil"/>
              <w:bottom w:val="nil"/>
              <w:right w:val="nil"/>
            </w:tcBorders>
            <w:shd w:val="clear" w:color="auto" w:fill="auto"/>
            <w:noWrap/>
            <w:vAlign w:val="bottom"/>
            <w:hideMark/>
          </w:tcPr>
          <w:p w:rsidR="00103DFF" w:rsidRPr="00602215" w:rsidRDefault="00103DFF" w:rsidP="00103DFF">
            <w:pPr>
              <w:rPr>
                <w:rFonts w:ascii="Calibri" w:hAnsi="Calibri"/>
                <w:color w:val="000000"/>
                <w:sz w:val="18"/>
                <w:szCs w:val="18"/>
              </w:rPr>
            </w:pPr>
          </w:p>
        </w:tc>
        <w:tc>
          <w:tcPr>
            <w:tcW w:w="795" w:type="pct"/>
            <w:tcBorders>
              <w:top w:val="nil"/>
              <w:left w:val="nil"/>
              <w:bottom w:val="single" w:sz="8" w:space="0" w:color="auto"/>
              <w:right w:val="nil"/>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Work Plan Year 5</w:t>
            </w:r>
          </w:p>
        </w:tc>
        <w:tc>
          <w:tcPr>
            <w:tcW w:w="459" w:type="pct"/>
            <w:tcBorders>
              <w:top w:val="nil"/>
              <w:left w:val="nil"/>
              <w:bottom w:val="single" w:sz="8" w:space="0" w:color="auto"/>
              <w:right w:val="nil"/>
            </w:tcBorders>
            <w:shd w:val="clear" w:color="auto" w:fill="auto"/>
            <w:noWrap/>
            <w:vAlign w:val="bottom"/>
            <w:hideMark/>
          </w:tcPr>
          <w:p w:rsidR="00103DFF" w:rsidRPr="00602215" w:rsidRDefault="00103DFF" w:rsidP="00103DFF">
            <w:pPr>
              <w:jc w:val="cente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nil"/>
              <w:right w:val="nil"/>
            </w:tcBorders>
            <w:shd w:val="clear" w:color="auto" w:fill="auto"/>
            <w:noWrap/>
            <w:vAlign w:val="bottom"/>
            <w:hideMark/>
          </w:tcPr>
          <w:p w:rsidR="00103DFF" w:rsidRPr="00602215" w:rsidRDefault="00103DFF" w:rsidP="00103DFF">
            <w:pPr>
              <w:rPr>
                <w:rFonts w:ascii="Calibri" w:hAnsi="Calibri"/>
                <w:color w:val="000000"/>
                <w:sz w:val="18"/>
                <w:szCs w:val="18"/>
              </w:rPr>
            </w:pPr>
          </w:p>
        </w:tc>
        <w:tc>
          <w:tcPr>
            <w:tcW w:w="237" w:type="pct"/>
            <w:tcBorders>
              <w:top w:val="nil"/>
              <w:left w:val="nil"/>
              <w:bottom w:val="nil"/>
              <w:right w:val="nil"/>
            </w:tcBorders>
            <w:shd w:val="clear" w:color="auto" w:fill="auto"/>
            <w:noWrap/>
            <w:vAlign w:val="bottom"/>
            <w:hideMark/>
          </w:tcPr>
          <w:p w:rsidR="00103DFF" w:rsidRPr="00602215" w:rsidRDefault="00103DFF" w:rsidP="00103DFF">
            <w:pPr>
              <w:rPr>
                <w:rFonts w:ascii="Calibri" w:hAnsi="Calibri"/>
                <w:color w:val="000000"/>
                <w:sz w:val="18"/>
                <w:szCs w:val="18"/>
              </w:rPr>
            </w:pPr>
          </w:p>
        </w:tc>
        <w:tc>
          <w:tcPr>
            <w:tcW w:w="237" w:type="pct"/>
            <w:tcBorders>
              <w:top w:val="nil"/>
              <w:left w:val="nil"/>
              <w:bottom w:val="nil"/>
              <w:right w:val="nil"/>
            </w:tcBorders>
            <w:shd w:val="clear" w:color="auto" w:fill="auto"/>
            <w:noWrap/>
            <w:vAlign w:val="bottom"/>
            <w:hideMark/>
          </w:tcPr>
          <w:p w:rsidR="00103DFF" w:rsidRPr="00602215" w:rsidRDefault="00103DFF" w:rsidP="00103DFF">
            <w:pPr>
              <w:rPr>
                <w:rFonts w:ascii="Calibri" w:hAnsi="Calibri"/>
                <w:color w:val="000000"/>
                <w:sz w:val="18"/>
                <w:szCs w:val="18"/>
              </w:rPr>
            </w:pPr>
          </w:p>
        </w:tc>
        <w:tc>
          <w:tcPr>
            <w:tcW w:w="237" w:type="pct"/>
            <w:tcBorders>
              <w:top w:val="nil"/>
              <w:left w:val="nil"/>
              <w:bottom w:val="nil"/>
              <w:right w:val="nil"/>
            </w:tcBorders>
            <w:shd w:val="clear" w:color="auto" w:fill="auto"/>
            <w:noWrap/>
            <w:vAlign w:val="bottom"/>
            <w:hideMark/>
          </w:tcPr>
          <w:p w:rsidR="00103DFF" w:rsidRPr="00602215" w:rsidRDefault="00103DFF" w:rsidP="00103DFF">
            <w:pPr>
              <w:rPr>
                <w:rFonts w:ascii="Calibri" w:hAnsi="Calibri"/>
                <w:color w:val="000000"/>
                <w:sz w:val="18"/>
                <w:szCs w:val="18"/>
              </w:rPr>
            </w:pPr>
          </w:p>
        </w:tc>
        <w:tc>
          <w:tcPr>
            <w:tcW w:w="689" w:type="pct"/>
            <w:tcBorders>
              <w:top w:val="nil"/>
              <w:left w:val="nil"/>
              <w:bottom w:val="nil"/>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r>
      <w:tr w:rsidR="00103DFF" w:rsidRPr="00602215" w:rsidTr="00103DFF">
        <w:trPr>
          <w:trHeight w:val="300"/>
        </w:trPr>
        <w:tc>
          <w:tcPr>
            <w:tcW w:w="1503"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03DFF" w:rsidRPr="00602215" w:rsidRDefault="00103DFF" w:rsidP="00103DFF">
            <w:pPr>
              <w:jc w:val="center"/>
              <w:rPr>
                <w:rFonts w:ascii="Calibri" w:hAnsi="Calibri"/>
                <w:b/>
                <w:bCs/>
                <w:color w:val="000000"/>
                <w:sz w:val="18"/>
                <w:szCs w:val="18"/>
              </w:rPr>
            </w:pPr>
            <w:r w:rsidRPr="00602215">
              <w:rPr>
                <w:rFonts w:ascii="Calibri" w:hAnsi="Calibri"/>
                <w:b/>
                <w:bCs/>
                <w:color w:val="000000"/>
                <w:sz w:val="18"/>
                <w:szCs w:val="18"/>
              </w:rPr>
              <w:t>Activities/Tasks</w:t>
            </w:r>
          </w:p>
        </w:tc>
        <w:tc>
          <w:tcPr>
            <w:tcW w:w="606" w:type="pct"/>
            <w:tcBorders>
              <w:top w:val="single" w:sz="8" w:space="0" w:color="auto"/>
              <w:left w:val="nil"/>
              <w:bottom w:val="single" w:sz="4" w:space="0" w:color="auto"/>
              <w:right w:val="single" w:sz="4" w:space="0" w:color="auto"/>
            </w:tcBorders>
            <w:shd w:val="clear" w:color="auto" w:fill="auto"/>
            <w:noWrap/>
            <w:vAlign w:val="center"/>
            <w:hideMark/>
          </w:tcPr>
          <w:p w:rsidR="00103DFF" w:rsidRPr="00602215" w:rsidRDefault="00103DFF" w:rsidP="00103DFF">
            <w:pPr>
              <w:jc w:val="center"/>
              <w:rPr>
                <w:rFonts w:ascii="Calibri" w:hAnsi="Calibri"/>
                <w:b/>
                <w:bCs/>
                <w:color w:val="000000"/>
                <w:sz w:val="18"/>
                <w:szCs w:val="18"/>
              </w:rPr>
            </w:pPr>
            <w:r w:rsidRPr="00602215">
              <w:rPr>
                <w:rFonts w:ascii="Calibri" w:hAnsi="Calibri"/>
                <w:b/>
                <w:bCs/>
                <w:color w:val="000000"/>
                <w:sz w:val="18"/>
                <w:szCs w:val="18"/>
              </w:rPr>
              <w:t>Who Manages</w:t>
            </w:r>
          </w:p>
        </w:tc>
        <w:tc>
          <w:tcPr>
            <w:tcW w:w="795" w:type="pct"/>
            <w:tcBorders>
              <w:top w:val="nil"/>
              <w:left w:val="nil"/>
              <w:bottom w:val="single" w:sz="4" w:space="0" w:color="auto"/>
              <w:right w:val="single" w:sz="4" w:space="0" w:color="auto"/>
            </w:tcBorders>
            <w:shd w:val="clear" w:color="auto" w:fill="auto"/>
            <w:noWrap/>
            <w:vAlign w:val="center"/>
            <w:hideMark/>
          </w:tcPr>
          <w:p w:rsidR="00103DFF" w:rsidRPr="00602215" w:rsidRDefault="00103DFF" w:rsidP="00103DFF">
            <w:pPr>
              <w:rPr>
                <w:rFonts w:ascii="Calibri" w:hAnsi="Calibri"/>
                <w:b/>
                <w:bCs/>
                <w:color w:val="000000"/>
                <w:sz w:val="18"/>
                <w:szCs w:val="18"/>
              </w:rPr>
            </w:pPr>
            <w:r w:rsidRPr="00602215">
              <w:rPr>
                <w:rFonts w:ascii="Calibri" w:hAnsi="Calibri"/>
                <w:b/>
                <w:bCs/>
                <w:color w:val="000000"/>
                <w:sz w:val="18"/>
                <w:szCs w:val="18"/>
              </w:rPr>
              <w:t>Start Date</w:t>
            </w:r>
          </w:p>
        </w:tc>
        <w:tc>
          <w:tcPr>
            <w:tcW w:w="459" w:type="pct"/>
            <w:tcBorders>
              <w:top w:val="nil"/>
              <w:left w:val="nil"/>
              <w:bottom w:val="single" w:sz="4" w:space="0" w:color="auto"/>
              <w:right w:val="single" w:sz="4" w:space="0" w:color="auto"/>
            </w:tcBorders>
            <w:shd w:val="clear" w:color="auto" w:fill="auto"/>
            <w:vAlign w:val="center"/>
            <w:hideMark/>
          </w:tcPr>
          <w:p w:rsidR="00103DFF" w:rsidRPr="00602215" w:rsidRDefault="00103DFF" w:rsidP="00103DFF">
            <w:pPr>
              <w:jc w:val="center"/>
              <w:rPr>
                <w:rFonts w:ascii="Calibri" w:hAnsi="Calibri"/>
                <w:b/>
                <w:bCs/>
                <w:color w:val="000000"/>
                <w:sz w:val="18"/>
                <w:szCs w:val="18"/>
              </w:rPr>
            </w:pPr>
            <w:r w:rsidRPr="00602215">
              <w:rPr>
                <w:rFonts w:ascii="Calibri" w:hAnsi="Calibri"/>
                <w:b/>
                <w:bCs/>
                <w:color w:val="000000"/>
                <w:sz w:val="18"/>
                <w:szCs w:val="18"/>
              </w:rPr>
              <w:t>Completion Date</w:t>
            </w:r>
          </w:p>
        </w:tc>
        <w:tc>
          <w:tcPr>
            <w:tcW w:w="237" w:type="pct"/>
            <w:tcBorders>
              <w:top w:val="single" w:sz="8" w:space="0" w:color="auto"/>
              <w:left w:val="nil"/>
              <w:bottom w:val="single" w:sz="4" w:space="0" w:color="auto"/>
              <w:right w:val="single" w:sz="4" w:space="0" w:color="auto"/>
            </w:tcBorders>
            <w:shd w:val="clear" w:color="auto" w:fill="auto"/>
            <w:noWrap/>
            <w:vAlign w:val="center"/>
            <w:hideMark/>
          </w:tcPr>
          <w:p w:rsidR="00103DFF" w:rsidRPr="00602215" w:rsidRDefault="00103DFF" w:rsidP="00103DFF">
            <w:pPr>
              <w:rPr>
                <w:rFonts w:ascii="Calibri" w:hAnsi="Calibri"/>
                <w:b/>
                <w:bCs/>
                <w:color w:val="000000"/>
                <w:sz w:val="18"/>
                <w:szCs w:val="18"/>
              </w:rPr>
            </w:pPr>
            <w:r w:rsidRPr="00602215">
              <w:rPr>
                <w:rFonts w:ascii="Calibri" w:hAnsi="Calibri"/>
                <w:b/>
                <w:bCs/>
                <w:color w:val="000000"/>
                <w:sz w:val="18"/>
                <w:szCs w:val="18"/>
              </w:rPr>
              <w:t>Q1</w:t>
            </w:r>
          </w:p>
        </w:tc>
        <w:tc>
          <w:tcPr>
            <w:tcW w:w="237" w:type="pct"/>
            <w:tcBorders>
              <w:top w:val="single" w:sz="8" w:space="0" w:color="auto"/>
              <w:left w:val="nil"/>
              <w:bottom w:val="single" w:sz="4" w:space="0" w:color="auto"/>
              <w:right w:val="single" w:sz="4" w:space="0" w:color="auto"/>
            </w:tcBorders>
            <w:shd w:val="clear" w:color="auto" w:fill="auto"/>
            <w:noWrap/>
            <w:vAlign w:val="center"/>
            <w:hideMark/>
          </w:tcPr>
          <w:p w:rsidR="00103DFF" w:rsidRPr="00602215" w:rsidRDefault="00103DFF" w:rsidP="00103DFF">
            <w:pPr>
              <w:rPr>
                <w:rFonts w:ascii="Calibri" w:hAnsi="Calibri"/>
                <w:b/>
                <w:bCs/>
                <w:color w:val="000000"/>
                <w:sz w:val="18"/>
                <w:szCs w:val="18"/>
              </w:rPr>
            </w:pPr>
            <w:r w:rsidRPr="00602215">
              <w:rPr>
                <w:rFonts w:ascii="Calibri" w:hAnsi="Calibri"/>
                <w:b/>
                <w:bCs/>
                <w:color w:val="000000"/>
                <w:sz w:val="18"/>
                <w:szCs w:val="18"/>
              </w:rPr>
              <w:t>Q2</w:t>
            </w:r>
          </w:p>
        </w:tc>
        <w:tc>
          <w:tcPr>
            <w:tcW w:w="237" w:type="pct"/>
            <w:tcBorders>
              <w:top w:val="single" w:sz="8" w:space="0" w:color="auto"/>
              <w:left w:val="nil"/>
              <w:bottom w:val="single" w:sz="4" w:space="0" w:color="auto"/>
              <w:right w:val="single" w:sz="4" w:space="0" w:color="auto"/>
            </w:tcBorders>
            <w:shd w:val="clear" w:color="auto" w:fill="auto"/>
            <w:noWrap/>
            <w:vAlign w:val="center"/>
            <w:hideMark/>
          </w:tcPr>
          <w:p w:rsidR="00103DFF" w:rsidRPr="00602215" w:rsidRDefault="00103DFF" w:rsidP="00103DFF">
            <w:pPr>
              <w:rPr>
                <w:rFonts w:ascii="Calibri" w:hAnsi="Calibri"/>
                <w:b/>
                <w:bCs/>
                <w:color w:val="000000"/>
                <w:sz w:val="18"/>
                <w:szCs w:val="18"/>
              </w:rPr>
            </w:pPr>
            <w:r w:rsidRPr="00602215">
              <w:rPr>
                <w:rFonts w:ascii="Calibri" w:hAnsi="Calibri"/>
                <w:b/>
                <w:bCs/>
                <w:color w:val="000000"/>
                <w:sz w:val="18"/>
                <w:szCs w:val="18"/>
              </w:rPr>
              <w:t>Q3</w:t>
            </w:r>
          </w:p>
        </w:tc>
        <w:tc>
          <w:tcPr>
            <w:tcW w:w="237" w:type="pct"/>
            <w:tcBorders>
              <w:top w:val="single" w:sz="8" w:space="0" w:color="auto"/>
              <w:left w:val="nil"/>
              <w:bottom w:val="single" w:sz="4" w:space="0" w:color="auto"/>
              <w:right w:val="single" w:sz="4" w:space="0" w:color="auto"/>
            </w:tcBorders>
            <w:shd w:val="clear" w:color="auto" w:fill="auto"/>
            <w:noWrap/>
            <w:vAlign w:val="center"/>
            <w:hideMark/>
          </w:tcPr>
          <w:p w:rsidR="00103DFF" w:rsidRPr="00602215" w:rsidRDefault="00103DFF" w:rsidP="00103DFF">
            <w:pPr>
              <w:rPr>
                <w:rFonts w:ascii="Calibri" w:hAnsi="Calibri"/>
                <w:b/>
                <w:bCs/>
                <w:color w:val="000000"/>
                <w:sz w:val="18"/>
                <w:szCs w:val="18"/>
              </w:rPr>
            </w:pPr>
            <w:r w:rsidRPr="00602215">
              <w:rPr>
                <w:rFonts w:ascii="Calibri" w:hAnsi="Calibri"/>
                <w:b/>
                <w:bCs/>
                <w:color w:val="000000"/>
                <w:sz w:val="18"/>
                <w:szCs w:val="18"/>
              </w:rPr>
              <w:t>Q4</w:t>
            </w:r>
          </w:p>
        </w:tc>
        <w:tc>
          <w:tcPr>
            <w:tcW w:w="689" w:type="pct"/>
            <w:tcBorders>
              <w:top w:val="single" w:sz="8" w:space="0" w:color="auto"/>
              <w:left w:val="nil"/>
              <w:bottom w:val="single" w:sz="4" w:space="0" w:color="auto"/>
              <w:right w:val="single" w:sz="4" w:space="0" w:color="auto"/>
            </w:tcBorders>
            <w:shd w:val="clear" w:color="auto" w:fill="auto"/>
            <w:vAlign w:val="center"/>
            <w:hideMark/>
          </w:tcPr>
          <w:p w:rsidR="00103DFF" w:rsidRPr="00602215" w:rsidRDefault="00103DFF" w:rsidP="00103DFF">
            <w:pPr>
              <w:rPr>
                <w:rFonts w:ascii="Calibri" w:hAnsi="Calibri"/>
                <w:b/>
                <w:bCs/>
                <w:color w:val="000000"/>
                <w:sz w:val="18"/>
                <w:szCs w:val="18"/>
              </w:rPr>
            </w:pPr>
            <w:r w:rsidRPr="00602215">
              <w:rPr>
                <w:rFonts w:ascii="Calibri" w:hAnsi="Calibri"/>
                <w:b/>
                <w:bCs/>
                <w:color w:val="000000"/>
                <w:sz w:val="18"/>
                <w:szCs w:val="18"/>
              </w:rPr>
              <w:t>Outcome or Deliverable</w:t>
            </w:r>
          </w:p>
        </w:tc>
      </w:tr>
      <w:tr w:rsidR="00103DFF" w:rsidRPr="00602215" w:rsidTr="00103DFF">
        <w:trPr>
          <w:trHeight w:val="300"/>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b/>
                <w:bCs/>
                <w:color w:val="000000"/>
                <w:sz w:val="18"/>
                <w:szCs w:val="18"/>
              </w:rPr>
            </w:pPr>
            <w:r w:rsidRPr="00602215">
              <w:rPr>
                <w:rFonts w:ascii="Calibri" w:hAnsi="Calibri"/>
                <w:b/>
                <w:bCs/>
                <w:color w:val="000000"/>
                <w:sz w:val="18"/>
                <w:szCs w:val="18"/>
              </w:rPr>
              <w:t>1. GIS analysis, update &amp; support</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Exec Team, COW</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r>
      <w:tr w:rsidR="00103DFF" w:rsidRPr="00602215" w:rsidTr="00103DFF">
        <w:trPr>
          <w:trHeight w:val="495"/>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Update Form 477 data</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1-Sep-20</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30-Nov-20</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75%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Integration/update of database with new Form 477 data</w:t>
            </w:r>
          </w:p>
        </w:tc>
      </w:tr>
      <w:tr w:rsidR="00103DFF" w:rsidRPr="00602215" w:rsidTr="00103DFF">
        <w:trPr>
          <w:trHeight w:val="735"/>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lastRenderedPageBreak/>
              <w:t>Gather &amp; analyze  conditional requirement data</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1-Jul-20</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30-Nov-20</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75%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Process for tracking Frontier, AT&amp;T and Charter upgrades/programs required by CPUC/FCC</w:t>
            </w:r>
          </w:p>
        </w:tc>
      </w:tr>
      <w:tr w:rsidR="00103DFF" w:rsidRPr="00602215" w:rsidTr="00103DFF">
        <w:trPr>
          <w:trHeight w:val="495"/>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Gather &amp; analyze CAF2,other data</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1-Jul-20</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30-Nov-20</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75%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Process for tracking Frontier and AT&amp;T CAF-2 implementation requirements.</w:t>
            </w:r>
          </w:p>
        </w:tc>
      </w:tr>
      <w:tr w:rsidR="00103DFF" w:rsidRPr="00602215" w:rsidTr="00103DFF">
        <w:trPr>
          <w:trHeight w:val="735"/>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Update COW GIS database &amp; maps</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1-Oct-20</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30-Mar-21</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50%</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50%</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Updated maps and online database, including Form 477, conditional requirement and CAF-2 data.</w:t>
            </w:r>
          </w:p>
        </w:tc>
      </w:tr>
      <w:tr w:rsidR="00103DFF" w:rsidRPr="00602215" w:rsidTr="00103DFF">
        <w:trPr>
          <w:trHeight w:val="495"/>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Provide project/initiative-specific support</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1-Jul-20</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30-Jun-21</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Goal: 5 broadband infrastructure projects/initiatives per year</w:t>
            </w:r>
          </w:p>
        </w:tc>
      </w:tr>
      <w:tr w:rsidR="00103DFF" w:rsidRPr="00602215" w:rsidTr="00103DFF">
        <w:trPr>
          <w:trHeight w:val="975"/>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Grading, zoning &amp; heat map analysis update</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1-Jul-20</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30-Nov-20</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75%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Updates to existing analytical methodologies for evaluating broadband infrastructure, gaps and project candidates.</w:t>
            </w:r>
          </w:p>
        </w:tc>
      </w:tr>
      <w:tr w:rsidR="00103DFF" w:rsidRPr="00602215" w:rsidTr="00103DFF">
        <w:trPr>
          <w:trHeight w:val="300"/>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b/>
                <w:bCs/>
                <w:color w:val="000000"/>
                <w:sz w:val="18"/>
                <w:szCs w:val="18"/>
              </w:rPr>
            </w:pPr>
            <w:r w:rsidRPr="00602215">
              <w:rPr>
                <w:rFonts w:ascii="Calibri" w:hAnsi="Calibri"/>
                <w:b/>
                <w:bCs/>
                <w:color w:val="000000"/>
                <w:sz w:val="18"/>
                <w:szCs w:val="18"/>
              </w:rPr>
              <w:t>2. Web platform maintenance &amp; development</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Exec Team, COW</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r>
      <w:tr w:rsidR="00103DFF" w:rsidRPr="00602215" w:rsidTr="00103DFF">
        <w:trPr>
          <w:trHeight w:val="300"/>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Map layer development</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1-Jul-20</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30-Jun-21</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proofErr w:type="spellStart"/>
            <w:r w:rsidRPr="00602215">
              <w:rPr>
                <w:rFonts w:ascii="Calibri" w:hAnsi="Calibri"/>
                <w:color w:val="000000"/>
                <w:sz w:val="18"/>
                <w:szCs w:val="18"/>
              </w:rPr>
              <w:t>On going</w:t>
            </w:r>
            <w:proofErr w:type="spellEnd"/>
            <w:r w:rsidRPr="00602215">
              <w:rPr>
                <w:rFonts w:ascii="Calibri" w:hAnsi="Calibri"/>
                <w:color w:val="000000"/>
                <w:sz w:val="18"/>
                <w:szCs w:val="18"/>
              </w:rPr>
              <w:t xml:space="preserve"> development of new layers</w:t>
            </w:r>
          </w:p>
        </w:tc>
      </w:tr>
      <w:tr w:rsidR="00103DFF" w:rsidRPr="00602215" w:rsidTr="00103DFF">
        <w:trPr>
          <w:trHeight w:val="300"/>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Content maintenance</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1-Jul-20</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30-Jun-21</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proofErr w:type="spellStart"/>
            <w:r w:rsidRPr="00602215">
              <w:rPr>
                <w:rFonts w:ascii="Calibri" w:hAnsi="Calibri"/>
                <w:color w:val="000000"/>
                <w:sz w:val="18"/>
                <w:szCs w:val="18"/>
              </w:rPr>
              <w:t>On going</w:t>
            </w:r>
            <w:proofErr w:type="spellEnd"/>
            <w:r w:rsidRPr="00602215">
              <w:rPr>
                <w:rFonts w:ascii="Calibri" w:hAnsi="Calibri"/>
                <w:color w:val="000000"/>
                <w:sz w:val="18"/>
                <w:szCs w:val="18"/>
              </w:rPr>
              <w:t xml:space="preserve"> updates of platform data</w:t>
            </w:r>
          </w:p>
        </w:tc>
      </w:tr>
      <w:tr w:rsidR="00103DFF" w:rsidRPr="00602215" w:rsidTr="00103DFF">
        <w:trPr>
          <w:trHeight w:val="300"/>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b/>
                <w:bCs/>
                <w:color w:val="000000"/>
                <w:sz w:val="18"/>
                <w:szCs w:val="18"/>
              </w:rPr>
            </w:pPr>
            <w:r w:rsidRPr="00602215">
              <w:rPr>
                <w:rFonts w:ascii="Calibri" w:hAnsi="Calibri"/>
                <w:b/>
                <w:bCs/>
                <w:color w:val="000000"/>
                <w:sz w:val="18"/>
                <w:szCs w:val="18"/>
              </w:rPr>
              <w:t>4. Outreach &amp; project/initiative support</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MCBC</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r>
      <w:tr w:rsidR="00103DFF" w:rsidRPr="00602215" w:rsidTr="00103DFF">
        <w:trPr>
          <w:trHeight w:val="495"/>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Conference calls, meetings, events</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1-Jul-20</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30-Jun-21</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xml:space="preserve">2 </w:t>
            </w:r>
            <w:proofErr w:type="spellStart"/>
            <w:r w:rsidRPr="00602215">
              <w:rPr>
                <w:rFonts w:ascii="Calibri" w:hAnsi="Calibri"/>
                <w:color w:val="000000"/>
                <w:sz w:val="18"/>
                <w:szCs w:val="18"/>
              </w:rPr>
              <w:t>conf</w:t>
            </w:r>
            <w:proofErr w:type="spellEnd"/>
            <w:r w:rsidRPr="00602215">
              <w:rPr>
                <w:rFonts w:ascii="Calibri" w:hAnsi="Calibri"/>
                <w:color w:val="000000"/>
                <w:sz w:val="18"/>
                <w:szCs w:val="18"/>
              </w:rPr>
              <w:t xml:space="preserve"> calls/</w:t>
            </w:r>
            <w:proofErr w:type="spellStart"/>
            <w:r w:rsidRPr="00602215">
              <w:rPr>
                <w:rFonts w:ascii="Calibri" w:hAnsi="Calibri"/>
                <w:color w:val="000000"/>
                <w:sz w:val="18"/>
                <w:szCs w:val="18"/>
              </w:rPr>
              <w:t>mo</w:t>
            </w:r>
            <w:proofErr w:type="spellEnd"/>
            <w:r w:rsidRPr="00602215">
              <w:rPr>
                <w:rFonts w:ascii="Calibri" w:hAnsi="Calibri"/>
                <w:color w:val="000000"/>
                <w:sz w:val="18"/>
                <w:szCs w:val="18"/>
              </w:rPr>
              <w:t>, 2-4 meetings/</w:t>
            </w:r>
            <w:proofErr w:type="spellStart"/>
            <w:r w:rsidRPr="00602215">
              <w:rPr>
                <w:rFonts w:ascii="Calibri" w:hAnsi="Calibri"/>
                <w:color w:val="000000"/>
                <w:sz w:val="18"/>
                <w:szCs w:val="18"/>
              </w:rPr>
              <w:t>yr</w:t>
            </w:r>
            <w:proofErr w:type="spellEnd"/>
            <w:r w:rsidRPr="00602215">
              <w:rPr>
                <w:rFonts w:ascii="Calibri" w:hAnsi="Calibri"/>
                <w:color w:val="000000"/>
                <w:sz w:val="18"/>
                <w:szCs w:val="18"/>
              </w:rPr>
              <w:t>, admin</w:t>
            </w:r>
          </w:p>
        </w:tc>
      </w:tr>
      <w:tr w:rsidR="00103DFF" w:rsidRPr="00602215" w:rsidTr="00103DFF">
        <w:trPr>
          <w:trHeight w:val="495"/>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Coordination of support for regional projects</w:t>
            </w:r>
          </w:p>
        </w:tc>
        <w:tc>
          <w:tcPr>
            <w:tcW w:w="606"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w:t>
            </w:r>
          </w:p>
        </w:tc>
        <w:tc>
          <w:tcPr>
            <w:tcW w:w="795"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1-Jul-20</w:t>
            </w:r>
          </w:p>
        </w:tc>
        <w:tc>
          <w:tcPr>
            <w:tcW w:w="459"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30-Jun-21</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4"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689" w:type="pct"/>
            <w:tcBorders>
              <w:top w:val="nil"/>
              <w:left w:val="nil"/>
              <w:bottom w:val="single" w:sz="4"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xml:space="preserve">Permit &amp; review </w:t>
            </w:r>
            <w:proofErr w:type="spellStart"/>
            <w:r w:rsidRPr="00602215">
              <w:rPr>
                <w:rFonts w:ascii="Calibri" w:hAnsi="Calibri"/>
                <w:color w:val="000000"/>
                <w:sz w:val="18"/>
                <w:szCs w:val="18"/>
              </w:rPr>
              <w:t>coord</w:t>
            </w:r>
            <w:proofErr w:type="spellEnd"/>
            <w:r w:rsidRPr="00602215">
              <w:rPr>
                <w:rFonts w:ascii="Calibri" w:hAnsi="Calibri"/>
                <w:color w:val="000000"/>
                <w:sz w:val="18"/>
                <w:szCs w:val="18"/>
              </w:rPr>
              <w:t>, support letters for regional broadband projects.</w:t>
            </w:r>
          </w:p>
        </w:tc>
      </w:tr>
      <w:tr w:rsidR="00103DFF" w:rsidRPr="00602215" w:rsidTr="00103DFF">
        <w:trPr>
          <w:trHeight w:val="315"/>
        </w:trPr>
        <w:tc>
          <w:tcPr>
            <w:tcW w:w="1503" w:type="pct"/>
            <w:tcBorders>
              <w:top w:val="nil"/>
              <w:left w:val="single" w:sz="8" w:space="0" w:color="auto"/>
              <w:bottom w:val="single" w:sz="8" w:space="0" w:color="auto"/>
              <w:right w:val="single" w:sz="4" w:space="0" w:color="auto"/>
            </w:tcBorders>
            <w:shd w:val="clear" w:color="auto" w:fill="auto"/>
            <w:noWrap/>
            <w:vAlign w:val="bottom"/>
            <w:hideMark/>
          </w:tcPr>
          <w:p w:rsidR="00103DFF" w:rsidRPr="00602215" w:rsidRDefault="00103DFF" w:rsidP="00103DFF">
            <w:pPr>
              <w:rPr>
                <w:rFonts w:ascii="Calibri" w:hAnsi="Calibri"/>
                <w:b/>
                <w:bCs/>
                <w:color w:val="000000"/>
                <w:sz w:val="18"/>
                <w:szCs w:val="18"/>
              </w:rPr>
            </w:pPr>
            <w:r w:rsidRPr="00602215">
              <w:rPr>
                <w:rFonts w:ascii="Calibri" w:hAnsi="Calibri"/>
                <w:b/>
                <w:bCs/>
                <w:color w:val="000000"/>
                <w:sz w:val="18"/>
                <w:szCs w:val="18"/>
              </w:rPr>
              <w:lastRenderedPageBreak/>
              <w:t>5. Fiscal agent support &amp; oversight</w:t>
            </w:r>
          </w:p>
        </w:tc>
        <w:tc>
          <w:tcPr>
            <w:tcW w:w="606" w:type="pct"/>
            <w:tcBorders>
              <w:top w:val="nil"/>
              <w:left w:val="nil"/>
              <w:bottom w:val="single" w:sz="8" w:space="0" w:color="auto"/>
              <w:right w:val="single" w:sz="4" w:space="0" w:color="auto"/>
            </w:tcBorders>
            <w:shd w:val="clear" w:color="auto" w:fill="auto"/>
            <w:noWrap/>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COW</w:t>
            </w:r>
          </w:p>
        </w:tc>
        <w:tc>
          <w:tcPr>
            <w:tcW w:w="795" w:type="pct"/>
            <w:tcBorders>
              <w:top w:val="nil"/>
              <w:left w:val="nil"/>
              <w:bottom w:val="single" w:sz="8"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1-Jul-20</w:t>
            </w:r>
          </w:p>
        </w:tc>
        <w:tc>
          <w:tcPr>
            <w:tcW w:w="459" w:type="pct"/>
            <w:tcBorders>
              <w:top w:val="nil"/>
              <w:left w:val="nil"/>
              <w:bottom w:val="single" w:sz="8"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30-Jun-21</w:t>
            </w:r>
          </w:p>
        </w:tc>
        <w:tc>
          <w:tcPr>
            <w:tcW w:w="237" w:type="pct"/>
            <w:tcBorders>
              <w:top w:val="nil"/>
              <w:left w:val="nil"/>
              <w:bottom w:val="single" w:sz="8"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8"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8"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237" w:type="pct"/>
            <w:tcBorders>
              <w:top w:val="nil"/>
              <w:left w:val="nil"/>
              <w:bottom w:val="single" w:sz="8" w:space="0" w:color="auto"/>
              <w:right w:val="single" w:sz="4" w:space="0" w:color="auto"/>
            </w:tcBorders>
            <w:shd w:val="clear" w:color="auto" w:fill="auto"/>
            <w:noWrap/>
            <w:vAlign w:val="bottom"/>
            <w:hideMark/>
          </w:tcPr>
          <w:p w:rsidR="00103DFF" w:rsidRPr="00602215" w:rsidRDefault="00103DFF" w:rsidP="00103DFF">
            <w:pPr>
              <w:jc w:val="right"/>
              <w:rPr>
                <w:rFonts w:ascii="Calibri" w:hAnsi="Calibri"/>
                <w:color w:val="000000"/>
                <w:sz w:val="18"/>
                <w:szCs w:val="18"/>
              </w:rPr>
            </w:pPr>
            <w:r w:rsidRPr="00602215">
              <w:rPr>
                <w:rFonts w:ascii="Calibri" w:hAnsi="Calibri"/>
                <w:color w:val="000000"/>
                <w:sz w:val="18"/>
                <w:szCs w:val="18"/>
              </w:rPr>
              <w:t>25%</w:t>
            </w:r>
          </w:p>
        </w:tc>
        <w:tc>
          <w:tcPr>
            <w:tcW w:w="689" w:type="pct"/>
            <w:tcBorders>
              <w:top w:val="nil"/>
              <w:left w:val="nil"/>
              <w:bottom w:val="single" w:sz="8" w:space="0" w:color="auto"/>
              <w:right w:val="single" w:sz="4" w:space="0" w:color="auto"/>
            </w:tcBorders>
            <w:shd w:val="clear" w:color="auto" w:fill="auto"/>
            <w:vAlign w:val="bottom"/>
            <w:hideMark/>
          </w:tcPr>
          <w:p w:rsidR="00103DFF" w:rsidRPr="00602215" w:rsidRDefault="00103DFF" w:rsidP="00103DFF">
            <w:pPr>
              <w:rPr>
                <w:rFonts w:ascii="Calibri" w:hAnsi="Calibri"/>
                <w:color w:val="000000"/>
                <w:sz w:val="18"/>
                <w:szCs w:val="18"/>
              </w:rPr>
            </w:pPr>
            <w:r w:rsidRPr="00602215">
              <w:rPr>
                <w:rFonts w:ascii="Calibri" w:hAnsi="Calibri"/>
                <w:color w:val="000000"/>
                <w:sz w:val="18"/>
                <w:szCs w:val="18"/>
              </w:rPr>
              <w:t xml:space="preserve"> Billing, audit, administration</w:t>
            </w:r>
          </w:p>
        </w:tc>
      </w:tr>
    </w:tbl>
    <w:p w:rsidR="00103DFF" w:rsidRDefault="00103DFF">
      <w:pPr>
        <w:rPr>
          <w:rFonts w:ascii="Palatino Linotype" w:hAnsi="Palatino Linotype"/>
          <w:b/>
          <w:color w:val="000000" w:themeColor="text1"/>
        </w:rPr>
      </w:pPr>
    </w:p>
    <w:p w:rsidR="00103DFF" w:rsidRDefault="00103DFF" w:rsidP="00103DFF"/>
    <w:p w:rsidR="00103DFF" w:rsidRDefault="00103DFF" w:rsidP="00103DFF"/>
    <w:p w:rsidR="00103DFF" w:rsidRDefault="00103DFF" w:rsidP="00103DFF"/>
    <w:p w:rsidR="00103DFF" w:rsidRDefault="00103DFF">
      <w:r>
        <w:br w:type="page"/>
      </w:r>
    </w:p>
    <w:p w:rsidR="00103DFF" w:rsidRDefault="00103DFF" w:rsidP="00103DFF"/>
    <w:p w:rsidR="00B45AE4" w:rsidRDefault="00B45AE4">
      <w:pPr>
        <w:rPr>
          <w:rFonts w:ascii="Palatino Linotype" w:hAnsi="Palatino Linotype"/>
          <w:b/>
          <w:color w:val="000000" w:themeColor="text1"/>
        </w:rPr>
      </w:pPr>
    </w:p>
    <w:p w:rsidR="00B45AE4" w:rsidRPr="0070228F" w:rsidRDefault="00B45AE4" w:rsidP="00B45AE4">
      <w:pPr>
        <w:keepNext/>
        <w:keepLines/>
        <w:jc w:val="center"/>
        <w:rPr>
          <w:rFonts w:ascii="Palatino Linotype" w:hAnsi="Palatino Linotype"/>
          <w:b/>
        </w:rPr>
      </w:pPr>
      <w:r>
        <w:rPr>
          <w:rFonts w:ascii="Palatino Linotype" w:hAnsi="Palatino Linotype"/>
          <w:b/>
        </w:rPr>
        <w:t>APPENDIX B</w:t>
      </w:r>
    </w:p>
    <w:p w:rsidR="00B45AE4" w:rsidRPr="00F3080C" w:rsidRDefault="00B45AE4" w:rsidP="00B45AE4">
      <w:pPr>
        <w:jc w:val="center"/>
        <w:rPr>
          <w:rFonts w:ascii="Palatino Linotype" w:hAnsi="Palatino Linotype"/>
          <w:b/>
          <w:color w:val="000000" w:themeColor="text1"/>
          <w:sz w:val="32"/>
          <w:szCs w:val="32"/>
        </w:rPr>
      </w:pPr>
      <w:r>
        <w:rPr>
          <w:rFonts w:ascii="Palatino Linotype" w:hAnsi="Palatino Linotype"/>
          <w:b/>
          <w:color w:val="000000" w:themeColor="text1"/>
        </w:rPr>
        <w:t>East Bay Broadband Consortium Work Plan</w:t>
      </w:r>
    </w:p>
    <w:p w:rsidR="00B45AE4" w:rsidRDefault="00103DFF">
      <w:pPr>
        <w:rPr>
          <w:rFonts w:ascii="Palatino Linotype" w:hAnsi="Palatino Linotype"/>
          <w:b/>
          <w:color w:val="000000" w:themeColor="text1"/>
          <w:sz w:val="32"/>
          <w:szCs w:val="32"/>
        </w:rPr>
      </w:pPr>
      <w:r w:rsidRPr="00CB39F5">
        <w:rPr>
          <w:noProof/>
        </w:rPr>
        <w:drawing>
          <wp:inline distT="0" distB="0" distL="0" distR="0" wp14:anchorId="35273715" wp14:editId="3C78FB4B">
            <wp:extent cx="5943600" cy="4245304"/>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245304"/>
                    </a:xfrm>
                    <a:prstGeom prst="rect">
                      <a:avLst/>
                    </a:prstGeom>
                    <a:noFill/>
                    <a:ln>
                      <a:noFill/>
                    </a:ln>
                  </pic:spPr>
                </pic:pic>
              </a:graphicData>
            </a:graphic>
          </wp:inline>
        </w:drawing>
      </w:r>
    </w:p>
    <w:p w:rsidR="00103DFF" w:rsidRDefault="00103DFF">
      <w:pPr>
        <w:rPr>
          <w:rFonts w:ascii="Palatino Linotype" w:hAnsi="Palatino Linotype"/>
          <w:b/>
          <w:color w:val="000000" w:themeColor="text1"/>
          <w:sz w:val="32"/>
          <w:szCs w:val="32"/>
        </w:rPr>
      </w:pPr>
      <w:r w:rsidRPr="00CB39F5">
        <w:rPr>
          <w:noProof/>
        </w:rPr>
        <w:lastRenderedPageBreak/>
        <w:drawing>
          <wp:inline distT="0" distB="0" distL="0" distR="0" wp14:anchorId="3D67522D" wp14:editId="3FC853BA">
            <wp:extent cx="5943600" cy="4245363"/>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245363"/>
                    </a:xfrm>
                    <a:prstGeom prst="rect">
                      <a:avLst/>
                    </a:prstGeom>
                    <a:noFill/>
                    <a:ln>
                      <a:noFill/>
                    </a:ln>
                  </pic:spPr>
                </pic:pic>
              </a:graphicData>
            </a:graphic>
          </wp:inline>
        </w:drawing>
      </w:r>
    </w:p>
    <w:p w:rsidR="00103DFF" w:rsidRDefault="00103DFF" w:rsidP="00B45AE4">
      <w:pPr>
        <w:keepNext/>
        <w:keepLines/>
        <w:jc w:val="center"/>
        <w:rPr>
          <w:rFonts w:ascii="Palatino Linotype" w:hAnsi="Palatino Linotype"/>
          <w:b/>
        </w:rPr>
      </w:pPr>
      <w:r w:rsidRPr="00CB39F5">
        <w:rPr>
          <w:noProof/>
        </w:rPr>
        <w:lastRenderedPageBreak/>
        <w:drawing>
          <wp:inline distT="0" distB="0" distL="0" distR="0" wp14:anchorId="52D42F68" wp14:editId="312B80AC">
            <wp:extent cx="5943600" cy="4734243"/>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734243"/>
                    </a:xfrm>
                    <a:prstGeom prst="rect">
                      <a:avLst/>
                    </a:prstGeom>
                    <a:noFill/>
                    <a:ln>
                      <a:noFill/>
                    </a:ln>
                  </pic:spPr>
                </pic:pic>
              </a:graphicData>
            </a:graphic>
          </wp:inline>
        </w:drawing>
      </w:r>
    </w:p>
    <w:p w:rsidR="00103DFF" w:rsidRDefault="00103DFF">
      <w:pPr>
        <w:rPr>
          <w:rFonts w:ascii="Palatino Linotype" w:hAnsi="Palatino Linotype"/>
          <w:b/>
        </w:rPr>
      </w:pPr>
      <w:r>
        <w:rPr>
          <w:rFonts w:ascii="Palatino Linotype" w:hAnsi="Palatino Linotype"/>
          <w:b/>
        </w:rPr>
        <w:br w:type="page"/>
      </w:r>
    </w:p>
    <w:p w:rsidR="00B45AE4" w:rsidRPr="0070228F" w:rsidRDefault="00B45AE4" w:rsidP="00B45AE4">
      <w:pPr>
        <w:keepNext/>
        <w:keepLines/>
        <w:jc w:val="center"/>
        <w:rPr>
          <w:rFonts w:ascii="Palatino Linotype" w:hAnsi="Palatino Linotype"/>
          <w:b/>
        </w:rPr>
      </w:pPr>
      <w:r>
        <w:rPr>
          <w:rFonts w:ascii="Palatino Linotype" w:hAnsi="Palatino Linotype"/>
          <w:b/>
        </w:rPr>
        <w:lastRenderedPageBreak/>
        <w:t>APPENDIX C</w:t>
      </w:r>
    </w:p>
    <w:p w:rsidR="00B45AE4" w:rsidRPr="00F3080C" w:rsidRDefault="00B45AE4" w:rsidP="00B45AE4">
      <w:pPr>
        <w:jc w:val="center"/>
        <w:rPr>
          <w:rFonts w:ascii="Palatino Linotype" w:hAnsi="Palatino Linotype"/>
          <w:b/>
          <w:color w:val="000000" w:themeColor="text1"/>
          <w:sz w:val="32"/>
          <w:szCs w:val="32"/>
        </w:rPr>
      </w:pPr>
      <w:r>
        <w:rPr>
          <w:rFonts w:ascii="Palatino Linotype" w:hAnsi="Palatino Linotype"/>
          <w:b/>
          <w:color w:val="000000" w:themeColor="text1"/>
        </w:rPr>
        <w:t>Tahoe Basin Project</w:t>
      </w:r>
      <w:r w:rsidRPr="000571D5">
        <w:rPr>
          <w:rFonts w:ascii="Palatino Linotype" w:hAnsi="Palatino Linotype"/>
          <w:b/>
          <w:color w:val="000000" w:themeColor="text1"/>
        </w:rPr>
        <w:t xml:space="preserve"> </w:t>
      </w:r>
      <w:r>
        <w:rPr>
          <w:rFonts w:ascii="Palatino Linotype" w:hAnsi="Palatino Linotype"/>
          <w:b/>
          <w:color w:val="000000" w:themeColor="text1"/>
        </w:rPr>
        <w:t>Work Plan</w:t>
      </w:r>
    </w:p>
    <w:tbl>
      <w:tblPr>
        <w:tblW w:w="11516" w:type="dxa"/>
        <w:tblInd w:w="-1067" w:type="dxa"/>
        <w:tblLook w:val="04A0" w:firstRow="1" w:lastRow="0" w:firstColumn="1" w:lastColumn="0" w:noHBand="0" w:noVBand="1"/>
      </w:tblPr>
      <w:tblGrid>
        <w:gridCol w:w="262"/>
        <w:gridCol w:w="357"/>
        <w:gridCol w:w="4227"/>
        <w:gridCol w:w="455"/>
        <w:gridCol w:w="455"/>
        <w:gridCol w:w="455"/>
        <w:gridCol w:w="455"/>
        <w:gridCol w:w="455"/>
        <w:gridCol w:w="455"/>
        <w:gridCol w:w="455"/>
        <w:gridCol w:w="455"/>
        <w:gridCol w:w="3030"/>
      </w:tblGrid>
      <w:tr w:rsidR="00103DFF" w:rsidTr="00FA66D1">
        <w:trPr>
          <w:trHeight w:val="300"/>
        </w:trPr>
        <w:tc>
          <w:tcPr>
            <w:tcW w:w="11516" w:type="dxa"/>
            <w:gridSpan w:val="12"/>
            <w:tcBorders>
              <w:top w:val="single" w:sz="8" w:space="0" w:color="auto"/>
              <w:left w:val="single" w:sz="8" w:space="0" w:color="auto"/>
              <w:bottom w:val="nil"/>
              <w:right w:val="single" w:sz="8" w:space="0" w:color="000000"/>
            </w:tcBorders>
            <w:shd w:val="clear" w:color="auto" w:fill="auto"/>
            <w:hideMark/>
          </w:tcPr>
          <w:p w:rsidR="00103DFF" w:rsidRDefault="00103DFF">
            <w:pPr>
              <w:jc w:val="center"/>
              <w:rPr>
                <w:rFonts w:ascii="Calibri" w:hAnsi="Calibri" w:cs="Arial"/>
                <w:b/>
                <w:bCs/>
                <w:sz w:val="22"/>
                <w:szCs w:val="22"/>
              </w:rPr>
            </w:pPr>
            <w:r>
              <w:rPr>
                <w:rFonts w:ascii="Calibri" w:hAnsi="Calibri" w:cs="Arial"/>
                <w:b/>
                <w:bCs/>
                <w:sz w:val="22"/>
                <w:szCs w:val="22"/>
              </w:rPr>
              <w:t>Tahoe Prosperity Center</w:t>
            </w:r>
          </w:p>
        </w:tc>
      </w:tr>
      <w:tr w:rsidR="00103DFF" w:rsidTr="00FA66D1">
        <w:trPr>
          <w:trHeight w:val="315"/>
        </w:trPr>
        <w:tc>
          <w:tcPr>
            <w:tcW w:w="11516" w:type="dxa"/>
            <w:gridSpan w:val="12"/>
            <w:tcBorders>
              <w:top w:val="nil"/>
              <w:left w:val="single" w:sz="8" w:space="0" w:color="auto"/>
              <w:bottom w:val="single" w:sz="8" w:space="0" w:color="auto"/>
              <w:right w:val="single" w:sz="8" w:space="0" w:color="000000"/>
            </w:tcBorders>
            <w:shd w:val="clear" w:color="auto" w:fill="auto"/>
            <w:hideMark/>
          </w:tcPr>
          <w:p w:rsidR="00103DFF" w:rsidRDefault="00103DFF">
            <w:pPr>
              <w:jc w:val="center"/>
              <w:rPr>
                <w:rFonts w:ascii="Calibri" w:hAnsi="Calibri" w:cs="Arial"/>
                <w:b/>
                <w:bCs/>
                <w:sz w:val="22"/>
                <w:szCs w:val="22"/>
              </w:rPr>
            </w:pPr>
            <w:r>
              <w:rPr>
                <w:rFonts w:ascii="Calibri" w:hAnsi="Calibri" w:cs="Arial"/>
                <w:b/>
                <w:bCs/>
                <w:sz w:val="22"/>
                <w:szCs w:val="22"/>
              </w:rPr>
              <w:t>Tahoe Basin Project - Work Plan Years 1 &amp; 2</w:t>
            </w:r>
          </w:p>
        </w:tc>
      </w:tr>
      <w:tr w:rsidR="00103DFF" w:rsidTr="00FA66D1">
        <w:trPr>
          <w:trHeight w:val="255"/>
        </w:trPr>
        <w:tc>
          <w:tcPr>
            <w:tcW w:w="4846" w:type="dxa"/>
            <w:gridSpan w:val="3"/>
            <w:tcBorders>
              <w:top w:val="single" w:sz="8" w:space="0" w:color="auto"/>
              <w:left w:val="single" w:sz="8" w:space="0" w:color="auto"/>
              <w:bottom w:val="single" w:sz="4" w:space="0" w:color="auto"/>
              <w:right w:val="nil"/>
            </w:tcBorders>
            <w:shd w:val="clear" w:color="auto" w:fill="auto"/>
            <w:noWrap/>
            <w:vAlign w:val="bottom"/>
            <w:hideMark/>
          </w:tcPr>
          <w:p w:rsidR="00103DFF" w:rsidRDefault="00103DFF">
            <w:pPr>
              <w:rPr>
                <w:rFonts w:ascii="Calibri" w:hAnsi="Calibri" w:cs="Arial"/>
                <w:b/>
                <w:bCs/>
                <w:sz w:val="20"/>
                <w:szCs w:val="20"/>
              </w:rPr>
            </w:pPr>
            <w:bookmarkStart w:id="2" w:name="RANGE!A3:L46"/>
            <w:r>
              <w:rPr>
                <w:rFonts w:ascii="Calibri" w:hAnsi="Calibri" w:cs="Arial"/>
                <w:b/>
                <w:bCs/>
                <w:sz w:val="20"/>
                <w:szCs w:val="20"/>
              </w:rPr>
              <w:t>Key - Task and Project Responsibilities</w:t>
            </w:r>
            <w:bookmarkEnd w:id="2"/>
          </w:p>
        </w:tc>
        <w:tc>
          <w:tcPr>
            <w:tcW w:w="455" w:type="dxa"/>
            <w:tcBorders>
              <w:top w:val="nil"/>
              <w:left w:val="nil"/>
              <w:bottom w:val="single" w:sz="4" w:space="0" w:color="auto"/>
              <w:right w:val="nil"/>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nil"/>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nil"/>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nil"/>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nil"/>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nil"/>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nil"/>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nil"/>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3030" w:type="dxa"/>
            <w:tcBorders>
              <w:top w:val="nil"/>
              <w:left w:val="nil"/>
              <w:bottom w:val="single" w:sz="4" w:space="0" w:color="auto"/>
              <w:right w:val="single" w:sz="8" w:space="0" w:color="auto"/>
            </w:tcBorders>
            <w:shd w:val="clear" w:color="auto" w:fill="auto"/>
            <w:vAlign w:val="center"/>
            <w:hideMark/>
          </w:tcPr>
          <w:p w:rsidR="00103DFF" w:rsidRDefault="00103DFF">
            <w:pPr>
              <w:rPr>
                <w:rFonts w:ascii="Calibri" w:hAnsi="Calibri" w:cs="Arial"/>
                <w:sz w:val="16"/>
                <w:szCs w:val="16"/>
              </w:rPr>
            </w:pPr>
            <w:r>
              <w:rPr>
                <w:rFonts w:ascii="Calibri" w:hAnsi="Calibri" w:cs="Arial"/>
                <w:sz w:val="16"/>
                <w:szCs w:val="16"/>
              </w:rPr>
              <w:t> </w:t>
            </w:r>
          </w:p>
        </w:tc>
      </w:tr>
      <w:tr w:rsidR="00103DFF" w:rsidTr="00FA66D1">
        <w:trPr>
          <w:trHeight w:val="255"/>
        </w:trPr>
        <w:tc>
          <w:tcPr>
            <w:tcW w:w="262" w:type="dxa"/>
            <w:tcBorders>
              <w:top w:val="nil"/>
              <w:left w:val="single" w:sz="8" w:space="0" w:color="auto"/>
              <w:bottom w:val="single" w:sz="4" w:space="0" w:color="auto"/>
              <w:right w:val="nil"/>
            </w:tcBorders>
            <w:shd w:val="clear" w:color="auto" w:fill="auto"/>
            <w:noWrap/>
            <w:vAlign w:val="center"/>
            <w:hideMark/>
          </w:tcPr>
          <w:p w:rsidR="00103DFF" w:rsidRDefault="00103DFF">
            <w:pPr>
              <w:rPr>
                <w:rFonts w:ascii="Calibri" w:hAnsi="Calibri" w:cs="Arial"/>
                <w:b/>
                <w:bCs/>
                <w:sz w:val="20"/>
                <w:szCs w:val="20"/>
              </w:rPr>
            </w:pPr>
            <w:r>
              <w:rPr>
                <w:rFonts w:ascii="Calibri" w:hAnsi="Calibri" w:cs="Arial"/>
                <w:b/>
                <w:bCs/>
                <w:sz w:val="20"/>
                <w:szCs w:val="20"/>
              </w:rPr>
              <w:t> </w:t>
            </w:r>
          </w:p>
        </w:tc>
        <w:tc>
          <w:tcPr>
            <w:tcW w:w="357" w:type="dxa"/>
            <w:tcBorders>
              <w:top w:val="nil"/>
              <w:left w:val="nil"/>
              <w:bottom w:val="single" w:sz="4" w:space="0" w:color="auto"/>
              <w:right w:val="nil"/>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227" w:type="dxa"/>
            <w:tcBorders>
              <w:top w:val="nil"/>
              <w:left w:val="nil"/>
              <w:bottom w:val="single" w:sz="4" w:space="0" w:color="auto"/>
              <w:right w:val="single" w:sz="4" w:space="0" w:color="auto"/>
            </w:tcBorders>
            <w:shd w:val="clear" w:color="auto" w:fill="auto"/>
            <w:vAlign w:val="bottom"/>
            <w:hideMark/>
          </w:tcPr>
          <w:p w:rsidR="00103DFF" w:rsidRDefault="00103DFF">
            <w:pPr>
              <w:jc w:val="right"/>
              <w:rPr>
                <w:rFonts w:ascii="Calibri" w:hAnsi="Calibri" w:cs="Arial"/>
                <w:sz w:val="16"/>
                <w:szCs w:val="16"/>
              </w:rPr>
            </w:pPr>
            <w:r>
              <w:rPr>
                <w:rFonts w:ascii="Calibri" w:hAnsi="Calibri" w:cs="Arial"/>
                <w:sz w:val="16"/>
                <w:szCs w:val="16"/>
              </w:rPr>
              <w:t>Project Manager</w:t>
            </w:r>
          </w:p>
        </w:tc>
        <w:tc>
          <w:tcPr>
            <w:tcW w:w="455" w:type="dxa"/>
            <w:tcBorders>
              <w:top w:val="nil"/>
              <w:left w:val="nil"/>
              <w:bottom w:val="single" w:sz="4" w:space="0" w:color="auto"/>
              <w:right w:val="single" w:sz="4" w:space="0" w:color="auto"/>
            </w:tcBorders>
            <w:shd w:val="clear" w:color="000000" w:fill="FF9900"/>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nil"/>
              <w:right w:val="nil"/>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nil"/>
              <w:right w:val="nil"/>
            </w:tcBorders>
            <w:shd w:val="clear" w:color="auto" w:fill="auto"/>
            <w:noWrap/>
            <w:vAlign w:val="center"/>
            <w:hideMark/>
          </w:tcPr>
          <w:p w:rsidR="00103DFF" w:rsidRDefault="00103DFF">
            <w:pPr>
              <w:rPr>
                <w:rFonts w:ascii="Calibri" w:hAnsi="Calibri" w:cs="Arial"/>
                <w:sz w:val="18"/>
                <w:szCs w:val="18"/>
              </w:rPr>
            </w:pPr>
          </w:p>
        </w:tc>
        <w:tc>
          <w:tcPr>
            <w:tcW w:w="455" w:type="dxa"/>
            <w:tcBorders>
              <w:top w:val="nil"/>
              <w:left w:val="nil"/>
              <w:bottom w:val="nil"/>
              <w:right w:val="nil"/>
            </w:tcBorders>
            <w:shd w:val="clear" w:color="auto" w:fill="auto"/>
            <w:noWrap/>
            <w:vAlign w:val="center"/>
            <w:hideMark/>
          </w:tcPr>
          <w:p w:rsidR="00103DFF" w:rsidRDefault="00103DFF">
            <w:pPr>
              <w:rPr>
                <w:rFonts w:ascii="Calibri" w:hAnsi="Calibri" w:cs="Arial"/>
                <w:sz w:val="18"/>
                <w:szCs w:val="18"/>
              </w:rPr>
            </w:pPr>
          </w:p>
        </w:tc>
        <w:tc>
          <w:tcPr>
            <w:tcW w:w="455" w:type="dxa"/>
            <w:tcBorders>
              <w:top w:val="nil"/>
              <w:left w:val="nil"/>
              <w:bottom w:val="nil"/>
              <w:right w:val="nil"/>
            </w:tcBorders>
            <w:shd w:val="clear" w:color="auto" w:fill="auto"/>
            <w:noWrap/>
            <w:vAlign w:val="center"/>
            <w:hideMark/>
          </w:tcPr>
          <w:p w:rsidR="00103DFF" w:rsidRDefault="00103DFF">
            <w:pPr>
              <w:rPr>
                <w:rFonts w:ascii="Calibri" w:hAnsi="Calibri" w:cs="Arial"/>
                <w:sz w:val="18"/>
                <w:szCs w:val="18"/>
              </w:rPr>
            </w:pPr>
          </w:p>
        </w:tc>
        <w:tc>
          <w:tcPr>
            <w:tcW w:w="455" w:type="dxa"/>
            <w:tcBorders>
              <w:top w:val="nil"/>
              <w:left w:val="nil"/>
              <w:bottom w:val="nil"/>
              <w:right w:val="nil"/>
            </w:tcBorders>
            <w:shd w:val="clear" w:color="auto" w:fill="auto"/>
            <w:noWrap/>
            <w:vAlign w:val="center"/>
            <w:hideMark/>
          </w:tcPr>
          <w:p w:rsidR="00103DFF" w:rsidRDefault="00103DFF">
            <w:pPr>
              <w:rPr>
                <w:rFonts w:ascii="Calibri" w:hAnsi="Calibri" w:cs="Arial"/>
                <w:sz w:val="18"/>
                <w:szCs w:val="18"/>
              </w:rPr>
            </w:pPr>
          </w:p>
        </w:tc>
        <w:tc>
          <w:tcPr>
            <w:tcW w:w="455" w:type="dxa"/>
            <w:tcBorders>
              <w:top w:val="nil"/>
              <w:left w:val="nil"/>
              <w:bottom w:val="nil"/>
              <w:right w:val="nil"/>
            </w:tcBorders>
            <w:shd w:val="clear" w:color="auto" w:fill="auto"/>
            <w:noWrap/>
            <w:vAlign w:val="center"/>
            <w:hideMark/>
          </w:tcPr>
          <w:p w:rsidR="00103DFF" w:rsidRDefault="00103DFF">
            <w:pPr>
              <w:rPr>
                <w:rFonts w:ascii="Calibri" w:hAnsi="Calibri" w:cs="Arial"/>
                <w:sz w:val="18"/>
                <w:szCs w:val="18"/>
              </w:rPr>
            </w:pPr>
          </w:p>
        </w:tc>
        <w:tc>
          <w:tcPr>
            <w:tcW w:w="455" w:type="dxa"/>
            <w:tcBorders>
              <w:top w:val="nil"/>
              <w:left w:val="nil"/>
              <w:bottom w:val="nil"/>
              <w:right w:val="nil"/>
            </w:tcBorders>
            <w:shd w:val="clear" w:color="auto" w:fill="auto"/>
            <w:noWrap/>
            <w:vAlign w:val="center"/>
            <w:hideMark/>
          </w:tcPr>
          <w:p w:rsidR="00103DFF" w:rsidRDefault="00103DFF">
            <w:pPr>
              <w:rPr>
                <w:rFonts w:ascii="Calibri" w:hAnsi="Calibri" w:cs="Arial"/>
                <w:sz w:val="18"/>
                <w:szCs w:val="18"/>
              </w:rPr>
            </w:pPr>
          </w:p>
        </w:tc>
        <w:tc>
          <w:tcPr>
            <w:tcW w:w="3030" w:type="dxa"/>
            <w:tcBorders>
              <w:top w:val="nil"/>
              <w:left w:val="nil"/>
              <w:bottom w:val="nil"/>
              <w:right w:val="single" w:sz="8" w:space="0" w:color="auto"/>
            </w:tcBorders>
            <w:shd w:val="clear" w:color="auto" w:fill="auto"/>
            <w:vAlign w:val="center"/>
            <w:hideMark/>
          </w:tcPr>
          <w:p w:rsidR="00103DFF" w:rsidRDefault="00103DFF">
            <w:pPr>
              <w:rPr>
                <w:rFonts w:ascii="Calibri" w:hAnsi="Calibri" w:cs="Arial"/>
                <w:sz w:val="16"/>
                <w:szCs w:val="16"/>
              </w:rPr>
            </w:pPr>
            <w:r>
              <w:rPr>
                <w:rFonts w:ascii="Calibri" w:hAnsi="Calibri" w:cs="Arial"/>
                <w:sz w:val="16"/>
                <w:szCs w:val="16"/>
              </w:rPr>
              <w:t> </w:t>
            </w:r>
          </w:p>
        </w:tc>
      </w:tr>
      <w:tr w:rsidR="00103DFF" w:rsidTr="00FA66D1">
        <w:trPr>
          <w:trHeight w:val="255"/>
        </w:trPr>
        <w:tc>
          <w:tcPr>
            <w:tcW w:w="262" w:type="dxa"/>
            <w:tcBorders>
              <w:top w:val="nil"/>
              <w:left w:val="single" w:sz="8" w:space="0" w:color="auto"/>
              <w:bottom w:val="single" w:sz="4" w:space="0" w:color="auto"/>
              <w:right w:val="nil"/>
            </w:tcBorders>
            <w:shd w:val="clear" w:color="auto" w:fill="auto"/>
            <w:noWrap/>
            <w:vAlign w:val="center"/>
            <w:hideMark/>
          </w:tcPr>
          <w:p w:rsidR="00103DFF" w:rsidRDefault="00103DFF">
            <w:pPr>
              <w:rPr>
                <w:rFonts w:ascii="Calibri" w:hAnsi="Calibri" w:cs="Arial"/>
                <w:b/>
                <w:bCs/>
                <w:sz w:val="20"/>
                <w:szCs w:val="20"/>
              </w:rPr>
            </w:pPr>
            <w:r>
              <w:rPr>
                <w:rFonts w:ascii="Calibri" w:hAnsi="Calibri" w:cs="Arial"/>
                <w:b/>
                <w:bCs/>
                <w:sz w:val="20"/>
                <w:szCs w:val="20"/>
              </w:rPr>
              <w:t> </w:t>
            </w:r>
          </w:p>
        </w:tc>
        <w:tc>
          <w:tcPr>
            <w:tcW w:w="357" w:type="dxa"/>
            <w:tcBorders>
              <w:top w:val="nil"/>
              <w:left w:val="nil"/>
              <w:bottom w:val="single" w:sz="4" w:space="0" w:color="auto"/>
              <w:right w:val="nil"/>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227" w:type="dxa"/>
            <w:tcBorders>
              <w:top w:val="nil"/>
              <w:left w:val="nil"/>
              <w:bottom w:val="single" w:sz="4" w:space="0" w:color="auto"/>
              <w:right w:val="single" w:sz="4" w:space="0" w:color="auto"/>
            </w:tcBorders>
            <w:shd w:val="clear" w:color="auto" w:fill="auto"/>
            <w:vAlign w:val="bottom"/>
            <w:hideMark/>
          </w:tcPr>
          <w:p w:rsidR="00103DFF" w:rsidRDefault="00103DFF">
            <w:pPr>
              <w:jc w:val="right"/>
              <w:rPr>
                <w:rFonts w:ascii="Calibri" w:hAnsi="Calibri" w:cs="Arial"/>
                <w:sz w:val="16"/>
                <w:szCs w:val="16"/>
              </w:rPr>
            </w:pPr>
            <w:r>
              <w:rPr>
                <w:rFonts w:ascii="Calibri" w:hAnsi="Calibri" w:cs="Arial"/>
                <w:sz w:val="16"/>
                <w:szCs w:val="16"/>
              </w:rPr>
              <w:t>Broadband development consultant</w:t>
            </w:r>
          </w:p>
        </w:tc>
        <w:tc>
          <w:tcPr>
            <w:tcW w:w="455" w:type="dxa"/>
            <w:tcBorders>
              <w:top w:val="nil"/>
              <w:left w:val="nil"/>
              <w:bottom w:val="single" w:sz="4" w:space="0" w:color="auto"/>
              <w:right w:val="single" w:sz="4" w:space="0" w:color="auto"/>
            </w:tcBorders>
            <w:shd w:val="clear" w:color="000000" w:fill="3366FF"/>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nil"/>
              <w:right w:val="nil"/>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nil"/>
              <w:right w:val="nil"/>
            </w:tcBorders>
            <w:shd w:val="clear" w:color="auto" w:fill="auto"/>
            <w:noWrap/>
            <w:vAlign w:val="center"/>
            <w:hideMark/>
          </w:tcPr>
          <w:p w:rsidR="00103DFF" w:rsidRDefault="00103DFF">
            <w:pPr>
              <w:rPr>
                <w:rFonts w:ascii="Calibri" w:hAnsi="Calibri" w:cs="Arial"/>
                <w:sz w:val="18"/>
                <w:szCs w:val="18"/>
              </w:rPr>
            </w:pPr>
          </w:p>
        </w:tc>
        <w:tc>
          <w:tcPr>
            <w:tcW w:w="455" w:type="dxa"/>
            <w:tcBorders>
              <w:top w:val="nil"/>
              <w:left w:val="nil"/>
              <w:bottom w:val="nil"/>
              <w:right w:val="nil"/>
            </w:tcBorders>
            <w:shd w:val="clear" w:color="auto" w:fill="auto"/>
            <w:noWrap/>
            <w:vAlign w:val="center"/>
            <w:hideMark/>
          </w:tcPr>
          <w:p w:rsidR="00103DFF" w:rsidRDefault="00103DFF">
            <w:pPr>
              <w:rPr>
                <w:rFonts w:ascii="Calibri" w:hAnsi="Calibri" w:cs="Arial"/>
                <w:sz w:val="18"/>
                <w:szCs w:val="18"/>
              </w:rPr>
            </w:pPr>
          </w:p>
        </w:tc>
        <w:tc>
          <w:tcPr>
            <w:tcW w:w="455" w:type="dxa"/>
            <w:tcBorders>
              <w:top w:val="nil"/>
              <w:left w:val="nil"/>
              <w:bottom w:val="nil"/>
              <w:right w:val="nil"/>
            </w:tcBorders>
            <w:shd w:val="clear" w:color="auto" w:fill="auto"/>
            <w:noWrap/>
            <w:vAlign w:val="center"/>
            <w:hideMark/>
          </w:tcPr>
          <w:p w:rsidR="00103DFF" w:rsidRDefault="00103DFF">
            <w:pPr>
              <w:rPr>
                <w:rFonts w:ascii="Calibri" w:hAnsi="Calibri" w:cs="Arial"/>
                <w:sz w:val="18"/>
                <w:szCs w:val="18"/>
              </w:rPr>
            </w:pPr>
          </w:p>
        </w:tc>
        <w:tc>
          <w:tcPr>
            <w:tcW w:w="455" w:type="dxa"/>
            <w:tcBorders>
              <w:top w:val="nil"/>
              <w:left w:val="nil"/>
              <w:bottom w:val="nil"/>
              <w:right w:val="nil"/>
            </w:tcBorders>
            <w:shd w:val="clear" w:color="auto" w:fill="auto"/>
            <w:noWrap/>
            <w:vAlign w:val="center"/>
            <w:hideMark/>
          </w:tcPr>
          <w:p w:rsidR="00103DFF" w:rsidRDefault="00103DFF">
            <w:pPr>
              <w:rPr>
                <w:rFonts w:ascii="Calibri" w:hAnsi="Calibri" w:cs="Arial"/>
                <w:sz w:val="18"/>
                <w:szCs w:val="18"/>
              </w:rPr>
            </w:pPr>
          </w:p>
        </w:tc>
        <w:tc>
          <w:tcPr>
            <w:tcW w:w="455" w:type="dxa"/>
            <w:tcBorders>
              <w:top w:val="nil"/>
              <w:left w:val="nil"/>
              <w:bottom w:val="nil"/>
              <w:right w:val="nil"/>
            </w:tcBorders>
            <w:shd w:val="clear" w:color="auto" w:fill="auto"/>
            <w:noWrap/>
            <w:vAlign w:val="center"/>
            <w:hideMark/>
          </w:tcPr>
          <w:p w:rsidR="00103DFF" w:rsidRDefault="00103DFF">
            <w:pPr>
              <w:rPr>
                <w:rFonts w:ascii="Calibri" w:hAnsi="Calibri" w:cs="Arial"/>
                <w:sz w:val="18"/>
                <w:szCs w:val="18"/>
              </w:rPr>
            </w:pPr>
          </w:p>
        </w:tc>
        <w:tc>
          <w:tcPr>
            <w:tcW w:w="455" w:type="dxa"/>
            <w:tcBorders>
              <w:top w:val="nil"/>
              <w:left w:val="nil"/>
              <w:bottom w:val="nil"/>
              <w:right w:val="nil"/>
            </w:tcBorders>
            <w:shd w:val="clear" w:color="auto" w:fill="auto"/>
            <w:noWrap/>
            <w:vAlign w:val="center"/>
            <w:hideMark/>
          </w:tcPr>
          <w:p w:rsidR="00103DFF" w:rsidRDefault="00103DFF">
            <w:pPr>
              <w:rPr>
                <w:rFonts w:ascii="Calibri" w:hAnsi="Calibri" w:cs="Arial"/>
                <w:sz w:val="18"/>
                <w:szCs w:val="18"/>
              </w:rPr>
            </w:pPr>
          </w:p>
        </w:tc>
        <w:tc>
          <w:tcPr>
            <w:tcW w:w="3030" w:type="dxa"/>
            <w:tcBorders>
              <w:top w:val="nil"/>
              <w:left w:val="nil"/>
              <w:bottom w:val="nil"/>
              <w:right w:val="single" w:sz="8" w:space="0" w:color="auto"/>
            </w:tcBorders>
            <w:shd w:val="clear" w:color="auto" w:fill="auto"/>
            <w:vAlign w:val="center"/>
            <w:hideMark/>
          </w:tcPr>
          <w:p w:rsidR="00103DFF" w:rsidRDefault="00103DFF">
            <w:pPr>
              <w:rPr>
                <w:rFonts w:ascii="Calibri" w:hAnsi="Calibri" w:cs="Arial"/>
                <w:sz w:val="16"/>
                <w:szCs w:val="16"/>
              </w:rPr>
            </w:pPr>
            <w:r>
              <w:rPr>
                <w:rFonts w:ascii="Calibri" w:hAnsi="Calibri" w:cs="Arial"/>
                <w:sz w:val="16"/>
                <w:szCs w:val="16"/>
              </w:rPr>
              <w:t> </w:t>
            </w:r>
          </w:p>
        </w:tc>
      </w:tr>
      <w:tr w:rsidR="00103DFF" w:rsidTr="00FA66D1">
        <w:trPr>
          <w:trHeight w:val="255"/>
        </w:trPr>
        <w:tc>
          <w:tcPr>
            <w:tcW w:w="262" w:type="dxa"/>
            <w:tcBorders>
              <w:top w:val="nil"/>
              <w:left w:val="single" w:sz="8" w:space="0" w:color="auto"/>
              <w:bottom w:val="single" w:sz="4" w:space="0" w:color="auto"/>
              <w:right w:val="nil"/>
            </w:tcBorders>
            <w:shd w:val="clear" w:color="auto" w:fill="auto"/>
            <w:noWrap/>
            <w:vAlign w:val="center"/>
            <w:hideMark/>
          </w:tcPr>
          <w:p w:rsidR="00103DFF" w:rsidRDefault="00103DFF">
            <w:pPr>
              <w:rPr>
                <w:rFonts w:ascii="Calibri" w:hAnsi="Calibri" w:cs="Arial"/>
                <w:b/>
                <w:bCs/>
                <w:sz w:val="20"/>
                <w:szCs w:val="20"/>
              </w:rPr>
            </w:pPr>
            <w:r>
              <w:rPr>
                <w:rFonts w:ascii="Calibri" w:hAnsi="Calibri" w:cs="Arial"/>
                <w:b/>
                <w:bCs/>
                <w:sz w:val="20"/>
                <w:szCs w:val="20"/>
              </w:rPr>
              <w:t> </w:t>
            </w:r>
          </w:p>
        </w:tc>
        <w:tc>
          <w:tcPr>
            <w:tcW w:w="357" w:type="dxa"/>
            <w:tcBorders>
              <w:top w:val="nil"/>
              <w:left w:val="nil"/>
              <w:bottom w:val="single" w:sz="4" w:space="0" w:color="auto"/>
              <w:right w:val="nil"/>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227" w:type="dxa"/>
            <w:tcBorders>
              <w:top w:val="nil"/>
              <w:left w:val="nil"/>
              <w:bottom w:val="single" w:sz="4" w:space="0" w:color="auto"/>
              <w:right w:val="single" w:sz="4" w:space="0" w:color="auto"/>
            </w:tcBorders>
            <w:shd w:val="clear" w:color="auto" w:fill="auto"/>
            <w:vAlign w:val="bottom"/>
            <w:hideMark/>
          </w:tcPr>
          <w:p w:rsidR="00103DFF" w:rsidRDefault="00103DFF">
            <w:pPr>
              <w:jc w:val="right"/>
              <w:rPr>
                <w:rFonts w:ascii="Calibri" w:hAnsi="Calibri" w:cs="Arial"/>
                <w:sz w:val="16"/>
                <w:szCs w:val="16"/>
              </w:rPr>
            </w:pPr>
            <w:r>
              <w:rPr>
                <w:rFonts w:ascii="Calibri" w:hAnsi="Calibri" w:cs="Arial"/>
                <w:sz w:val="16"/>
                <w:szCs w:val="16"/>
              </w:rPr>
              <w:t>GIS analyst</w:t>
            </w:r>
          </w:p>
        </w:tc>
        <w:tc>
          <w:tcPr>
            <w:tcW w:w="455" w:type="dxa"/>
            <w:tcBorders>
              <w:top w:val="nil"/>
              <w:left w:val="nil"/>
              <w:bottom w:val="single" w:sz="4" w:space="0" w:color="auto"/>
              <w:right w:val="single" w:sz="4" w:space="0" w:color="auto"/>
            </w:tcBorders>
            <w:shd w:val="clear" w:color="000000" w:fill="339966"/>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nil"/>
              <w:right w:val="nil"/>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nil"/>
              <w:right w:val="nil"/>
            </w:tcBorders>
            <w:shd w:val="clear" w:color="auto" w:fill="auto"/>
            <w:noWrap/>
            <w:vAlign w:val="center"/>
            <w:hideMark/>
          </w:tcPr>
          <w:p w:rsidR="00103DFF" w:rsidRDefault="00103DFF">
            <w:pPr>
              <w:rPr>
                <w:rFonts w:ascii="Calibri" w:hAnsi="Calibri" w:cs="Arial"/>
                <w:sz w:val="18"/>
                <w:szCs w:val="18"/>
              </w:rPr>
            </w:pPr>
          </w:p>
        </w:tc>
        <w:tc>
          <w:tcPr>
            <w:tcW w:w="455" w:type="dxa"/>
            <w:tcBorders>
              <w:top w:val="nil"/>
              <w:left w:val="nil"/>
              <w:bottom w:val="nil"/>
              <w:right w:val="nil"/>
            </w:tcBorders>
            <w:shd w:val="clear" w:color="auto" w:fill="auto"/>
            <w:noWrap/>
            <w:vAlign w:val="center"/>
            <w:hideMark/>
          </w:tcPr>
          <w:p w:rsidR="00103DFF" w:rsidRDefault="00103DFF">
            <w:pPr>
              <w:rPr>
                <w:rFonts w:ascii="Calibri" w:hAnsi="Calibri" w:cs="Arial"/>
                <w:sz w:val="18"/>
                <w:szCs w:val="18"/>
              </w:rPr>
            </w:pPr>
          </w:p>
        </w:tc>
        <w:tc>
          <w:tcPr>
            <w:tcW w:w="455" w:type="dxa"/>
            <w:tcBorders>
              <w:top w:val="nil"/>
              <w:left w:val="nil"/>
              <w:bottom w:val="nil"/>
              <w:right w:val="nil"/>
            </w:tcBorders>
            <w:shd w:val="clear" w:color="auto" w:fill="auto"/>
            <w:noWrap/>
            <w:vAlign w:val="center"/>
            <w:hideMark/>
          </w:tcPr>
          <w:p w:rsidR="00103DFF" w:rsidRDefault="00103DFF">
            <w:pPr>
              <w:rPr>
                <w:rFonts w:ascii="Calibri" w:hAnsi="Calibri" w:cs="Arial"/>
                <w:sz w:val="18"/>
                <w:szCs w:val="18"/>
              </w:rPr>
            </w:pPr>
          </w:p>
        </w:tc>
        <w:tc>
          <w:tcPr>
            <w:tcW w:w="455" w:type="dxa"/>
            <w:tcBorders>
              <w:top w:val="nil"/>
              <w:left w:val="nil"/>
              <w:bottom w:val="nil"/>
              <w:right w:val="nil"/>
            </w:tcBorders>
            <w:shd w:val="clear" w:color="auto" w:fill="auto"/>
            <w:noWrap/>
            <w:vAlign w:val="center"/>
            <w:hideMark/>
          </w:tcPr>
          <w:p w:rsidR="00103DFF" w:rsidRDefault="00103DFF">
            <w:pPr>
              <w:rPr>
                <w:rFonts w:ascii="Calibri" w:hAnsi="Calibri" w:cs="Arial"/>
                <w:sz w:val="18"/>
                <w:szCs w:val="18"/>
              </w:rPr>
            </w:pPr>
          </w:p>
        </w:tc>
        <w:tc>
          <w:tcPr>
            <w:tcW w:w="455" w:type="dxa"/>
            <w:tcBorders>
              <w:top w:val="nil"/>
              <w:left w:val="nil"/>
              <w:bottom w:val="nil"/>
              <w:right w:val="nil"/>
            </w:tcBorders>
            <w:shd w:val="clear" w:color="auto" w:fill="auto"/>
            <w:noWrap/>
            <w:vAlign w:val="center"/>
            <w:hideMark/>
          </w:tcPr>
          <w:p w:rsidR="00103DFF" w:rsidRDefault="00103DFF">
            <w:pPr>
              <w:rPr>
                <w:rFonts w:ascii="Calibri" w:hAnsi="Calibri" w:cs="Arial"/>
                <w:sz w:val="18"/>
                <w:szCs w:val="18"/>
              </w:rPr>
            </w:pPr>
          </w:p>
        </w:tc>
        <w:tc>
          <w:tcPr>
            <w:tcW w:w="455" w:type="dxa"/>
            <w:tcBorders>
              <w:top w:val="nil"/>
              <w:left w:val="nil"/>
              <w:bottom w:val="nil"/>
              <w:right w:val="nil"/>
            </w:tcBorders>
            <w:shd w:val="clear" w:color="auto" w:fill="auto"/>
            <w:noWrap/>
            <w:vAlign w:val="center"/>
            <w:hideMark/>
          </w:tcPr>
          <w:p w:rsidR="00103DFF" w:rsidRDefault="00103DFF">
            <w:pPr>
              <w:rPr>
                <w:rFonts w:ascii="Calibri" w:hAnsi="Calibri" w:cs="Arial"/>
                <w:sz w:val="18"/>
                <w:szCs w:val="18"/>
              </w:rPr>
            </w:pPr>
          </w:p>
        </w:tc>
        <w:tc>
          <w:tcPr>
            <w:tcW w:w="3030" w:type="dxa"/>
            <w:tcBorders>
              <w:top w:val="nil"/>
              <w:left w:val="nil"/>
              <w:bottom w:val="nil"/>
              <w:right w:val="single" w:sz="8" w:space="0" w:color="auto"/>
            </w:tcBorders>
            <w:shd w:val="clear" w:color="auto" w:fill="auto"/>
            <w:vAlign w:val="center"/>
            <w:hideMark/>
          </w:tcPr>
          <w:p w:rsidR="00103DFF" w:rsidRDefault="00103DFF">
            <w:pPr>
              <w:rPr>
                <w:rFonts w:ascii="Calibri" w:hAnsi="Calibri" w:cs="Arial"/>
                <w:sz w:val="16"/>
                <w:szCs w:val="16"/>
              </w:rPr>
            </w:pPr>
            <w:r>
              <w:rPr>
                <w:rFonts w:ascii="Calibri" w:hAnsi="Calibri" w:cs="Arial"/>
                <w:sz w:val="16"/>
                <w:szCs w:val="16"/>
              </w:rPr>
              <w:t> </w:t>
            </w:r>
          </w:p>
        </w:tc>
      </w:tr>
      <w:tr w:rsidR="00103DFF" w:rsidTr="00FA66D1">
        <w:trPr>
          <w:trHeight w:val="270"/>
        </w:trPr>
        <w:tc>
          <w:tcPr>
            <w:tcW w:w="262" w:type="dxa"/>
            <w:tcBorders>
              <w:top w:val="nil"/>
              <w:left w:val="single" w:sz="8" w:space="0" w:color="auto"/>
              <w:bottom w:val="single" w:sz="4" w:space="0" w:color="auto"/>
              <w:right w:val="nil"/>
            </w:tcBorders>
            <w:shd w:val="clear" w:color="auto" w:fill="auto"/>
            <w:noWrap/>
            <w:vAlign w:val="center"/>
            <w:hideMark/>
          </w:tcPr>
          <w:p w:rsidR="00103DFF" w:rsidRDefault="00103DFF">
            <w:pPr>
              <w:rPr>
                <w:rFonts w:ascii="Calibri" w:hAnsi="Calibri" w:cs="Arial"/>
                <w:b/>
                <w:bCs/>
                <w:sz w:val="20"/>
                <w:szCs w:val="20"/>
              </w:rPr>
            </w:pPr>
            <w:r>
              <w:rPr>
                <w:rFonts w:ascii="Calibri" w:hAnsi="Calibri" w:cs="Arial"/>
                <w:b/>
                <w:bCs/>
                <w:sz w:val="20"/>
                <w:szCs w:val="20"/>
              </w:rPr>
              <w:t> </w:t>
            </w:r>
          </w:p>
        </w:tc>
        <w:tc>
          <w:tcPr>
            <w:tcW w:w="357" w:type="dxa"/>
            <w:tcBorders>
              <w:top w:val="nil"/>
              <w:left w:val="nil"/>
              <w:bottom w:val="single" w:sz="4" w:space="0" w:color="auto"/>
              <w:right w:val="nil"/>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227" w:type="dxa"/>
            <w:tcBorders>
              <w:top w:val="nil"/>
              <w:left w:val="nil"/>
              <w:bottom w:val="single" w:sz="4" w:space="0" w:color="auto"/>
              <w:right w:val="single" w:sz="4" w:space="0" w:color="auto"/>
            </w:tcBorders>
            <w:shd w:val="clear" w:color="auto" w:fill="auto"/>
            <w:vAlign w:val="bottom"/>
            <w:hideMark/>
          </w:tcPr>
          <w:p w:rsidR="00103DFF" w:rsidRDefault="00103DFF">
            <w:pPr>
              <w:jc w:val="right"/>
              <w:rPr>
                <w:rFonts w:ascii="Calibri" w:hAnsi="Calibri" w:cs="Arial"/>
                <w:sz w:val="16"/>
                <w:szCs w:val="16"/>
              </w:rPr>
            </w:pPr>
            <w:r>
              <w:rPr>
                <w:rFonts w:ascii="Calibri" w:hAnsi="Calibri" w:cs="Arial"/>
                <w:sz w:val="16"/>
                <w:szCs w:val="16"/>
              </w:rPr>
              <w:t>Civil Engineer</w:t>
            </w:r>
          </w:p>
        </w:tc>
        <w:tc>
          <w:tcPr>
            <w:tcW w:w="455" w:type="dxa"/>
            <w:tcBorders>
              <w:top w:val="nil"/>
              <w:left w:val="nil"/>
              <w:bottom w:val="single" w:sz="4" w:space="0" w:color="auto"/>
              <w:right w:val="single" w:sz="4" w:space="0" w:color="auto"/>
            </w:tcBorders>
            <w:shd w:val="clear" w:color="000000" w:fill="FFFF00"/>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nil"/>
              <w:right w:val="nil"/>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nil"/>
              <w:right w:val="nil"/>
            </w:tcBorders>
            <w:shd w:val="clear" w:color="auto" w:fill="auto"/>
            <w:noWrap/>
            <w:vAlign w:val="center"/>
            <w:hideMark/>
          </w:tcPr>
          <w:p w:rsidR="00103DFF" w:rsidRDefault="00103DFF">
            <w:pPr>
              <w:rPr>
                <w:rFonts w:ascii="Calibri" w:hAnsi="Calibri" w:cs="Arial"/>
                <w:sz w:val="18"/>
                <w:szCs w:val="18"/>
              </w:rPr>
            </w:pPr>
          </w:p>
        </w:tc>
        <w:tc>
          <w:tcPr>
            <w:tcW w:w="455" w:type="dxa"/>
            <w:tcBorders>
              <w:top w:val="nil"/>
              <w:left w:val="nil"/>
              <w:bottom w:val="nil"/>
              <w:right w:val="nil"/>
            </w:tcBorders>
            <w:shd w:val="clear" w:color="auto" w:fill="auto"/>
            <w:noWrap/>
            <w:vAlign w:val="center"/>
            <w:hideMark/>
          </w:tcPr>
          <w:p w:rsidR="00103DFF" w:rsidRDefault="00103DFF">
            <w:pPr>
              <w:rPr>
                <w:rFonts w:ascii="Calibri" w:hAnsi="Calibri" w:cs="Arial"/>
                <w:sz w:val="18"/>
                <w:szCs w:val="18"/>
              </w:rPr>
            </w:pPr>
          </w:p>
        </w:tc>
        <w:tc>
          <w:tcPr>
            <w:tcW w:w="455" w:type="dxa"/>
            <w:tcBorders>
              <w:top w:val="nil"/>
              <w:left w:val="nil"/>
              <w:bottom w:val="nil"/>
              <w:right w:val="nil"/>
            </w:tcBorders>
            <w:shd w:val="clear" w:color="auto" w:fill="auto"/>
            <w:noWrap/>
            <w:vAlign w:val="center"/>
            <w:hideMark/>
          </w:tcPr>
          <w:p w:rsidR="00103DFF" w:rsidRDefault="00103DFF">
            <w:pPr>
              <w:rPr>
                <w:rFonts w:ascii="Calibri" w:hAnsi="Calibri" w:cs="Arial"/>
                <w:sz w:val="18"/>
                <w:szCs w:val="18"/>
              </w:rPr>
            </w:pPr>
          </w:p>
        </w:tc>
        <w:tc>
          <w:tcPr>
            <w:tcW w:w="455" w:type="dxa"/>
            <w:tcBorders>
              <w:top w:val="nil"/>
              <w:left w:val="nil"/>
              <w:bottom w:val="nil"/>
              <w:right w:val="nil"/>
            </w:tcBorders>
            <w:shd w:val="clear" w:color="auto" w:fill="auto"/>
            <w:noWrap/>
            <w:vAlign w:val="center"/>
            <w:hideMark/>
          </w:tcPr>
          <w:p w:rsidR="00103DFF" w:rsidRDefault="00103DFF">
            <w:pPr>
              <w:rPr>
                <w:rFonts w:ascii="Calibri" w:hAnsi="Calibri" w:cs="Arial"/>
                <w:sz w:val="18"/>
                <w:szCs w:val="18"/>
              </w:rPr>
            </w:pPr>
          </w:p>
        </w:tc>
        <w:tc>
          <w:tcPr>
            <w:tcW w:w="455" w:type="dxa"/>
            <w:tcBorders>
              <w:top w:val="nil"/>
              <w:left w:val="nil"/>
              <w:bottom w:val="nil"/>
              <w:right w:val="nil"/>
            </w:tcBorders>
            <w:shd w:val="clear" w:color="auto" w:fill="auto"/>
            <w:noWrap/>
            <w:vAlign w:val="center"/>
            <w:hideMark/>
          </w:tcPr>
          <w:p w:rsidR="00103DFF" w:rsidRDefault="00103DFF">
            <w:pPr>
              <w:rPr>
                <w:rFonts w:ascii="Calibri" w:hAnsi="Calibri" w:cs="Arial"/>
                <w:sz w:val="18"/>
                <w:szCs w:val="18"/>
              </w:rPr>
            </w:pPr>
          </w:p>
        </w:tc>
        <w:tc>
          <w:tcPr>
            <w:tcW w:w="455" w:type="dxa"/>
            <w:tcBorders>
              <w:top w:val="nil"/>
              <w:left w:val="nil"/>
              <w:bottom w:val="nil"/>
              <w:right w:val="nil"/>
            </w:tcBorders>
            <w:shd w:val="clear" w:color="auto" w:fill="auto"/>
            <w:noWrap/>
            <w:vAlign w:val="center"/>
            <w:hideMark/>
          </w:tcPr>
          <w:p w:rsidR="00103DFF" w:rsidRDefault="00103DFF">
            <w:pPr>
              <w:rPr>
                <w:rFonts w:ascii="Calibri" w:hAnsi="Calibri" w:cs="Arial"/>
                <w:sz w:val="18"/>
                <w:szCs w:val="18"/>
              </w:rPr>
            </w:pPr>
          </w:p>
        </w:tc>
        <w:tc>
          <w:tcPr>
            <w:tcW w:w="3030" w:type="dxa"/>
            <w:tcBorders>
              <w:top w:val="nil"/>
              <w:left w:val="nil"/>
              <w:bottom w:val="nil"/>
              <w:right w:val="single" w:sz="8" w:space="0" w:color="auto"/>
            </w:tcBorders>
            <w:shd w:val="clear" w:color="auto" w:fill="auto"/>
            <w:vAlign w:val="center"/>
            <w:hideMark/>
          </w:tcPr>
          <w:p w:rsidR="00103DFF" w:rsidRDefault="00103DFF">
            <w:pPr>
              <w:rPr>
                <w:rFonts w:ascii="Calibri" w:hAnsi="Calibri" w:cs="Arial"/>
                <w:sz w:val="16"/>
                <w:szCs w:val="16"/>
              </w:rPr>
            </w:pPr>
            <w:r>
              <w:rPr>
                <w:rFonts w:ascii="Calibri" w:hAnsi="Calibri" w:cs="Arial"/>
                <w:sz w:val="16"/>
                <w:szCs w:val="16"/>
              </w:rPr>
              <w:t> </w:t>
            </w:r>
          </w:p>
        </w:tc>
      </w:tr>
      <w:tr w:rsidR="00103DFF" w:rsidTr="00FA66D1">
        <w:trPr>
          <w:trHeight w:val="255"/>
        </w:trPr>
        <w:tc>
          <w:tcPr>
            <w:tcW w:w="4846"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103DFF" w:rsidRDefault="00103DFF">
            <w:pPr>
              <w:jc w:val="center"/>
              <w:rPr>
                <w:rFonts w:ascii="Calibri" w:hAnsi="Calibri" w:cs="Arial"/>
                <w:b/>
                <w:bCs/>
                <w:sz w:val="20"/>
                <w:szCs w:val="20"/>
              </w:rPr>
            </w:pPr>
            <w:r>
              <w:rPr>
                <w:rFonts w:ascii="Calibri" w:hAnsi="Calibri" w:cs="Arial"/>
                <w:b/>
                <w:bCs/>
                <w:sz w:val="20"/>
                <w:szCs w:val="20"/>
              </w:rPr>
              <w:t>Tahoe Basin Project Activities</w:t>
            </w:r>
          </w:p>
        </w:tc>
        <w:tc>
          <w:tcPr>
            <w:tcW w:w="1820" w:type="dxa"/>
            <w:gridSpan w:val="4"/>
            <w:tcBorders>
              <w:top w:val="single" w:sz="8" w:space="0" w:color="auto"/>
              <w:left w:val="nil"/>
              <w:bottom w:val="single" w:sz="4" w:space="0" w:color="auto"/>
              <w:right w:val="single" w:sz="8" w:space="0" w:color="000000"/>
            </w:tcBorders>
            <w:shd w:val="clear" w:color="auto" w:fill="auto"/>
            <w:noWrap/>
            <w:vAlign w:val="bottom"/>
            <w:hideMark/>
          </w:tcPr>
          <w:p w:rsidR="00103DFF" w:rsidRDefault="00103DFF">
            <w:pPr>
              <w:jc w:val="center"/>
              <w:rPr>
                <w:rFonts w:ascii="Calibri" w:hAnsi="Calibri" w:cs="Arial"/>
                <w:b/>
                <w:bCs/>
                <w:sz w:val="20"/>
                <w:szCs w:val="20"/>
              </w:rPr>
            </w:pPr>
            <w:r>
              <w:rPr>
                <w:rFonts w:ascii="Calibri" w:hAnsi="Calibri" w:cs="Arial"/>
                <w:b/>
                <w:bCs/>
                <w:sz w:val="20"/>
                <w:szCs w:val="20"/>
              </w:rPr>
              <w:t>Year 1</w:t>
            </w:r>
          </w:p>
        </w:tc>
        <w:tc>
          <w:tcPr>
            <w:tcW w:w="1820" w:type="dxa"/>
            <w:gridSpan w:val="4"/>
            <w:tcBorders>
              <w:top w:val="single" w:sz="8" w:space="0" w:color="auto"/>
              <w:left w:val="nil"/>
              <w:bottom w:val="single" w:sz="4" w:space="0" w:color="auto"/>
              <w:right w:val="single" w:sz="8" w:space="0" w:color="000000"/>
            </w:tcBorders>
            <w:shd w:val="clear" w:color="auto" w:fill="auto"/>
            <w:noWrap/>
            <w:vAlign w:val="center"/>
            <w:hideMark/>
          </w:tcPr>
          <w:p w:rsidR="00103DFF" w:rsidRDefault="00103DFF">
            <w:pPr>
              <w:jc w:val="center"/>
              <w:rPr>
                <w:rFonts w:ascii="Calibri" w:hAnsi="Calibri" w:cs="Arial"/>
                <w:b/>
                <w:bCs/>
                <w:sz w:val="20"/>
                <w:szCs w:val="20"/>
              </w:rPr>
            </w:pPr>
            <w:r>
              <w:rPr>
                <w:rFonts w:ascii="Calibri" w:hAnsi="Calibri" w:cs="Arial"/>
                <w:b/>
                <w:bCs/>
                <w:sz w:val="20"/>
                <w:szCs w:val="20"/>
              </w:rPr>
              <w:t>Year 2</w:t>
            </w:r>
          </w:p>
        </w:tc>
        <w:tc>
          <w:tcPr>
            <w:tcW w:w="3030" w:type="dxa"/>
            <w:vMerge w:val="restart"/>
            <w:tcBorders>
              <w:top w:val="single" w:sz="8" w:space="0" w:color="auto"/>
              <w:left w:val="nil"/>
              <w:bottom w:val="single" w:sz="8" w:space="0" w:color="000000"/>
              <w:right w:val="single" w:sz="8" w:space="0" w:color="auto"/>
            </w:tcBorders>
            <w:shd w:val="clear" w:color="auto" w:fill="auto"/>
            <w:vAlign w:val="center"/>
            <w:hideMark/>
          </w:tcPr>
          <w:p w:rsidR="00103DFF" w:rsidRDefault="00103DFF">
            <w:pPr>
              <w:jc w:val="center"/>
              <w:rPr>
                <w:rFonts w:ascii="Calibri" w:hAnsi="Calibri" w:cs="Arial"/>
                <w:b/>
                <w:bCs/>
                <w:sz w:val="20"/>
                <w:szCs w:val="20"/>
              </w:rPr>
            </w:pPr>
            <w:r>
              <w:rPr>
                <w:rFonts w:ascii="Calibri" w:hAnsi="Calibri" w:cs="Arial"/>
                <w:b/>
                <w:bCs/>
                <w:sz w:val="20"/>
                <w:szCs w:val="20"/>
              </w:rPr>
              <w:t>Deliverables and Performance Measures</w:t>
            </w:r>
          </w:p>
        </w:tc>
      </w:tr>
      <w:tr w:rsidR="00103DFF" w:rsidTr="00FA66D1">
        <w:trPr>
          <w:trHeight w:val="270"/>
        </w:trPr>
        <w:tc>
          <w:tcPr>
            <w:tcW w:w="4846" w:type="dxa"/>
            <w:gridSpan w:val="3"/>
            <w:vMerge/>
            <w:tcBorders>
              <w:top w:val="single" w:sz="8" w:space="0" w:color="auto"/>
              <w:left w:val="single" w:sz="8" w:space="0" w:color="auto"/>
              <w:bottom w:val="single" w:sz="8" w:space="0" w:color="000000"/>
              <w:right w:val="single" w:sz="8" w:space="0" w:color="000000"/>
            </w:tcBorders>
            <w:vAlign w:val="center"/>
            <w:hideMark/>
          </w:tcPr>
          <w:p w:rsidR="00103DFF" w:rsidRDefault="00103DFF">
            <w:pPr>
              <w:rPr>
                <w:rFonts w:ascii="Calibri" w:hAnsi="Calibri" w:cs="Arial"/>
                <w:b/>
                <w:bCs/>
                <w:sz w:val="20"/>
                <w:szCs w:val="20"/>
              </w:rPr>
            </w:pPr>
          </w:p>
        </w:tc>
        <w:tc>
          <w:tcPr>
            <w:tcW w:w="455" w:type="dxa"/>
            <w:tcBorders>
              <w:top w:val="nil"/>
              <w:left w:val="nil"/>
              <w:bottom w:val="single" w:sz="8" w:space="0" w:color="auto"/>
              <w:right w:val="single" w:sz="4" w:space="0" w:color="auto"/>
            </w:tcBorders>
            <w:shd w:val="clear" w:color="auto" w:fill="auto"/>
            <w:vAlign w:val="bottom"/>
            <w:hideMark/>
          </w:tcPr>
          <w:p w:rsidR="00103DFF" w:rsidRDefault="00103DFF">
            <w:pPr>
              <w:jc w:val="center"/>
              <w:rPr>
                <w:rFonts w:ascii="Calibri" w:hAnsi="Calibri" w:cs="Arial"/>
                <w:b/>
                <w:bCs/>
                <w:sz w:val="20"/>
                <w:szCs w:val="20"/>
              </w:rPr>
            </w:pPr>
            <w:r>
              <w:rPr>
                <w:rFonts w:ascii="Calibri" w:hAnsi="Calibri" w:cs="Arial"/>
                <w:b/>
                <w:bCs/>
                <w:sz w:val="20"/>
                <w:szCs w:val="20"/>
              </w:rPr>
              <w:t>Q1</w:t>
            </w:r>
          </w:p>
        </w:tc>
        <w:tc>
          <w:tcPr>
            <w:tcW w:w="455" w:type="dxa"/>
            <w:tcBorders>
              <w:top w:val="nil"/>
              <w:left w:val="nil"/>
              <w:bottom w:val="single" w:sz="8" w:space="0" w:color="auto"/>
              <w:right w:val="single" w:sz="4" w:space="0" w:color="auto"/>
            </w:tcBorders>
            <w:shd w:val="clear" w:color="auto" w:fill="auto"/>
            <w:vAlign w:val="bottom"/>
            <w:hideMark/>
          </w:tcPr>
          <w:p w:rsidR="00103DFF" w:rsidRDefault="00103DFF">
            <w:pPr>
              <w:jc w:val="center"/>
              <w:rPr>
                <w:rFonts w:ascii="Calibri" w:hAnsi="Calibri" w:cs="Arial"/>
                <w:b/>
                <w:bCs/>
                <w:sz w:val="20"/>
                <w:szCs w:val="20"/>
              </w:rPr>
            </w:pPr>
            <w:r>
              <w:rPr>
                <w:rFonts w:ascii="Calibri" w:hAnsi="Calibri" w:cs="Arial"/>
                <w:b/>
                <w:bCs/>
                <w:sz w:val="20"/>
                <w:szCs w:val="20"/>
              </w:rPr>
              <w:t>Q2</w:t>
            </w:r>
          </w:p>
        </w:tc>
        <w:tc>
          <w:tcPr>
            <w:tcW w:w="455" w:type="dxa"/>
            <w:tcBorders>
              <w:top w:val="nil"/>
              <w:left w:val="nil"/>
              <w:bottom w:val="single" w:sz="8" w:space="0" w:color="auto"/>
              <w:right w:val="single" w:sz="4" w:space="0" w:color="auto"/>
            </w:tcBorders>
            <w:shd w:val="clear" w:color="auto" w:fill="auto"/>
            <w:vAlign w:val="bottom"/>
            <w:hideMark/>
          </w:tcPr>
          <w:p w:rsidR="00103DFF" w:rsidRDefault="00103DFF">
            <w:pPr>
              <w:jc w:val="center"/>
              <w:rPr>
                <w:rFonts w:ascii="Calibri" w:hAnsi="Calibri" w:cs="Arial"/>
                <w:b/>
                <w:bCs/>
                <w:sz w:val="20"/>
                <w:szCs w:val="20"/>
              </w:rPr>
            </w:pPr>
            <w:r>
              <w:rPr>
                <w:rFonts w:ascii="Calibri" w:hAnsi="Calibri" w:cs="Arial"/>
                <w:b/>
                <w:bCs/>
                <w:sz w:val="20"/>
                <w:szCs w:val="20"/>
              </w:rPr>
              <w:t>Q3</w:t>
            </w:r>
          </w:p>
        </w:tc>
        <w:tc>
          <w:tcPr>
            <w:tcW w:w="455" w:type="dxa"/>
            <w:tcBorders>
              <w:top w:val="nil"/>
              <w:left w:val="nil"/>
              <w:bottom w:val="single" w:sz="8" w:space="0" w:color="auto"/>
              <w:right w:val="single" w:sz="8" w:space="0" w:color="auto"/>
            </w:tcBorders>
            <w:shd w:val="clear" w:color="auto" w:fill="auto"/>
            <w:vAlign w:val="bottom"/>
            <w:hideMark/>
          </w:tcPr>
          <w:p w:rsidR="00103DFF" w:rsidRDefault="00103DFF">
            <w:pPr>
              <w:jc w:val="center"/>
              <w:rPr>
                <w:rFonts w:ascii="Calibri" w:hAnsi="Calibri" w:cs="Arial"/>
                <w:b/>
                <w:bCs/>
                <w:sz w:val="20"/>
                <w:szCs w:val="20"/>
              </w:rPr>
            </w:pPr>
            <w:r>
              <w:rPr>
                <w:rFonts w:ascii="Calibri" w:hAnsi="Calibri" w:cs="Arial"/>
                <w:b/>
                <w:bCs/>
                <w:sz w:val="20"/>
                <w:szCs w:val="20"/>
              </w:rPr>
              <w:t>Q4</w:t>
            </w:r>
          </w:p>
        </w:tc>
        <w:tc>
          <w:tcPr>
            <w:tcW w:w="455" w:type="dxa"/>
            <w:tcBorders>
              <w:top w:val="nil"/>
              <w:left w:val="nil"/>
              <w:bottom w:val="single" w:sz="8" w:space="0" w:color="auto"/>
              <w:right w:val="single" w:sz="4" w:space="0" w:color="auto"/>
            </w:tcBorders>
            <w:shd w:val="clear" w:color="auto" w:fill="auto"/>
            <w:vAlign w:val="bottom"/>
            <w:hideMark/>
          </w:tcPr>
          <w:p w:rsidR="00103DFF" w:rsidRDefault="00103DFF">
            <w:pPr>
              <w:jc w:val="center"/>
              <w:rPr>
                <w:rFonts w:ascii="Calibri" w:hAnsi="Calibri" w:cs="Arial"/>
                <w:b/>
                <w:bCs/>
                <w:sz w:val="20"/>
                <w:szCs w:val="20"/>
              </w:rPr>
            </w:pPr>
            <w:r>
              <w:rPr>
                <w:rFonts w:ascii="Calibri" w:hAnsi="Calibri" w:cs="Arial"/>
                <w:b/>
                <w:bCs/>
                <w:sz w:val="20"/>
                <w:szCs w:val="20"/>
              </w:rPr>
              <w:t>Q1</w:t>
            </w:r>
          </w:p>
        </w:tc>
        <w:tc>
          <w:tcPr>
            <w:tcW w:w="455" w:type="dxa"/>
            <w:tcBorders>
              <w:top w:val="nil"/>
              <w:left w:val="nil"/>
              <w:bottom w:val="single" w:sz="8" w:space="0" w:color="auto"/>
              <w:right w:val="single" w:sz="4" w:space="0" w:color="auto"/>
            </w:tcBorders>
            <w:shd w:val="clear" w:color="auto" w:fill="auto"/>
            <w:vAlign w:val="bottom"/>
            <w:hideMark/>
          </w:tcPr>
          <w:p w:rsidR="00103DFF" w:rsidRDefault="00103DFF">
            <w:pPr>
              <w:jc w:val="center"/>
              <w:rPr>
                <w:rFonts w:ascii="Calibri" w:hAnsi="Calibri" w:cs="Arial"/>
                <w:b/>
                <w:bCs/>
                <w:sz w:val="20"/>
                <w:szCs w:val="20"/>
              </w:rPr>
            </w:pPr>
            <w:r>
              <w:rPr>
                <w:rFonts w:ascii="Calibri" w:hAnsi="Calibri" w:cs="Arial"/>
                <w:b/>
                <w:bCs/>
                <w:sz w:val="20"/>
                <w:szCs w:val="20"/>
              </w:rPr>
              <w:t>Q2</w:t>
            </w:r>
          </w:p>
        </w:tc>
        <w:tc>
          <w:tcPr>
            <w:tcW w:w="455" w:type="dxa"/>
            <w:tcBorders>
              <w:top w:val="nil"/>
              <w:left w:val="nil"/>
              <w:bottom w:val="single" w:sz="8" w:space="0" w:color="auto"/>
              <w:right w:val="single" w:sz="4" w:space="0" w:color="auto"/>
            </w:tcBorders>
            <w:shd w:val="clear" w:color="auto" w:fill="auto"/>
            <w:vAlign w:val="bottom"/>
            <w:hideMark/>
          </w:tcPr>
          <w:p w:rsidR="00103DFF" w:rsidRDefault="00103DFF">
            <w:pPr>
              <w:jc w:val="center"/>
              <w:rPr>
                <w:rFonts w:ascii="Calibri" w:hAnsi="Calibri" w:cs="Arial"/>
                <w:b/>
                <w:bCs/>
                <w:sz w:val="20"/>
                <w:szCs w:val="20"/>
              </w:rPr>
            </w:pPr>
            <w:r>
              <w:rPr>
                <w:rFonts w:ascii="Calibri" w:hAnsi="Calibri" w:cs="Arial"/>
                <w:b/>
                <w:bCs/>
                <w:sz w:val="20"/>
                <w:szCs w:val="20"/>
              </w:rPr>
              <w:t>Q3</w:t>
            </w:r>
          </w:p>
        </w:tc>
        <w:tc>
          <w:tcPr>
            <w:tcW w:w="455" w:type="dxa"/>
            <w:tcBorders>
              <w:top w:val="nil"/>
              <w:left w:val="nil"/>
              <w:bottom w:val="single" w:sz="8" w:space="0" w:color="auto"/>
              <w:right w:val="single" w:sz="8" w:space="0" w:color="auto"/>
            </w:tcBorders>
            <w:shd w:val="clear" w:color="auto" w:fill="auto"/>
            <w:vAlign w:val="bottom"/>
            <w:hideMark/>
          </w:tcPr>
          <w:p w:rsidR="00103DFF" w:rsidRDefault="00103DFF">
            <w:pPr>
              <w:jc w:val="center"/>
              <w:rPr>
                <w:rFonts w:ascii="Calibri" w:hAnsi="Calibri" w:cs="Arial"/>
                <w:b/>
                <w:bCs/>
                <w:sz w:val="20"/>
                <w:szCs w:val="20"/>
              </w:rPr>
            </w:pPr>
            <w:r>
              <w:rPr>
                <w:rFonts w:ascii="Calibri" w:hAnsi="Calibri" w:cs="Arial"/>
                <w:b/>
                <w:bCs/>
                <w:sz w:val="20"/>
                <w:szCs w:val="20"/>
              </w:rPr>
              <w:t>Q4</w:t>
            </w:r>
          </w:p>
        </w:tc>
        <w:tc>
          <w:tcPr>
            <w:tcW w:w="3030" w:type="dxa"/>
            <w:vMerge/>
            <w:tcBorders>
              <w:top w:val="single" w:sz="8" w:space="0" w:color="auto"/>
              <w:left w:val="nil"/>
              <w:bottom w:val="single" w:sz="8" w:space="0" w:color="000000"/>
              <w:right w:val="single" w:sz="8" w:space="0" w:color="auto"/>
            </w:tcBorders>
            <w:vAlign w:val="center"/>
            <w:hideMark/>
          </w:tcPr>
          <w:p w:rsidR="00103DFF" w:rsidRDefault="00103DFF">
            <w:pPr>
              <w:rPr>
                <w:rFonts w:ascii="Calibri" w:hAnsi="Calibri" w:cs="Arial"/>
                <w:b/>
                <w:bCs/>
                <w:sz w:val="20"/>
                <w:szCs w:val="20"/>
              </w:rPr>
            </w:pPr>
          </w:p>
        </w:tc>
      </w:tr>
      <w:tr w:rsidR="00103DFF" w:rsidTr="00103DFF">
        <w:trPr>
          <w:trHeight w:val="300"/>
        </w:trPr>
        <w:tc>
          <w:tcPr>
            <w:tcW w:w="4846" w:type="dxa"/>
            <w:gridSpan w:val="3"/>
            <w:tcBorders>
              <w:top w:val="nil"/>
              <w:left w:val="single" w:sz="8" w:space="0" w:color="auto"/>
              <w:bottom w:val="nil"/>
              <w:right w:val="single" w:sz="8" w:space="0" w:color="000000"/>
            </w:tcBorders>
            <w:shd w:val="clear" w:color="000000" w:fill="D8E4BC"/>
            <w:noWrap/>
            <w:vAlign w:val="bottom"/>
            <w:hideMark/>
          </w:tcPr>
          <w:p w:rsidR="00103DFF" w:rsidRDefault="00103DFF">
            <w:pPr>
              <w:rPr>
                <w:rFonts w:ascii="Calibri" w:hAnsi="Calibri" w:cs="Arial"/>
                <w:b/>
                <w:bCs/>
                <w:sz w:val="20"/>
                <w:szCs w:val="20"/>
              </w:rPr>
            </w:pPr>
            <w:r>
              <w:rPr>
                <w:rFonts w:ascii="Calibri" w:hAnsi="Calibri" w:cs="Arial"/>
                <w:b/>
                <w:bCs/>
                <w:sz w:val="20"/>
                <w:szCs w:val="20"/>
              </w:rPr>
              <w:t>Activity 1: Broadband Infrastructure Expansion - Last Mile</w:t>
            </w:r>
          </w:p>
        </w:tc>
        <w:tc>
          <w:tcPr>
            <w:tcW w:w="455" w:type="dxa"/>
            <w:tcBorders>
              <w:top w:val="nil"/>
              <w:left w:val="nil"/>
              <w:bottom w:val="nil"/>
              <w:right w:val="nil"/>
            </w:tcBorders>
            <w:shd w:val="clear" w:color="000000" w:fill="D8E4BC"/>
            <w:noWrap/>
            <w:vAlign w:val="center"/>
            <w:hideMark/>
          </w:tcPr>
          <w:p w:rsidR="00103DFF" w:rsidRDefault="00103DFF">
            <w:pPr>
              <w:rPr>
                <w:rFonts w:ascii="Arial" w:hAnsi="Arial" w:cs="Arial"/>
                <w:sz w:val="20"/>
                <w:szCs w:val="20"/>
              </w:rPr>
            </w:pPr>
            <w:r>
              <w:rPr>
                <w:rFonts w:ascii="Arial" w:hAnsi="Arial" w:cs="Arial"/>
                <w:sz w:val="20"/>
                <w:szCs w:val="20"/>
              </w:rPr>
              <w:t> </w:t>
            </w:r>
          </w:p>
        </w:tc>
        <w:tc>
          <w:tcPr>
            <w:tcW w:w="455" w:type="dxa"/>
            <w:tcBorders>
              <w:top w:val="nil"/>
              <w:left w:val="nil"/>
              <w:bottom w:val="nil"/>
              <w:right w:val="nil"/>
            </w:tcBorders>
            <w:shd w:val="clear" w:color="000000" w:fill="D8E4BC"/>
            <w:noWrap/>
            <w:vAlign w:val="center"/>
            <w:hideMark/>
          </w:tcPr>
          <w:p w:rsidR="00103DFF" w:rsidRDefault="00103DFF">
            <w:pPr>
              <w:rPr>
                <w:rFonts w:ascii="Arial" w:hAnsi="Arial" w:cs="Arial"/>
                <w:sz w:val="20"/>
                <w:szCs w:val="20"/>
              </w:rPr>
            </w:pPr>
            <w:r>
              <w:rPr>
                <w:rFonts w:ascii="Arial" w:hAnsi="Arial" w:cs="Arial"/>
                <w:sz w:val="20"/>
                <w:szCs w:val="20"/>
              </w:rPr>
              <w:t> </w:t>
            </w:r>
          </w:p>
        </w:tc>
        <w:tc>
          <w:tcPr>
            <w:tcW w:w="455" w:type="dxa"/>
            <w:tcBorders>
              <w:top w:val="nil"/>
              <w:left w:val="nil"/>
              <w:bottom w:val="nil"/>
              <w:right w:val="nil"/>
            </w:tcBorders>
            <w:shd w:val="clear" w:color="000000" w:fill="D8E4BC"/>
            <w:noWrap/>
            <w:vAlign w:val="center"/>
            <w:hideMark/>
          </w:tcPr>
          <w:p w:rsidR="00103DFF" w:rsidRDefault="00103DFF">
            <w:pPr>
              <w:rPr>
                <w:rFonts w:ascii="Arial" w:hAnsi="Arial" w:cs="Arial"/>
                <w:sz w:val="20"/>
                <w:szCs w:val="20"/>
              </w:rPr>
            </w:pPr>
            <w:r>
              <w:rPr>
                <w:rFonts w:ascii="Arial" w:hAnsi="Arial" w:cs="Arial"/>
                <w:sz w:val="20"/>
                <w:szCs w:val="20"/>
              </w:rPr>
              <w:t> </w:t>
            </w:r>
          </w:p>
        </w:tc>
        <w:tc>
          <w:tcPr>
            <w:tcW w:w="455" w:type="dxa"/>
            <w:tcBorders>
              <w:top w:val="nil"/>
              <w:left w:val="nil"/>
              <w:bottom w:val="nil"/>
              <w:right w:val="nil"/>
            </w:tcBorders>
            <w:shd w:val="clear" w:color="000000" w:fill="D8E4BC"/>
            <w:noWrap/>
            <w:vAlign w:val="center"/>
            <w:hideMark/>
          </w:tcPr>
          <w:p w:rsidR="00103DFF" w:rsidRDefault="00103DFF">
            <w:pPr>
              <w:rPr>
                <w:rFonts w:ascii="Arial" w:hAnsi="Arial" w:cs="Arial"/>
                <w:sz w:val="20"/>
                <w:szCs w:val="20"/>
              </w:rPr>
            </w:pPr>
            <w:r>
              <w:rPr>
                <w:rFonts w:ascii="Arial" w:hAnsi="Arial" w:cs="Arial"/>
                <w:sz w:val="20"/>
                <w:szCs w:val="20"/>
              </w:rPr>
              <w:t> </w:t>
            </w:r>
          </w:p>
        </w:tc>
        <w:tc>
          <w:tcPr>
            <w:tcW w:w="455" w:type="dxa"/>
            <w:tcBorders>
              <w:top w:val="nil"/>
              <w:left w:val="nil"/>
              <w:bottom w:val="nil"/>
              <w:right w:val="nil"/>
            </w:tcBorders>
            <w:shd w:val="clear" w:color="000000" w:fill="D8E4BC"/>
            <w:noWrap/>
            <w:vAlign w:val="center"/>
            <w:hideMark/>
          </w:tcPr>
          <w:p w:rsidR="00103DFF" w:rsidRDefault="00103DFF">
            <w:pPr>
              <w:rPr>
                <w:rFonts w:ascii="Arial" w:hAnsi="Arial" w:cs="Arial"/>
                <w:sz w:val="20"/>
                <w:szCs w:val="20"/>
              </w:rPr>
            </w:pPr>
            <w:r>
              <w:rPr>
                <w:rFonts w:ascii="Arial" w:hAnsi="Arial" w:cs="Arial"/>
                <w:sz w:val="20"/>
                <w:szCs w:val="20"/>
              </w:rPr>
              <w:t> </w:t>
            </w:r>
          </w:p>
        </w:tc>
        <w:tc>
          <w:tcPr>
            <w:tcW w:w="455" w:type="dxa"/>
            <w:tcBorders>
              <w:top w:val="nil"/>
              <w:left w:val="nil"/>
              <w:bottom w:val="nil"/>
              <w:right w:val="nil"/>
            </w:tcBorders>
            <w:shd w:val="clear" w:color="000000" w:fill="D8E4BC"/>
            <w:noWrap/>
            <w:vAlign w:val="center"/>
            <w:hideMark/>
          </w:tcPr>
          <w:p w:rsidR="00103DFF" w:rsidRDefault="00103DFF">
            <w:pPr>
              <w:rPr>
                <w:rFonts w:ascii="Arial" w:hAnsi="Arial" w:cs="Arial"/>
                <w:sz w:val="20"/>
                <w:szCs w:val="20"/>
              </w:rPr>
            </w:pPr>
            <w:r>
              <w:rPr>
                <w:rFonts w:ascii="Arial" w:hAnsi="Arial" w:cs="Arial"/>
                <w:sz w:val="20"/>
                <w:szCs w:val="20"/>
              </w:rPr>
              <w:t> </w:t>
            </w:r>
          </w:p>
        </w:tc>
        <w:tc>
          <w:tcPr>
            <w:tcW w:w="455" w:type="dxa"/>
            <w:tcBorders>
              <w:top w:val="nil"/>
              <w:left w:val="nil"/>
              <w:bottom w:val="nil"/>
              <w:right w:val="nil"/>
            </w:tcBorders>
            <w:shd w:val="clear" w:color="000000" w:fill="D8E4BC"/>
            <w:noWrap/>
            <w:vAlign w:val="center"/>
            <w:hideMark/>
          </w:tcPr>
          <w:p w:rsidR="00103DFF" w:rsidRDefault="00103DFF">
            <w:pPr>
              <w:rPr>
                <w:rFonts w:ascii="Arial" w:hAnsi="Arial" w:cs="Arial"/>
                <w:sz w:val="20"/>
                <w:szCs w:val="20"/>
              </w:rPr>
            </w:pPr>
            <w:r>
              <w:rPr>
                <w:rFonts w:ascii="Arial" w:hAnsi="Arial" w:cs="Arial"/>
                <w:sz w:val="20"/>
                <w:szCs w:val="20"/>
              </w:rPr>
              <w:t> </w:t>
            </w:r>
          </w:p>
        </w:tc>
        <w:tc>
          <w:tcPr>
            <w:tcW w:w="455" w:type="dxa"/>
            <w:tcBorders>
              <w:top w:val="nil"/>
              <w:left w:val="nil"/>
              <w:bottom w:val="nil"/>
              <w:right w:val="nil"/>
            </w:tcBorders>
            <w:shd w:val="clear" w:color="000000" w:fill="D8E4BC"/>
            <w:noWrap/>
            <w:vAlign w:val="center"/>
            <w:hideMark/>
          </w:tcPr>
          <w:p w:rsidR="00103DFF" w:rsidRDefault="00103DFF">
            <w:pPr>
              <w:rPr>
                <w:rFonts w:ascii="Arial" w:hAnsi="Arial" w:cs="Arial"/>
                <w:sz w:val="20"/>
                <w:szCs w:val="20"/>
              </w:rPr>
            </w:pPr>
            <w:r>
              <w:rPr>
                <w:rFonts w:ascii="Arial" w:hAnsi="Arial" w:cs="Arial"/>
                <w:sz w:val="20"/>
                <w:szCs w:val="20"/>
              </w:rPr>
              <w:t> </w:t>
            </w:r>
          </w:p>
        </w:tc>
        <w:tc>
          <w:tcPr>
            <w:tcW w:w="3030" w:type="dxa"/>
            <w:tcBorders>
              <w:top w:val="nil"/>
              <w:left w:val="nil"/>
              <w:bottom w:val="nil"/>
              <w:right w:val="single" w:sz="8" w:space="0" w:color="auto"/>
            </w:tcBorders>
            <w:shd w:val="clear" w:color="000000" w:fill="D8E4BC"/>
            <w:noWrap/>
            <w:vAlign w:val="center"/>
            <w:hideMark/>
          </w:tcPr>
          <w:p w:rsidR="00103DFF" w:rsidRDefault="00103DFF">
            <w:pPr>
              <w:rPr>
                <w:rFonts w:ascii="Arial" w:hAnsi="Arial" w:cs="Arial"/>
                <w:sz w:val="20"/>
                <w:szCs w:val="20"/>
              </w:rPr>
            </w:pPr>
            <w:r>
              <w:rPr>
                <w:rFonts w:ascii="Arial" w:hAnsi="Arial" w:cs="Arial"/>
                <w:sz w:val="20"/>
                <w:szCs w:val="20"/>
              </w:rPr>
              <w:t> </w:t>
            </w:r>
          </w:p>
        </w:tc>
      </w:tr>
      <w:tr w:rsidR="00103DFF" w:rsidTr="00FA66D1">
        <w:trPr>
          <w:trHeight w:val="360"/>
        </w:trPr>
        <w:tc>
          <w:tcPr>
            <w:tcW w:w="262" w:type="dxa"/>
            <w:tcBorders>
              <w:top w:val="single" w:sz="8" w:space="0" w:color="auto"/>
              <w:left w:val="single" w:sz="8" w:space="0" w:color="auto"/>
              <w:bottom w:val="nil"/>
              <w:right w:val="nil"/>
            </w:tcBorders>
            <w:shd w:val="clear" w:color="000000" w:fill="D9D9D9"/>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84" w:type="dxa"/>
            <w:gridSpan w:val="2"/>
            <w:vMerge w:val="restart"/>
            <w:tcBorders>
              <w:top w:val="single" w:sz="8" w:space="0" w:color="auto"/>
              <w:left w:val="nil"/>
              <w:bottom w:val="single" w:sz="8" w:space="0" w:color="000000"/>
              <w:right w:val="nil"/>
            </w:tcBorders>
            <w:shd w:val="clear" w:color="000000" w:fill="D9D9D9"/>
            <w:vAlign w:val="center"/>
            <w:hideMark/>
          </w:tcPr>
          <w:p w:rsidR="00103DFF" w:rsidRDefault="00103DFF">
            <w:pPr>
              <w:rPr>
                <w:rFonts w:ascii="Calibri" w:hAnsi="Calibri" w:cs="Arial"/>
                <w:b/>
                <w:bCs/>
                <w:sz w:val="18"/>
                <w:szCs w:val="18"/>
              </w:rPr>
            </w:pPr>
            <w:r>
              <w:rPr>
                <w:rFonts w:ascii="Calibri" w:hAnsi="Calibri" w:cs="Arial"/>
                <w:b/>
                <w:bCs/>
                <w:sz w:val="18"/>
                <w:szCs w:val="18"/>
              </w:rPr>
              <w:t xml:space="preserve">Activity 1a – </w:t>
            </w:r>
            <w:r>
              <w:rPr>
                <w:rFonts w:ascii="Calibri" w:hAnsi="Calibri" w:cs="Arial"/>
                <w:sz w:val="18"/>
                <w:szCs w:val="18"/>
              </w:rPr>
              <w:t>Continue to work with the CPUC staff, if needed, to research and respond to open questions on first two CASF applications</w:t>
            </w:r>
          </w:p>
        </w:tc>
        <w:tc>
          <w:tcPr>
            <w:tcW w:w="455" w:type="dxa"/>
            <w:tcBorders>
              <w:top w:val="single" w:sz="8" w:space="0" w:color="auto"/>
              <w:left w:val="single" w:sz="4" w:space="0" w:color="auto"/>
              <w:bottom w:val="single" w:sz="4" w:space="0" w:color="auto"/>
              <w:right w:val="single" w:sz="4" w:space="0" w:color="auto"/>
            </w:tcBorders>
            <w:shd w:val="clear" w:color="000000" w:fill="FF9900"/>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single" w:sz="8" w:space="0" w:color="auto"/>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single" w:sz="8" w:space="0" w:color="auto"/>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single" w:sz="8" w:space="0" w:color="auto"/>
              <w:left w:val="nil"/>
              <w:bottom w:val="single" w:sz="4" w:space="0" w:color="auto"/>
              <w:right w:val="single" w:sz="8"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single" w:sz="8" w:space="0" w:color="auto"/>
              <w:left w:val="nil"/>
              <w:bottom w:val="single" w:sz="4" w:space="0" w:color="auto"/>
              <w:right w:val="single" w:sz="4" w:space="0" w:color="auto"/>
            </w:tcBorders>
            <w:shd w:val="clear" w:color="auto" w:fill="auto"/>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single" w:sz="8" w:space="0" w:color="auto"/>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single" w:sz="8" w:space="0" w:color="auto"/>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single" w:sz="8" w:space="0" w:color="auto"/>
              <w:left w:val="nil"/>
              <w:bottom w:val="single" w:sz="4" w:space="0" w:color="auto"/>
              <w:right w:val="single" w:sz="8"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303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103DFF" w:rsidRDefault="00103DFF">
            <w:pPr>
              <w:rPr>
                <w:rFonts w:ascii="Calibri" w:hAnsi="Calibri" w:cs="Arial"/>
                <w:sz w:val="16"/>
                <w:szCs w:val="16"/>
              </w:rPr>
            </w:pPr>
            <w:r>
              <w:rPr>
                <w:rFonts w:ascii="Calibri" w:hAnsi="Calibri" w:cs="Arial"/>
                <w:sz w:val="16"/>
                <w:szCs w:val="16"/>
              </w:rPr>
              <w:t>TBP is a resource to the CPUC while it conducts its evaluation of the currently submitted CASF Infrastructure grants</w:t>
            </w:r>
          </w:p>
        </w:tc>
      </w:tr>
      <w:tr w:rsidR="00103DFF" w:rsidTr="00FA66D1">
        <w:trPr>
          <w:trHeight w:val="375"/>
        </w:trPr>
        <w:tc>
          <w:tcPr>
            <w:tcW w:w="262" w:type="dxa"/>
            <w:tcBorders>
              <w:top w:val="nil"/>
              <w:left w:val="single" w:sz="8" w:space="0" w:color="auto"/>
              <w:bottom w:val="single" w:sz="8" w:space="0" w:color="auto"/>
              <w:right w:val="nil"/>
            </w:tcBorders>
            <w:shd w:val="clear" w:color="000000" w:fill="D9D9D9"/>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84" w:type="dxa"/>
            <w:gridSpan w:val="2"/>
            <w:vMerge/>
            <w:tcBorders>
              <w:top w:val="nil"/>
              <w:left w:val="single" w:sz="8" w:space="0" w:color="auto"/>
              <w:bottom w:val="single" w:sz="8" w:space="0" w:color="auto"/>
              <w:right w:val="nil"/>
            </w:tcBorders>
            <w:vAlign w:val="center"/>
            <w:hideMark/>
          </w:tcPr>
          <w:p w:rsidR="00103DFF" w:rsidRDefault="00103DFF">
            <w:pPr>
              <w:rPr>
                <w:rFonts w:ascii="Calibri" w:hAnsi="Calibri" w:cs="Arial"/>
                <w:b/>
                <w:bCs/>
                <w:sz w:val="18"/>
                <w:szCs w:val="18"/>
              </w:rPr>
            </w:pPr>
          </w:p>
        </w:tc>
        <w:tc>
          <w:tcPr>
            <w:tcW w:w="455" w:type="dxa"/>
            <w:tcBorders>
              <w:top w:val="nil"/>
              <w:left w:val="single" w:sz="4" w:space="0" w:color="auto"/>
              <w:bottom w:val="single" w:sz="8" w:space="0" w:color="auto"/>
              <w:right w:val="single" w:sz="4" w:space="0" w:color="auto"/>
            </w:tcBorders>
            <w:shd w:val="clear" w:color="000000" w:fill="3366FF"/>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8"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8"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8" w:space="0" w:color="auto"/>
              <w:right w:val="single" w:sz="8"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8" w:space="0" w:color="auto"/>
              <w:right w:val="single" w:sz="4" w:space="0" w:color="auto"/>
            </w:tcBorders>
            <w:shd w:val="clear" w:color="auto" w:fill="auto"/>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8"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8"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8" w:space="0" w:color="auto"/>
              <w:right w:val="single" w:sz="8"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3030" w:type="dxa"/>
            <w:vMerge/>
            <w:tcBorders>
              <w:top w:val="single" w:sz="8" w:space="0" w:color="auto"/>
              <w:left w:val="single" w:sz="4" w:space="0" w:color="auto"/>
              <w:bottom w:val="single" w:sz="8" w:space="0" w:color="000000"/>
              <w:right w:val="single" w:sz="8" w:space="0" w:color="auto"/>
            </w:tcBorders>
            <w:vAlign w:val="center"/>
            <w:hideMark/>
          </w:tcPr>
          <w:p w:rsidR="00103DFF" w:rsidRDefault="00103DFF">
            <w:pPr>
              <w:rPr>
                <w:rFonts w:ascii="Calibri" w:hAnsi="Calibri" w:cs="Arial"/>
                <w:sz w:val="16"/>
                <w:szCs w:val="16"/>
              </w:rPr>
            </w:pPr>
          </w:p>
        </w:tc>
      </w:tr>
      <w:tr w:rsidR="00103DFF" w:rsidTr="00FA66D1">
        <w:trPr>
          <w:trHeight w:val="240"/>
        </w:trPr>
        <w:tc>
          <w:tcPr>
            <w:tcW w:w="262" w:type="dxa"/>
            <w:tcBorders>
              <w:top w:val="nil"/>
              <w:left w:val="single" w:sz="8" w:space="0" w:color="auto"/>
              <w:bottom w:val="nil"/>
              <w:right w:val="nil"/>
            </w:tcBorders>
            <w:shd w:val="clear" w:color="000000" w:fill="D9D9D9"/>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11254" w:type="dxa"/>
            <w:gridSpan w:val="11"/>
            <w:tcBorders>
              <w:top w:val="single" w:sz="8" w:space="0" w:color="auto"/>
              <w:left w:val="nil"/>
              <w:bottom w:val="nil"/>
              <w:right w:val="single" w:sz="8" w:space="0" w:color="000000"/>
            </w:tcBorders>
            <w:shd w:val="clear" w:color="000000" w:fill="D9D9D9"/>
            <w:vAlign w:val="center"/>
            <w:hideMark/>
          </w:tcPr>
          <w:p w:rsidR="00103DFF" w:rsidRDefault="00103DFF">
            <w:pPr>
              <w:rPr>
                <w:rFonts w:ascii="Calibri" w:hAnsi="Calibri" w:cs="Arial"/>
                <w:b/>
                <w:bCs/>
                <w:sz w:val="18"/>
                <w:szCs w:val="18"/>
              </w:rPr>
            </w:pPr>
            <w:r>
              <w:rPr>
                <w:rFonts w:ascii="Calibri" w:hAnsi="Calibri" w:cs="Arial"/>
                <w:b/>
                <w:bCs/>
                <w:sz w:val="18"/>
                <w:szCs w:val="18"/>
              </w:rPr>
              <w:t xml:space="preserve">Activity 1b – continue to actively pursue solutions for delivering high speed internet services to Meeks Bay/Rubicon and </w:t>
            </w:r>
            <w:proofErr w:type="spellStart"/>
            <w:r>
              <w:rPr>
                <w:rFonts w:ascii="Calibri" w:hAnsi="Calibri" w:cs="Arial"/>
                <w:b/>
                <w:bCs/>
                <w:sz w:val="18"/>
                <w:szCs w:val="18"/>
              </w:rPr>
              <w:t>Kingswood</w:t>
            </w:r>
            <w:proofErr w:type="spellEnd"/>
            <w:r>
              <w:rPr>
                <w:rFonts w:ascii="Calibri" w:hAnsi="Calibri" w:cs="Arial"/>
                <w:b/>
                <w:bCs/>
                <w:sz w:val="18"/>
                <w:szCs w:val="18"/>
              </w:rPr>
              <w:t xml:space="preserve"> West.</w:t>
            </w:r>
          </w:p>
        </w:tc>
      </w:tr>
      <w:tr w:rsidR="00103DFF" w:rsidTr="00103DFF">
        <w:trPr>
          <w:trHeight w:val="360"/>
        </w:trPr>
        <w:tc>
          <w:tcPr>
            <w:tcW w:w="262" w:type="dxa"/>
            <w:tcBorders>
              <w:top w:val="single" w:sz="4" w:space="0" w:color="auto"/>
              <w:left w:val="single" w:sz="8" w:space="0" w:color="auto"/>
              <w:bottom w:val="nil"/>
              <w:right w:val="nil"/>
            </w:tcBorders>
            <w:shd w:val="clear" w:color="auto" w:fill="auto"/>
            <w:noWrap/>
            <w:vAlign w:val="center"/>
            <w:hideMark/>
          </w:tcPr>
          <w:p w:rsidR="00103DFF" w:rsidRDefault="00103DFF">
            <w:pPr>
              <w:rPr>
                <w:rFonts w:ascii="Calibri" w:hAnsi="Calibri" w:cs="Arial"/>
                <w:b/>
                <w:bCs/>
                <w:sz w:val="20"/>
                <w:szCs w:val="20"/>
              </w:rPr>
            </w:pPr>
            <w:r>
              <w:rPr>
                <w:rFonts w:ascii="Calibri" w:hAnsi="Calibri" w:cs="Arial"/>
                <w:b/>
                <w:bCs/>
                <w:sz w:val="20"/>
                <w:szCs w:val="20"/>
              </w:rPr>
              <w:t> </w:t>
            </w:r>
          </w:p>
        </w:tc>
        <w:tc>
          <w:tcPr>
            <w:tcW w:w="357" w:type="dxa"/>
            <w:vMerge w:val="restart"/>
            <w:tcBorders>
              <w:top w:val="single" w:sz="4" w:space="0" w:color="auto"/>
              <w:left w:val="nil"/>
              <w:bottom w:val="single" w:sz="4" w:space="0" w:color="000000"/>
              <w:right w:val="nil"/>
            </w:tcBorders>
            <w:shd w:val="clear" w:color="auto" w:fill="auto"/>
            <w:noWrap/>
            <w:vAlign w:val="center"/>
            <w:hideMark/>
          </w:tcPr>
          <w:p w:rsidR="00103DFF" w:rsidRDefault="00103DFF">
            <w:pPr>
              <w:jc w:val="center"/>
              <w:rPr>
                <w:rFonts w:ascii="Calibri" w:hAnsi="Calibri" w:cs="Arial"/>
                <w:sz w:val="18"/>
                <w:szCs w:val="18"/>
              </w:rPr>
            </w:pPr>
            <w:r>
              <w:rPr>
                <w:rFonts w:ascii="Calibri" w:hAnsi="Calibri" w:cs="Arial"/>
                <w:sz w:val="18"/>
                <w:szCs w:val="18"/>
              </w:rPr>
              <w:t>a.</w:t>
            </w:r>
          </w:p>
        </w:tc>
        <w:tc>
          <w:tcPr>
            <w:tcW w:w="4227" w:type="dxa"/>
            <w:vMerge w:val="restart"/>
            <w:tcBorders>
              <w:top w:val="single" w:sz="4" w:space="0" w:color="auto"/>
              <w:left w:val="nil"/>
              <w:bottom w:val="single" w:sz="4" w:space="0" w:color="000000"/>
              <w:right w:val="nil"/>
            </w:tcBorders>
            <w:shd w:val="clear" w:color="auto" w:fill="auto"/>
            <w:vAlign w:val="center"/>
            <w:hideMark/>
          </w:tcPr>
          <w:p w:rsidR="00103DFF" w:rsidRDefault="00103DFF">
            <w:pPr>
              <w:rPr>
                <w:rFonts w:ascii="Calibri" w:hAnsi="Calibri" w:cs="Arial"/>
                <w:sz w:val="18"/>
                <w:szCs w:val="18"/>
              </w:rPr>
            </w:pPr>
            <w:r>
              <w:rPr>
                <w:rFonts w:ascii="Calibri" w:hAnsi="Calibri" w:cs="Arial"/>
                <w:sz w:val="18"/>
                <w:szCs w:val="18"/>
              </w:rPr>
              <w:t xml:space="preserve">Identify solutions and recruit a partner for two </w:t>
            </w:r>
            <w:proofErr w:type="spellStart"/>
            <w:r>
              <w:rPr>
                <w:rFonts w:ascii="Calibri" w:hAnsi="Calibri" w:cs="Arial"/>
                <w:sz w:val="18"/>
                <w:szCs w:val="18"/>
              </w:rPr>
              <w:t>Kingswood</w:t>
            </w:r>
            <w:proofErr w:type="spellEnd"/>
            <w:r>
              <w:rPr>
                <w:rFonts w:ascii="Calibri" w:hAnsi="Calibri" w:cs="Arial"/>
                <w:sz w:val="18"/>
                <w:szCs w:val="18"/>
              </w:rPr>
              <w:t xml:space="preserve"> West and Rubicon/Meeks Bay. </w:t>
            </w:r>
          </w:p>
        </w:tc>
        <w:tc>
          <w:tcPr>
            <w:tcW w:w="455" w:type="dxa"/>
            <w:tcBorders>
              <w:top w:val="single" w:sz="4" w:space="0" w:color="auto"/>
              <w:left w:val="single" w:sz="8" w:space="0" w:color="auto"/>
              <w:bottom w:val="single" w:sz="4" w:space="0" w:color="auto"/>
              <w:right w:val="single" w:sz="4" w:space="0" w:color="auto"/>
            </w:tcBorders>
            <w:shd w:val="clear" w:color="000000" w:fill="FF9900"/>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single" w:sz="4" w:space="0" w:color="auto"/>
              <w:left w:val="nil"/>
              <w:bottom w:val="single" w:sz="4" w:space="0" w:color="auto"/>
              <w:right w:val="single" w:sz="4" w:space="0" w:color="auto"/>
            </w:tcBorders>
            <w:shd w:val="clear" w:color="000000" w:fill="FF9900"/>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single" w:sz="4" w:space="0" w:color="auto"/>
              <w:left w:val="nil"/>
              <w:bottom w:val="single" w:sz="4" w:space="0" w:color="auto"/>
              <w:right w:val="single" w:sz="4" w:space="0" w:color="auto"/>
            </w:tcBorders>
            <w:shd w:val="clear" w:color="000000" w:fill="FF9900"/>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single" w:sz="4" w:space="0" w:color="auto"/>
              <w:left w:val="nil"/>
              <w:bottom w:val="single" w:sz="4" w:space="0" w:color="auto"/>
              <w:right w:val="single" w:sz="8"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single" w:sz="4" w:space="0" w:color="auto"/>
              <w:left w:val="nil"/>
              <w:bottom w:val="single" w:sz="4" w:space="0" w:color="auto"/>
              <w:right w:val="single" w:sz="4" w:space="0" w:color="auto"/>
            </w:tcBorders>
            <w:shd w:val="clear" w:color="auto" w:fill="auto"/>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single" w:sz="4" w:space="0" w:color="auto"/>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single" w:sz="4" w:space="0" w:color="auto"/>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single" w:sz="4" w:space="0" w:color="auto"/>
              <w:left w:val="nil"/>
              <w:bottom w:val="single" w:sz="4" w:space="0" w:color="auto"/>
              <w:right w:val="single" w:sz="8"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3030" w:type="dxa"/>
            <w:vMerge w:val="restart"/>
            <w:tcBorders>
              <w:top w:val="single" w:sz="4" w:space="0" w:color="auto"/>
              <w:left w:val="nil"/>
              <w:bottom w:val="single" w:sz="4" w:space="0" w:color="000000"/>
              <w:right w:val="single" w:sz="8" w:space="0" w:color="auto"/>
            </w:tcBorders>
            <w:shd w:val="clear" w:color="auto" w:fill="auto"/>
            <w:vAlign w:val="center"/>
            <w:hideMark/>
          </w:tcPr>
          <w:p w:rsidR="00103DFF" w:rsidRDefault="00103DFF">
            <w:pPr>
              <w:rPr>
                <w:rFonts w:ascii="Calibri" w:hAnsi="Calibri" w:cs="Arial"/>
                <w:sz w:val="16"/>
                <w:szCs w:val="16"/>
              </w:rPr>
            </w:pPr>
            <w:r>
              <w:rPr>
                <w:rFonts w:ascii="Calibri" w:hAnsi="Calibri" w:cs="Arial"/>
                <w:sz w:val="16"/>
                <w:szCs w:val="16"/>
              </w:rPr>
              <w:t xml:space="preserve">An ISP is recruited for each of the two un/underserved areas: Rubicon/Meeks Bay and </w:t>
            </w:r>
            <w:proofErr w:type="spellStart"/>
            <w:r>
              <w:rPr>
                <w:rFonts w:ascii="Calibri" w:hAnsi="Calibri" w:cs="Arial"/>
                <w:sz w:val="16"/>
                <w:szCs w:val="16"/>
              </w:rPr>
              <w:t>Kingswood</w:t>
            </w:r>
            <w:proofErr w:type="spellEnd"/>
            <w:r>
              <w:rPr>
                <w:rFonts w:ascii="Calibri" w:hAnsi="Calibri" w:cs="Arial"/>
                <w:sz w:val="16"/>
                <w:szCs w:val="16"/>
              </w:rPr>
              <w:t xml:space="preserve"> West</w:t>
            </w:r>
          </w:p>
        </w:tc>
      </w:tr>
      <w:tr w:rsidR="00FA66D1" w:rsidTr="00FA66D1">
        <w:trPr>
          <w:trHeight w:val="360"/>
        </w:trPr>
        <w:tc>
          <w:tcPr>
            <w:tcW w:w="262" w:type="dxa"/>
            <w:tcBorders>
              <w:top w:val="nil"/>
              <w:left w:val="single" w:sz="8" w:space="0" w:color="auto"/>
              <w:bottom w:val="single" w:sz="4" w:space="0" w:color="auto"/>
              <w:right w:val="nil"/>
            </w:tcBorders>
            <w:shd w:val="clear" w:color="auto" w:fill="auto"/>
            <w:noWrap/>
            <w:vAlign w:val="center"/>
            <w:hideMark/>
          </w:tcPr>
          <w:p w:rsidR="00103DFF" w:rsidRDefault="00103DFF">
            <w:pPr>
              <w:rPr>
                <w:rFonts w:ascii="Calibri" w:hAnsi="Calibri" w:cs="Arial"/>
                <w:b/>
                <w:bCs/>
                <w:sz w:val="20"/>
                <w:szCs w:val="20"/>
              </w:rPr>
            </w:pPr>
            <w:r>
              <w:rPr>
                <w:rFonts w:ascii="Calibri" w:hAnsi="Calibri" w:cs="Arial"/>
                <w:b/>
                <w:bCs/>
                <w:sz w:val="20"/>
                <w:szCs w:val="20"/>
              </w:rPr>
              <w:t> </w:t>
            </w:r>
          </w:p>
        </w:tc>
        <w:tc>
          <w:tcPr>
            <w:tcW w:w="357" w:type="dxa"/>
            <w:vMerge/>
            <w:tcBorders>
              <w:top w:val="single" w:sz="4" w:space="0" w:color="auto"/>
              <w:left w:val="nil"/>
              <w:bottom w:val="single" w:sz="4" w:space="0" w:color="000000"/>
              <w:right w:val="nil"/>
            </w:tcBorders>
            <w:vAlign w:val="center"/>
            <w:hideMark/>
          </w:tcPr>
          <w:p w:rsidR="00103DFF" w:rsidRDefault="00103DFF">
            <w:pPr>
              <w:rPr>
                <w:rFonts w:ascii="Calibri" w:hAnsi="Calibri" w:cs="Arial"/>
                <w:sz w:val="18"/>
                <w:szCs w:val="18"/>
              </w:rPr>
            </w:pPr>
          </w:p>
        </w:tc>
        <w:tc>
          <w:tcPr>
            <w:tcW w:w="4227" w:type="dxa"/>
            <w:vMerge/>
            <w:tcBorders>
              <w:top w:val="single" w:sz="4" w:space="0" w:color="auto"/>
              <w:left w:val="nil"/>
              <w:bottom w:val="single" w:sz="4" w:space="0" w:color="000000"/>
              <w:right w:val="nil"/>
            </w:tcBorders>
            <w:vAlign w:val="center"/>
            <w:hideMark/>
          </w:tcPr>
          <w:p w:rsidR="00103DFF" w:rsidRDefault="00103DFF">
            <w:pPr>
              <w:rPr>
                <w:rFonts w:ascii="Calibri" w:hAnsi="Calibri" w:cs="Arial"/>
                <w:sz w:val="18"/>
                <w:szCs w:val="18"/>
              </w:rPr>
            </w:pPr>
          </w:p>
        </w:tc>
        <w:tc>
          <w:tcPr>
            <w:tcW w:w="455" w:type="dxa"/>
            <w:tcBorders>
              <w:top w:val="nil"/>
              <w:left w:val="single" w:sz="8" w:space="0" w:color="auto"/>
              <w:bottom w:val="single" w:sz="4" w:space="0" w:color="auto"/>
              <w:right w:val="single" w:sz="4" w:space="0" w:color="auto"/>
            </w:tcBorders>
            <w:shd w:val="clear" w:color="000000" w:fill="3366FF"/>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000000" w:fill="3366FF"/>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000000" w:fill="3366FF"/>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8"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8"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3030" w:type="dxa"/>
            <w:vMerge/>
            <w:tcBorders>
              <w:top w:val="single" w:sz="4" w:space="0" w:color="auto"/>
              <w:left w:val="nil"/>
              <w:bottom w:val="single" w:sz="4" w:space="0" w:color="000000"/>
              <w:right w:val="single" w:sz="8" w:space="0" w:color="auto"/>
            </w:tcBorders>
            <w:vAlign w:val="center"/>
            <w:hideMark/>
          </w:tcPr>
          <w:p w:rsidR="00103DFF" w:rsidRDefault="00103DFF">
            <w:pPr>
              <w:rPr>
                <w:rFonts w:ascii="Calibri" w:hAnsi="Calibri" w:cs="Arial"/>
                <w:sz w:val="16"/>
                <w:szCs w:val="16"/>
              </w:rPr>
            </w:pPr>
          </w:p>
        </w:tc>
      </w:tr>
      <w:tr w:rsidR="00103DFF" w:rsidTr="00FA66D1">
        <w:trPr>
          <w:trHeight w:val="342"/>
        </w:trPr>
        <w:tc>
          <w:tcPr>
            <w:tcW w:w="262" w:type="dxa"/>
            <w:tcBorders>
              <w:top w:val="nil"/>
              <w:left w:val="single" w:sz="8" w:space="0" w:color="auto"/>
              <w:bottom w:val="nil"/>
              <w:right w:val="nil"/>
            </w:tcBorders>
            <w:shd w:val="clear" w:color="auto" w:fill="auto"/>
            <w:noWrap/>
            <w:vAlign w:val="center"/>
            <w:hideMark/>
          </w:tcPr>
          <w:p w:rsidR="00103DFF" w:rsidRDefault="00103DFF">
            <w:pPr>
              <w:rPr>
                <w:rFonts w:ascii="Calibri" w:hAnsi="Calibri" w:cs="Arial"/>
                <w:b/>
                <w:bCs/>
                <w:sz w:val="20"/>
                <w:szCs w:val="20"/>
              </w:rPr>
            </w:pPr>
            <w:r>
              <w:rPr>
                <w:rFonts w:ascii="Calibri" w:hAnsi="Calibri" w:cs="Arial"/>
                <w:b/>
                <w:bCs/>
                <w:sz w:val="20"/>
                <w:szCs w:val="20"/>
              </w:rPr>
              <w:t> </w:t>
            </w:r>
          </w:p>
        </w:tc>
        <w:tc>
          <w:tcPr>
            <w:tcW w:w="357" w:type="dxa"/>
            <w:vMerge w:val="restart"/>
            <w:tcBorders>
              <w:top w:val="nil"/>
              <w:left w:val="nil"/>
              <w:bottom w:val="single" w:sz="4" w:space="0" w:color="000000"/>
              <w:right w:val="nil"/>
            </w:tcBorders>
            <w:shd w:val="clear" w:color="auto" w:fill="auto"/>
            <w:noWrap/>
            <w:vAlign w:val="center"/>
            <w:hideMark/>
          </w:tcPr>
          <w:p w:rsidR="00103DFF" w:rsidRDefault="00103DFF">
            <w:pPr>
              <w:jc w:val="center"/>
              <w:rPr>
                <w:rFonts w:ascii="Calibri" w:hAnsi="Calibri" w:cs="Arial"/>
                <w:sz w:val="18"/>
                <w:szCs w:val="18"/>
              </w:rPr>
            </w:pPr>
            <w:r>
              <w:rPr>
                <w:rFonts w:ascii="Calibri" w:hAnsi="Calibri" w:cs="Arial"/>
                <w:sz w:val="18"/>
                <w:szCs w:val="18"/>
              </w:rPr>
              <w:t>b.</w:t>
            </w:r>
          </w:p>
        </w:tc>
        <w:tc>
          <w:tcPr>
            <w:tcW w:w="4227" w:type="dxa"/>
            <w:vMerge w:val="restart"/>
            <w:tcBorders>
              <w:top w:val="nil"/>
              <w:left w:val="nil"/>
              <w:bottom w:val="single" w:sz="4" w:space="0" w:color="000000"/>
              <w:right w:val="nil"/>
            </w:tcBorders>
            <w:shd w:val="clear" w:color="auto" w:fill="auto"/>
            <w:vAlign w:val="center"/>
            <w:hideMark/>
          </w:tcPr>
          <w:p w:rsidR="00103DFF" w:rsidRDefault="00103DFF">
            <w:pPr>
              <w:rPr>
                <w:rFonts w:ascii="Calibri" w:hAnsi="Calibri" w:cs="Arial"/>
                <w:sz w:val="18"/>
                <w:szCs w:val="18"/>
              </w:rPr>
            </w:pPr>
            <w:r>
              <w:rPr>
                <w:rFonts w:ascii="Calibri" w:hAnsi="Calibri" w:cs="Arial"/>
                <w:sz w:val="18"/>
                <w:szCs w:val="18"/>
              </w:rPr>
              <w:t xml:space="preserve">Support the application process if CASF Infrastructure funding is sought </w:t>
            </w:r>
          </w:p>
        </w:tc>
        <w:tc>
          <w:tcPr>
            <w:tcW w:w="455" w:type="dxa"/>
            <w:tcBorders>
              <w:top w:val="nil"/>
              <w:left w:val="single" w:sz="8" w:space="0" w:color="auto"/>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8" w:space="0" w:color="auto"/>
            </w:tcBorders>
            <w:shd w:val="clear" w:color="000000" w:fill="FF9900"/>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000000" w:fill="FF9900"/>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8"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3030" w:type="dxa"/>
            <w:vMerge w:val="restart"/>
            <w:tcBorders>
              <w:top w:val="nil"/>
              <w:left w:val="nil"/>
              <w:bottom w:val="single" w:sz="4" w:space="0" w:color="000000"/>
              <w:right w:val="single" w:sz="8" w:space="0" w:color="auto"/>
            </w:tcBorders>
            <w:shd w:val="clear" w:color="auto" w:fill="auto"/>
            <w:vAlign w:val="center"/>
            <w:hideMark/>
          </w:tcPr>
          <w:p w:rsidR="00103DFF" w:rsidRDefault="00103DFF">
            <w:pPr>
              <w:rPr>
                <w:rFonts w:ascii="Calibri" w:hAnsi="Calibri" w:cs="Arial"/>
                <w:sz w:val="16"/>
                <w:szCs w:val="16"/>
              </w:rPr>
            </w:pPr>
            <w:r>
              <w:rPr>
                <w:rFonts w:ascii="Calibri" w:hAnsi="Calibri" w:cs="Arial"/>
                <w:sz w:val="16"/>
                <w:szCs w:val="16"/>
              </w:rPr>
              <w:t>Two CASF Infrastructure Grants are submitted to the CPUC, or another source of funding is secured.</w:t>
            </w:r>
          </w:p>
        </w:tc>
      </w:tr>
      <w:tr w:rsidR="00103DFF" w:rsidTr="00FA66D1">
        <w:trPr>
          <w:trHeight w:val="342"/>
        </w:trPr>
        <w:tc>
          <w:tcPr>
            <w:tcW w:w="262" w:type="dxa"/>
            <w:tcBorders>
              <w:top w:val="nil"/>
              <w:left w:val="single" w:sz="8" w:space="0" w:color="auto"/>
              <w:bottom w:val="single" w:sz="4" w:space="0" w:color="auto"/>
              <w:right w:val="nil"/>
            </w:tcBorders>
            <w:shd w:val="clear" w:color="auto" w:fill="auto"/>
            <w:noWrap/>
            <w:vAlign w:val="center"/>
            <w:hideMark/>
          </w:tcPr>
          <w:p w:rsidR="00103DFF" w:rsidRDefault="00103DFF">
            <w:pPr>
              <w:rPr>
                <w:rFonts w:ascii="Calibri" w:hAnsi="Calibri" w:cs="Arial"/>
                <w:b/>
                <w:bCs/>
                <w:sz w:val="20"/>
                <w:szCs w:val="20"/>
              </w:rPr>
            </w:pPr>
            <w:r>
              <w:rPr>
                <w:rFonts w:ascii="Calibri" w:hAnsi="Calibri" w:cs="Arial"/>
                <w:b/>
                <w:bCs/>
                <w:sz w:val="20"/>
                <w:szCs w:val="20"/>
              </w:rPr>
              <w:t> </w:t>
            </w:r>
          </w:p>
        </w:tc>
        <w:tc>
          <w:tcPr>
            <w:tcW w:w="357" w:type="dxa"/>
            <w:vMerge/>
            <w:tcBorders>
              <w:top w:val="nil"/>
              <w:left w:val="nil"/>
              <w:bottom w:val="single" w:sz="4" w:space="0" w:color="000000"/>
              <w:right w:val="nil"/>
            </w:tcBorders>
            <w:vAlign w:val="center"/>
            <w:hideMark/>
          </w:tcPr>
          <w:p w:rsidR="00103DFF" w:rsidRDefault="00103DFF">
            <w:pPr>
              <w:rPr>
                <w:rFonts w:ascii="Calibri" w:hAnsi="Calibri" w:cs="Arial"/>
                <w:sz w:val="18"/>
                <w:szCs w:val="18"/>
              </w:rPr>
            </w:pPr>
          </w:p>
        </w:tc>
        <w:tc>
          <w:tcPr>
            <w:tcW w:w="4227" w:type="dxa"/>
            <w:vMerge/>
            <w:tcBorders>
              <w:top w:val="nil"/>
              <w:left w:val="nil"/>
              <w:bottom w:val="single" w:sz="4" w:space="0" w:color="000000"/>
              <w:right w:val="nil"/>
            </w:tcBorders>
            <w:vAlign w:val="center"/>
            <w:hideMark/>
          </w:tcPr>
          <w:p w:rsidR="00103DFF" w:rsidRDefault="00103DFF">
            <w:pPr>
              <w:rPr>
                <w:rFonts w:ascii="Calibri" w:hAnsi="Calibri" w:cs="Arial"/>
                <w:sz w:val="18"/>
                <w:szCs w:val="18"/>
              </w:rPr>
            </w:pPr>
          </w:p>
        </w:tc>
        <w:tc>
          <w:tcPr>
            <w:tcW w:w="455" w:type="dxa"/>
            <w:tcBorders>
              <w:top w:val="nil"/>
              <w:left w:val="single" w:sz="8" w:space="0" w:color="auto"/>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8" w:space="0" w:color="auto"/>
            </w:tcBorders>
            <w:shd w:val="clear" w:color="000000" w:fill="3366FF"/>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000000" w:fill="3366FF"/>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8"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3030" w:type="dxa"/>
            <w:vMerge/>
            <w:tcBorders>
              <w:top w:val="nil"/>
              <w:left w:val="nil"/>
              <w:bottom w:val="single" w:sz="4" w:space="0" w:color="000000"/>
              <w:right w:val="single" w:sz="8" w:space="0" w:color="auto"/>
            </w:tcBorders>
            <w:vAlign w:val="center"/>
            <w:hideMark/>
          </w:tcPr>
          <w:p w:rsidR="00103DFF" w:rsidRDefault="00103DFF">
            <w:pPr>
              <w:rPr>
                <w:rFonts w:ascii="Calibri" w:hAnsi="Calibri" w:cs="Arial"/>
                <w:sz w:val="16"/>
                <w:szCs w:val="16"/>
              </w:rPr>
            </w:pPr>
          </w:p>
        </w:tc>
      </w:tr>
      <w:tr w:rsidR="00103DFF" w:rsidTr="00FA66D1">
        <w:trPr>
          <w:trHeight w:val="342"/>
        </w:trPr>
        <w:tc>
          <w:tcPr>
            <w:tcW w:w="262" w:type="dxa"/>
            <w:tcBorders>
              <w:top w:val="nil"/>
              <w:left w:val="single" w:sz="8" w:space="0" w:color="auto"/>
              <w:bottom w:val="nil"/>
              <w:right w:val="nil"/>
            </w:tcBorders>
            <w:shd w:val="clear" w:color="auto" w:fill="auto"/>
            <w:noWrap/>
            <w:vAlign w:val="center"/>
            <w:hideMark/>
          </w:tcPr>
          <w:p w:rsidR="00103DFF" w:rsidRDefault="00103DFF">
            <w:pPr>
              <w:rPr>
                <w:rFonts w:ascii="Calibri" w:hAnsi="Calibri" w:cs="Arial"/>
                <w:b/>
                <w:bCs/>
                <w:sz w:val="20"/>
                <w:szCs w:val="20"/>
              </w:rPr>
            </w:pPr>
            <w:r>
              <w:rPr>
                <w:rFonts w:ascii="Calibri" w:hAnsi="Calibri" w:cs="Arial"/>
                <w:b/>
                <w:bCs/>
                <w:sz w:val="20"/>
                <w:szCs w:val="20"/>
              </w:rPr>
              <w:t> </w:t>
            </w:r>
          </w:p>
        </w:tc>
        <w:tc>
          <w:tcPr>
            <w:tcW w:w="357" w:type="dxa"/>
            <w:vMerge w:val="restart"/>
            <w:tcBorders>
              <w:top w:val="nil"/>
              <w:left w:val="nil"/>
              <w:bottom w:val="single" w:sz="8" w:space="0" w:color="000000"/>
              <w:right w:val="nil"/>
            </w:tcBorders>
            <w:shd w:val="clear" w:color="auto" w:fill="auto"/>
            <w:noWrap/>
            <w:vAlign w:val="center"/>
            <w:hideMark/>
          </w:tcPr>
          <w:p w:rsidR="00103DFF" w:rsidRDefault="00103DFF">
            <w:pPr>
              <w:jc w:val="center"/>
              <w:rPr>
                <w:rFonts w:ascii="Calibri" w:hAnsi="Calibri" w:cs="Arial"/>
                <w:sz w:val="18"/>
                <w:szCs w:val="18"/>
              </w:rPr>
            </w:pPr>
            <w:r>
              <w:rPr>
                <w:rFonts w:ascii="Calibri" w:hAnsi="Calibri" w:cs="Arial"/>
                <w:sz w:val="18"/>
                <w:szCs w:val="18"/>
              </w:rPr>
              <w:t>c.</w:t>
            </w:r>
          </w:p>
        </w:tc>
        <w:tc>
          <w:tcPr>
            <w:tcW w:w="4227" w:type="dxa"/>
            <w:vMerge w:val="restart"/>
            <w:tcBorders>
              <w:top w:val="nil"/>
              <w:left w:val="nil"/>
              <w:bottom w:val="single" w:sz="8" w:space="0" w:color="000000"/>
              <w:right w:val="nil"/>
            </w:tcBorders>
            <w:shd w:val="clear" w:color="auto" w:fill="auto"/>
            <w:vAlign w:val="center"/>
            <w:hideMark/>
          </w:tcPr>
          <w:p w:rsidR="00103DFF" w:rsidRDefault="00103DFF">
            <w:pPr>
              <w:rPr>
                <w:rFonts w:ascii="Calibri" w:hAnsi="Calibri" w:cs="Arial"/>
                <w:sz w:val="18"/>
                <w:szCs w:val="18"/>
              </w:rPr>
            </w:pPr>
            <w:r>
              <w:rPr>
                <w:rFonts w:ascii="Calibri" w:hAnsi="Calibri" w:cs="Arial"/>
                <w:sz w:val="18"/>
                <w:szCs w:val="18"/>
              </w:rPr>
              <w:t xml:space="preserve">Support application through the CPUC evaluation process </w:t>
            </w:r>
          </w:p>
        </w:tc>
        <w:tc>
          <w:tcPr>
            <w:tcW w:w="455" w:type="dxa"/>
            <w:tcBorders>
              <w:top w:val="nil"/>
              <w:left w:val="single" w:sz="8" w:space="0" w:color="auto"/>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8"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000000" w:fill="FF9900"/>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000000" w:fill="FF9900"/>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8" w:space="0" w:color="auto"/>
            </w:tcBorders>
            <w:shd w:val="clear" w:color="000000" w:fill="FF9900"/>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3030" w:type="dxa"/>
            <w:vMerge w:val="restart"/>
            <w:tcBorders>
              <w:top w:val="nil"/>
              <w:left w:val="nil"/>
              <w:bottom w:val="single" w:sz="8" w:space="0" w:color="000000"/>
              <w:right w:val="single" w:sz="8" w:space="0" w:color="auto"/>
            </w:tcBorders>
            <w:shd w:val="clear" w:color="auto" w:fill="auto"/>
            <w:vAlign w:val="center"/>
            <w:hideMark/>
          </w:tcPr>
          <w:p w:rsidR="00103DFF" w:rsidRDefault="00103DFF">
            <w:pPr>
              <w:rPr>
                <w:rFonts w:ascii="Calibri" w:hAnsi="Calibri" w:cs="Arial"/>
                <w:sz w:val="16"/>
                <w:szCs w:val="16"/>
              </w:rPr>
            </w:pPr>
            <w:r>
              <w:rPr>
                <w:rFonts w:ascii="Calibri" w:hAnsi="Calibri" w:cs="Arial"/>
                <w:sz w:val="16"/>
                <w:szCs w:val="16"/>
              </w:rPr>
              <w:t>TBP is a resource to the CPUC while it conducts its evaluation of any submitted CASF Infrastructure grants</w:t>
            </w:r>
          </w:p>
        </w:tc>
      </w:tr>
      <w:tr w:rsidR="00103DFF" w:rsidTr="00FA66D1">
        <w:trPr>
          <w:trHeight w:val="342"/>
        </w:trPr>
        <w:tc>
          <w:tcPr>
            <w:tcW w:w="262" w:type="dxa"/>
            <w:tcBorders>
              <w:top w:val="nil"/>
              <w:left w:val="single" w:sz="8" w:space="0" w:color="auto"/>
              <w:bottom w:val="single" w:sz="8" w:space="0" w:color="auto"/>
              <w:right w:val="nil"/>
            </w:tcBorders>
            <w:shd w:val="clear" w:color="auto" w:fill="auto"/>
            <w:noWrap/>
            <w:vAlign w:val="center"/>
            <w:hideMark/>
          </w:tcPr>
          <w:p w:rsidR="00103DFF" w:rsidRDefault="00103DFF">
            <w:pPr>
              <w:rPr>
                <w:rFonts w:ascii="Calibri" w:hAnsi="Calibri" w:cs="Arial"/>
                <w:b/>
                <w:bCs/>
                <w:sz w:val="20"/>
                <w:szCs w:val="20"/>
              </w:rPr>
            </w:pPr>
            <w:r>
              <w:rPr>
                <w:rFonts w:ascii="Calibri" w:hAnsi="Calibri" w:cs="Arial"/>
                <w:b/>
                <w:bCs/>
                <w:sz w:val="20"/>
                <w:szCs w:val="20"/>
              </w:rPr>
              <w:t> </w:t>
            </w:r>
          </w:p>
        </w:tc>
        <w:tc>
          <w:tcPr>
            <w:tcW w:w="357" w:type="dxa"/>
            <w:vMerge/>
            <w:tcBorders>
              <w:top w:val="nil"/>
              <w:left w:val="nil"/>
              <w:bottom w:val="single" w:sz="8" w:space="0" w:color="000000"/>
              <w:right w:val="nil"/>
            </w:tcBorders>
            <w:vAlign w:val="center"/>
            <w:hideMark/>
          </w:tcPr>
          <w:p w:rsidR="00103DFF" w:rsidRDefault="00103DFF">
            <w:pPr>
              <w:rPr>
                <w:rFonts w:ascii="Calibri" w:hAnsi="Calibri" w:cs="Arial"/>
                <w:sz w:val="18"/>
                <w:szCs w:val="18"/>
              </w:rPr>
            </w:pPr>
          </w:p>
        </w:tc>
        <w:tc>
          <w:tcPr>
            <w:tcW w:w="4227" w:type="dxa"/>
            <w:vMerge/>
            <w:tcBorders>
              <w:top w:val="nil"/>
              <w:left w:val="nil"/>
              <w:bottom w:val="single" w:sz="8" w:space="0" w:color="000000"/>
              <w:right w:val="nil"/>
            </w:tcBorders>
            <w:vAlign w:val="center"/>
            <w:hideMark/>
          </w:tcPr>
          <w:p w:rsidR="00103DFF" w:rsidRDefault="00103DFF">
            <w:pPr>
              <w:rPr>
                <w:rFonts w:ascii="Calibri" w:hAnsi="Calibri" w:cs="Arial"/>
                <w:sz w:val="18"/>
                <w:szCs w:val="18"/>
              </w:rPr>
            </w:pPr>
          </w:p>
        </w:tc>
        <w:tc>
          <w:tcPr>
            <w:tcW w:w="455" w:type="dxa"/>
            <w:tcBorders>
              <w:top w:val="nil"/>
              <w:left w:val="single" w:sz="8" w:space="0" w:color="auto"/>
              <w:bottom w:val="single" w:sz="8"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8"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8"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8" w:space="0" w:color="auto"/>
              <w:right w:val="single" w:sz="8"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8" w:space="0" w:color="auto"/>
              <w:right w:val="single" w:sz="4" w:space="0" w:color="auto"/>
            </w:tcBorders>
            <w:shd w:val="clear" w:color="auto" w:fill="auto"/>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8" w:space="0" w:color="auto"/>
              <w:right w:val="single" w:sz="4" w:space="0" w:color="auto"/>
            </w:tcBorders>
            <w:shd w:val="clear" w:color="000000" w:fill="3366FF"/>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8" w:space="0" w:color="auto"/>
              <w:right w:val="single" w:sz="4" w:space="0" w:color="auto"/>
            </w:tcBorders>
            <w:shd w:val="clear" w:color="000000" w:fill="3366FF"/>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8" w:space="0" w:color="auto"/>
              <w:right w:val="single" w:sz="8" w:space="0" w:color="auto"/>
            </w:tcBorders>
            <w:shd w:val="clear" w:color="000000" w:fill="3366FF"/>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3030" w:type="dxa"/>
            <w:vMerge/>
            <w:tcBorders>
              <w:top w:val="nil"/>
              <w:left w:val="nil"/>
              <w:bottom w:val="single" w:sz="8" w:space="0" w:color="000000"/>
              <w:right w:val="single" w:sz="8" w:space="0" w:color="auto"/>
            </w:tcBorders>
            <w:vAlign w:val="center"/>
            <w:hideMark/>
          </w:tcPr>
          <w:p w:rsidR="00103DFF" w:rsidRDefault="00103DFF">
            <w:pPr>
              <w:rPr>
                <w:rFonts w:ascii="Calibri" w:hAnsi="Calibri" w:cs="Arial"/>
                <w:sz w:val="16"/>
                <w:szCs w:val="16"/>
              </w:rPr>
            </w:pPr>
          </w:p>
        </w:tc>
      </w:tr>
      <w:tr w:rsidR="00103DFF" w:rsidTr="00103DFF">
        <w:trPr>
          <w:trHeight w:val="915"/>
        </w:trPr>
        <w:tc>
          <w:tcPr>
            <w:tcW w:w="262" w:type="dxa"/>
            <w:tcBorders>
              <w:top w:val="nil"/>
              <w:left w:val="single" w:sz="8" w:space="0" w:color="auto"/>
              <w:bottom w:val="single" w:sz="8" w:space="0" w:color="auto"/>
              <w:right w:val="nil"/>
            </w:tcBorders>
            <w:shd w:val="clear" w:color="000000" w:fill="D9D9D9"/>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84" w:type="dxa"/>
            <w:gridSpan w:val="2"/>
            <w:tcBorders>
              <w:top w:val="nil"/>
              <w:left w:val="nil"/>
              <w:bottom w:val="single" w:sz="8" w:space="0" w:color="auto"/>
              <w:right w:val="nil"/>
            </w:tcBorders>
            <w:shd w:val="clear" w:color="000000" w:fill="D9D9D9"/>
            <w:vAlign w:val="center"/>
            <w:hideMark/>
          </w:tcPr>
          <w:p w:rsidR="00103DFF" w:rsidRDefault="00103DFF">
            <w:pPr>
              <w:rPr>
                <w:rFonts w:ascii="Calibri" w:hAnsi="Calibri" w:cs="Arial"/>
                <w:b/>
                <w:bCs/>
                <w:sz w:val="18"/>
                <w:szCs w:val="18"/>
              </w:rPr>
            </w:pPr>
            <w:r>
              <w:rPr>
                <w:rFonts w:ascii="Calibri" w:hAnsi="Calibri" w:cs="Arial"/>
                <w:b/>
                <w:bCs/>
                <w:sz w:val="18"/>
                <w:szCs w:val="18"/>
              </w:rPr>
              <w:t xml:space="preserve">Activity 1c - </w:t>
            </w:r>
            <w:r>
              <w:rPr>
                <w:rFonts w:ascii="Calibri" w:hAnsi="Calibri" w:cs="Arial"/>
                <w:sz w:val="18"/>
                <w:szCs w:val="18"/>
              </w:rPr>
              <w:t>continue to explore potential solutions for other un/underserved neighborhoods, as time and opportunities permit</w:t>
            </w:r>
          </w:p>
        </w:tc>
        <w:tc>
          <w:tcPr>
            <w:tcW w:w="455" w:type="dxa"/>
            <w:tcBorders>
              <w:top w:val="nil"/>
              <w:left w:val="single" w:sz="8" w:space="0" w:color="auto"/>
              <w:bottom w:val="single" w:sz="8" w:space="0" w:color="auto"/>
              <w:right w:val="single" w:sz="4" w:space="0" w:color="auto"/>
            </w:tcBorders>
            <w:shd w:val="clear" w:color="000000" w:fill="FF9900"/>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8" w:space="0" w:color="auto"/>
              <w:right w:val="single" w:sz="4" w:space="0" w:color="auto"/>
            </w:tcBorders>
            <w:shd w:val="clear" w:color="000000" w:fill="FF9900"/>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8" w:space="0" w:color="auto"/>
              <w:right w:val="single" w:sz="4" w:space="0" w:color="auto"/>
            </w:tcBorders>
            <w:shd w:val="clear" w:color="000000" w:fill="FF9900"/>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8" w:space="0" w:color="auto"/>
              <w:right w:val="single" w:sz="8" w:space="0" w:color="auto"/>
            </w:tcBorders>
            <w:shd w:val="clear" w:color="000000" w:fill="FF9900"/>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8" w:space="0" w:color="auto"/>
              <w:right w:val="single" w:sz="4" w:space="0" w:color="auto"/>
            </w:tcBorders>
            <w:shd w:val="clear" w:color="000000" w:fill="FF9900"/>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8" w:space="0" w:color="auto"/>
              <w:right w:val="single" w:sz="4" w:space="0" w:color="auto"/>
            </w:tcBorders>
            <w:shd w:val="clear" w:color="000000" w:fill="FF9900"/>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8" w:space="0" w:color="auto"/>
              <w:right w:val="single" w:sz="4" w:space="0" w:color="auto"/>
            </w:tcBorders>
            <w:shd w:val="clear" w:color="000000" w:fill="FF9900"/>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8" w:space="0" w:color="auto"/>
              <w:right w:val="single" w:sz="4" w:space="0" w:color="auto"/>
            </w:tcBorders>
            <w:shd w:val="clear" w:color="000000" w:fill="FF9900"/>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3030" w:type="dxa"/>
            <w:tcBorders>
              <w:top w:val="nil"/>
              <w:left w:val="nil"/>
              <w:bottom w:val="single" w:sz="8" w:space="0" w:color="auto"/>
              <w:right w:val="single" w:sz="8" w:space="0" w:color="auto"/>
            </w:tcBorders>
            <w:shd w:val="clear" w:color="auto" w:fill="auto"/>
            <w:vAlign w:val="center"/>
            <w:hideMark/>
          </w:tcPr>
          <w:p w:rsidR="00103DFF" w:rsidRDefault="00103DFF">
            <w:pPr>
              <w:rPr>
                <w:rFonts w:ascii="Calibri" w:hAnsi="Calibri" w:cs="Arial"/>
                <w:sz w:val="16"/>
                <w:szCs w:val="16"/>
              </w:rPr>
            </w:pPr>
            <w:r>
              <w:rPr>
                <w:rFonts w:ascii="Calibri" w:hAnsi="Calibri" w:cs="Arial"/>
                <w:sz w:val="16"/>
                <w:szCs w:val="16"/>
              </w:rPr>
              <w:t>No specific deliverable, just an effort to address other un/undeserved neighborhoods, as time and opportunities permit</w:t>
            </w:r>
          </w:p>
        </w:tc>
      </w:tr>
      <w:tr w:rsidR="00103DFF" w:rsidTr="00103DFF">
        <w:trPr>
          <w:trHeight w:val="300"/>
        </w:trPr>
        <w:tc>
          <w:tcPr>
            <w:tcW w:w="4846" w:type="dxa"/>
            <w:gridSpan w:val="3"/>
            <w:tcBorders>
              <w:top w:val="single" w:sz="8" w:space="0" w:color="auto"/>
              <w:left w:val="single" w:sz="8" w:space="0" w:color="auto"/>
              <w:bottom w:val="nil"/>
              <w:right w:val="nil"/>
            </w:tcBorders>
            <w:shd w:val="clear" w:color="000000" w:fill="C4D79B"/>
            <w:noWrap/>
            <w:vAlign w:val="center"/>
            <w:hideMark/>
          </w:tcPr>
          <w:p w:rsidR="00103DFF" w:rsidRDefault="00103DFF">
            <w:pPr>
              <w:rPr>
                <w:rFonts w:ascii="Calibri" w:hAnsi="Calibri" w:cs="Arial"/>
                <w:b/>
                <w:bCs/>
                <w:sz w:val="20"/>
                <w:szCs w:val="20"/>
              </w:rPr>
            </w:pPr>
            <w:r>
              <w:rPr>
                <w:rFonts w:ascii="Calibri" w:hAnsi="Calibri" w:cs="Arial"/>
                <w:b/>
                <w:bCs/>
                <w:sz w:val="20"/>
                <w:szCs w:val="20"/>
              </w:rPr>
              <w:t>Activity 2: Facilitate Improved Middle Mile Services</w:t>
            </w:r>
          </w:p>
        </w:tc>
        <w:tc>
          <w:tcPr>
            <w:tcW w:w="455" w:type="dxa"/>
            <w:tcBorders>
              <w:top w:val="nil"/>
              <w:left w:val="nil"/>
              <w:bottom w:val="nil"/>
              <w:right w:val="nil"/>
            </w:tcBorders>
            <w:shd w:val="clear" w:color="000000" w:fill="C4D79B"/>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nil"/>
              <w:right w:val="nil"/>
            </w:tcBorders>
            <w:shd w:val="clear" w:color="000000" w:fill="C4D79B"/>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nil"/>
              <w:right w:val="nil"/>
            </w:tcBorders>
            <w:shd w:val="clear" w:color="000000" w:fill="C4D79B"/>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nil"/>
              <w:right w:val="nil"/>
            </w:tcBorders>
            <w:shd w:val="clear" w:color="000000" w:fill="C4D79B"/>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nil"/>
              <w:right w:val="nil"/>
            </w:tcBorders>
            <w:shd w:val="clear" w:color="000000" w:fill="C4D79B"/>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nil"/>
              <w:right w:val="nil"/>
            </w:tcBorders>
            <w:shd w:val="clear" w:color="000000" w:fill="C4D79B"/>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nil"/>
              <w:right w:val="nil"/>
            </w:tcBorders>
            <w:shd w:val="clear" w:color="000000" w:fill="C4D79B"/>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nil"/>
              <w:right w:val="nil"/>
            </w:tcBorders>
            <w:shd w:val="clear" w:color="000000" w:fill="C4D79B"/>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3030" w:type="dxa"/>
            <w:tcBorders>
              <w:top w:val="nil"/>
              <w:left w:val="nil"/>
              <w:bottom w:val="nil"/>
              <w:right w:val="single" w:sz="8" w:space="0" w:color="auto"/>
            </w:tcBorders>
            <w:shd w:val="clear" w:color="000000" w:fill="C4D79B"/>
            <w:vAlign w:val="center"/>
            <w:hideMark/>
          </w:tcPr>
          <w:p w:rsidR="00103DFF" w:rsidRDefault="00103DFF">
            <w:pPr>
              <w:rPr>
                <w:rFonts w:ascii="Calibri" w:hAnsi="Calibri" w:cs="Arial"/>
                <w:sz w:val="16"/>
                <w:szCs w:val="16"/>
              </w:rPr>
            </w:pPr>
            <w:r>
              <w:rPr>
                <w:rFonts w:ascii="Calibri" w:hAnsi="Calibri" w:cs="Arial"/>
                <w:sz w:val="16"/>
                <w:szCs w:val="16"/>
              </w:rPr>
              <w:t> </w:t>
            </w:r>
          </w:p>
        </w:tc>
      </w:tr>
      <w:tr w:rsidR="00103DFF" w:rsidTr="00FA66D1">
        <w:trPr>
          <w:trHeight w:val="300"/>
        </w:trPr>
        <w:tc>
          <w:tcPr>
            <w:tcW w:w="262" w:type="dxa"/>
            <w:tcBorders>
              <w:top w:val="single" w:sz="8" w:space="0" w:color="auto"/>
              <w:left w:val="single" w:sz="8" w:space="0" w:color="auto"/>
              <w:bottom w:val="single" w:sz="4" w:space="0" w:color="auto"/>
              <w:right w:val="nil"/>
            </w:tcBorders>
            <w:shd w:val="clear" w:color="000000" w:fill="D9D9D9"/>
            <w:noWrap/>
            <w:vAlign w:val="center"/>
            <w:hideMark/>
          </w:tcPr>
          <w:p w:rsidR="00103DFF" w:rsidRDefault="00103DFF">
            <w:pPr>
              <w:rPr>
                <w:rFonts w:ascii="Calibri" w:hAnsi="Calibri" w:cs="Arial"/>
                <w:b/>
                <w:bCs/>
                <w:sz w:val="20"/>
                <w:szCs w:val="20"/>
              </w:rPr>
            </w:pPr>
            <w:r>
              <w:rPr>
                <w:rFonts w:ascii="Calibri" w:hAnsi="Calibri" w:cs="Arial"/>
                <w:b/>
                <w:bCs/>
                <w:sz w:val="20"/>
                <w:szCs w:val="20"/>
              </w:rPr>
              <w:t> </w:t>
            </w:r>
          </w:p>
        </w:tc>
        <w:tc>
          <w:tcPr>
            <w:tcW w:w="11254" w:type="dxa"/>
            <w:gridSpan w:val="11"/>
            <w:tcBorders>
              <w:top w:val="single" w:sz="8" w:space="0" w:color="auto"/>
              <w:left w:val="nil"/>
              <w:bottom w:val="single" w:sz="4" w:space="0" w:color="auto"/>
              <w:right w:val="single" w:sz="8" w:space="0" w:color="000000"/>
            </w:tcBorders>
            <w:shd w:val="clear" w:color="000000" w:fill="D9D9D9"/>
            <w:vAlign w:val="center"/>
            <w:hideMark/>
          </w:tcPr>
          <w:p w:rsidR="00103DFF" w:rsidRDefault="00103DFF">
            <w:pPr>
              <w:rPr>
                <w:rFonts w:ascii="Calibri" w:hAnsi="Calibri" w:cs="Arial"/>
                <w:b/>
                <w:bCs/>
                <w:sz w:val="18"/>
                <w:szCs w:val="18"/>
              </w:rPr>
            </w:pPr>
            <w:r>
              <w:rPr>
                <w:rFonts w:ascii="Calibri" w:hAnsi="Calibri" w:cs="Arial"/>
                <w:b/>
                <w:bCs/>
                <w:sz w:val="18"/>
                <w:szCs w:val="18"/>
              </w:rPr>
              <w:t>Activity 2a – Facilitate the development and adoption of an Universal Dig Once Policy for the Lake Tahoe Basin</w:t>
            </w:r>
          </w:p>
        </w:tc>
      </w:tr>
      <w:tr w:rsidR="00103DFF" w:rsidTr="00FA66D1">
        <w:trPr>
          <w:trHeight w:val="342"/>
        </w:trPr>
        <w:tc>
          <w:tcPr>
            <w:tcW w:w="262" w:type="dxa"/>
            <w:tcBorders>
              <w:top w:val="nil"/>
              <w:left w:val="single" w:sz="8" w:space="0" w:color="auto"/>
              <w:bottom w:val="nil"/>
              <w:right w:val="nil"/>
            </w:tcBorders>
            <w:shd w:val="clear" w:color="auto" w:fill="auto"/>
            <w:noWrap/>
            <w:vAlign w:val="center"/>
            <w:hideMark/>
          </w:tcPr>
          <w:p w:rsidR="00103DFF" w:rsidRDefault="00103DFF">
            <w:pPr>
              <w:rPr>
                <w:rFonts w:ascii="Calibri" w:hAnsi="Calibri" w:cs="Arial"/>
                <w:b/>
                <w:bCs/>
                <w:sz w:val="20"/>
                <w:szCs w:val="20"/>
              </w:rPr>
            </w:pPr>
            <w:r>
              <w:rPr>
                <w:rFonts w:ascii="Calibri" w:hAnsi="Calibri" w:cs="Arial"/>
                <w:b/>
                <w:bCs/>
                <w:sz w:val="20"/>
                <w:szCs w:val="20"/>
              </w:rPr>
              <w:t> </w:t>
            </w:r>
          </w:p>
        </w:tc>
        <w:tc>
          <w:tcPr>
            <w:tcW w:w="357" w:type="dxa"/>
            <w:vMerge w:val="restart"/>
            <w:tcBorders>
              <w:top w:val="nil"/>
              <w:left w:val="nil"/>
              <w:bottom w:val="single" w:sz="4" w:space="0" w:color="000000"/>
              <w:right w:val="nil"/>
            </w:tcBorders>
            <w:shd w:val="clear" w:color="auto" w:fill="auto"/>
            <w:vAlign w:val="center"/>
            <w:hideMark/>
          </w:tcPr>
          <w:p w:rsidR="00103DFF" w:rsidRDefault="00103DFF">
            <w:pPr>
              <w:rPr>
                <w:rFonts w:ascii="Calibri" w:hAnsi="Calibri" w:cs="Arial"/>
                <w:b/>
                <w:bCs/>
                <w:sz w:val="18"/>
                <w:szCs w:val="18"/>
              </w:rPr>
            </w:pPr>
            <w:r>
              <w:rPr>
                <w:rFonts w:ascii="Calibri" w:hAnsi="Calibri" w:cs="Arial"/>
                <w:b/>
                <w:bCs/>
                <w:sz w:val="18"/>
                <w:szCs w:val="18"/>
              </w:rPr>
              <w:t>a</w:t>
            </w:r>
          </w:p>
        </w:tc>
        <w:tc>
          <w:tcPr>
            <w:tcW w:w="4227" w:type="dxa"/>
            <w:vMerge w:val="restart"/>
            <w:tcBorders>
              <w:top w:val="nil"/>
              <w:left w:val="nil"/>
              <w:bottom w:val="single" w:sz="4" w:space="0" w:color="000000"/>
              <w:right w:val="single" w:sz="8" w:space="0" w:color="auto"/>
            </w:tcBorders>
            <w:shd w:val="clear" w:color="auto" w:fill="auto"/>
            <w:vAlign w:val="center"/>
            <w:hideMark/>
          </w:tcPr>
          <w:p w:rsidR="00103DFF" w:rsidRDefault="00103DFF">
            <w:pPr>
              <w:rPr>
                <w:rFonts w:ascii="Calibri" w:hAnsi="Calibri" w:cs="Arial"/>
                <w:sz w:val="18"/>
                <w:szCs w:val="18"/>
              </w:rPr>
            </w:pPr>
            <w:r>
              <w:rPr>
                <w:rFonts w:ascii="Calibri" w:hAnsi="Calibri" w:cs="Arial"/>
                <w:sz w:val="18"/>
                <w:szCs w:val="18"/>
              </w:rPr>
              <w:t>Convene all relevant stakeholders for initial input and discussion on a Dig Once Policy</w:t>
            </w:r>
          </w:p>
        </w:tc>
        <w:tc>
          <w:tcPr>
            <w:tcW w:w="455" w:type="dxa"/>
            <w:tcBorders>
              <w:top w:val="nil"/>
              <w:left w:val="nil"/>
              <w:bottom w:val="single" w:sz="4" w:space="0" w:color="auto"/>
              <w:right w:val="single" w:sz="4" w:space="0" w:color="auto"/>
            </w:tcBorders>
            <w:shd w:val="clear" w:color="000000" w:fill="FF9900"/>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vAlign w:val="center"/>
            <w:hideMark/>
          </w:tcPr>
          <w:p w:rsidR="00103DFF" w:rsidRDefault="00103DFF">
            <w:pPr>
              <w:rPr>
                <w:rFonts w:ascii="Calibri" w:hAnsi="Calibri" w:cs="Arial"/>
                <w:b/>
                <w:bCs/>
                <w:sz w:val="18"/>
                <w:szCs w:val="18"/>
              </w:rPr>
            </w:pPr>
            <w:r>
              <w:rPr>
                <w:rFonts w:ascii="Calibri" w:hAnsi="Calibri" w:cs="Arial"/>
                <w:b/>
                <w:bCs/>
                <w:sz w:val="18"/>
                <w:szCs w:val="18"/>
              </w:rPr>
              <w:t> </w:t>
            </w:r>
          </w:p>
        </w:tc>
        <w:tc>
          <w:tcPr>
            <w:tcW w:w="455" w:type="dxa"/>
            <w:tcBorders>
              <w:top w:val="nil"/>
              <w:left w:val="nil"/>
              <w:bottom w:val="single" w:sz="4" w:space="0" w:color="auto"/>
              <w:right w:val="single" w:sz="4" w:space="0" w:color="auto"/>
            </w:tcBorders>
            <w:shd w:val="clear" w:color="auto" w:fill="auto"/>
            <w:vAlign w:val="center"/>
            <w:hideMark/>
          </w:tcPr>
          <w:p w:rsidR="00103DFF" w:rsidRDefault="00103DFF">
            <w:pPr>
              <w:rPr>
                <w:rFonts w:ascii="Calibri" w:hAnsi="Calibri" w:cs="Arial"/>
                <w:b/>
                <w:bCs/>
                <w:sz w:val="18"/>
                <w:szCs w:val="18"/>
              </w:rPr>
            </w:pPr>
            <w:r>
              <w:rPr>
                <w:rFonts w:ascii="Calibri" w:hAnsi="Calibri" w:cs="Arial"/>
                <w:b/>
                <w:bCs/>
                <w:sz w:val="18"/>
                <w:szCs w:val="18"/>
              </w:rPr>
              <w:t> </w:t>
            </w:r>
          </w:p>
        </w:tc>
        <w:tc>
          <w:tcPr>
            <w:tcW w:w="455" w:type="dxa"/>
            <w:tcBorders>
              <w:top w:val="nil"/>
              <w:left w:val="nil"/>
              <w:bottom w:val="single" w:sz="4" w:space="0" w:color="auto"/>
              <w:right w:val="single" w:sz="8" w:space="0" w:color="auto"/>
            </w:tcBorders>
            <w:shd w:val="clear" w:color="auto" w:fill="auto"/>
            <w:vAlign w:val="center"/>
            <w:hideMark/>
          </w:tcPr>
          <w:p w:rsidR="00103DFF" w:rsidRDefault="00103DFF">
            <w:pPr>
              <w:rPr>
                <w:rFonts w:ascii="Calibri" w:hAnsi="Calibri" w:cs="Arial"/>
                <w:b/>
                <w:bCs/>
                <w:sz w:val="18"/>
                <w:szCs w:val="18"/>
              </w:rPr>
            </w:pPr>
            <w:r>
              <w:rPr>
                <w:rFonts w:ascii="Calibri" w:hAnsi="Calibri" w:cs="Arial"/>
                <w:b/>
                <w:bCs/>
                <w:sz w:val="18"/>
                <w:szCs w:val="18"/>
              </w:rPr>
              <w:t> </w:t>
            </w:r>
          </w:p>
        </w:tc>
        <w:tc>
          <w:tcPr>
            <w:tcW w:w="455" w:type="dxa"/>
            <w:tcBorders>
              <w:top w:val="nil"/>
              <w:left w:val="nil"/>
              <w:bottom w:val="single" w:sz="4" w:space="0" w:color="auto"/>
              <w:right w:val="single" w:sz="4" w:space="0" w:color="auto"/>
            </w:tcBorders>
            <w:shd w:val="clear" w:color="auto" w:fill="auto"/>
            <w:vAlign w:val="center"/>
            <w:hideMark/>
          </w:tcPr>
          <w:p w:rsidR="00103DFF" w:rsidRDefault="00103DFF">
            <w:pPr>
              <w:rPr>
                <w:rFonts w:ascii="Calibri" w:hAnsi="Calibri" w:cs="Arial"/>
                <w:b/>
                <w:bCs/>
                <w:sz w:val="18"/>
                <w:szCs w:val="18"/>
              </w:rPr>
            </w:pPr>
            <w:r>
              <w:rPr>
                <w:rFonts w:ascii="Calibri" w:hAnsi="Calibri" w:cs="Arial"/>
                <w:b/>
                <w:bCs/>
                <w:sz w:val="18"/>
                <w:szCs w:val="18"/>
              </w:rPr>
              <w:t> </w:t>
            </w:r>
          </w:p>
        </w:tc>
        <w:tc>
          <w:tcPr>
            <w:tcW w:w="455" w:type="dxa"/>
            <w:tcBorders>
              <w:top w:val="nil"/>
              <w:left w:val="nil"/>
              <w:bottom w:val="single" w:sz="4" w:space="0" w:color="auto"/>
              <w:right w:val="single" w:sz="4" w:space="0" w:color="auto"/>
            </w:tcBorders>
            <w:shd w:val="clear" w:color="auto" w:fill="auto"/>
            <w:vAlign w:val="center"/>
            <w:hideMark/>
          </w:tcPr>
          <w:p w:rsidR="00103DFF" w:rsidRDefault="00103DFF">
            <w:pPr>
              <w:rPr>
                <w:rFonts w:ascii="Calibri" w:hAnsi="Calibri" w:cs="Arial"/>
                <w:b/>
                <w:bCs/>
                <w:sz w:val="18"/>
                <w:szCs w:val="18"/>
              </w:rPr>
            </w:pPr>
            <w:r>
              <w:rPr>
                <w:rFonts w:ascii="Calibri" w:hAnsi="Calibri" w:cs="Arial"/>
                <w:b/>
                <w:bCs/>
                <w:sz w:val="18"/>
                <w:szCs w:val="18"/>
              </w:rPr>
              <w:t> </w:t>
            </w:r>
          </w:p>
        </w:tc>
        <w:tc>
          <w:tcPr>
            <w:tcW w:w="455" w:type="dxa"/>
            <w:tcBorders>
              <w:top w:val="nil"/>
              <w:left w:val="nil"/>
              <w:bottom w:val="single" w:sz="4" w:space="0" w:color="auto"/>
              <w:right w:val="single" w:sz="4" w:space="0" w:color="auto"/>
            </w:tcBorders>
            <w:shd w:val="clear" w:color="auto" w:fill="auto"/>
            <w:vAlign w:val="center"/>
            <w:hideMark/>
          </w:tcPr>
          <w:p w:rsidR="00103DFF" w:rsidRDefault="00103DFF">
            <w:pPr>
              <w:rPr>
                <w:rFonts w:ascii="Calibri" w:hAnsi="Calibri" w:cs="Arial"/>
                <w:b/>
                <w:bCs/>
                <w:sz w:val="18"/>
                <w:szCs w:val="18"/>
              </w:rPr>
            </w:pPr>
            <w:r>
              <w:rPr>
                <w:rFonts w:ascii="Calibri" w:hAnsi="Calibri" w:cs="Arial"/>
                <w:b/>
                <w:bCs/>
                <w:sz w:val="18"/>
                <w:szCs w:val="18"/>
              </w:rPr>
              <w:t> </w:t>
            </w:r>
          </w:p>
        </w:tc>
        <w:tc>
          <w:tcPr>
            <w:tcW w:w="455" w:type="dxa"/>
            <w:tcBorders>
              <w:top w:val="nil"/>
              <w:left w:val="nil"/>
              <w:bottom w:val="single" w:sz="4" w:space="0" w:color="auto"/>
              <w:right w:val="single" w:sz="8" w:space="0" w:color="auto"/>
            </w:tcBorders>
            <w:shd w:val="clear" w:color="auto" w:fill="auto"/>
            <w:vAlign w:val="center"/>
            <w:hideMark/>
          </w:tcPr>
          <w:p w:rsidR="00103DFF" w:rsidRDefault="00103DFF">
            <w:pPr>
              <w:rPr>
                <w:rFonts w:ascii="Calibri" w:hAnsi="Calibri" w:cs="Arial"/>
                <w:b/>
                <w:bCs/>
                <w:sz w:val="18"/>
                <w:szCs w:val="18"/>
              </w:rPr>
            </w:pPr>
            <w:r>
              <w:rPr>
                <w:rFonts w:ascii="Calibri" w:hAnsi="Calibri" w:cs="Arial"/>
                <w:b/>
                <w:bCs/>
                <w:sz w:val="18"/>
                <w:szCs w:val="18"/>
              </w:rPr>
              <w:t> </w:t>
            </w:r>
          </w:p>
        </w:tc>
        <w:tc>
          <w:tcPr>
            <w:tcW w:w="3030" w:type="dxa"/>
            <w:vMerge w:val="restart"/>
            <w:tcBorders>
              <w:top w:val="nil"/>
              <w:left w:val="nil"/>
              <w:bottom w:val="single" w:sz="4" w:space="0" w:color="000000"/>
              <w:right w:val="single" w:sz="8" w:space="0" w:color="auto"/>
            </w:tcBorders>
            <w:shd w:val="clear" w:color="auto" w:fill="auto"/>
            <w:vAlign w:val="center"/>
            <w:hideMark/>
          </w:tcPr>
          <w:p w:rsidR="00103DFF" w:rsidRDefault="00103DFF">
            <w:pPr>
              <w:rPr>
                <w:rFonts w:ascii="Calibri" w:hAnsi="Calibri" w:cs="Arial"/>
                <w:sz w:val="16"/>
                <w:szCs w:val="16"/>
              </w:rPr>
            </w:pPr>
            <w:r>
              <w:rPr>
                <w:rFonts w:ascii="Calibri" w:hAnsi="Calibri" w:cs="Arial"/>
                <w:sz w:val="16"/>
                <w:szCs w:val="16"/>
              </w:rPr>
              <w:t>Representation from all the relevant jurisdictions and agencies are invited and the majority attend a Dig Once Summit</w:t>
            </w:r>
          </w:p>
        </w:tc>
      </w:tr>
      <w:tr w:rsidR="00103DFF" w:rsidTr="00FA66D1">
        <w:trPr>
          <w:trHeight w:val="342"/>
        </w:trPr>
        <w:tc>
          <w:tcPr>
            <w:tcW w:w="262" w:type="dxa"/>
            <w:tcBorders>
              <w:top w:val="nil"/>
              <w:left w:val="single" w:sz="8" w:space="0" w:color="auto"/>
              <w:bottom w:val="single" w:sz="4" w:space="0" w:color="auto"/>
              <w:right w:val="nil"/>
            </w:tcBorders>
            <w:shd w:val="clear" w:color="auto" w:fill="auto"/>
            <w:noWrap/>
            <w:vAlign w:val="center"/>
            <w:hideMark/>
          </w:tcPr>
          <w:p w:rsidR="00103DFF" w:rsidRDefault="00103DFF">
            <w:pPr>
              <w:rPr>
                <w:rFonts w:ascii="Calibri" w:hAnsi="Calibri" w:cs="Arial"/>
                <w:b/>
                <w:bCs/>
                <w:sz w:val="20"/>
                <w:szCs w:val="20"/>
              </w:rPr>
            </w:pPr>
            <w:r>
              <w:rPr>
                <w:rFonts w:ascii="Calibri" w:hAnsi="Calibri" w:cs="Arial"/>
                <w:b/>
                <w:bCs/>
                <w:sz w:val="20"/>
                <w:szCs w:val="20"/>
              </w:rPr>
              <w:t> </w:t>
            </w:r>
          </w:p>
        </w:tc>
        <w:tc>
          <w:tcPr>
            <w:tcW w:w="357" w:type="dxa"/>
            <w:vMerge/>
            <w:tcBorders>
              <w:top w:val="nil"/>
              <w:left w:val="nil"/>
              <w:bottom w:val="single" w:sz="4" w:space="0" w:color="000000"/>
              <w:right w:val="nil"/>
            </w:tcBorders>
            <w:vAlign w:val="center"/>
            <w:hideMark/>
          </w:tcPr>
          <w:p w:rsidR="00103DFF" w:rsidRDefault="00103DFF">
            <w:pPr>
              <w:rPr>
                <w:rFonts w:ascii="Calibri" w:hAnsi="Calibri" w:cs="Arial"/>
                <w:b/>
                <w:bCs/>
                <w:sz w:val="18"/>
                <w:szCs w:val="18"/>
              </w:rPr>
            </w:pPr>
          </w:p>
        </w:tc>
        <w:tc>
          <w:tcPr>
            <w:tcW w:w="4227" w:type="dxa"/>
            <w:vMerge/>
            <w:tcBorders>
              <w:top w:val="nil"/>
              <w:left w:val="nil"/>
              <w:bottom w:val="single" w:sz="4" w:space="0" w:color="000000"/>
              <w:right w:val="single" w:sz="8" w:space="0" w:color="auto"/>
            </w:tcBorders>
            <w:vAlign w:val="center"/>
            <w:hideMark/>
          </w:tcPr>
          <w:p w:rsidR="00103DFF" w:rsidRDefault="00103DFF">
            <w:pPr>
              <w:rPr>
                <w:rFonts w:ascii="Calibri" w:hAnsi="Calibri" w:cs="Arial"/>
                <w:sz w:val="18"/>
                <w:szCs w:val="18"/>
              </w:rPr>
            </w:pPr>
          </w:p>
        </w:tc>
        <w:tc>
          <w:tcPr>
            <w:tcW w:w="455" w:type="dxa"/>
            <w:tcBorders>
              <w:top w:val="nil"/>
              <w:left w:val="nil"/>
              <w:bottom w:val="single" w:sz="4" w:space="0" w:color="auto"/>
              <w:right w:val="single" w:sz="4" w:space="0" w:color="auto"/>
            </w:tcBorders>
            <w:shd w:val="clear" w:color="000000" w:fill="3366FF"/>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8"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8"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3030" w:type="dxa"/>
            <w:vMerge/>
            <w:tcBorders>
              <w:top w:val="nil"/>
              <w:left w:val="nil"/>
              <w:bottom w:val="single" w:sz="4" w:space="0" w:color="000000"/>
              <w:right w:val="single" w:sz="8" w:space="0" w:color="auto"/>
            </w:tcBorders>
            <w:vAlign w:val="center"/>
            <w:hideMark/>
          </w:tcPr>
          <w:p w:rsidR="00103DFF" w:rsidRDefault="00103DFF">
            <w:pPr>
              <w:rPr>
                <w:rFonts w:ascii="Calibri" w:hAnsi="Calibri" w:cs="Arial"/>
                <w:sz w:val="16"/>
                <w:szCs w:val="16"/>
              </w:rPr>
            </w:pPr>
          </w:p>
        </w:tc>
      </w:tr>
      <w:tr w:rsidR="00103DFF" w:rsidTr="00103DFF">
        <w:trPr>
          <w:trHeight w:val="439"/>
        </w:trPr>
        <w:tc>
          <w:tcPr>
            <w:tcW w:w="262" w:type="dxa"/>
            <w:tcBorders>
              <w:top w:val="nil"/>
              <w:left w:val="single" w:sz="8" w:space="0" w:color="auto"/>
              <w:bottom w:val="nil"/>
              <w:right w:val="nil"/>
            </w:tcBorders>
            <w:shd w:val="clear" w:color="auto" w:fill="auto"/>
            <w:noWrap/>
            <w:vAlign w:val="center"/>
            <w:hideMark/>
          </w:tcPr>
          <w:p w:rsidR="00103DFF" w:rsidRDefault="00103DFF">
            <w:pPr>
              <w:rPr>
                <w:rFonts w:ascii="Calibri" w:hAnsi="Calibri" w:cs="Arial"/>
                <w:b/>
                <w:bCs/>
                <w:sz w:val="20"/>
                <w:szCs w:val="20"/>
              </w:rPr>
            </w:pPr>
            <w:r>
              <w:rPr>
                <w:rFonts w:ascii="Calibri" w:hAnsi="Calibri" w:cs="Arial"/>
                <w:b/>
                <w:bCs/>
                <w:sz w:val="20"/>
                <w:szCs w:val="20"/>
              </w:rPr>
              <w:t> </w:t>
            </w:r>
          </w:p>
        </w:tc>
        <w:tc>
          <w:tcPr>
            <w:tcW w:w="357" w:type="dxa"/>
            <w:vMerge w:val="restart"/>
            <w:tcBorders>
              <w:top w:val="nil"/>
              <w:left w:val="nil"/>
              <w:bottom w:val="single" w:sz="4" w:space="0" w:color="000000"/>
              <w:right w:val="nil"/>
            </w:tcBorders>
            <w:shd w:val="clear" w:color="auto" w:fill="auto"/>
            <w:noWrap/>
            <w:vAlign w:val="center"/>
            <w:hideMark/>
          </w:tcPr>
          <w:p w:rsidR="00103DFF" w:rsidRDefault="00103DFF">
            <w:pPr>
              <w:rPr>
                <w:rFonts w:ascii="Calibri" w:hAnsi="Calibri" w:cs="Arial"/>
                <w:b/>
                <w:bCs/>
                <w:sz w:val="18"/>
                <w:szCs w:val="18"/>
              </w:rPr>
            </w:pPr>
            <w:r>
              <w:rPr>
                <w:rFonts w:ascii="Calibri" w:hAnsi="Calibri" w:cs="Arial"/>
                <w:b/>
                <w:bCs/>
                <w:sz w:val="18"/>
                <w:szCs w:val="18"/>
              </w:rPr>
              <w:t>b</w:t>
            </w:r>
          </w:p>
        </w:tc>
        <w:tc>
          <w:tcPr>
            <w:tcW w:w="4227" w:type="dxa"/>
            <w:vMerge w:val="restart"/>
            <w:tcBorders>
              <w:top w:val="nil"/>
              <w:left w:val="nil"/>
              <w:bottom w:val="single" w:sz="4" w:space="0" w:color="000000"/>
              <w:right w:val="single" w:sz="8" w:space="0" w:color="auto"/>
            </w:tcBorders>
            <w:shd w:val="clear" w:color="auto" w:fill="auto"/>
            <w:vAlign w:val="center"/>
            <w:hideMark/>
          </w:tcPr>
          <w:p w:rsidR="00103DFF" w:rsidRDefault="00103DFF">
            <w:pPr>
              <w:rPr>
                <w:rFonts w:ascii="Calibri" w:hAnsi="Calibri" w:cs="Arial"/>
                <w:sz w:val="18"/>
                <w:szCs w:val="18"/>
              </w:rPr>
            </w:pPr>
            <w:r>
              <w:rPr>
                <w:rFonts w:ascii="Calibri" w:hAnsi="Calibri" w:cs="Arial"/>
                <w:sz w:val="18"/>
                <w:szCs w:val="18"/>
              </w:rPr>
              <w:t xml:space="preserve">Form subcommittee to take input from meeting participants and create a first draft policy </w:t>
            </w:r>
          </w:p>
        </w:tc>
        <w:tc>
          <w:tcPr>
            <w:tcW w:w="455" w:type="dxa"/>
            <w:tcBorders>
              <w:top w:val="nil"/>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000000" w:fill="FF9900"/>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000000" w:fill="FF9900"/>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8"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8"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3030" w:type="dxa"/>
            <w:vMerge w:val="restart"/>
            <w:tcBorders>
              <w:top w:val="nil"/>
              <w:left w:val="nil"/>
              <w:bottom w:val="single" w:sz="4" w:space="0" w:color="000000"/>
              <w:right w:val="single" w:sz="8" w:space="0" w:color="auto"/>
            </w:tcBorders>
            <w:shd w:val="clear" w:color="auto" w:fill="auto"/>
            <w:vAlign w:val="center"/>
            <w:hideMark/>
          </w:tcPr>
          <w:p w:rsidR="00103DFF" w:rsidRDefault="00103DFF">
            <w:pPr>
              <w:rPr>
                <w:rFonts w:ascii="Calibri" w:hAnsi="Calibri" w:cs="Arial"/>
                <w:sz w:val="16"/>
                <w:szCs w:val="16"/>
              </w:rPr>
            </w:pPr>
            <w:r>
              <w:rPr>
                <w:rFonts w:ascii="Calibri" w:hAnsi="Calibri" w:cs="Arial"/>
                <w:sz w:val="16"/>
                <w:szCs w:val="16"/>
              </w:rPr>
              <w:t>Subcommittee is formed during the Summit and a draft policy is created for the group to review, including input on "</w:t>
            </w:r>
            <w:proofErr w:type="spellStart"/>
            <w:r>
              <w:rPr>
                <w:rFonts w:ascii="Calibri" w:hAnsi="Calibri" w:cs="Arial"/>
                <w:sz w:val="16"/>
                <w:szCs w:val="16"/>
              </w:rPr>
              <w:t>typicals</w:t>
            </w:r>
            <w:proofErr w:type="spellEnd"/>
            <w:r>
              <w:rPr>
                <w:rFonts w:ascii="Calibri" w:hAnsi="Calibri" w:cs="Arial"/>
                <w:sz w:val="16"/>
                <w:szCs w:val="16"/>
              </w:rPr>
              <w:t>" from the Civil Engineer</w:t>
            </w:r>
          </w:p>
        </w:tc>
      </w:tr>
      <w:tr w:rsidR="00103DFF" w:rsidTr="00FA66D1">
        <w:trPr>
          <w:trHeight w:val="439"/>
        </w:trPr>
        <w:tc>
          <w:tcPr>
            <w:tcW w:w="262" w:type="dxa"/>
            <w:tcBorders>
              <w:top w:val="nil"/>
              <w:left w:val="single" w:sz="8" w:space="0" w:color="auto"/>
              <w:bottom w:val="nil"/>
              <w:right w:val="nil"/>
            </w:tcBorders>
            <w:shd w:val="clear" w:color="auto" w:fill="auto"/>
            <w:noWrap/>
            <w:vAlign w:val="center"/>
            <w:hideMark/>
          </w:tcPr>
          <w:p w:rsidR="00103DFF" w:rsidRDefault="00103DFF">
            <w:pPr>
              <w:rPr>
                <w:rFonts w:ascii="Calibri" w:hAnsi="Calibri" w:cs="Arial"/>
                <w:b/>
                <w:bCs/>
                <w:sz w:val="20"/>
                <w:szCs w:val="20"/>
              </w:rPr>
            </w:pPr>
            <w:r>
              <w:rPr>
                <w:rFonts w:ascii="Calibri" w:hAnsi="Calibri" w:cs="Arial"/>
                <w:b/>
                <w:bCs/>
                <w:sz w:val="20"/>
                <w:szCs w:val="20"/>
              </w:rPr>
              <w:t> </w:t>
            </w:r>
          </w:p>
        </w:tc>
        <w:tc>
          <w:tcPr>
            <w:tcW w:w="357" w:type="dxa"/>
            <w:vMerge/>
            <w:tcBorders>
              <w:top w:val="nil"/>
              <w:left w:val="nil"/>
              <w:bottom w:val="single" w:sz="4" w:space="0" w:color="000000"/>
              <w:right w:val="nil"/>
            </w:tcBorders>
            <w:vAlign w:val="center"/>
            <w:hideMark/>
          </w:tcPr>
          <w:p w:rsidR="00103DFF" w:rsidRDefault="00103DFF">
            <w:pPr>
              <w:rPr>
                <w:rFonts w:ascii="Calibri" w:hAnsi="Calibri" w:cs="Arial"/>
                <w:b/>
                <w:bCs/>
                <w:sz w:val="18"/>
                <w:szCs w:val="18"/>
              </w:rPr>
            </w:pPr>
          </w:p>
        </w:tc>
        <w:tc>
          <w:tcPr>
            <w:tcW w:w="4227" w:type="dxa"/>
            <w:vMerge/>
            <w:tcBorders>
              <w:top w:val="nil"/>
              <w:left w:val="nil"/>
              <w:bottom w:val="single" w:sz="4" w:space="0" w:color="000000"/>
              <w:right w:val="single" w:sz="8" w:space="0" w:color="auto"/>
            </w:tcBorders>
            <w:vAlign w:val="center"/>
            <w:hideMark/>
          </w:tcPr>
          <w:p w:rsidR="00103DFF" w:rsidRDefault="00103DFF">
            <w:pPr>
              <w:rPr>
                <w:rFonts w:ascii="Calibri" w:hAnsi="Calibri" w:cs="Arial"/>
                <w:sz w:val="18"/>
                <w:szCs w:val="18"/>
              </w:rPr>
            </w:pPr>
          </w:p>
        </w:tc>
        <w:tc>
          <w:tcPr>
            <w:tcW w:w="455" w:type="dxa"/>
            <w:tcBorders>
              <w:top w:val="nil"/>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000000" w:fill="3366FF"/>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000000" w:fill="3366FF"/>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8"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8"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3030" w:type="dxa"/>
            <w:vMerge/>
            <w:tcBorders>
              <w:top w:val="nil"/>
              <w:left w:val="nil"/>
              <w:bottom w:val="single" w:sz="4" w:space="0" w:color="000000"/>
              <w:right w:val="single" w:sz="8" w:space="0" w:color="auto"/>
            </w:tcBorders>
            <w:vAlign w:val="center"/>
            <w:hideMark/>
          </w:tcPr>
          <w:p w:rsidR="00103DFF" w:rsidRDefault="00103DFF">
            <w:pPr>
              <w:rPr>
                <w:rFonts w:ascii="Calibri" w:hAnsi="Calibri" w:cs="Arial"/>
                <w:sz w:val="16"/>
                <w:szCs w:val="16"/>
              </w:rPr>
            </w:pPr>
          </w:p>
        </w:tc>
      </w:tr>
      <w:tr w:rsidR="00103DFF" w:rsidTr="00FA66D1">
        <w:trPr>
          <w:trHeight w:val="330"/>
        </w:trPr>
        <w:tc>
          <w:tcPr>
            <w:tcW w:w="262" w:type="dxa"/>
            <w:tcBorders>
              <w:top w:val="nil"/>
              <w:left w:val="single" w:sz="8" w:space="0" w:color="auto"/>
              <w:bottom w:val="single" w:sz="4" w:space="0" w:color="auto"/>
              <w:right w:val="nil"/>
            </w:tcBorders>
            <w:shd w:val="clear" w:color="auto" w:fill="auto"/>
            <w:noWrap/>
            <w:vAlign w:val="center"/>
            <w:hideMark/>
          </w:tcPr>
          <w:p w:rsidR="00103DFF" w:rsidRDefault="00103DFF">
            <w:pPr>
              <w:rPr>
                <w:rFonts w:ascii="Calibri" w:hAnsi="Calibri" w:cs="Arial"/>
                <w:b/>
                <w:bCs/>
                <w:sz w:val="20"/>
                <w:szCs w:val="20"/>
              </w:rPr>
            </w:pPr>
            <w:r>
              <w:rPr>
                <w:rFonts w:ascii="Calibri" w:hAnsi="Calibri" w:cs="Arial"/>
                <w:b/>
                <w:bCs/>
                <w:sz w:val="20"/>
                <w:szCs w:val="20"/>
              </w:rPr>
              <w:t> </w:t>
            </w:r>
          </w:p>
        </w:tc>
        <w:tc>
          <w:tcPr>
            <w:tcW w:w="357" w:type="dxa"/>
            <w:vMerge/>
            <w:tcBorders>
              <w:top w:val="nil"/>
              <w:left w:val="nil"/>
              <w:bottom w:val="single" w:sz="4" w:space="0" w:color="000000"/>
              <w:right w:val="nil"/>
            </w:tcBorders>
            <w:vAlign w:val="center"/>
            <w:hideMark/>
          </w:tcPr>
          <w:p w:rsidR="00103DFF" w:rsidRDefault="00103DFF">
            <w:pPr>
              <w:rPr>
                <w:rFonts w:ascii="Calibri" w:hAnsi="Calibri" w:cs="Arial"/>
                <w:b/>
                <w:bCs/>
                <w:sz w:val="18"/>
                <w:szCs w:val="18"/>
              </w:rPr>
            </w:pPr>
          </w:p>
        </w:tc>
        <w:tc>
          <w:tcPr>
            <w:tcW w:w="4227" w:type="dxa"/>
            <w:vMerge/>
            <w:tcBorders>
              <w:top w:val="nil"/>
              <w:left w:val="nil"/>
              <w:bottom w:val="single" w:sz="4" w:space="0" w:color="000000"/>
              <w:right w:val="single" w:sz="8" w:space="0" w:color="auto"/>
            </w:tcBorders>
            <w:vAlign w:val="center"/>
            <w:hideMark/>
          </w:tcPr>
          <w:p w:rsidR="00103DFF" w:rsidRDefault="00103DFF">
            <w:pPr>
              <w:rPr>
                <w:rFonts w:ascii="Calibri" w:hAnsi="Calibri" w:cs="Arial"/>
                <w:sz w:val="18"/>
                <w:szCs w:val="18"/>
              </w:rPr>
            </w:pPr>
          </w:p>
        </w:tc>
        <w:tc>
          <w:tcPr>
            <w:tcW w:w="455" w:type="dxa"/>
            <w:tcBorders>
              <w:top w:val="nil"/>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000000" w:fill="3366FF"/>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000000" w:fill="FFFF00"/>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8"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8"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3030" w:type="dxa"/>
            <w:vMerge/>
            <w:tcBorders>
              <w:top w:val="nil"/>
              <w:left w:val="nil"/>
              <w:bottom w:val="single" w:sz="4" w:space="0" w:color="000000"/>
              <w:right w:val="single" w:sz="8" w:space="0" w:color="auto"/>
            </w:tcBorders>
            <w:vAlign w:val="center"/>
            <w:hideMark/>
          </w:tcPr>
          <w:p w:rsidR="00103DFF" w:rsidRDefault="00103DFF">
            <w:pPr>
              <w:rPr>
                <w:rFonts w:ascii="Calibri" w:hAnsi="Calibri" w:cs="Arial"/>
                <w:sz w:val="16"/>
                <w:szCs w:val="16"/>
              </w:rPr>
            </w:pPr>
          </w:p>
        </w:tc>
      </w:tr>
      <w:tr w:rsidR="00103DFF" w:rsidTr="00FA66D1">
        <w:trPr>
          <w:trHeight w:val="342"/>
        </w:trPr>
        <w:tc>
          <w:tcPr>
            <w:tcW w:w="262" w:type="dxa"/>
            <w:tcBorders>
              <w:top w:val="nil"/>
              <w:left w:val="single" w:sz="8" w:space="0" w:color="auto"/>
              <w:bottom w:val="nil"/>
              <w:right w:val="nil"/>
            </w:tcBorders>
            <w:shd w:val="clear" w:color="auto" w:fill="auto"/>
            <w:noWrap/>
            <w:vAlign w:val="center"/>
            <w:hideMark/>
          </w:tcPr>
          <w:p w:rsidR="00103DFF" w:rsidRDefault="00103DFF">
            <w:pPr>
              <w:rPr>
                <w:rFonts w:ascii="Calibri" w:hAnsi="Calibri" w:cs="Arial"/>
                <w:b/>
                <w:bCs/>
                <w:sz w:val="20"/>
                <w:szCs w:val="20"/>
              </w:rPr>
            </w:pPr>
            <w:r>
              <w:rPr>
                <w:rFonts w:ascii="Calibri" w:hAnsi="Calibri" w:cs="Arial"/>
                <w:b/>
                <w:bCs/>
                <w:sz w:val="20"/>
                <w:szCs w:val="20"/>
              </w:rPr>
              <w:t> </w:t>
            </w:r>
          </w:p>
        </w:tc>
        <w:tc>
          <w:tcPr>
            <w:tcW w:w="357" w:type="dxa"/>
            <w:vMerge w:val="restart"/>
            <w:tcBorders>
              <w:top w:val="nil"/>
              <w:left w:val="nil"/>
              <w:bottom w:val="single" w:sz="4" w:space="0" w:color="000000"/>
              <w:right w:val="nil"/>
            </w:tcBorders>
            <w:shd w:val="clear" w:color="auto" w:fill="auto"/>
            <w:noWrap/>
            <w:vAlign w:val="center"/>
            <w:hideMark/>
          </w:tcPr>
          <w:p w:rsidR="00103DFF" w:rsidRDefault="00103DFF">
            <w:pPr>
              <w:rPr>
                <w:rFonts w:ascii="Calibri" w:hAnsi="Calibri" w:cs="Arial"/>
                <w:b/>
                <w:bCs/>
                <w:sz w:val="18"/>
                <w:szCs w:val="18"/>
              </w:rPr>
            </w:pPr>
            <w:r>
              <w:rPr>
                <w:rFonts w:ascii="Calibri" w:hAnsi="Calibri" w:cs="Arial"/>
                <w:b/>
                <w:bCs/>
                <w:sz w:val="18"/>
                <w:szCs w:val="18"/>
              </w:rPr>
              <w:t>c</w:t>
            </w:r>
          </w:p>
        </w:tc>
        <w:tc>
          <w:tcPr>
            <w:tcW w:w="4227" w:type="dxa"/>
            <w:vMerge w:val="restart"/>
            <w:tcBorders>
              <w:top w:val="nil"/>
              <w:left w:val="nil"/>
              <w:bottom w:val="single" w:sz="4" w:space="0" w:color="000000"/>
              <w:right w:val="single" w:sz="8" w:space="0" w:color="auto"/>
            </w:tcBorders>
            <w:shd w:val="clear" w:color="auto" w:fill="auto"/>
            <w:vAlign w:val="center"/>
            <w:hideMark/>
          </w:tcPr>
          <w:p w:rsidR="00103DFF" w:rsidRDefault="00103DFF">
            <w:pPr>
              <w:rPr>
                <w:rFonts w:ascii="Calibri" w:hAnsi="Calibri" w:cs="Arial"/>
                <w:sz w:val="18"/>
                <w:szCs w:val="18"/>
              </w:rPr>
            </w:pPr>
            <w:r>
              <w:rPr>
                <w:rFonts w:ascii="Calibri" w:hAnsi="Calibri" w:cs="Arial"/>
                <w:sz w:val="18"/>
                <w:szCs w:val="18"/>
              </w:rPr>
              <w:t>Reconvene larger group to gain final input</w:t>
            </w:r>
          </w:p>
        </w:tc>
        <w:tc>
          <w:tcPr>
            <w:tcW w:w="455" w:type="dxa"/>
            <w:tcBorders>
              <w:top w:val="nil"/>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8" w:space="0" w:color="auto"/>
            </w:tcBorders>
            <w:shd w:val="clear" w:color="000000" w:fill="FF9900"/>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8"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3030" w:type="dxa"/>
            <w:vMerge w:val="restart"/>
            <w:tcBorders>
              <w:top w:val="nil"/>
              <w:left w:val="nil"/>
              <w:bottom w:val="single" w:sz="4" w:space="0" w:color="000000"/>
              <w:right w:val="single" w:sz="8" w:space="0" w:color="auto"/>
            </w:tcBorders>
            <w:shd w:val="clear" w:color="auto" w:fill="auto"/>
            <w:vAlign w:val="center"/>
            <w:hideMark/>
          </w:tcPr>
          <w:p w:rsidR="00103DFF" w:rsidRDefault="00103DFF">
            <w:pPr>
              <w:rPr>
                <w:rFonts w:ascii="Calibri" w:hAnsi="Calibri" w:cs="Arial"/>
                <w:sz w:val="16"/>
                <w:szCs w:val="16"/>
              </w:rPr>
            </w:pPr>
            <w:r>
              <w:rPr>
                <w:rFonts w:ascii="Calibri" w:hAnsi="Calibri" w:cs="Arial"/>
                <w:sz w:val="16"/>
                <w:szCs w:val="16"/>
              </w:rPr>
              <w:t>Input is taken and consensus reached on a final draft policy by the larger group</w:t>
            </w:r>
          </w:p>
        </w:tc>
      </w:tr>
      <w:tr w:rsidR="00103DFF" w:rsidTr="00FA66D1">
        <w:trPr>
          <w:trHeight w:val="342"/>
        </w:trPr>
        <w:tc>
          <w:tcPr>
            <w:tcW w:w="262" w:type="dxa"/>
            <w:tcBorders>
              <w:top w:val="nil"/>
              <w:left w:val="single" w:sz="8" w:space="0" w:color="auto"/>
              <w:bottom w:val="single" w:sz="4" w:space="0" w:color="auto"/>
              <w:right w:val="nil"/>
            </w:tcBorders>
            <w:shd w:val="clear" w:color="auto" w:fill="auto"/>
            <w:noWrap/>
            <w:vAlign w:val="center"/>
            <w:hideMark/>
          </w:tcPr>
          <w:p w:rsidR="00103DFF" w:rsidRDefault="00103DFF">
            <w:pPr>
              <w:rPr>
                <w:rFonts w:ascii="Calibri" w:hAnsi="Calibri" w:cs="Arial"/>
                <w:b/>
                <w:bCs/>
                <w:sz w:val="20"/>
                <w:szCs w:val="20"/>
              </w:rPr>
            </w:pPr>
            <w:r>
              <w:rPr>
                <w:rFonts w:ascii="Calibri" w:hAnsi="Calibri" w:cs="Arial"/>
                <w:b/>
                <w:bCs/>
                <w:sz w:val="20"/>
                <w:szCs w:val="20"/>
              </w:rPr>
              <w:t> </w:t>
            </w:r>
          </w:p>
        </w:tc>
        <w:tc>
          <w:tcPr>
            <w:tcW w:w="357" w:type="dxa"/>
            <w:vMerge/>
            <w:tcBorders>
              <w:top w:val="nil"/>
              <w:left w:val="nil"/>
              <w:bottom w:val="single" w:sz="4" w:space="0" w:color="000000"/>
              <w:right w:val="nil"/>
            </w:tcBorders>
            <w:vAlign w:val="center"/>
            <w:hideMark/>
          </w:tcPr>
          <w:p w:rsidR="00103DFF" w:rsidRDefault="00103DFF">
            <w:pPr>
              <w:rPr>
                <w:rFonts w:ascii="Calibri" w:hAnsi="Calibri" w:cs="Arial"/>
                <w:b/>
                <w:bCs/>
                <w:sz w:val="18"/>
                <w:szCs w:val="18"/>
              </w:rPr>
            </w:pPr>
          </w:p>
        </w:tc>
        <w:tc>
          <w:tcPr>
            <w:tcW w:w="4227" w:type="dxa"/>
            <w:vMerge/>
            <w:tcBorders>
              <w:top w:val="nil"/>
              <w:left w:val="nil"/>
              <w:bottom w:val="single" w:sz="4" w:space="0" w:color="000000"/>
              <w:right w:val="single" w:sz="8" w:space="0" w:color="auto"/>
            </w:tcBorders>
            <w:vAlign w:val="center"/>
            <w:hideMark/>
          </w:tcPr>
          <w:p w:rsidR="00103DFF" w:rsidRDefault="00103DFF">
            <w:pPr>
              <w:rPr>
                <w:rFonts w:ascii="Calibri" w:hAnsi="Calibri" w:cs="Arial"/>
                <w:sz w:val="18"/>
                <w:szCs w:val="18"/>
              </w:rPr>
            </w:pPr>
          </w:p>
        </w:tc>
        <w:tc>
          <w:tcPr>
            <w:tcW w:w="455" w:type="dxa"/>
            <w:tcBorders>
              <w:top w:val="nil"/>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8" w:space="0" w:color="auto"/>
            </w:tcBorders>
            <w:shd w:val="clear" w:color="000000" w:fill="3366FF"/>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8"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3030" w:type="dxa"/>
            <w:vMerge/>
            <w:tcBorders>
              <w:top w:val="nil"/>
              <w:left w:val="nil"/>
              <w:bottom w:val="single" w:sz="4" w:space="0" w:color="000000"/>
              <w:right w:val="single" w:sz="8" w:space="0" w:color="auto"/>
            </w:tcBorders>
            <w:vAlign w:val="center"/>
            <w:hideMark/>
          </w:tcPr>
          <w:p w:rsidR="00103DFF" w:rsidRDefault="00103DFF">
            <w:pPr>
              <w:rPr>
                <w:rFonts w:ascii="Calibri" w:hAnsi="Calibri" w:cs="Arial"/>
                <w:sz w:val="16"/>
                <w:szCs w:val="16"/>
              </w:rPr>
            </w:pPr>
          </w:p>
        </w:tc>
      </w:tr>
      <w:tr w:rsidR="00103DFF" w:rsidTr="00103DFF">
        <w:trPr>
          <w:trHeight w:val="342"/>
        </w:trPr>
        <w:tc>
          <w:tcPr>
            <w:tcW w:w="262" w:type="dxa"/>
            <w:tcBorders>
              <w:top w:val="nil"/>
              <w:left w:val="single" w:sz="8" w:space="0" w:color="auto"/>
              <w:bottom w:val="nil"/>
              <w:right w:val="nil"/>
            </w:tcBorders>
            <w:shd w:val="clear" w:color="auto" w:fill="auto"/>
            <w:noWrap/>
            <w:vAlign w:val="center"/>
            <w:hideMark/>
          </w:tcPr>
          <w:p w:rsidR="00103DFF" w:rsidRDefault="00103DFF">
            <w:pPr>
              <w:rPr>
                <w:rFonts w:ascii="Calibri" w:hAnsi="Calibri" w:cs="Arial"/>
                <w:b/>
                <w:bCs/>
                <w:sz w:val="20"/>
                <w:szCs w:val="20"/>
              </w:rPr>
            </w:pPr>
            <w:r>
              <w:rPr>
                <w:rFonts w:ascii="Calibri" w:hAnsi="Calibri" w:cs="Arial"/>
                <w:b/>
                <w:bCs/>
                <w:sz w:val="20"/>
                <w:szCs w:val="20"/>
              </w:rPr>
              <w:t> </w:t>
            </w:r>
          </w:p>
        </w:tc>
        <w:tc>
          <w:tcPr>
            <w:tcW w:w="357" w:type="dxa"/>
            <w:vMerge w:val="restart"/>
            <w:tcBorders>
              <w:top w:val="nil"/>
              <w:left w:val="nil"/>
              <w:bottom w:val="single" w:sz="4" w:space="0" w:color="000000"/>
              <w:right w:val="nil"/>
            </w:tcBorders>
            <w:shd w:val="clear" w:color="auto" w:fill="auto"/>
            <w:noWrap/>
            <w:vAlign w:val="center"/>
            <w:hideMark/>
          </w:tcPr>
          <w:p w:rsidR="00103DFF" w:rsidRDefault="00103DFF">
            <w:pPr>
              <w:rPr>
                <w:rFonts w:ascii="Calibri" w:hAnsi="Calibri" w:cs="Arial"/>
                <w:b/>
                <w:bCs/>
                <w:sz w:val="18"/>
                <w:szCs w:val="18"/>
              </w:rPr>
            </w:pPr>
            <w:r>
              <w:rPr>
                <w:rFonts w:ascii="Calibri" w:hAnsi="Calibri" w:cs="Arial"/>
                <w:b/>
                <w:bCs/>
                <w:sz w:val="18"/>
                <w:szCs w:val="18"/>
              </w:rPr>
              <w:t>d</w:t>
            </w:r>
          </w:p>
        </w:tc>
        <w:tc>
          <w:tcPr>
            <w:tcW w:w="4227" w:type="dxa"/>
            <w:vMerge w:val="restart"/>
            <w:tcBorders>
              <w:top w:val="nil"/>
              <w:left w:val="nil"/>
              <w:bottom w:val="single" w:sz="4" w:space="0" w:color="000000"/>
              <w:right w:val="single" w:sz="8" w:space="0" w:color="auto"/>
            </w:tcBorders>
            <w:shd w:val="clear" w:color="auto" w:fill="auto"/>
            <w:vAlign w:val="center"/>
            <w:hideMark/>
          </w:tcPr>
          <w:p w:rsidR="00103DFF" w:rsidRDefault="00103DFF">
            <w:pPr>
              <w:rPr>
                <w:rFonts w:ascii="Calibri" w:hAnsi="Calibri" w:cs="Arial"/>
                <w:sz w:val="18"/>
                <w:szCs w:val="18"/>
              </w:rPr>
            </w:pPr>
            <w:r>
              <w:rPr>
                <w:rFonts w:ascii="Calibri" w:hAnsi="Calibri" w:cs="Arial"/>
                <w:sz w:val="18"/>
                <w:szCs w:val="18"/>
              </w:rPr>
              <w:t xml:space="preserve">Finalize policy and work with each entity to get policy adopted within their organization </w:t>
            </w:r>
          </w:p>
        </w:tc>
        <w:tc>
          <w:tcPr>
            <w:tcW w:w="455" w:type="dxa"/>
            <w:tcBorders>
              <w:top w:val="nil"/>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8"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000000" w:fill="FF9900"/>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000000" w:fill="FF9900"/>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000000" w:fill="FF9900"/>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8"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3030" w:type="dxa"/>
            <w:vMerge w:val="restart"/>
            <w:tcBorders>
              <w:top w:val="nil"/>
              <w:left w:val="nil"/>
              <w:bottom w:val="single" w:sz="4" w:space="0" w:color="000000"/>
              <w:right w:val="single" w:sz="8" w:space="0" w:color="auto"/>
            </w:tcBorders>
            <w:shd w:val="clear" w:color="auto" w:fill="auto"/>
            <w:vAlign w:val="center"/>
            <w:hideMark/>
          </w:tcPr>
          <w:p w:rsidR="00103DFF" w:rsidRDefault="00103DFF">
            <w:pPr>
              <w:rPr>
                <w:rFonts w:ascii="Calibri" w:hAnsi="Calibri" w:cs="Arial"/>
                <w:sz w:val="16"/>
                <w:szCs w:val="16"/>
              </w:rPr>
            </w:pPr>
            <w:r>
              <w:rPr>
                <w:rFonts w:ascii="Calibri" w:hAnsi="Calibri" w:cs="Arial"/>
                <w:sz w:val="16"/>
                <w:szCs w:val="16"/>
              </w:rPr>
              <w:t>TBP Project Manager, assisted by the  BB consultant when needed, works with each participant organization to get the Dig Once Policy adopted</w:t>
            </w:r>
          </w:p>
        </w:tc>
      </w:tr>
      <w:tr w:rsidR="00103DFF" w:rsidTr="00FA66D1">
        <w:trPr>
          <w:trHeight w:val="342"/>
        </w:trPr>
        <w:tc>
          <w:tcPr>
            <w:tcW w:w="262" w:type="dxa"/>
            <w:tcBorders>
              <w:top w:val="nil"/>
              <w:left w:val="single" w:sz="8" w:space="0" w:color="auto"/>
              <w:bottom w:val="nil"/>
              <w:right w:val="nil"/>
            </w:tcBorders>
            <w:shd w:val="clear" w:color="auto" w:fill="auto"/>
            <w:noWrap/>
            <w:vAlign w:val="center"/>
            <w:hideMark/>
          </w:tcPr>
          <w:p w:rsidR="00103DFF" w:rsidRDefault="00103DFF">
            <w:pPr>
              <w:rPr>
                <w:rFonts w:ascii="Calibri" w:hAnsi="Calibri" w:cs="Arial"/>
                <w:b/>
                <w:bCs/>
                <w:sz w:val="20"/>
                <w:szCs w:val="20"/>
              </w:rPr>
            </w:pPr>
            <w:r>
              <w:rPr>
                <w:rFonts w:ascii="Calibri" w:hAnsi="Calibri" w:cs="Arial"/>
                <w:b/>
                <w:bCs/>
                <w:sz w:val="20"/>
                <w:szCs w:val="20"/>
              </w:rPr>
              <w:t> </w:t>
            </w:r>
          </w:p>
        </w:tc>
        <w:tc>
          <w:tcPr>
            <w:tcW w:w="357" w:type="dxa"/>
            <w:vMerge/>
            <w:tcBorders>
              <w:top w:val="nil"/>
              <w:left w:val="nil"/>
              <w:bottom w:val="single" w:sz="4" w:space="0" w:color="000000"/>
              <w:right w:val="nil"/>
            </w:tcBorders>
            <w:vAlign w:val="center"/>
            <w:hideMark/>
          </w:tcPr>
          <w:p w:rsidR="00103DFF" w:rsidRDefault="00103DFF">
            <w:pPr>
              <w:rPr>
                <w:rFonts w:ascii="Calibri" w:hAnsi="Calibri" w:cs="Arial"/>
                <w:b/>
                <w:bCs/>
                <w:sz w:val="18"/>
                <w:szCs w:val="18"/>
              </w:rPr>
            </w:pPr>
          </w:p>
        </w:tc>
        <w:tc>
          <w:tcPr>
            <w:tcW w:w="4227" w:type="dxa"/>
            <w:vMerge/>
            <w:tcBorders>
              <w:top w:val="nil"/>
              <w:left w:val="nil"/>
              <w:bottom w:val="single" w:sz="4" w:space="0" w:color="000000"/>
              <w:right w:val="single" w:sz="8" w:space="0" w:color="auto"/>
            </w:tcBorders>
            <w:vAlign w:val="center"/>
            <w:hideMark/>
          </w:tcPr>
          <w:p w:rsidR="00103DFF" w:rsidRDefault="00103DFF">
            <w:pPr>
              <w:rPr>
                <w:rFonts w:ascii="Calibri" w:hAnsi="Calibri" w:cs="Arial"/>
                <w:sz w:val="18"/>
                <w:szCs w:val="18"/>
              </w:rPr>
            </w:pPr>
          </w:p>
        </w:tc>
        <w:tc>
          <w:tcPr>
            <w:tcW w:w="455" w:type="dxa"/>
            <w:tcBorders>
              <w:top w:val="nil"/>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8"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000000" w:fill="3366FF"/>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000000" w:fill="3366FF"/>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000000" w:fill="3366FF"/>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8"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3030" w:type="dxa"/>
            <w:vMerge/>
            <w:tcBorders>
              <w:top w:val="nil"/>
              <w:left w:val="nil"/>
              <w:bottom w:val="single" w:sz="4" w:space="0" w:color="000000"/>
              <w:right w:val="single" w:sz="8" w:space="0" w:color="auto"/>
            </w:tcBorders>
            <w:vAlign w:val="center"/>
            <w:hideMark/>
          </w:tcPr>
          <w:p w:rsidR="00103DFF" w:rsidRDefault="00103DFF">
            <w:pPr>
              <w:rPr>
                <w:rFonts w:ascii="Calibri" w:hAnsi="Calibri" w:cs="Arial"/>
                <w:sz w:val="16"/>
                <w:szCs w:val="16"/>
              </w:rPr>
            </w:pPr>
          </w:p>
        </w:tc>
      </w:tr>
      <w:tr w:rsidR="00103DFF" w:rsidTr="00FA66D1">
        <w:trPr>
          <w:trHeight w:val="342"/>
        </w:trPr>
        <w:tc>
          <w:tcPr>
            <w:tcW w:w="262" w:type="dxa"/>
            <w:tcBorders>
              <w:top w:val="nil"/>
              <w:left w:val="single" w:sz="8" w:space="0" w:color="auto"/>
              <w:bottom w:val="single" w:sz="4" w:space="0" w:color="auto"/>
              <w:right w:val="nil"/>
            </w:tcBorders>
            <w:shd w:val="clear" w:color="auto" w:fill="auto"/>
            <w:noWrap/>
            <w:vAlign w:val="center"/>
            <w:hideMark/>
          </w:tcPr>
          <w:p w:rsidR="00103DFF" w:rsidRDefault="00103DFF">
            <w:pPr>
              <w:rPr>
                <w:rFonts w:ascii="Calibri" w:hAnsi="Calibri" w:cs="Arial"/>
                <w:b/>
                <w:bCs/>
                <w:sz w:val="20"/>
                <w:szCs w:val="20"/>
              </w:rPr>
            </w:pPr>
            <w:r>
              <w:rPr>
                <w:rFonts w:ascii="Calibri" w:hAnsi="Calibri" w:cs="Arial"/>
                <w:b/>
                <w:bCs/>
                <w:sz w:val="20"/>
                <w:szCs w:val="20"/>
              </w:rPr>
              <w:t> </w:t>
            </w:r>
          </w:p>
        </w:tc>
        <w:tc>
          <w:tcPr>
            <w:tcW w:w="357" w:type="dxa"/>
            <w:vMerge/>
            <w:tcBorders>
              <w:top w:val="nil"/>
              <w:left w:val="nil"/>
              <w:bottom w:val="single" w:sz="4" w:space="0" w:color="000000"/>
              <w:right w:val="nil"/>
            </w:tcBorders>
            <w:vAlign w:val="center"/>
            <w:hideMark/>
          </w:tcPr>
          <w:p w:rsidR="00103DFF" w:rsidRDefault="00103DFF">
            <w:pPr>
              <w:rPr>
                <w:rFonts w:ascii="Calibri" w:hAnsi="Calibri" w:cs="Arial"/>
                <w:b/>
                <w:bCs/>
                <w:sz w:val="18"/>
                <w:szCs w:val="18"/>
              </w:rPr>
            </w:pPr>
          </w:p>
        </w:tc>
        <w:tc>
          <w:tcPr>
            <w:tcW w:w="4227" w:type="dxa"/>
            <w:vMerge/>
            <w:tcBorders>
              <w:top w:val="nil"/>
              <w:left w:val="nil"/>
              <w:bottom w:val="single" w:sz="4" w:space="0" w:color="000000"/>
              <w:right w:val="single" w:sz="8" w:space="0" w:color="auto"/>
            </w:tcBorders>
            <w:vAlign w:val="center"/>
            <w:hideMark/>
          </w:tcPr>
          <w:p w:rsidR="00103DFF" w:rsidRDefault="00103DFF">
            <w:pPr>
              <w:rPr>
                <w:rFonts w:ascii="Calibri" w:hAnsi="Calibri" w:cs="Arial"/>
                <w:sz w:val="18"/>
                <w:szCs w:val="18"/>
              </w:rPr>
            </w:pPr>
          </w:p>
        </w:tc>
        <w:tc>
          <w:tcPr>
            <w:tcW w:w="455" w:type="dxa"/>
            <w:tcBorders>
              <w:top w:val="nil"/>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8"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000000" w:fill="FFFF00"/>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8"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3030" w:type="dxa"/>
            <w:vMerge/>
            <w:tcBorders>
              <w:top w:val="nil"/>
              <w:left w:val="nil"/>
              <w:bottom w:val="single" w:sz="4" w:space="0" w:color="000000"/>
              <w:right w:val="single" w:sz="8" w:space="0" w:color="auto"/>
            </w:tcBorders>
            <w:vAlign w:val="center"/>
            <w:hideMark/>
          </w:tcPr>
          <w:p w:rsidR="00103DFF" w:rsidRDefault="00103DFF">
            <w:pPr>
              <w:rPr>
                <w:rFonts w:ascii="Calibri" w:hAnsi="Calibri" w:cs="Arial"/>
                <w:sz w:val="16"/>
                <w:szCs w:val="16"/>
              </w:rPr>
            </w:pPr>
          </w:p>
        </w:tc>
      </w:tr>
      <w:tr w:rsidR="00103DFF" w:rsidTr="00FA66D1">
        <w:trPr>
          <w:trHeight w:val="795"/>
        </w:trPr>
        <w:tc>
          <w:tcPr>
            <w:tcW w:w="262" w:type="dxa"/>
            <w:tcBorders>
              <w:top w:val="nil"/>
              <w:left w:val="single" w:sz="8" w:space="0" w:color="auto"/>
              <w:bottom w:val="single" w:sz="8" w:space="0" w:color="auto"/>
              <w:right w:val="nil"/>
            </w:tcBorders>
            <w:shd w:val="clear" w:color="auto" w:fill="auto"/>
            <w:noWrap/>
            <w:vAlign w:val="center"/>
            <w:hideMark/>
          </w:tcPr>
          <w:p w:rsidR="00103DFF" w:rsidRDefault="00103DFF">
            <w:pPr>
              <w:rPr>
                <w:rFonts w:ascii="Calibri" w:hAnsi="Calibri" w:cs="Arial"/>
                <w:b/>
                <w:bCs/>
                <w:sz w:val="20"/>
                <w:szCs w:val="20"/>
              </w:rPr>
            </w:pPr>
            <w:r>
              <w:rPr>
                <w:rFonts w:ascii="Calibri" w:hAnsi="Calibri" w:cs="Arial"/>
                <w:b/>
                <w:bCs/>
                <w:sz w:val="20"/>
                <w:szCs w:val="20"/>
              </w:rPr>
              <w:lastRenderedPageBreak/>
              <w:t> </w:t>
            </w:r>
          </w:p>
        </w:tc>
        <w:tc>
          <w:tcPr>
            <w:tcW w:w="357" w:type="dxa"/>
            <w:tcBorders>
              <w:top w:val="nil"/>
              <w:left w:val="nil"/>
              <w:bottom w:val="single" w:sz="8" w:space="0" w:color="auto"/>
              <w:right w:val="nil"/>
            </w:tcBorders>
            <w:shd w:val="clear" w:color="auto" w:fill="auto"/>
            <w:noWrap/>
            <w:vAlign w:val="center"/>
            <w:hideMark/>
          </w:tcPr>
          <w:p w:rsidR="00103DFF" w:rsidRDefault="00103DFF">
            <w:pPr>
              <w:rPr>
                <w:rFonts w:ascii="Calibri" w:hAnsi="Calibri" w:cs="Arial"/>
                <w:b/>
                <w:bCs/>
                <w:sz w:val="18"/>
                <w:szCs w:val="18"/>
              </w:rPr>
            </w:pPr>
            <w:r>
              <w:rPr>
                <w:rFonts w:ascii="Calibri" w:hAnsi="Calibri" w:cs="Arial"/>
                <w:b/>
                <w:bCs/>
                <w:sz w:val="18"/>
                <w:szCs w:val="18"/>
              </w:rPr>
              <w:t>e</w:t>
            </w:r>
          </w:p>
        </w:tc>
        <w:tc>
          <w:tcPr>
            <w:tcW w:w="4227" w:type="dxa"/>
            <w:tcBorders>
              <w:top w:val="nil"/>
              <w:left w:val="nil"/>
              <w:bottom w:val="single" w:sz="8" w:space="0" w:color="auto"/>
              <w:right w:val="single" w:sz="8" w:space="0" w:color="auto"/>
            </w:tcBorders>
            <w:shd w:val="clear" w:color="auto" w:fill="auto"/>
            <w:vAlign w:val="center"/>
            <w:hideMark/>
          </w:tcPr>
          <w:p w:rsidR="00103DFF" w:rsidRDefault="00103DFF">
            <w:pPr>
              <w:rPr>
                <w:rFonts w:ascii="Calibri" w:hAnsi="Calibri" w:cs="Arial"/>
                <w:sz w:val="18"/>
                <w:szCs w:val="18"/>
              </w:rPr>
            </w:pPr>
            <w:r>
              <w:rPr>
                <w:rFonts w:ascii="Calibri" w:hAnsi="Calibri" w:cs="Arial"/>
                <w:sz w:val="18"/>
                <w:szCs w:val="18"/>
              </w:rPr>
              <w:t xml:space="preserve">Explore the possibility of having the Tahoe Regional Planning Agency </w:t>
            </w:r>
            <w:proofErr w:type="gramStart"/>
            <w:r>
              <w:rPr>
                <w:rFonts w:ascii="Calibri" w:hAnsi="Calibri" w:cs="Arial"/>
                <w:sz w:val="18"/>
                <w:szCs w:val="18"/>
              </w:rPr>
              <w:t>be</w:t>
            </w:r>
            <w:proofErr w:type="gramEnd"/>
            <w:r>
              <w:rPr>
                <w:rFonts w:ascii="Calibri" w:hAnsi="Calibri" w:cs="Arial"/>
                <w:sz w:val="18"/>
                <w:szCs w:val="18"/>
              </w:rPr>
              <w:t xml:space="preserve"> the implementer of the policy through their permitting process.</w:t>
            </w:r>
          </w:p>
        </w:tc>
        <w:tc>
          <w:tcPr>
            <w:tcW w:w="455" w:type="dxa"/>
            <w:tcBorders>
              <w:top w:val="nil"/>
              <w:left w:val="nil"/>
              <w:bottom w:val="single" w:sz="8"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8"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8"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8" w:space="0" w:color="auto"/>
              <w:right w:val="single" w:sz="8"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8" w:space="0" w:color="auto"/>
              <w:right w:val="single" w:sz="4" w:space="0" w:color="auto"/>
            </w:tcBorders>
            <w:shd w:val="clear" w:color="000000" w:fill="FF9900"/>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8" w:space="0" w:color="auto"/>
              <w:right w:val="single" w:sz="4" w:space="0" w:color="auto"/>
            </w:tcBorders>
            <w:shd w:val="clear" w:color="000000" w:fill="FF9900"/>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8"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8" w:space="0" w:color="auto"/>
              <w:right w:val="single" w:sz="8"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3030" w:type="dxa"/>
            <w:tcBorders>
              <w:top w:val="nil"/>
              <w:left w:val="nil"/>
              <w:bottom w:val="single" w:sz="8" w:space="0" w:color="auto"/>
              <w:right w:val="single" w:sz="8" w:space="0" w:color="auto"/>
            </w:tcBorders>
            <w:shd w:val="clear" w:color="auto" w:fill="auto"/>
            <w:vAlign w:val="center"/>
            <w:hideMark/>
          </w:tcPr>
          <w:p w:rsidR="00103DFF" w:rsidRDefault="00103DFF">
            <w:pPr>
              <w:rPr>
                <w:rFonts w:ascii="Calibri" w:hAnsi="Calibri" w:cs="Arial"/>
                <w:sz w:val="16"/>
                <w:szCs w:val="16"/>
              </w:rPr>
            </w:pPr>
            <w:r>
              <w:rPr>
                <w:rFonts w:ascii="Calibri" w:hAnsi="Calibri" w:cs="Arial"/>
                <w:sz w:val="16"/>
                <w:szCs w:val="16"/>
              </w:rPr>
              <w:t>Work with the TRPA Executive Director to determine if the TRPA can be the implementer of the Dig Once Policy.</w:t>
            </w:r>
          </w:p>
        </w:tc>
      </w:tr>
      <w:tr w:rsidR="00103DFF" w:rsidTr="00FA66D1">
        <w:trPr>
          <w:trHeight w:val="570"/>
        </w:trPr>
        <w:tc>
          <w:tcPr>
            <w:tcW w:w="262" w:type="dxa"/>
            <w:tcBorders>
              <w:top w:val="nil"/>
              <w:left w:val="single" w:sz="8" w:space="0" w:color="auto"/>
              <w:bottom w:val="single" w:sz="4" w:space="0" w:color="auto"/>
              <w:right w:val="nil"/>
            </w:tcBorders>
            <w:shd w:val="clear" w:color="000000" w:fill="D9D9D9"/>
            <w:noWrap/>
            <w:vAlign w:val="center"/>
            <w:hideMark/>
          </w:tcPr>
          <w:p w:rsidR="00103DFF" w:rsidRDefault="00103DFF">
            <w:pPr>
              <w:rPr>
                <w:rFonts w:ascii="Calibri" w:hAnsi="Calibri" w:cs="Arial"/>
                <w:b/>
                <w:bCs/>
                <w:sz w:val="20"/>
                <w:szCs w:val="20"/>
              </w:rPr>
            </w:pPr>
            <w:r>
              <w:rPr>
                <w:rFonts w:ascii="Calibri" w:hAnsi="Calibri" w:cs="Arial"/>
                <w:b/>
                <w:bCs/>
                <w:sz w:val="20"/>
                <w:szCs w:val="20"/>
              </w:rPr>
              <w:t> </w:t>
            </w:r>
          </w:p>
        </w:tc>
        <w:tc>
          <w:tcPr>
            <w:tcW w:w="11254" w:type="dxa"/>
            <w:gridSpan w:val="11"/>
            <w:tcBorders>
              <w:top w:val="nil"/>
              <w:left w:val="nil"/>
              <w:bottom w:val="single" w:sz="4" w:space="0" w:color="auto"/>
              <w:right w:val="single" w:sz="8" w:space="0" w:color="000000"/>
            </w:tcBorders>
            <w:shd w:val="clear" w:color="000000" w:fill="D9D9D9"/>
            <w:vAlign w:val="center"/>
            <w:hideMark/>
          </w:tcPr>
          <w:p w:rsidR="00103DFF" w:rsidRDefault="00103DFF">
            <w:pPr>
              <w:rPr>
                <w:rFonts w:ascii="Calibri" w:hAnsi="Calibri" w:cs="Arial"/>
                <w:b/>
                <w:bCs/>
                <w:sz w:val="18"/>
                <w:szCs w:val="18"/>
              </w:rPr>
            </w:pPr>
            <w:r>
              <w:rPr>
                <w:rFonts w:ascii="Calibri" w:hAnsi="Calibri" w:cs="Arial"/>
                <w:b/>
                <w:bCs/>
                <w:sz w:val="18"/>
                <w:szCs w:val="18"/>
              </w:rPr>
              <w:t>Activity 2b – Inventory and map all upcoming infrastructure projects and evaluate their potential for undergrounding utilities and conduit placement</w:t>
            </w:r>
          </w:p>
        </w:tc>
      </w:tr>
      <w:tr w:rsidR="00103DFF" w:rsidTr="00FA66D1">
        <w:trPr>
          <w:trHeight w:val="342"/>
        </w:trPr>
        <w:tc>
          <w:tcPr>
            <w:tcW w:w="262" w:type="dxa"/>
            <w:tcBorders>
              <w:top w:val="nil"/>
              <w:left w:val="single" w:sz="8" w:space="0" w:color="auto"/>
              <w:bottom w:val="nil"/>
              <w:right w:val="nil"/>
            </w:tcBorders>
            <w:shd w:val="clear" w:color="auto" w:fill="auto"/>
            <w:noWrap/>
            <w:vAlign w:val="center"/>
            <w:hideMark/>
          </w:tcPr>
          <w:p w:rsidR="00103DFF" w:rsidRDefault="00103DFF">
            <w:pPr>
              <w:rPr>
                <w:rFonts w:ascii="Calibri" w:hAnsi="Calibri" w:cs="Arial"/>
                <w:b/>
                <w:bCs/>
                <w:sz w:val="20"/>
                <w:szCs w:val="20"/>
              </w:rPr>
            </w:pPr>
            <w:r>
              <w:rPr>
                <w:rFonts w:ascii="Calibri" w:hAnsi="Calibri" w:cs="Arial"/>
                <w:b/>
                <w:bCs/>
                <w:sz w:val="20"/>
                <w:szCs w:val="20"/>
              </w:rPr>
              <w:t> </w:t>
            </w:r>
          </w:p>
        </w:tc>
        <w:tc>
          <w:tcPr>
            <w:tcW w:w="357" w:type="dxa"/>
            <w:vMerge w:val="restart"/>
            <w:tcBorders>
              <w:top w:val="nil"/>
              <w:left w:val="nil"/>
              <w:bottom w:val="single" w:sz="4" w:space="0" w:color="000000"/>
              <w:right w:val="nil"/>
            </w:tcBorders>
            <w:shd w:val="clear" w:color="auto" w:fill="auto"/>
            <w:vAlign w:val="center"/>
            <w:hideMark/>
          </w:tcPr>
          <w:p w:rsidR="00103DFF" w:rsidRDefault="00103DFF">
            <w:pPr>
              <w:rPr>
                <w:rFonts w:ascii="Calibri" w:hAnsi="Calibri" w:cs="Arial"/>
                <w:b/>
                <w:bCs/>
                <w:sz w:val="18"/>
                <w:szCs w:val="18"/>
              </w:rPr>
            </w:pPr>
            <w:r>
              <w:rPr>
                <w:rFonts w:ascii="Calibri" w:hAnsi="Calibri" w:cs="Arial"/>
                <w:b/>
                <w:bCs/>
                <w:sz w:val="18"/>
                <w:szCs w:val="18"/>
              </w:rPr>
              <w:t>a</w:t>
            </w:r>
          </w:p>
        </w:tc>
        <w:tc>
          <w:tcPr>
            <w:tcW w:w="4227" w:type="dxa"/>
            <w:vMerge w:val="restart"/>
            <w:tcBorders>
              <w:top w:val="nil"/>
              <w:left w:val="nil"/>
              <w:bottom w:val="nil"/>
              <w:right w:val="nil"/>
            </w:tcBorders>
            <w:shd w:val="clear" w:color="auto" w:fill="auto"/>
            <w:vAlign w:val="center"/>
            <w:hideMark/>
          </w:tcPr>
          <w:p w:rsidR="00103DFF" w:rsidRDefault="00103DFF">
            <w:pPr>
              <w:rPr>
                <w:rFonts w:ascii="Calibri" w:hAnsi="Calibri" w:cs="Arial"/>
                <w:sz w:val="18"/>
                <w:szCs w:val="18"/>
              </w:rPr>
            </w:pPr>
            <w:r>
              <w:rPr>
                <w:rFonts w:ascii="Calibri" w:hAnsi="Calibri" w:cs="Arial"/>
                <w:sz w:val="18"/>
                <w:szCs w:val="18"/>
              </w:rPr>
              <w:t xml:space="preserve">Work with the same Dig Once organizations to determine the future infrastructure projects currently or soon to be in the pipeline </w:t>
            </w:r>
          </w:p>
        </w:tc>
        <w:tc>
          <w:tcPr>
            <w:tcW w:w="455" w:type="dxa"/>
            <w:tcBorders>
              <w:top w:val="nil"/>
              <w:left w:val="single" w:sz="8" w:space="0" w:color="auto"/>
              <w:bottom w:val="single" w:sz="4" w:space="0" w:color="auto"/>
              <w:right w:val="single" w:sz="4" w:space="0" w:color="auto"/>
            </w:tcBorders>
            <w:shd w:val="clear" w:color="auto" w:fill="auto"/>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vAlign w:val="center"/>
            <w:hideMark/>
          </w:tcPr>
          <w:p w:rsidR="00103DFF" w:rsidRDefault="00103DFF">
            <w:pPr>
              <w:rPr>
                <w:rFonts w:ascii="Calibri" w:hAnsi="Calibri" w:cs="Arial"/>
                <w:b/>
                <w:bCs/>
                <w:sz w:val="18"/>
                <w:szCs w:val="18"/>
              </w:rPr>
            </w:pPr>
            <w:r>
              <w:rPr>
                <w:rFonts w:ascii="Calibri" w:hAnsi="Calibri" w:cs="Arial"/>
                <w:b/>
                <w:bCs/>
                <w:sz w:val="18"/>
                <w:szCs w:val="18"/>
              </w:rPr>
              <w:t> </w:t>
            </w:r>
          </w:p>
        </w:tc>
        <w:tc>
          <w:tcPr>
            <w:tcW w:w="455" w:type="dxa"/>
            <w:tcBorders>
              <w:top w:val="nil"/>
              <w:left w:val="nil"/>
              <w:bottom w:val="single" w:sz="4" w:space="0" w:color="auto"/>
              <w:right w:val="single" w:sz="4" w:space="0" w:color="auto"/>
            </w:tcBorders>
            <w:shd w:val="clear" w:color="000000" w:fill="FF9900"/>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8" w:space="0" w:color="auto"/>
            </w:tcBorders>
            <w:shd w:val="clear" w:color="auto" w:fill="auto"/>
            <w:vAlign w:val="center"/>
            <w:hideMark/>
          </w:tcPr>
          <w:p w:rsidR="00103DFF" w:rsidRDefault="00103DFF">
            <w:pPr>
              <w:rPr>
                <w:rFonts w:ascii="Calibri" w:hAnsi="Calibri" w:cs="Arial"/>
                <w:b/>
                <w:bCs/>
                <w:sz w:val="18"/>
                <w:szCs w:val="18"/>
              </w:rPr>
            </w:pPr>
            <w:r>
              <w:rPr>
                <w:rFonts w:ascii="Calibri" w:hAnsi="Calibri" w:cs="Arial"/>
                <w:b/>
                <w:bCs/>
                <w:sz w:val="18"/>
                <w:szCs w:val="18"/>
              </w:rPr>
              <w:t> </w:t>
            </w:r>
          </w:p>
        </w:tc>
        <w:tc>
          <w:tcPr>
            <w:tcW w:w="455" w:type="dxa"/>
            <w:tcBorders>
              <w:top w:val="nil"/>
              <w:left w:val="nil"/>
              <w:bottom w:val="single" w:sz="4" w:space="0" w:color="auto"/>
              <w:right w:val="single" w:sz="4" w:space="0" w:color="auto"/>
            </w:tcBorders>
            <w:shd w:val="clear" w:color="auto" w:fill="auto"/>
            <w:vAlign w:val="center"/>
            <w:hideMark/>
          </w:tcPr>
          <w:p w:rsidR="00103DFF" w:rsidRDefault="00103DFF">
            <w:pPr>
              <w:rPr>
                <w:rFonts w:ascii="Calibri" w:hAnsi="Calibri" w:cs="Arial"/>
                <w:b/>
                <w:bCs/>
                <w:sz w:val="18"/>
                <w:szCs w:val="18"/>
              </w:rPr>
            </w:pPr>
            <w:r>
              <w:rPr>
                <w:rFonts w:ascii="Calibri" w:hAnsi="Calibri" w:cs="Arial"/>
                <w:b/>
                <w:bCs/>
                <w:sz w:val="18"/>
                <w:szCs w:val="18"/>
              </w:rPr>
              <w:t> </w:t>
            </w:r>
          </w:p>
        </w:tc>
        <w:tc>
          <w:tcPr>
            <w:tcW w:w="455" w:type="dxa"/>
            <w:tcBorders>
              <w:top w:val="nil"/>
              <w:left w:val="nil"/>
              <w:bottom w:val="single" w:sz="4" w:space="0" w:color="auto"/>
              <w:right w:val="single" w:sz="4" w:space="0" w:color="auto"/>
            </w:tcBorders>
            <w:shd w:val="clear" w:color="auto" w:fill="auto"/>
            <w:vAlign w:val="center"/>
            <w:hideMark/>
          </w:tcPr>
          <w:p w:rsidR="00103DFF" w:rsidRDefault="00103DFF">
            <w:pPr>
              <w:rPr>
                <w:rFonts w:ascii="Calibri" w:hAnsi="Calibri" w:cs="Arial"/>
                <w:b/>
                <w:bCs/>
                <w:sz w:val="18"/>
                <w:szCs w:val="18"/>
              </w:rPr>
            </w:pPr>
            <w:r>
              <w:rPr>
                <w:rFonts w:ascii="Calibri" w:hAnsi="Calibri" w:cs="Arial"/>
                <w:b/>
                <w:bCs/>
                <w:sz w:val="18"/>
                <w:szCs w:val="18"/>
              </w:rPr>
              <w:t> </w:t>
            </w:r>
          </w:p>
        </w:tc>
        <w:tc>
          <w:tcPr>
            <w:tcW w:w="455" w:type="dxa"/>
            <w:tcBorders>
              <w:top w:val="nil"/>
              <w:left w:val="nil"/>
              <w:bottom w:val="single" w:sz="4" w:space="0" w:color="auto"/>
              <w:right w:val="single" w:sz="4" w:space="0" w:color="auto"/>
            </w:tcBorders>
            <w:shd w:val="clear" w:color="auto" w:fill="auto"/>
            <w:vAlign w:val="center"/>
            <w:hideMark/>
          </w:tcPr>
          <w:p w:rsidR="00103DFF" w:rsidRDefault="00103DFF">
            <w:pPr>
              <w:rPr>
                <w:rFonts w:ascii="Calibri" w:hAnsi="Calibri" w:cs="Arial"/>
                <w:b/>
                <w:bCs/>
                <w:sz w:val="18"/>
                <w:szCs w:val="18"/>
              </w:rPr>
            </w:pPr>
            <w:r>
              <w:rPr>
                <w:rFonts w:ascii="Calibri" w:hAnsi="Calibri" w:cs="Arial"/>
                <w:b/>
                <w:bCs/>
                <w:sz w:val="18"/>
                <w:szCs w:val="18"/>
              </w:rPr>
              <w:t> </w:t>
            </w:r>
          </w:p>
        </w:tc>
        <w:tc>
          <w:tcPr>
            <w:tcW w:w="455" w:type="dxa"/>
            <w:tcBorders>
              <w:top w:val="nil"/>
              <w:left w:val="nil"/>
              <w:bottom w:val="single" w:sz="4" w:space="0" w:color="auto"/>
              <w:right w:val="single" w:sz="8" w:space="0" w:color="auto"/>
            </w:tcBorders>
            <w:shd w:val="clear" w:color="auto" w:fill="auto"/>
            <w:vAlign w:val="center"/>
            <w:hideMark/>
          </w:tcPr>
          <w:p w:rsidR="00103DFF" w:rsidRDefault="00103DFF">
            <w:pPr>
              <w:rPr>
                <w:rFonts w:ascii="Calibri" w:hAnsi="Calibri" w:cs="Arial"/>
                <w:b/>
                <w:bCs/>
                <w:sz w:val="18"/>
                <w:szCs w:val="18"/>
              </w:rPr>
            </w:pPr>
            <w:r>
              <w:rPr>
                <w:rFonts w:ascii="Calibri" w:hAnsi="Calibri" w:cs="Arial"/>
                <w:b/>
                <w:bCs/>
                <w:sz w:val="18"/>
                <w:szCs w:val="18"/>
              </w:rPr>
              <w:t> </w:t>
            </w:r>
          </w:p>
        </w:tc>
        <w:tc>
          <w:tcPr>
            <w:tcW w:w="3030" w:type="dxa"/>
            <w:vMerge w:val="restart"/>
            <w:tcBorders>
              <w:top w:val="nil"/>
              <w:left w:val="nil"/>
              <w:bottom w:val="single" w:sz="4" w:space="0" w:color="000000"/>
              <w:right w:val="single" w:sz="8" w:space="0" w:color="auto"/>
            </w:tcBorders>
            <w:shd w:val="clear" w:color="auto" w:fill="auto"/>
            <w:vAlign w:val="center"/>
            <w:hideMark/>
          </w:tcPr>
          <w:p w:rsidR="00103DFF" w:rsidRDefault="00103DFF">
            <w:pPr>
              <w:rPr>
                <w:rFonts w:ascii="Calibri" w:hAnsi="Calibri" w:cs="Arial"/>
                <w:sz w:val="16"/>
                <w:szCs w:val="16"/>
              </w:rPr>
            </w:pPr>
            <w:r>
              <w:rPr>
                <w:rFonts w:ascii="Calibri" w:hAnsi="Calibri" w:cs="Arial"/>
                <w:sz w:val="16"/>
                <w:szCs w:val="16"/>
              </w:rPr>
              <w:t>List of all known bike, road and other infrastructure projects are inventoried</w:t>
            </w:r>
          </w:p>
        </w:tc>
      </w:tr>
      <w:tr w:rsidR="00103DFF" w:rsidTr="00FA66D1">
        <w:trPr>
          <w:trHeight w:val="342"/>
        </w:trPr>
        <w:tc>
          <w:tcPr>
            <w:tcW w:w="262" w:type="dxa"/>
            <w:tcBorders>
              <w:top w:val="nil"/>
              <w:left w:val="single" w:sz="8" w:space="0" w:color="auto"/>
              <w:bottom w:val="single" w:sz="4" w:space="0" w:color="auto"/>
              <w:right w:val="nil"/>
            </w:tcBorders>
            <w:shd w:val="clear" w:color="auto" w:fill="auto"/>
            <w:noWrap/>
            <w:vAlign w:val="center"/>
            <w:hideMark/>
          </w:tcPr>
          <w:p w:rsidR="00103DFF" w:rsidRDefault="00103DFF">
            <w:pPr>
              <w:rPr>
                <w:rFonts w:ascii="Calibri" w:hAnsi="Calibri" w:cs="Arial"/>
                <w:b/>
                <w:bCs/>
                <w:sz w:val="20"/>
                <w:szCs w:val="20"/>
              </w:rPr>
            </w:pPr>
            <w:r>
              <w:rPr>
                <w:rFonts w:ascii="Calibri" w:hAnsi="Calibri" w:cs="Arial"/>
                <w:b/>
                <w:bCs/>
                <w:sz w:val="20"/>
                <w:szCs w:val="20"/>
              </w:rPr>
              <w:t> </w:t>
            </w:r>
          </w:p>
        </w:tc>
        <w:tc>
          <w:tcPr>
            <w:tcW w:w="357" w:type="dxa"/>
            <w:vMerge/>
            <w:tcBorders>
              <w:top w:val="nil"/>
              <w:left w:val="nil"/>
              <w:bottom w:val="single" w:sz="4" w:space="0" w:color="000000"/>
              <w:right w:val="nil"/>
            </w:tcBorders>
            <w:vAlign w:val="center"/>
            <w:hideMark/>
          </w:tcPr>
          <w:p w:rsidR="00103DFF" w:rsidRDefault="00103DFF">
            <w:pPr>
              <w:rPr>
                <w:rFonts w:ascii="Calibri" w:hAnsi="Calibri" w:cs="Arial"/>
                <w:b/>
                <w:bCs/>
                <w:sz w:val="18"/>
                <w:szCs w:val="18"/>
              </w:rPr>
            </w:pPr>
          </w:p>
        </w:tc>
        <w:tc>
          <w:tcPr>
            <w:tcW w:w="4227" w:type="dxa"/>
            <w:vMerge/>
            <w:tcBorders>
              <w:top w:val="nil"/>
              <w:left w:val="nil"/>
              <w:bottom w:val="nil"/>
              <w:right w:val="nil"/>
            </w:tcBorders>
            <w:vAlign w:val="center"/>
            <w:hideMark/>
          </w:tcPr>
          <w:p w:rsidR="00103DFF" w:rsidRDefault="00103DFF">
            <w:pPr>
              <w:rPr>
                <w:rFonts w:ascii="Calibri" w:hAnsi="Calibri" w:cs="Arial"/>
                <w:sz w:val="18"/>
                <w:szCs w:val="18"/>
              </w:rPr>
            </w:pPr>
          </w:p>
        </w:tc>
        <w:tc>
          <w:tcPr>
            <w:tcW w:w="455" w:type="dxa"/>
            <w:tcBorders>
              <w:top w:val="nil"/>
              <w:left w:val="single" w:sz="8" w:space="0" w:color="auto"/>
              <w:bottom w:val="single" w:sz="4" w:space="0" w:color="auto"/>
              <w:right w:val="single" w:sz="4" w:space="0" w:color="auto"/>
            </w:tcBorders>
            <w:shd w:val="clear" w:color="auto" w:fill="auto"/>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000000" w:fill="3366FF"/>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8"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8"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3030" w:type="dxa"/>
            <w:vMerge/>
            <w:tcBorders>
              <w:top w:val="nil"/>
              <w:left w:val="nil"/>
              <w:bottom w:val="single" w:sz="4" w:space="0" w:color="000000"/>
              <w:right w:val="single" w:sz="8" w:space="0" w:color="auto"/>
            </w:tcBorders>
            <w:vAlign w:val="center"/>
            <w:hideMark/>
          </w:tcPr>
          <w:p w:rsidR="00103DFF" w:rsidRDefault="00103DFF">
            <w:pPr>
              <w:rPr>
                <w:rFonts w:ascii="Calibri" w:hAnsi="Calibri" w:cs="Arial"/>
                <w:sz w:val="16"/>
                <w:szCs w:val="16"/>
              </w:rPr>
            </w:pPr>
          </w:p>
        </w:tc>
      </w:tr>
      <w:tr w:rsidR="00103DFF" w:rsidTr="00FA66D1">
        <w:trPr>
          <w:trHeight w:val="402"/>
        </w:trPr>
        <w:tc>
          <w:tcPr>
            <w:tcW w:w="262" w:type="dxa"/>
            <w:tcBorders>
              <w:top w:val="nil"/>
              <w:left w:val="single" w:sz="8" w:space="0" w:color="auto"/>
              <w:bottom w:val="nil"/>
              <w:right w:val="nil"/>
            </w:tcBorders>
            <w:shd w:val="clear" w:color="auto" w:fill="auto"/>
            <w:noWrap/>
            <w:vAlign w:val="center"/>
            <w:hideMark/>
          </w:tcPr>
          <w:p w:rsidR="00103DFF" w:rsidRDefault="00103DFF">
            <w:pPr>
              <w:rPr>
                <w:rFonts w:ascii="Calibri" w:hAnsi="Calibri" w:cs="Arial"/>
                <w:b/>
                <w:bCs/>
                <w:sz w:val="20"/>
                <w:szCs w:val="20"/>
              </w:rPr>
            </w:pPr>
            <w:r>
              <w:rPr>
                <w:rFonts w:ascii="Calibri" w:hAnsi="Calibri" w:cs="Arial"/>
                <w:b/>
                <w:bCs/>
                <w:sz w:val="20"/>
                <w:szCs w:val="20"/>
              </w:rPr>
              <w:t> </w:t>
            </w:r>
          </w:p>
        </w:tc>
        <w:tc>
          <w:tcPr>
            <w:tcW w:w="357" w:type="dxa"/>
            <w:vMerge w:val="restart"/>
            <w:tcBorders>
              <w:top w:val="nil"/>
              <w:left w:val="nil"/>
              <w:bottom w:val="single" w:sz="8" w:space="0" w:color="000000"/>
              <w:right w:val="nil"/>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b</w:t>
            </w:r>
          </w:p>
        </w:tc>
        <w:tc>
          <w:tcPr>
            <w:tcW w:w="4227" w:type="dxa"/>
            <w:vMerge w:val="restart"/>
            <w:tcBorders>
              <w:top w:val="single" w:sz="4" w:space="0" w:color="auto"/>
              <w:left w:val="nil"/>
              <w:bottom w:val="single" w:sz="8" w:space="0" w:color="000000"/>
              <w:right w:val="nil"/>
            </w:tcBorders>
            <w:shd w:val="clear" w:color="auto" w:fill="auto"/>
            <w:vAlign w:val="center"/>
            <w:hideMark/>
          </w:tcPr>
          <w:p w:rsidR="00103DFF" w:rsidRDefault="00103DFF">
            <w:pPr>
              <w:rPr>
                <w:rFonts w:ascii="Calibri" w:hAnsi="Calibri" w:cs="Arial"/>
                <w:sz w:val="18"/>
                <w:szCs w:val="18"/>
              </w:rPr>
            </w:pPr>
            <w:r>
              <w:rPr>
                <w:rFonts w:ascii="Calibri" w:hAnsi="Calibri" w:cs="Arial"/>
                <w:sz w:val="18"/>
                <w:szCs w:val="18"/>
              </w:rPr>
              <w:t>Map the projects and analyze them for the potential to underground utilities and/or place conduit for the open access fiber ring</w:t>
            </w:r>
          </w:p>
        </w:tc>
        <w:tc>
          <w:tcPr>
            <w:tcW w:w="455" w:type="dxa"/>
            <w:tcBorders>
              <w:top w:val="nil"/>
              <w:left w:val="single" w:sz="8" w:space="0" w:color="auto"/>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8" w:space="0" w:color="auto"/>
            </w:tcBorders>
            <w:shd w:val="clear" w:color="000000" w:fill="FF9900"/>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000000" w:fill="FF9900"/>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8"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3030" w:type="dxa"/>
            <w:vMerge w:val="restart"/>
            <w:tcBorders>
              <w:top w:val="nil"/>
              <w:left w:val="single" w:sz="8" w:space="0" w:color="auto"/>
              <w:bottom w:val="single" w:sz="8" w:space="0" w:color="000000"/>
              <w:right w:val="single" w:sz="8" w:space="0" w:color="auto"/>
            </w:tcBorders>
            <w:shd w:val="clear" w:color="auto" w:fill="auto"/>
            <w:vAlign w:val="center"/>
            <w:hideMark/>
          </w:tcPr>
          <w:p w:rsidR="00103DFF" w:rsidRDefault="00103DFF">
            <w:pPr>
              <w:rPr>
                <w:rFonts w:ascii="Calibri" w:hAnsi="Calibri" w:cs="Arial"/>
                <w:sz w:val="16"/>
                <w:szCs w:val="16"/>
              </w:rPr>
            </w:pPr>
            <w:r>
              <w:rPr>
                <w:rFonts w:ascii="Calibri" w:hAnsi="Calibri" w:cs="Arial"/>
                <w:sz w:val="16"/>
                <w:szCs w:val="16"/>
              </w:rPr>
              <w:t xml:space="preserve"> Mapping of all projects is complete and prioritization of projects most conducive to undergrounding utilities and middle mile open access conduit is determined</w:t>
            </w:r>
          </w:p>
        </w:tc>
      </w:tr>
      <w:tr w:rsidR="00103DFF" w:rsidTr="00FA66D1">
        <w:trPr>
          <w:trHeight w:val="402"/>
        </w:trPr>
        <w:tc>
          <w:tcPr>
            <w:tcW w:w="262" w:type="dxa"/>
            <w:tcBorders>
              <w:top w:val="nil"/>
              <w:left w:val="single" w:sz="8" w:space="0" w:color="auto"/>
              <w:bottom w:val="nil"/>
              <w:right w:val="nil"/>
            </w:tcBorders>
            <w:shd w:val="clear" w:color="auto" w:fill="auto"/>
            <w:noWrap/>
            <w:vAlign w:val="center"/>
            <w:hideMark/>
          </w:tcPr>
          <w:p w:rsidR="00103DFF" w:rsidRDefault="00103DFF">
            <w:pPr>
              <w:rPr>
                <w:rFonts w:ascii="Calibri" w:hAnsi="Calibri" w:cs="Arial"/>
                <w:b/>
                <w:bCs/>
                <w:sz w:val="20"/>
                <w:szCs w:val="20"/>
              </w:rPr>
            </w:pPr>
            <w:r>
              <w:rPr>
                <w:rFonts w:ascii="Calibri" w:hAnsi="Calibri" w:cs="Arial"/>
                <w:b/>
                <w:bCs/>
                <w:sz w:val="20"/>
                <w:szCs w:val="20"/>
              </w:rPr>
              <w:t> </w:t>
            </w:r>
          </w:p>
        </w:tc>
        <w:tc>
          <w:tcPr>
            <w:tcW w:w="357" w:type="dxa"/>
            <w:vMerge/>
            <w:tcBorders>
              <w:top w:val="nil"/>
              <w:left w:val="nil"/>
              <w:bottom w:val="single" w:sz="8" w:space="0" w:color="000000"/>
              <w:right w:val="nil"/>
            </w:tcBorders>
            <w:vAlign w:val="center"/>
            <w:hideMark/>
          </w:tcPr>
          <w:p w:rsidR="00103DFF" w:rsidRDefault="00103DFF">
            <w:pPr>
              <w:rPr>
                <w:rFonts w:ascii="Calibri" w:hAnsi="Calibri" w:cs="Arial"/>
                <w:sz w:val="18"/>
                <w:szCs w:val="18"/>
              </w:rPr>
            </w:pPr>
          </w:p>
        </w:tc>
        <w:tc>
          <w:tcPr>
            <w:tcW w:w="4227" w:type="dxa"/>
            <w:vMerge/>
            <w:tcBorders>
              <w:top w:val="single" w:sz="4" w:space="0" w:color="auto"/>
              <w:left w:val="nil"/>
              <w:bottom w:val="single" w:sz="8" w:space="0" w:color="000000"/>
              <w:right w:val="nil"/>
            </w:tcBorders>
            <w:vAlign w:val="center"/>
            <w:hideMark/>
          </w:tcPr>
          <w:p w:rsidR="00103DFF" w:rsidRDefault="00103DFF">
            <w:pPr>
              <w:rPr>
                <w:rFonts w:ascii="Calibri" w:hAnsi="Calibri" w:cs="Arial"/>
                <w:sz w:val="18"/>
                <w:szCs w:val="18"/>
              </w:rPr>
            </w:pPr>
          </w:p>
        </w:tc>
        <w:tc>
          <w:tcPr>
            <w:tcW w:w="455" w:type="dxa"/>
            <w:tcBorders>
              <w:top w:val="nil"/>
              <w:left w:val="single" w:sz="8" w:space="0" w:color="auto"/>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8" w:space="0" w:color="auto"/>
            </w:tcBorders>
            <w:shd w:val="clear" w:color="000000" w:fill="3366FF"/>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000000" w:fill="3366FF"/>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8"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3030" w:type="dxa"/>
            <w:vMerge/>
            <w:tcBorders>
              <w:top w:val="nil"/>
              <w:left w:val="single" w:sz="8" w:space="0" w:color="auto"/>
              <w:bottom w:val="single" w:sz="8" w:space="0" w:color="000000"/>
              <w:right w:val="single" w:sz="8" w:space="0" w:color="auto"/>
            </w:tcBorders>
            <w:vAlign w:val="center"/>
            <w:hideMark/>
          </w:tcPr>
          <w:p w:rsidR="00103DFF" w:rsidRDefault="00103DFF">
            <w:pPr>
              <w:rPr>
                <w:rFonts w:ascii="Calibri" w:hAnsi="Calibri" w:cs="Arial"/>
                <w:sz w:val="16"/>
                <w:szCs w:val="16"/>
              </w:rPr>
            </w:pPr>
          </w:p>
        </w:tc>
      </w:tr>
      <w:tr w:rsidR="00FA66D1" w:rsidTr="00FA66D1">
        <w:trPr>
          <w:trHeight w:val="402"/>
        </w:trPr>
        <w:tc>
          <w:tcPr>
            <w:tcW w:w="262" w:type="dxa"/>
            <w:tcBorders>
              <w:top w:val="nil"/>
              <w:left w:val="single" w:sz="8" w:space="0" w:color="auto"/>
              <w:bottom w:val="single" w:sz="8" w:space="0" w:color="auto"/>
              <w:right w:val="nil"/>
            </w:tcBorders>
            <w:shd w:val="clear" w:color="auto" w:fill="auto"/>
            <w:noWrap/>
            <w:vAlign w:val="center"/>
            <w:hideMark/>
          </w:tcPr>
          <w:p w:rsidR="00103DFF" w:rsidRDefault="00103DFF">
            <w:pPr>
              <w:rPr>
                <w:rFonts w:ascii="Calibri" w:hAnsi="Calibri" w:cs="Arial"/>
                <w:b/>
                <w:bCs/>
                <w:sz w:val="20"/>
                <w:szCs w:val="20"/>
              </w:rPr>
            </w:pPr>
            <w:r>
              <w:rPr>
                <w:rFonts w:ascii="Calibri" w:hAnsi="Calibri" w:cs="Arial"/>
                <w:b/>
                <w:bCs/>
                <w:sz w:val="20"/>
                <w:szCs w:val="20"/>
              </w:rPr>
              <w:t> </w:t>
            </w:r>
          </w:p>
        </w:tc>
        <w:tc>
          <w:tcPr>
            <w:tcW w:w="357" w:type="dxa"/>
            <w:vMerge/>
            <w:tcBorders>
              <w:top w:val="nil"/>
              <w:left w:val="nil"/>
              <w:bottom w:val="single" w:sz="8" w:space="0" w:color="000000"/>
              <w:right w:val="nil"/>
            </w:tcBorders>
            <w:vAlign w:val="center"/>
            <w:hideMark/>
          </w:tcPr>
          <w:p w:rsidR="00103DFF" w:rsidRDefault="00103DFF">
            <w:pPr>
              <w:rPr>
                <w:rFonts w:ascii="Calibri" w:hAnsi="Calibri" w:cs="Arial"/>
                <w:sz w:val="18"/>
                <w:szCs w:val="18"/>
              </w:rPr>
            </w:pPr>
          </w:p>
        </w:tc>
        <w:tc>
          <w:tcPr>
            <w:tcW w:w="4227" w:type="dxa"/>
            <w:vMerge/>
            <w:tcBorders>
              <w:top w:val="single" w:sz="4" w:space="0" w:color="auto"/>
              <w:left w:val="nil"/>
              <w:bottom w:val="single" w:sz="8" w:space="0" w:color="000000"/>
              <w:right w:val="nil"/>
            </w:tcBorders>
            <w:vAlign w:val="center"/>
            <w:hideMark/>
          </w:tcPr>
          <w:p w:rsidR="00103DFF" w:rsidRDefault="00103DFF">
            <w:pPr>
              <w:rPr>
                <w:rFonts w:ascii="Calibri" w:hAnsi="Calibri" w:cs="Arial"/>
                <w:sz w:val="18"/>
                <w:szCs w:val="18"/>
              </w:rPr>
            </w:pPr>
          </w:p>
        </w:tc>
        <w:tc>
          <w:tcPr>
            <w:tcW w:w="455" w:type="dxa"/>
            <w:tcBorders>
              <w:top w:val="nil"/>
              <w:left w:val="single" w:sz="8" w:space="0" w:color="auto"/>
              <w:bottom w:val="single" w:sz="8"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8"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8"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8" w:space="0" w:color="auto"/>
              <w:right w:val="single" w:sz="8" w:space="0" w:color="auto"/>
            </w:tcBorders>
            <w:shd w:val="clear" w:color="000000" w:fill="339966"/>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8" w:space="0" w:color="auto"/>
              <w:right w:val="single" w:sz="4" w:space="0" w:color="auto"/>
            </w:tcBorders>
            <w:shd w:val="clear" w:color="000000" w:fill="339966"/>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8"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8"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8" w:space="0" w:color="auto"/>
              <w:right w:val="single" w:sz="8"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3030" w:type="dxa"/>
            <w:vMerge/>
            <w:tcBorders>
              <w:top w:val="nil"/>
              <w:left w:val="single" w:sz="8" w:space="0" w:color="auto"/>
              <w:bottom w:val="single" w:sz="8" w:space="0" w:color="000000"/>
              <w:right w:val="single" w:sz="8" w:space="0" w:color="auto"/>
            </w:tcBorders>
            <w:vAlign w:val="center"/>
            <w:hideMark/>
          </w:tcPr>
          <w:p w:rsidR="00103DFF" w:rsidRDefault="00103DFF">
            <w:pPr>
              <w:rPr>
                <w:rFonts w:ascii="Calibri" w:hAnsi="Calibri" w:cs="Arial"/>
                <w:sz w:val="16"/>
                <w:szCs w:val="16"/>
              </w:rPr>
            </w:pPr>
          </w:p>
        </w:tc>
      </w:tr>
      <w:tr w:rsidR="00103DFF" w:rsidTr="00103DFF">
        <w:trPr>
          <w:trHeight w:val="795"/>
        </w:trPr>
        <w:tc>
          <w:tcPr>
            <w:tcW w:w="262" w:type="dxa"/>
            <w:tcBorders>
              <w:top w:val="nil"/>
              <w:left w:val="single" w:sz="8" w:space="0" w:color="auto"/>
              <w:bottom w:val="single" w:sz="8" w:space="0" w:color="auto"/>
              <w:right w:val="nil"/>
            </w:tcBorders>
            <w:shd w:val="clear" w:color="000000" w:fill="D9D9D9"/>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84" w:type="dxa"/>
            <w:gridSpan w:val="2"/>
            <w:tcBorders>
              <w:top w:val="single" w:sz="8" w:space="0" w:color="auto"/>
              <w:left w:val="nil"/>
              <w:bottom w:val="single" w:sz="8" w:space="0" w:color="auto"/>
              <w:right w:val="single" w:sz="8" w:space="0" w:color="000000"/>
            </w:tcBorders>
            <w:shd w:val="clear" w:color="000000" w:fill="D9D9D9"/>
            <w:vAlign w:val="center"/>
            <w:hideMark/>
          </w:tcPr>
          <w:p w:rsidR="00103DFF" w:rsidRDefault="00103DFF">
            <w:pPr>
              <w:rPr>
                <w:rFonts w:ascii="Calibri" w:hAnsi="Calibri" w:cs="Arial"/>
                <w:b/>
                <w:bCs/>
                <w:sz w:val="18"/>
                <w:szCs w:val="18"/>
              </w:rPr>
            </w:pPr>
            <w:r>
              <w:rPr>
                <w:rFonts w:ascii="Calibri" w:hAnsi="Calibri" w:cs="Arial"/>
                <w:b/>
                <w:bCs/>
                <w:sz w:val="18"/>
                <w:szCs w:val="18"/>
              </w:rPr>
              <w:t>Activity 2c – Work with lead agencies on implementing the Dig Once Policy for those projects determined conducive to undergrounding utilities and placement of conduit</w:t>
            </w:r>
          </w:p>
        </w:tc>
        <w:tc>
          <w:tcPr>
            <w:tcW w:w="455" w:type="dxa"/>
            <w:tcBorders>
              <w:top w:val="nil"/>
              <w:left w:val="nil"/>
              <w:bottom w:val="single" w:sz="8" w:space="0" w:color="auto"/>
              <w:right w:val="single" w:sz="4" w:space="0" w:color="auto"/>
            </w:tcBorders>
            <w:shd w:val="clear" w:color="auto" w:fill="auto"/>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8" w:space="0" w:color="auto"/>
              <w:right w:val="single" w:sz="4" w:space="0" w:color="auto"/>
            </w:tcBorders>
            <w:shd w:val="clear" w:color="auto" w:fill="auto"/>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8" w:space="0" w:color="auto"/>
              <w:right w:val="single" w:sz="4" w:space="0" w:color="auto"/>
            </w:tcBorders>
            <w:shd w:val="clear" w:color="auto" w:fill="auto"/>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8" w:space="0" w:color="auto"/>
              <w:right w:val="single" w:sz="8" w:space="0" w:color="auto"/>
            </w:tcBorders>
            <w:shd w:val="clear" w:color="auto" w:fill="auto"/>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8" w:space="0" w:color="auto"/>
              <w:right w:val="single" w:sz="4" w:space="0" w:color="auto"/>
            </w:tcBorders>
            <w:shd w:val="clear" w:color="000000" w:fill="FF9900"/>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8" w:space="0" w:color="auto"/>
              <w:right w:val="single" w:sz="4" w:space="0" w:color="auto"/>
            </w:tcBorders>
            <w:shd w:val="clear" w:color="000000" w:fill="FF9900"/>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8" w:space="0" w:color="auto"/>
              <w:right w:val="single" w:sz="4" w:space="0" w:color="auto"/>
            </w:tcBorders>
            <w:shd w:val="clear" w:color="000000" w:fill="FF9900"/>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8" w:space="0" w:color="auto"/>
              <w:right w:val="single" w:sz="8" w:space="0" w:color="auto"/>
            </w:tcBorders>
            <w:shd w:val="clear" w:color="000000" w:fill="FF9900"/>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3030" w:type="dxa"/>
            <w:tcBorders>
              <w:top w:val="nil"/>
              <w:left w:val="nil"/>
              <w:bottom w:val="single" w:sz="8" w:space="0" w:color="auto"/>
              <w:right w:val="single" w:sz="8" w:space="0" w:color="auto"/>
            </w:tcBorders>
            <w:shd w:val="clear" w:color="auto" w:fill="auto"/>
            <w:vAlign w:val="center"/>
            <w:hideMark/>
          </w:tcPr>
          <w:p w:rsidR="00103DFF" w:rsidRDefault="00103DFF">
            <w:pPr>
              <w:rPr>
                <w:rFonts w:ascii="Calibri" w:hAnsi="Calibri" w:cs="Arial"/>
                <w:sz w:val="16"/>
                <w:szCs w:val="16"/>
              </w:rPr>
            </w:pPr>
            <w:r>
              <w:rPr>
                <w:rFonts w:ascii="Calibri" w:hAnsi="Calibri" w:cs="Arial"/>
                <w:sz w:val="16"/>
                <w:szCs w:val="16"/>
              </w:rPr>
              <w:t xml:space="preserve">As soon as infrastructure projects are identified in 2b above, work with lead agency to put Dig Once </w:t>
            </w:r>
            <w:proofErr w:type="spellStart"/>
            <w:r>
              <w:rPr>
                <w:rFonts w:ascii="Calibri" w:hAnsi="Calibri" w:cs="Arial"/>
                <w:sz w:val="16"/>
                <w:szCs w:val="16"/>
              </w:rPr>
              <w:t>into affect</w:t>
            </w:r>
            <w:proofErr w:type="spellEnd"/>
            <w:r>
              <w:rPr>
                <w:rFonts w:ascii="Calibri" w:hAnsi="Calibri" w:cs="Arial"/>
                <w:sz w:val="16"/>
                <w:szCs w:val="16"/>
              </w:rPr>
              <w:t>.</w:t>
            </w:r>
          </w:p>
        </w:tc>
      </w:tr>
      <w:tr w:rsidR="00103DFF" w:rsidTr="00103DFF">
        <w:trPr>
          <w:trHeight w:val="300"/>
        </w:trPr>
        <w:tc>
          <w:tcPr>
            <w:tcW w:w="4846" w:type="dxa"/>
            <w:gridSpan w:val="3"/>
            <w:tcBorders>
              <w:top w:val="single" w:sz="8" w:space="0" w:color="auto"/>
              <w:left w:val="single" w:sz="8" w:space="0" w:color="auto"/>
              <w:bottom w:val="nil"/>
              <w:right w:val="nil"/>
            </w:tcBorders>
            <w:shd w:val="clear" w:color="000000" w:fill="C4D79B"/>
            <w:noWrap/>
            <w:vAlign w:val="center"/>
            <w:hideMark/>
          </w:tcPr>
          <w:p w:rsidR="00103DFF" w:rsidRDefault="00103DFF">
            <w:pPr>
              <w:rPr>
                <w:rFonts w:ascii="Calibri" w:hAnsi="Calibri" w:cs="Arial"/>
                <w:b/>
                <w:bCs/>
                <w:sz w:val="20"/>
                <w:szCs w:val="20"/>
              </w:rPr>
            </w:pPr>
            <w:r>
              <w:rPr>
                <w:rFonts w:ascii="Calibri" w:hAnsi="Calibri" w:cs="Arial"/>
                <w:b/>
                <w:bCs/>
                <w:sz w:val="20"/>
                <w:szCs w:val="20"/>
              </w:rPr>
              <w:t xml:space="preserve">Activity 3: Facilitate Expansion of Cell Service </w:t>
            </w:r>
          </w:p>
        </w:tc>
        <w:tc>
          <w:tcPr>
            <w:tcW w:w="455" w:type="dxa"/>
            <w:tcBorders>
              <w:top w:val="nil"/>
              <w:left w:val="nil"/>
              <w:bottom w:val="nil"/>
              <w:right w:val="nil"/>
            </w:tcBorders>
            <w:shd w:val="clear" w:color="000000" w:fill="C4D79B"/>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nil"/>
              <w:right w:val="nil"/>
            </w:tcBorders>
            <w:shd w:val="clear" w:color="000000" w:fill="C4D79B"/>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nil"/>
              <w:right w:val="nil"/>
            </w:tcBorders>
            <w:shd w:val="clear" w:color="000000" w:fill="C4D79B"/>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nil"/>
              <w:right w:val="nil"/>
            </w:tcBorders>
            <w:shd w:val="clear" w:color="000000" w:fill="C4D79B"/>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nil"/>
              <w:right w:val="nil"/>
            </w:tcBorders>
            <w:shd w:val="clear" w:color="000000" w:fill="C4D79B"/>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nil"/>
              <w:right w:val="nil"/>
            </w:tcBorders>
            <w:shd w:val="clear" w:color="000000" w:fill="C4D79B"/>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nil"/>
              <w:right w:val="nil"/>
            </w:tcBorders>
            <w:shd w:val="clear" w:color="000000" w:fill="C4D79B"/>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nil"/>
              <w:right w:val="nil"/>
            </w:tcBorders>
            <w:shd w:val="clear" w:color="000000" w:fill="C4D79B"/>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3030" w:type="dxa"/>
            <w:tcBorders>
              <w:top w:val="nil"/>
              <w:left w:val="nil"/>
              <w:bottom w:val="nil"/>
              <w:right w:val="single" w:sz="8" w:space="0" w:color="auto"/>
            </w:tcBorders>
            <w:shd w:val="clear" w:color="000000" w:fill="C4D79B"/>
            <w:vAlign w:val="center"/>
            <w:hideMark/>
          </w:tcPr>
          <w:p w:rsidR="00103DFF" w:rsidRDefault="00103DFF">
            <w:pPr>
              <w:rPr>
                <w:rFonts w:ascii="Calibri" w:hAnsi="Calibri" w:cs="Arial"/>
                <w:sz w:val="16"/>
                <w:szCs w:val="16"/>
              </w:rPr>
            </w:pPr>
            <w:r>
              <w:rPr>
                <w:rFonts w:ascii="Calibri" w:hAnsi="Calibri" w:cs="Arial"/>
                <w:sz w:val="16"/>
                <w:szCs w:val="16"/>
              </w:rPr>
              <w:t> </w:t>
            </w:r>
          </w:p>
        </w:tc>
      </w:tr>
      <w:tr w:rsidR="00103DFF" w:rsidTr="00FA66D1">
        <w:trPr>
          <w:trHeight w:val="960"/>
        </w:trPr>
        <w:tc>
          <w:tcPr>
            <w:tcW w:w="262" w:type="dxa"/>
            <w:tcBorders>
              <w:top w:val="single" w:sz="4" w:space="0" w:color="auto"/>
              <w:left w:val="single" w:sz="8" w:space="0" w:color="auto"/>
              <w:bottom w:val="single" w:sz="4" w:space="0" w:color="auto"/>
              <w:right w:val="nil"/>
            </w:tcBorders>
            <w:shd w:val="clear" w:color="auto" w:fill="auto"/>
            <w:noWrap/>
            <w:vAlign w:val="center"/>
            <w:hideMark/>
          </w:tcPr>
          <w:p w:rsidR="00103DFF" w:rsidRDefault="00103DFF">
            <w:pPr>
              <w:rPr>
                <w:rFonts w:ascii="Calibri" w:hAnsi="Calibri" w:cs="Arial"/>
                <w:b/>
                <w:bCs/>
                <w:sz w:val="20"/>
                <w:szCs w:val="20"/>
              </w:rPr>
            </w:pPr>
            <w:r>
              <w:rPr>
                <w:rFonts w:ascii="Calibri" w:hAnsi="Calibri" w:cs="Arial"/>
                <w:b/>
                <w:bCs/>
                <w:sz w:val="20"/>
                <w:szCs w:val="20"/>
              </w:rPr>
              <w:t> </w:t>
            </w:r>
          </w:p>
        </w:tc>
        <w:tc>
          <w:tcPr>
            <w:tcW w:w="357" w:type="dxa"/>
            <w:tcBorders>
              <w:top w:val="single" w:sz="4" w:space="0" w:color="auto"/>
              <w:left w:val="nil"/>
              <w:bottom w:val="single" w:sz="4" w:space="0" w:color="auto"/>
              <w:right w:val="nil"/>
            </w:tcBorders>
            <w:shd w:val="clear" w:color="auto" w:fill="auto"/>
            <w:vAlign w:val="center"/>
            <w:hideMark/>
          </w:tcPr>
          <w:p w:rsidR="00103DFF" w:rsidRDefault="00103DFF">
            <w:pPr>
              <w:rPr>
                <w:rFonts w:ascii="Calibri" w:hAnsi="Calibri" w:cs="Arial"/>
                <w:b/>
                <w:bCs/>
                <w:sz w:val="18"/>
                <w:szCs w:val="18"/>
              </w:rPr>
            </w:pPr>
            <w:r>
              <w:rPr>
                <w:rFonts w:ascii="Calibri" w:hAnsi="Calibri" w:cs="Arial"/>
                <w:b/>
                <w:bCs/>
                <w:sz w:val="18"/>
                <w:szCs w:val="18"/>
              </w:rPr>
              <w:t>a</w:t>
            </w:r>
          </w:p>
        </w:tc>
        <w:tc>
          <w:tcPr>
            <w:tcW w:w="4227" w:type="dxa"/>
            <w:tcBorders>
              <w:top w:val="single" w:sz="4" w:space="0" w:color="auto"/>
              <w:left w:val="nil"/>
              <w:bottom w:val="single" w:sz="4" w:space="0" w:color="auto"/>
              <w:right w:val="single" w:sz="8" w:space="0" w:color="auto"/>
            </w:tcBorders>
            <w:shd w:val="clear" w:color="auto" w:fill="auto"/>
            <w:vAlign w:val="center"/>
            <w:hideMark/>
          </w:tcPr>
          <w:p w:rsidR="00103DFF" w:rsidRDefault="00103DFF">
            <w:pPr>
              <w:rPr>
                <w:rFonts w:ascii="Calibri" w:hAnsi="Calibri" w:cs="Arial"/>
                <w:sz w:val="18"/>
                <w:szCs w:val="18"/>
              </w:rPr>
            </w:pPr>
            <w:r>
              <w:rPr>
                <w:rFonts w:ascii="Calibri" w:hAnsi="Calibri" w:cs="Arial"/>
                <w:sz w:val="18"/>
                <w:szCs w:val="18"/>
              </w:rPr>
              <w:t xml:space="preserve">Facilitate the completion of the feasibility analysis by the USFS and other public landowners </w:t>
            </w:r>
          </w:p>
        </w:tc>
        <w:tc>
          <w:tcPr>
            <w:tcW w:w="455" w:type="dxa"/>
            <w:tcBorders>
              <w:top w:val="single" w:sz="4" w:space="0" w:color="auto"/>
              <w:left w:val="nil"/>
              <w:bottom w:val="single" w:sz="4" w:space="0" w:color="auto"/>
              <w:right w:val="single" w:sz="4" w:space="0" w:color="auto"/>
            </w:tcBorders>
            <w:shd w:val="clear" w:color="000000" w:fill="FF9900"/>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single" w:sz="4" w:space="0" w:color="auto"/>
              <w:left w:val="nil"/>
              <w:bottom w:val="single" w:sz="4" w:space="0" w:color="auto"/>
              <w:right w:val="single" w:sz="4" w:space="0" w:color="auto"/>
            </w:tcBorders>
            <w:shd w:val="clear" w:color="auto" w:fill="auto"/>
            <w:vAlign w:val="center"/>
            <w:hideMark/>
          </w:tcPr>
          <w:p w:rsidR="00103DFF" w:rsidRDefault="00103DFF">
            <w:pPr>
              <w:rPr>
                <w:rFonts w:ascii="Calibri" w:hAnsi="Calibri" w:cs="Arial"/>
                <w:b/>
                <w:bCs/>
                <w:sz w:val="18"/>
                <w:szCs w:val="18"/>
              </w:rPr>
            </w:pPr>
            <w:r>
              <w:rPr>
                <w:rFonts w:ascii="Calibri" w:hAnsi="Calibri" w:cs="Arial"/>
                <w:b/>
                <w:bCs/>
                <w:sz w:val="18"/>
                <w:szCs w:val="18"/>
              </w:rPr>
              <w:t> </w:t>
            </w:r>
          </w:p>
        </w:tc>
        <w:tc>
          <w:tcPr>
            <w:tcW w:w="455" w:type="dxa"/>
            <w:tcBorders>
              <w:top w:val="single" w:sz="4" w:space="0" w:color="auto"/>
              <w:left w:val="nil"/>
              <w:bottom w:val="single" w:sz="4" w:space="0" w:color="auto"/>
              <w:right w:val="single" w:sz="4" w:space="0" w:color="auto"/>
            </w:tcBorders>
            <w:shd w:val="clear" w:color="auto" w:fill="auto"/>
            <w:vAlign w:val="center"/>
            <w:hideMark/>
          </w:tcPr>
          <w:p w:rsidR="00103DFF" w:rsidRDefault="00103DFF">
            <w:pPr>
              <w:rPr>
                <w:rFonts w:ascii="Calibri" w:hAnsi="Calibri" w:cs="Arial"/>
                <w:b/>
                <w:bCs/>
                <w:sz w:val="18"/>
                <w:szCs w:val="18"/>
              </w:rPr>
            </w:pPr>
            <w:r>
              <w:rPr>
                <w:rFonts w:ascii="Calibri" w:hAnsi="Calibri" w:cs="Arial"/>
                <w:b/>
                <w:bCs/>
                <w:sz w:val="18"/>
                <w:szCs w:val="18"/>
              </w:rPr>
              <w:t> </w:t>
            </w:r>
          </w:p>
        </w:tc>
        <w:tc>
          <w:tcPr>
            <w:tcW w:w="455" w:type="dxa"/>
            <w:tcBorders>
              <w:top w:val="single" w:sz="4" w:space="0" w:color="auto"/>
              <w:left w:val="nil"/>
              <w:bottom w:val="single" w:sz="4" w:space="0" w:color="auto"/>
              <w:right w:val="single" w:sz="8" w:space="0" w:color="auto"/>
            </w:tcBorders>
            <w:shd w:val="clear" w:color="auto" w:fill="auto"/>
            <w:vAlign w:val="center"/>
            <w:hideMark/>
          </w:tcPr>
          <w:p w:rsidR="00103DFF" w:rsidRDefault="00103DFF">
            <w:pPr>
              <w:rPr>
                <w:rFonts w:ascii="Calibri" w:hAnsi="Calibri" w:cs="Arial"/>
                <w:b/>
                <w:bCs/>
                <w:sz w:val="18"/>
                <w:szCs w:val="18"/>
              </w:rPr>
            </w:pPr>
            <w:r>
              <w:rPr>
                <w:rFonts w:ascii="Calibri" w:hAnsi="Calibri" w:cs="Arial"/>
                <w:b/>
                <w:bCs/>
                <w:sz w:val="18"/>
                <w:szCs w:val="18"/>
              </w:rPr>
              <w:t> </w:t>
            </w:r>
          </w:p>
        </w:tc>
        <w:tc>
          <w:tcPr>
            <w:tcW w:w="455" w:type="dxa"/>
            <w:tcBorders>
              <w:top w:val="single" w:sz="4" w:space="0" w:color="auto"/>
              <w:left w:val="nil"/>
              <w:bottom w:val="single" w:sz="4" w:space="0" w:color="auto"/>
              <w:right w:val="single" w:sz="4" w:space="0" w:color="auto"/>
            </w:tcBorders>
            <w:shd w:val="clear" w:color="auto" w:fill="auto"/>
            <w:vAlign w:val="center"/>
            <w:hideMark/>
          </w:tcPr>
          <w:p w:rsidR="00103DFF" w:rsidRDefault="00103DFF">
            <w:pPr>
              <w:rPr>
                <w:rFonts w:ascii="Calibri" w:hAnsi="Calibri" w:cs="Arial"/>
                <w:b/>
                <w:bCs/>
                <w:sz w:val="18"/>
                <w:szCs w:val="18"/>
              </w:rPr>
            </w:pPr>
            <w:r>
              <w:rPr>
                <w:rFonts w:ascii="Calibri" w:hAnsi="Calibri" w:cs="Arial"/>
                <w:b/>
                <w:bCs/>
                <w:sz w:val="18"/>
                <w:szCs w:val="18"/>
              </w:rPr>
              <w:t> </w:t>
            </w:r>
          </w:p>
        </w:tc>
        <w:tc>
          <w:tcPr>
            <w:tcW w:w="455" w:type="dxa"/>
            <w:tcBorders>
              <w:top w:val="single" w:sz="4" w:space="0" w:color="auto"/>
              <w:left w:val="nil"/>
              <w:bottom w:val="single" w:sz="4" w:space="0" w:color="auto"/>
              <w:right w:val="single" w:sz="4" w:space="0" w:color="auto"/>
            </w:tcBorders>
            <w:shd w:val="clear" w:color="auto" w:fill="auto"/>
            <w:vAlign w:val="center"/>
            <w:hideMark/>
          </w:tcPr>
          <w:p w:rsidR="00103DFF" w:rsidRDefault="00103DFF">
            <w:pPr>
              <w:rPr>
                <w:rFonts w:ascii="Calibri" w:hAnsi="Calibri" w:cs="Arial"/>
                <w:b/>
                <w:bCs/>
                <w:sz w:val="18"/>
                <w:szCs w:val="18"/>
              </w:rPr>
            </w:pPr>
            <w:r>
              <w:rPr>
                <w:rFonts w:ascii="Calibri" w:hAnsi="Calibri" w:cs="Arial"/>
                <w:b/>
                <w:bCs/>
                <w:sz w:val="18"/>
                <w:szCs w:val="18"/>
              </w:rPr>
              <w:t> </w:t>
            </w:r>
          </w:p>
        </w:tc>
        <w:tc>
          <w:tcPr>
            <w:tcW w:w="455" w:type="dxa"/>
            <w:tcBorders>
              <w:top w:val="single" w:sz="4" w:space="0" w:color="auto"/>
              <w:left w:val="nil"/>
              <w:bottom w:val="single" w:sz="4" w:space="0" w:color="auto"/>
              <w:right w:val="single" w:sz="4" w:space="0" w:color="auto"/>
            </w:tcBorders>
            <w:shd w:val="clear" w:color="auto" w:fill="auto"/>
            <w:vAlign w:val="center"/>
            <w:hideMark/>
          </w:tcPr>
          <w:p w:rsidR="00103DFF" w:rsidRDefault="00103DFF">
            <w:pPr>
              <w:rPr>
                <w:rFonts w:ascii="Calibri" w:hAnsi="Calibri" w:cs="Arial"/>
                <w:b/>
                <w:bCs/>
                <w:sz w:val="18"/>
                <w:szCs w:val="18"/>
              </w:rPr>
            </w:pPr>
            <w:r>
              <w:rPr>
                <w:rFonts w:ascii="Calibri" w:hAnsi="Calibri" w:cs="Arial"/>
                <w:b/>
                <w:bCs/>
                <w:sz w:val="18"/>
                <w:szCs w:val="18"/>
              </w:rPr>
              <w:t> </w:t>
            </w:r>
          </w:p>
        </w:tc>
        <w:tc>
          <w:tcPr>
            <w:tcW w:w="455" w:type="dxa"/>
            <w:tcBorders>
              <w:top w:val="single" w:sz="4" w:space="0" w:color="auto"/>
              <w:left w:val="nil"/>
              <w:bottom w:val="single" w:sz="4" w:space="0" w:color="auto"/>
              <w:right w:val="single" w:sz="8" w:space="0" w:color="auto"/>
            </w:tcBorders>
            <w:shd w:val="clear" w:color="auto" w:fill="auto"/>
            <w:vAlign w:val="center"/>
            <w:hideMark/>
          </w:tcPr>
          <w:p w:rsidR="00103DFF" w:rsidRDefault="00103DFF">
            <w:pPr>
              <w:rPr>
                <w:rFonts w:ascii="Calibri" w:hAnsi="Calibri" w:cs="Arial"/>
                <w:b/>
                <w:bCs/>
                <w:sz w:val="18"/>
                <w:szCs w:val="18"/>
              </w:rPr>
            </w:pPr>
            <w:r>
              <w:rPr>
                <w:rFonts w:ascii="Calibri" w:hAnsi="Calibri" w:cs="Arial"/>
                <w:b/>
                <w:bCs/>
                <w:sz w:val="18"/>
                <w:szCs w:val="18"/>
              </w:rPr>
              <w:t> </w:t>
            </w:r>
          </w:p>
        </w:tc>
        <w:tc>
          <w:tcPr>
            <w:tcW w:w="3030" w:type="dxa"/>
            <w:tcBorders>
              <w:top w:val="single" w:sz="4" w:space="0" w:color="auto"/>
              <w:left w:val="nil"/>
              <w:bottom w:val="single" w:sz="4" w:space="0" w:color="auto"/>
              <w:right w:val="single" w:sz="8" w:space="0" w:color="auto"/>
            </w:tcBorders>
            <w:shd w:val="clear" w:color="auto" w:fill="auto"/>
            <w:vAlign w:val="center"/>
            <w:hideMark/>
          </w:tcPr>
          <w:p w:rsidR="00103DFF" w:rsidRDefault="00103DFF">
            <w:pPr>
              <w:rPr>
                <w:rFonts w:ascii="Calibri" w:hAnsi="Calibri" w:cs="Arial"/>
                <w:sz w:val="16"/>
                <w:szCs w:val="16"/>
              </w:rPr>
            </w:pPr>
            <w:r>
              <w:rPr>
                <w:rFonts w:ascii="Calibri" w:hAnsi="Calibri" w:cs="Arial"/>
                <w:sz w:val="16"/>
                <w:szCs w:val="16"/>
              </w:rPr>
              <w:t>Work with all Cell/Tower Companies and public land owners to finalize the analysis and come to determination for each request cell site</w:t>
            </w:r>
          </w:p>
        </w:tc>
      </w:tr>
      <w:tr w:rsidR="00103DFF" w:rsidTr="00FA66D1">
        <w:trPr>
          <w:trHeight w:val="750"/>
        </w:trPr>
        <w:tc>
          <w:tcPr>
            <w:tcW w:w="262" w:type="dxa"/>
            <w:tcBorders>
              <w:top w:val="nil"/>
              <w:left w:val="single" w:sz="8" w:space="0" w:color="auto"/>
              <w:bottom w:val="single" w:sz="4" w:space="0" w:color="auto"/>
              <w:right w:val="nil"/>
            </w:tcBorders>
            <w:shd w:val="clear" w:color="auto" w:fill="auto"/>
            <w:noWrap/>
            <w:vAlign w:val="center"/>
            <w:hideMark/>
          </w:tcPr>
          <w:p w:rsidR="00103DFF" w:rsidRDefault="00103DFF">
            <w:pPr>
              <w:rPr>
                <w:rFonts w:ascii="Calibri" w:hAnsi="Calibri" w:cs="Arial"/>
                <w:b/>
                <w:bCs/>
                <w:sz w:val="20"/>
                <w:szCs w:val="20"/>
              </w:rPr>
            </w:pPr>
            <w:r>
              <w:rPr>
                <w:rFonts w:ascii="Calibri" w:hAnsi="Calibri" w:cs="Arial"/>
                <w:b/>
                <w:bCs/>
                <w:sz w:val="20"/>
                <w:szCs w:val="20"/>
              </w:rPr>
              <w:t> </w:t>
            </w:r>
          </w:p>
        </w:tc>
        <w:tc>
          <w:tcPr>
            <w:tcW w:w="357" w:type="dxa"/>
            <w:tcBorders>
              <w:top w:val="nil"/>
              <w:left w:val="nil"/>
              <w:bottom w:val="single" w:sz="4" w:space="0" w:color="auto"/>
              <w:right w:val="nil"/>
            </w:tcBorders>
            <w:shd w:val="clear" w:color="auto" w:fill="auto"/>
            <w:noWrap/>
            <w:vAlign w:val="center"/>
            <w:hideMark/>
          </w:tcPr>
          <w:p w:rsidR="00103DFF" w:rsidRDefault="00103DFF">
            <w:pPr>
              <w:rPr>
                <w:rFonts w:ascii="Calibri" w:hAnsi="Calibri" w:cs="Arial"/>
                <w:b/>
                <w:bCs/>
                <w:sz w:val="18"/>
                <w:szCs w:val="18"/>
              </w:rPr>
            </w:pPr>
            <w:r>
              <w:rPr>
                <w:rFonts w:ascii="Calibri" w:hAnsi="Calibri" w:cs="Arial"/>
                <w:b/>
                <w:bCs/>
                <w:sz w:val="18"/>
                <w:szCs w:val="18"/>
              </w:rPr>
              <w:t>b</w:t>
            </w:r>
          </w:p>
        </w:tc>
        <w:tc>
          <w:tcPr>
            <w:tcW w:w="4227" w:type="dxa"/>
            <w:tcBorders>
              <w:top w:val="nil"/>
              <w:left w:val="nil"/>
              <w:bottom w:val="single" w:sz="4" w:space="0" w:color="auto"/>
              <w:right w:val="single" w:sz="8" w:space="0" w:color="auto"/>
            </w:tcBorders>
            <w:shd w:val="clear" w:color="auto" w:fill="auto"/>
            <w:vAlign w:val="center"/>
            <w:hideMark/>
          </w:tcPr>
          <w:p w:rsidR="00103DFF" w:rsidRDefault="00103DFF">
            <w:pPr>
              <w:rPr>
                <w:rFonts w:ascii="Calibri" w:hAnsi="Calibri" w:cs="Arial"/>
                <w:sz w:val="18"/>
                <w:szCs w:val="18"/>
              </w:rPr>
            </w:pPr>
            <w:r>
              <w:rPr>
                <w:rFonts w:ascii="Calibri" w:hAnsi="Calibri" w:cs="Arial"/>
                <w:sz w:val="18"/>
                <w:szCs w:val="18"/>
              </w:rPr>
              <w:t>Report out results individually to Cell/Tower companies</w:t>
            </w:r>
          </w:p>
        </w:tc>
        <w:tc>
          <w:tcPr>
            <w:tcW w:w="455" w:type="dxa"/>
            <w:tcBorders>
              <w:top w:val="nil"/>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000000" w:fill="FF9900"/>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8"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8"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3030" w:type="dxa"/>
            <w:tcBorders>
              <w:top w:val="nil"/>
              <w:left w:val="nil"/>
              <w:bottom w:val="single" w:sz="4" w:space="0" w:color="auto"/>
              <w:right w:val="single" w:sz="8" w:space="0" w:color="auto"/>
            </w:tcBorders>
            <w:shd w:val="clear" w:color="auto" w:fill="auto"/>
            <w:vAlign w:val="center"/>
            <w:hideMark/>
          </w:tcPr>
          <w:p w:rsidR="00103DFF" w:rsidRDefault="00103DFF">
            <w:pPr>
              <w:rPr>
                <w:rFonts w:ascii="Calibri" w:hAnsi="Calibri" w:cs="Arial"/>
                <w:sz w:val="16"/>
                <w:szCs w:val="16"/>
              </w:rPr>
            </w:pPr>
            <w:r>
              <w:rPr>
                <w:rFonts w:ascii="Calibri" w:hAnsi="Calibri" w:cs="Arial"/>
                <w:sz w:val="16"/>
                <w:szCs w:val="16"/>
              </w:rPr>
              <w:t xml:space="preserve">Each Cell/Tower Company will </w:t>
            </w:r>
            <w:proofErr w:type="gramStart"/>
            <w:r>
              <w:rPr>
                <w:rFonts w:ascii="Calibri" w:hAnsi="Calibri" w:cs="Arial"/>
                <w:sz w:val="16"/>
                <w:szCs w:val="16"/>
              </w:rPr>
              <w:t>apprised</w:t>
            </w:r>
            <w:proofErr w:type="gramEnd"/>
            <w:r>
              <w:rPr>
                <w:rFonts w:ascii="Calibri" w:hAnsi="Calibri" w:cs="Arial"/>
                <w:sz w:val="16"/>
                <w:szCs w:val="16"/>
              </w:rPr>
              <w:t xml:space="preserve"> of the results of the analysis and the options available to them.</w:t>
            </w:r>
          </w:p>
        </w:tc>
      </w:tr>
      <w:tr w:rsidR="00103DFF" w:rsidTr="00FA66D1">
        <w:trPr>
          <w:trHeight w:val="720"/>
        </w:trPr>
        <w:tc>
          <w:tcPr>
            <w:tcW w:w="262" w:type="dxa"/>
            <w:tcBorders>
              <w:top w:val="nil"/>
              <w:left w:val="single" w:sz="8" w:space="0" w:color="auto"/>
              <w:bottom w:val="single" w:sz="4" w:space="0" w:color="auto"/>
              <w:right w:val="nil"/>
            </w:tcBorders>
            <w:shd w:val="clear" w:color="auto" w:fill="auto"/>
            <w:noWrap/>
            <w:vAlign w:val="center"/>
            <w:hideMark/>
          </w:tcPr>
          <w:p w:rsidR="00103DFF" w:rsidRDefault="00103DFF">
            <w:pPr>
              <w:rPr>
                <w:rFonts w:ascii="Calibri" w:hAnsi="Calibri" w:cs="Arial"/>
                <w:b/>
                <w:bCs/>
                <w:sz w:val="20"/>
                <w:szCs w:val="20"/>
              </w:rPr>
            </w:pPr>
            <w:r>
              <w:rPr>
                <w:rFonts w:ascii="Calibri" w:hAnsi="Calibri" w:cs="Arial"/>
                <w:b/>
                <w:bCs/>
                <w:sz w:val="20"/>
                <w:szCs w:val="20"/>
              </w:rPr>
              <w:t> </w:t>
            </w:r>
          </w:p>
        </w:tc>
        <w:tc>
          <w:tcPr>
            <w:tcW w:w="357" w:type="dxa"/>
            <w:tcBorders>
              <w:top w:val="nil"/>
              <w:left w:val="nil"/>
              <w:bottom w:val="single" w:sz="4" w:space="0" w:color="auto"/>
              <w:right w:val="nil"/>
            </w:tcBorders>
            <w:shd w:val="clear" w:color="auto" w:fill="auto"/>
            <w:noWrap/>
            <w:vAlign w:val="center"/>
            <w:hideMark/>
          </w:tcPr>
          <w:p w:rsidR="00103DFF" w:rsidRDefault="00103DFF">
            <w:pPr>
              <w:rPr>
                <w:rFonts w:ascii="Calibri" w:hAnsi="Calibri" w:cs="Arial"/>
                <w:b/>
                <w:bCs/>
                <w:sz w:val="18"/>
                <w:szCs w:val="18"/>
              </w:rPr>
            </w:pPr>
            <w:r>
              <w:rPr>
                <w:rFonts w:ascii="Calibri" w:hAnsi="Calibri" w:cs="Arial"/>
                <w:b/>
                <w:bCs/>
                <w:sz w:val="18"/>
                <w:szCs w:val="18"/>
              </w:rPr>
              <w:t>c</w:t>
            </w:r>
          </w:p>
        </w:tc>
        <w:tc>
          <w:tcPr>
            <w:tcW w:w="4227" w:type="dxa"/>
            <w:tcBorders>
              <w:top w:val="nil"/>
              <w:left w:val="nil"/>
              <w:bottom w:val="single" w:sz="4" w:space="0" w:color="auto"/>
              <w:right w:val="single" w:sz="8" w:space="0" w:color="auto"/>
            </w:tcBorders>
            <w:shd w:val="clear" w:color="auto" w:fill="auto"/>
            <w:vAlign w:val="center"/>
            <w:hideMark/>
          </w:tcPr>
          <w:p w:rsidR="00103DFF" w:rsidRDefault="00103DFF">
            <w:pPr>
              <w:rPr>
                <w:rFonts w:ascii="Calibri" w:hAnsi="Calibri" w:cs="Arial"/>
                <w:sz w:val="18"/>
                <w:szCs w:val="18"/>
              </w:rPr>
            </w:pPr>
            <w:r>
              <w:rPr>
                <w:rFonts w:ascii="Calibri" w:hAnsi="Calibri" w:cs="Arial"/>
                <w:sz w:val="18"/>
                <w:szCs w:val="18"/>
              </w:rPr>
              <w:t>Facilitate co-location discussion with the Cell/Tower companies to determine process for deciding the lead agency for each authorized communication site</w:t>
            </w:r>
          </w:p>
        </w:tc>
        <w:tc>
          <w:tcPr>
            <w:tcW w:w="455" w:type="dxa"/>
            <w:tcBorders>
              <w:top w:val="nil"/>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000000" w:fill="FF9900"/>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8"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8"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3030" w:type="dxa"/>
            <w:tcBorders>
              <w:top w:val="nil"/>
              <w:left w:val="nil"/>
              <w:bottom w:val="single" w:sz="4" w:space="0" w:color="auto"/>
              <w:right w:val="single" w:sz="8" w:space="0" w:color="auto"/>
            </w:tcBorders>
            <w:shd w:val="clear" w:color="auto" w:fill="auto"/>
            <w:vAlign w:val="center"/>
            <w:hideMark/>
          </w:tcPr>
          <w:p w:rsidR="00103DFF" w:rsidRDefault="00103DFF">
            <w:pPr>
              <w:rPr>
                <w:rFonts w:ascii="Calibri" w:hAnsi="Calibri" w:cs="Arial"/>
                <w:sz w:val="16"/>
                <w:szCs w:val="16"/>
              </w:rPr>
            </w:pPr>
            <w:r>
              <w:rPr>
                <w:rFonts w:ascii="Calibri" w:hAnsi="Calibri" w:cs="Arial"/>
                <w:sz w:val="16"/>
                <w:szCs w:val="16"/>
              </w:rPr>
              <w:t>Process will be developed and lead agencies decided for each communication site identified by the USFS.</w:t>
            </w:r>
          </w:p>
        </w:tc>
      </w:tr>
      <w:tr w:rsidR="00103DFF" w:rsidTr="00FA66D1">
        <w:trPr>
          <w:trHeight w:val="1065"/>
        </w:trPr>
        <w:tc>
          <w:tcPr>
            <w:tcW w:w="262" w:type="dxa"/>
            <w:tcBorders>
              <w:top w:val="nil"/>
              <w:left w:val="single" w:sz="8" w:space="0" w:color="auto"/>
              <w:bottom w:val="nil"/>
              <w:right w:val="nil"/>
            </w:tcBorders>
            <w:shd w:val="clear" w:color="auto" w:fill="auto"/>
            <w:noWrap/>
            <w:vAlign w:val="center"/>
            <w:hideMark/>
          </w:tcPr>
          <w:p w:rsidR="00103DFF" w:rsidRDefault="00103DFF">
            <w:pPr>
              <w:rPr>
                <w:rFonts w:ascii="Calibri" w:hAnsi="Calibri" w:cs="Arial"/>
                <w:b/>
                <w:bCs/>
                <w:sz w:val="20"/>
                <w:szCs w:val="20"/>
              </w:rPr>
            </w:pPr>
            <w:r>
              <w:rPr>
                <w:rFonts w:ascii="Calibri" w:hAnsi="Calibri" w:cs="Arial"/>
                <w:b/>
                <w:bCs/>
                <w:sz w:val="20"/>
                <w:szCs w:val="20"/>
              </w:rPr>
              <w:t> </w:t>
            </w:r>
          </w:p>
        </w:tc>
        <w:tc>
          <w:tcPr>
            <w:tcW w:w="357" w:type="dxa"/>
            <w:tcBorders>
              <w:top w:val="nil"/>
              <w:left w:val="nil"/>
              <w:bottom w:val="nil"/>
              <w:right w:val="nil"/>
            </w:tcBorders>
            <w:shd w:val="clear" w:color="auto" w:fill="auto"/>
            <w:noWrap/>
            <w:vAlign w:val="center"/>
            <w:hideMark/>
          </w:tcPr>
          <w:p w:rsidR="00103DFF" w:rsidRDefault="00103DFF">
            <w:pPr>
              <w:rPr>
                <w:rFonts w:ascii="Calibri" w:hAnsi="Calibri" w:cs="Arial"/>
                <w:b/>
                <w:bCs/>
                <w:sz w:val="18"/>
                <w:szCs w:val="18"/>
              </w:rPr>
            </w:pPr>
            <w:r>
              <w:rPr>
                <w:rFonts w:ascii="Calibri" w:hAnsi="Calibri" w:cs="Arial"/>
                <w:b/>
                <w:bCs/>
                <w:sz w:val="18"/>
                <w:szCs w:val="18"/>
              </w:rPr>
              <w:t>d</w:t>
            </w:r>
          </w:p>
        </w:tc>
        <w:tc>
          <w:tcPr>
            <w:tcW w:w="4227" w:type="dxa"/>
            <w:tcBorders>
              <w:top w:val="nil"/>
              <w:left w:val="nil"/>
              <w:bottom w:val="nil"/>
              <w:right w:val="single" w:sz="8" w:space="0" w:color="auto"/>
            </w:tcBorders>
            <w:shd w:val="clear" w:color="auto" w:fill="auto"/>
            <w:vAlign w:val="center"/>
            <w:hideMark/>
          </w:tcPr>
          <w:p w:rsidR="00103DFF" w:rsidRDefault="00103DFF">
            <w:pPr>
              <w:rPr>
                <w:rFonts w:ascii="Calibri" w:hAnsi="Calibri" w:cs="Arial"/>
                <w:sz w:val="18"/>
                <w:szCs w:val="18"/>
              </w:rPr>
            </w:pPr>
            <w:r>
              <w:rPr>
                <w:rFonts w:ascii="Calibri" w:hAnsi="Calibri" w:cs="Arial"/>
                <w:sz w:val="18"/>
                <w:szCs w:val="18"/>
              </w:rPr>
              <w:t>Host “Navigating the Permit Process” industry meeting</w:t>
            </w:r>
          </w:p>
        </w:tc>
        <w:tc>
          <w:tcPr>
            <w:tcW w:w="455" w:type="dxa"/>
            <w:tcBorders>
              <w:top w:val="nil"/>
              <w:left w:val="nil"/>
              <w:bottom w:val="nil"/>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nil"/>
              <w:right w:val="single" w:sz="4" w:space="0" w:color="auto"/>
            </w:tcBorders>
            <w:shd w:val="clear" w:color="auto" w:fill="auto"/>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nil"/>
              <w:right w:val="single" w:sz="4" w:space="0" w:color="auto"/>
            </w:tcBorders>
            <w:shd w:val="clear" w:color="auto" w:fill="auto"/>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single" w:sz="4" w:space="0" w:color="auto"/>
              <w:right w:val="single" w:sz="4" w:space="0" w:color="auto"/>
            </w:tcBorders>
            <w:shd w:val="clear" w:color="000000" w:fill="FF9900"/>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single" w:sz="8" w:space="0" w:color="auto"/>
              <w:bottom w:val="nil"/>
              <w:right w:val="single" w:sz="4" w:space="0" w:color="auto"/>
            </w:tcBorders>
            <w:shd w:val="clear" w:color="auto" w:fill="auto"/>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nil"/>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nil"/>
              <w:right w:val="single" w:sz="4"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nil"/>
              <w:left w:val="nil"/>
              <w:bottom w:val="nil"/>
              <w:right w:val="single" w:sz="8" w:space="0" w:color="auto"/>
            </w:tcBorders>
            <w:shd w:val="clear" w:color="auto" w:fill="auto"/>
            <w:noWrap/>
            <w:vAlign w:val="center"/>
            <w:hideMark/>
          </w:tcPr>
          <w:p w:rsidR="00103DFF" w:rsidRDefault="00103DFF">
            <w:pPr>
              <w:rPr>
                <w:rFonts w:ascii="Calibri" w:hAnsi="Calibri" w:cs="Arial"/>
                <w:sz w:val="18"/>
                <w:szCs w:val="18"/>
              </w:rPr>
            </w:pPr>
            <w:r>
              <w:rPr>
                <w:rFonts w:ascii="Calibri" w:hAnsi="Calibri" w:cs="Arial"/>
                <w:sz w:val="18"/>
                <w:szCs w:val="18"/>
              </w:rPr>
              <w:t> </w:t>
            </w:r>
          </w:p>
        </w:tc>
        <w:tc>
          <w:tcPr>
            <w:tcW w:w="3030" w:type="dxa"/>
            <w:tcBorders>
              <w:top w:val="nil"/>
              <w:left w:val="nil"/>
              <w:bottom w:val="nil"/>
              <w:right w:val="single" w:sz="8" w:space="0" w:color="auto"/>
            </w:tcBorders>
            <w:shd w:val="clear" w:color="auto" w:fill="auto"/>
            <w:vAlign w:val="center"/>
            <w:hideMark/>
          </w:tcPr>
          <w:p w:rsidR="00103DFF" w:rsidRDefault="00103DFF">
            <w:pPr>
              <w:rPr>
                <w:rFonts w:ascii="Calibri" w:hAnsi="Calibri" w:cs="Arial"/>
                <w:sz w:val="16"/>
                <w:szCs w:val="16"/>
              </w:rPr>
            </w:pPr>
            <w:r>
              <w:rPr>
                <w:rFonts w:ascii="Calibri" w:hAnsi="Calibri" w:cs="Arial"/>
                <w:sz w:val="16"/>
                <w:szCs w:val="16"/>
              </w:rPr>
              <w:t>An Industry Meeting is hosted by the TPC for the USFS and TRPA to give a tutorial on the best practices for Navigating the Permit Process</w:t>
            </w:r>
          </w:p>
        </w:tc>
      </w:tr>
      <w:tr w:rsidR="00103DFF" w:rsidTr="00103DFF">
        <w:trPr>
          <w:trHeight w:val="300"/>
        </w:trPr>
        <w:tc>
          <w:tcPr>
            <w:tcW w:w="4846" w:type="dxa"/>
            <w:gridSpan w:val="3"/>
            <w:tcBorders>
              <w:top w:val="single" w:sz="8" w:space="0" w:color="auto"/>
              <w:left w:val="single" w:sz="8" w:space="0" w:color="auto"/>
              <w:bottom w:val="single" w:sz="8" w:space="0" w:color="auto"/>
              <w:right w:val="nil"/>
            </w:tcBorders>
            <w:shd w:val="clear" w:color="000000" w:fill="C4D79B"/>
            <w:noWrap/>
            <w:vAlign w:val="center"/>
            <w:hideMark/>
          </w:tcPr>
          <w:p w:rsidR="00103DFF" w:rsidRDefault="00103DFF">
            <w:pPr>
              <w:rPr>
                <w:rFonts w:ascii="Calibri" w:hAnsi="Calibri" w:cs="Arial"/>
                <w:b/>
                <w:bCs/>
                <w:sz w:val="20"/>
                <w:szCs w:val="20"/>
              </w:rPr>
            </w:pPr>
            <w:r>
              <w:rPr>
                <w:rFonts w:ascii="Calibri" w:hAnsi="Calibri" w:cs="Arial"/>
                <w:b/>
                <w:bCs/>
                <w:sz w:val="20"/>
                <w:szCs w:val="20"/>
              </w:rPr>
              <w:t>Activity 4: TPC Oversight and administration</w:t>
            </w:r>
          </w:p>
        </w:tc>
        <w:tc>
          <w:tcPr>
            <w:tcW w:w="455" w:type="dxa"/>
            <w:tcBorders>
              <w:top w:val="single" w:sz="8" w:space="0" w:color="auto"/>
              <w:left w:val="single" w:sz="4" w:space="0" w:color="auto"/>
              <w:bottom w:val="single" w:sz="8" w:space="0" w:color="auto"/>
              <w:right w:val="single" w:sz="4" w:space="0" w:color="auto"/>
            </w:tcBorders>
            <w:shd w:val="clear" w:color="000000" w:fill="FF9900"/>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single" w:sz="8" w:space="0" w:color="auto"/>
              <w:left w:val="nil"/>
              <w:bottom w:val="single" w:sz="8" w:space="0" w:color="auto"/>
              <w:right w:val="single" w:sz="4" w:space="0" w:color="auto"/>
            </w:tcBorders>
            <w:shd w:val="clear" w:color="000000" w:fill="FF9900"/>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single" w:sz="8" w:space="0" w:color="auto"/>
              <w:left w:val="nil"/>
              <w:bottom w:val="single" w:sz="8" w:space="0" w:color="auto"/>
              <w:right w:val="single" w:sz="4" w:space="0" w:color="auto"/>
            </w:tcBorders>
            <w:shd w:val="clear" w:color="000000" w:fill="FF9900"/>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single" w:sz="8" w:space="0" w:color="auto"/>
              <w:left w:val="nil"/>
              <w:bottom w:val="single" w:sz="8" w:space="0" w:color="auto"/>
              <w:right w:val="single" w:sz="4" w:space="0" w:color="auto"/>
            </w:tcBorders>
            <w:shd w:val="clear" w:color="000000" w:fill="FF9900"/>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single" w:sz="8" w:space="0" w:color="auto"/>
              <w:left w:val="nil"/>
              <w:bottom w:val="single" w:sz="8" w:space="0" w:color="auto"/>
              <w:right w:val="single" w:sz="4" w:space="0" w:color="auto"/>
            </w:tcBorders>
            <w:shd w:val="clear" w:color="000000" w:fill="FF9900"/>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single" w:sz="8" w:space="0" w:color="auto"/>
              <w:left w:val="nil"/>
              <w:bottom w:val="single" w:sz="8" w:space="0" w:color="auto"/>
              <w:right w:val="single" w:sz="4" w:space="0" w:color="auto"/>
            </w:tcBorders>
            <w:shd w:val="clear" w:color="000000" w:fill="FF9900"/>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single" w:sz="8" w:space="0" w:color="auto"/>
              <w:left w:val="nil"/>
              <w:bottom w:val="single" w:sz="8" w:space="0" w:color="auto"/>
              <w:right w:val="single" w:sz="4" w:space="0" w:color="auto"/>
            </w:tcBorders>
            <w:shd w:val="clear" w:color="000000" w:fill="FF9900"/>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455" w:type="dxa"/>
            <w:tcBorders>
              <w:top w:val="single" w:sz="8" w:space="0" w:color="auto"/>
              <w:left w:val="nil"/>
              <w:bottom w:val="single" w:sz="8" w:space="0" w:color="auto"/>
              <w:right w:val="single" w:sz="4" w:space="0" w:color="auto"/>
            </w:tcBorders>
            <w:shd w:val="clear" w:color="000000" w:fill="FF9900"/>
            <w:vAlign w:val="bottom"/>
            <w:hideMark/>
          </w:tcPr>
          <w:p w:rsidR="00103DFF" w:rsidRDefault="00103DFF">
            <w:pPr>
              <w:rPr>
                <w:rFonts w:ascii="Calibri" w:hAnsi="Calibri" w:cs="Arial"/>
                <w:sz w:val="18"/>
                <w:szCs w:val="18"/>
              </w:rPr>
            </w:pPr>
            <w:r>
              <w:rPr>
                <w:rFonts w:ascii="Calibri" w:hAnsi="Calibri" w:cs="Arial"/>
                <w:sz w:val="18"/>
                <w:szCs w:val="18"/>
              </w:rPr>
              <w:t> </w:t>
            </w:r>
          </w:p>
        </w:tc>
        <w:tc>
          <w:tcPr>
            <w:tcW w:w="3030" w:type="dxa"/>
            <w:tcBorders>
              <w:top w:val="single" w:sz="8" w:space="0" w:color="auto"/>
              <w:left w:val="nil"/>
              <w:bottom w:val="single" w:sz="8" w:space="0" w:color="auto"/>
              <w:right w:val="single" w:sz="8" w:space="0" w:color="auto"/>
            </w:tcBorders>
            <w:shd w:val="clear" w:color="000000" w:fill="C4D79B"/>
            <w:vAlign w:val="center"/>
            <w:hideMark/>
          </w:tcPr>
          <w:p w:rsidR="00103DFF" w:rsidRDefault="00103DFF">
            <w:pPr>
              <w:rPr>
                <w:rFonts w:ascii="Calibri" w:hAnsi="Calibri" w:cs="Arial"/>
                <w:sz w:val="16"/>
                <w:szCs w:val="16"/>
              </w:rPr>
            </w:pPr>
            <w:r>
              <w:rPr>
                <w:rFonts w:ascii="Calibri" w:hAnsi="Calibri" w:cs="Arial"/>
                <w:sz w:val="16"/>
                <w:szCs w:val="16"/>
              </w:rPr>
              <w:t> </w:t>
            </w:r>
          </w:p>
        </w:tc>
      </w:tr>
    </w:tbl>
    <w:p w:rsidR="00B45AE4" w:rsidRPr="00F3080C" w:rsidRDefault="00B45AE4" w:rsidP="00FA66D1">
      <w:pPr>
        <w:jc w:val="center"/>
        <w:rPr>
          <w:rFonts w:ascii="Palatino Linotype" w:hAnsi="Palatino Linotype"/>
          <w:b/>
          <w:color w:val="000000" w:themeColor="text1"/>
          <w:sz w:val="32"/>
          <w:szCs w:val="32"/>
        </w:rPr>
      </w:pPr>
    </w:p>
    <w:sectPr w:rsidR="00B45AE4" w:rsidRPr="00F3080C" w:rsidSect="00EA552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432" w:gutter="0"/>
      <w:pgNumType w:start="1"/>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20A279" w15:done="0"/>
  <w15:commentEx w15:paraId="54FAA3A8" w15:done="0"/>
  <w15:commentEx w15:paraId="7AAC9B0E" w15:done="0"/>
  <w15:commentEx w15:paraId="6684862B" w15:done="0"/>
  <w15:commentEx w15:paraId="14B70A07" w15:done="0"/>
  <w15:commentEx w15:paraId="44DF2295" w15:done="0"/>
  <w15:commentEx w15:paraId="25FEDD3E" w15:done="0"/>
  <w15:commentEx w15:paraId="5B759908" w15:done="0"/>
  <w15:commentEx w15:paraId="6C7D9606" w15:done="0"/>
  <w15:commentEx w15:paraId="014A1D1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E41" w:rsidRDefault="00672E41">
      <w:r>
        <w:separator/>
      </w:r>
    </w:p>
  </w:endnote>
  <w:endnote w:type="continuationSeparator" w:id="0">
    <w:p w:rsidR="00672E41" w:rsidRDefault="0067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0C3" w:rsidRDefault="000170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1971849"/>
      <w:docPartObj>
        <w:docPartGallery w:val="Page Numbers (Bottom of Page)"/>
        <w:docPartUnique/>
      </w:docPartObj>
    </w:sdtPr>
    <w:sdtEndPr>
      <w:rPr>
        <w:noProof/>
      </w:rPr>
    </w:sdtEndPr>
    <w:sdtContent>
      <w:p w:rsidR="00EA5522" w:rsidRDefault="00EA5522">
        <w:pPr>
          <w:pStyle w:val="Footer"/>
          <w:jc w:val="center"/>
        </w:pPr>
        <w:r>
          <w:fldChar w:fldCharType="begin"/>
        </w:r>
        <w:r>
          <w:instrText xml:space="preserve"> PAGE   \* MERGEFORMAT </w:instrText>
        </w:r>
        <w:r>
          <w:fldChar w:fldCharType="separate"/>
        </w:r>
        <w:r w:rsidR="000170C3">
          <w:rPr>
            <w:noProof/>
          </w:rPr>
          <w:t>29</w:t>
        </w:r>
        <w:r>
          <w:rPr>
            <w:noProof/>
          </w:rPr>
          <w:fldChar w:fldCharType="end"/>
        </w:r>
      </w:p>
    </w:sdtContent>
  </w:sdt>
  <w:p w:rsidR="00EA5522" w:rsidRDefault="00EA55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991378"/>
      <w:docPartObj>
        <w:docPartGallery w:val="Page Numbers (Bottom of Page)"/>
        <w:docPartUnique/>
      </w:docPartObj>
    </w:sdtPr>
    <w:sdtEndPr>
      <w:rPr>
        <w:noProof/>
      </w:rPr>
    </w:sdtEndPr>
    <w:sdtContent>
      <w:p w:rsidR="00AE52B0" w:rsidRDefault="00AE52B0">
        <w:pPr>
          <w:pStyle w:val="Footer"/>
          <w:jc w:val="center"/>
        </w:pPr>
        <w:r>
          <w:fldChar w:fldCharType="begin"/>
        </w:r>
        <w:r>
          <w:instrText xml:space="preserve"> PAGE   \* MERGEFORMAT </w:instrText>
        </w:r>
        <w:r>
          <w:fldChar w:fldCharType="separate"/>
        </w:r>
        <w:r w:rsidR="000170C3">
          <w:rPr>
            <w:noProof/>
          </w:rPr>
          <w:t>1</w:t>
        </w:r>
        <w:r>
          <w:rPr>
            <w:noProof/>
          </w:rPr>
          <w:fldChar w:fldCharType="end"/>
        </w:r>
      </w:p>
    </w:sdtContent>
  </w:sdt>
  <w:p w:rsidR="00AE52B0" w:rsidRDefault="00C45DF5">
    <w:pPr>
      <w:pStyle w:val="Footer"/>
    </w:pPr>
    <w:r w:rsidRPr="00C45DF5">
      <w:t>165305675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E41" w:rsidRDefault="00672E41">
      <w:r>
        <w:separator/>
      </w:r>
    </w:p>
  </w:footnote>
  <w:footnote w:type="continuationSeparator" w:id="0">
    <w:p w:rsidR="00672E41" w:rsidRDefault="00672E41">
      <w:r>
        <w:continuationSeparator/>
      </w:r>
    </w:p>
  </w:footnote>
  <w:footnote w:id="1">
    <w:p w:rsidR="00AE52B0" w:rsidRDefault="00AE52B0">
      <w:pPr>
        <w:pStyle w:val="FootnoteText"/>
      </w:pPr>
      <w:r>
        <w:rPr>
          <w:rStyle w:val="FootnoteReference"/>
        </w:rPr>
        <w:footnoteRef/>
      </w:r>
      <w:r>
        <w:t xml:space="preserve"> D.11-06-038, </w:t>
      </w:r>
      <w:proofErr w:type="gramStart"/>
      <w:r>
        <w:t>Ordering</w:t>
      </w:r>
      <w:proofErr w:type="gramEnd"/>
      <w:r>
        <w:t xml:space="preserve"> Paragraph 4, p. 38 states “The Communication’s Division is directed </w:t>
      </w:r>
      <w:r w:rsidRPr="00087895">
        <w:t>to schedule and host</w:t>
      </w:r>
      <w:r>
        <w:t xml:space="preserve"> on at least an annual basis a Regional Consortia Learning Community Summit.  All consortia receiving California Advanced Services Fund grants shall be required to attend the Summit.  The purpose of the Summit is to provide a forum for all consortia to gather and exchange information an idea on best practices to enhance the effectiveness of consortia programs.”  </w:t>
      </w:r>
    </w:p>
  </w:footnote>
  <w:footnote w:id="2">
    <w:p w:rsidR="00AE52B0" w:rsidRPr="00B0771A" w:rsidRDefault="00AE52B0" w:rsidP="00834A88">
      <w:pPr>
        <w:pStyle w:val="FootnoteText"/>
      </w:pPr>
      <w:r>
        <w:rPr>
          <w:rStyle w:val="FootnoteReference"/>
        </w:rPr>
        <w:footnoteRef/>
      </w:r>
      <w:r>
        <w:t xml:space="preserve"> </w:t>
      </w:r>
      <w:r w:rsidRPr="00B0771A">
        <w:t>Fifteen applications were submitted by January 29, 2016.</w:t>
      </w:r>
    </w:p>
  </w:footnote>
  <w:footnote w:id="3">
    <w:p w:rsidR="00AE52B0" w:rsidRPr="00B0771A" w:rsidRDefault="00AE52B0">
      <w:pPr>
        <w:pStyle w:val="FootnoteText"/>
      </w:pPr>
      <w:r w:rsidRPr="00B0771A">
        <w:rPr>
          <w:rStyle w:val="FootnoteReference"/>
        </w:rPr>
        <w:footnoteRef/>
      </w:r>
      <w:r>
        <w:rPr>
          <w:color w:val="000000" w:themeColor="text1"/>
        </w:rPr>
        <w:t xml:space="preserve"> </w:t>
      </w:r>
      <w:r w:rsidRPr="00B0771A">
        <w:rPr>
          <w:color w:val="000000" w:themeColor="text1"/>
        </w:rPr>
        <w:t>Approximately $238,500 in total expenditures has been requested/paid.</w:t>
      </w:r>
    </w:p>
  </w:footnote>
  <w:footnote w:id="4">
    <w:p w:rsidR="00AE52B0" w:rsidRPr="00B0771A" w:rsidRDefault="00AE52B0">
      <w:pPr>
        <w:pStyle w:val="FootnoteText"/>
      </w:pPr>
      <w:r w:rsidRPr="00B0771A">
        <w:rPr>
          <w:rStyle w:val="FootnoteReference"/>
        </w:rPr>
        <w:footnoteRef/>
      </w:r>
      <w:r>
        <w:rPr>
          <w:color w:val="000000" w:themeColor="text1"/>
        </w:rPr>
        <w:t xml:space="preserve"> </w:t>
      </w:r>
      <w:r w:rsidRPr="00B0771A">
        <w:rPr>
          <w:color w:val="000000" w:themeColor="text1"/>
        </w:rPr>
        <w:t>Approximately $425,400 in total expenditures has been requested/paid.</w:t>
      </w:r>
    </w:p>
  </w:footnote>
  <w:footnote w:id="5">
    <w:p w:rsidR="00AE52B0" w:rsidRPr="00B0771A" w:rsidRDefault="00AE52B0">
      <w:pPr>
        <w:pStyle w:val="FootnoteText"/>
      </w:pPr>
      <w:r w:rsidRPr="00B0771A">
        <w:rPr>
          <w:rStyle w:val="FootnoteReference"/>
        </w:rPr>
        <w:footnoteRef/>
      </w:r>
      <w:r w:rsidRPr="00B0771A">
        <w:t xml:space="preserve"> In general, “dig once” refers to planning construction projects, such as street or highway projects, so that when a segment is excavated, a conduit that can </w:t>
      </w:r>
      <w:r>
        <w:t>house</w:t>
      </w:r>
      <w:r w:rsidRPr="00B0771A">
        <w:t xml:space="preserve"> future broadband </w:t>
      </w:r>
      <w:r>
        <w:t xml:space="preserve">lines </w:t>
      </w:r>
      <w:r w:rsidRPr="00B0771A">
        <w:t xml:space="preserve">is placed underground </w:t>
      </w:r>
      <w:r>
        <w:t xml:space="preserve">in order </w:t>
      </w:r>
      <w:r w:rsidRPr="00B0771A">
        <w:t>to avoid re-excavat</w:t>
      </w:r>
      <w:r>
        <w:t>ing</w:t>
      </w:r>
      <w:r w:rsidRPr="00B0771A">
        <w:t xml:space="preserve"> when </w:t>
      </w:r>
      <w:r>
        <w:t>one or more companies want to install networks under the street</w:t>
      </w:r>
      <w:r w:rsidRPr="00B0771A">
        <w:t>.</w:t>
      </w:r>
    </w:p>
  </w:footnote>
  <w:footnote w:id="6">
    <w:p w:rsidR="00AE52B0" w:rsidRPr="00B0771A" w:rsidRDefault="00AE52B0">
      <w:pPr>
        <w:pStyle w:val="FootnoteText"/>
      </w:pPr>
      <w:r w:rsidRPr="00B0771A">
        <w:rPr>
          <w:rStyle w:val="FootnoteReference"/>
        </w:rPr>
        <w:footnoteRef/>
      </w:r>
      <w:r>
        <w:rPr>
          <w:color w:val="000000" w:themeColor="text1"/>
        </w:rPr>
        <w:t xml:space="preserve"> </w:t>
      </w:r>
      <w:r w:rsidRPr="00B0771A">
        <w:rPr>
          <w:color w:val="000000" w:themeColor="text1"/>
        </w:rPr>
        <w:t>Approximately $167,000 in total expenditures has been requested/paid</w:t>
      </w:r>
      <w:r>
        <w:rPr>
          <w:color w:val="000000" w:themeColor="text1"/>
        </w:rPr>
        <w:t xml:space="preserve"> thus far.</w:t>
      </w:r>
      <w:r w:rsidRPr="00B0771A" w:rsidDel="003F1483">
        <w:rPr>
          <w:color w:val="000000" w:themeColor="text1"/>
        </w:rPr>
        <w:t xml:space="preserve"> </w:t>
      </w:r>
    </w:p>
  </w:footnote>
  <w:footnote w:id="7">
    <w:p w:rsidR="00AE52B0" w:rsidRPr="00904782" w:rsidRDefault="00AE52B0" w:rsidP="00F81E4A">
      <w:pPr>
        <w:pStyle w:val="FootnoteText"/>
      </w:pPr>
      <w:r w:rsidRPr="00904782">
        <w:rPr>
          <w:rStyle w:val="FootnoteReference"/>
        </w:rPr>
        <w:footnoteRef/>
      </w:r>
      <w:r w:rsidRPr="00904782">
        <w:t xml:space="preserve"> </w:t>
      </w:r>
      <w:hyperlink r:id="rId1" w:history="1">
        <w:r w:rsidRPr="00904782">
          <w:rPr>
            <w:rStyle w:val="Hyperlink"/>
          </w:rPr>
          <w:t>http://www.cpuc.ca.gov/General.aspx?id=908</w:t>
        </w:r>
      </w:hyperlink>
      <w:r w:rsidRPr="00904782">
        <w:t xml:space="preserve"> </w:t>
      </w:r>
    </w:p>
  </w:footnote>
  <w:footnote w:id="8">
    <w:p w:rsidR="00AE52B0" w:rsidRDefault="00AE52B0" w:rsidP="008D1AE3">
      <w:pPr>
        <w:pStyle w:val="FootnoteText"/>
      </w:pPr>
      <w:r>
        <w:rPr>
          <w:rStyle w:val="FootnoteReference"/>
        </w:rPr>
        <w:footnoteRef/>
      </w:r>
      <w:r>
        <w:t xml:space="preserve"> CCBC focuses on creating web-based tools with information and analysis that can be used by all stakeholders to expand deployment in the region. </w:t>
      </w:r>
    </w:p>
  </w:footnote>
  <w:footnote w:id="9">
    <w:p w:rsidR="00AE52B0" w:rsidRDefault="00AE52B0" w:rsidP="008D1AE3">
      <w:pPr>
        <w:pStyle w:val="FootnoteText"/>
      </w:pPr>
      <w:r>
        <w:rPr>
          <w:rStyle w:val="FootnoteReference"/>
        </w:rPr>
        <w:footnoteRef/>
      </w:r>
      <w:r>
        <w:t xml:space="preserve"> EBBC proposes to enhance access and adoption through activities such as outreach and education, and innovative programs to assist and engage targeted populations in its region. </w:t>
      </w:r>
    </w:p>
  </w:footnote>
  <w:footnote w:id="10">
    <w:p w:rsidR="00AE52B0" w:rsidRDefault="00AE52B0" w:rsidP="008D1AE3">
      <w:pPr>
        <w:pStyle w:val="FootnoteText"/>
      </w:pPr>
      <w:r>
        <w:rPr>
          <w:rStyle w:val="FootnoteReference"/>
        </w:rPr>
        <w:footnoteRef/>
      </w:r>
      <w:r>
        <w:t xml:space="preserve"> TBP will focus on deployment- related activities such as engaging stakeholders in infrastructure planning and implementation.</w:t>
      </w:r>
    </w:p>
  </w:footnote>
  <w:footnote w:id="11">
    <w:p w:rsidR="00AE52B0" w:rsidRPr="00587B32" w:rsidRDefault="00AE52B0" w:rsidP="008D1AE3">
      <w:pPr>
        <w:pStyle w:val="FootnoteText"/>
        <w:rPr>
          <w:rStyle w:val="FootnoteReference"/>
          <w:sz w:val="24"/>
          <w:szCs w:val="24"/>
        </w:rPr>
      </w:pPr>
      <w:r w:rsidRPr="00587B32">
        <w:rPr>
          <w:rStyle w:val="FootnoteReference"/>
        </w:rPr>
        <w:footnoteRef/>
      </w:r>
      <w:r w:rsidRPr="00587B32">
        <w:rPr>
          <w:rStyle w:val="FootnoteReference"/>
          <w:vertAlign w:val="baseline"/>
        </w:rPr>
        <w:t xml:space="preserve"> D.11-06-038, p. 15.</w:t>
      </w:r>
    </w:p>
  </w:footnote>
  <w:footnote w:id="12">
    <w:p w:rsidR="00AE52B0" w:rsidRPr="00587B32" w:rsidRDefault="00AE52B0" w:rsidP="008D1AE3">
      <w:pPr>
        <w:pStyle w:val="FootnoteText"/>
        <w:rPr>
          <w:rStyle w:val="FootnoteReference"/>
          <w:sz w:val="24"/>
          <w:szCs w:val="24"/>
        </w:rPr>
      </w:pPr>
      <w:r w:rsidRPr="00587B32">
        <w:rPr>
          <w:rStyle w:val="FootnoteReference"/>
        </w:rPr>
        <w:footnoteRef/>
      </w:r>
      <w:r w:rsidRPr="00587B32">
        <w:rPr>
          <w:rStyle w:val="FootnoteReference"/>
          <w:vertAlign w:val="baseline"/>
        </w:rPr>
        <w:t xml:space="preserve"> Id</w:t>
      </w:r>
      <w:r>
        <w:t xml:space="preserve">. at </w:t>
      </w:r>
      <w:r w:rsidRPr="00587B32">
        <w:rPr>
          <w:rStyle w:val="FootnoteReference"/>
          <w:vertAlign w:val="baseline"/>
        </w:rPr>
        <w:t>p</w:t>
      </w:r>
      <w:r>
        <w:t>p</w:t>
      </w:r>
      <w:r w:rsidRPr="00587B32">
        <w:rPr>
          <w:rStyle w:val="FootnoteReference"/>
          <w:vertAlign w:val="baseline"/>
        </w:rPr>
        <w:t>. 33-34.</w:t>
      </w:r>
    </w:p>
  </w:footnote>
  <w:footnote w:id="13">
    <w:p w:rsidR="00AE52B0" w:rsidRPr="00587B32" w:rsidRDefault="00AE52B0" w:rsidP="008D1AE3">
      <w:pPr>
        <w:pStyle w:val="FootnoteText"/>
        <w:tabs>
          <w:tab w:val="left" w:pos="5850"/>
        </w:tabs>
        <w:rPr>
          <w:rStyle w:val="FootnoteReference"/>
          <w:sz w:val="24"/>
          <w:szCs w:val="24"/>
        </w:rPr>
      </w:pPr>
      <w:r w:rsidRPr="00587B32">
        <w:rPr>
          <w:rStyle w:val="FootnoteReference"/>
        </w:rPr>
        <w:footnoteRef/>
      </w:r>
      <w:r w:rsidRPr="00587B32">
        <w:rPr>
          <w:rStyle w:val="FootnoteReference"/>
        </w:rPr>
        <w:t xml:space="preserve"> </w:t>
      </w:r>
      <w:r>
        <w:t xml:space="preserve">The Tahoe Basin Project serves areas in California as well as Nevada. </w:t>
      </w:r>
      <w:r w:rsidRPr="00587B32">
        <w:rPr>
          <w:rStyle w:val="FootnoteReference"/>
          <w:vertAlign w:val="baseline"/>
        </w:rPr>
        <w:t xml:space="preserve">CASF must only pay for TBP activities supporting broadband development in California counties. </w:t>
      </w:r>
    </w:p>
  </w:footnote>
  <w:footnote w:id="14">
    <w:p w:rsidR="00AE52B0" w:rsidRDefault="00AE52B0">
      <w:pPr>
        <w:pStyle w:val="FootnoteText"/>
      </w:pPr>
      <w:r>
        <w:rPr>
          <w:rStyle w:val="FootnoteReference"/>
        </w:rPr>
        <w:footnoteRef/>
      </w:r>
      <w:r>
        <w:t xml:space="preserve"> </w:t>
      </w:r>
      <w:r w:rsidRPr="00AE52B0">
        <w:t>For example, the Summit could be held once every two years, or once every three or four years, depending on the length of grant implementation.</w:t>
      </w:r>
    </w:p>
  </w:footnote>
  <w:footnote w:id="15">
    <w:p w:rsidR="00AE52B0" w:rsidRPr="00464B76" w:rsidRDefault="00AE52B0">
      <w:pPr>
        <w:pStyle w:val="FootnoteText"/>
      </w:pPr>
      <w:r>
        <w:rPr>
          <w:rStyle w:val="FootnoteReference"/>
        </w:rPr>
        <w:footnoteRef/>
      </w:r>
      <w:r>
        <w:t xml:space="preserve"> </w:t>
      </w:r>
      <w:r w:rsidRPr="00641B0F">
        <w:t xml:space="preserve">D.11-06-038, p. </w:t>
      </w:r>
      <w:r>
        <w:t>25</w:t>
      </w:r>
    </w:p>
  </w:footnote>
  <w:footnote w:id="16">
    <w:p w:rsidR="00AE52B0" w:rsidRPr="00641B0F" w:rsidRDefault="00AE52B0">
      <w:pPr>
        <w:pStyle w:val="FootnoteText"/>
      </w:pPr>
      <w:r w:rsidRPr="00464B76">
        <w:rPr>
          <w:rStyle w:val="FootnoteReference"/>
        </w:rPr>
        <w:footnoteRef/>
      </w:r>
      <w:r w:rsidRPr="00464B76">
        <w:t xml:space="preserve"> The City of Watsonville, Fiscal Agent for CCBC, the Contra Costa Economic Partnership, Fiscal Agent for EBBC, and Tahoe Prosperity Center, Fiscal Agent for the TBP, have affirmed to fulfill the requirements of the CPUC with respect to grant administration.</w:t>
      </w:r>
    </w:p>
  </w:footnote>
  <w:footnote w:id="17">
    <w:p w:rsidR="00AE52B0" w:rsidRDefault="00AE52B0">
      <w:pPr>
        <w:pStyle w:val="FootnoteText"/>
      </w:pPr>
      <w:r>
        <w:rPr>
          <w:rStyle w:val="FootnoteReference"/>
        </w:rPr>
        <w:footnoteRef/>
      </w:r>
      <w:r>
        <w:t xml:space="preserve"> D.11-06-038, p. 29.</w:t>
      </w:r>
    </w:p>
  </w:footnote>
  <w:footnote w:id="18">
    <w:p w:rsidR="00AE52B0" w:rsidRPr="00464B76" w:rsidRDefault="00AE52B0" w:rsidP="00641B0F">
      <w:pPr>
        <w:autoSpaceDE w:val="0"/>
        <w:autoSpaceDN w:val="0"/>
        <w:adjustRightInd w:val="0"/>
        <w:rPr>
          <w:sz w:val="20"/>
          <w:szCs w:val="20"/>
        </w:rPr>
      </w:pPr>
      <w:r w:rsidRPr="00464B76">
        <w:rPr>
          <w:rStyle w:val="FootnoteReference"/>
          <w:sz w:val="20"/>
          <w:szCs w:val="20"/>
        </w:rPr>
        <w:footnoteRef/>
      </w:r>
      <w:r w:rsidRPr="00464B76">
        <w:rPr>
          <w:sz w:val="20"/>
          <w:szCs w:val="20"/>
        </w:rPr>
        <w:t xml:space="preserve"> Any proposed consortium budget must expressly exclude any costs for activities or programs within the consortia region that are separately funded from any other sources in order to ensure that California Advanced Services Fund (CASF) grants do not duplicate funding from any other sources.  (D.11-06-038, Ordering Paragraph 11, p. 40.)</w:t>
      </w:r>
    </w:p>
    <w:p w:rsidR="00AE52B0" w:rsidRDefault="00AE52B0">
      <w:pPr>
        <w:pStyle w:val="FootnoteText"/>
      </w:pPr>
    </w:p>
  </w:footnote>
  <w:footnote w:id="19">
    <w:p w:rsidR="00AE52B0" w:rsidRDefault="00AE52B0">
      <w:pPr>
        <w:pStyle w:val="FootnoteText"/>
      </w:pPr>
      <w:r>
        <w:rPr>
          <w:rStyle w:val="FootnoteReference"/>
        </w:rPr>
        <w:footnoteRef/>
      </w:r>
      <w:r>
        <w:t xml:space="preserve"> D.11-06-038, p. 30.</w:t>
      </w:r>
    </w:p>
  </w:footnote>
  <w:footnote w:id="20">
    <w:p w:rsidR="00AE52B0" w:rsidRPr="00904782" w:rsidRDefault="00AE52B0" w:rsidP="00846D53">
      <w:pPr>
        <w:pStyle w:val="FootnoteText"/>
      </w:pPr>
      <w:r w:rsidRPr="00904782">
        <w:rPr>
          <w:rStyle w:val="FootnoteReference"/>
        </w:rPr>
        <w:footnoteRef/>
      </w:r>
      <w:r w:rsidRPr="00904782">
        <w:t xml:space="preserve"> </w:t>
      </w:r>
      <w:r>
        <w:t>D.11-06-038, p. 29; see also P.U.</w:t>
      </w:r>
      <w:r w:rsidRPr="00904782">
        <w:t xml:space="preserve"> Code § 270.</w:t>
      </w:r>
    </w:p>
  </w:footnote>
  <w:footnote w:id="21">
    <w:p w:rsidR="00AE52B0" w:rsidRDefault="00AE52B0">
      <w:pPr>
        <w:pStyle w:val="FootnoteText"/>
      </w:pPr>
      <w:r>
        <w:rPr>
          <w:rStyle w:val="FootnoteReference"/>
        </w:rPr>
        <w:footnoteRef/>
      </w:r>
      <w:r>
        <w:t xml:space="preserve"> Id at p. 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0C3" w:rsidRDefault="000170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0C3" w:rsidRDefault="000170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2B0" w:rsidRPr="00353356" w:rsidRDefault="00AE52B0" w:rsidP="00DD57B7">
    <w:pPr>
      <w:pStyle w:val="Header"/>
      <w:rPr>
        <w:rFonts w:ascii="Palatino" w:hAnsi="Palatino"/>
      </w:rPr>
    </w:pPr>
    <w:r>
      <w:rPr>
        <w:rFonts w:ascii="Palatino" w:hAnsi="Palatino"/>
      </w:rPr>
      <w:t xml:space="preserve">Resolution T- 17529                                  </w:t>
    </w:r>
    <w:r w:rsidRPr="001B21D2">
      <w:rPr>
        <w:rFonts w:ascii="Palatino" w:hAnsi="Palatino"/>
        <w:b/>
      </w:rPr>
      <w:t>DRAFT</w:t>
    </w:r>
    <w:r w:rsidRPr="001B21D2">
      <w:rPr>
        <w:rFonts w:ascii="Palatino" w:hAnsi="Palatino"/>
      </w:rPr>
      <w:t xml:space="preserve"> </w:t>
    </w:r>
    <w:r>
      <w:rPr>
        <w:rFonts w:ascii="Palatino" w:hAnsi="Palatino"/>
      </w:rPr>
      <w:t xml:space="preserve">                         </w:t>
    </w:r>
    <w:r w:rsidR="00DD57B7">
      <w:rPr>
        <w:rFonts w:ascii="Palatino" w:hAnsi="Palatino"/>
      </w:rPr>
      <w:tab/>
    </w:r>
    <w:r>
      <w:rPr>
        <w:rFonts w:ascii="Palatino" w:hAnsi="Palatino"/>
      </w:rPr>
      <w:t xml:space="preserve"> Agenda ID#: </w:t>
    </w:r>
    <w:r w:rsidR="000170C3">
      <w:rPr>
        <w:rFonts w:ascii="Palatino" w:hAnsi="Palatino"/>
      </w:rPr>
      <w:t>15036</w:t>
    </w:r>
    <w:bookmarkStart w:id="3" w:name="_GoBack"/>
    <w:bookmarkEnd w:id="3"/>
  </w:p>
  <w:p w:rsidR="00AE52B0" w:rsidRPr="00B84E47" w:rsidRDefault="00AE52B0" w:rsidP="00E84ADD">
    <w:pPr>
      <w:pStyle w:val="Header"/>
    </w:pPr>
    <w:r>
      <w:rPr>
        <w:rFonts w:ascii="Palatino" w:hAnsi="Palatino"/>
      </w:rPr>
      <w:t>CD/AG6</w:t>
    </w:r>
    <w:r>
      <w:rPr>
        <w:rFonts w:ascii="Palatino" w:hAnsi="Palatino"/>
      </w:rPr>
      <w:tab/>
      <w:t xml:space="preserve"> </w:t>
    </w:r>
    <w:r w:rsidR="00DD57B7">
      <w:rPr>
        <w:rFonts w:ascii="Palatino" w:hAnsi="Palatino"/>
      </w:rPr>
      <w:tab/>
    </w:r>
    <w:r w:rsidR="00DD57B7" w:rsidRPr="00851D72">
      <w:rPr>
        <w:rFonts w:ascii="Palatino Linotype" w:hAnsi="Palatino Linotype"/>
        <w:sz w:val="22"/>
        <w:szCs w:val="22"/>
      </w:rPr>
      <w:t>08/</w:t>
    </w:r>
    <w:r w:rsidR="00DD57B7">
      <w:rPr>
        <w:rFonts w:ascii="Palatino Linotype" w:hAnsi="Palatino Linotype"/>
        <w:sz w:val="22"/>
        <w:szCs w:val="22"/>
      </w:rPr>
      <w:t>18</w:t>
    </w:r>
    <w:r w:rsidR="00DD57B7" w:rsidRPr="00851D72">
      <w:rPr>
        <w:rFonts w:ascii="Palatino Linotype" w:hAnsi="Palatino Linotype"/>
        <w:sz w:val="22"/>
        <w:szCs w:val="22"/>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0127F6A"/>
    <w:lvl w:ilvl="0">
      <w:start w:val="1"/>
      <w:numFmt w:val="decimal"/>
      <w:pStyle w:val="Heading1"/>
      <w:lvlText w:val="%1."/>
      <w:legacy w:legacy="1" w:legacySpace="0" w:legacyIndent="720"/>
      <w:lvlJc w:val="left"/>
      <w:pPr>
        <w:ind w:left="72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Heading2"/>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egacy w:legacy="1" w:legacySpace="0" w:legacyIndent="720"/>
      <w:lvlJc w:val="left"/>
      <w:pPr>
        <w:ind w:left="3240" w:hanging="720"/>
      </w:pPr>
    </w:lvl>
    <w:lvl w:ilvl="4">
      <w:start w:val="1"/>
      <w:numFmt w:val="decimal"/>
      <w:pStyle w:val="Heading5"/>
      <w:lvlText w:val="%1.%2.%3.%4.%5."/>
      <w:legacy w:legacy="1" w:legacySpace="0" w:legacyIndent="720"/>
      <w:lvlJc w:val="left"/>
      <w:pPr>
        <w:ind w:left="4140" w:hanging="720"/>
      </w:pPr>
      <w:rPr>
        <w:rFonts w:ascii="Helvetica" w:hAnsi="Helvetica" w:cs="Times New Roman" w:hint="default"/>
        <w:sz w:val="26"/>
        <w:szCs w:val="26"/>
      </w:rPr>
    </w:lvl>
    <w:lvl w:ilvl="5">
      <w:start w:val="1"/>
      <w:numFmt w:val="decimal"/>
      <w:pStyle w:val="Heading6"/>
      <w:lvlText w:val="%1.%2.%3.%4.%5.%6."/>
      <w:legacy w:legacy="1" w:legacySpace="0" w:legacyIndent="720"/>
      <w:lvlJc w:val="left"/>
      <w:pPr>
        <w:ind w:left="4320" w:hanging="720"/>
      </w:pPr>
      <w:rPr>
        <w:b/>
        <w:i w:val="0"/>
        <w:sz w:val="26"/>
        <w:szCs w:val="26"/>
      </w:rPr>
    </w:lvl>
    <w:lvl w:ilvl="6">
      <w:start w:val="1"/>
      <w:numFmt w:val="decimal"/>
      <w:pStyle w:val="Heading7"/>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000000B"/>
    <w:multiLevelType w:val="singleLevel"/>
    <w:tmpl w:val="0000000B"/>
    <w:name w:val="WW8Num12"/>
    <w:lvl w:ilvl="0">
      <w:start w:val="1"/>
      <w:numFmt w:val="bullet"/>
      <w:lvlText w:val=""/>
      <w:lvlJc w:val="left"/>
      <w:pPr>
        <w:tabs>
          <w:tab w:val="num" w:pos="0"/>
        </w:tabs>
        <w:ind w:left="1080" w:hanging="360"/>
      </w:pPr>
      <w:rPr>
        <w:rFonts w:ascii="Wingdings" w:hAnsi="Wingdings" w:cs="Wingdings" w:hint="default"/>
        <w:color w:val="auto"/>
        <w:sz w:val="24"/>
        <w:szCs w:val="24"/>
      </w:rPr>
    </w:lvl>
  </w:abstractNum>
  <w:abstractNum w:abstractNumId="2">
    <w:nsid w:val="0000000F"/>
    <w:multiLevelType w:val="singleLevel"/>
    <w:tmpl w:val="CB2CFDCE"/>
    <w:name w:val="WW8Num18"/>
    <w:lvl w:ilvl="0">
      <w:start w:val="7"/>
      <w:numFmt w:val="upperRoman"/>
      <w:lvlText w:val="%1."/>
      <w:lvlJc w:val="left"/>
      <w:pPr>
        <w:tabs>
          <w:tab w:val="num" w:pos="8820"/>
        </w:tabs>
        <w:ind w:left="8820" w:hanging="720"/>
      </w:pPr>
      <w:rPr>
        <w:rFonts w:hint="default"/>
      </w:rPr>
    </w:lvl>
  </w:abstractNum>
  <w:abstractNum w:abstractNumId="3">
    <w:nsid w:val="07533784"/>
    <w:multiLevelType w:val="hybridMultilevel"/>
    <w:tmpl w:val="687CDE76"/>
    <w:lvl w:ilvl="0" w:tplc="3CF4DA90">
      <w:start w:val="6"/>
      <w:numFmt w:val="upp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AB2061E"/>
    <w:multiLevelType w:val="hybridMultilevel"/>
    <w:tmpl w:val="1382D46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061707"/>
    <w:multiLevelType w:val="hybridMultilevel"/>
    <w:tmpl w:val="BD3678A6"/>
    <w:lvl w:ilvl="0" w:tplc="04090015">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D60E65"/>
    <w:multiLevelType w:val="hybridMultilevel"/>
    <w:tmpl w:val="D3C0F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A000B2"/>
    <w:multiLevelType w:val="hybridMultilevel"/>
    <w:tmpl w:val="C3C616DA"/>
    <w:lvl w:ilvl="0" w:tplc="E9C60590">
      <w:start w:val="1"/>
      <w:numFmt w:val="upp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A818DE"/>
    <w:multiLevelType w:val="hybridMultilevel"/>
    <w:tmpl w:val="C5340D10"/>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7D30C46"/>
    <w:multiLevelType w:val="hybridMultilevel"/>
    <w:tmpl w:val="37F075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8BE473A"/>
    <w:multiLevelType w:val="hybridMultilevel"/>
    <w:tmpl w:val="D1C4D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9E4656"/>
    <w:multiLevelType w:val="hybridMultilevel"/>
    <w:tmpl w:val="2DA47992"/>
    <w:lvl w:ilvl="0" w:tplc="67F2085C">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EB23E9"/>
    <w:multiLevelType w:val="hybridMultilevel"/>
    <w:tmpl w:val="2028F722"/>
    <w:lvl w:ilvl="0" w:tplc="73E8EF3C">
      <w:start w:val="1"/>
      <w:numFmt w:val="upperLetter"/>
      <w:lvlText w:val="%1."/>
      <w:lvlJc w:val="left"/>
      <w:pPr>
        <w:ind w:left="900" w:hanging="540"/>
      </w:pPr>
      <w:rPr>
        <w:rFonts w:ascii="Palatino Linotype" w:eastAsia="Times New Roman" w:hAnsi="Palatino Linotype"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95162F"/>
    <w:multiLevelType w:val="hybridMultilevel"/>
    <w:tmpl w:val="DD3841F0"/>
    <w:lvl w:ilvl="0" w:tplc="5AD65B0A">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74C61A7"/>
    <w:multiLevelType w:val="singleLevel"/>
    <w:tmpl w:val="383CBABE"/>
    <w:lvl w:ilvl="0">
      <w:start w:val="1"/>
      <w:numFmt w:val="decimal"/>
      <w:lvlText w:val="%1."/>
      <w:legacy w:legacy="1" w:legacySpace="0" w:legacyIndent="360"/>
      <w:lvlJc w:val="left"/>
      <w:pPr>
        <w:ind w:left="360" w:hanging="360"/>
      </w:pPr>
    </w:lvl>
  </w:abstractNum>
  <w:abstractNum w:abstractNumId="15">
    <w:nsid w:val="7D4D3584"/>
    <w:multiLevelType w:val="hybridMultilevel"/>
    <w:tmpl w:val="37180B54"/>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1119F3"/>
    <w:multiLevelType w:val="hybridMultilevel"/>
    <w:tmpl w:val="6D7E0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6"/>
  </w:num>
  <w:num w:numId="3">
    <w:abstractNumId w:val="10"/>
  </w:num>
  <w:num w:numId="4">
    <w:abstractNumId w:val="7"/>
  </w:num>
  <w:num w:numId="5">
    <w:abstractNumId w:val="1"/>
  </w:num>
  <w:num w:numId="6">
    <w:abstractNumId w:val="0"/>
  </w:num>
  <w:num w:numId="7">
    <w:abstractNumId w:val="2"/>
  </w:num>
  <w:num w:numId="8">
    <w:abstractNumId w:val="6"/>
  </w:num>
  <w:num w:numId="9">
    <w:abstractNumId w:val="14"/>
  </w:num>
  <w:num w:numId="10">
    <w:abstractNumId w:val="9"/>
  </w:num>
  <w:num w:numId="11">
    <w:abstractNumId w:val="11"/>
  </w:num>
  <w:num w:numId="12">
    <w:abstractNumId w:val="4"/>
  </w:num>
  <w:num w:numId="13">
    <w:abstractNumId w:val="8"/>
  </w:num>
  <w:num w:numId="14">
    <w:abstractNumId w:val="15"/>
  </w:num>
  <w:num w:numId="15">
    <w:abstractNumId w:val="13"/>
  </w:num>
  <w:num w:numId="16">
    <w:abstractNumId w:val="3"/>
  </w:num>
  <w:num w:numId="17">
    <w:abstractNumId w:val="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ice">
    <w15:presenceInfo w15:providerId="None" w15:userId="Al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DBD"/>
    <w:rsid w:val="00002676"/>
    <w:rsid w:val="000034A1"/>
    <w:rsid w:val="00003997"/>
    <w:rsid w:val="00003B52"/>
    <w:rsid w:val="0000410B"/>
    <w:rsid w:val="00005A55"/>
    <w:rsid w:val="00005F7B"/>
    <w:rsid w:val="00006AE0"/>
    <w:rsid w:val="00012014"/>
    <w:rsid w:val="00013029"/>
    <w:rsid w:val="00013DE0"/>
    <w:rsid w:val="00013E41"/>
    <w:rsid w:val="00014683"/>
    <w:rsid w:val="000148A8"/>
    <w:rsid w:val="000156EC"/>
    <w:rsid w:val="00015AD3"/>
    <w:rsid w:val="0001673D"/>
    <w:rsid w:val="000170C3"/>
    <w:rsid w:val="0001742D"/>
    <w:rsid w:val="0001798F"/>
    <w:rsid w:val="00021927"/>
    <w:rsid w:val="00021C9C"/>
    <w:rsid w:val="00021D1D"/>
    <w:rsid w:val="00023A7C"/>
    <w:rsid w:val="00023DE4"/>
    <w:rsid w:val="0002477B"/>
    <w:rsid w:val="00024AFF"/>
    <w:rsid w:val="0002726E"/>
    <w:rsid w:val="0002754E"/>
    <w:rsid w:val="000279D2"/>
    <w:rsid w:val="00030753"/>
    <w:rsid w:val="0003197C"/>
    <w:rsid w:val="000325A8"/>
    <w:rsid w:val="00033467"/>
    <w:rsid w:val="00036512"/>
    <w:rsid w:val="000369E7"/>
    <w:rsid w:val="00036F0F"/>
    <w:rsid w:val="000405FD"/>
    <w:rsid w:val="0004177E"/>
    <w:rsid w:val="00042335"/>
    <w:rsid w:val="000438D0"/>
    <w:rsid w:val="00044981"/>
    <w:rsid w:val="00045062"/>
    <w:rsid w:val="000454E8"/>
    <w:rsid w:val="00045654"/>
    <w:rsid w:val="00045F12"/>
    <w:rsid w:val="000462B4"/>
    <w:rsid w:val="000468A4"/>
    <w:rsid w:val="0005508C"/>
    <w:rsid w:val="000559CD"/>
    <w:rsid w:val="00055A75"/>
    <w:rsid w:val="000571D5"/>
    <w:rsid w:val="0006023A"/>
    <w:rsid w:val="00061C68"/>
    <w:rsid w:val="00061D3D"/>
    <w:rsid w:val="0006338B"/>
    <w:rsid w:val="00063659"/>
    <w:rsid w:val="000652D7"/>
    <w:rsid w:val="000652EA"/>
    <w:rsid w:val="00065CA3"/>
    <w:rsid w:val="00066990"/>
    <w:rsid w:val="00066B61"/>
    <w:rsid w:val="00066F5A"/>
    <w:rsid w:val="00067039"/>
    <w:rsid w:val="00072772"/>
    <w:rsid w:val="000733B2"/>
    <w:rsid w:val="0007379A"/>
    <w:rsid w:val="00073A17"/>
    <w:rsid w:val="00073EC5"/>
    <w:rsid w:val="00074DC7"/>
    <w:rsid w:val="000751EA"/>
    <w:rsid w:val="00075B1E"/>
    <w:rsid w:val="00075FA1"/>
    <w:rsid w:val="00076162"/>
    <w:rsid w:val="00076B51"/>
    <w:rsid w:val="00077585"/>
    <w:rsid w:val="00077CEE"/>
    <w:rsid w:val="000800CC"/>
    <w:rsid w:val="00080294"/>
    <w:rsid w:val="00080840"/>
    <w:rsid w:val="00080DFC"/>
    <w:rsid w:val="00082101"/>
    <w:rsid w:val="00082330"/>
    <w:rsid w:val="000827F0"/>
    <w:rsid w:val="00082FA3"/>
    <w:rsid w:val="00084C73"/>
    <w:rsid w:val="0008558C"/>
    <w:rsid w:val="00085712"/>
    <w:rsid w:val="000859EC"/>
    <w:rsid w:val="00086D23"/>
    <w:rsid w:val="00087431"/>
    <w:rsid w:val="00087895"/>
    <w:rsid w:val="00087AFA"/>
    <w:rsid w:val="00090BDA"/>
    <w:rsid w:val="00092868"/>
    <w:rsid w:val="00092F18"/>
    <w:rsid w:val="00095112"/>
    <w:rsid w:val="00095A4F"/>
    <w:rsid w:val="000960F4"/>
    <w:rsid w:val="0009641A"/>
    <w:rsid w:val="00096DEF"/>
    <w:rsid w:val="0009794A"/>
    <w:rsid w:val="000A059A"/>
    <w:rsid w:val="000A08C2"/>
    <w:rsid w:val="000A1D9F"/>
    <w:rsid w:val="000A250F"/>
    <w:rsid w:val="000A2836"/>
    <w:rsid w:val="000A3782"/>
    <w:rsid w:val="000A67E7"/>
    <w:rsid w:val="000A7114"/>
    <w:rsid w:val="000A77DF"/>
    <w:rsid w:val="000B02D8"/>
    <w:rsid w:val="000B0987"/>
    <w:rsid w:val="000B1441"/>
    <w:rsid w:val="000B1EDE"/>
    <w:rsid w:val="000B2233"/>
    <w:rsid w:val="000B41DB"/>
    <w:rsid w:val="000B4D28"/>
    <w:rsid w:val="000B57FA"/>
    <w:rsid w:val="000B5A0D"/>
    <w:rsid w:val="000B6DD6"/>
    <w:rsid w:val="000B7070"/>
    <w:rsid w:val="000C0B92"/>
    <w:rsid w:val="000C0BC3"/>
    <w:rsid w:val="000C0FF3"/>
    <w:rsid w:val="000C2EB3"/>
    <w:rsid w:val="000C2FAB"/>
    <w:rsid w:val="000C4AD3"/>
    <w:rsid w:val="000C56B1"/>
    <w:rsid w:val="000C6055"/>
    <w:rsid w:val="000C70EF"/>
    <w:rsid w:val="000C7C37"/>
    <w:rsid w:val="000D1240"/>
    <w:rsid w:val="000D1C66"/>
    <w:rsid w:val="000D20AF"/>
    <w:rsid w:val="000D2598"/>
    <w:rsid w:val="000D4060"/>
    <w:rsid w:val="000D426A"/>
    <w:rsid w:val="000D4A96"/>
    <w:rsid w:val="000D4F57"/>
    <w:rsid w:val="000D55C3"/>
    <w:rsid w:val="000D650C"/>
    <w:rsid w:val="000D66D1"/>
    <w:rsid w:val="000D7469"/>
    <w:rsid w:val="000E0402"/>
    <w:rsid w:val="000E0614"/>
    <w:rsid w:val="000E159D"/>
    <w:rsid w:val="000E2FED"/>
    <w:rsid w:val="000E3EDA"/>
    <w:rsid w:val="000E4644"/>
    <w:rsid w:val="000E75B5"/>
    <w:rsid w:val="000F0161"/>
    <w:rsid w:val="000F11B6"/>
    <w:rsid w:val="000F32F8"/>
    <w:rsid w:val="000F3449"/>
    <w:rsid w:val="000F4098"/>
    <w:rsid w:val="000F5608"/>
    <w:rsid w:val="0010055A"/>
    <w:rsid w:val="00100743"/>
    <w:rsid w:val="00100C10"/>
    <w:rsid w:val="00100C5F"/>
    <w:rsid w:val="001010D8"/>
    <w:rsid w:val="00102405"/>
    <w:rsid w:val="00103570"/>
    <w:rsid w:val="0010358E"/>
    <w:rsid w:val="00103642"/>
    <w:rsid w:val="00103DFF"/>
    <w:rsid w:val="00104186"/>
    <w:rsid w:val="00107F2B"/>
    <w:rsid w:val="00110237"/>
    <w:rsid w:val="00110655"/>
    <w:rsid w:val="00110B18"/>
    <w:rsid w:val="00110B51"/>
    <w:rsid w:val="0011387A"/>
    <w:rsid w:val="00113B18"/>
    <w:rsid w:val="001154EA"/>
    <w:rsid w:val="00116F74"/>
    <w:rsid w:val="00117B3E"/>
    <w:rsid w:val="00117ED0"/>
    <w:rsid w:val="001201C6"/>
    <w:rsid w:val="00121866"/>
    <w:rsid w:val="001222D7"/>
    <w:rsid w:val="001229E3"/>
    <w:rsid w:val="0012328E"/>
    <w:rsid w:val="001263D9"/>
    <w:rsid w:val="001269A2"/>
    <w:rsid w:val="001269D6"/>
    <w:rsid w:val="001273CE"/>
    <w:rsid w:val="001276D7"/>
    <w:rsid w:val="001305B0"/>
    <w:rsid w:val="00131F8D"/>
    <w:rsid w:val="00133407"/>
    <w:rsid w:val="001340E1"/>
    <w:rsid w:val="0013453C"/>
    <w:rsid w:val="00135FA2"/>
    <w:rsid w:val="001377AE"/>
    <w:rsid w:val="00140B72"/>
    <w:rsid w:val="00143642"/>
    <w:rsid w:val="00143BFA"/>
    <w:rsid w:val="00145AEE"/>
    <w:rsid w:val="00146F8B"/>
    <w:rsid w:val="00152626"/>
    <w:rsid w:val="00153665"/>
    <w:rsid w:val="00153ADD"/>
    <w:rsid w:val="0015487D"/>
    <w:rsid w:val="001566BE"/>
    <w:rsid w:val="0015670C"/>
    <w:rsid w:val="001618B7"/>
    <w:rsid w:val="00162B96"/>
    <w:rsid w:val="00163250"/>
    <w:rsid w:val="00163600"/>
    <w:rsid w:val="001640E9"/>
    <w:rsid w:val="00165068"/>
    <w:rsid w:val="001662FB"/>
    <w:rsid w:val="001663BD"/>
    <w:rsid w:val="00166590"/>
    <w:rsid w:val="00166DE1"/>
    <w:rsid w:val="00167A40"/>
    <w:rsid w:val="00170847"/>
    <w:rsid w:val="00173EA8"/>
    <w:rsid w:val="00174A2A"/>
    <w:rsid w:val="001766F3"/>
    <w:rsid w:val="00181A72"/>
    <w:rsid w:val="00182A6C"/>
    <w:rsid w:val="00182DB2"/>
    <w:rsid w:val="00182EBA"/>
    <w:rsid w:val="00184602"/>
    <w:rsid w:val="00184806"/>
    <w:rsid w:val="00184DCB"/>
    <w:rsid w:val="00185A5C"/>
    <w:rsid w:val="00186D33"/>
    <w:rsid w:val="00190B50"/>
    <w:rsid w:val="00190C5E"/>
    <w:rsid w:val="001923DE"/>
    <w:rsid w:val="00192D5B"/>
    <w:rsid w:val="00193202"/>
    <w:rsid w:val="00193DF5"/>
    <w:rsid w:val="00194F54"/>
    <w:rsid w:val="00197C93"/>
    <w:rsid w:val="001A1B03"/>
    <w:rsid w:val="001A1E18"/>
    <w:rsid w:val="001A288A"/>
    <w:rsid w:val="001A3319"/>
    <w:rsid w:val="001A3951"/>
    <w:rsid w:val="001A3C1B"/>
    <w:rsid w:val="001A3DF0"/>
    <w:rsid w:val="001A3EFC"/>
    <w:rsid w:val="001A444C"/>
    <w:rsid w:val="001A57F1"/>
    <w:rsid w:val="001A5855"/>
    <w:rsid w:val="001A62D9"/>
    <w:rsid w:val="001A6DE6"/>
    <w:rsid w:val="001A78FD"/>
    <w:rsid w:val="001A7EFF"/>
    <w:rsid w:val="001B0554"/>
    <w:rsid w:val="001B11E8"/>
    <w:rsid w:val="001B2F83"/>
    <w:rsid w:val="001B3E27"/>
    <w:rsid w:val="001B60C6"/>
    <w:rsid w:val="001B6793"/>
    <w:rsid w:val="001B7FD2"/>
    <w:rsid w:val="001C265B"/>
    <w:rsid w:val="001C306E"/>
    <w:rsid w:val="001C3CC5"/>
    <w:rsid w:val="001C44DB"/>
    <w:rsid w:val="001D0707"/>
    <w:rsid w:val="001D16C7"/>
    <w:rsid w:val="001D1A3D"/>
    <w:rsid w:val="001D1AFD"/>
    <w:rsid w:val="001D44F7"/>
    <w:rsid w:val="001D4A9D"/>
    <w:rsid w:val="001D4D97"/>
    <w:rsid w:val="001D5232"/>
    <w:rsid w:val="001D68DB"/>
    <w:rsid w:val="001D7C29"/>
    <w:rsid w:val="001E03B0"/>
    <w:rsid w:val="001E222C"/>
    <w:rsid w:val="001E48DE"/>
    <w:rsid w:val="001E5083"/>
    <w:rsid w:val="001E5DB0"/>
    <w:rsid w:val="001E6123"/>
    <w:rsid w:val="001E6E92"/>
    <w:rsid w:val="001E6F18"/>
    <w:rsid w:val="001E703C"/>
    <w:rsid w:val="001F1A0F"/>
    <w:rsid w:val="001F48E8"/>
    <w:rsid w:val="002012B2"/>
    <w:rsid w:val="00201DE8"/>
    <w:rsid w:val="00202B68"/>
    <w:rsid w:val="00202C9D"/>
    <w:rsid w:val="00203986"/>
    <w:rsid w:val="0020535F"/>
    <w:rsid w:val="00206249"/>
    <w:rsid w:val="0020695E"/>
    <w:rsid w:val="00207690"/>
    <w:rsid w:val="00207E5D"/>
    <w:rsid w:val="002103DF"/>
    <w:rsid w:val="00211452"/>
    <w:rsid w:val="00211DF2"/>
    <w:rsid w:val="0021297A"/>
    <w:rsid w:val="00214D26"/>
    <w:rsid w:val="00214D4D"/>
    <w:rsid w:val="002156E5"/>
    <w:rsid w:val="00215FA9"/>
    <w:rsid w:val="00216946"/>
    <w:rsid w:val="00216FE5"/>
    <w:rsid w:val="00217FDE"/>
    <w:rsid w:val="002207C0"/>
    <w:rsid w:val="00221137"/>
    <w:rsid w:val="002215CC"/>
    <w:rsid w:val="0022674E"/>
    <w:rsid w:val="0022676C"/>
    <w:rsid w:val="00226EED"/>
    <w:rsid w:val="00232130"/>
    <w:rsid w:val="00232764"/>
    <w:rsid w:val="00233272"/>
    <w:rsid w:val="00234919"/>
    <w:rsid w:val="00237715"/>
    <w:rsid w:val="00237742"/>
    <w:rsid w:val="00241E06"/>
    <w:rsid w:val="00241E4C"/>
    <w:rsid w:val="00242C36"/>
    <w:rsid w:val="002441CD"/>
    <w:rsid w:val="00244364"/>
    <w:rsid w:val="00244581"/>
    <w:rsid w:val="00244AAB"/>
    <w:rsid w:val="00244B94"/>
    <w:rsid w:val="00247D33"/>
    <w:rsid w:val="002501B7"/>
    <w:rsid w:val="002506CF"/>
    <w:rsid w:val="00251BF9"/>
    <w:rsid w:val="00251C41"/>
    <w:rsid w:val="002526A8"/>
    <w:rsid w:val="00253F1A"/>
    <w:rsid w:val="0025409D"/>
    <w:rsid w:val="00255A75"/>
    <w:rsid w:val="00256084"/>
    <w:rsid w:val="0026237F"/>
    <w:rsid w:val="00264221"/>
    <w:rsid w:val="00264E2F"/>
    <w:rsid w:val="0026641C"/>
    <w:rsid w:val="00266D56"/>
    <w:rsid w:val="0026725A"/>
    <w:rsid w:val="002677E7"/>
    <w:rsid w:val="00270458"/>
    <w:rsid w:val="00270868"/>
    <w:rsid w:val="00270E32"/>
    <w:rsid w:val="002714F4"/>
    <w:rsid w:val="002717B0"/>
    <w:rsid w:val="00272CF9"/>
    <w:rsid w:val="00273534"/>
    <w:rsid w:val="00274665"/>
    <w:rsid w:val="0027645A"/>
    <w:rsid w:val="00276E56"/>
    <w:rsid w:val="0028078D"/>
    <w:rsid w:val="002810E1"/>
    <w:rsid w:val="00282263"/>
    <w:rsid w:val="00282D23"/>
    <w:rsid w:val="00283CB9"/>
    <w:rsid w:val="00283F7A"/>
    <w:rsid w:val="00286995"/>
    <w:rsid w:val="00286EA2"/>
    <w:rsid w:val="002870AB"/>
    <w:rsid w:val="00291E92"/>
    <w:rsid w:val="0029209C"/>
    <w:rsid w:val="002934FF"/>
    <w:rsid w:val="00294495"/>
    <w:rsid w:val="002965F6"/>
    <w:rsid w:val="002966D2"/>
    <w:rsid w:val="00296AA4"/>
    <w:rsid w:val="00296B11"/>
    <w:rsid w:val="00297046"/>
    <w:rsid w:val="002A2154"/>
    <w:rsid w:val="002A223D"/>
    <w:rsid w:val="002A3E4F"/>
    <w:rsid w:val="002A59E5"/>
    <w:rsid w:val="002A67C0"/>
    <w:rsid w:val="002A6A19"/>
    <w:rsid w:val="002A77D8"/>
    <w:rsid w:val="002A7D53"/>
    <w:rsid w:val="002B0A85"/>
    <w:rsid w:val="002B0E96"/>
    <w:rsid w:val="002B1B55"/>
    <w:rsid w:val="002B1EED"/>
    <w:rsid w:val="002B4810"/>
    <w:rsid w:val="002B4978"/>
    <w:rsid w:val="002B6AD7"/>
    <w:rsid w:val="002B6CE4"/>
    <w:rsid w:val="002B7185"/>
    <w:rsid w:val="002B7C5D"/>
    <w:rsid w:val="002C051F"/>
    <w:rsid w:val="002C09C0"/>
    <w:rsid w:val="002C1CB2"/>
    <w:rsid w:val="002C1E17"/>
    <w:rsid w:val="002C2D22"/>
    <w:rsid w:val="002C30BA"/>
    <w:rsid w:val="002C3563"/>
    <w:rsid w:val="002C3EE9"/>
    <w:rsid w:val="002C3F7D"/>
    <w:rsid w:val="002C4017"/>
    <w:rsid w:val="002C5C4D"/>
    <w:rsid w:val="002C6527"/>
    <w:rsid w:val="002C716B"/>
    <w:rsid w:val="002D021D"/>
    <w:rsid w:val="002D10C7"/>
    <w:rsid w:val="002D1F69"/>
    <w:rsid w:val="002D3353"/>
    <w:rsid w:val="002D3441"/>
    <w:rsid w:val="002D5B98"/>
    <w:rsid w:val="002D6FB4"/>
    <w:rsid w:val="002E039B"/>
    <w:rsid w:val="002E1C8A"/>
    <w:rsid w:val="002E31D2"/>
    <w:rsid w:val="002E335F"/>
    <w:rsid w:val="002E3409"/>
    <w:rsid w:val="002E4377"/>
    <w:rsid w:val="002E600A"/>
    <w:rsid w:val="002E63DD"/>
    <w:rsid w:val="002E669B"/>
    <w:rsid w:val="002E76AF"/>
    <w:rsid w:val="002F0E02"/>
    <w:rsid w:val="002F0E17"/>
    <w:rsid w:val="002F0E71"/>
    <w:rsid w:val="002F15A8"/>
    <w:rsid w:val="002F2118"/>
    <w:rsid w:val="002F28FD"/>
    <w:rsid w:val="002F3667"/>
    <w:rsid w:val="002F3985"/>
    <w:rsid w:val="002F4305"/>
    <w:rsid w:val="002F6439"/>
    <w:rsid w:val="002F6CEC"/>
    <w:rsid w:val="002F7682"/>
    <w:rsid w:val="003009DE"/>
    <w:rsid w:val="00302276"/>
    <w:rsid w:val="0030302B"/>
    <w:rsid w:val="003044BB"/>
    <w:rsid w:val="00305CEA"/>
    <w:rsid w:val="00307160"/>
    <w:rsid w:val="0030733F"/>
    <w:rsid w:val="00307C38"/>
    <w:rsid w:val="0031182A"/>
    <w:rsid w:val="00311D69"/>
    <w:rsid w:val="003135A8"/>
    <w:rsid w:val="003141C7"/>
    <w:rsid w:val="00314C76"/>
    <w:rsid w:val="0032025F"/>
    <w:rsid w:val="00320F01"/>
    <w:rsid w:val="003216F9"/>
    <w:rsid w:val="00324BAE"/>
    <w:rsid w:val="00325D76"/>
    <w:rsid w:val="00325EE1"/>
    <w:rsid w:val="00331192"/>
    <w:rsid w:val="00331F7F"/>
    <w:rsid w:val="00332E3F"/>
    <w:rsid w:val="00333AC3"/>
    <w:rsid w:val="003351B8"/>
    <w:rsid w:val="00335508"/>
    <w:rsid w:val="0033784B"/>
    <w:rsid w:val="00337AAE"/>
    <w:rsid w:val="00341557"/>
    <w:rsid w:val="00341766"/>
    <w:rsid w:val="003425B6"/>
    <w:rsid w:val="00343BA7"/>
    <w:rsid w:val="00345A54"/>
    <w:rsid w:val="00345EB1"/>
    <w:rsid w:val="0035176E"/>
    <w:rsid w:val="00351BD8"/>
    <w:rsid w:val="00352D37"/>
    <w:rsid w:val="00353776"/>
    <w:rsid w:val="003538F7"/>
    <w:rsid w:val="00356D69"/>
    <w:rsid w:val="003572F4"/>
    <w:rsid w:val="003617FD"/>
    <w:rsid w:val="003622CA"/>
    <w:rsid w:val="00362ACA"/>
    <w:rsid w:val="0036307D"/>
    <w:rsid w:val="0036365C"/>
    <w:rsid w:val="00364CDC"/>
    <w:rsid w:val="00365860"/>
    <w:rsid w:val="00365E36"/>
    <w:rsid w:val="003668C1"/>
    <w:rsid w:val="00366CB8"/>
    <w:rsid w:val="00370A8B"/>
    <w:rsid w:val="00370BD8"/>
    <w:rsid w:val="003716FD"/>
    <w:rsid w:val="00371D03"/>
    <w:rsid w:val="00371EAF"/>
    <w:rsid w:val="00371F99"/>
    <w:rsid w:val="00372019"/>
    <w:rsid w:val="00374382"/>
    <w:rsid w:val="00376A93"/>
    <w:rsid w:val="00377A83"/>
    <w:rsid w:val="00377CE8"/>
    <w:rsid w:val="0038027C"/>
    <w:rsid w:val="0038070E"/>
    <w:rsid w:val="00380821"/>
    <w:rsid w:val="003808D3"/>
    <w:rsid w:val="00381DF2"/>
    <w:rsid w:val="0038236E"/>
    <w:rsid w:val="00383D23"/>
    <w:rsid w:val="003841F1"/>
    <w:rsid w:val="00384874"/>
    <w:rsid w:val="00384E20"/>
    <w:rsid w:val="0038504D"/>
    <w:rsid w:val="00385735"/>
    <w:rsid w:val="0038649F"/>
    <w:rsid w:val="00386693"/>
    <w:rsid w:val="00392447"/>
    <w:rsid w:val="00392B8A"/>
    <w:rsid w:val="00392F9A"/>
    <w:rsid w:val="00393248"/>
    <w:rsid w:val="00393564"/>
    <w:rsid w:val="00394577"/>
    <w:rsid w:val="00394ACC"/>
    <w:rsid w:val="00394DE3"/>
    <w:rsid w:val="0039669C"/>
    <w:rsid w:val="003A0774"/>
    <w:rsid w:val="003A091C"/>
    <w:rsid w:val="003A0BC6"/>
    <w:rsid w:val="003A1AF8"/>
    <w:rsid w:val="003A1F89"/>
    <w:rsid w:val="003A3CF3"/>
    <w:rsid w:val="003A4A78"/>
    <w:rsid w:val="003A5008"/>
    <w:rsid w:val="003A55F7"/>
    <w:rsid w:val="003A5CB0"/>
    <w:rsid w:val="003A5DE7"/>
    <w:rsid w:val="003A6902"/>
    <w:rsid w:val="003A6C2D"/>
    <w:rsid w:val="003A6D87"/>
    <w:rsid w:val="003B11FD"/>
    <w:rsid w:val="003B19EF"/>
    <w:rsid w:val="003B1C79"/>
    <w:rsid w:val="003B1DBD"/>
    <w:rsid w:val="003B29D5"/>
    <w:rsid w:val="003B2A63"/>
    <w:rsid w:val="003B2B57"/>
    <w:rsid w:val="003B33C6"/>
    <w:rsid w:val="003B4995"/>
    <w:rsid w:val="003B5C1B"/>
    <w:rsid w:val="003B5E25"/>
    <w:rsid w:val="003B6246"/>
    <w:rsid w:val="003B642F"/>
    <w:rsid w:val="003B6889"/>
    <w:rsid w:val="003B69FE"/>
    <w:rsid w:val="003C05B6"/>
    <w:rsid w:val="003C2687"/>
    <w:rsid w:val="003C4421"/>
    <w:rsid w:val="003C58E4"/>
    <w:rsid w:val="003C5B61"/>
    <w:rsid w:val="003C6A76"/>
    <w:rsid w:val="003C6A7B"/>
    <w:rsid w:val="003C6DE2"/>
    <w:rsid w:val="003C6FB3"/>
    <w:rsid w:val="003C7207"/>
    <w:rsid w:val="003C722F"/>
    <w:rsid w:val="003D08E5"/>
    <w:rsid w:val="003D0BC1"/>
    <w:rsid w:val="003D16A6"/>
    <w:rsid w:val="003D17C3"/>
    <w:rsid w:val="003D2625"/>
    <w:rsid w:val="003D49C8"/>
    <w:rsid w:val="003D519C"/>
    <w:rsid w:val="003D6CA2"/>
    <w:rsid w:val="003D7151"/>
    <w:rsid w:val="003D7FB4"/>
    <w:rsid w:val="003E0292"/>
    <w:rsid w:val="003E0382"/>
    <w:rsid w:val="003E07AB"/>
    <w:rsid w:val="003E17DC"/>
    <w:rsid w:val="003E1831"/>
    <w:rsid w:val="003E3266"/>
    <w:rsid w:val="003E3F4C"/>
    <w:rsid w:val="003E63D3"/>
    <w:rsid w:val="003E7A0E"/>
    <w:rsid w:val="003F1483"/>
    <w:rsid w:val="003F32B9"/>
    <w:rsid w:val="003F46B2"/>
    <w:rsid w:val="003F53E7"/>
    <w:rsid w:val="003F5D2C"/>
    <w:rsid w:val="003F6369"/>
    <w:rsid w:val="003F6483"/>
    <w:rsid w:val="003F726F"/>
    <w:rsid w:val="00401874"/>
    <w:rsid w:val="00401BE8"/>
    <w:rsid w:val="00401CF4"/>
    <w:rsid w:val="00403EA9"/>
    <w:rsid w:val="004049C6"/>
    <w:rsid w:val="0040641C"/>
    <w:rsid w:val="0040671E"/>
    <w:rsid w:val="0040798B"/>
    <w:rsid w:val="004108EF"/>
    <w:rsid w:val="00410CD8"/>
    <w:rsid w:val="00410EF5"/>
    <w:rsid w:val="00411470"/>
    <w:rsid w:val="0041213E"/>
    <w:rsid w:val="00412F0C"/>
    <w:rsid w:val="004137CE"/>
    <w:rsid w:val="00413F83"/>
    <w:rsid w:val="00414329"/>
    <w:rsid w:val="00415044"/>
    <w:rsid w:val="00416BCE"/>
    <w:rsid w:val="00417D34"/>
    <w:rsid w:val="004208A4"/>
    <w:rsid w:val="00421080"/>
    <w:rsid w:val="004223FA"/>
    <w:rsid w:val="00423013"/>
    <w:rsid w:val="004242E1"/>
    <w:rsid w:val="00425092"/>
    <w:rsid w:val="0042582E"/>
    <w:rsid w:val="004264B4"/>
    <w:rsid w:val="004307A9"/>
    <w:rsid w:val="00430F6B"/>
    <w:rsid w:val="004313BE"/>
    <w:rsid w:val="00431C1C"/>
    <w:rsid w:val="00431E97"/>
    <w:rsid w:val="004322AA"/>
    <w:rsid w:val="00432918"/>
    <w:rsid w:val="00432E27"/>
    <w:rsid w:val="00433A5D"/>
    <w:rsid w:val="00434F84"/>
    <w:rsid w:val="00437A54"/>
    <w:rsid w:val="004405C8"/>
    <w:rsid w:val="00441080"/>
    <w:rsid w:val="00441828"/>
    <w:rsid w:val="00444C84"/>
    <w:rsid w:val="004460F5"/>
    <w:rsid w:val="00447354"/>
    <w:rsid w:val="0044745E"/>
    <w:rsid w:val="00447757"/>
    <w:rsid w:val="00447D9E"/>
    <w:rsid w:val="004506BC"/>
    <w:rsid w:val="00451B78"/>
    <w:rsid w:val="004525D5"/>
    <w:rsid w:val="00453CE3"/>
    <w:rsid w:val="004556BF"/>
    <w:rsid w:val="004563FB"/>
    <w:rsid w:val="004565FD"/>
    <w:rsid w:val="00456C0B"/>
    <w:rsid w:val="00460A96"/>
    <w:rsid w:val="00462307"/>
    <w:rsid w:val="00464AA3"/>
    <w:rsid w:val="00464B76"/>
    <w:rsid w:val="004661C8"/>
    <w:rsid w:val="00466C47"/>
    <w:rsid w:val="00466CC1"/>
    <w:rsid w:val="00470B99"/>
    <w:rsid w:val="00471C19"/>
    <w:rsid w:val="0047228D"/>
    <w:rsid w:val="004733A3"/>
    <w:rsid w:val="00473483"/>
    <w:rsid w:val="00475465"/>
    <w:rsid w:val="004756A6"/>
    <w:rsid w:val="004772D4"/>
    <w:rsid w:val="004804B2"/>
    <w:rsid w:val="004807E9"/>
    <w:rsid w:val="00480DAB"/>
    <w:rsid w:val="00481BE0"/>
    <w:rsid w:val="004850E3"/>
    <w:rsid w:val="00486CA5"/>
    <w:rsid w:val="0048741E"/>
    <w:rsid w:val="00487964"/>
    <w:rsid w:val="0048796B"/>
    <w:rsid w:val="00487C1A"/>
    <w:rsid w:val="0049085A"/>
    <w:rsid w:val="00491861"/>
    <w:rsid w:val="00491DF0"/>
    <w:rsid w:val="00493F9A"/>
    <w:rsid w:val="00494268"/>
    <w:rsid w:val="0049572F"/>
    <w:rsid w:val="00495DE8"/>
    <w:rsid w:val="0049613F"/>
    <w:rsid w:val="00496A96"/>
    <w:rsid w:val="00496D5D"/>
    <w:rsid w:val="00497803"/>
    <w:rsid w:val="004A47D3"/>
    <w:rsid w:val="004A49C7"/>
    <w:rsid w:val="004A4A27"/>
    <w:rsid w:val="004A592E"/>
    <w:rsid w:val="004A61AF"/>
    <w:rsid w:val="004B0566"/>
    <w:rsid w:val="004B0AC3"/>
    <w:rsid w:val="004B0D49"/>
    <w:rsid w:val="004B2C64"/>
    <w:rsid w:val="004B301D"/>
    <w:rsid w:val="004B3623"/>
    <w:rsid w:val="004B420A"/>
    <w:rsid w:val="004B4716"/>
    <w:rsid w:val="004B540E"/>
    <w:rsid w:val="004B5DBC"/>
    <w:rsid w:val="004B73AB"/>
    <w:rsid w:val="004C1E71"/>
    <w:rsid w:val="004C2098"/>
    <w:rsid w:val="004C2884"/>
    <w:rsid w:val="004C29A8"/>
    <w:rsid w:val="004C38FB"/>
    <w:rsid w:val="004C41F3"/>
    <w:rsid w:val="004C55AA"/>
    <w:rsid w:val="004C5D85"/>
    <w:rsid w:val="004C6385"/>
    <w:rsid w:val="004D0355"/>
    <w:rsid w:val="004D0676"/>
    <w:rsid w:val="004D0EA2"/>
    <w:rsid w:val="004D1A2C"/>
    <w:rsid w:val="004D1C04"/>
    <w:rsid w:val="004D4CD4"/>
    <w:rsid w:val="004D4FFB"/>
    <w:rsid w:val="004D5ACD"/>
    <w:rsid w:val="004D5FE9"/>
    <w:rsid w:val="004E017C"/>
    <w:rsid w:val="004E11A3"/>
    <w:rsid w:val="004E1873"/>
    <w:rsid w:val="004E2112"/>
    <w:rsid w:val="004E5CEB"/>
    <w:rsid w:val="004E7EBE"/>
    <w:rsid w:val="004F1B47"/>
    <w:rsid w:val="004F4069"/>
    <w:rsid w:val="004F4506"/>
    <w:rsid w:val="004F5439"/>
    <w:rsid w:val="004F5BD8"/>
    <w:rsid w:val="004F63CB"/>
    <w:rsid w:val="004F641C"/>
    <w:rsid w:val="004F6D86"/>
    <w:rsid w:val="004F7125"/>
    <w:rsid w:val="004F79F0"/>
    <w:rsid w:val="005019C0"/>
    <w:rsid w:val="00502078"/>
    <w:rsid w:val="005033C6"/>
    <w:rsid w:val="00504A6A"/>
    <w:rsid w:val="00505D99"/>
    <w:rsid w:val="005101E4"/>
    <w:rsid w:val="005105A4"/>
    <w:rsid w:val="005119D4"/>
    <w:rsid w:val="005125F9"/>
    <w:rsid w:val="00514C74"/>
    <w:rsid w:val="00514D7D"/>
    <w:rsid w:val="00516960"/>
    <w:rsid w:val="00517D21"/>
    <w:rsid w:val="00520C68"/>
    <w:rsid w:val="005214D8"/>
    <w:rsid w:val="005216E0"/>
    <w:rsid w:val="00521A69"/>
    <w:rsid w:val="005220A1"/>
    <w:rsid w:val="00522680"/>
    <w:rsid w:val="00522D2E"/>
    <w:rsid w:val="0052355A"/>
    <w:rsid w:val="00525A45"/>
    <w:rsid w:val="00525EFA"/>
    <w:rsid w:val="00526A73"/>
    <w:rsid w:val="00530150"/>
    <w:rsid w:val="00530433"/>
    <w:rsid w:val="00530884"/>
    <w:rsid w:val="00532A5E"/>
    <w:rsid w:val="00532A90"/>
    <w:rsid w:val="00535A5F"/>
    <w:rsid w:val="00536317"/>
    <w:rsid w:val="00536E1B"/>
    <w:rsid w:val="00537DD0"/>
    <w:rsid w:val="00540A7C"/>
    <w:rsid w:val="0054230D"/>
    <w:rsid w:val="00542B12"/>
    <w:rsid w:val="00542D44"/>
    <w:rsid w:val="00542E7F"/>
    <w:rsid w:val="005457A7"/>
    <w:rsid w:val="005457E1"/>
    <w:rsid w:val="005458E0"/>
    <w:rsid w:val="005460FA"/>
    <w:rsid w:val="005465B5"/>
    <w:rsid w:val="00547F44"/>
    <w:rsid w:val="005500D5"/>
    <w:rsid w:val="00552369"/>
    <w:rsid w:val="005542E8"/>
    <w:rsid w:val="00554779"/>
    <w:rsid w:val="005547B2"/>
    <w:rsid w:val="005557DB"/>
    <w:rsid w:val="00555C5A"/>
    <w:rsid w:val="005562A9"/>
    <w:rsid w:val="00557C93"/>
    <w:rsid w:val="005602C2"/>
    <w:rsid w:val="00560555"/>
    <w:rsid w:val="00562CFC"/>
    <w:rsid w:val="005653A8"/>
    <w:rsid w:val="0056563B"/>
    <w:rsid w:val="005661CB"/>
    <w:rsid w:val="00566A90"/>
    <w:rsid w:val="00566B63"/>
    <w:rsid w:val="00566CC3"/>
    <w:rsid w:val="0056702C"/>
    <w:rsid w:val="00567485"/>
    <w:rsid w:val="00570302"/>
    <w:rsid w:val="00570A36"/>
    <w:rsid w:val="00571827"/>
    <w:rsid w:val="0057339F"/>
    <w:rsid w:val="00573B60"/>
    <w:rsid w:val="00573DAA"/>
    <w:rsid w:val="00575067"/>
    <w:rsid w:val="00575509"/>
    <w:rsid w:val="00575BC4"/>
    <w:rsid w:val="00575C07"/>
    <w:rsid w:val="0057732C"/>
    <w:rsid w:val="005774EF"/>
    <w:rsid w:val="0058004F"/>
    <w:rsid w:val="00580976"/>
    <w:rsid w:val="00580C97"/>
    <w:rsid w:val="005824A4"/>
    <w:rsid w:val="00582907"/>
    <w:rsid w:val="00583768"/>
    <w:rsid w:val="005837E5"/>
    <w:rsid w:val="00583885"/>
    <w:rsid w:val="005841B6"/>
    <w:rsid w:val="00586EE9"/>
    <w:rsid w:val="00587B32"/>
    <w:rsid w:val="005911BA"/>
    <w:rsid w:val="00592EF8"/>
    <w:rsid w:val="00594ECB"/>
    <w:rsid w:val="005953D1"/>
    <w:rsid w:val="0059608D"/>
    <w:rsid w:val="005966E8"/>
    <w:rsid w:val="00596A04"/>
    <w:rsid w:val="00596C71"/>
    <w:rsid w:val="005A04F5"/>
    <w:rsid w:val="005A0672"/>
    <w:rsid w:val="005A11DF"/>
    <w:rsid w:val="005A253B"/>
    <w:rsid w:val="005A2607"/>
    <w:rsid w:val="005A2BB3"/>
    <w:rsid w:val="005A34C8"/>
    <w:rsid w:val="005A447C"/>
    <w:rsid w:val="005A4649"/>
    <w:rsid w:val="005A480F"/>
    <w:rsid w:val="005A4A84"/>
    <w:rsid w:val="005A54F9"/>
    <w:rsid w:val="005A5ED2"/>
    <w:rsid w:val="005B149E"/>
    <w:rsid w:val="005B1CB1"/>
    <w:rsid w:val="005B1DE3"/>
    <w:rsid w:val="005B203F"/>
    <w:rsid w:val="005B356A"/>
    <w:rsid w:val="005B3BCE"/>
    <w:rsid w:val="005B44E6"/>
    <w:rsid w:val="005B5EED"/>
    <w:rsid w:val="005B6135"/>
    <w:rsid w:val="005B72AF"/>
    <w:rsid w:val="005B782B"/>
    <w:rsid w:val="005B7B0E"/>
    <w:rsid w:val="005C0244"/>
    <w:rsid w:val="005C14FC"/>
    <w:rsid w:val="005C18DA"/>
    <w:rsid w:val="005C21A8"/>
    <w:rsid w:val="005C2F37"/>
    <w:rsid w:val="005C3120"/>
    <w:rsid w:val="005C3C8A"/>
    <w:rsid w:val="005C6667"/>
    <w:rsid w:val="005C6746"/>
    <w:rsid w:val="005C7FD6"/>
    <w:rsid w:val="005D1112"/>
    <w:rsid w:val="005D18C9"/>
    <w:rsid w:val="005D3AB7"/>
    <w:rsid w:val="005D3F92"/>
    <w:rsid w:val="005D47F6"/>
    <w:rsid w:val="005D5790"/>
    <w:rsid w:val="005D5D73"/>
    <w:rsid w:val="005D5FBC"/>
    <w:rsid w:val="005D7362"/>
    <w:rsid w:val="005D7462"/>
    <w:rsid w:val="005E18AA"/>
    <w:rsid w:val="005E2630"/>
    <w:rsid w:val="005E2688"/>
    <w:rsid w:val="005E28F2"/>
    <w:rsid w:val="005E3427"/>
    <w:rsid w:val="005E3BEA"/>
    <w:rsid w:val="005E47F3"/>
    <w:rsid w:val="005E50EB"/>
    <w:rsid w:val="005E5539"/>
    <w:rsid w:val="005E74EF"/>
    <w:rsid w:val="005F22A0"/>
    <w:rsid w:val="005F2C47"/>
    <w:rsid w:val="005F2FA2"/>
    <w:rsid w:val="005F3DD2"/>
    <w:rsid w:val="005F4551"/>
    <w:rsid w:val="005F481B"/>
    <w:rsid w:val="005F4ABD"/>
    <w:rsid w:val="005F4DF0"/>
    <w:rsid w:val="005F53EC"/>
    <w:rsid w:val="005F586A"/>
    <w:rsid w:val="005F7152"/>
    <w:rsid w:val="005F72EB"/>
    <w:rsid w:val="005F73CD"/>
    <w:rsid w:val="005F7980"/>
    <w:rsid w:val="006000AA"/>
    <w:rsid w:val="00601112"/>
    <w:rsid w:val="006011D9"/>
    <w:rsid w:val="00601BC1"/>
    <w:rsid w:val="0060266F"/>
    <w:rsid w:val="00602AD5"/>
    <w:rsid w:val="00603C55"/>
    <w:rsid w:val="006047C8"/>
    <w:rsid w:val="00604FD5"/>
    <w:rsid w:val="006063E0"/>
    <w:rsid w:val="00606DEE"/>
    <w:rsid w:val="006102BA"/>
    <w:rsid w:val="00611B10"/>
    <w:rsid w:val="00613BA2"/>
    <w:rsid w:val="00614E4B"/>
    <w:rsid w:val="006150A9"/>
    <w:rsid w:val="00615B1A"/>
    <w:rsid w:val="006230BA"/>
    <w:rsid w:val="0062387C"/>
    <w:rsid w:val="00623EA6"/>
    <w:rsid w:val="00625BCC"/>
    <w:rsid w:val="00625DB3"/>
    <w:rsid w:val="006264FD"/>
    <w:rsid w:val="006265AF"/>
    <w:rsid w:val="0063092E"/>
    <w:rsid w:val="006313F1"/>
    <w:rsid w:val="006319A8"/>
    <w:rsid w:val="00631BBC"/>
    <w:rsid w:val="00631D2B"/>
    <w:rsid w:val="00631D66"/>
    <w:rsid w:val="00632B48"/>
    <w:rsid w:val="00632D4B"/>
    <w:rsid w:val="00634567"/>
    <w:rsid w:val="0063468F"/>
    <w:rsid w:val="0063634A"/>
    <w:rsid w:val="0063775D"/>
    <w:rsid w:val="00641B0F"/>
    <w:rsid w:val="00641D26"/>
    <w:rsid w:val="006420F3"/>
    <w:rsid w:val="0064661A"/>
    <w:rsid w:val="00651727"/>
    <w:rsid w:val="00653211"/>
    <w:rsid w:val="00653237"/>
    <w:rsid w:val="00653AB5"/>
    <w:rsid w:val="00654010"/>
    <w:rsid w:val="00654C1D"/>
    <w:rsid w:val="00654CBE"/>
    <w:rsid w:val="00655D56"/>
    <w:rsid w:val="006602E7"/>
    <w:rsid w:val="00661E9E"/>
    <w:rsid w:val="00662D18"/>
    <w:rsid w:val="00662D96"/>
    <w:rsid w:val="00664A24"/>
    <w:rsid w:val="00667C68"/>
    <w:rsid w:val="00672E28"/>
    <w:rsid w:val="00672E41"/>
    <w:rsid w:val="00674CE0"/>
    <w:rsid w:val="00674E84"/>
    <w:rsid w:val="00675476"/>
    <w:rsid w:val="00677329"/>
    <w:rsid w:val="00677FA7"/>
    <w:rsid w:val="0068148A"/>
    <w:rsid w:val="00681FEE"/>
    <w:rsid w:val="0068329C"/>
    <w:rsid w:val="00683B9E"/>
    <w:rsid w:val="00685EA6"/>
    <w:rsid w:val="00686BEF"/>
    <w:rsid w:val="00686C01"/>
    <w:rsid w:val="00687489"/>
    <w:rsid w:val="00690387"/>
    <w:rsid w:val="00690E20"/>
    <w:rsid w:val="00693211"/>
    <w:rsid w:val="00693B4A"/>
    <w:rsid w:val="006940DE"/>
    <w:rsid w:val="00694628"/>
    <w:rsid w:val="00695678"/>
    <w:rsid w:val="00695ECC"/>
    <w:rsid w:val="00695F7D"/>
    <w:rsid w:val="006A19A7"/>
    <w:rsid w:val="006A1C1B"/>
    <w:rsid w:val="006A21B1"/>
    <w:rsid w:val="006A2DC0"/>
    <w:rsid w:val="006A5046"/>
    <w:rsid w:val="006A593D"/>
    <w:rsid w:val="006A5A78"/>
    <w:rsid w:val="006A6CB0"/>
    <w:rsid w:val="006A755E"/>
    <w:rsid w:val="006A7D90"/>
    <w:rsid w:val="006B0326"/>
    <w:rsid w:val="006B096B"/>
    <w:rsid w:val="006B231F"/>
    <w:rsid w:val="006B329B"/>
    <w:rsid w:val="006B5441"/>
    <w:rsid w:val="006B573C"/>
    <w:rsid w:val="006B74CE"/>
    <w:rsid w:val="006B74FF"/>
    <w:rsid w:val="006B7B58"/>
    <w:rsid w:val="006C03CE"/>
    <w:rsid w:val="006C0DE5"/>
    <w:rsid w:val="006C240B"/>
    <w:rsid w:val="006C4293"/>
    <w:rsid w:val="006C56A9"/>
    <w:rsid w:val="006C730B"/>
    <w:rsid w:val="006C7B18"/>
    <w:rsid w:val="006D2264"/>
    <w:rsid w:val="006D3CAE"/>
    <w:rsid w:val="006D52DD"/>
    <w:rsid w:val="006D7C7C"/>
    <w:rsid w:val="006E02B8"/>
    <w:rsid w:val="006E16B9"/>
    <w:rsid w:val="006E2840"/>
    <w:rsid w:val="006E2E6D"/>
    <w:rsid w:val="006E3152"/>
    <w:rsid w:val="006E38C7"/>
    <w:rsid w:val="006F05C2"/>
    <w:rsid w:val="006F2FE5"/>
    <w:rsid w:val="006F36FE"/>
    <w:rsid w:val="006F49F6"/>
    <w:rsid w:val="006F4D57"/>
    <w:rsid w:val="006F52DD"/>
    <w:rsid w:val="006F52F1"/>
    <w:rsid w:val="006F5337"/>
    <w:rsid w:val="006F6321"/>
    <w:rsid w:val="006F73AF"/>
    <w:rsid w:val="006F7AB8"/>
    <w:rsid w:val="0070015F"/>
    <w:rsid w:val="007013D8"/>
    <w:rsid w:val="00701DB0"/>
    <w:rsid w:val="00704901"/>
    <w:rsid w:val="00704D17"/>
    <w:rsid w:val="00706A85"/>
    <w:rsid w:val="00706DE3"/>
    <w:rsid w:val="00706FC5"/>
    <w:rsid w:val="0071049A"/>
    <w:rsid w:val="00711245"/>
    <w:rsid w:val="00712161"/>
    <w:rsid w:val="007133B1"/>
    <w:rsid w:val="00713C0F"/>
    <w:rsid w:val="0071465C"/>
    <w:rsid w:val="00714EB2"/>
    <w:rsid w:val="00716AD8"/>
    <w:rsid w:val="007175FE"/>
    <w:rsid w:val="00717889"/>
    <w:rsid w:val="00717E4D"/>
    <w:rsid w:val="00717E86"/>
    <w:rsid w:val="0072074B"/>
    <w:rsid w:val="007229F1"/>
    <w:rsid w:val="00722F91"/>
    <w:rsid w:val="00723302"/>
    <w:rsid w:val="00723905"/>
    <w:rsid w:val="007243D5"/>
    <w:rsid w:val="00724EB4"/>
    <w:rsid w:val="00724FA4"/>
    <w:rsid w:val="00725836"/>
    <w:rsid w:val="00726883"/>
    <w:rsid w:val="007306F5"/>
    <w:rsid w:val="00730A90"/>
    <w:rsid w:val="00732EAA"/>
    <w:rsid w:val="0073310E"/>
    <w:rsid w:val="007349B8"/>
    <w:rsid w:val="0073762B"/>
    <w:rsid w:val="00737A79"/>
    <w:rsid w:val="00740929"/>
    <w:rsid w:val="0074116E"/>
    <w:rsid w:val="00742F41"/>
    <w:rsid w:val="007446CB"/>
    <w:rsid w:val="00744C38"/>
    <w:rsid w:val="0074527A"/>
    <w:rsid w:val="0074556C"/>
    <w:rsid w:val="00745B57"/>
    <w:rsid w:val="0074602E"/>
    <w:rsid w:val="007462D1"/>
    <w:rsid w:val="00746D9D"/>
    <w:rsid w:val="00746E67"/>
    <w:rsid w:val="00750DCE"/>
    <w:rsid w:val="00751FD6"/>
    <w:rsid w:val="0075279F"/>
    <w:rsid w:val="00753400"/>
    <w:rsid w:val="00753C02"/>
    <w:rsid w:val="00754739"/>
    <w:rsid w:val="00755AA1"/>
    <w:rsid w:val="00761132"/>
    <w:rsid w:val="007618E8"/>
    <w:rsid w:val="00761E3A"/>
    <w:rsid w:val="007627F3"/>
    <w:rsid w:val="00762859"/>
    <w:rsid w:val="00762EE9"/>
    <w:rsid w:val="00763D1D"/>
    <w:rsid w:val="00765334"/>
    <w:rsid w:val="00767241"/>
    <w:rsid w:val="00767CF4"/>
    <w:rsid w:val="00770899"/>
    <w:rsid w:val="00771F09"/>
    <w:rsid w:val="0077341A"/>
    <w:rsid w:val="00773C2F"/>
    <w:rsid w:val="00774E0A"/>
    <w:rsid w:val="007765CB"/>
    <w:rsid w:val="00776993"/>
    <w:rsid w:val="00776D66"/>
    <w:rsid w:val="007778BE"/>
    <w:rsid w:val="007813FC"/>
    <w:rsid w:val="00781C51"/>
    <w:rsid w:val="00783382"/>
    <w:rsid w:val="007833AD"/>
    <w:rsid w:val="00783975"/>
    <w:rsid w:val="00785152"/>
    <w:rsid w:val="00785764"/>
    <w:rsid w:val="00785B06"/>
    <w:rsid w:val="00785D46"/>
    <w:rsid w:val="00787154"/>
    <w:rsid w:val="007872D2"/>
    <w:rsid w:val="00787917"/>
    <w:rsid w:val="00790C13"/>
    <w:rsid w:val="007911DA"/>
    <w:rsid w:val="00791314"/>
    <w:rsid w:val="00792928"/>
    <w:rsid w:val="00792BCD"/>
    <w:rsid w:val="00792F46"/>
    <w:rsid w:val="0079326B"/>
    <w:rsid w:val="0079461F"/>
    <w:rsid w:val="007947D9"/>
    <w:rsid w:val="007972AA"/>
    <w:rsid w:val="00797762"/>
    <w:rsid w:val="007A000F"/>
    <w:rsid w:val="007A197C"/>
    <w:rsid w:val="007A22B5"/>
    <w:rsid w:val="007A2ECA"/>
    <w:rsid w:val="007A3D24"/>
    <w:rsid w:val="007A4017"/>
    <w:rsid w:val="007A7030"/>
    <w:rsid w:val="007A71A0"/>
    <w:rsid w:val="007B1142"/>
    <w:rsid w:val="007B170B"/>
    <w:rsid w:val="007B187C"/>
    <w:rsid w:val="007B1CC1"/>
    <w:rsid w:val="007B36F7"/>
    <w:rsid w:val="007B3B73"/>
    <w:rsid w:val="007B41CE"/>
    <w:rsid w:val="007B43E9"/>
    <w:rsid w:val="007B4CCE"/>
    <w:rsid w:val="007B5D39"/>
    <w:rsid w:val="007B697E"/>
    <w:rsid w:val="007C01F3"/>
    <w:rsid w:val="007C0EBA"/>
    <w:rsid w:val="007C132B"/>
    <w:rsid w:val="007C2985"/>
    <w:rsid w:val="007C29C1"/>
    <w:rsid w:val="007C345C"/>
    <w:rsid w:val="007C3DF9"/>
    <w:rsid w:val="007C44E3"/>
    <w:rsid w:val="007C4CEC"/>
    <w:rsid w:val="007C5062"/>
    <w:rsid w:val="007C514A"/>
    <w:rsid w:val="007C558F"/>
    <w:rsid w:val="007D0B1F"/>
    <w:rsid w:val="007D25B5"/>
    <w:rsid w:val="007D2C67"/>
    <w:rsid w:val="007D3920"/>
    <w:rsid w:val="007D3C37"/>
    <w:rsid w:val="007D464D"/>
    <w:rsid w:val="007D62EC"/>
    <w:rsid w:val="007E0E3E"/>
    <w:rsid w:val="007E2C80"/>
    <w:rsid w:val="007E380E"/>
    <w:rsid w:val="007E5119"/>
    <w:rsid w:val="007E521E"/>
    <w:rsid w:val="007E5635"/>
    <w:rsid w:val="007E77D7"/>
    <w:rsid w:val="007F02B3"/>
    <w:rsid w:val="007F1BE4"/>
    <w:rsid w:val="007F4851"/>
    <w:rsid w:val="007F4E64"/>
    <w:rsid w:val="007F5473"/>
    <w:rsid w:val="007F5E6D"/>
    <w:rsid w:val="007F7F69"/>
    <w:rsid w:val="008004CD"/>
    <w:rsid w:val="00800C4B"/>
    <w:rsid w:val="00801313"/>
    <w:rsid w:val="00801471"/>
    <w:rsid w:val="00801AE5"/>
    <w:rsid w:val="008021DB"/>
    <w:rsid w:val="008038B9"/>
    <w:rsid w:val="00803AD6"/>
    <w:rsid w:val="0080435C"/>
    <w:rsid w:val="00804A0D"/>
    <w:rsid w:val="00804BD7"/>
    <w:rsid w:val="00804D5E"/>
    <w:rsid w:val="00805512"/>
    <w:rsid w:val="00806691"/>
    <w:rsid w:val="008118E8"/>
    <w:rsid w:val="00812288"/>
    <w:rsid w:val="00812D28"/>
    <w:rsid w:val="00812FA8"/>
    <w:rsid w:val="00814701"/>
    <w:rsid w:val="00814E1E"/>
    <w:rsid w:val="00815068"/>
    <w:rsid w:val="008228C6"/>
    <w:rsid w:val="00823CEC"/>
    <w:rsid w:val="00823D04"/>
    <w:rsid w:val="00824D51"/>
    <w:rsid w:val="008265A9"/>
    <w:rsid w:val="008268F5"/>
    <w:rsid w:val="00827D88"/>
    <w:rsid w:val="00827FED"/>
    <w:rsid w:val="00830034"/>
    <w:rsid w:val="00830F69"/>
    <w:rsid w:val="00832108"/>
    <w:rsid w:val="0083393C"/>
    <w:rsid w:val="00833B95"/>
    <w:rsid w:val="00833E06"/>
    <w:rsid w:val="00834A88"/>
    <w:rsid w:val="00834C44"/>
    <w:rsid w:val="00835641"/>
    <w:rsid w:val="00835A29"/>
    <w:rsid w:val="00836861"/>
    <w:rsid w:val="0083724E"/>
    <w:rsid w:val="00837576"/>
    <w:rsid w:val="008375D5"/>
    <w:rsid w:val="00840DB7"/>
    <w:rsid w:val="00841DC2"/>
    <w:rsid w:val="008420AA"/>
    <w:rsid w:val="00842BF4"/>
    <w:rsid w:val="0084416A"/>
    <w:rsid w:val="008469D5"/>
    <w:rsid w:val="00846D53"/>
    <w:rsid w:val="008472AE"/>
    <w:rsid w:val="00847454"/>
    <w:rsid w:val="008505A1"/>
    <w:rsid w:val="008523BB"/>
    <w:rsid w:val="0085244A"/>
    <w:rsid w:val="0085306F"/>
    <w:rsid w:val="008532C4"/>
    <w:rsid w:val="008552B4"/>
    <w:rsid w:val="0085694B"/>
    <w:rsid w:val="0086045F"/>
    <w:rsid w:val="00862166"/>
    <w:rsid w:val="00862617"/>
    <w:rsid w:val="00865756"/>
    <w:rsid w:val="008659B5"/>
    <w:rsid w:val="00866C8D"/>
    <w:rsid w:val="00866ED0"/>
    <w:rsid w:val="00867C47"/>
    <w:rsid w:val="008715CF"/>
    <w:rsid w:val="0087174D"/>
    <w:rsid w:val="008722AB"/>
    <w:rsid w:val="00874149"/>
    <w:rsid w:val="008758E4"/>
    <w:rsid w:val="0087606D"/>
    <w:rsid w:val="00876619"/>
    <w:rsid w:val="00876C39"/>
    <w:rsid w:val="008774A7"/>
    <w:rsid w:val="00877FB6"/>
    <w:rsid w:val="00880614"/>
    <w:rsid w:val="00880676"/>
    <w:rsid w:val="0088098E"/>
    <w:rsid w:val="008811DC"/>
    <w:rsid w:val="00881567"/>
    <w:rsid w:val="00881DAD"/>
    <w:rsid w:val="00881EA8"/>
    <w:rsid w:val="00882025"/>
    <w:rsid w:val="008820FC"/>
    <w:rsid w:val="008831F5"/>
    <w:rsid w:val="008840D1"/>
    <w:rsid w:val="0088475C"/>
    <w:rsid w:val="00884E94"/>
    <w:rsid w:val="00884F26"/>
    <w:rsid w:val="008855FD"/>
    <w:rsid w:val="00885EC8"/>
    <w:rsid w:val="008861DD"/>
    <w:rsid w:val="00886625"/>
    <w:rsid w:val="00887A5F"/>
    <w:rsid w:val="00890A55"/>
    <w:rsid w:val="00891301"/>
    <w:rsid w:val="00893952"/>
    <w:rsid w:val="00894BFD"/>
    <w:rsid w:val="00895099"/>
    <w:rsid w:val="00895B3C"/>
    <w:rsid w:val="008964F2"/>
    <w:rsid w:val="00897054"/>
    <w:rsid w:val="008A0BE7"/>
    <w:rsid w:val="008A16B2"/>
    <w:rsid w:val="008A1D07"/>
    <w:rsid w:val="008A3C0D"/>
    <w:rsid w:val="008A4A25"/>
    <w:rsid w:val="008A5134"/>
    <w:rsid w:val="008A64AC"/>
    <w:rsid w:val="008A7670"/>
    <w:rsid w:val="008B0F39"/>
    <w:rsid w:val="008B1240"/>
    <w:rsid w:val="008B5956"/>
    <w:rsid w:val="008B7A95"/>
    <w:rsid w:val="008B7E67"/>
    <w:rsid w:val="008C0254"/>
    <w:rsid w:val="008C2670"/>
    <w:rsid w:val="008C3B07"/>
    <w:rsid w:val="008C4B7F"/>
    <w:rsid w:val="008C5AB7"/>
    <w:rsid w:val="008C7435"/>
    <w:rsid w:val="008C7F70"/>
    <w:rsid w:val="008D016C"/>
    <w:rsid w:val="008D1410"/>
    <w:rsid w:val="008D1AE3"/>
    <w:rsid w:val="008D1E4D"/>
    <w:rsid w:val="008D2F68"/>
    <w:rsid w:val="008D4B69"/>
    <w:rsid w:val="008D5A37"/>
    <w:rsid w:val="008D6D9E"/>
    <w:rsid w:val="008D7A56"/>
    <w:rsid w:val="008E44B5"/>
    <w:rsid w:val="008E6E9A"/>
    <w:rsid w:val="008F0E1C"/>
    <w:rsid w:val="008F152F"/>
    <w:rsid w:val="008F303C"/>
    <w:rsid w:val="008F3E58"/>
    <w:rsid w:val="008F51FC"/>
    <w:rsid w:val="008F7740"/>
    <w:rsid w:val="008F7AF4"/>
    <w:rsid w:val="0090072E"/>
    <w:rsid w:val="00900FF0"/>
    <w:rsid w:val="00901AB9"/>
    <w:rsid w:val="0090308C"/>
    <w:rsid w:val="009030CB"/>
    <w:rsid w:val="00903187"/>
    <w:rsid w:val="00903DFA"/>
    <w:rsid w:val="00904782"/>
    <w:rsid w:val="00904831"/>
    <w:rsid w:val="00905594"/>
    <w:rsid w:val="00905F9C"/>
    <w:rsid w:val="00907850"/>
    <w:rsid w:val="00911F41"/>
    <w:rsid w:val="009132F6"/>
    <w:rsid w:val="009145E2"/>
    <w:rsid w:val="00914F1A"/>
    <w:rsid w:val="00917373"/>
    <w:rsid w:val="009179CD"/>
    <w:rsid w:val="00920722"/>
    <w:rsid w:val="00920C35"/>
    <w:rsid w:val="00920E3B"/>
    <w:rsid w:val="00921164"/>
    <w:rsid w:val="00922C60"/>
    <w:rsid w:val="00922C8E"/>
    <w:rsid w:val="00922DD2"/>
    <w:rsid w:val="00922DD4"/>
    <w:rsid w:val="00924FD6"/>
    <w:rsid w:val="0092502F"/>
    <w:rsid w:val="00925B71"/>
    <w:rsid w:val="00925D38"/>
    <w:rsid w:val="00925D97"/>
    <w:rsid w:val="009261D3"/>
    <w:rsid w:val="009262FF"/>
    <w:rsid w:val="00926C83"/>
    <w:rsid w:val="009275F3"/>
    <w:rsid w:val="009279C8"/>
    <w:rsid w:val="00930BA0"/>
    <w:rsid w:val="00930D78"/>
    <w:rsid w:val="00930F1C"/>
    <w:rsid w:val="00930F93"/>
    <w:rsid w:val="00931CF4"/>
    <w:rsid w:val="00932C69"/>
    <w:rsid w:val="00932D8C"/>
    <w:rsid w:val="00933608"/>
    <w:rsid w:val="00934F4E"/>
    <w:rsid w:val="009358B4"/>
    <w:rsid w:val="00935E50"/>
    <w:rsid w:val="009360B7"/>
    <w:rsid w:val="00936508"/>
    <w:rsid w:val="009367A2"/>
    <w:rsid w:val="00937B3E"/>
    <w:rsid w:val="00940145"/>
    <w:rsid w:val="00941623"/>
    <w:rsid w:val="00941A31"/>
    <w:rsid w:val="0094300B"/>
    <w:rsid w:val="00944152"/>
    <w:rsid w:val="0094449E"/>
    <w:rsid w:val="00944609"/>
    <w:rsid w:val="00944C1D"/>
    <w:rsid w:val="00944FEA"/>
    <w:rsid w:val="00945345"/>
    <w:rsid w:val="00947268"/>
    <w:rsid w:val="0095096E"/>
    <w:rsid w:val="00950BBE"/>
    <w:rsid w:val="0095130C"/>
    <w:rsid w:val="0095172B"/>
    <w:rsid w:val="00951862"/>
    <w:rsid w:val="00951BC6"/>
    <w:rsid w:val="0095266D"/>
    <w:rsid w:val="009530D6"/>
    <w:rsid w:val="00953E5E"/>
    <w:rsid w:val="00954C9B"/>
    <w:rsid w:val="00954E74"/>
    <w:rsid w:val="00956000"/>
    <w:rsid w:val="00956129"/>
    <w:rsid w:val="0095677D"/>
    <w:rsid w:val="009567EC"/>
    <w:rsid w:val="00956990"/>
    <w:rsid w:val="00962F7C"/>
    <w:rsid w:val="00964812"/>
    <w:rsid w:val="00964D03"/>
    <w:rsid w:val="009650D4"/>
    <w:rsid w:val="00966400"/>
    <w:rsid w:val="00966A5C"/>
    <w:rsid w:val="0096772C"/>
    <w:rsid w:val="00972DEE"/>
    <w:rsid w:val="00973311"/>
    <w:rsid w:val="00973EE1"/>
    <w:rsid w:val="00974999"/>
    <w:rsid w:val="00974ACE"/>
    <w:rsid w:val="0097528D"/>
    <w:rsid w:val="00975ECF"/>
    <w:rsid w:val="009776B7"/>
    <w:rsid w:val="0097789A"/>
    <w:rsid w:val="0097794B"/>
    <w:rsid w:val="00982670"/>
    <w:rsid w:val="009832AB"/>
    <w:rsid w:val="0098337A"/>
    <w:rsid w:val="009836CA"/>
    <w:rsid w:val="0098374E"/>
    <w:rsid w:val="009837F3"/>
    <w:rsid w:val="00984713"/>
    <w:rsid w:val="00985B4A"/>
    <w:rsid w:val="009867CE"/>
    <w:rsid w:val="00987E10"/>
    <w:rsid w:val="00991AD6"/>
    <w:rsid w:val="00991BD1"/>
    <w:rsid w:val="009925B5"/>
    <w:rsid w:val="00992861"/>
    <w:rsid w:val="00993005"/>
    <w:rsid w:val="00994E11"/>
    <w:rsid w:val="009976B6"/>
    <w:rsid w:val="009979BA"/>
    <w:rsid w:val="009A0097"/>
    <w:rsid w:val="009A0643"/>
    <w:rsid w:val="009A093C"/>
    <w:rsid w:val="009A0BB2"/>
    <w:rsid w:val="009A19CA"/>
    <w:rsid w:val="009A1D50"/>
    <w:rsid w:val="009A317A"/>
    <w:rsid w:val="009A36A4"/>
    <w:rsid w:val="009A36E4"/>
    <w:rsid w:val="009A3D15"/>
    <w:rsid w:val="009A3EC9"/>
    <w:rsid w:val="009A5C3A"/>
    <w:rsid w:val="009A68B6"/>
    <w:rsid w:val="009A6A5E"/>
    <w:rsid w:val="009A7D04"/>
    <w:rsid w:val="009B1F31"/>
    <w:rsid w:val="009B1FAF"/>
    <w:rsid w:val="009B2C5D"/>
    <w:rsid w:val="009B3AFF"/>
    <w:rsid w:val="009B40C7"/>
    <w:rsid w:val="009B4AB8"/>
    <w:rsid w:val="009B5522"/>
    <w:rsid w:val="009B68C3"/>
    <w:rsid w:val="009C0068"/>
    <w:rsid w:val="009C1673"/>
    <w:rsid w:val="009C1E88"/>
    <w:rsid w:val="009C1F5C"/>
    <w:rsid w:val="009C2505"/>
    <w:rsid w:val="009C3D7C"/>
    <w:rsid w:val="009C48E3"/>
    <w:rsid w:val="009C7B4C"/>
    <w:rsid w:val="009D1965"/>
    <w:rsid w:val="009D1C51"/>
    <w:rsid w:val="009D1D7D"/>
    <w:rsid w:val="009D2719"/>
    <w:rsid w:val="009D2B72"/>
    <w:rsid w:val="009D359F"/>
    <w:rsid w:val="009D3E24"/>
    <w:rsid w:val="009D440D"/>
    <w:rsid w:val="009D4B34"/>
    <w:rsid w:val="009D56BC"/>
    <w:rsid w:val="009D573D"/>
    <w:rsid w:val="009D58FA"/>
    <w:rsid w:val="009D6973"/>
    <w:rsid w:val="009E0332"/>
    <w:rsid w:val="009E1427"/>
    <w:rsid w:val="009E174C"/>
    <w:rsid w:val="009E30B4"/>
    <w:rsid w:val="009E4ED9"/>
    <w:rsid w:val="009E5238"/>
    <w:rsid w:val="009E537E"/>
    <w:rsid w:val="009E58F6"/>
    <w:rsid w:val="009E5C5E"/>
    <w:rsid w:val="009E62D7"/>
    <w:rsid w:val="009F2CC4"/>
    <w:rsid w:val="009F342E"/>
    <w:rsid w:val="009F3B34"/>
    <w:rsid w:val="009F71E4"/>
    <w:rsid w:val="009F786C"/>
    <w:rsid w:val="00A00AC5"/>
    <w:rsid w:val="00A022D6"/>
    <w:rsid w:val="00A02644"/>
    <w:rsid w:val="00A0313D"/>
    <w:rsid w:val="00A031D1"/>
    <w:rsid w:val="00A047FF"/>
    <w:rsid w:val="00A04AD5"/>
    <w:rsid w:val="00A061B3"/>
    <w:rsid w:val="00A10583"/>
    <w:rsid w:val="00A10CE1"/>
    <w:rsid w:val="00A112B6"/>
    <w:rsid w:val="00A1134C"/>
    <w:rsid w:val="00A11A44"/>
    <w:rsid w:val="00A1213F"/>
    <w:rsid w:val="00A124C0"/>
    <w:rsid w:val="00A124E3"/>
    <w:rsid w:val="00A13596"/>
    <w:rsid w:val="00A1392A"/>
    <w:rsid w:val="00A14EA9"/>
    <w:rsid w:val="00A15A88"/>
    <w:rsid w:val="00A15B2A"/>
    <w:rsid w:val="00A16569"/>
    <w:rsid w:val="00A1684D"/>
    <w:rsid w:val="00A16C01"/>
    <w:rsid w:val="00A20AD9"/>
    <w:rsid w:val="00A20BD0"/>
    <w:rsid w:val="00A22C86"/>
    <w:rsid w:val="00A22E7E"/>
    <w:rsid w:val="00A2330D"/>
    <w:rsid w:val="00A2416E"/>
    <w:rsid w:val="00A241E8"/>
    <w:rsid w:val="00A25F32"/>
    <w:rsid w:val="00A304DB"/>
    <w:rsid w:val="00A308C0"/>
    <w:rsid w:val="00A3147E"/>
    <w:rsid w:val="00A31926"/>
    <w:rsid w:val="00A32356"/>
    <w:rsid w:val="00A32550"/>
    <w:rsid w:val="00A326B0"/>
    <w:rsid w:val="00A334F4"/>
    <w:rsid w:val="00A34799"/>
    <w:rsid w:val="00A35255"/>
    <w:rsid w:val="00A36694"/>
    <w:rsid w:val="00A374AD"/>
    <w:rsid w:val="00A37945"/>
    <w:rsid w:val="00A37AFF"/>
    <w:rsid w:val="00A37CDD"/>
    <w:rsid w:val="00A40BDC"/>
    <w:rsid w:val="00A43764"/>
    <w:rsid w:val="00A43A84"/>
    <w:rsid w:val="00A44EC4"/>
    <w:rsid w:val="00A45304"/>
    <w:rsid w:val="00A5018C"/>
    <w:rsid w:val="00A50961"/>
    <w:rsid w:val="00A5131C"/>
    <w:rsid w:val="00A51421"/>
    <w:rsid w:val="00A515AB"/>
    <w:rsid w:val="00A539C9"/>
    <w:rsid w:val="00A547B0"/>
    <w:rsid w:val="00A54F67"/>
    <w:rsid w:val="00A55793"/>
    <w:rsid w:val="00A56BB7"/>
    <w:rsid w:val="00A61631"/>
    <w:rsid w:val="00A616A3"/>
    <w:rsid w:val="00A62FE7"/>
    <w:rsid w:val="00A632DD"/>
    <w:rsid w:val="00A633DD"/>
    <w:rsid w:val="00A63691"/>
    <w:rsid w:val="00A638A1"/>
    <w:rsid w:val="00A6418F"/>
    <w:rsid w:val="00A644F5"/>
    <w:rsid w:val="00A67E14"/>
    <w:rsid w:val="00A70028"/>
    <w:rsid w:val="00A70342"/>
    <w:rsid w:val="00A705EC"/>
    <w:rsid w:val="00A72618"/>
    <w:rsid w:val="00A72BE4"/>
    <w:rsid w:val="00A73E62"/>
    <w:rsid w:val="00A743D9"/>
    <w:rsid w:val="00A750C8"/>
    <w:rsid w:val="00A7520A"/>
    <w:rsid w:val="00A75E46"/>
    <w:rsid w:val="00A7656E"/>
    <w:rsid w:val="00A77ADC"/>
    <w:rsid w:val="00A80433"/>
    <w:rsid w:val="00A81390"/>
    <w:rsid w:val="00A81B41"/>
    <w:rsid w:val="00A8215B"/>
    <w:rsid w:val="00A840AE"/>
    <w:rsid w:val="00A843E5"/>
    <w:rsid w:val="00A844DC"/>
    <w:rsid w:val="00A85D0A"/>
    <w:rsid w:val="00A8710A"/>
    <w:rsid w:val="00A87A39"/>
    <w:rsid w:val="00A90318"/>
    <w:rsid w:val="00A90AFA"/>
    <w:rsid w:val="00A910BF"/>
    <w:rsid w:val="00A93837"/>
    <w:rsid w:val="00A939A6"/>
    <w:rsid w:val="00A95450"/>
    <w:rsid w:val="00A96502"/>
    <w:rsid w:val="00A9685D"/>
    <w:rsid w:val="00A97060"/>
    <w:rsid w:val="00AA2180"/>
    <w:rsid w:val="00AA57BB"/>
    <w:rsid w:val="00AA5D3A"/>
    <w:rsid w:val="00AA60C1"/>
    <w:rsid w:val="00AA6467"/>
    <w:rsid w:val="00AA6BBA"/>
    <w:rsid w:val="00AB02EC"/>
    <w:rsid w:val="00AB0CAB"/>
    <w:rsid w:val="00AB1457"/>
    <w:rsid w:val="00AB1B1B"/>
    <w:rsid w:val="00AB2438"/>
    <w:rsid w:val="00AB3838"/>
    <w:rsid w:val="00AB4374"/>
    <w:rsid w:val="00AB6A5F"/>
    <w:rsid w:val="00AB6D1D"/>
    <w:rsid w:val="00AB79B3"/>
    <w:rsid w:val="00AC1090"/>
    <w:rsid w:val="00AC11B1"/>
    <w:rsid w:val="00AC2103"/>
    <w:rsid w:val="00AC42F4"/>
    <w:rsid w:val="00AC463E"/>
    <w:rsid w:val="00AC5BF1"/>
    <w:rsid w:val="00AC6583"/>
    <w:rsid w:val="00AC6F36"/>
    <w:rsid w:val="00AC71B7"/>
    <w:rsid w:val="00AC74FF"/>
    <w:rsid w:val="00AD0F72"/>
    <w:rsid w:val="00AD10A9"/>
    <w:rsid w:val="00AD10F8"/>
    <w:rsid w:val="00AD29EB"/>
    <w:rsid w:val="00AD2DC9"/>
    <w:rsid w:val="00AD4848"/>
    <w:rsid w:val="00AD689F"/>
    <w:rsid w:val="00AD79F2"/>
    <w:rsid w:val="00AE00DF"/>
    <w:rsid w:val="00AE227A"/>
    <w:rsid w:val="00AE301E"/>
    <w:rsid w:val="00AE3313"/>
    <w:rsid w:val="00AE3F78"/>
    <w:rsid w:val="00AE4CC2"/>
    <w:rsid w:val="00AE52B0"/>
    <w:rsid w:val="00AE61FB"/>
    <w:rsid w:val="00AE628A"/>
    <w:rsid w:val="00AE6929"/>
    <w:rsid w:val="00AF171E"/>
    <w:rsid w:val="00AF2B07"/>
    <w:rsid w:val="00AF55B4"/>
    <w:rsid w:val="00AF7429"/>
    <w:rsid w:val="00AF7658"/>
    <w:rsid w:val="00AF7F41"/>
    <w:rsid w:val="00B01586"/>
    <w:rsid w:val="00B02B66"/>
    <w:rsid w:val="00B03420"/>
    <w:rsid w:val="00B03E3E"/>
    <w:rsid w:val="00B048CB"/>
    <w:rsid w:val="00B04B78"/>
    <w:rsid w:val="00B0638C"/>
    <w:rsid w:val="00B0771A"/>
    <w:rsid w:val="00B10711"/>
    <w:rsid w:val="00B11E22"/>
    <w:rsid w:val="00B1262C"/>
    <w:rsid w:val="00B14A34"/>
    <w:rsid w:val="00B14F9E"/>
    <w:rsid w:val="00B17D45"/>
    <w:rsid w:val="00B17FE8"/>
    <w:rsid w:val="00B207F1"/>
    <w:rsid w:val="00B21635"/>
    <w:rsid w:val="00B21A86"/>
    <w:rsid w:val="00B221AC"/>
    <w:rsid w:val="00B22338"/>
    <w:rsid w:val="00B24BD4"/>
    <w:rsid w:val="00B25A45"/>
    <w:rsid w:val="00B25EFF"/>
    <w:rsid w:val="00B311AD"/>
    <w:rsid w:val="00B31262"/>
    <w:rsid w:val="00B33F21"/>
    <w:rsid w:val="00B34B5D"/>
    <w:rsid w:val="00B34C03"/>
    <w:rsid w:val="00B35B3A"/>
    <w:rsid w:val="00B36491"/>
    <w:rsid w:val="00B41384"/>
    <w:rsid w:val="00B41A0A"/>
    <w:rsid w:val="00B43E05"/>
    <w:rsid w:val="00B45172"/>
    <w:rsid w:val="00B45AE4"/>
    <w:rsid w:val="00B45F0B"/>
    <w:rsid w:val="00B4612C"/>
    <w:rsid w:val="00B4627E"/>
    <w:rsid w:val="00B475F5"/>
    <w:rsid w:val="00B47808"/>
    <w:rsid w:val="00B50924"/>
    <w:rsid w:val="00B53483"/>
    <w:rsid w:val="00B54130"/>
    <w:rsid w:val="00B54C47"/>
    <w:rsid w:val="00B5558E"/>
    <w:rsid w:val="00B562CE"/>
    <w:rsid w:val="00B56324"/>
    <w:rsid w:val="00B56C70"/>
    <w:rsid w:val="00B604DA"/>
    <w:rsid w:val="00B6106A"/>
    <w:rsid w:val="00B61C31"/>
    <w:rsid w:val="00B64AF2"/>
    <w:rsid w:val="00B65D45"/>
    <w:rsid w:val="00B66F91"/>
    <w:rsid w:val="00B66FC6"/>
    <w:rsid w:val="00B6739A"/>
    <w:rsid w:val="00B675C9"/>
    <w:rsid w:val="00B67B0D"/>
    <w:rsid w:val="00B703A4"/>
    <w:rsid w:val="00B7084E"/>
    <w:rsid w:val="00B70DC6"/>
    <w:rsid w:val="00B72DE1"/>
    <w:rsid w:val="00B72F1B"/>
    <w:rsid w:val="00B745BD"/>
    <w:rsid w:val="00B74851"/>
    <w:rsid w:val="00B75490"/>
    <w:rsid w:val="00B754F8"/>
    <w:rsid w:val="00B7583E"/>
    <w:rsid w:val="00B762B2"/>
    <w:rsid w:val="00B76929"/>
    <w:rsid w:val="00B77B88"/>
    <w:rsid w:val="00B8061C"/>
    <w:rsid w:val="00B8150C"/>
    <w:rsid w:val="00B8240F"/>
    <w:rsid w:val="00B833B0"/>
    <w:rsid w:val="00B835BE"/>
    <w:rsid w:val="00B836FA"/>
    <w:rsid w:val="00B84931"/>
    <w:rsid w:val="00B84E47"/>
    <w:rsid w:val="00B85F8B"/>
    <w:rsid w:val="00B87FA8"/>
    <w:rsid w:val="00B90CC6"/>
    <w:rsid w:val="00B91BDA"/>
    <w:rsid w:val="00B924E4"/>
    <w:rsid w:val="00B96A21"/>
    <w:rsid w:val="00B97E53"/>
    <w:rsid w:val="00BA0578"/>
    <w:rsid w:val="00BA2905"/>
    <w:rsid w:val="00BA36D6"/>
    <w:rsid w:val="00BA4417"/>
    <w:rsid w:val="00BA508B"/>
    <w:rsid w:val="00BA62B5"/>
    <w:rsid w:val="00BA6453"/>
    <w:rsid w:val="00BA7B72"/>
    <w:rsid w:val="00BA7C6C"/>
    <w:rsid w:val="00BB0298"/>
    <w:rsid w:val="00BB0AC5"/>
    <w:rsid w:val="00BB0C66"/>
    <w:rsid w:val="00BB0EE6"/>
    <w:rsid w:val="00BB63CA"/>
    <w:rsid w:val="00BB693F"/>
    <w:rsid w:val="00BB7D91"/>
    <w:rsid w:val="00BC151D"/>
    <w:rsid w:val="00BC19C1"/>
    <w:rsid w:val="00BC1BA6"/>
    <w:rsid w:val="00BC1E3D"/>
    <w:rsid w:val="00BC4ADD"/>
    <w:rsid w:val="00BC4EB8"/>
    <w:rsid w:val="00BC611F"/>
    <w:rsid w:val="00BC6317"/>
    <w:rsid w:val="00BC7A95"/>
    <w:rsid w:val="00BD0D00"/>
    <w:rsid w:val="00BD10B4"/>
    <w:rsid w:val="00BD3059"/>
    <w:rsid w:val="00BD5B72"/>
    <w:rsid w:val="00BD5D61"/>
    <w:rsid w:val="00BD69A4"/>
    <w:rsid w:val="00BD7211"/>
    <w:rsid w:val="00BD7AE9"/>
    <w:rsid w:val="00BE02D7"/>
    <w:rsid w:val="00BE070D"/>
    <w:rsid w:val="00BE1142"/>
    <w:rsid w:val="00BE1821"/>
    <w:rsid w:val="00BE20BC"/>
    <w:rsid w:val="00BE223B"/>
    <w:rsid w:val="00BE29BB"/>
    <w:rsid w:val="00BE2A3F"/>
    <w:rsid w:val="00BE2B00"/>
    <w:rsid w:val="00BE2E36"/>
    <w:rsid w:val="00BE348A"/>
    <w:rsid w:val="00BE4737"/>
    <w:rsid w:val="00BE4846"/>
    <w:rsid w:val="00BE5488"/>
    <w:rsid w:val="00BE64FE"/>
    <w:rsid w:val="00BE6751"/>
    <w:rsid w:val="00BE6D93"/>
    <w:rsid w:val="00BE7908"/>
    <w:rsid w:val="00BE7F6C"/>
    <w:rsid w:val="00BF0B45"/>
    <w:rsid w:val="00BF13CB"/>
    <w:rsid w:val="00BF1CE0"/>
    <w:rsid w:val="00BF27BA"/>
    <w:rsid w:val="00BF27C9"/>
    <w:rsid w:val="00BF28A8"/>
    <w:rsid w:val="00BF326B"/>
    <w:rsid w:val="00BF3522"/>
    <w:rsid w:val="00BF4421"/>
    <w:rsid w:val="00BF51B2"/>
    <w:rsid w:val="00BF5275"/>
    <w:rsid w:val="00BF59FD"/>
    <w:rsid w:val="00BF677B"/>
    <w:rsid w:val="00BF71E4"/>
    <w:rsid w:val="00BF7BE3"/>
    <w:rsid w:val="00C0032C"/>
    <w:rsid w:val="00C00488"/>
    <w:rsid w:val="00C005FF"/>
    <w:rsid w:val="00C01D19"/>
    <w:rsid w:val="00C01E1F"/>
    <w:rsid w:val="00C02987"/>
    <w:rsid w:val="00C03834"/>
    <w:rsid w:val="00C048D3"/>
    <w:rsid w:val="00C04F55"/>
    <w:rsid w:val="00C06A2D"/>
    <w:rsid w:val="00C07352"/>
    <w:rsid w:val="00C0763E"/>
    <w:rsid w:val="00C07BE2"/>
    <w:rsid w:val="00C11734"/>
    <w:rsid w:val="00C125BE"/>
    <w:rsid w:val="00C12EDD"/>
    <w:rsid w:val="00C13190"/>
    <w:rsid w:val="00C14CD7"/>
    <w:rsid w:val="00C15F8D"/>
    <w:rsid w:val="00C17559"/>
    <w:rsid w:val="00C17959"/>
    <w:rsid w:val="00C20C5E"/>
    <w:rsid w:val="00C21148"/>
    <w:rsid w:val="00C21B6B"/>
    <w:rsid w:val="00C2281D"/>
    <w:rsid w:val="00C23A69"/>
    <w:rsid w:val="00C24388"/>
    <w:rsid w:val="00C25507"/>
    <w:rsid w:val="00C261DB"/>
    <w:rsid w:val="00C26CF7"/>
    <w:rsid w:val="00C272CA"/>
    <w:rsid w:val="00C27827"/>
    <w:rsid w:val="00C302C8"/>
    <w:rsid w:val="00C32B8B"/>
    <w:rsid w:val="00C33A25"/>
    <w:rsid w:val="00C34B9C"/>
    <w:rsid w:val="00C34C23"/>
    <w:rsid w:val="00C35103"/>
    <w:rsid w:val="00C352D3"/>
    <w:rsid w:val="00C35D87"/>
    <w:rsid w:val="00C360A1"/>
    <w:rsid w:val="00C402DB"/>
    <w:rsid w:val="00C4047B"/>
    <w:rsid w:val="00C405A1"/>
    <w:rsid w:val="00C40FA2"/>
    <w:rsid w:val="00C43308"/>
    <w:rsid w:val="00C441A2"/>
    <w:rsid w:val="00C446E8"/>
    <w:rsid w:val="00C45B92"/>
    <w:rsid w:val="00C45DF5"/>
    <w:rsid w:val="00C45EAD"/>
    <w:rsid w:val="00C505CD"/>
    <w:rsid w:val="00C5133A"/>
    <w:rsid w:val="00C51CF9"/>
    <w:rsid w:val="00C52037"/>
    <w:rsid w:val="00C54D23"/>
    <w:rsid w:val="00C55D29"/>
    <w:rsid w:val="00C56731"/>
    <w:rsid w:val="00C568F1"/>
    <w:rsid w:val="00C57230"/>
    <w:rsid w:val="00C62631"/>
    <w:rsid w:val="00C642A6"/>
    <w:rsid w:val="00C653F6"/>
    <w:rsid w:val="00C663D1"/>
    <w:rsid w:val="00C66B06"/>
    <w:rsid w:val="00C67C8D"/>
    <w:rsid w:val="00C70A4E"/>
    <w:rsid w:val="00C70D56"/>
    <w:rsid w:val="00C70DA2"/>
    <w:rsid w:val="00C71333"/>
    <w:rsid w:val="00C714D1"/>
    <w:rsid w:val="00C717CF"/>
    <w:rsid w:val="00C71D03"/>
    <w:rsid w:val="00C720C2"/>
    <w:rsid w:val="00C75555"/>
    <w:rsid w:val="00C76B58"/>
    <w:rsid w:val="00C77022"/>
    <w:rsid w:val="00C7735E"/>
    <w:rsid w:val="00C77D2E"/>
    <w:rsid w:val="00C80588"/>
    <w:rsid w:val="00C80C2C"/>
    <w:rsid w:val="00C8177A"/>
    <w:rsid w:val="00C81A63"/>
    <w:rsid w:val="00C859A5"/>
    <w:rsid w:val="00C85E2B"/>
    <w:rsid w:val="00C8699E"/>
    <w:rsid w:val="00C869CB"/>
    <w:rsid w:val="00C86F49"/>
    <w:rsid w:val="00C87049"/>
    <w:rsid w:val="00C87A8B"/>
    <w:rsid w:val="00C90225"/>
    <w:rsid w:val="00C91C6E"/>
    <w:rsid w:val="00C93035"/>
    <w:rsid w:val="00C930EC"/>
    <w:rsid w:val="00C93390"/>
    <w:rsid w:val="00C93D78"/>
    <w:rsid w:val="00CA0418"/>
    <w:rsid w:val="00CA0A91"/>
    <w:rsid w:val="00CA0BB0"/>
    <w:rsid w:val="00CA0FEA"/>
    <w:rsid w:val="00CA1DD8"/>
    <w:rsid w:val="00CA2659"/>
    <w:rsid w:val="00CA323B"/>
    <w:rsid w:val="00CA3675"/>
    <w:rsid w:val="00CA3A6F"/>
    <w:rsid w:val="00CA40CA"/>
    <w:rsid w:val="00CA43A4"/>
    <w:rsid w:val="00CA63B0"/>
    <w:rsid w:val="00CA6D87"/>
    <w:rsid w:val="00CA7B4F"/>
    <w:rsid w:val="00CA7DE3"/>
    <w:rsid w:val="00CB3D82"/>
    <w:rsid w:val="00CB6550"/>
    <w:rsid w:val="00CB678D"/>
    <w:rsid w:val="00CB7109"/>
    <w:rsid w:val="00CB7206"/>
    <w:rsid w:val="00CB7813"/>
    <w:rsid w:val="00CC1254"/>
    <w:rsid w:val="00CC1834"/>
    <w:rsid w:val="00CC1AA1"/>
    <w:rsid w:val="00CC2DE2"/>
    <w:rsid w:val="00CC35D2"/>
    <w:rsid w:val="00CC3EF6"/>
    <w:rsid w:val="00CC45CD"/>
    <w:rsid w:val="00CC4889"/>
    <w:rsid w:val="00CC4974"/>
    <w:rsid w:val="00CC4CDE"/>
    <w:rsid w:val="00CC5683"/>
    <w:rsid w:val="00CC5F1B"/>
    <w:rsid w:val="00CC7D37"/>
    <w:rsid w:val="00CD0CCE"/>
    <w:rsid w:val="00CD11FC"/>
    <w:rsid w:val="00CD2A77"/>
    <w:rsid w:val="00CD2DF4"/>
    <w:rsid w:val="00CD3399"/>
    <w:rsid w:val="00CD3C65"/>
    <w:rsid w:val="00CD4572"/>
    <w:rsid w:val="00CD464D"/>
    <w:rsid w:val="00CD51DF"/>
    <w:rsid w:val="00CD5558"/>
    <w:rsid w:val="00CD56D6"/>
    <w:rsid w:val="00CD7401"/>
    <w:rsid w:val="00CD7E73"/>
    <w:rsid w:val="00CE002D"/>
    <w:rsid w:val="00CE117E"/>
    <w:rsid w:val="00CE322C"/>
    <w:rsid w:val="00CE3239"/>
    <w:rsid w:val="00CE3283"/>
    <w:rsid w:val="00CE32AC"/>
    <w:rsid w:val="00CE39E2"/>
    <w:rsid w:val="00CE4D3A"/>
    <w:rsid w:val="00CE7678"/>
    <w:rsid w:val="00CE794A"/>
    <w:rsid w:val="00CF008F"/>
    <w:rsid w:val="00CF08FB"/>
    <w:rsid w:val="00CF0C48"/>
    <w:rsid w:val="00CF0ECD"/>
    <w:rsid w:val="00CF1974"/>
    <w:rsid w:val="00CF1B73"/>
    <w:rsid w:val="00CF2430"/>
    <w:rsid w:val="00CF58FC"/>
    <w:rsid w:val="00CF60AA"/>
    <w:rsid w:val="00CF7385"/>
    <w:rsid w:val="00D0027E"/>
    <w:rsid w:val="00D00BC1"/>
    <w:rsid w:val="00D0158A"/>
    <w:rsid w:val="00D0215D"/>
    <w:rsid w:val="00D02736"/>
    <w:rsid w:val="00D05035"/>
    <w:rsid w:val="00D066D8"/>
    <w:rsid w:val="00D07A63"/>
    <w:rsid w:val="00D10110"/>
    <w:rsid w:val="00D11BF6"/>
    <w:rsid w:val="00D1268A"/>
    <w:rsid w:val="00D12995"/>
    <w:rsid w:val="00D149D4"/>
    <w:rsid w:val="00D14E4C"/>
    <w:rsid w:val="00D15098"/>
    <w:rsid w:val="00D168AD"/>
    <w:rsid w:val="00D16F23"/>
    <w:rsid w:val="00D1775C"/>
    <w:rsid w:val="00D207ED"/>
    <w:rsid w:val="00D22409"/>
    <w:rsid w:val="00D22718"/>
    <w:rsid w:val="00D23A75"/>
    <w:rsid w:val="00D24D67"/>
    <w:rsid w:val="00D25179"/>
    <w:rsid w:val="00D261C3"/>
    <w:rsid w:val="00D26C41"/>
    <w:rsid w:val="00D275F4"/>
    <w:rsid w:val="00D27C9B"/>
    <w:rsid w:val="00D3010C"/>
    <w:rsid w:val="00D320D6"/>
    <w:rsid w:val="00D34DE0"/>
    <w:rsid w:val="00D3639F"/>
    <w:rsid w:val="00D37A4C"/>
    <w:rsid w:val="00D40243"/>
    <w:rsid w:val="00D405AC"/>
    <w:rsid w:val="00D41569"/>
    <w:rsid w:val="00D41C2D"/>
    <w:rsid w:val="00D4308A"/>
    <w:rsid w:val="00D43B76"/>
    <w:rsid w:val="00D444E0"/>
    <w:rsid w:val="00D44B39"/>
    <w:rsid w:val="00D44D41"/>
    <w:rsid w:val="00D4548A"/>
    <w:rsid w:val="00D45639"/>
    <w:rsid w:val="00D4579A"/>
    <w:rsid w:val="00D45963"/>
    <w:rsid w:val="00D46406"/>
    <w:rsid w:val="00D464C9"/>
    <w:rsid w:val="00D477D1"/>
    <w:rsid w:val="00D5091E"/>
    <w:rsid w:val="00D51A00"/>
    <w:rsid w:val="00D525BD"/>
    <w:rsid w:val="00D53805"/>
    <w:rsid w:val="00D54FAC"/>
    <w:rsid w:val="00D564BD"/>
    <w:rsid w:val="00D571F6"/>
    <w:rsid w:val="00D578CC"/>
    <w:rsid w:val="00D61153"/>
    <w:rsid w:val="00D6240A"/>
    <w:rsid w:val="00D63652"/>
    <w:rsid w:val="00D64A70"/>
    <w:rsid w:val="00D657C4"/>
    <w:rsid w:val="00D66431"/>
    <w:rsid w:val="00D66957"/>
    <w:rsid w:val="00D67A02"/>
    <w:rsid w:val="00D714C5"/>
    <w:rsid w:val="00D71ABC"/>
    <w:rsid w:val="00D71F27"/>
    <w:rsid w:val="00D7249E"/>
    <w:rsid w:val="00D725E3"/>
    <w:rsid w:val="00D75C91"/>
    <w:rsid w:val="00D76086"/>
    <w:rsid w:val="00D766C2"/>
    <w:rsid w:val="00D76947"/>
    <w:rsid w:val="00D80D62"/>
    <w:rsid w:val="00D80F1C"/>
    <w:rsid w:val="00D840C3"/>
    <w:rsid w:val="00D85D69"/>
    <w:rsid w:val="00D863AC"/>
    <w:rsid w:val="00D863D3"/>
    <w:rsid w:val="00D87E19"/>
    <w:rsid w:val="00D90311"/>
    <w:rsid w:val="00D91F57"/>
    <w:rsid w:val="00D922A6"/>
    <w:rsid w:val="00D92A09"/>
    <w:rsid w:val="00D93A70"/>
    <w:rsid w:val="00D946F8"/>
    <w:rsid w:val="00D94B1B"/>
    <w:rsid w:val="00D95354"/>
    <w:rsid w:val="00D96183"/>
    <w:rsid w:val="00D96B5A"/>
    <w:rsid w:val="00D96F63"/>
    <w:rsid w:val="00D975D3"/>
    <w:rsid w:val="00D97E4A"/>
    <w:rsid w:val="00DA13F9"/>
    <w:rsid w:val="00DA17E9"/>
    <w:rsid w:val="00DA3373"/>
    <w:rsid w:val="00DA47C0"/>
    <w:rsid w:val="00DA4BA3"/>
    <w:rsid w:val="00DA526C"/>
    <w:rsid w:val="00DA53C4"/>
    <w:rsid w:val="00DA6C03"/>
    <w:rsid w:val="00DA7FCC"/>
    <w:rsid w:val="00DB04DC"/>
    <w:rsid w:val="00DB0C8F"/>
    <w:rsid w:val="00DB128F"/>
    <w:rsid w:val="00DB1469"/>
    <w:rsid w:val="00DB20C3"/>
    <w:rsid w:val="00DB303E"/>
    <w:rsid w:val="00DB39CA"/>
    <w:rsid w:val="00DB408E"/>
    <w:rsid w:val="00DB415B"/>
    <w:rsid w:val="00DB4E25"/>
    <w:rsid w:val="00DB62BB"/>
    <w:rsid w:val="00DB78D2"/>
    <w:rsid w:val="00DC081C"/>
    <w:rsid w:val="00DC1CFE"/>
    <w:rsid w:val="00DC219E"/>
    <w:rsid w:val="00DC2B68"/>
    <w:rsid w:val="00DC2CB8"/>
    <w:rsid w:val="00DC3BBC"/>
    <w:rsid w:val="00DC4011"/>
    <w:rsid w:val="00DC69A1"/>
    <w:rsid w:val="00DD056F"/>
    <w:rsid w:val="00DD0908"/>
    <w:rsid w:val="00DD1171"/>
    <w:rsid w:val="00DD1BDD"/>
    <w:rsid w:val="00DD1E1F"/>
    <w:rsid w:val="00DD277E"/>
    <w:rsid w:val="00DD2956"/>
    <w:rsid w:val="00DD2B50"/>
    <w:rsid w:val="00DD3076"/>
    <w:rsid w:val="00DD315D"/>
    <w:rsid w:val="00DD3321"/>
    <w:rsid w:val="00DD364A"/>
    <w:rsid w:val="00DD439B"/>
    <w:rsid w:val="00DD481F"/>
    <w:rsid w:val="00DD56F2"/>
    <w:rsid w:val="00DD57B7"/>
    <w:rsid w:val="00DD5C4A"/>
    <w:rsid w:val="00DD6BAA"/>
    <w:rsid w:val="00DE0920"/>
    <w:rsid w:val="00DE1A4E"/>
    <w:rsid w:val="00DE31DE"/>
    <w:rsid w:val="00DE571E"/>
    <w:rsid w:val="00DE5987"/>
    <w:rsid w:val="00DE73D1"/>
    <w:rsid w:val="00DE7CEE"/>
    <w:rsid w:val="00DF074E"/>
    <w:rsid w:val="00DF0AF1"/>
    <w:rsid w:val="00DF1918"/>
    <w:rsid w:val="00DF2B46"/>
    <w:rsid w:val="00DF37D8"/>
    <w:rsid w:val="00DF3D56"/>
    <w:rsid w:val="00DF491C"/>
    <w:rsid w:val="00DF4B96"/>
    <w:rsid w:val="00DF5D41"/>
    <w:rsid w:val="00E019D4"/>
    <w:rsid w:val="00E02CCF"/>
    <w:rsid w:val="00E04F09"/>
    <w:rsid w:val="00E06623"/>
    <w:rsid w:val="00E066B1"/>
    <w:rsid w:val="00E06E9D"/>
    <w:rsid w:val="00E07F03"/>
    <w:rsid w:val="00E123B4"/>
    <w:rsid w:val="00E133F8"/>
    <w:rsid w:val="00E1474E"/>
    <w:rsid w:val="00E154CF"/>
    <w:rsid w:val="00E1598E"/>
    <w:rsid w:val="00E15C66"/>
    <w:rsid w:val="00E16A40"/>
    <w:rsid w:val="00E170FE"/>
    <w:rsid w:val="00E171C4"/>
    <w:rsid w:val="00E1764E"/>
    <w:rsid w:val="00E17818"/>
    <w:rsid w:val="00E2059B"/>
    <w:rsid w:val="00E208A8"/>
    <w:rsid w:val="00E209A5"/>
    <w:rsid w:val="00E22213"/>
    <w:rsid w:val="00E22E65"/>
    <w:rsid w:val="00E25053"/>
    <w:rsid w:val="00E2551A"/>
    <w:rsid w:val="00E27FE9"/>
    <w:rsid w:val="00E30256"/>
    <w:rsid w:val="00E30391"/>
    <w:rsid w:val="00E31FC0"/>
    <w:rsid w:val="00E32273"/>
    <w:rsid w:val="00E33039"/>
    <w:rsid w:val="00E330A5"/>
    <w:rsid w:val="00E3628A"/>
    <w:rsid w:val="00E363E4"/>
    <w:rsid w:val="00E36EEC"/>
    <w:rsid w:val="00E40524"/>
    <w:rsid w:val="00E432A9"/>
    <w:rsid w:val="00E43879"/>
    <w:rsid w:val="00E44CF6"/>
    <w:rsid w:val="00E457CB"/>
    <w:rsid w:val="00E46CCD"/>
    <w:rsid w:val="00E50C52"/>
    <w:rsid w:val="00E532A0"/>
    <w:rsid w:val="00E5352B"/>
    <w:rsid w:val="00E5483C"/>
    <w:rsid w:val="00E548A3"/>
    <w:rsid w:val="00E5507C"/>
    <w:rsid w:val="00E561AC"/>
    <w:rsid w:val="00E5693B"/>
    <w:rsid w:val="00E578AD"/>
    <w:rsid w:val="00E57DCB"/>
    <w:rsid w:val="00E61A26"/>
    <w:rsid w:val="00E62AD3"/>
    <w:rsid w:val="00E6363C"/>
    <w:rsid w:val="00E636FB"/>
    <w:rsid w:val="00E64D97"/>
    <w:rsid w:val="00E656FC"/>
    <w:rsid w:val="00E66378"/>
    <w:rsid w:val="00E668DB"/>
    <w:rsid w:val="00E67A7D"/>
    <w:rsid w:val="00E70E86"/>
    <w:rsid w:val="00E70EB7"/>
    <w:rsid w:val="00E71BA4"/>
    <w:rsid w:val="00E73A34"/>
    <w:rsid w:val="00E74AC3"/>
    <w:rsid w:val="00E75305"/>
    <w:rsid w:val="00E768DA"/>
    <w:rsid w:val="00E76A39"/>
    <w:rsid w:val="00E76F0E"/>
    <w:rsid w:val="00E77E37"/>
    <w:rsid w:val="00E826A2"/>
    <w:rsid w:val="00E82B8B"/>
    <w:rsid w:val="00E82EDC"/>
    <w:rsid w:val="00E83CA8"/>
    <w:rsid w:val="00E8416F"/>
    <w:rsid w:val="00E844FF"/>
    <w:rsid w:val="00E8462A"/>
    <w:rsid w:val="00E84ADD"/>
    <w:rsid w:val="00E84B06"/>
    <w:rsid w:val="00E868CF"/>
    <w:rsid w:val="00E86BB3"/>
    <w:rsid w:val="00E87D00"/>
    <w:rsid w:val="00E87F04"/>
    <w:rsid w:val="00E91C47"/>
    <w:rsid w:val="00E92997"/>
    <w:rsid w:val="00E934E1"/>
    <w:rsid w:val="00E93B63"/>
    <w:rsid w:val="00E93B8C"/>
    <w:rsid w:val="00E95EB4"/>
    <w:rsid w:val="00E96399"/>
    <w:rsid w:val="00E96FA0"/>
    <w:rsid w:val="00EA0225"/>
    <w:rsid w:val="00EA0F20"/>
    <w:rsid w:val="00EA1B23"/>
    <w:rsid w:val="00EA30B6"/>
    <w:rsid w:val="00EA30C5"/>
    <w:rsid w:val="00EA50AF"/>
    <w:rsid w:val="00EA5522"/>
    <w:rsid w:val="00EA5B59"/>
    <w:rsid w:val="00EA76B5"/>
    <w:rsid w:val="00EA7A24"/>
    <w:rsid w:val="00EB02FA"/>
    <w:rsid w:val="00EB1E39"/>
    <w:rsid w:val="00EB4467"/>
    <w:rsid w:val="00EB49EA"/>
    <w:rsid w:val="00EB50D3"/>
    <w:rsid w:val="00EB5B64"/>
    <w:rsid w:val="00EB68D5"/>
    <w:rsid w:val="00EB7DD4"/>
    <w:rsid w:val="00EB7FEB"/>
    <w:rsid w:val="00EC00BC"/>
    <w:rsid w:val="00EC0DBD"/>
    <w:rsid w:val="00EC0E78"/>
    <w:rsid w:val="00EC119F"/>
    <w:rsid w:val="00EC146E"/>
    <w:rsid w:val="00EC27B7"/>
    <w:rsid w:val="00EC6374"/>
    <w:rsid w:val="00EC66E8"/>
    <w:rsid w:val="00EC6B1D"/>
    <w:rsid w:val="00EC6F2C"/>
    <w:rsid w:val="00ED0159"/>
    <w:rsid w:val="00ED0969"/>
    <w:rsid w:val="00ED2B76"/>
    <w:rsid w:val="00ED3709"/>
    <w:rsid w:val="00ED4A32"/>
    <w:rsid w:val="00ED5197"/>
    <w:rsid w:val="00ED5324"/>
    <w:rsid w:val="00ED5E0D"/>
    <w:rsid w:val="00ED5E89"/>
    <w:rsid w:val="00ED65D0"/>
    <w:rsid w:val="00EE0383"/>
    <w:rsid w:val="00EE38A2"/>
    <w:rsid w:val="00EE4556"/>
    <w:rsid w:val="00EE5E0B"/>
    <w:rsid w:val="00EE6185"/>
    <w:rsid w:val="00EE64EC"/>
    <w:rsid w:val="00EE72B9"/>
    <w:rsid w:val="00EE7695"/>
    <w:rsid w:val="00EF049C"/>
    <w:rsid w:val="00EF13E5"/>
    <w:rsid w:val="00EF1812"/>
    <w:rsid w:val="00EF18B1"/>
    <w:rsid w:val="00EF206A"/>
    <w:rsid w:val="00EF4640"/>
    <w:rsid w:val="00EF564C"/>
    <w:rsid w:val="00EF57ED"/>
    <w:rsid w:val="00EF5812"/>
    <w:rsid w:val="00EF5A60"/>
    <w:rsid w:val="00EF71AC"/>
    <w:rsid w:val="00EF7317"/>
    <w:rsid w:val="00F004F1"/>
    <w:rsid w:val="00F0103D"/>
    <w:rsid w:val="00F0157E"/>
    <w:rsid w:val="00F0232C"/>
    <w:rsid w:val="00F03620"/>
    <w:rsid w:val="00F045AF"/>
    <w:rsid w:val="00F0482E"/>
    <w:rsid w:val="00F04BDE"/>
    <w:rsid w:val="00F05079"/>
    <w:rsid w:val="00F05EFD"/>
    <w:rsid w:val="00F077D9"/>
    <w:rsid w:val="00F07939"/>
    <w:rsid w:val="00F07FE1"/>
    <w:rsid w:val="00F11BF2"/>
    <w:rsid w:val="00F130B8"/>
    <w:rsid w:val="00F13571"/>
    <w:rsid w:val="00F13606"/>
    <w:rsid w:val="00F1364B"/>
    <w:rsid w:val="00F1546E"/>
    <w:rsid w:val="00F16642"/>
    <w:rsid w:val="00F172F9"/>
    <w:rsid w:val="00F17ECF"/>
    <w:rsid w:val="00F20835"/>
    <w:rsid w:val="00F21AE1"/>
    <w:rsid w:val="00F223A5"/>
    <w:rsid w:val="00F229D3"/>
    <w:rsid w:val="00F24C66"/>
    <w:rsid w:val="00F25917"/>
    <w:rsid w:val="00F25D8F"/>
    <w:rsid w:val="00F26BDC"/>
    <w:rsid w:val="00F3080C"/>
    <w:rsid w:val="00F3099B"/>
    <w:rsid w:val="00F31D6E"/>
    <w:rsid w:val="00F31F51"/>
    <w:rsid w:val="00F35665"/>
    <w:rsid w:val="00F360E4"/>
    <w:rsid w:val="00F40843"/>
    <w:rsid w:val="00F4127B"/>
    <w:rsid w:val="00F415AC"/>
    <w:rsid w:val="00F42234"/>
    <w:rsid w:val="00F428FB"/>
    <w:rsid w:val="00F43D76"/>
    <w:rsid w:val="00F43DEC"/>
    <w:rsid w:val="00F43EA8"/>
    <w:rsid w:val="00F45638"/>
    <w:rsid w:val="00F45897"/>
    <w:rsid w:val="00F47278"/>
    <w:rsid w:val="00F505A5"/>
    <w:rsid w:val="00F508DF"/>
    <w:rsid w:val="00F50DD5"/>
    <w:rsid w:val="00F52001"/>
    <w:rsid w:val="00F529F8"/>
    <w:rsid w:val="00F53E9F"/>
    <w:rsid w:val="00F54F34"/>
    <w:rsid w:val="00F568CA"/>
    <w:rsid w:val="00F56C1C"/>
    <w:rsid w:val="00F57454"/>
    <w:rsid w:val="00F60949"/>
    <w:rsid w:val="00F61362"/>
    <w:rsid w:val="00F616A7"/>
    <w:rsid w:val="00F62444"/>
    <w:rsid w:val="00F62F3D"/>
    <w:rsid w:val="00F64587"/>
    <w:rsid w:val="00F64824"/>
    <w:rsid w:val="00F6531E"/>
    <w:rsid w:val="00F667C0"/>
    <w:rsid w:val="00F66A7D"/>
    <w:rsid w:val="00F6773A"/>
    <w:rsid w:val="00F67E95"/>
    <w:rsid w:val="00F72FE1"/>
    <w:rsid w:val="00F73828"/>
    <w:rsid w:val="00F752CD"/>
    <w:rsid w:val="00F75592"/>
    <w:rsid w:val="00F76BBE"/>
    <w:rsid w:val="00F80633"/>
    <w:rsid w:val="00F811B8"/>
    <w:rsid w:val="00F815E8"/>
    <w:rsid w:val="00F81BB5"/>
    <w:rsid w:val="00F81E4A"/>
    <w:rsid w:val="00F82ADB"/>
    <w:rsid w:val="00F84DC5"/>
    <w:rsid w:val="00F860D8"/>
    <w:rsid w:val="00F8631C"/>
    <w:rsid w:val="00F864FF"/>
    <w:rsid w:val="00F87AC5"/>
    <w:rsid w:val="00F90362"/>
    <w:rsid w:val="00F90839"/>
    <w:rsid w:val="00F91060"/>
    <w:rsid w:val="00F91676"/>
    <w:rsid w:val="00F96BD9"/>
    <w:rsid w:val="00F97097"/>
    <w:rsid w:val="00F9714B"/>
    <w:rsid w:val="00F97890"/>
    <w:rsid w:val="00FA0A70"/>
    <w:rsid w:val="00FA0C39"/>
    <w:rsid w:val="00FA0DCE"/>
    <w:rsid w:val="00FA1A32"/>
    <w:rsid w:val="00FA2E35"/>
    <w:rsid w:val="00FA2F29"/>
    <w:rsid w:val="00FA3534"/>
    <w:rsid w:val="00FA48EF"/>
    <w:rsid w:val="00FA4A50"/>
    <w:rsid w:val="00FA4B80"/>
    <w:rsid w:val="00FA6646"/>
    <w:rsid w:val="00FA66D1"/>
    <w:rsid w:val="00FB0AAC"/>
    <w:rsid w:val="00FB265E"/>
    <w:rsid w:val="00FB2DD6"/>
    <w:rsid w:val="00FB2F1F"/>
    <w:rsid w:val="00FB2F7A"/>
    <w:rsid w:val="00FB2FFC"/>
    <w:rsid w:val="00FB4C59"/>
    <w:rsid w:val="00FB4F60"/>
    <w:rsid w:val="00FB6357"/>
    <w:rsid w:val="00FB71EE"/>
    <w:rsid w:val="00FC0FA5"/>
    <w:rsid w:val="00FC25F0"/>
    <w:rsid w:val="00FC2CBA"/>
    <w:rsid w:val="00FC3380"/>
    <w:rsid w:val="00FC3E14"/>
    <w:rsid w:val="00FC3F56"/>
    <w:rsid w:val="00FC43A6"/>
    <w:rsid w:val="00FC4A99"/>
    <w:rsid w:val="00FC5AE4"/>
    <w:rsid w:val="00FC6AE0"/>
    <w:rsid w:val="00FC74D9"/>
    <w:rsid w:val="00FD011D"/>
    <w:rsid w:val="00FD0EB3"/>
    <w:rsid w:val="00FD2075"/>
    <w:rsid w:val="00FD6727"/>
    <w:rsid w:val="00FD70A5"/>
    <w:rsid w:val="00FE0ACE"/>
    <w:rsid w:val="00FE3A1B"/>
    <w:rsid w:val="00FE426D"/>
    <w:rsid w:val="00FE4EF8"/>
    <w:rsid w:val="00FE512A"/>
    <w:rsid w:val="00FE5EC0"/>
    <w:rsid w:val="00FE6903"/>
    <w:rsid w:val="00FE7712"/>
    <w:rsid w:val="00FF100C"/>
    <w:rsid w:val="00FF10D4"/>
    <w:rsid w:val="00FF18C8"/>
    <w:rsid w:val="00FF1A0F"/>
    <w:rsid w:val="00FF24F6"/>
    <w:rsid w:val="00FF2BDF"/>
    <w:rsid w:val="00FF31D3"/>
    <w:rsid w:val="00FF429E"/>
    <w:rsid w:val="00FF4A61"/>
    <w:rsid w:val="00FF5205"/>
    <w:rsid w:val="00FF5722"/>
    <w:rsid w:val="00FF634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header" w:uiPriority="99"/>
    <w:lsdException w:name="footer" w:uiPriority="99"/>
    <w:lsdException w:name="caption" w:qFormat="1"/>
    <w:lsdException w:name="List Bullet 5"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2" w:semiHidden="0" w:unhideWhenUsed="0"/>
    <w:lsdException w:name="Body Text Indent 3" w:semiHidden="0" w:unhideWhenUsed="0"/>
    <w:lsdException w:name="Block Text" w:semiHidden="0" w:unhideWhenUsed="0"/>
    <w:lsdException w:name="Hyperlink" w:semiHidden="0" w:uiPriority="99" w:unhideWhenUsed="0"/>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E4F"/>
    <w:rPr>
      <w:sz w:val="24"/>
      <w:szCs w:val="24"/>
    </w:rPr>
  </w:style>
  <w:style w:type="paragraph" w:styleId="Heading1">
    <w:name w:val="heading 1"/>
    <w:basedOn w:val="Normal"/>
    <w:next w:val="Normal"/>
    <w:link w:val="Heading1Char"/>
    <w:uiPriority w:val="9"/>
    <w:qFormat/>
    <w:rsid w:val="00072772"/>
    <w:pPr>
      <w:keepNext/>
      <w:numPr>
        <w:numId w:val="6"/>
      </w:numPr>
      <w:spacing w:before="120" w:after="120"/>
      <w:outlineLvl w:val="0"/>
    </w:pPr>
    <w:rPr>
      <w:rFonts w:ascii="Helvetica" w:hAnsi="Helvetica"/>
      <w:b/>
      <w:kern w:val="28"/>
      <w:sz w:val="26"/>
      <w:szCs w:val="26"/>
    </w:rPr>
  </w:style>
  <w:style w:type="paragraph" w:styleId="Heading2">
    <w:name w:val="heading 2"/>
    <w:basedOn w:val="Normal"/>
    <w:next w:val="Normal"/>
    <w:link w:val="Heading2Char"/>
    <w:qFormat/>
    <w:rsid w:val="00072772"/>
    <w:pPr>
      <w:keepNext/>
      <w:numPr>
        <w:ilvl w:val="1"/>
        <w:numId w:val="6"/>
      </w:numPr>
      <w:spacing w:before="120" w:after="120"/>
      <w:outlineLvl w:val="1"/>
    </w:pPr>
    <w:rPr>
      <w:rFonts w:ascii="Helvetica" w:hAnsi="Helvetica"/>
      <w:b/>
      <w:sz w:val="26"/>
      <w:szCs w:val="26"/>
    </w:rPr>
  </w:style>
  <w:style w:type="paragraph" w:styleId="Heading3">
    <w:name w:val="heading 3"/>
    <w:basedOn w:val="Normal"/>
    <w:next w:val="Normal"/>
    <w:link w:val="Heading3Char"/>
    <w:qFormat/>
    <w:rsid w:val="00072772"/>
    <w:pPr>
      <w:keepNext/>
      <w:numPr>
        <w:ilvl w:val="2"/>
        <w:numId w:val="6"/>
      </w:numPr>
      <w:tabs>
        <w:tab w:val="left" w:pos="1620"/>
      </w:tabs>
      <w:spacing w:before="120" w:after="120"/>
      <w:outlineLvl w:val="2"/>
    </w:pPr>
    <w:rPr>
      <w:rFonts w:ascii="Helvetica" w:hAnsi="Helvetica"/>
      <w:b/>
      <w:sz w:val="26"/>
      <w:szCs w:val="26"/>
    </w:rPr>
  </w:style>
  <w:style w:type="paragraph" w:styleId="Heading4">
    <w:name w:val="heading 4"/>
    <w:basedOn w:val="Normal"/>
    <w:next w:val="Normal"/>
    <w:link w:val="Heading4Char"/>
    <w:qFormat/>
    <w:rsid w:val="00072772"/>
    <w:pPr>
      <w:keepNext/>
      <w:numPr>
        <w:ilvl w:val="3"/>
        <w:numId w:val="6"/>
      </w:numPr>
      <w:tabs>
        <w:tab w:val="left" w:pos="1800"/>
      </w:tabs>
      <w:spacing w:before="120" w:after="120"/>
      <w:outlineLvl w:val="3"/>
    </w:pPr>
    <w:rPr>
      <w:rFonts w:ascii="Helvetica" w:hAnsi="Helvetica"/>
      <w:b/>
      <w:sz w:val="26"/>
      <w:szCs w:val="26"/>
    </w:rPr>
  </w:style>
  <w:style w:type="paragraph" w:styleId="Heading5">
    <w:name w:val="heading 5"/>
    <w:basedOn w:val="Normal"/>
    <w:next w:val="Normal"/>
    <w:link w:val="Heading5Char"/>
    <w:qFormat/>
    <w:rsid w:val="00072772"/>
    <w:pPr>
      <w:numPr>
        <w:ilvl w:val="4"/>
        <w:numId w:val="6"/>
      </w:numPr>
      <w:tabs>
        <w:tab w:val="left" w:pos="1980"/>
      </w:tabs>
      <w:spacing w:before="120" w:after="120"/>
      <w:ind w:left="1980" w:hanging="1260"/>
      <w:outlineLvl w:val="4"/>
    </w:pPr>
    <w:rPr>
      <w:rFonts w:ascii="Helvetica" w:hAnsi="Helvetica"/>
      <w:b/>
      <w:sz w:val="26"/>
      <w:szCs w:val="26"/>
    </w:rPr>
  </w:style>
  <w:style w:type="paragraph" w:styleId="Heading6">
    <w:name w:val="heading 6"/>
    <w:basedOn w:val="Normal"/>
    <w:next w:val="Normal"/>
    <w:link w:val="Heading6Char"/>
    <w:qFormat/>
    <w:rsid w:val="00072772"/>
    <w:pPr>
      <w:numPr>
        <w:ilvl w:val="5"/>
        <w:numId w:val="6"/>
      </w:numPr>
      <w:tabs>
        <w:tab w:val="left" w:pos="2250"/>
      </w:tabs>
      <w:spacing w:before="120" w:after="120"/>
      <w:ind w:left="2250" w:hanging="1530"/>
      <w:outlineLvl w:val="5"/>
    </w:pPr>
    <w:rPr>
      <w:rFonts w:ascii="Helvetica" w:hAnsi="Helvetica" w:cs="Arial"/>
      <w:b/>
      <w:bCs/>
      <w:sz w:val="26"/>
      <w:szCs w:val="26"/>
    </w:rPr>
  </w:style>
  <w:style w:type="paragraph" w:styleId="Heading7">
    <w:name w:val="heading 7"/>
    <w:basedOn w:val="Normal"/>
    <w:next w:val="Normal"/>
    <w:link w:val="Heading7Char"/>
    <w:qFormat/>
    <w:rsid w:val="00072772"/>
    <w:pPr>
      <w:numPr>
        <w:ilvl w:val="6"/>
        <w:numId w:val="6"/>
      </w:numPr>
      <w:tabs>
        <w:tab w:val="left" w:pos="2520"/>
      </w:tabs>
      <w:spacing w:before="120" w:after="120"/>
      <w:ind w:left="2520" w:hanging="1800"/>
      <w:outlineLvl w:val="6"/>
    </w:pPr>
    <w:rPr>
      <w:rFonts w:ascii="Helvetica" w:hAnsi="Helvetica"/>
      <w:b/>
      <w:sz w:val="26"/>
      <w:szCs w:val="20"/>
    </w:rPr>
  </w:style>
  <w:style w:type="paragraph" w:styleId="Heading9">
    <w:name w:val="heading 9"/>
    <w:basedOn w:val="Normal"/>
    <w:next w:val="Normal"/>
    <w:link w:val="Heading9Char"/>
    <w:autoRedefine/>
    <w:qFormat/>
    <w:rsid w:val="00072772"/>
    <w:pPr>
      <w:numPr>
        <w:ilvl w:val="8"/>
        <w:numId w:val="6"/>
      </w:numPr>
      <w:tabs>
        <w:tab w:val="left" w:pos="2880"/>
      </w:tabs>
      <w:spacing w:before="120" w:after="120"/>
      <w:ind w:left="2880" w:hanging="2160"/>
      <w:outlineLvl w:val="8"/>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1DBD"/>
    <w:pPr>
      <w:tabs>
        <w:tab w:val="center" w:pos="4320"/>
        <w:tab w:val="right" w:pos="8640"/>
      </w:tabs>
    </w:pPr>
  </w:style>
  <w:style w:type="paragraph" w:styleId="Title">
    <w:name w:val="Title"/>
    <w:basedOn w:val="Normal"/>
    <w:qFormat/>
    <w:rsid w:val="003B1DBD"/>
    <w:pPr>
      <w:jc w:val="center"/>
    </w:pPr>
    <w:rPr>
      <w:rFonts w:ascii="Helvetica" w:hAnsi="Helvetica"/>
      <w:b/>
      <w:szCs w:val="20"/>
    </w:rPr>
  </w:style>
  <w:style w:type="paragraph" w:styleId="Footer">
    <w:name w:val="footer"/>
    <w:basedOn w:val="Normal"/>
    <w:link w:val="FooterChar"/>
    <w:uiPriority w:val="99"/>
    <w:rsid w:val="003B1DBD"/>
    <w:pPr>
      <w:tabs>
        <w:tab w:val="center" w:pos="4320"/>
        <w:tab w:val="right" w:pos="8640"/>
      </w:tabs>
    </w:pPr>
  </w:style>
  <w:style w:type="character" w:styleId="PageNumber">
    <w:name w:val="page number"/>
    <w:basedOn w:val="DefaultParagraphFont"/>
    <w:rsid w:val="003B1DBD"/>
  </w:style>
  <w:style w:type="character" w:styleId="Hyperlink">
    <w:name w:val="Hyperlink"/>
    <w:uiPriority w:val="99"/>
    <w:unhideWhenUsed/>
    <w:rsid w:val="00FA2E35"/>
    <w:rPr>
      <w:color w:val="3754D4"/>
      <w:u w:val="single"/>
    </w:rPr>
  </w:style>
  <w:style w:type="paragraph" w:styleId="NormalWeb">
    <w:name w:val="Normal (Web)"/>
    <w:basedOn w:val="Normal"/>
    <w:uiPriority w:val="99"/>
    <w:unhideWhenUsed/>
    <w:rsid w:val="00FA2E35"/>
    <w:pPr>
      <w:spacing w:before="168" w:after="216"/>
    </w:pPr>
  </w:style>
  <w:style w:type="paragraph" w:styleId="BalloonText">
    <w:name w:val="Balloon Text"/>
    <w:basedOn w:val="Normal"/>
    <w:link w:val="BalloonTextChar"/>
    <w:uiPriority w:val="99"/>
    <w:rsid w:val="00E170FE"/>
    <w:rPr>
      <w:rFonts w:ascii="Tahoma" w:hAnsi="Tahoma" w:cs="Tahoma"/>
      <w:sz w:val="16"/>
      <w:szCs w:val="16"/>
    </w:rPr>
  </w:style>
  <w:style w:type="character" w:customStyle="1" w:styleId="BalloonTextChar">
    <w:name w:val="Balloon Text Char"/>
    <w:link w:val="BalloonText"/>
    <w:uiPriority w:val="99"/>
    <w:rsid w:val="00E170FE"/>
    <w:rPr>
      <w:rFonts w:ascii="Tahoma" w:hAnsi="Tahoma" w:cs="Tahoma"/>
      <w:sz w:val="16"/>
      <w:szCs w:val="16"/>
    </w:rPr>
  </w:style>
  <w:style w:type="character" w:styleId="CommentReference">
    <w:name w:val="annotation reference"/>
    <w:rsid w:val="00C7735E"/>
    <w:rPr>
      <w:sz w:val="18"/>
      <w:szCs w:val="18"/>
    </w:rPr>
  </w:style>
  <w:style w:type="paragraph" w:styleId="CommentText">
    <w:name w:val="annotation text"/>
    <w:basedOn w:val="Normal"/>
    <w:link w:val="CommentTextChar"/>
    <w:rsid w:val="00C7735E"/>
  </w:style>
  <w:style w:type="character" w:customStyle="1" w:styleId="CommentTextChar">
    <w:name w:val="Comment Text Char"/>
    <w:link w:val="CommentText"/>
    <w:rsid w:val="00C7735E"/>
    <w:rPr>
      <w:sz w:val="24"/>
      <w:szCs w:val="24"/>
    </w:rPr>
  </w:style>
  <w:style w:type="paragraph" w:styleId="CommentSubject">
    <w:name w:val="annotation subject"/>
    <w:basedOn w:val="CommentText"/>
    <w:next w:val="CommentText"/>
    <w:link w:val="CommentSubjectChar"/>
    <w:rsid w:val="00C7735E"/>
    <w:rPr>
      <w:b/>
      <w:bCs/>
      <w:sz w:val="20"/>
      <w:szCs w:val="20"/>
    </w:rPr>
  </w:style>
  <w:style w:type="character" w:customStyle="1" w:styleId="CommentSubjectChar">
    <w:name w:val="Comment Subject Char"/>
    <w:link w:val="CommentSubject"/>
    <w:rsid w:val="00C7735E"/>
    <w:rPr>
      <w:b/>
      <w:bCs/>
      <w:sz w:val="24"/>
      <w:szCs w:val="24"/>
    </w:rPr>
  </w:style>
  <w:style w:type="paragraph" w:customStyle="1" w:styleId="ColorfulShading-Accent11">
    <w:name w:val="Colorful Shading - Accent 11"/>
    <w:hidden/>
    <w:uiPriority w:val="71"/>
    <w:rsid w:val="00A31926"/>
    <w:rPr>
      <w:sz w:val="24"/>
      <w:szCs w:val="24"/>
    </w:rPr>
  </w:style>
  <w:style w:type="paragraph" w:customStyle="1" w:styleId="Default">
    <w:name w:val="Default"/>
    <w:rsid w:val="00FA0C39"/>
    <w:pPr>
      <w:autoSpaceDE w:val="0"/>
      <w:autoSpaceDN w:val="0"/>
      <w:adjustRightInd w:val="0"/>
    </w:pPr>
    <w:rPr>
      <w:rFonts w:ascii="Garamond" w:hAnsi="Garamond" w:cs="Garamond"/>
      <w:color w:val="000000"/>
      <w:sz w:val="24"/>
      <w:szCs w:val="24"/>
    </w:rPr>
  </w:style>
  <w:style w:type="paragraph" w:styleId="ListParagraph">
    <w:name w:val="List Paragraph"/>
    <w:basedOn w:val="Normal"/>
    <w:uiPriority w:val="34"/>
    <w:qFormat/>
    <w:rsid w:val="00596A04"/>
    <w:pPr>
      <w:ind w:left="720"/>
      <w:contextualSpacing/>
    </w:pPr>
    <w:rPr>
      <w:rFonts w:eastAsia="SimSun"/>
    </w:r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
    <w:basedOn w:val="Normal"/>
    <w:link w:val="FootnoteTextChar"/>
    <w:rsid w:val="00596A04"/>
    <w:rPr>
      <w:sz w:val="20"/>
      <w:szCs w:val="20"/>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rsid w:val="00596A04"/>
  </w:style>
  <w:style w:type="character" w:styleId="FootnoteReference">
    <w:name w:val="footnote reference"/>
    <w:aliases w:val="o"/>
    <w:rsid w:val="00596A04"/>
    <w:rPr>
      <w:vertAlign w:val="superscript"/>
    </w:rPr>
  </w:style>
  <w:style w:type="paragraph" w:styleId="EndnoteText">
    <w:name w:val="endnote text"/>
    <w:basedOn w:val="Normal"/>
    <w:link w:val="EndnoteTextChar"/>
    <w:rsid w:val="003C5B61"/>
    <w:rPr>
      <w:sz w:val="20"/>
      <w:szCs w:val="20"/>
    </w:rPr>
  </w:style>
  <w:style w:type="character" w:customStyle="1" w:styleId="EndnoteTextChar">
    <w:name w:val="Endnote Text Char"/>
    <w:basedOn w:val="DefaultParagraphFont"/>
    <w:link w:val="EndnoteText"/>
    <w:rsid w:val="003C5B61"/>
  </w:style>
  <w:style w:type="character" w:styleId="EndnoteReference">
    <w:name w:val="endnote reference"/>
    <w:rsid w:val="003C5B61"/>
    <w:rPr>
      <w:vertAlign w:val="superscript"/>
    </w:rPr>
  </w:style>
  <w:style w:type="table" w:customStyle="1" w:styleId="Calendar3">
    <w:name w:val="Calendar 3"/>
    <w:basedOn w:val="TableNormal"/>
    <w:uiPriority w:val="99"/>
    <w:qFormat/>
    <w:rsid w:val="00BE7908"/>
    <w:pPr>
      <w:jc w:val="right"/>
    </w:pPr>
    <w:rPr>
      <w:rFonts w:ascii="Cambria" w:eastAsia="MS Mincho" w:hAnsi="Cambria" w:cs="Arial"/>
      <w:color w:val="000000"/>
      <w:sz w:val="22"/>
      <w:szCs w:val="22"/>
      <w:lang w:eastAsia="ja-JP"/>
    </w:rPr>
    <w:tblPr/>
    <w:tblStylePr w:type="firstRow">
      <w:pPr>
        <w:wordWrap/>
        <w:jc w:val="right"/>
      </w:pPr>
      <w:rPr>
        <w:color w:val="4F81BD"/>
        <w:sz w:val="44"/>
      </w:rPr>
    </w:tblStylePr>
    <w:tblStylePr w:type="firstCol">
      <w:rPr>
        <w:color w:val="4F81BD"/>
      </w:rPr>
    </w:tblStylePr>
    <w:tblStylePr w:type="lastCol">
      <w:rPr>
        <w:color w:val="4F81BD"/>
      </w:rPr>
    </w:tblStylePr>
  </w:style>
  <w:style w:type="table" w:styleId="TableGrid">
    <w:name w:val="Table Grid"/>
    <w:basedOn w:val="TableNormal"/>
    <w:rsid w:val="00BE7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rsid w:val="001A3DF0"/>
    <w:pPr>
      <w:spacing w:before="100" w:beforeAutospacing="1" w:after="100" w:afterAutospacing="1"/>
      <w:jc w:val="right"/>
    </w:pPr>
    <w:rPr>
      <w:rFonts w:ascii="Arial Unicode MS" w:eastAsia="Arial Unicode MS" w:hAnsi="Arial Unicode MS" w:cs="Arial Unicode MS"/>
      <w:b/>
      <w:bCs/>
    </w:rPr>
  </w:style>
  <w:style w:type="character" w:customStyle="1" w:styleId="FooterChar">
    <w:name w:val="Footer Char"/>
    <w:basedOn w:val="DefaultParagraphFont"/>
    <w:link w:val="Footer"/>
    <w:uiPriority w:val="99"/>
    <w:rsid w:val="00765334"/>
    <w:rPr>
      <w:sz w:val="24"/>
      <w:szCs w:val="24"/>
    </w:rPr>
  </w:style>
  <w:style w:type="paragraph" w:styleId="Revision">
    <w:name w:val="Revision"/>
    <w:hidden/>
    <w:uiPriority w:val="99"/>
    <w:semiHidden/>
    <w:rsid w:val="009E62D7"/>
    <w:rPr>
      <w:sz w:val="24"/>
      <w:szCs w:val="24"/>
    </w:rPr>
  </w:style>
  <w:style w:type="character" w:customStyle="1" w:styleId="Heading1Char">
    <w:name w:val="Heading 1 Char"/>
    <w:basedOn w:val="DefaultParagraphFont"/>
    <w:link w:val="Heading1"/>
    <w:uiPriority w:val="9"/>
    <w:rsid w:val="00072772"/>
    <w:rPr>
      <w:rFonts w:ascii="Helvetica" w:hAnsi="Helvetica"/>
      <w:b/>
      <w:kern w:val="28"/>
      <w:sz w:val="26"/>
      <w:szCs w:val="26"/>
    </w:rPr>
  </w:style>
  <w:style w:type="character" w:customStyle="1" w:styleId="Heading2Char">
    <w:name w:val="Heading 2 Char"/>
    <w:basedOn w:val="DefaultParagraphFont"/>
    <w:link w:val="Heading2"/>
    <w:rsid w:val="00072772"/>
    <w:rPr>
      <w:rFonts w:ascii="Helvetica" w:hAnsi="Helvetica"/>
      <w:b/>
      <w:sz w:val="26"/>
      <w:szCs w:val="26"/>
    </w:rPr>
  </w:style>
  <w:style w:type="character" w:customStyle="1" w:styleId="Heading3Char">
    <w:name w:val="Heading 3 Char"/>
    <w:basedOn w:val="DefaultParagraphFont"/>
    <w:link w:val="Heading3"/>
    <w:rsid w:val="00072772"/>
    <w:rPr>
      <w:rFonts w:ascii="Helvetica" w:hAnsi="Helvetica"/>
      <w:b/>
      <w:sz w:val="26"/>
      <w:szCs w:val="26"/>
    </w:rPr>
  </w:style>
  <w:style w:type="character" w:customStyle="1" w:styleId="Heading4Char">
    <w:name w:val="Heading 4 Char"/>
    <w:basedOn w:val="DefaultParagraphFont"/>
    <w:link w:val="Heading4"/>
    <w:rsid w:val="00072772"/>
    <w:rPr>
      <w:rFonts w:ascii="Helvetica" w:hAnsi="Helvetica"/>
      <w:b/>
      <w:sz w:val="26"/>
      <w:szCs w:val="26"/>
    </w:rPr>
  </w:style>
  <w:style w:type="character" w:customStyle="1" w:styleId="Heading5Char">
    <w:name w:val="Heading 5 Char"/>
    <w:basedOn w:val="DefaultParagraphFont"/>
    <w:link w:val="Heading5"/>
    <w:rsid w:val="00072772"/>
    <w:rPr>
      <w:rFonts w:ascii="Helvetica" w:hAnsi="Helvetica"/>
      <w:b/>
      <w:sz w:val="26"/>
      <w:szCs w:val="26"/>
    </w:rPr>
  </w:style>
  <w:style w:type="character" w:customStyle="1" w:styleId="Heading6Char">
    <w:name w:val="Heading 6 Char"/>
    <w:basedOn w:val="DefaultParagraphFont"/>
    <w:link w:val="Heading6"/>
    <w:rsid w:val="00072772"/>
    <w:rPr>
      <w:rFonts w:ascii="Helvetica" w:hAnsi="Helvetica" w:cs="Arial"/>
      <w:b/>
      <w:bCs/>
      <w:sz w:val="26"/>
      <w:szCs w:val="26"/>
    </w:rPr>
  </w:style>
  <w:style w:type="character" w:customStyle="1" w:styleId="Heading7Char">
    <w:name w:val="Heading 7 Char"/>
    <w:basedOn w:val="DefaultParagraphFont"/>
    <w:link w:val="Heading7"/>
    <w:rsid w:val="00072772"/>
    <w:rPr>
      <w:rFonts w:ascii="Helvetica" w:hAnsi="Helvetica"/>
      <w:b/>
      <w:sz w:val="26"/>
    </w:rPr>
  </w:style>
  <w:style w:type="character" w:customStyle="1" w:styleId="Heading9Char">
    <w:name w:val="Heading 9 Char"/>
    <w:basedOn w:val="DefaultParagraphFont"/>
    <w:link w:val="Heading9"/>
    <w:rsid w:val="00072772"/>
    <w:rPr>
      <w:rFonts w:ascii="Helvetica" w:hAnsi="Helvetica"/>
      <w:b/>
      <w:sz w:val="26"/>
      <w:szCs w:val="24"/>
    </w:rPr>
  </w:style>
  <w:style w:type="paragraph" w:styleId="BodyText">
    <w:name w:val="Body Text"/>
    <w:basedOn w:val="Normal"/>
    <w:link w:val="BodyTextChar"/>
    <w:rsid w:val="00166590"/>
    <w:pPr>
      <w:tabs>
        <w:tab w:val="left" w:pos="720"/>
      </w:tabs>
      <w:spacing w:after="120"/>
    </w:pPr>
    <w:rPr>
      <w:rFonts w:ascii="Palatino" w:hAnsi="Palatino"/>
      <w:szCs w:val="20"/>
    </w:rPr>
  </w:style>
  <w:style w:type="character" w:customStyle="1" w:styleId="BodyTextChar">
    <w:name w:val="Body Text Char"/>
    <w:basedOn w:val="DefaultParagraphFont"/>
    <w:link w:val="BodyText"/>
    <w:rsid w:val="00166590"/>
    <w:rPr>
      <w:rFonts w:ascii="Palatino" w:hAnsi="Palatino"/>
      <w:sz w:val="24"/>
    </w:rPr>
  </w:style>
  <w:style w:type="paragraph" w:styleId="HTMLPreformatted">
    <w:name w:val="HTML Preformatted"/>
    <w:basedOn w:val="Normal"/>
    <w:link w:val="HTMLPreformattedChar"/>
    <w:rsid w:val="0016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166590"/>
    <w:rPr>
      <w:rFonts w:ascii="Arial Unicode MS" w:eastAsia="Arial Unicode MS" w:hAnsi="Arial Unicode MS" w:cs="Arial Unicode MS"/>
    </w:rPr>
  </w:style>
  <w:style w:type="character" w:customStyle="1" w:styleId="HeaderChar">
    <w:name w:val="Header Char"/>
    <w:link w:val="Header"/>
    <w:uiPriority w:val="99"/>
    <w:rsid w:val="00E84AD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header" w:uiPriority="99"/>
    <w:lsdException w:name="footer" w:uiPriority="99"/>
    <w:lsdException w:name="caption" w:qFormat="1"/>
    <w:lsdException w:name="List Bullet 5"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2" w:semiHidden="0" w:unhideWhenUsed="0"/>
    <w:lsdException w:name="Body Text Indent 3" w:semiHidden="0" w:unhideWhenUsed="0"/>
    <w:lsdException w:name="Block Text" w:semiHidden="0" w:unhideWhenUsed="0"/>
    <w:lsdException w:name="Hyperlink" w:semiHidden="0" w:uiPriority="99" w:unhideWhenUsed="0"/>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E4F"/>
    <w:rPr>
      <w:sz w:val="24"/>
      <w:szCs w:val="24"/>
    </w:rPr>
  </w:style>
  <w:style w:type="paragraph" w:styleId="Heading1">
    <w:name w:val="heading 1"/>
    <w:basedOn w:val="Normal"/>
    <w:next w:val="Normal"/>
    <w:link w:val="Heading1Char"/>
    <w:uiPriority w:val="9"/>
    <w:qFormat/>
    <w:rsid w:val="00072772"/>
    <w:pPr>
      <w:keepNext/>
      <w:numPr>
        <w:numId w:val="6"/>
      </w:numPr>
      <w:spacing w:before="120" w:after="120"/>
      <w:outlineLvl w:val="0"/>
    </w:pPr>
    <w:rPr>
      <w:rFonts w:ascii="Helvetica" w:hAnsi="Helvetica"/>
      <w:b/>
      <w:kern w:val="28"/>
      <w:sz w:val="26"/>
      <w:szCs w:val="26"/>
    </w:rPr>
  </w:style>
  <w:style w:type="paragraph" w:styleId="Heading2">
    <w:name w:val="heading 2"/>
    <w:basedOn w:val="Normal"/>
    <w:next w:val="Normal"/>
    <w:link w:val="Heading2Char"/>
    <w:qFormat/>
    <w:rsid w:val="00072772"/>
    <w:pPr>
      <w:keepNext/>
      <w:numPr>
        <w:ilvl w:val="1"/>
        <w:numId w:val="6"/>
      </w:numPr>
      <w:spacing w:before="120" w:after="120"/>
      <w:outlineLvl w:val="1"/>
    </w:pPr>
    <w:rPr>
      <w:rFonts w:ascii="Helvetica" w:hAnsi="Helvetica"/>
      <w:b/>
      <w:sz w:val="26"/>
      <w:szCs w:val="26"/>
    </w:rPr>
  </w:style>
  <w:style w:type="paragraph" w:styleId="Heading3">
    <w:name w:val="heading 3"/>
    <w:basedOn w:val="Normal"/>
    <w:next w:val="Normal"/>
    <w:link w:val="Heading3Char"/>
    <w:qFormat/>
    <w:rsid w:val="00072772"/>
    <w:pPr>
      <w:keepNext/>
      <w:numPr>
        <w:ilvl w:val="2"/>
        <w:numId w:val="6"/>
      </w:numPr>
      <w:tabs>
        <w:tab w:val="left" w:pos="1620"/>
      </w:tabs>
      <w:spacing w:before="120" w:after="120"/>
      <w:outlineLvl w:val="2"/>
    </w:pPr>
    <w:rPr>
      <w:rFonts w:ascii="Helvetica" w:hAnsi="Helvetica"/>
      <w:b/>
      <w:sz w:val="26"/>
      <w:szCs w:val="26"/>
    </w:rPr>
  </w:style>
  <w:style w:type="paragraph" w:styleId="Heading4">
    <w:name w:val="heading 4"/>
    <w:basedOn w:val="Normal"/>
    <w:next w:val="Normal"/>
    <w:link w:val="Heading4Char"/>
    <w:qFormat/>
    <w:rsid w:val="00072772"/>
    <w:pPr>
      <w:keepNext/>
      <w:numPr>
        <w:ilvl w:val="3"/>
        <w:numId w:val="6"/>
      </w:numPr>
      <w:tabs>
        <w:tab w:val="left" w:pos="1800"/>
      </w:tabs>
      <w:spacing w:before="120" w:after="120"/>
      <w:outlineLvl w:val="3"/>
    </w:pPr>
    <w:rPr>
      <w:rFonts w:ascii="Helvetica" w:hAnsi="Helvetica"/>
      <w:b/>
      <w:sz w:val="26"/>
      <w:szCs w:val="26"/>
    </w:rPr>
  </w:style>
  <w:style w:type="paragraph" w:styleId="Heading5">
    <w:name w:val="heading 5"/>
    <w:basedOn w:val="Normal"/>
    <w:next w:val="Normal"/>
    <w:link w:val="Heading5Char"/>
    <w:qFormat/>
    <w:rsid w:val="00072772"/>
    <w:pPr>
      <w:numPr>
        <w:ilvl w:val="4"/>
        <w:numId w:val="6"/>
      </w:numPr>
      <w:tabs>
        <w:tab w:val="left" w:pos="1980"/>
      </w:tabs>
      <w:spacing w:before="120" w:after="120"/>
      <w:ind w:left="1980" w:hanging="1260"/>
      <w:outlineLvl w:val="4"/>
    </w:pPr>
    <w:rPr>
      <w:rFonts w:ascii="Helvetica" w:hAnsi="Helvetica"/>
      <w:b/>
      <w:sz w:val="26"/>
      <w:szCs w:val="26"/>
    </w:rPr>
  </w:style>
  <w:style w:type="paragraph" w:styleId="Heading6">
    <w:name w:val="heading 6"/>
    <w:basedOn w:val="Normal"/>
    <w:next w:val="Normal"/>
    <w:link w:val="Heading6Char"/>
    <w:qFormat/>
    <w:rsid w:val="00072772"/>
    <w:pPr>
      <w:numPr>
        <w:ilvl w:val="5"/>
        <w:numId w:val="6"/>
      </w:numPr>
      <w:tabs>
        <w:tab w:val="left" w:pos="2250"/>
      </w:tabs>
      <w:spacing w:before="120" w:after="120"/>
      <w:ind w:left="2250" w:hanging="1530"/>
      <w:outlineLvl w:val="5"/>
    </w:pPr>
    <w:rPr>
      <w:rFonts w:ascii="Helvetica" w:hAnsi="Helvetica" w:cs="Arial"/>
      <w:b/>
      <w:bCs/>
      <w:sz w:val="26"/>
      <w:szCs w:val="26"/>
    </w:rPr>
  </w:style>
  <w:style w:type="paragraph" w:styleId="Heading7">
    <w:name w:val="heading 7"/>
    <w:basedOn w:val="Normal"/>
    <w:next w:val="Normal"/>
    <w:link w:val="Heading7Char"/>
    <w:qFormat/>
    <w:rsid w:val="00072772"/>
    <w:pPr>
      <w:numPr>
        <w:ilvl w:val="6"/>
        <w:numId w:val="6"/>
      </w:numPr>
      <w:tabs>
        <w:tab w:val="left" w:pos="2520"/>
      </w:tabs>
      <w:spacing w:before="120" w:after="120"/>
      <w:ind w:left="2520" w:hanging="1800"/>
      <w:outlineLvl w:val="6"/>
    </w:pPr>
    <w:rPr>
      <w:rFonts w:ascii="Helvetica" w:hAnsi="Helvetica"/>
      <w:b/>
      <w:sz w:val="26"/>
      <w:szCs w:val="20"/>
    </w:rPr>
  </w:style>
  <w:style w:type="paragraph" w:styleId="Heading9">
    <w:name w:val="heading 9"/>
    <w:basedOn w:val="Normal"/>
    <w:next w:val="Normal"/>
    <w:link w:val="Heading9Char"/>
    <w:autoRedefine/>
    <w:qFormat/>
    <w:rsid w:val="00072772"/>
    <w:pPr>
      <w:numPr>
        <w:ilvl w:val="8"/>
        <w:numId w:val="6"/>
      </w:numPr>
      <w:tabs>
        <w:tab w:val="left" w:pos="2880"/>
      </w:tabs>
      <w:spacing w:before="120" w:after="120"/>
      <w:ind w:left="2880" w:hanging="2160"/>
      <w:outlineLvl w:val="8"/>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1DBD"/>
    <w:pPr>
      <w:tabs>
        <w:tab w:val="center" w:pos="4320"/>
        <w:tab w:val="right" w:pos="8640"/>
      </w:tabs>
    </w:pPr>
  </w:style>
  <w:style w:type="paragraph" w:styleId="Title">
    <w:name w:val="Title"/>
    <w:basedOn w:val="Normal"/>
    <w:qFormat/>
    <w:rsid w:val="003B1DBD"/>
    <w:pPr>
      <w:jc w:val="center"/>
    </w:pPr>
    <w:rPr>
      <w:rFonts w:ascii="Helvetica" w:hAnsi="Helvetica"/>
      <w:b/>
      <w:szCs w:val="20"/>
    </w:rPr>
  </w:style>
  <w:style w:type="paragraph" w:styleId="Footer">
    <w:name w:val="footer"/>
    <w:basedOn w:val="Normal"/>
    <w:link w:val="FooterChar"/>
    <w:uiPriority w:val="99"/>
    <w:rsid w:val="003B1DBD"/>
    <w:pPr>
      <w:tabs>
        <w:tab w:val="center" w:pos="4320"/>
        <w:tab w:val="right" w:pos="8640"/>
      </w:tabs>
    </w:pPr>
  </w:style>
  <w:style w:type="character" w:styleId="PageNumber">
    <w:name w:val="page number"/>
    <w:basedOn w:val="DefaultParagraphFont"/>
    <w:rsid w:val="003B1DBD"/>
  </w:style>
  <w:style w:type="character" w:styleId="Hyperlink">
    <w:name w:val="Hyperlink"/>
    <w:uiPriority w:val="99"/>
    <w:unhideWhenUsed/>
    <w:rsid w:val="00FA2E35"/>
    <w:rPr>
      <w:color w:val="3754D4"/>
      <w:u w:val="single"/>
    </w:rPr>
  </w:style>
  <w:style w:type="paragraph" w:styleId="NormalWeb">
    <w:name w:val="Normal (Web)"/>
    <w:basedOn w:val="Normal"/>
    <w:uiPriority w:val="99"/>
    <w:unhideWhenUsed/>
    <w:rsid w:val="00FA2E35"/>
    <w:pPr>
      <w:spacing w:before="168" w:after="216"/>
    </w:pPr>
  </w:style>
  <w:style w:type="paragraph" w:styleId="BalloonText">
    <w:name w:val="Balloon Text"/>
    <w:basedOn w:val="Normal"/>
    <w:link w:val="BalloonTextChar"/>
    <w:uiPriority w:val="99"/>
    <w:rsid w:val="00E170FE"/>
    <w:rPr>
      <w:rFonts w:ascii="Tahoma" w:hAnsi="Tahoma" w:cs="Tahoma"/>
      <w:sz w:val="16"/>
      <w:szCs w:val="16"/>
    </w:rPr>
  </w:style>
  <w:style w:type="character" w:customStyle="1" w:styleId="BalloonTextChar">
    <w:name w:val="Balloon Text Char"/>
    <w:link w:val="BalloonText"/>
    <w:uiPriority w:val="99"/>
    <w:rsid w:val="00E170FE"/>
    <w:rPr>
      <w:rFonts w:ascii="Tahoma" w:hAnsi="Tahoma" w:cs="Tahoma"/>
      <w:sz w:val="16"/>
      <w:szCs w:val="16"/>
    </w:rPr>
  </w:style>
  <w:style w:type="character" w:styleId="CommentReference">
    <w:name w:val="annotation reference"/>
    <w:rsid w:val="00C7735E"/>
    <w:rPr>
      <w:sz w:val="18"/>
      <w:szCs w:val="18"/>
    </w:rPr>
  </w:style>
  <w:style w:type="paragraph" w:styleId="CommentText">
    <w:name w:val="annotation text"/>
    <w:basedOn w:val="Normal"/>
    <w:link w:val="CommentTextChar"/>
    <w:rsid w:val="00C7735E"/>
  </w:style>
  <w:style w:type="character" w:customStyle="1" w:styleId="CommentTextChar">
    <w:name w:val="Comment Text Char"/>
    <w:link w:val="CommentText"/>
    <w:rsid w:val="00C7735E"/>
    <w:rPr>
      <w:sz w:val="24"/>
      <w:szCs w:val="24"/>
    </w:rPr>
  </w:style>
  <w:style w:type="paragraph" w:styleId="CommentSubject">
    <w:name w:val="annotation subject"/>
    <w:basedOn w:val="CommentText"/>
    <w:next w:val="CommentText"/>
    <w:link w:val="CommentSubjectChar"/>
    <w:rsid w:val="00C7735E"/>
    <w:rPr>
      <w:b/>
      <w:bCs/>
      <w:sz w:val="20"/>
      <w:szCs w:val="20"/>
    </w:rPr>
  </w:style>
  <w:style w:type="character" w:customStyle="1" w:styleId="CommentSubjectChar">
    <w:name w:val="Comment Subject Char"/>
    <w:link w:val="CommentSubject"/>
    <w:rsid w:val="00C7735E"/>
    <w:rPr>
      <w:b/>
      <w:bCs/>
      <w:sz w:val="24"/>
      <w:szCs w:val="24"/>
    </w:rPr>
  </w:style>
  <w:style w:type="paragraph" w:customStyle="1" w:styleId="ColorfulShading-Accent11">
    <w:name w:val="Colorful Shading - Accent 11"/>
    <w:hidden/>
    <w:uiPriority w:val="71"/>
    <w:rsid w:val="00A31926"/>
    <w:rPr>
      <w:sz w:val="24"/>
      <w:szCs w:val="24"/>
    </w:rPr>
  </w:style>
  <w:style w:type="paragraph" w:customStyle="1" w:styleId="Default">
    <w:name w:val="Default"/>
    <w:rsid w:val="00FA0C39"/>
    <w:pPr>
      <w:autoSpaceDE w:val="0"/>
      <w:autoSpaceDN w:val="0"/>
      <w:adjustRightInd w:val="0"/>
    </w:pPr>
    <w:rPr>
      <w:rFonts w:ascii="Garamond" w:hAnsi="Garamond" w:cs="Garamond"/>
      <w:color w:val="000000"/>
      <w:sz w:val="24"/>
      <w:szCs w:val="24"/>
    </w:rPr>
  </w:style>
  <w:style w:type="paragraph" w:styleId="ListParagraph">
    <w:name w:val="List Paragraph"/>
    <w:basedOn w:val="Normal"/>
    <w:uiPriority w:val="34"/>
    <w:qFormat/>
    <w:rsid w:val="00596A04"/>
    <w:pPr>
      <w:ind w:left="720"/>
      <w:contextualSpacing/>
    </w:pPr>
    <w:rPr>
      <w:rFonts w:eastAsia="SimSun"/>
    </w:r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
    <w:basedOn w:val="Normal"/>
    <w:link w:val="FootnoteTextChar"/>
    <w:rsid w:val="00596A04"/>
    <w:rPr>
      <w:sz w:val="20"/>
      <w:szCs w:val="20"/>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rsid w:val="00596A04"/>
  </w:style>
  <w:style w:type="character" w:styleId="FootnoteReference">
    <w:name w:val="footnote reference"/>
    <w:aliases w:val="o"/>
    <w:rsid w:val="00596A04"/>
    <w:rPr>
      <w:vertAlign w:val="superscript"/>
    </w:rPr>
  </w:style>
  <w:style w:type="paragraph" w:styleId="EndnoteText">
    <w:name w:val="endnote text"/>
    <w:basedOn w:val="Normal"/>
    <w:link w:val="EndnoteTextChar"/>
    <w:rsid w:val="003C5B61"/>
    <w:rPr>
      <w:sz w:val="20"/>
      <w:szCs w:val="20"/>
    </w:rPr>
  </w:style>
  <w:style w:type="character" w:customStyle="1" w:styleId="EndnoteTextChar">
    <w:name w:val="Endnote Text Char"/>
    <w:basedOn w:val="DefaultParagraphFont"/>
    <w:link w:val="EndnoteText"/>
    <w:rsid w:val="003C5B61"/>
  </w:style>
  <w:style w:type="character" w:styleId="EndnoteReference">
    <w:name w:val="endnote reference"/>
    <w:rsid w:val="003C5B61"/>
    <w:rPr>
      <w:vertAlign w:val="superscript"/>
    </w:rPr>
  </w:style>
  <w:style w:type="table" w:customStyle="1" w:styleId="Calendar3">
    <w:name w:val="Calendar 3"/>
    <w:basedOn w:val="TableNormal"/>
    <w:uiPriority w:val="99"/>
    <w:qFormat/>
    <w:rsid w:val="00BE7908"/>
    <w:pPr>
      <w:jc w:val="right"/>
    </w:pPr>
    <w:rPr>
      <w:rFonts w:ascii="Cambria" w:eastAsia="MS Mincho" w:hAnsi="Cambria" w:cs="Arial"/>
      <w:color w:val="000000"/>
      <w:sz w:val="22"/>
      <w:szCs w:val="22"/>
      <w:lang w:eastAsia="ja-JP"/>
    </w:rPr>
    <w:tblPr/>
    <w:tblStylePr w:type="firstRow">
      <w:pPr>
        <w:wordWrap/>
        <w:jc w:val="right"/>
      </w:pPr>
      <w:rPr>
        <w:color w:val="4F81BD"/>
        <w:sz w:val="44"/>
      </w:rPr>
    </w:tblStylePr>
    <w:tblStylePr w:type="firstCol">
      <w:rPr>
        <w:color w:val="4F81BD"/>
      </w:rPr>
    </w:tblStylePr>
    <w:tblStylePr w:type="lastCol">
      <w:rPr>
        <w:color w:val="4F81BD"/>
      </w:rPr>
    </w:tblStylePr>
  </w:style>
  <w:style w:type="table" w:styleId="TableGrid">
    <w:name w:val="Table Grid"/>
    <w:basedOn w:val="TableNormal"/>
    <w:rsid w:val="00BE7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rsid w:val="001A3DF0"/>
    <w:pPr>
      <w:spacing w:before="100" w:beforeAutospacing="1" w:after="100" w:afterAutospacing="1"/>
      <w:jc w:val="right"/>
    </w:pPr>
    <w:rPr>
      <w:rFonts w:ascii="Arial Unicode MS" w:eastAsia="Arial Unicode MS" w:hAnsi="Arial Unicode MS" w:cs="Arial Unicode MS"/>
      <w:b/>
      <w:bCs/>
    </w:rPr>
  </w:style>
  <w:style w:type="character" w:customStyle="1" w:styleId="FooterChar">
    <w:name w:val="Footer Char"/>
    <w:basedOn w:val="DefaultParagraphFont"/>
    <w:link w:val="Footer"/>
    <w:uiPriority w:val="99"/>
    <w:rsid w:val="00765334"/>
    <w:rPr>
      <w:sz w:val="24"/>
      <w:szCs w:val="24"/>
    </w:rPr>
  </w:style>
  <w:style w:type="paragraph" w:styleId="Revision">
    <w:name w:val="Revision"/>
    <w:hidden/>
    <w:uiPriority w:val="99"/>
    <w:semiHidden/>
    <w:rsid w:val="009E62D7"/>
    <w:rPr>
      <w:sz w:val="24"/>
      <w:szCs w:val="24"/>
    </w:rPr>
  </w:style>
  <w:style w:type="character" w:customStyle="1" w:styleId="Heading1Char">
    <w:name w:val="Heading 1 Char"/>
    <w:basedOn w:val="DefaultParagraphFont"/>
    <w:link w:val="Heading1"/>
    <w:uiPriority w:val="9"/>
    <w:rsid w:val="00072772"/>
    <w:rPr>
      <w:rFonts w:ascii="Helvetica" w:hAnsi="Helvetica"/>
      <w:b/>
      <w:kern w:val="28"/>
      <w:sz w:val="26"/>
      <w:szCs w:val="26"/>
    </w:rPr>
  </w:style>
  <w:style w:type="character" w:customStyle="1" w:styleId="Heading2Char">
    <w:name w:val="Heading 2 Char"/>
    <w:basedOn w:val="DefaultParagraphFont"/>
    <w:link w:val="Heading2"/>
    <w:rsid w:val="00072772"/>
    <w:rPr>
      <w:rFonts w:ascii="Helvetica" w:hAnsi="Helvetica"/>
      <w:b/>
      <w:sz w:val="26"/>
      <w:szCs w:val="26"/>
    </w:rPr>
  </w:style>
  <w:style w:type="character" w:customStyle="1" w:styleId="Heading3Char">
    <w:name w:val="Heading 3 Char"/>
    <w:basedOn w:val="DefaultParagraphFont"/>
    <w:link w:val="Heading3"/>
    <w:rsid w:val="00072772"/>
    <w:rPr>
      <w:rFonts w:ascii="Helvetica" w:hAnsi="Helvetica"/>
      <w:b/>
      <w:sz w:val="26"/>
      <w:szCs w:val="26"/>
    </w:rPr>
  </w:style>
  <w:style w:type="character" w:customStyle="1" w:styleId="Heading4Char">
    <w:name w:val="Heading 4 Char"/>
    <w:basedOn w:val="DefaultParagraphFont"/>
    <w:link w:val="Heading4"/>
    <w:rsid w:val="00072772"/>
    <w:rPr>
      <w:rFonts w:ascii="Helvetica" w:hAnsi="Helvetica"/>
      <w:b/>
      <w:sz w:val="26"/>
      <w:szCs w:val="26"/>
    </w:rPr>
  </w:style>
  <w:style w:type="character" w:customStyle="1" w:styleId="Heading5Char">
    <w:name w:val="Heading 5 Char"/>
    <w:basedOn w:val="DefaultParagraphFont"/>
    <w:link w:val="Heading5"/>
    <w:rsid w:val="00072772"/>
    <w:rPr>
      <w:rFonts w:ascii="Helvetica" w:hAnsi="Helvetica"/>
      <w:b/>
      <w:sz w:val="26"/>
      <w:szCs w:val="26"/>
    </w:rPr>
  </w:style>
  <w:style w:type="character" w:customStyle="1" w:styleId="Heading6Char">
    <w:name w:val="Heading 6 Char"/>
    <w:basedOn w:val="DefaultParagraphFont"/>
    <w:link w:val="Heading6"/>
    <w:rsid w:val="00072772"/>
    <w:rPr>
      <w:rFonts w:ascii="Helvetica" w:hAnsi="Helvetica" w:cs="Arial"/>
      <w:b/>
      <w:bCs/>
      <w:sz w:val="26"/>
      <w:szCs w:val="26"/>
    </w:rPr>
  </w:style>
  <w:style w:type="character" w:customStyle="1" w:styleId="Heading7Char">
    <w:name w:val="Heading 7 Char"/>
    <w:basedOn w:val="DefaultParagraphFont"/>
    <w:link w:val="Heading7"/>
    <w:rsid w:val="00072772"/>
    <w:rPr>
      <w:rFonts w:ascii="Helvetica" w:hAnsi="Helvetica"/>
      <w:b/>
      <w:sz w:val="26"/>
    </w:rPr>
  </w:style>
  <w:style w:type="character" w:customStyle="1" w:styleId="Heading9Char">
    <w:name w:val="Heading 9 Char"/>
    <w:basedOn w:val="DefaultParagraphFont"/>
    <w:link w:val="Heading9"/>
    <w:rsid w:val="00072772"/>
    <w:rPr>
      <w:rFonts w:ascii="Helvetica" w:hAnsi="Helvetica"/>
      <w:b/>
      <w:sz w:val="26"/>
      <w:szCs w:val="24"/>
    </w:rPr>
  </w:style>
  <w:style w:type="paragraph" w:styleId="BodyText">
    <w:name w:val="Body Text"/>
    <w:basedOn w:val="Normal"/>
    <w:link w:val="BodyTextChar"/>
    <w:rsid w:val="00166590"/>
    <w:pPr>
      <w:tabs>
        <w:tab w:val="left" w:pos="720"/>
      </w:tabs>
      <w:spacing w:after="120"/>
    </w:pPr>
    <w:rPr>
      <w:rFonts w:ascii="Palatino" w:hAnsi="Palatino"/>
      <w:szCs w:val="20"/>
    </w:rPr>
  </w:style>
  <w:style w:type="character" w:customStyle="1" w:styleId="BodyTextChar">
    <w:name w:val="Body Text Char"/>
    <w:basedOn w:val="DefaultParagraphFont"/>
    <w:link w:val="BodyText"/>
    <w:rsid w:val="00166590"/>
    <w:rPr>
      <w:rFonts w:ascii="Palatino" w:hAnsi="Palatino"/>
      <w:sz w:val="24"/>
    </w:rPr>
  </w:style>
  <w:style w:type="paragraph" w:styleId="HTMLPreformatted">
    <w:name w:val="HTML Preformatted"/>
    <w:basedOn w:val="Normal"/>
    <w:link w:val="HTMLPreformattedChar"/>
    <w:rsid w:val="0016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166590"/>
    <w:rPr>
      <w:rFonts w:ascii="Arial Unicode MS" w:eastAsia="Arial Unicode MS" w:hAnsi="Arial Unicode MS" w:cs="Arial Unicode MS"/>
    </w:rPr>
  </w:style>
  <w:style w:type="character" w:customStyle="1" w:styleId="HeaderChar">
    <w:name w:val="Header Char"/>
    <w:link w:val="Header"/>
    <w:uiPriority w:val="99"/>
    <w:rsid w:val="00E84AD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0431">
      <w:bodyDiv w:val="1"/>
      <w:marLeft w:val="0"/>
      <w:marRight w:val="0"/>
      <w:marTop w:val="0"/>
      <w:marBottom w:val="0"/>
      <w:divBdr>
        <w:top w:val="none" w:sz="0" w:space="0" w:color="auto"/>
        <w:left w:val="none" w:sz="0" w:space="0" w:color="auto"/>
        <w:bottom w:val="none" w:sz="0" w:space="0" w:color="auto"/>
        <w:right w:val="none" w:sz="0" w:space="0" w:color="auto"/>
      </w:divBdr>
    </w:div>
    <w:div w:id="226503439">
      <w:bodyDiv w:val="1"/>
      <w:marLeft w:val="0"/>
      <w:marRight w:val="0"/>
      <w:marTop w:val="0"/>
      <w:marBottom w:val="0"/>
      <w:divBdr>
        <w:top w:val="none" w:sz="0" w:space="0" w:color="auto"/>
        <w:left w:val="none" w:sz="0" w:space="0" w:color="auto"/>
        <w:bottom w:val="none" w:sz="0" w:space="0" w:color="auto"/>
        <w:right w:val="none" w:sz="0" w:space="0" w:color="auto"/>
      </w:divBdr>
    </w:div>
    <w:div w:id="404383024">
      <w:bodyDiv w:val="1"/>
      <w:marLeft w:val="0"/>
      <w:marRight w:val="0"/>
      <w:marTop w:val="0"/>
      <w:marBottom w:val="0"/>
      <w:divBdr>
        <w:top w:val="none" w:sz="0" w:space="0" w:color="auto"/>
        <w:left w:val="none" w:sz="0" w:space="0" w:color="auto"/>
        <w:bottom w:val="none" w:sz="0" w:space="0" w:color="auto"/>
        <w:right w:val="none" w:sz="0" w:space="0" w:color="auto"/>
      </w:divBdr>
    </w:div>
    <w:div w:id="428547192">
      <w:bodyDiv w:val="1"/>
      <w:marLeft w:val="0"/>
      <w:marRight w:val="0"/>
      <w:marTop w:val="0"/>
      <w:marBottom w:val="0"/>
      <w:divBdr>
        <w:top w:val="none" w:sz="0" w:space="0" w:color="auto"/>
        <w:left w:val="none" w:sz="0" w:space="0" w:color="auto"/>
        <w:bottom w:val="none" w:sz="0" w:space="0" w:color="auto"/>
        <w:right w:val="none" w:sz="0" w:space="0" w:color="auto"/>
      </w:divBdr>
    </w:div>
    <w:div w:id="631445691">
      <w:bodyDiv w:val="1"/>
      <w:marLeft w:val="0"/>
      <w:marRight w:val="0"/>
      <w:marTop w:val="0"/>
      <w:marBottom w:val="0"/>
      <w:divBdr>
        <w:top w:val="none" w:sz="0" w:space="0" w:color="auto"/>
        <w:left w:val="none" w:sz="0" w:space="0" w:color="auto"/>
        <w:bottom w:val="none" w:sz="0" w:space="0" w:color="auto"/>
        <w:right w:val="none" w:sz="0" w:space="0" w:color="auto"/>
      </w:divBdr>
      <w:divsChild>
        <w:div w:id="1635401183">
          <w:marLeft w:val="2985"/>
          <w:marRight w:val="0"/>
          <w:marTop w:val="0"/>
          <w:marBottom w:val="0"/>
          <w:divBdr>
            <w:top w:val="none" w:sz="0" w:space="0" w:color="auto"/>
            <w:left w:val="none" w:sz="0" w:space="0" w:color="auto"/>
            <w:bottom w:val="none" w:sz="0" w:space="0" w:color="auto"/>
            <w:right w:val="none" w:sz="0" w:space="0" w:color="auto"/>
          </w:divBdr>
          <w:divsChild>
            <w:div w:id="1356079172">
              <w:marLeft w:val="0"/>
              <w:marRight w:val="0"/>
              <w:marTop w:val="0"/>
              <w:marBottom w:val="0"/>
              <w:divBdr>
                <w:top w:val="none" w:sz="0" w:space="0" w:color="auto"/>
                <w:left w:val="none" w:sz="0" w:space="0" w:color="auto"/>
                <w:bottom w:val="none" w:sz="0" w:space="0" w:color="auto"/>
                <w:right w:val="none" w:sz="0" w:space="0" w:color="auto"/>
              </w:divBdr>
              <w:divsChild>
                <w:div w:id="154818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9634">
      <w:bodyDiv w:val="1"/>
      <w:marLeft w:val="0"/>
      <w:marRight w:val="0"/>
      <w:marTop w:val="0"/>
      <w:marBottom w:val="0"/>
      <w:divBdr>
        <w:top w:val="none" w:sz="0" w:space="0" w:color="auto"/>
        <w:left w:val="none" w:sz="0" w:space="0" w:color="auto"/>
        <w:bottom w:val="none" w:sz="0" w:space="0" w:color="auto"/>
        <w:right w:val="none" w:sz="0" w:space="0" w:color="auto"/>
      </w:divBdr>
    </w:div>
    <w:div w:id="1048072957">
      <w:bodyDiv w:val="1"/>
      <w:marLeft w:val="0"/>
      <w:marRight w:val="0"/>
      <w:marTop w:val="0"/>
      <w:marBottom w:val="0"/>
      <w:divBdr>
        <w:top w:val="none" w:sz="0" w:space="0" w:color="auto"/>
        <w:left w:val="none" w:sz="0" w:space="0" w:color="auto"/>
        <w:bottom w:val="none" w:sz="0" w:space="0" w:color="auto"/>
        <w:right w:val="none" w:sz="0" w:space="0" w:color="auto"/>
      </w:divBdr>
    </w:div>
    <w:div w:id="1112820070">
      <w:bodyDiv w:val="1"/>
      <w:marLeft w:val="0"/>
      <w:marRight w:val="0"/>
      <w:marTop w:val="0"/>
      <w:marBottom w:val="0"/>
      <w:divBdr>
        <w:top w:val="none" w:sz="0" w:space="0" w:color="auto"/>
        <w:left w:val="none" w:sz="0" w:space="0" w:color="auto"/>
        <w:bottom w:val="none" w:sz="0" w:space="0" w:color="auto"/>
        <w:right w:val="none" w:sz="0" w:space="0" w:color="auto"/>
      </w:divBdr>
    </w:div>
    <w:div w:id="1143081389">
      <w:bodyDiv w:val="1"/>
      <w:marLeft w:val="0"/>
      <w:marRight w:val="0"/>
      <w:marTop w:val="0"/>
      <w:marBottom w:val="0"/>
      <w:divBdr>
        <w:top w:val="none" w:sz="0" w:space="0" w:color="auto"/>
        <w:left w:val="none" w:sz="0" w:space="0" w:color="auto"/>
        <w:bottom w:val="none" w:sz="0" w:space="0" w:color="auto"/>
        <w:right w:val="none" w:sz="0" w:space="0" w:color="auto"/>
      </w:divBdr>
    </w:div>
    <w:div w:id="1200816998">
      <w:bodyDiv w:val="1"/>
      <w:marLeft w:val="0"/>
      <w:marRight w:val="0"/>
      <w:marTop w:val="0"/>
      <w:marBottom w:val="0"/>
      <w:divBdr>
        <w:top w:val="none" w:sz="0" w:space="0" w:color="auto"/>
        <w:left w:val="none" w:sz="0" w:space="0" w:color="auto"/>
        <w:bottom w:val="none" w:sz="0" w:space="0" w:color="auto"/>
        <w:right w:val="none" w:sz="0" w:space="0" w:color="auto"/>
      </w:divBdr>
    </w:div>
    <w:div w:id="1263298313">
      <w:bodyDiv w:val="1"/>
      <w:marLeft w:val="0"/>
      <w:marRight w:val="0"/>
      <w:marTop w:val="0"/>
      <w:marBottom w:val="0"/>
      <w:divBdr>
        <w:top w:val="none" w:sz="0" w:space="0" w:color="auto"/>
        <w:left w:val="none" w:sz="0" w:space="0" w:color="auto"/>
        <w:bottom w:val="none" w:sz="0" w:space="0" w:color="auto"/>
        <w:right w:val="none" w:sz="0" w:space="0" w:color="auto"/>
      </w:divBdr>
    </w:div>
    <w:div w:id="1305551202">
      <w:bodyDiv w:val="1"/>
      <w:marLeft w:val="0"/>
      <w:marRight w:val="0"/>
      <w:marTop w:val="0"/>
      <w:marBottom w:val="0"/>
      <w:divBdr>
        <w:top w:val="none" w:sz="0" w:space="0" w:color="auto"/>
        <w:left w:val="none" w:sz="0" w:space="0" w:color="auto"/>
        <w:bottom w:val="none" w:sz="0" w:space="0" w:color="auto"/>
        <w:right w:val="none" w:sz="0" w:space="0" w:color="auto"/>
      </w:divBdr>
    </w:div>
    <w:div w:id="1368141522">
      <w:bodyDiv w:val="1"/>
      <w:marLeft w:val="0"/>
      <w:marRight w:val="0"/>
      <w:marTop w:val="0"/>
      <w:marBottom w:val="0"/>
      <w:divBdr>
        <w:top w:val="none" w:sz="0" w:space="0" w:color="auto"/>
        <w:left w:val="none" w:sz="0" w:space="0" w:color="auto"/>
        <w:bottom w:val="none" w:sz="0" w:space="0" w:color="auto"/>
        <w:right w:val="none" w:sz="0" w:space="0" w:color="auto"/>
      </w:divBdr>
    </w:div>
    <w:div w:id="1679769477">
      <w:bodyDiv w:val="1"/>
      <w:marLeft w:val="0"/>
      <w:marRight w:val="0"/>
      <w:marTop w:val="0"/>
      <w:marBottom w:val="0"/>
      <w:divBdr>
        <w:top w:val="none" w:sz="0" w:space="0" w:color="auto"/>
        <w:left w:val="none" w:sz="0" w:space="0" w:color="auto"/>
        <w:bottom w:val="none" w:sz="0" w:space="0" w:color="auto"/>
        <w:right w:val="none" w:sz="0" w:space="0" w:color="auto"/>
      </w:divBdr>
    </w:div>
    <w:div w:id="1702122646">
      <w:bodyDiv w:val="1"/>
      <w:marLeft w:val="0"/>
      <w:marRight w:val="0"/>
      <w:marTop w:val="0"/>
      <w:marBottom w:val="0"/>
      <w:divBdr>
        <w:top w:val="none" w:sz="0" w:space="0" w:color="auto"/>
        <w:left w:val="none" w:sz="0" w:space="0" w:color="auto"/>
        <w:bottom w:val="none" w:sz="0" w:space="0" w:color="auto"/>
        <w:right w:val="none" w:sz="0" w:space="0" w:color="auto"/>
      </w:divBdr>
    </w:div>
    <w:div w:id="1785878675">
      <w:bodyDiv w:val="1"/>
      <w:marLeft w:val="0"/>
      <w:marRight w:val="0"/>
      <w:marTop w:val="0"/>
      <w:marBottom w:val="0"/>
      <w:divBdr>
        <w:top w:val="none" w:sz="0" w:space="0" w:color="auto"/>
        <w:left w:val="none" w:sz="0" w:space="0" w:color="auto"/>
        <w:bottom w:val="none" w:sz="0" w:space="0" w:color="auto"/>
        <w:right w:val="none" w:sz="0" w:space="0" w:color="auto"/>
      </w:divBdr>
    </w:div>
    <w:div w:id="1812018442">
      <w:bodyDiv w:val="1"/>
      <w:marLeft w:val="0"/>
      <w:marRight w:val="0"/>
      <w:marTop w:val="0"/>
      <w:marBottom w:val="0"/>
      <w:divBdr>
        <w:top w:val="none" w:sz="0" w:space="0" w:color="auto"/>
        <w:left w:val="none" w:sz="0" w:space="0" w:color="auto"/>
        <w:bottom w:val="none" w:sz="0" w:space="0" w:color="auto"/>
        <w:right w:val="none" w:sz="0" w:space="0" w:color="auto"/>
      </w:divBdr>
    </w:div>
    <w:div w:id="1877546583">
      <w:bodyDiv w:val="1"/>
      <w:marLeft w:val="0"/>
      <w:marRight w:val="0"/>
      <w:marTop w:val="0"/>
      <w:marBottom w:val="0"/>
      <w:divBdr>
        <w:top w:val="none" w:sz="0" w:space="0" w:color="auto"/>
        <w:left w:val="none" w:sz="0" w:space="0" w:color="auto"/>
        <w:bottom w:val="none" w:sz="0" w:space="0" w:color="auto"/>
        <w:right w:val="none" w:sz="0" w:space="0" w:color="auto"/>
      </w:divBdr>
    </w:div>
    <w:div w:id="1915235999">
      <w:bodyDiv w:val="1"/>
      <w:marLeft w:val="0"/>
      <w:marRight w:val="0"/>
      <w:marTop w:val="0"/>
      <w:marBottom w:val="0"/>
      <w:divBdr>
        <w:top w:val="none" w:sz="0" w:space="0" w:color="auto"/>
        <w:left w:val="none" w:sz="0" w:space="0" w:color="auto"/>
        <w:bottom w:val="none" w:sz="0" w:space="0" w:color="auto"/>
        <w:right w:val="none" w:sz="0" w:space="0" w:color="auto"/>
      </w:divBdr>
    </w:div>
    <w:div w:id="1967858067">
      <w:bodyDiv w:val="1"/>
      <w:marLeft w:val="0"/>
      <w:marRight w:val="0"/>
      <w:marTop w:val="0"/>
      <w:marBottom w:val="0"/>
      <w:divBdr>
        <w:top w:val="none" w:sz="0" w:space="0" w:color="auto"/>
        <w:left w:val="none" w:sz="0" w:space="0" w:color="auto"/>
        <w:bottom w:val="none" w:sz="0" w:space="0" w:color="auto"/>
        <w:right w:val="none" w:sz="0" w:space="0" w:color="auto"/>
      </w:divBdr>
    </w:div>
    <w:div w:id="1994017211">
      <w:bodyDiv w:val="1"/>
      <w:marLeft w:val="0"/>
      <w:marRight w:val="0"/>
      <w:marTop w:val="0"/>
      <w:marBottom w:val="0"/>
      <w:divBdr>
        <w:top w:val="none" w:sz="0" w:space="0" w:color="auto"/>
        <w:left w:val="none" w:sz="0" w:space="0" w:color="auto"/>
        <w:bottom w:val="none" w:sz="0" w:space="0" w:color="auto"/>
        <w:right w:val="none" w:sz="0" w:space="0" w:color="auto"/>
      </w:divBdr>
    </w:div>
    <w:div w:id="2051952180">
      <w:bodyDiv w:val="1"/>
      <w:marLeft w:val="0"/>
      <w:marRight w:val="0"/>
      <w:marTop w:val="0"/>
      <w:marBottom w:val="0"/>
      <w:divBdr>
        <w:top w:val="none" w:sz="0" w:space="0" w:color="auto"/>
        <w:left w:val="none" w:sz="0" w:space="0" w:color="auto"/>
        <w:bottom w:val="none" w:sz="0" w:space="0" w:color="auto"/>
        <w:right w:val="none" w:sz="0" w:space="0" w:color="auto"/>
      </w:divBdr>
    </w:div>
    <w:div w:id="2076390815">
      <w:bodyDiv w:val="1"/>
      <w:marLeft w:val="0"/>
      <w:marRight w:val="0"/>
      <w:marTop w:val="0"/>
      <w:marBottom w:val="0"/>
      <w:divBdr>
        <w:top w:val="none" w:sz="0" w:space="0" w:color="auto"/>
        <w:left w:val="none" w:sz="0" w:space="0" w:color="auto"/>
        <w:bottom w:val="none" w:sz="0" w:space="0" w:color="auto"/>
        <w:right w:val="none" w:sz="0" w:space="0" w:color="auto"/>
      </w:divBdr>
    </w:div>
    <w:div w:id="207874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hyperlink" Target="http://www.cpuc.ca.gov/"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docs.cpuc.ca.gov/PUBLISHED/FINAL_DECISION/138087.htm" TargetMode="External"/><Relationship Id="rId14" Type="http://schemas.openxmlformats.org/officeDocument/2006/relationships/header" Target="header1.xml"/><Relationship Id="rId22"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www.cpuc.ca.gov/General.aspx?id=9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624FF-B761-4A04-8321-EDB422727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6959</Words>
  <Characters>39671</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ResolutionTemplate(Comment)</vt:lpstr>
    </vt:vector>
  </TitlesOfParts>
  <Company>Microsoft</Company>
  <LinksUpToDate>false</LinksUpToDate>
  <CharactersWithSpaces>46537</CharactersWithSpaces>
  <SharedDoc>false</SharedDoc>
  <HLinks>
    <vt:vector size="6" baseType="variant">
      <vt:variant>
        <vt:i4>6488161</vt:i4>
      </vt:variant>
      <vt:variant>
        <vt:i4>0</vt:i4>
      </vt:variant>
      <vt:variant>
        <vt:i4>0</vt:i4>
      </vt:variant>
      <vt:variant>
        <vt:i4>5</vt:i4>
      </vt:variant>
      <vt:variant>
        <vt:lpwstr>http://www.cpuc.ca.gov/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ResolutionTemplate(Comment)</dc:title>
  <dc:subject>&amp;lt;p&amp;gt;    PUBLIC UTILITIES COMMISSION OF THE STATE OF CALIFORNIA          Communications Division RESOLUTION T-XXXXX            RESOLUTION T-17292      (Branch Name) Month XX, 20XX            September 23, 2010        (spell out Comm Mtg. date)       R E S O L U T I O N       RESOLUTION T-XXXXX ______________________________&amp;lt;/p&amp;gt;</dc:subject>
  <dc:creator>Rebecca Turner</dc:creator>
  <dc:description>&amp;lt;p&amp;gt;    PUBLIC UTILITIES COMMISSION OF THE STATE OF CALIFORNIA          Communications Division RESOLUTION T-XXXXX            RESOLUTION T-17292      (Branch Name) Month XX, 20XX            September 23, 2010        (spell out Comm Mtg. date)       R E S O L U T I O N       RESOLUTION T-XXXXX ______________________________&amp;lt;/p&amp;gt;</dc:description>
  <cp:lastModifiedBy>Cheim, Taylor G.</cp:lastModifiedBy>
  <cp:revision>4</cp:revision>
  <cp:lastPrinted>2016-07-11T23:58:00Z</cp:lastPrinted>
  <dcterms:created xsi:type="dcterms:W3CDTF">2016-07-19T19:03:00Z</dcterms:created>
  <dcterms:modified xsi:type="dcterms:W3CDTF">2016-07-19T20:34:00Z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DownloadAsset.aspx?id=2175</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&amp;lt;p&amp;gt;    PUBLIC UTILITIES COMMISSION OF THE STATE OF CALIFORNIA          Communications Division RESOLUTION T-XXXXX            RESOLUTION T-17292      (Branch Name) Month XX, 20XX            September 23, 2010        (spell out Comm Mtg. date)       R</vt:lpwstr>
  </property>
  <property fmtid="{D5CDD505-2E9C-101B-9397-08002B2CF9AE}" pid="8" name="EktExpiryType">
    <vt:i4>1</vt:i4>
  </property>
  <property fmtid="{D5CDD505-2E9C-101B-9397-08002B2CF9AE}" pid="9" name="EktDateCreated">
    <vt:filetime>2012-05-07T19:19:32Z</vt:filetime>
  </property>
  <property fmtid="{D5CDD505-2E9C-101B-9397-08002B2CF9AE}" pid="10" name="EktDateModified">
    <vt:filetime>2012-05-07T19:19:32Z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35328</vt:i4>
  </property>
  <property fmtid="{D5CDD505-2E9C-101B-9397-08002B2CF9AE}" pid="14" name="EktSearchable">
    <vt:i4>1</vt:i4>
  </property>
  <property fmtid="{D5CDD505-2E9C-101B-9397-08002B2CF9AE}" pid="15" name="EktEDescription">
    <vt:lpwstr>Summary &amp;lt;p&amp;gt;    PUBLIC UTILITIES COMMISSION OF THE STATE OF CALIFORNIA          Communications Division RESOLUTION T-XXXXX            RESOLUTION T-17292      (Branch Name) Month XX, 20XX            September 23, 2010        (spell out Comm Mtg. date)</vt:lpwstr>
  </property>
  <property fmtid="{D5CDD505-2E9C-101B-9397-08002B2CF9AE}" pid="16" name="MAIL_MSG_ID1">
    <vt:lpwstr>oFAAspTNh41gn7AQSfg2w3KtbAodNK71ti4N0rh1SPkZiZmG6WgNfyYGiebaitubDp00FHD2LrbQBTTg
6kZix1AsCphFHtZrFEzpxmZspaUPJObnnH4LGJDDLlbxR6DOaRGcaZxWregMEmrg6kZix1AsCphF
HtZrFEzpxmZspaUPJObnnH4LGJDDLlbxR6DOaRGcKCO6KwRpM8LoRsJW+Q5kR7llMiarv72dHvoV
DDuRfUwzQ8x+aa0q9</vt:lpwstr>
  </property>
  <property fmtid="{D5CDD505-2E9C-101B-9397-08002B2CF9AE}" pid="17" name="MAIL_MSG_ID2">
    <vt:lpwstr>kFUIJofuNu779/2z+Yf/ZsprXuJptMfZI+oQkaPm6xQSIuOxRU2TaoXUqK0
Is3MoWjmnn3aDrBrO/XIAtHjczgDf7uuaEe8k906pHx/1TR3</vt:lpwstr>
  </property>
  <property fmtid="{D5CDD505-2E9C-101B-9397-08002B2CF9AE}" pid="18" name="RESPONSE_SENDER_NAME">
    <vt:lpwstr>sAAAE34RQVAK31nXFrLpif/QQeAf5hRNrASUkvBP710qtUc=</vt:lpwstr>
  </property>
  <property fmtid="{D5CDD505-2E9C-101B-9397-08002B2CF9AE}" pid="19" name="EMAIL_OWNER_ADDRESS">
    <vt:lpwstr>4AAA6DouqOs9baFpKSbrNlbIL0cOoKe5JMOydTMAOhVuEwTzmQ0kj3q9zw==</vt:lpwstr>
  </property>
</Properties>
</file>