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97392" w14:textId="77777777" w:rsidR="00CF17DE" w:rsidRDefault="00CF17DE">
      <w:pPr>
        <w:pStyle w:val="titlebar"/>
        <w:rPr>
          <w:sz w:val="24"/>
        </w:rPr>
      </w:pPr>
      <w:r>
        <w:rPr>
          <w:sz w:val="24"/>
        </w:rPr>
        <w:t>PUBLIC UTILITIES COMMISSION OF THE STATE OF CALIFORNIA</w:t>
      </w:r>
    </w:p>
    <w:p w14:paraId="26438B79" w14:textId="6D66125D" w:rsidR="00CF17DE" w:rsidRPr="006E70C4" w:rsidRDefault="006E70C4">
      <w:pPr>
        <w:suppressAutoHyphens/>
        <w:rPr>
          <w:b/>
        </w:rPr>
      </w:pPr>
      <w:r>
        <w:tab/>
      </w:r>
      <w:r>
        <w:tab/>
      </w:r>
      <w:r>
        <w:tab/>
      </w:r>
      <w:r>
        <w:tab/>
      </w:r>
      <w:r>
        <w:tab/>
      </w:r>
      <w:r>
        <w:tab/>
      </w:r>
      <w:r>
        <w:tab/>
      </w:r>
      <w:r>
        <w:tab/>
      </w:r>
      <w:r>
        <w:tab/>
      </w:r>
      <w:r w:rsidR="00A27FA1">
        <w:t xml:space="preserve">      </w:t>
      </w:r>
      <w:bookmarkStart w:id="0" w:name="_GoBack"/>
      <w:bookmarkEnd w:id="0"/>
      <w:r w:rsidRPr="006E70C4">
        <w:rPr>
          <w:b/>
        </w:rPr>
        <w:t>Agenda ID</w:t>
      </w:r>
      <w:r>
        <w:rPr>
          <w:b/>
        </w:rPr>
        <w:t xml:space="preserve"> </w:t>
      </w:r>
      <w:r w:rsidR="00A27FA1">
        <w:rPr>
          <w:b/>
        </w:rPr>
        <w:t>15062</w:t>
      </w:r>
    </w:p>
    <w:p w14:paraId="084A55DC" w14:textId="77777777" w:rsidR="00CF17DE" w:rsidRDefault="00593807" w:rsidP="00330E61">
      <w:pPr>
        <w:ind w:firstLine="720"/>
        <w:rPr>
          <w:b/>
          <w:sz w:val="24"/>
        </w:rPr>
      </w:pPr>
      <w:r>
        <w:rPr>
          <w:b/>
          <w:sz w:val="24"/>
        </w:rPr>
        <w:t>ENERGY DIVISION</w:t>
      </w:r>
      <w:r>
        <w:rPr>
          <w:b/>
          <w:sz w:val="24"/>
        </w:rPr>
        <w:tab/>
      </w:r>
      <w:r>
        <w:rPr>
          <w:b/>
          <w:sz w:val="24"/>
        </w:rPr>
        <w:tab/>
      </w:r>
      <w:r>
        <w:rPr>
          <w:b/>
          <w:sz w:val="24"/>
        </w:rPr>
        <w:tab/>
      </w:r>
      <w:r>
        <w:rPr>
          <w:b/>
          <w:sz w:val="24"/>
        </w:rPr>
        <w:tab/>
      </w:r>
      <w:r>
        <w:rPr>
          <w:b/>
          <w:sz w:val="24"/>
        </w:rPr>
        <w:tab/>
      </w:r>
      <w:r w:rsidR="00CF17DE">
        <w:rPr>
          <w:b/>
          <w:sz w:val="24"/>
        </w:rPr>
        <w:t xml:space="preserve">RESOLUTION </w:t>
      </w:r>
      <w:r w:rsidR="008B7397">
        <w:rPr>
          <w:b/>
          <w:sz w:val="24"/>
        </w:rPr>
        <w:t>G-3498</w:t>
      </w:r>
    </w:p>
    <w:p w14:paraId="26CC958A" w14:textId="59D31EDA" w:rsidR="00CF17DE" w:rsidRDefault="00CF17DE" w:rsidP="00330E61">
      <w:pPr>
        <w:tabs>
          <w:tab w:val="right" w:pos="8910"/>
        </w:tabs>
        <w:ind w:left="1440" w:firstLine="720"/>
        <w:rPr>
          <w:b/>
          <w:sz w:val="24"/>
        </w:rPr>
      </w:pPr>
      <w:r>
        <w:rPr>
          <w:b/>
          <w:sz w:val="24"/>
        </w:rPr>
        <w:tab/>
      </w:r>
      <w:r w:rsidR="00330E61">
        <w:rPr>
          <w:b/>
          <w:sz w:val="24"/>
        </w:rPr>
        <w:t>September 15, 2016</w:t>
      </w:r>
    </w:p>
    <w:p w14:paraId="1191A6F4" w14:textId="77777777" w:rsidR="00CF17DE" w:rsidRDefault="00CF17DE">
      <w:pPr>
        <w:tabs>
          <w:tab w:val="right" w:pos="8910"/>
        </w:tabs>
        <w:ind w:left="1440" w:firstLine="720"/>
        <w:rPr>
          <w:b/>
          <w:sz w:val="24"/>
        </w:rPr>
      </w:pPr>
    </w:p>
    <w:p w14:paraId="4A8740CF" w14:textId="77777777" w:rsidR="000C4595" w:rsidRDefault="000C4595">
      <w:pPr>
        <w:pStyle w:val="mainex"/>
        <w:rPr>
          <w:u w:val="single"/>
        </w:rPr>
      </w:pPr>
      <w:bookmarkStart w:id="1" w:name="_Ref404993683"/>
    </w:p>
    <w:p w14:paraId="1BBE8DA0" w14:textId="77777777" w:rsidR="00CF17DE" w:rsidRDefault="00CF17DE">
      <w:pPr>
        <w:pStyle w:val="mainex"/>
        <w:rPr>
          <w:u w:val="single"/>
        </w:rPr>
      </w:pPr>
      <w:r>
        <w:rPr>
          <w:u w:val="single"/>
        </w:rPr>
        <w:t>RESOLUTION</w:t>
      </w:r>
    </w:p>
    <w:p w14:paraId="784BE254" w14:textId="77777777" w:rsidR="00CF17DE" w:rsidRDefault="00CF17DE"/>
    <w:p w14:paraId="53E4BA18" w14:textId="6F0978A3" w:rsidR="008B7397" w:rsidRPr="00C22C58" w:rsidRDefault="008B7397" w:rsidP="004939EE">
      <w:pPr>
        <w:pStyle w:val="Res-Caption"/>
        <w:tabs>
          <w:tab w:val="left" w:pos="7200"/>
        </w:tabs>
      </w:pPr>
      <w:proofErr w:type="gramStart"/>
      <w:r>
        <w:t>Resolution G-3498.</w:t>
      </w:r>
      <w:proofErr w:type="gramEnd"/>
      <w:r>
        <w:t xml:space="preserve"> </w:t>
      </w:r>
      <w:r w:rsidR="006E70C4">
        <w:t xml:space="preserve"> </w:t>
      </w:r>
      <w:r w:rsidRPr="00C22C58">
        <w:t>Pacific Gas and Electric Company (PG&amp;E)</w:t>
      </w:r>
      <w:r w:rsidR="00332528">
        <w:t>,</w:t>
      </w:r>
      <w:r w:rsidRPr="00C22C58">
        <w:t xml:space="preserve"> </w:t>
      </w:r>
      <w:r w:rsidR="00CA2940" w:rsidRPr="00C22C58">
        <w:t>Southern California Edison</w:t>
      </w:r>
      <w:r w:rsidR="00A405A2">
        <w:t xml:space="preserve"> Company</w:t>
      </w:r>
      <w:r w:rsidR="00CA2940" w:rsidRPr="00C22C58">
        <w:t xml:space="preserve"> (SCE)</w:t>
      </w:r>
      <w:r w:rsidR="00332528">
        <w:t xml:space="preserve">, and </w:t>
      </w:r>
      <w:r w:rsidR="00EC5600" w:rsidRPr="00EC5600">
        <w:t xml:space="preserve">Southern California Gas Company </w:t>
      </w:r>
      <w:r w:rsidR="00EC5600">
        <w:t>(</w:t>
      </w:r>
      <w:r w:rsidR="00332528">
        <w:t>SoCalGas</w:t>
      </w:r>
      <w:r w:rsidR="00EC5600">
        <w:t>)</w:t>
      </w:r>
      <w:r w:rsidR="00332528">
        <w:t xml:space="preserve"> </w:t>
      </w:r>
      <w:r w:rsidRPr="00C22C58">
        <w:t xml:space="preserve">request approval of agreements with </w:t>
      </w:r>
      <w:r w:rsidR="00A405A2">
        <w:t xml:space="preserve">the </w:t>
      </w:r>
      <w:r w:rsidRPr="00C22C58">
        <w:t>California High-Speed Rail Authority (CHSRA) for utility facility relocation work</w:t>
      </w:r>
      <w:r w:rsidR="00A405A2">
        <w:t xml:space="preserve"> </w:t>
      </w:r>
      <w:r w:rsidR="00A405A2" w:rsidRPr="00A405A2">
        <w:t>along the rail corridor right-of-way</w:t>
      </w:r>
      <w:r w:rsidRPr="00C22C58">
        <w:t>.</w:t>
      </w:r>
    </w:p>
    <w:p w14:paraId="08C410ED" w14:textId="77777777" w:rsidR="00801D70" w:rsidRPr="00C22C58" w:rsidRDefault="00801D70">
      <w:pPr>
        <w:pStyle w:val="Res-Caption"/>
      </w:pPr>
    </w:p>
    <w:p w14:paraId="64C9FE48" w14:textId="1E4F704A" w:rsidR="00801D70" w:rsidRPr="00C22C58" w:rsidRDefault="00801D70">
      <w:pPr>
        <w:pStyle w:val="Res-Caption"/>
        <w:rPr>
          <w:rFonts w:ascii="Palatino Linotype" w:hAnsi="Palatino Linotype"/>
        </w:rPr>
      </w:pPr>
      <w:r w:rsidRPr="00C22C58">
        <w:t>PROPOSED OUTCOME</w:t>
      </w:r>
      <w:r w:rsidRPr="00C22C58">
        <w:rPr>
          <w:rFonts w:ascii="Palatino Linotype" w:hAnsi="Palatino Linotype"/>
        </w:rPr>
        <w:t>:</w:t>
      </w:r>
      <w:r w:rsidR="00142FB8" w:rsidRPr="00C22C58">
        <w:rPr>
          <w:rFonts w:ascii="Palatino Linotype" w:hAnsi="Palatino Linotype"/>
        </w:rPr>
        <w:t xml:space="preserve"> </w:t>
      </w:r>
    </w:p>
    <w:p w14:paraId="15BB3469" w14:textId="52B52ABB" w:rsidR="00F62DC9" w:rsidRDefault="008041DF" w:rsidP="008041DF">
      <w:pPr>
        <w:pStyle w:val="ListParagraph"/>
        <w:numPr>
          <w:ilvl w:val="0"/>
          <w:numId w:val="7"/>
        </w:numPr>
        <w:rPr>
          <w:rFonts w:ascii="Palatino Linotype" w:hAnsi="Palatino Linotype"/>
        </w:rPr>
      </w:pPr>
      <w:r>
        <w:rPr>
          <w:rFonts w:ascii="Palatino Linotype" w:hAnsi="Palatino Linotype"/>
        </w:rPr>
        <w:t>Approves the</w:t>
      </w:r>
      <w:r w:rsidR="00A97442">
        <w:rPr>
          <w:rFonts w:ascii="Palatino Linotype" w:hAnsi="Palatino Linotype"/>
        </w:rPr>
        <w:t xml:space="preserve"> Tier 3 </w:t>
      </w:r>
      <w:r w:rsidR="00CF3E67">
        <w:rPr>
          <w:rFonts w:ascii="Palatino Linotype" w:hAnsi="Palatino Linotype"/>
        </w:rPr>
        <w:t>advice l</w:t>
      </w:r>
      <w:r>
        <w:rPr>
          <w:rFonts w:ascii="Palatino Linotype" w:hAnsi="Palatino Linotype"/>
        </w:rPr>
        <w:t xml:space="preserve">etters filed by PG&amp;E, SCE, and </w:t>
      </w:r>
      <w:proofErr w:type="spellStart"/>
      <w:r>
        <w:rPr>
          <w:rFonts w:ascii="Palatino Linotype" w:hAnsi="Palatino Linotype"/>
        </w:rPr>
        <w:t>SoCalGas</w:t>
      </w:r>
      <w:proofErr w:type="spellEnd"/>
      <w:r>
        <w:rPr>
          <w:rFonts w:ascii="Palatino Linotype" w:hAnsi="Palatino Linotype"/>
        </w:rPr>
        <w:t xml:space="preserve">, which include </w:t>
      </w:r>
      <w:r w:rsidRPr="00F62DC9" w:rsidDel="00AC2078">
        <w:rPr>
          <w:rFonts w:ascii="Palatino Linotype" w:hAnsi="Palatino Linotype"/>
          <w:i/>
        </w:rPr>
        <w:t>Master Agreements</w:t>
      </w:r>
      <w:r w:rsidDel="00AC2078">
        <w:rPr>
          <w:rFonts w:ascii="Palatino Linotype" w:hAnsi="Palatino Linotype"/>
        </w:rPr>
        <w:t xml:space="preserve"> specifying rights and responsibilities for utility relocation work</w:t>
      </w:r>
      <w:r w:rsidRPr="00C22C58" w:rsidDel="00AC2078">
        <w:rPr>
          <w:rFonts w:ascii="Palatino Linotype" w:hAnsi="Palatino Linotype"/>
        </w:rPr>
        <w:t xml:space="preserve"> for </w:t>
      </w:r>
      <w:r w:rsidDel="00AC2078">
        <w:rPr>
          <w:rFonts w:ascii="Palatino Linotype" w:hAnsi="Palatino Linotype"/>
        </w:rPr>
        <w:t xml:space="preserve">the </w:t>
      </w:r>
      <w:r w:rsidR="0088618E" w:rsidRPr="0026008C">
        <w:rPr>
          <w:rFonts w:ascii="Palatino Linotype" w:hAnsi="Palatino Linotype"/>
        </w:rPr>
        <w:t xml:space="preserve">California High-Speed Rail Project (the CHSRA Project or the Project) </w:t>
      </w:r>
      <w:r w:rsidDel="00AC2078">
        <w:rPr>
          <w:rFonts w:ascii="Palatino Linotype" w:hAnsi="Palatino Linotype"/>
        </w:rPr>
        <w:t xml:space="preserve">between: </w:t>
      </w:r>
      <w:r w:rsidR="006E70C4">
        <w:rPr>
          <w:rFonts w:ascii="Palatino Linotype" w:hAnsi="Palatino Linotype"/>
        </w:rPr>
        <w:br/>
      </w:r>
      <w:r w:rsidDel="00AC2078">
        <w:rPr>
          <w:rFonts w:ascii="Palatino Linotype" w:hAnsi="Palatino Linotype"/>
        </w:rPr>
        <w:t xml:space="preserve">(a) </w:t>
      </w:r>
      <w:r w:rsidRPr="00C22C58" w:rsidDel="00AC2078">
        <w:rPr>
          <w:rFonts w:ascii="Palatino Linotype" w:hAnsi="Palatino Linotype"/>
        </w:rPr>
        <w:t>PG&amp;E and CHSRA</w:t>
      </w:r>
      <w:r w:rsidDel="00AC2078">
        <w:rPr>
          <w:rFonts w:ascii="Palatino Linotype" w:hAnsi="Palatino Linotype"/>
        </w:rPr>
        <w:t>;</w:t>
      </w:r>
      <w:r w:rsidRPr="00C22C58" w:rsidDel="00AC2078">
        <w:rPr>
          <w:rFonts w:ascii="Palatino Linotype" w:hAnsi="Palatino Linotype"/>
        </w:rPr>
        <w:t xml:space="preserve"> </w:t>
      </w:r>
      <w:r w:rsidDel="00AC2078">
        <w:rPr>
          <w:rFonts w:ascii="Palatino Linotype" w:hAnsi="Palatino Linotype"/>
        </w:rPr>
        <w:t xml:space="preserve">(b) SCE </w:t>
      </w:r>
      <w:r w:rsidRPr="00C22C58" w:rsidDel="00AC2078">
        <w:rPr>
          <w:rFonts w:ascii="Palatino Linotype" w:hAnsi="Palatino Linotype"/>
        </w:rPr>
        <w:t>and CHSRA</w:t>
      </w:r>
      <w:r w:rsidDel="00AC2078">
        <w:rPr>
          <w:rFonts w:ascii="Palatino Linotype" w:hAnsi="Palatino Linotype"/>
        </w:rPr>
        <w:t xml:space="preserve">; and (c) SoCalGas and CHSRA. </w:t>
      </w:r>
    </w:p>
    <w:p w14:paraId="6FC6C1F3" w14:textId="443437CD" w:rsidR="008041DF" w:rsidRPr="00CF2AAB" w:rsidDel="00AC2078" w:rsidRDefault="00F62DC9" w:rsidP="00F62DC9">
      <w:pPr>
        <w:pStyle w:val="ListParagraph"/>
        <w:numPr>
          <w:ilvl w:val="0"/>
          <w:numId w:val="7"/>
        </w:numPr>
        <w:rPr>
          <w:rFonts w:ascii="Palatino Linotype" w:hAnsi="Palatino Linotype"/>
        </w:rPr>
      </w:pPr>
      <w:r>
        <w:rPr>
          <w:rFonts w:ascii="Palatino Linotype" w:hAnsi="Palatino Linotype"/>
        </w:rPr>
        <w:t>A</w:t>
      </w:r>
      <w:r w:rsidR="008041DF" w:rsidRPr="00CF2AAB" w:rsidDel="00AC2078">
        <w:rPr>
          <w:rFonts w:ascii="Palatino Linotype" w:hAnsi="Palatino Linotype"/>
        </w:rPr>
        <w:t xml:space="preserve">pproves three </w:t>
      </w:r>
      <w:r w:rsidR="008041DF" w:rsidRPr="00F62DC9" w:rsidDel="00AC2078">
        <w:rPr>
          <w:rFonts w:ascii="Palatino Linotype" w:hAnsi="Palatino Linotype"/>
          <w:i/>
        </w:rPr>
        <w:t>Utility Agreements</w:t>
      </w:r>
      <w:r w:rsidR="008041DF" w:rsidDel="00AC2078">
        <w:rPr>
          <w:rFonts w:ascii="Palatino Linotype" w:hAnsi="Palatino Linotype"/>
        </w:rPr>
        <w:t xml:space="preserve"> </w:t>
      </w:r>
      <w:r w:rsidR="008041DF" w:rsidRPr="00CF2AAB" w:rsidDel="00AC2078">
        <w:rPr>
          <w:rFonts w:ascii="Palatino Linotype" w:hAnsi="Palatino Linotype"/>
        </w:rPr>
        <w:t>between PG&amp;E and CHSRA for utility facility relocation work</w:t>
      </w:r>
      <w:r w:rsidR="008041DF" w:rsidDel="00AC2078">
        <w:rPr>
          <w:rFonts w:ascii="Palatino Linotype" w:hAnsi="Palatino Linotype"/>
        </w:rPr>
        <w:t xml:space="preserve"> along </w:t>
      </w:r>
      <w:r w:rsidR="008041DF" w:rsidRPr="00CF2AAB" w:rsidDel="00AC2078">
        <w:rPr>
          <w:rFonts w:ascii="Palatino Linotype" w:hAnsi="Palatino Linotype"/>
        </w:rPr>
        <w:t xml:space="preserve">the first 29-mile </w:t>
      </w:r>
      <w:r w:rsidR="0088618E">
        <w:rPr>
          <w:rFonts w:ascii="Palatino Linotype" w:hAnsi="Palatino Linotype"/>
        </w:rPr>
        <w:t xml:space="preserve">Project </w:t>
      </w:r>
      <w:r w:rsidR="008041DF" w:rsidRPr="00CF2AAB" w:rsidDel="00AC2078">
        <w:rPr>
          <w:rFonts w:ascii="Palatino Linotype" w:hAnsi="Palatino Linotype"/>
        </w:rPr>
        <w:t>section</w:t>
      </w:r>
      <w:r w:rsidR="008041DF" w:rsidDel="00AC2078">
        <w:rPr>
          <w:rFonts w:ascii="Palatino Linotype" w:hAnsi="Palatino Linotype"/>
        </w:rPr>
        <w:t>.</w:t>
      </w:r>
      <w:r>
        <w:rPr>
          <w:rFonts w:ascii="Palatino Linotype" w:hAnsi="Palatino Linotype"/>
        </w:rPr>
        <w:t xml:space="preserve"> The </w:t>
      </w:r>
      <w:r w:rsidRPr="00F62DC9">
        <w:rPr>
          <w:rFonts w:ascii="Palatino Linotype" w:hAnsi="Palatino Linotype"/>
        </w:rPr>
        <w:t>Master Agreements con</w:t>
      </w:r>
      <w:r>
        <w:rPr>
          <w:rFonts w:ascii="Palatino Linotype" w:hAnsi="Palatino Linotype"/>
        </w:rPr>
        <w:t>template that subordinate, more-</w:t>
      </w:r>
      <w:r w:rsidRPr="00F62DC9">
        <w:rPr>
          <w:rFonts w:ascii="Palatino Linotype" w:hAnsi="Palatino Linotype"/>
        </w:rPr>
        <w:t>detailed agreements, called Utility Agreements, will be used for specific utility relocation sites as construction progresses.</w:t>
      </w:r>
    </w:p>
    <w:p w14:paraId="09EB52D1" w14:textId="262BD3B1" w:rsidR="00AC2078" w:rsidRPr="00CF2AAB" w:rsidDel="00AC2078" w:rsidRDefault="008041DF" w:rsidP="00AC2078">
      <w:pPr>
        <w:pStyle w:val="ListParagraph"/>
        <w:numPr>
          <w:ilvl w:val="0"/>
          <w:numId w:val="7"/>
        </w:numPr>
        <w:rPr>
          <w:rFonts w:ascii="Palatino Linotype" w:hAnsi="Palatino Linotype"/>
        </w:rPr>
      </w:pPr>
      <w:r>
        <w:rPr>
          <w:rFonts w:ascii="Palatino Linotype" w:hAnsi="Palatino Linotype"/>
        </w:rPr>
        <w:t>A</w:t>
      </w:r>
      <w:r w:rsidR="003F0DE6" w:rsidRPr="00A858C9">
        <w:rPr>
          <w:rFonts w:ascii="Palatino Linotype" w:hAnsi="Palatino Linotype"/>
        </w:rPr>
        <w:t xml:space="preserve">uthorizes </w:t>
      </w:r>
      <w:r w:rsidR="003F0DE6">
        <w:rPr>
          <w:rFonts w:ascii="Palatino Linotype" w:hAnsi="Palatino Linotype"/>
        </w:rPr>
        <w:t xml:space="preserve">a streamlined </w:t>
      </w:r>
      <w:r w:rsidR="003F0DE6" w:rsidRPr="00A858C9">
        <w:rPr>
          <w:rFonts w:ascii="Palatino Linotype" w:hAnsi="Palatino Linotype"/>
        </w:rPr>
        <w:t>information-only</w:t>
      </w:r>
      <w:r w:rsidR="003F0DE6">
        <w:rPr>
          <w:rFonts w:ascii="Palatino Linotype" w:hAnsi="Palatino Linotype"/>
        </w:rPr>
        <w:t xml:space="preserve"> filing process </w:t>
      </w:r>
      <w:r w:rsidR="003F0DE6" w:rsidRPr="008041DF">
        <w:rPr>
          <w:rFonts w:ascii="Palatino Linotype" w:hAnsi="Palatino Linotype"/>
        </w:rPr>
        <w:t xml:space="preserve">pursuant to </w:t>
      </w:r>
      <w:r w:rsidR="003F0DE6" w:rsidRPr="008041DF">
        <w:t xml:space="preserve">General Order (GO) 96-B for </w:t>
      </w:r>
      <w:r w:rsidR="00B46CEF">
        <w:t xml:space="preserve">future </w:t>
      </w:r>
      <w:r w:rsidR="003F0DE6" w:rsidRPr="008041DF">
        <w:t>Utility Agreements</w:t>
      </w:r>
      <w:r w:rsidR="00AC2078">
        <w:t xml:space="preserve"> (</w:t>
      </w:r>
      <w:r>
        <w:t xml:space="preserve">i.e., </w:t>
      </w:r>
      <w:r w:rsidR="00AC2078" w:rsidRPr="00CF2AAB">
        <w:rPr>
          <w:rFonts w:ascii="Palatino Linotype" w:hAnsi="Palatino Linotype"/>
        </w:rPr>
        <w:t xml:space="preserve">site-specific </w:t>
      </w:r>
      <w:r w:rsidR="00AC2078">
        <w:rPr>
          <w:rFonts w:ascii="Palatino Linotype" w:hAnsi="Palatino Linotype"/>
        </w:rPr>
        <w:t>facility-</w:t>
      </w:r>
      <w:r w:rsidR="00AC2078" w:rsidRPr="00CF2AAB">
        <w:rPr>
          <w:rFonts w:ascii="Palatino Linotype" w:hAnsi="Palatino Linotype"/>
        </w:rPr>
        <w:t>relocation agreements</w:t>
      </w:r>
      <w:r w:rsidR="00AC2078">
        <w:t>)</w:t>
      </w:r>
      <w:r w:rsidR="00AC2078" w:rsidRPr="00AC2078" w:rsidDel="00AC2078">
        <w:rPr>
          <w:rFonts w:ascii="Palatino Linotype" w:hAnsi="Palatino Linotype"/>
        </w:rPr>
        <w:t xml:space="preserve"> </w:t>
      </w:r>
      <w:r w:rsidR="00AC2078" w:rsidRPr="00CF2AAB" w:rsidDel="00AC2078">
        <w:rPr>
          <w:rFonts w:ascii="Palatino Linotype" w:hAnsi="Palatino Linotype"/>
        </w:rPr>
        <w:t xml:space="preserve">to timely approve the </w:t>
      </w:r>
      <w:r w:rsidR="00F00968">
        <w:rPr>
          <w:rFonts w:ascii="Palatino Linotype" w:hAnsi="Palatino Linotype"/>
        </w:rPr>
        <w:t>numerous</w:t>
      </w:r>
      <w:r w:rsidR="00F00968" w:rsidRPr="00CF2AAB" w:rsidDel="00AC2078">
        <w:rPr>
          <w:rFonts w:ascii="Palatino Linotype" w:hAnsi="Palatino Linotype"/>
        </w:rPr>
        <w:t xml:space="preserve"> </w:t>
      </w:r>
      <w:r>
        <w:rPr>
          <w:rFonts w:ascii="Palatino Linotype" w:hAnsi="Palatino Linotype"/>
        </w:rPr>
        <w:t>utility</w:t>
      </w:r>
      <w:r w:rsidR="00AC2078" w:rsidRPr="00CF2AAB" w:rsidDel="00AC2078">
        <w:rPr>
          <w:rFonts w:ascii="Palatino Linotype" w:hAnsi="Palatino Linotype"/>
        </w:rPr>
        <w:t xml:space="preserve"> facility relocations and land rights transfers that will be required for the CHSRA Project.</w:t>
      </w:r>
    </w:p>
    <w:p w14:paraId="22018707" w14:textId="0B352838" w:rsidR="003F0DE6" w:rsidRDefault="003F0DE6" w:rsidP="003F0DE6">
      <w:pPr>
        <w:pStyle w:val="ListParagraph"/>
        <w:numPr>
          <w:ilvl w:val="0"/>
          <w:numId w:val="7"/>
        </w:numPr>
        <w:rPr>
          <w:rFonts w:ascii="Palatino Linotype" w:hAnsi="Palatino Linotype"/>
        </w:rPr>
      </w:pPr>
      <w:r w:rsidRPr="003F0DE6">
        <w:rPr>
          <w:rFonts w:ascii="Palatino Linotype" w:hAnsi="Palatino Linotype"/>
        </w:rPr>
        <w:t xml:space="preserve">Requires that </w:t>
      </w:r>
      <w:r>
        <w:rPr>
          <w:rFonts w:ascii="Palatino Linotype" w:hAnsi="Palatino Linotype"/>
        </w:rPr>
        <w:t xml:space="preserve">the three utility companies </w:t>
      </w:r>
      <w:r w:rsidR="00CF3E67">
        <w:rPr>
          <w:rFonts w:ascii="Palatino Linotype" w:hAnsi="Palatino Linotype"/>
        </w:rPr>
        <w:t xml:space="preserve">file annual reports via </w:t>
      </w:r>
      <w:r w:rsidR="006E70C4">
        <w:rPr>
          <w:rFonts w:ascii="Palatino Linotype" w:hAnsi="Palatino Linotype"/>
        </w:rPr>
        <w:br/>
      </w:r>
      <w:r w:rsidR="00CF3E67">
        <w:rPr>
          <w:rFonts w:ascii="Palatino Linotype" w:hAnsi="Palatino Linotype"/>
        </w:rPr>
        <w:t>Tier 2 advice l</w:t>
      </w:r>
      <w:r w:rsidRPr="003F0DE6">
        <w:rPr>
          <w:rFonts w:ascii="Palatino Linotype" w:hAnsi="Palatino Linotype"/>
        </w:rPr>
        <w:t>etter pursuant to GO 96-B</w:t>
      </w:r>
      <w:r w:rsidR="00A9376B">
        <w:rPr>
          <w:rFonts w:ascii="Palatino Linotype" w:hAnsi="Palatino Linotype"/>
        </w:rPr>
        <w:t>.</w:t>
      </w:r>
      <w:r w:rsidR="00A9376B" w:rsidRPr="00A9376B">
        <w:rPr>
          <w:rFonts w:ascii="Palatino Linotype" w:hAnsi="Palatino Linotype"/>
        </w:rPr>
        <w:t xml:space="preserve"> </w:t>
      </w:r>
      <w:r w:rsidR="00A9376B">
        <w:rPr>
          <w:rFonts w:ascii="Palatino Linotype" w:hAnsi="Palatino Linotype"/>
        </w:rPr>
        <w:t xml:space="preserve">The annual reports </w:t>
      </w:r>
      <w:r w:rsidR="008B0A60">
        <w:rPr>
          <w:rFonts w:ascii="Palatino Linotype" w:hAnsi="Palatino Linotype"/>
        </w:rPr>
        <w:t xml:space="preserve">are a condition of approval. They </w:t>
      </w:r>
      <w:r w:rsidR="00A9376B">
        <w:rPr>
          <w:rFonts w:ascii="Palatino Linotype" w:hAnsi="Palatino Linotype"/>
        </w:rPr>
        <w:t xml:space="preserve">will </w:t>
      </w:r>
      <w:r w:rsidRPr="003F0DE6">
        <w:rPr>
          <w:rFonts w:ascii="Palatino Linotype" w:hAnsi="Palatino Linotype"/>
        </w:rPr>
        <w:t xml:space="preserve">track the status of all </w:t>
      </w:r>
      <w:r w:rsidRPr="00861913">
        <w:rPr>
          <w:rFonts w:ascii="Palatino Linotype" w:hAnsi="Palatino Linotype"/>
        </w:rPr>
        <w:t xml:space="preserve">Utility Agreement filings and associated </w:t>
      </w:r>
      <w:r w:rsidRPr="003F0DE6">
        <w:rPr>
          <w:rFonts w:ascii="Palatino Linotype" w:hAnsi="Palatino Linotype"/>
        </w:rPr>
        <w:t>utility relocation work, costs to ratepayers, and completed property transactions</w:t>
      </w:r>
      <w:r>
        <w:rPr>
          <w:rFonts w:ascii="Palatino Linotype" w:hAnsi="Palatino Linotype"/>
        </w:rPr>
        <w:t>.</w:t>
      </w:r>
    </w:p>
    <w:p w14:paraId="566E0545" w14:textId="1154AF7C" w:rsidR="00150986" w:rsidRPr="008041DF" w:rsidRDefault="00150986" w:rsidP="00861913">
      <w:pPr>
        <w:pStyle w:val="ListParagraph"/>
        <w:numPr>
          <w:ilvl w:val="0"/>
          <w:numId w:val="7"/>
        </w:numPr>
        <w:rPr>
          <w:rFonts w:ascii="Palatino Linotype" w:hAnsi="Palatino Linotype"/>
        </w:rPr>
      </w:pPr>
      <w:r w:rsidRPr="00861913">
        <w:rPr>
          <w:rFonts w:ascii="Palatino Linotype" w:hAnsi="Palatino Linotype"/>
        </w:rPr>
        <w:t xml:space="preserve">Finds that compliance with the filing and reporting requirements contained in this Resolution satisfy all Commission approval </w:t>
      </w:r>
      <w:r w:rsidRPr="00861913">
        <w:rPr>
          <w:rFonts w:ascii="Palatino Linotype" w:hAnsi="Palatino Linotype"/>
        </w:rPr>
        <w:lastRenderedPageBreak/>
        <w:t xml:space="preserve">requirements pursuant to </w:t>
      </w:r>
      <w:r w:rsidR="009058DA" w:rsidRPr="00861913">
        <w:rPr>
          <w:rFonts w:ascii="Palatino Linotype" w:hAnsi="Palatino Linotype"/>
        </w:rPr>
        <w:t>Public Utilities Code (PU</w:t>
      </w:r>
      <w:r w:rsidR="009F77C9" w:rsidRPr="00861913">
        <w:rPr>
          <w:rFonts w:ascii="Palatino Linotype" w:hAnsi="Palatino Linotype"/>
        </w:rPr>
        <w:t xml:space="preserve"> </w:t>
      </w:r>
      <w:r w:rsidR="009058DA" w:rsidRPr="00861913">
        <w:rPr>
          <w:rFonts w:ascii="Palatino Linotype" w:hAnsi="Palatino Linotype"/>
        </w:rPr>
        <w:t>C</w:t>
      </w:r>
      <w:r w:rsidR="009F77C9" w:rsidRPr="00861913">
        <w:rPr>
          <w:rFonts w:ascii="Palatino Linotype" w:hAnsi="Palatino Linotype"/>
        </w:rPr>
        <w:t>ode</w:t>
      </w:r>
      <w:r w:rsidR="009058DA" w:rsidRPr="00861913">
        <w:rPr>
          <w:rFonts w:ascii="Palatino Linotype" w:hAnsi="Palatino Linotype"/>
        </w:rPr>
        <w:t xml:space="preserve">) </w:t>
      </w:r>
      <w:r w:rsidR="006E70C4">
        <w:rPr>
          <w:rFonts w:ascii="Palatino Linotype" w:hAnsi="Palatino Linotype"/>
        </w:rPr>
        <w:br/>
      </w:r>
      <w:r w:rsidR="009058DA" w:rsidRPr="00861913">
        <w:rPr>
          <w:rFonts w:ascii="Palatino Linotype" w:hAnsi="Palatino Linotype"/>
        </w:rPr>
        <w:t xml:space="preserve">Section 851 </w:t>
      </w:r>
      <w:r w:rsidRPr="00861913">
        <w:rPr>
          <w:rFonts w:ascii="Palatino Linotype" w:hAnsi="Palatino Linotype"/>
        </w:rPr>
        <w:t xml:space="preserve">and </w:t>
      </w:r>
      <w:r w:rsidR="009058DA" w:rsidRPr="00861913">
        <w:rPr>
          <w:rFonts w:ascii="Palatino Linotype" w:hAnsi="Palatino Linotype"/>
        </w:rPr>
        <w:t xml:space="preserve">GO </w:t>
      </w:r>
      <w:r w:rsidRPr="00861913">
        <w:rPr>
          <w:rFonts w:ascii="Palatino Linotype" w:hAnsi="Palatino Linotype"/>
        </w:rPr>
        <w:t>173 for transactions consistent with the Master Agr</w:t>
      </w:r>
      <w:r w:rsidR="008B0A60" w:rsidRPr="00861913">
        <w:rPr>
          <w:rFonts w:ascii="Palatino Linotype" w:hAnsi="Palatino Linotype"/>
        </w:rPr>
        <w:t>eements occurring within the CH</w:t>
      </w:r>
      <w:r w:rsidRPr="00861913">
        <w:rPr>
          <w:rFonts w:ascii="Palatino Linotype" w:hAnsi="Palatino Linotype"/>
        </w:rPr>
        <w:t>S</w:t>
      </w:r>
      <w:r w:rsidR="008B0A60" w:rsidRPr="00861913">
        <w:rPr>
          <w:rFonts w:ascii="Palatino Linotype" w:hAnsi="Palatino Linotype"/>
        </w:rPr>
        <w:t>R</w:t>
      </w:r>
      <w:r w:rsidRPr="00861913">
        <w:rPr>
          <w:rFonts w:ascii="Palatino Linotype" w:hAnsi="Palatino Linotype"/>
        </w:rPr>
        <w:t xml:space="preserve">A </w:t>
      </w:r>
      <w:r w:rsidR="008B0A60" w:rsidRPr="00861913">
        <w:rPr>
          <w:rFonts w:ascii="Palatino Linotype" w:hAnsi="Palatino Linotype"/>
        </w:rPr>
        <w:t xml:space="preserve">Project </w:t>
      </w:r>
      <w:r w:rsidRPr="00861913">
        <w:rPr>
          <w:rFonts w:ascii="Palatino Linotype" w:hAnsi="Palatino Linotype"/>
        </w:rPr>
        <w:t>rail corridor.</w:t>
      </w:r>
      <w:r w:rsidR="008B0A60">
        <w:rPr>
          <w:rStyle w:val="FootnoteReference"/>
        </w:rPr>
        <w:footnoteReference w:id="2"/>
      </w:r>
    </w:p>
    <w:p w14:paraId="715683B1" w14:textId="77777777" w:rsidR="00F51F8B" w:rsidRPr="00FF1253" w:rsidRDefault="00F51F8B">
      <w:pPr>
        <w:pStyle w:val="Res-Caption"/>
        <w:rPr>
          <w:rFonts w:ascii="Palatino Linotype" w:hAnsi="Palatino Linotype"/>
        </w:rPr>
      </w:pPr>
    </w:p>
    <w:p w14:paraId="1F072274" w14:textId="77777777" w:rsidR="00F51F8B" w:rsidRPr="00FF1253" w:rsidRDefault="00F51F8B">
      <w:pPr>
        <w:pStyle w:val="Res-Caption"/>
      </w:pPr>
      <w:r w:rsidRPr="00FF1253">
        <w:t>SAFETY CONSIDERATIONS:</w:t>
      </w:r>
    </w:p>
    <w:p w14:paraId="1E6D893F" w14:textId="77777777" w:rsidR="00640AA0" w:rsidRPr="00640AA0" w:rsidRDefault="00640AA0" w:rsidP="00640AA0">
      <w:pPr>
        <w:pStyle w:val="ListParagraph"/>
        <w:numPr>
          <w:ilvl w:val="0"/>
          <w:numId w:val="6"/>
        </w:numPr>
        <w:rPr>
          <w:rFonts w:ascii="Palatino Linotype" w:hAnsi="Palatino Linotype"/>
        </w:rPr>
      </w:pPr>
      <w:r w:rsidRPr="00640AA0">
        <w:rPr>
          <w:rFonts w:ascii="Palatino Linotype" w:hAnsi="Palatino Linotype"/>
        </w:rPr>
        <w:t xml:space="preserve">Work to relocate overhead and underground electric and gas utility facilities will conform to all current and applicable laws, Commission regulations, and industry and utility company (PG&amp;E/SCE/SoCalGas) safety requirements as discussed in this Resolution and documented in the Utility Agreements. </w:t>
      </w:r>
    </w:p>
    <w:p w14:paraId="287BA01E" w14:textId="02250BDD" w:rsidR="00640AA0" w:rsidRPr="008B0A60" w:rsidRDefault="00A9376B" w:rsidP="008B0A60">
      <w:pPr>
        <w:pStyle w:val="ListParagraph"/>
        <w:numPr>
          <w:ilvl w:val="0"/>
          <w:numId w:val="6"/>
        </w:numPr>
        <w:rPr>
          <w:rFonts w:ascii="Palatino Linotype" w:hAnsi="Palatino Linotype"/>
        </w:rPr>
      </w:pPr>
      <w:r>
        <w:rPr>
          <w:rFonts w:ascii="Palatino Linotype" w:hAnsi="Palatino Linotype"/>
        </w:rPr>
        <w:t xml:space="preserve">This Resolution only addresses work required to relocate </w:t>
      </w:r>
      <w:r w:rsidR="008B0A60">
        <w:rPr>
          <w:rFonts w:ascii="Palatino Linotype" w:hAnsi="Palatino Linotype"/>
        </w:rPr>
        <w:t xml:space="preserve">utility facilities along </w:t>
      </w:r>
      <w:r w:rsidR="008B0A60">
        <w:t xml:space="preserve">the CHSRA Project rail corridor. </w:t>
      </w:r>
      <w:r w:rsidR="00640AA0" w:rsidRPr="008B0A60">
        <w:rPr>
          <w:rFonts w:ascii="Palatino Linotype" w:hAnsi="Palatino Linotype"/>
        </w:rPr>
        <w:t>CHSRA Project grade separations, utility system upgrades necessary to provide electric power to the Project (interconnection work)</w:t>
      </w:r>
      <w:r w:rsidR="008B0A60">
        <w:rPr>
          <w:rFonts w:ascii="Palatino Linotype" w:hAnsi="Palatino Linotype"/>
        </w:rPr>
        <w:t>,</w:t>
      </w:r>
      <w:r w:rsidR="00640AA0" w:rsidRPr="008B0A60">
        <w:rPr>
          <w:rFonts w:ascii="Palatino Linotype" w:hAnsi="Palatino Linotype"/>
        </w:rPr>
        <w:t xml:space="preserve"> and other rail safety issues that require further Commission approvals are outside the scope of this Resolution. </w:t>
      </w:r>
    </w:p>
    <w:p w14:paraId="0CA24995" w14:textId="77777777" w:rsidR="00801D70" w:rsidRPr="001720DA" w:rsidRDefault="00801D70">
      <w:pPr>
        <w:pStyle w:val="Res-Caption"/>
        <w:rPr>
          <w:rFonts w:ascii="Palatino Linotype" w:hAnsi="Palatino Linotype"/>
          <w:u w:val="words"/>
        </w:rPr>
      </w:pPr>
    </w:p>
    <w:p w14:paraId="48ED7F58" w14:textId="77777777"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14:paraId="551C8301" w14:textId="468679D1" w:rsidR="00E54E68" w:rsidRDefault="00640AA0" w:rsidP="00E54E68">
      <w:pPr>
        <w:pStyle w:val="ListParagraph"/>
        <w:numPr>
          <w:ilvl w:val="0"/>
          <w:numId w:val="6"/>
        </w:numPr>
      </w:pPr>
      <w:r w:rsidRPr="00640AA0">
        <w:t xml:space="preserve">CHSRA is responsible for the vast majority of costs associated with </w:t>
      </w:r>
      <w:r w:rsidR="00C52CEF">
        <w:t xml:space="preserve">the </w:t>
      </w:r>
      <w:r w:rsidRPr="00640AA0">
        <w:t>relocation work addressed in this Resolution.</w:t>
      </w:r>
      <w:r w:rsidR="00AD6F52">
        <w:t xml:space="preserve"> The California High-Speed Rail Act</w:t>
      </w:r>
      <w:r w:rsidR="00E46E4B">
        <w:t xml:space="preserve"> </w:t>
      </w:r>
      <w:r w:rsidR="00E54E68" w:rsidRPr="00C73D30">
        <w:t xml:space="preserve">requires that CHSRA pay the reasonable and necessary costs of PG&amp;E, SCE, and SoCalGas relocations or removals needed to accommodate the Project </w:t>
      </w:r>
      <w:r w:rsidR="00E46E4B">
        <w:t xml:space="preserve">but also defines </w:t>
      </w:r>
      <w:r w:rsidR="00E54E68" w:rsidRPr="00C73D30">
        <w:t>credits to which CHSRA is entitled.</w:t>
      </w:r>
      <w:r w:rsidR="00AD6F52">
        <w:t xml:space="preserve"> The credits will be paid by ratepayers</w:t>
      </w:r>
      <w:r w:rsidR="009451D2">
        <w:t xml:space="preserve"> (see </w:t>
      </w:r>
      <w:r w:rsidR="00F8321D">
        <w:t>Discussion s</w:t>
      </w:r>
      <w:r w:rsidR="009451D2">
        <w:t>ections 5 and 6 in this Resolution)</w:t>
      </w:r>
      <w:r w:rsidR="00AD6F52">
        <w:t>.</w:t>
      </w:r>
    </w:p>
    <w:p w14:paraId="1488BFEA" w14:textId="77777777" w:rsidR="00EC3251" w:rsidRDefault="00EC3251">
      <w:pPr>
        <w:pStyle w:val="Res-Caption"/>
      </w:pPr>
    </w:p>
    <w:p w14:paraId="25670D21" w14:textId="78DCD1EE" w:rsidR="009143EF" w:rsidRPr="00A65CD5" w:rsidRDefault="009143EF" w:rsidP="00EC3251">
      <w:pPr>
        <w:pStyle w:val="Res-Caption"/>
        <w:keepNext/>
        <w:keepLines/>
        <w:tabs>
          <w:tab w:val="left" w:pos="7200"/>
        </w:tabs>
      </w:pPr>
      <w:r w:rsidRPr="00A65CD5">
        <w:lastRenderedPageBreak/>
        <w:t xml:space="preserve">By </w:t>
      </w:r>
      <w:r w:rsidR="005B7334">
        <w:t xml:space="preserve">PG&amp;E </w:t>
      </w:r>
      <w:r w:rsidRPr="00A65CD5">
        <w:t xml:space="preserve">Advice Letter 3484-G/4443-E filed on June 13, 2014 and supplemented by Advice Letter 3484-G-A/4443-E-A filed on December 22, </w:t>
      </w:r>
      <w:r w:rsidRPr="00501187">
        <w:t>2015</w:t>
      </w:r>
      <w:r w:rsidR="009B3A0F" w:rsidRPr="00501187">
        <w:t xml:space="preserve"> and Advice Letter </w:t>
      </w:r>
      <w:r w:rsidR="00501187" w:rsidRPr="00501187">
        <w:t xml:space="preserve">3484-G-B/4443-E-B </w:t>
      </w:r>
      <w:r w:rsidR="009B3A0F" w:rsidRPr="00501187">
        <w:t xml:space="preserve">filed on </w:t>
      </w:r>
      <w:r w:rsidR="00501187" w:rsidRPr="00501187">
        <w:t>April 1</w:t>
      </w:r>
      <w:r w:rsidR="009B3A0F" w:rsidRPr="00501187">
        <w:t>, 2016</w:t>
      </w:r>
      <w:r w:rsidR="0042134D">
        <w:t>;</w:t>
      </w:r>
      <w:r w:rsidRPr="00501187">
        <w:t xml:space="preserve"> </w:t>
      </w:r>
      <w:r w:rsidR="00C22C58" w:rsidRPr="00501187">
        <w:t>b</w:t>
      </w:r>
      <w:r w:rsidR="005B7334" w:rsidRPr="00501187">
        <w:t xml:space="preserve">y SCE Advice Letter </w:t>
      </w:r>
      <w:r w:rsidR="00C22C58" w:rsidRPr="00501187">
        <w:t xml:space="preserve">3315-E filed on </w:t>
      </w:r>
      <w:r w:rsidR="006E70C4">
        <w:br/>
      </w:r>
      <w:r w:rsidR="00C22C58" w:rsidRPr="00501187">
        <w:t>November 25, 2015</w:t>
      </w:r>
      <w:r w:rsidR="0042134D">
        <w:t>;</w:t>
      </w:r>
      <w:r w:rsidR="00332528">
        <w:t xml:space="preserve"> and </w:t>
      </w:r>
      <w:r w:rsidR="0042134D">
        <w:t xml:space="preserve">by </w:t>
      </w:r>
      <w:r w:rsidR="00332528">
        <w:t>SoCalGas</w:t>
      </w:r>
      <w:r w:rsidR="00747F8F">
        <w:t xml:space="preserve"> </w:t>
      </w:r>
      <w:r w:rsidR="00747F8F" w:rsidRPr="00501187">
        <w:t xml:space="preserve">Advice Letter </w:t>
      </w:r>
      <w:r w:rsidR="00747F8F">
        <w:t xml:space="preserve">4946 </w:t>
      </w:r>
      <w:r w:rsidR="00747F8F" w:rsidRPr="00501187">
        <w:t xml:space="preserve">filed on </w:t>
      </w:r>
      <w:r w:rsidR="00747F8F">
        <w:t xml:space="preserve">April </w:t>
      </w:r>
      <w:r w:rsidR="00747F8F" w:rsidRPr="00501187">
        <w:t xml:space="preserve">5, </w:t>
      </w:r>
      <w:r w:rsidR="00747F8F">
        <w:t>2016</w:t>
      </w:r>
      <w:r w:rsidR="00C22C58" w:rsidRPr="00501187">
        <w:t>.</w:t>
      </w:r>
    </w:p>
    <w:p w14:paraId="322EB210" w14:textId="5D371F3D" w:rsidR="00CF17DE" w:rsidRDefault="00CF17DE" w:rsidP="00EC3251">
      <w:pPr>
        <w:pStyle w:val="Res-Caption"/>
      </w:pPr>
      <w:r>
        <w:t xml:space="preserve"> __________________________________________________________</w:t>
      </w:r>
    </w:p>
    <w:p w14:paraId="4471D80B" w14:textId="77777777" w:rsidR="00CF17DE" w:rsidRDefault="00CF17DE">
      <w:pPr>
        <w:rPr>
          <w:b/>
        </w:rPr>
      </w:pPr>
    </w:p>
    <w:p w14:paraId="5E79FBBB" w14:textId="77777777" w:rsidR="00CF17DE" w:rsidRDefault="00CF17DE">
      <w:pPr>
        <w:pStyle w:val="Heading1"/>
      </w:pPr>
      <w:r>
        <w:t>Summary</w:t>
      </w:r>
      <w:bookmarkEnd w:id="1"/>
    </w:p>
    <w:p w14:paraId="2C2FC1A5" w14:textId="4A6E85E8" w:rsidR="00C052E1" w:rsidRDefault="00F01335" w:rsidP="00F01335">
      <w:pPr>
        <w:pStyle w:val="Res-Caption"/>
        <w:ind w:left="0" w:right="0"/>
      </w:pPr>
      <w:r w:rsidRPr="006A015E">
        <w:t xml:space="preserve">This Resolution conditionally </w:t>
      </w:r>
      <w:r w:rsidR="00F8321D">
        <w:t xml:space="preserve">approves </w:t>
      </w:r>
      <w:r w:rsidRPr="006A015E">
        <w:t xml:space="preserve">the </w:t>
      </w:r>
      <w:r>
        <w:t>Master A</w:t>
      </w:r>
      <w:r w:rsidRPr="006A015E">
        <w:t xml:space="preserve">greements that </w:t>
      </w:r>
      <w:r w:rsidRPr="00016845">
        <w:t xml:space="preserve">PG&amp;E, SCE, </w:t>
      </w:r>
      <w:r>
        <w:t xml:space="preserve">and </w:t>
      </w:r>
      <w:r w:rsidRPr="00016845">
        <w:t xml:space="preserve">SoCalGas </w:t>
      </w:r>
      <w:r w:rsidRPr="006A015E">
        <w:t>entered i</w:t>
      </w:r>
      <w:r>
        <w:t>nto with CHSRA to accommodate</w:t>
      </w:r>
      <w:r w:rsidRPr="006A015E">
        <w:t xml:space="preserve"> </w:t>
      </w:r>
      <w:r>
        <w:t xml:space="preserve">the Project by relocating </w:t>
      </w:r>
      <w:r w:rsidRPr="006A015E">
        <w:t>electric and gas facilit</w:t>
      </w:r>
      <w:r>
        <w:t>ies along the rail corridor</w:t>
      </w:r>
      <w:r w:rsidR="003F609A" w:rsidRPr="003F609A">
        <w:t xml:space="preserve"> </w:t>
      </w:r>
      <w:r w:rsidR="003F609A">
        <w:t>right-of-way (ROW)</w:t>
      </w:r>
      <w:r w:rsidRPr="006A015E">
        <w:t xml:space="preserve">. </w:t>
      </w:r>
      <w:r>
        <w:t>The Master A</w:t>
      </w:r>
      <w:r w:rsidRPr="00016845">
        <w:t xml:space="preserve">greements govern the obligations of PG&amp;E, SCE, </w:t>
      </w:r>
      <w:proofErr w:type="spellStart"/>
      <w:r w:rsidRPr="00016845">
        <w:t>SoCalGas</w:t>
      </w:r>
      <w:proofErr w:type="spellEnd"/>
      <w:r w:rsidRPr="00016845">
        <w:t>, and CHSRA regarding electric and gas facility relocation</w:t>
      </w:r>
      <w:r>
        <w:t>s</w:t>
      </w:r>
      <w:r w:rsidRPr="00016845">
        <w:t>, including labor, materials, design, safety, permitting, land acquisition, construction, and system tie-in</w:t>
      </w:r>
      <w:r w:rsidR="00F8321D">
        <w:t xml:space="preserve"> </w:t>
      </w:r>
      <w:r w:rsidR="006E70C4">
        <w:br/>
      </w:r>
      <w:r w:rsidR="00F8321D">
        <w:t>(i.e., reconnection of the relocated facility to the utility system)</w:t>
      </w:r>
      <w:r w:rsidRPr="00016845">
        <w:t xml:space="preserve">. </w:t>
      </w:r>
      <w:r w:rsidR="00C052E1">
        <w:t>In addition, t</w:t>
      </w:r>
      <w:r w:rsidR="00C052E1" w:rsidRPr="006A015E">
        <w:t xml:space="preserve">his Resolution conditionally finds reasonable </w:t>
      </w:r>
      <w:r w:rsidR="00C052E1">
        <w:t>the three Utility Agreements executed between PG&amp;E and CHSRA. SCE and SoCalGas have not yet executed Utility Agreements with CHSRA.</w:t>
      </w:r>
    </w:p>
    <w:p w14:paraId="7E0635AB" w14:textId="77777777" w:rsidR="00C052E1" w:rsidRDefault="00C052E1" w:rsidP="00F01335">
      <w:pPr>
        <w:pStyle w:val="Res-Caption"/>
        <w:ind w:left="0" w:right="0"/>
      </w:pPr>
    </w:p>
    <w:p w14:paraId="3896933B" w14:textId="3F24B37A" w:rsidR="00F01335" w:rsidRDefault="00F01335" w:rsidP="00F01335">
      <w:pPr>
        <w:pStyle w:val="Res-Caption"/>
        <w:ind w:left="0" w:right="0"/>
      </w:pPr>
      <w:r w:rsidRPr="006A015E">
        <w:t>The</w:t>
      </w:r>
      <w:r>
        <w:t xml:space="preserve"> </w:t>
      </w:r>
      <w:r w:rsidRPr="006A015E">
        <w:t>relocation</w:t>
      </w:r>
      <w:r>
        <w:t>s</w:t>
      </w:r>
      <w:r w:rsidRPr="006A015E">
        <w:t xml:space="preserve"> of PG&amp;E</w:t>
      </w:r>
      <w:r>
        <w:t xml:space="preserve">, SCE, and SoCalGas </w:t>
      </w:r>
      <w:r w:rsidRPr="006A015E">
        <w:t xml:space="preserve"> facilities to accommodate the </w:t>
      </w:r>
      <w:r>
        <w:t xml:space="preserve">CHSRA </w:t>
      </w:r>
      <w:r w:rsidRPr="006A015E">
        <w:t>Project will be performed at CHSRA’s expense</w:t>
      </w:r>
      <w:r>
        <w:t xml:space="preserve">, with the exception of </w:t>
      </w:r>
      <w:r w:rsidRPr="006A015E">
        <w:t xml:space="preserve">credits to which CHSRA is entitled </w:t>
      </w:r>
      <w:r>
        <w:t>pursuant to</w:t>
      </w:r>
      <w:r w:rsidRPr="006A015E">
        <w:t xml:space="preserve"> </w:t>
      </w:r>
      <w:r>
        <w:t xml:space="preserve">the </w:t>
      </w:r>
      <w:r w:rsidRPr="005F5A0C">
        <w:t>California High-Speed Rail Act</w:t>
      </w:r>
      <w:r>
        <w:t>.</w:t>
      </w:r>
    </w:p>
    <w:p w14:paraId="1CFCF64B" w14:textId="77777777" w:rsidR="00061909" w:rsidRDefault="00061909"/>
    <w:p w14:paraId="71108D52" w14:textId="77777777" w:rsidR="00CF17DE" w:rsidRDefault="00CF17DE">
      <w:pPr>
        <w:pStyle w:val="Heading1"/>
      </w:pPr>
      <w:r>
        <w:t>Background</w:t>
      </w:r>
    </w:p>
    <w:p w14:paraId="67FCB18F" w14:textId="77777777" w:rsidR="009143EF" w:rsidRPr="006E70C4" w:rsidRDefault="009143EF" w:rsidP="009143EF">
      <w:pPr>
        <w:pStyle w:val="Heading2"/>
        <w:numPr>
          <w:ilvl w:val="0"/>
          <w:numId w:val="0"/>
        </w:numPr>
        <w:rPr>
          <w:rFonts w:ascii="Palatino Linotype" w:hAnsi="Palatino Linotype"/>
        </w:rPr>
      </w:pPr>
      <w:r w:rsidRPr="006E70C4">
        <w:rPr>
          <w:rFonts w:ascii="Palatino Linotype" w:hAnsi="Palatino Linotype"/>
        </w:rPr>
        <w:t>California High-Speed Rail Project</w:t>
      </w:r>
    </w:p>
    <w:p w14:paraId="72F5772A" w14:textId="17474EB0" w:rsidR="00C052E1" w:rsidRDefault="00C052E1" w:rsidP="00C052E1">
      <w:r>
        <w:t>CHSRA</w:t>
      </w:r>
      <w:r w:rsidRPr="00783CFF">
        <w:t xml:space="preserve"> is responsible for planning, designing, building</w:t>
      </w:r>
      <w:r>
        <w:t>,</w:t>
      </w:r>
      <w:r w:rsidRPr="00783CFF">
        <w:t xml:space="preserve"> and </w:t>
      </w:r>
      <w:r>
        <w:t>operating</w:t>
      </w:r>
      <w:r w:rsidRPr="00783CFF">
        <w:t xml:space="preserve"> the first high-speed rail system </w:t>
      </w:r>
      <w:r>
        <w:t xml:space="preserve">constructed </w:t>
      </w:r>
      <w:r w:rsidRPr="00783CFF">
        <w:t xml:space="preserve">in the </w:t>
      </w:r>
      <w:r>
        <w:t>United States</w:t>
      </w:r>
      <w:r w:rsidRPr="00783CFF">
        <w:t xml:space="preserve">. </w:t>
      </w:r>
      <w:r>
        <w:t>T</w:t>
      </w:r>
      <w:r w:rsidRPr="00783CFF">
        <w:t>he system will run from San Francisco to Los Angeles</w:t>
      </w:r>
      <w:r w:rsidR="00AA77E6">
        <w:t>/Anaheim</w:t>
      </w:r>
      <w:r w:rsidR="005D50FF">
        <w:t xml:space="preserve"> (</w:t>
      </w:r>
      <w:r w:rsidR="00AA77E6">
        <w:t xml:space="preserve">Project </w:t>
      </w:r>
      <w:r w:rsidR="005D50FF">
        <w:t>Phase 1</w:t>
      </w:r>
      <w:r w:rsidR="00AA77E6">
        <w:t xml:space="preserve">, </w:t>
      </w:r>
      <w:r w:rsidR="00736292">
        <w:t xml:space="preserve">about </w:t>
      </w:r>
      <w:r w:rsidR="00AA77E6">
        <w:t>520 miles</w:t>
      </w:r>
      <w:r w:rsidR="005D50FF">
        <w:t>)</w:t>
      </w:r>
      <w:r w:rsidRPr="00783CFF">
        <w:t xml:space="preserve"> at speeds capable of </w:t>
      </w:r>
      <w:r>
        <w:t>more than</w:t>
      </w:r>
      <w:r w:rsidRPr="00783CFF">
        <w:t xml:space="preserve"> 200 miles per hour. The system will eventually extend to Sacramento and San Diego</w:t>
      </w:r>
      <w:r w:rsidR="005D50FF">
        <w:t xml:space="preserve"> (Phase 2)</w:t>
      </w:r>
      <w:r w:rsidR="000538A2">
        <w:t xml:space="preserve"> </w:t>
      </w:r>
      <w:r>
        <w:t xml:space="preserve">and operate </w:t>
      </w:r>
      <w:r w:rsidR="005D50FF">
        <w:t>along</w:t>
      </w:r>
      <w:r>
        <w:t xml:space="preserve"> </w:t>
      </w:r>
      <w:r w:rsidRPr="00783CFF">
        <w:t xml:space="preserve">800 miles </w:t>
      </w:r>
      <w:r>
        <w:t>of rail.</w:t>
      </w:r>
    </w:p>
    <w:p w14:paraId="567F6DD2" w14:textId="77777777" w:rsidR="004D4573" w:rsidRDefault="004D4573" w:rsidP="004D41EB"/>
    <w:p w14:paraId="605D4EC5" w14:textId="19F2BCE2" w:rsidR="000538A2" w:rsidRPr="000538A2" w:rsidRDefault="000538A2" w:rsidP="000538A2">
      <w:r w:rsidRPr="000538A2">
        <w:t xml:space="preserve">Federal and state program environmental clearance for the entire statewide system was completed between 2005 and 2012. Project-level environmental </w:t>
      </w:r>
      <w:r w:rsidRPr="000538A2">
        <w:lastRenderedPageBreak/>
        <w:t xml:space="preserve">clearance was completed in 2012/2014 for what CHSRA calls the First Construction Segment (FCS) (project-level environmental clearance for the remainder of </w:t>
      </w:r>
      <w:r w:rsidRPr="005214FB">
        <w:t xml:space="preserve">the system is underway, with anticipated completion by the end of 2017). The FCS extends </w:t>
      </w:r>
      <w:r w:rsidR="00A965C7" w:rsidRPr="005214FB">
        <w:t xml:space="preserve">south </w:t>
      </w:r>
      <w:r w:rsidRPr="005214FB">
        <w:t>from Madera</w:t>
      </w:r>
      <w:r w:rsidR="00A965C7" w:rsidRPr="005214FB">
        <w:t>,</w:t>
      </w:r>
      <w:r w:rsidRPr="005214FB">
        <w:t xml:space="preserve"> through urban Fresno</w:t>
      </w:r>
      <w:r w:rsidR="00A965C7" w:rsidRPr="005214FB">
        <w:t>,</w:t>
      </w:r>
      <w:r w:rsidRPr="005214FB">
        <w:t xml:space="preserve"> to north of Bakersfield. It will</w:t>
      </w:r>
      <w:r w:rsidRPr="00355061">
        <w:t xml:space="preserve"> allow for testing and commissioning of the system. The Project’s Initial Operating</w:t>
      </w:r>
      <w:r w:rsidRPr="000538A2">
        <w:t xml:space="preserve"> Segment is planned to extend from San Jose to Bakersfield or near Bakersfield (CHSRA 2016 Business Plan). </w:t>
      </w:r>
    </w:p>
    <w:p w14:paraId="5A62A79D" w14:textId="77777777" w:rsidR="000538A2" w:rsidRDefault="000538A2" w:rsidP="004D41EB"/>
    <w:p w14:paraId="2A153FD8" w14:textId="75BC0642" w:rsidR="000538A2" w:rsidRDefault="000538A2" w:rsidP="000538A2">
      <w:r w:rsidRPr="000538A2">
        <w:t>As a general matter, portions of the statewide project will be located in areas that contain existing utility lines serving homes and business, such as underground and overhead electric lines and underground gas lines. These lines require relocation to make way for the CHSRA Project alignment while ensuring continued electrical and gas distribution and service.</w:t>
      </w:r>
      <w:r>
        <w:t xml:space="preserve"> The r</w:t>
      </w:r>
      <w:r w:rsidRPr="000538A2">
        <w:t xml:space="preserve">elocation of these lines is the subject of this </w:t>
      </w:r>
      <w:r>
        <w:t>R</w:t>
      </w:r>
      <w:r w:rsidRPr="000538A2">
        <w:t>esolution.</w:t>
      </w:r>
    </w:p>
    <w:p w14:paraId="47D08D36" w14:textId="77777777" w:rsidR="000538A2" w:rsidRDefault="000538A2" w:rsidP="000538A2"/>
    <w:p w14:paraId="2A278066" w14:textId="5E15C4D0" w:rsidR="000538A2" w:rsidRDefault="000538A2" w:rsidP="000538A2">
      <w:r w:rsidRPr="000538A2">
        <w:t xml:space="preserve">CHSRA has reached written </w:t>
      </w:r>
      <w:r w:rsidRPr="00F62DC9">
        <w:t>agreement with PG&amp;E, SCE, and SoCalGas regarding the overarching issues involved with the relocation work including such matters as cost allocation, and roles and responsibilities. These agreements are called Master Agreements. The Master Agreements contemplate that subordinate, more detailed written agreements, called Utility Agreements, will be used for specific utility relocation sites as construction progresses</w:t>
      </w:r>
      <w:r>
        <w:t>.</w:t>
      </w:r>
      <w:r w:rsidRPr="000538A2">
        <w:t xml:space="preserve"> </w:t>
      </w:r>
    </w:p>
    <w:p w14:paraId="28D339AD" w14:textId="77777777" w:rsidR="000538A2" w:rsidRDefault="000538A2" w:rsidP="000538A2"/>
    <w:p w14:paraId="3B4F517F" w14:textId="0D13E515" w:rsidR="000538A2" w:rsidRPr="000538A2" w:rsidRDefault="000538A2" w:rsidP="000538A2">
      <w:r w:rsidRPr="000538A2">
        <w:t>CHSRA has executed design-build construction contracts for civil works (generally, everything but electrification, stations and maintenance facilities) for the entire FCS, divided into the three construction packages described below. The northern portion of the FCS is in active construction; the remainder of the FCS will enter active construction soon.</w:t>
      </w:r>
      <w:r>
        <w:t xml:space="preserve"> </w:t>
      </w:r>
      <w:r w:rsidRPr="000538A2">
        <w:t xml:space="preserve">The FCS is located within PG&amp;E’s service territory. Accordingly, CHSRA and PG&amp;E have executed, to date, </w:t>
      </w:r>
      <w:r w:rsidR="006E70C4">
        <w:br/>
      </w:r>
      <w:r w:rsidRPr="000538A2">
        <w:t>three Utility Agreements that address site-specific utility relocations in a portion of the FCS</w:t>
      </w:r>
      <w:r>
        <w:t>.</w:t>
      </w:r>
    </w:p>
    <w:p w14:paraId="5AEB3602" w14:textId="77777777" w:rsidR="004D4573" w:rsidRDefault="004D4573" w:rsidP="004D41EB"/>
    <w:p w14:paraId="5642D555" w14:textId="234B2EF2" w:rsidR="000538A2" w:rsidRPr="00D56983" w:rsidRDefault="000538A2" w:rsidP="000538A2">
      <w:r w:rsidRPr="00D56983">
        <w:t>The FCS is organized into discrete civil works construction packages. Construction Package Number 1 (CP01) is approximately 29</w:t>
      </w:r>
      <w:r w:rsidR="00B83F5E" w:rsidRPr="00D56983">
        <w:t>-</w:t>
      </w:r>
      <w:r w:rsidRPr="00D56983">
        <w:t>miles</w:t>
      </w:r>
      <w:r w:rsidR="00B83F5E" w:rsidRPr="00D56983">
        <w:t xml:space="preserve"> long</w:t>
      </w:r>
      <w:r w:rsidRPr="00D56983">
        <w:t xml:space="preserve"> and entered construction first; it is located in Madera and Fresno counties. CHSRA</w:t>
      </w:r>
      <w:r w:rsidR="00B83F5E" w:rsidRPr="00D56983">
        <w:t xml:space="preserve"> </w:t>
      </w:r>
      <w:r w:rsidRPr="00D56983">
        <w:t>requires that PG&amp;E’s facilities within CP01 be relocated as early as possible in 2016. CP02/03 extends from southern Fresn</w:t>
      </w:r>
      <w:r w:rsidR="00D56983" w:rsidRPr="00D56983">
        <w:t xml:space="preserve">o county through Kings </w:t>
      </w:r>
      <w:proofErr w:type="gramStart"/>
      <w:r w:rsidR="00D56983" w:rsidRPr="00D56983">
        <w:t>county</w:t>
      </w:r>
      <w:proofErr w:type="gramEnd"/>
      <w:r w:rsidR="00D56983" w:rsidRPr="00D56983">
        <w:t xml:space="preserve">. </w:t>
      </w:r>
      <w:r w:rsidRPr="00D56983">
        <w:t>CP04 extends construction about 25 additional miles to near Shafter, California, about 10 miles northwest of the Bakersfield city limits.</w:t>
      </w:r>
    </w:p>
    <w:p w14:paraId="44F316CF" w14:textId="77777777" w:rsidR="000538A2" w:rsidRDefault="000538A2" w:rsidP="004D41EB"/>
    <w:p w14:paraId="6D4CDB36" w14:textId="1A16C734" w:rsidR="004D41EB" w:rsidRPr="00CF1578" w:rsidRDefault="003D4CA3" w:rsidP="004D41EB">
      <w:r w:rsidRPr="00814FB2">
        <w:lastRenderedPageBreak/>
        <w:t>R</w:t>
      </w:r>
      <w:r w:rsidR="004D41EB" w:rsidRPr="00814FB2">
        <w:t xml:space="preserve">elocation work for CP01 is </w:t>
      </w:r>
      <w:r w:rsidR="001B087B" w:rsidRPr="00814FB2">
        <w:t>estimated</w:t>
      </w:r>
      <w:r w:rsidR="004D41EB">
        <w:t xml:space="preserve"> to include</w:t>
      </w:r>
      <w:r>
        <w:t xml:space="preserve"> </w:t>
      </w:r>
      <w:r w:rsidR="007A1B1E">
        <w:t>24</w:t>
      </w:r>
      <w:r w:rsidR="00241EF9">
        <w:t>5</w:t>
      </w:r>
      <w:r w:rsidR="0047520F">
        <w:t xml:space="preserve"> </w:t>
      </w:r>
      <w:r>
        <w:t>PG&amp;E facilities</w:t>
      </w:r>
      <w:r w:rsidR="007A1B1E">
        <w:t>, as follows</w:t>
      </w:r>
      <w:r w:rsidR="004D41EB">
        <w:t>: three electric transmission lines, 148 electric distribution lines, seven gas transmission lines, 84 gas distribution</w:t>
      </w:r>
      <w:r w:rsidR="00AA77E6">
        <w:t xml:space="preserve"> lines</w:t>
      </w:r>
      <w:r w:rsidR="004D41EB">
        <w:t>, and three telecommunication</w:t>
      </w:r>
      <w:r w:rsidR="002D013B">
        <w:t xml:space="preserve"> lines</w:t>
      </w:r>
      <w:r w:rsidR="004D41EB">
        <w:t xml:space="preserve"> (PG&amp;E 2016). </w:t>
      </w:r>
      <w:r w:rsidR="004D41EB" w:rsidRPr="004D41EB">
        <w:t xml:space="preserve">The scope of </w:t>
      </w:r>
      <w:r w:rsidR="00814FB2" w:rsidRPr="004D41EB">
        <w:t>PG&amp;E</w:t>
      </w:r>
      <w:r w:rsidR="00814FB2">
        <w:t>,</w:t>
      </w:r>
      <w:r w:rsidR="00814FB2" w:rsidRPr="004D41EB">
        <w:t xml:space="preserve"> SCE</w:t>
      </w:r>
      <w:r w:rsidR="00814FB2">
        <w:t>, and SoCalGas</w:t>
      </w:r>
      <w:r w:rsidR="00814FB2" w:rsidRPr="004D41EB">
        <w:t xml:space="preserve"> </w:t>
      </w:r>
      <w:r w:rsidR="004D41EB" w:rsidRPr="004D41EB">
        <w:t xml:space="preserve">relocation work required for subsequent </w:t>
      </w:r>
      <w:r w:rsidR="00814FB2">
        <w:t xml:space="preserve">CHSRA Project </w:t>
      </w:r>
      <w:r w:rsidR="004D41EB" w:rsidRPr="004D41EB">
        <w:t>construction packages</w:t>
      </w:r>
      <w:r w:rsidR="00814FB2">
        <w:t>,</w:t>
      </w:r>
      <w:r w:rsidR="004D41EB" w:rsidRPr="004D41EB">
        <w:t xml:space="preserve"> and </w:t>
      </w:r>
      <w:r w:rsidR="00814FB2">
        <w:t xml:space="preserve">the relocation of </w:t>
      </w:r>
      <w:r w:rsidR="004D41EB" w:rsidRPr="00814FB2">
        <w:t>facilities owned by other public utility providers under Commission jurisdiction (e.g., telecommunications and water</w:t>
      </w:r>
      <w:r w:rsidRPr="00814FB2">
        <w:t xml:space="preserve"> utilities</w:t>
      </w:r>
      <w:r w:rsidR="004D41EB" w:rsidRPr="00814FB2">
        <w:t xml:space="preserve">) </w:t>
      </w:r>
      <w:r w:rsidR="00814FB2" w:rsidRPr="00814FB2">
        <w:t xml:space="preserve">is </w:t>
      </w:r>
      <w:r w:rsidR="00E31D14">
        <w:t>still under development</w:t>
      </w:r>
      <w:r w:rsidR="00814FB2" w:rsidRPr="00CF1578">
        <w:t>.</w:t>
      </w:r>
      <w:r w:rsidR="004D41EB" w:rsidRPr="00CF1578">
        <w:t xml:space="preserve"> </w:t>
      </w:r>
    </w:p>
    <w:p w14:paraId="38829F2D" w14:textId="77777777" w:rsidR="004D41EB" w:rsidRPr="00CF1578" w:rsidRDefault="004D41EB" w:rsidP="004D41EB"/>
    <w:p w14:paraId="0621653B" w14:textId="1B04B438" w:rsidR="004D41EB" w:rsidRDefault="004D41EB" w:rsidP="004D41EB">
      <w:r w:rsidRPr="00CF1578">
        <w:t>The following</w:t>
      </w:r>
      <w:r w:rsidR="0094363D" w:rsidRPr="00CF1578">
        <w:t xml:space="preserve"> CHSRA Project</w:t>
      </w:r>
      <w:r w:rsidRPr="00CF1578">
        <w:t xml:space="preserve"> timeline is based on the CHSRA 2016 Business Plan:</w:t>
      </w:r>
    </w:p>
    <w:p w14:paraId="4A3540C8" w14:textId="77777777" w:rsidR="004D41EB" w:rsidRDefault="004D41EB" w:rsidP="004D41EB"/>
    <w:p w14:paraId="3836B9A2" w14:textId="267C4369" w:rsidR="0094363D" w:rsidRPr="0094363D" w:rsidRDefault="0094363D" w:rsidP="00787670">
      <w:pPr>
        <w:keepNext/>
        <w:keepLines/>
        <w:rPr>
          <w:i/>
        </w:rPr>
      </w:pPr>
      <w:r w:rsidRPr="0094363D">
        <w:rPr>
          <w:i/>
        </w:rPr>
        <w:t>PG&amp;E Service Territory</w:t>
      </w:r>
    </w:p>
    <w:p w14:paraId="6B0A7ACD" w14:textId="7E8D5EFD" w:rsidR="00736292" w:rsidRDefault="00736292" w:rsidP="00736292">
      <w:pPr>
        <w:pStyle w:val="ListParagraph"/>
        <w:numPr>
          <w:ilvl w:val="0"/>
          <w:numId w:val="6"/>
        </w:numPr>
        <w:ind w:left="720"/>
      </w:pPr>
      <w:r>
        <w:t xml:space="preserve">Most </w:t>
      </w:r>
      <w:r w:rsidRPr="000538A2">
        <w:t xml:space="preserve">of the Phase 1 alignment is located within PG&amp;E’s service </w:t>
      </w:r>
      <w:r w:rsidR="000E4142">
        <w:t>territory</w:t>
      </w:r>
      <w:r w:rsidRPr="000538A2">
        <w:t xml:space="preserve"> (</w:t>
      </w:r>
      <w:r>
        <w:t>about</w:t>
      </w:r>
      <w:r w:rsidRPr="000538A2">
        <w:t xml:space="preserve"> 400 </w:t>
      </w:r>
      <w:r>
        <w:t xml:space="preserve">of the 520 </w:t>
      </w:r>
      <w:r w:rsidRPr="000538A2">
        <w:t>miles).</w:t>
      </w:r>
      <w:r>
        <w:t xml:space="preserve"> </w:t>
      </w:r>
    </w:p>
    <w:p w14:paraId="3894BC70" w14:textId="4F481B43" w:rsidR="004D41EB" w:rsidRDefault="00736292" w:rsidP="00736292">
      <w:pPr>
        <w:pStyle w:val="ListParagraph"/>
        <w:numPr>
          <w:ilvl w:val="0"/>
          <w:numId w:val="6"/>
        </w:numPr>
        <w:ind w:left="720"/>
      </w:pPr>
      <w:r>
        <w:t>T</w:t>
      </w:r>
      <w:r w:rsidR="00267CF5">
        <w:t xml:space="preserve">he </w:t>
      </w:r>
      <w:r w:rsidR="004D41EB">
        <w:t xml:space="preserve">rail segment between Madera and north of Bakersfield </w:t>
      </w:r>
      <w:r>
        <w:t xml:space="preserve">(about </w:t>
      </w:r>
      <w:r w:rsidR="006E70C4">
        <w:br/>
      </w:r>
      <w:r w:rsidR="00AB0CD5">
        <w:t>90</w:t>
      </w:r>
      <w:r>
        <w:t xml:space="preserve"> miles) is expected to be electrified for test purposes </w:t>
      </w:r>
      <w:r w:rsidR="002D013B">
        <w:t xml:space="preserve">in </w:t>
      </w:r>
      <w:r w:rsidR="0094363D">
        <w:t>2020</w:t>
      </w:r>
      <w:r w:rsidR="00E201A2">
        <w:t xml:space="preserve"> (CP01 to CP03 or CP04)</w:t>
      </w:r>
      <w:r w:rsidR="00267CF5">
        <w:t>.</w:t>
      </w:r>
      <w:r w:rsidR="004D41EB">
        <w:t xml:space="preserve"> </w:t>
      </w:r>
    </w:p>
    <w:p w14:paraId="3D0DF81E" w14:textId="7AE3FBFF" w:rsidR="004D41EB" w:rsidRDefault="00736292" w:rsidP="00267CF5">
      <w:pPr>
        <w:pStyle w:val="ListParagraph"/>
        <w:numPr>
          <w:ilvl w:val="0"/>
          <w:numId w:val="6"/>
        </w:numPr>
        <w:ind w:left="720"/>
      </w:pPr>
      <w:r>
        <w:t>T</w:t>
      </w:r>
      <w:r w:rsidR="00267CF5">
        <w:t xml:space="preserve">he </w:t>
      </w:r>
      <w:r w:rsidR="004D41EB">
        <w:t xml:space="preserve">segment between San Jose </w:t>
      </w:r>
      <w:r w:rsidR="0094363D">
        <w:t xml:space="preserve">and </w:t>
      </w:r>
      <w:r w:rsidR="004D41EB">
        <w:t>north of Bakersfield</w:t>
      </w:r>
      <w:r>
        <w:t xml:space="preserve"> (about 300 miles) is expected to be completed </w:t>
      </w:r>
      <w:r w:rsidR="002949D0">
        <w:t>by 2024</w:t>
      </w:r>
      <w:r w:rsidR="00267CF5">
        <w:t xml:space="preserve"> </w:t>
      </w:r>
      <w:r>
        <w:t xml:space="preserve">with </w:t>
      </w:r>
      <w:r w:rsidR="004D41EB">
        <w:t>passenger</w:t>
      </w:r>
      <w:r w:rsidR="002949D0">
        <w:t xml:space="preserve"> service</w:t>
      </w:r>
      <w:r>
        <w:t xml:space="preserve"> starting </w:t>
      </w:r>
      <w:r w:rsidR="00267CF5">
        <w:t xml:space="preserve">by </w:t>
      </w:r>
      <w:r w:rsidR="004D41EB">
        <w:t>2025</w:t>
      </w:r>
      <w:r w:rsidR="00267CF5">
        <w:t>.</w:t>
      </w:r>
      <w:r w:rsidR="004D41EB">
        <w:rPr>
          <w:rStyle w:val="FootnoteReference"/>
        </w:rPr>
        <w:footnoteReference w:id="3"/>
      </w:r>
      <w:r w:rsidR="004D41EB">
        <w:t xml:space="preserve"> </w:t>
      </w:r>
    </w:p>
    <w:p w14:paraId="3F4D5565" w14:textId="77777777" w:rsidR="00AA77E6" w:rsidRDefault="00AA77E6" w:rsidP="00AA77E6">
      <w:pPr>
        <w:pStyle w:val="ListParagraph"/>
      </w:pPr>
    </w:p>
    <w:p w14:paraId="0F251C7F" w14:textId="3EA61965" w:rsidR="00E201A2" w:rsidRDefault="00E201A2" w:rsidP="0094363D">
      <w:pPr>
        <w:rPr>
          <w:i/>
        </w:rPr>
      </w:pPr>
      <w:r>
        <w:rPr>
          <w:i/>
        </w:rPr>
        <w:t>SoCalGas Service Territory</w:t>
      </w:r>
    </w:p>
    <w:p w14:paraId="49DCC35D" w14:textId="4F7F1D36" w:rsidR="00E201A2" w:rsidRDefault="00E201A2" w:rsidP="00E201A2">
      <w:pPr>
        <w:pStyle w:val="ListParagraph"/>
        <w:numPr>
          <w:ilvl w:val="0"/>
          <w:numId w:val="6"/>
        </w:numPr>
        <w:ind w:left="720"/>
      </w:pPr>
      <w:r>
        <w:t xml:space="preserve">SoCalGas facilities are located south of Fresno, </w:t>
      </w:r>
      <w:r w:rsidR="002E4B60">
        <w:t>through</w:t>
      </w:r>
      <w:r>
        <w:t xml:space="preserve"> Bakersfield, and south of Bakersfield.</w:t>
      </w:r>
      <w:r w:rsidR="00736292">
        <w:t xml:space="preserve"> </w:t>
      </w:r>
      <w:r w:rsidR="00736292" w:rsidRPr="00E201A2">
        <w:t xml:space="preserve">A start date for construction within </w:t>
      </w:r>
      <w:r w:rsidR="00736292">
        <w:t xml:space="preserve">SoCalGas </w:t>
      </w:r>
      <w:r w:rsidR="00736292" w:rsidRPr="00E201A2">
        <w:t>service territory is not yet established, but all CHSRA Project environmental reviews are currently schedule</w:t>
      </w:r>
      <w:r w:rsidR="00736292">
        <w:t>d</w:t>
      </w:r>
      <w:r w:rsidR="00736292" w:rsidRPr="00E201A2">
        <w:t xml:space="preserve"> for completion prior to the end of 2017.</w:t>
      </w:r>
    </w:p>
    <w:p w14:paraId="4FA1008F" w14:textId="77777777" w:rsidR="00AA77E6" w:rsidRDefault="00AA77E6" w:rsidP="00AA77E6">
      <w:pPr>
        <w:pStyle w:val="ListParagraph"/>
      </w:pPr>
    </w:p>
    <w:p w14:paraId="795AA292" w14:textId="473AA22B" w:rsidR="00736292" w:rsidRDefault="00736292" w:rsidP="00561129">
      <w:pPr>
        <w:rPr>
          <w:i/>
        </w:rPr>
      </w:pPr>
      <w:r>
        <w:rPr>
          <w:i/>
        </w:rPr>
        <w:t>SCE Service Territory</w:t>
      </w:r>
    </w:p>
    <w:p w14:paraId="4054EC72" w14:textId="738FD87C" w:rsidR="00736292" w:rsidRDefault="00736292" w:rsidP="00585711">
      <w:pPr>
        <w:pStyle w:val="ListParagraph"/>
        <w:numPr>
          <w:ilvl w:val="0"/>
          <w:numId w:val="6"/>
        </w:numPr>
        <w:ind w:left="720"/>
      </w:pPr>
      <w:r>
        <w:t xml:space="preserve">SCE electric facilities are located south of Fresno in the Hanford area but are otherwise not expected to be encountered until Project </w:t>
      </w:r>
      <w:r w:rsidR="000E4142">
        <w:t xml:space="preserve">construction </w:t>
      </w:r>
      <w:r>
        <w:lastRenderedPageBreak/>
        <w:t xml:space="preserve">proceeds south of Bakersfield. </w:t>
      </w:r>
      <w:r w:rsidRPr="00736292">
        <w:t xml:space="preserve">A start date for construction within </w:t>
      </w:r>
      <w:r>
        <w:t>SCE</w:t>
      </w:r>
      <w:r w:rsidR="000E4142">
        <w:t>’s</w:t>
      </w:r>
      <w:r>
        <w:t xml:space="preserve"> </w:t>
      </w:r>
      <w:r w:rsidRPr="00736292">
        <w:t>service territory is not yet established</w:t>
      </w:r>
      <w:r>
        <w:t>.</w:t>
      </w:r>
    </w:p>
    <w:p w14:paraId="14FF9D65" w14:textId="77777777" w:rsidR="00736292" w:rsidRPr="00E201A2" w:rsidRDefault="00736292" w:rsidP="00561129">
      <w:pPr>
        <w:pStyle w:val="ListParagraph"/>
      </w:pPr>
    </w:p>
    <w:p w14:paraId="3E79207B" w14:textId="0C7F6A7E" w:rsidR="0094363D" w:rsidRPr="0094363D" w:rsidRDefault="0094363D" w:rsidP="0094363D">
      <w:pPr>
        <w:rPr>
          <w:i/>
        </w:rPr>
      </w:pPr>
      <w:r w:rsidRPr="0094363D">
        <w:rPr>
          <w:i/>
        </w:rPr>
        <w:t>PG&amp;E</w:t>
      </w:r>
      <w:r w:rsidR="00E201A2">
        <w:rPr>
          <w:i/>
        </w:rPr>
        <w:t>, SoCalGas,</w:t>
      </w:r>
      <w:r w:rsidRPr="0094363D">
        <w:rPr>
          <w:i/>
        </w:rPr>
        <w:t xml:space="preserve"> and SCE Service Territories</w:t>
      </w:r>
      <w:r>
        <w:rPr>
          <w:rStyle w:val="FootnoteReference"/>
          <w:i/>
        </w:rPr>
        <w:footnoteReference w:id="4"/>
      </w:r>
    </w:p>
    <w:p w14:paraId="2C1E40D0" w14:textId="13CB7334" w:rsidR="004D41EB" w:rsidRPr="004D41EB" w:rsidRDefault="004D41EB" w:rsidP="00267CF5">
      <w:pPr>
        <w:pStyle w:val="ListParagraph"/>
        <w:numPr>
          <w:ilvl w:val="0"/>
          <w:numId w:val="6"/>
        </w:numPr>
        <w:ind w:left="720"/>
      </w:pPr>
      <w:r>
        <w:t>The entire Phase 1 Project alignment from San Francisco to Los Angeles/Anaheim (</w:t>
      </w:r>
      <w:r w:rsidR="000E4142">
        <w:t xml:space="preserve">about </w:t>
      </w:r>
      <w:r>
        <w:t xml:space="preserve">520 miles) is planned to be operational </w:t>
      </w:r>
      <w:r w:rsidR="000538A2">
        <w:t xml:space="preserve">between 2025 and </w:t>
      </w:r>
      <w:r>
        <w:t>2029.</w:t>
      </w:r>
    </w:p>
    <w:p w14:paraId="1FA9481B" w14:textId="77777777" w:rsidR="004D41EB" w:rsidRDefault="004D41EB" w:rsidP="004D41EB">
      <w:pPr>
        <w:rPr>
          <w:highlight w:val="yellow"/>
        </w:rPr>
      </w:pPr>
    </w:p>
    <w:p w14:paraId="752D1A90" w14:textId="76B52DBB" w:rsidR="00E356B9" w:rsidRDefault="00C17676">
      <w:r w:rsidRPr="00C17676">
        <w:t xml:space="preserve">Commission staff consulted with CHSRA, PG&amp;E, SCE, and SoCalGas staff in 2015 and early 2016 to gather data needed to prepare this Resolution. This Resolution discusses the Commission’s existing regulatory framework </w:t>
      </w:r>
      <w:r w:rsidR="00E9263E">
        <w:t xml:space="preserve">and how it provides for </w:t>
      </w:r>
      <w:r w:rsidRPr="00C17676">
        <w:t xml:space="preserve">the process </w:t>
      </w:r>
      <w:r w:rsidR="00E9263E">
        <w:t>described</w:t>
      </w:r>
      <w:r w:rsidR="00E9263E" w:rsidRPr="00C17676">
        <w:t xml:space="preserve"> </w:t>
      </w:r>
      <w:r w:rsidRPr="00C17676">
        <w:t>in this Resolution</w:t>
      </w:r>
      <w:r w:rsidR="00E9263E">
        <w:t>.</w:t>
      </w:r>
      <w:r w:rsidRPr="00C17676">
        <w:t xml:space="preserve"> </w:t>
      </w:r>
      <w:r w:rsidR="00E9263E">
        <w:t xml:space="preserve">Staff worked with CHSRA and the utility companies to ensure that regulatory procedures were adequate yet efficient and </w:t>
      </w:r>
      <w:r w:rsidRPr="00C17676">
        <w:t xml:space="preserve">allow for </w:t>
      </w:r>
      <w:r w:rsidR="00A7407D">
        <w:t xml:space="preserve">processing </w:t>
      </w:r>
      <w:r w:rsidRPr="00C17676">
        <w:t>the full scope of utility facility relocation work within a reasonable</w:t>
      </w:r>
      <w:r w:rsidR="00E9263E">
        <w:t xml:space="preserve"> timeframe. </w:t>
      </w:r>
      <w:r w:rsidRPr="00C17676">
        <w:t xml:space="preserve">This Resolution </w:t>
      </w:r>
      <w:r w:rsidR="00E9263E">
        <w:t>approves a</w:t>
      </w:r>
      <w:r w:rsidRPr="00C17676">
        <w:t xml:space="preserve"> process designed to protect ratepayers, ensure compliance with all applicable </w:t>
      </w:r>
      <w:r w:rsidR="00E9263E">
        <w:t xml:space="preserve">regulatory and </w:t>
      </w:r>
      <w:r w:rsidRPr="00C17676">
        <w:t>environmental laws, and promote public safety.</w:t>
      </w:r>
    </w:p>
    <w:p w14:paraId="5D7EF9C6" w14:textId="77777777" w:rsidR="00C17676" w:rsidRDefault="00C17676">
      <w:pPr>
        <w:rPr>
          <w:b/>
          <w:u w:val="single"/>
        </w:rPr>
      </w:pPr>
    </w:p>
    <w:p w14:paraId="64812554" w14:textId="77777777" w:rsidR="00CF17DE" w:rsidRDefault="00CF17DE">
      <w:pPr>
        <w:pStyle w:val="Heading1"/>
      </w:pPr>
      <w:r>
        <w:t xml:space="preserve">Notice </w:t>
      </w:r>
    </w:p>
    <w:p w14:paraId="364BA724" w14:textId="1C4AC1DE" w:rsidR="009143EF" w:rsidRPr="000B4F2E" w:rsidRDefault="009143EF" w:rsidP="00B46CEF">
      <w:r w:rsidRPr="000B4F2E">
        <w:t xml:space="preserve">Notice of </w:t>
      </w:r>
      <w:r w:rsidR="00785B86">
        <w:t xml:space="preserve">PG&amp;E </w:t>
      </w:r>
      <w:r w:rsidRPr="000B4F2E">
        <w:t>Advice Letter 3484-G/4443-E</w:t>
      </w:r>
      <w:r w:rsidR="00B169FE">
        <w:t xml:space="preserve">, PG&amp;E </w:t>
      </w:r>
      <w:r w:rsidR="00B169FE" w:rsidRPr="000B4F2E">
        <w:t>Advice Letter</w:t>
      </w:r>
      <w:r w:rsidRPr="000B4F2E">
        <w:t xml:space="preserve"> </w:t>
      </w:r>
      <w:r w:rsidR="006E70C4">
        <w:br/>
      </w:r>
      <w:r w:rsidRPr="000B4F2E">
        <w:t>3484-G-A/4443-E-A</w:t>
      </w:r>
      <w:r w:rsidR="00B169FE">
        <w:t>,</w:t>
      </w:r>
      <w:r w:rsidRPr="000B4F2E">
        <w:t xml:space="preserve"> </w:t>
      </w:r>
      <w:r w:rsidR="00E47E22">
        <w:t xml:space="preserve">PG&amp;E </w:t>
      </w:r>
      <w:r w:rsidR="00E47E22" w:rsidRPr="000B4F2E">
        <w:t xml:space="preserve">Advice Letter </w:t>
      </w:r>
      <w:r w:rsidR="00EC5600" w:rsidRPr="00EC5600">
        <w:t>3484-G-B/4443-E-B</w:t>
      </w:r>
      <w:r w:rsidR="00E47E22">
        <w:t xml:space="preserve">, </w:t>
      </w:r>
      <w:r w:rsidR="00785B86">
        <w:t>SCE Advice Letter 3315-E</w:t>
      </w:r>
      <w:r w:rsidR="00EC5600">
        <w:t xml:space="preserve">, and </w:t>
      </w:r>
      <w:r w:rsidR="00747F8F">
        <w:t xml:space="preserve">SoCalGas </w:t>
      </w:r>
      <w:r w:rsidR="00747F8F" w:rsidRPr="00501187">
        <w:t xml:space="preserve">Advice Letter </w:t>
      </w:r>
      <w:r w:rsidR="00747F8F">
        <w:t xml:space="preserve">4946 </w:t>
      </w:r>
      <w:r w:rsidRPr="000B4F2E">
        <w:t xml:space="preserve">were made by publication in the Commission’s Daily </w:t>
      </w:r>
      <w:r w:rsidR="00237F31">
        <w:t xml:space="preserve">Calendar. </w:t>
      </w:r>
      <w:r w:rsidRPr="000B4F2E">
        <w:t>PG&amp;E</w:t>
      </w:r>
      <w:r w:rsidR="00237F31">
        <w:t xml:space="preserve">, </w:t>
      </w:r>
      <w:r w:rsidR="00785B86">
        <w:t>SCE</w:t>
      </w:r>
      <w:r w:rsidR="00237F31">
        <w:t>, and SoCalGas</w:t>
      </w:r>
      <w:r w:rsidR="00785B86">
        <w:t xml:space="preserve"> state</w:t>
      </w:r>
      <w:r w:rsidRPr="000B4F2E">
        <w:t xml:space="preserve"> that copies of </w:t>
      </w:r>
      <w:r w:rsidR="00010E48">
        <w:t xml:space="preserve">their </w:t>
      </w:r>
      <w:r w:rsidR="00010E48">
        <w:rPr>
          <w:rFonts w:ascii="Palatino Linotype" w:hAnsi="Palatino Linotype"/>
        </w:rPr>
        <w:t xml:space="preserve">advice letters </w:t>
      </w:r>
      <w:r w:rsidRPr="000B4F2E">
        <w:t xml:space="preserve">were distributed in accordance with Section IV of </w:t>
      </w:r>
      <w:r>
        <w:t xml:space="preserve">GO </w:t>
      </w:r>
      <w:r w:rsidRPr="000B4F2E">
        <w:t>96-B to parties shown on a dis</w:t>
      </w:r>
      <w:r w:rsidR="003F0DE6">
        <w:t>tribution list attached to the A</w:t>
      </w:r>
      <w:r w:rsidRPr="000B4F2E">
        <w:t xml:space="preserve">dvice </w:t>
      </w:r>
      <w:r w:rsidR="003F0DE6">
        <w:t>L</w:t>
      </w:r>
      <w:r w:rsidRPr="000B4F2E">
        <w:t>etters.</w:t>
      </w:r>
    </w:p>
    <w:p w14:paraId="1BE215DB" w14:textId="77777777" w:rsidR="00CF17DE" w:rsidRDefault="00CF17DE"/>
    <w:p w14:paraId="4B6D2FB3" w14:textId="77777777" w:rsidR="00CF17DE" w:rsidRDefault="00CF17DE">
      <w:pPr>
        <w:pStyle w:val="Heading1"/>
      </w:pPr>
      <w:r>
        <w:t>Protests</w:t>
      </w:r>
    </w:p>
    <w:p w14:paraId="0CBDD3C0" w14:textId="57CC646C" w:rsidR="00CF17DE" w:rsidRDefault="009143EF">
      <w:r w:rsidRPr="00B169FE">
        <w:t>No protests were submitted</w:t>
      </w:r>
      <w:r w:rsidRPr="00C918D5">
        <w:t xml:space="preserve"> to </w:t>
      </w:r>
      <w:r w:rsidR="005E2D8F">
        <w:t xml:space="preserve">any of the </w:t>
      </w:r>
      <w:r w:rsidR="00CF3E67">
        <w:rPr>
          <w:rFonts w:ascii="Palatino Linotype" w:hAnsi="Palatino Linotype"/>
        </w:rPr>
        <w:t>advice l</w:t>
      </w:r>
      <w:r w:rsidR="00010E48">
        <w:rPr>
          <w:rFonts w:ascii="Palatino Linotype" w:hAnsi="Palatino Linotype"/>
        </w:rPr>
        <w:t xml:space="preserve">etters </w:t>
      </w:r>
      <w:r w:rsidR="005E2D8F">
        <w:t>addressed by this Resolution</w:t>
      </w:r>
      <w:r w:rsidR="00747F8F" w:rsidRPr="00621B7A">
        <w:t>.</w:t>
      </w:r>
    </w:p>
    <w:p w14:paraId="778ADF13" w14:textId="77777777" w:rsidR="00B169FE" w:rsidRDefault="00B169FE"/>
    <w:p w14:paraId="69711C2E" w14:textId="77777777" w:rsidR="00CF17DE" w:rsidRPr="008131AF" w:rsidRDefault="00CF17DE">
      <w:pPr>
        <w:pStyle w:val="Heading1"/>
      </w:pPr>
      <w:r w:rsidRPr="008131AF">
        <w:lastRenderedPageBreak/>
        <w:t>Discussion</w:t>
      </w:r>
    </w:p>
    <w:p w14:paraId="22068D1E" w14:textId="7AAC946B" w:rsidR="009129DF" w:rsidRPr="00AD78F4" w:rsidRDefault="009129DF" w:rsidP="009129DF">
      <w:pPr>
        <w:rPr>
          <w:b/>
        </w:rPr>
      </w:pPr>
      <w:r w:rsidRPr="008131AF">
        <w:rPr>
          <w:b/>
        </w:rPr>
        <w:t xml:space="preserve">1. </w:t>
      </w:r>
      <w:r w:rsidR="00AD78F4" w:rsidRPr="008131AF">
        <w:rPr>
          <w:b/>
        </w:rPr>
        <w:t xml:space="preserve">Two types of agreements have been executed </w:t>
      </w:r>
      <w:r w:rsidR="001320DA">
        <w:rPr>
          <w:b/>
        </w:rPr>
        <w:t xml:space="preserve">for </w:t>
      </w:r>
      <w:r w:rsidR="00AD78F4" w:rsidRPr="008131AF">
        <w:rPr>
          <w:b/>
        </w:rPr>
        <w:t xml:space="preserve">utility facility relocation work required for the CHSRA Project: Master Agreements and Utility Agreements. </w:t>
      </w:r>
      <w:r w:rsidRPr="008131AF">
        <w:t xml:space="preserve">The Master Agreements establish CHSRA and utility company obligations regarding the relocation of utility company facilities as required for the CHSRA Project. Separate Master Agreements have been executed between CHSRA and PG&amp;E, CHSRA and SCE, and CHSRA and SoCalGas. </w:t>
      </w:r>
      <w:r w:rsidR="00AD78F4" w:rsidRPr="008131AF">
        <w:t xml:space="preserve">The Master Agreements establish </w:t>
      </w:r>
      <w:r w:rsidR="008131AF" w:rsidRPr="008131AF">
        <w:t>general</w:t>
      </w:r>
      <w:r w:rsidR="00AD78F4" w:rsidRPr="008131AF">
        <w:t xml:space="preserve"> payment, property rights, and other obligations, but </w:t>
      </w:r>
      <w:r w:rsidR="00F00968">
        <w:t xml:space="preserve">defer to location-specific utility agreements to </w:t>
      </w:r>
      <w:r w:rsidR="00AD78F4" w:rsidRPr="008131AF">
        <w:t>establish responsibilities for designing and constructing the relocation of specific utility facilities.</w:t>
      </w:r>
    </w:p>
    <w:p w14:paraId="70606B4C" w14:textId="77777777" w:rsidR="009129DF" w:rsidRDefault="009129DF" w:rsidP="009129DF"/>
    <w:p w14:paraId="3D237A03" w14:textId="77777777" w:rsidR="00C67811" w:rsidRDefault="00C67811" w:rsidP="00C67811">
      <w:r>
        <w:t>The Utility Agreements implement the Master Agreement between CHSRA and each utility company on a site-specific basis. The series of</w:t>
      </w:r>
      <w:r w:rsidRPr="00F47113">
        <w:t xml:space="preserve"> individual real estate transfers (land rights transfers) </w:t>
      </w:r>
      <w:r>
        <w:t xml:space="preserve">required </w:t>
      </w:r>
      <w:r w:rsidRPr="00F47113">
        <w:t xml:space="preserve">for </w:t>
      </w:r>
      <w:r>
        <w:t xml:space="preserve">a </w:t>
      </w:r>
      <w:r w:rsidRPr="00F47113">
        <w:t>spec</w:t>
      </w:r>
      <w:r>
        <w:t xml:space="preserve">ific CHSRA Project work segment </w:t>
      </w:r>
      <w:r w:rsidRPr="00F47113">
        <w:t xml:space="preserve">are grouped </w:t>
      </w:r>
      <w:r>
        <w:t>into</w:t>
      </w:r>
      <w:r w:rsidRPr="00F47113">
        <w:t xml:space="preserve"> </w:t>
      </w:r>
      <w:r>
        <w:t>individual Utility Agreements</w:t>
      </w:r>
      <w:r w:rsidRPr="00F47113">
        <w:t>.</w:t>
      </w:r>
      <w:r>
        <w:t xml:space="preserve"> A number of Utility Agreements between CHSRA and each utility company will be required as shown in Appendix A.</w:t>
      </w:r>
    </w:p>
    <w:p w14:paraId="4F28516F" w14:textId="77777777" w:rsidR="009129DF" w:rsidRDefault="009129DF" w:rsidP="009129DF"/>
    <w:p w14:paraId="350F6713" w14:textId="45ED04CD" w:rsidR="00C67811" w:rsidRPr="008131AF" w:rsidRDefault="00C67811" w:rsidP="00C67811">
      <w:r>
        <w:t>PG</w:t>
      </w:r>
      <w:r w:rsidRPr="008131AF">
        <w:t xml:space="preserve">&amp;E has </w:t>
      </w:r>
      <w:r>
        <w:t xml:space="preserve">already </w:t>
      </w:r>
      <w:r w:rsidRPr="008131AF">
        <w:t>filed three Utility Agreements</w:t>
      </w:r>
      <w:r>
        <w:t xml:space="preserve"> because work in their service territory is proceeding first</w:t>
      </w:r>
      <w:r w:rsidRPr="008131AF">
        <w:t xml:space="preserve">. SCE and SoCalGas have not yet filed Utility Agreements. </w:t>
      </w:r>
      <w:r>
        <w:t xml:space="preserve">Pursuant to the PG&amp;E Utility Agreements, </w:t>
      </w:r>
      <w:r w:rsidRPr="008131AF">
        <w:t>CHSRA will be responsible for the design, procurement of supplies, construction, and system tie-in</w:t>
      </w:r>
      <w:r>
        <w:t xml:space="preserve"> work in PG&amp;E’s service territory</w:t>
      </w:r>
      <w:r w:rsidRPr="008131AF">
        <w:t xml:space="preserve">. For SCE and SoCalGas, CHSRA is expected to have a much narrower scope of responsibilities under </w:t>
      </w:r>
      <w:r>
        <w:t>the anticipated</w:t>
      </w:r>
      <w:r w:rsidRPr="008131AF">
        <w:t xml:space="preserve"> Utility Agreement</w:t>
      </w:r>
      <w:r>
        <w:t>s</w:t>
      </w:r>
      <w:r w:rsidRPr="008131AF">
        <w:t xml:space="preserve">. </w:t>
      </w:r>
      <w:r>
        <w:t>In data response</w:t>
      </w:r>
      <w:r w:rsidR="00790286">
        <w:t>s</w:t>
      </w:r>
      <w:r>
        <w:t xml:space="preserve"> to CPUC staff, </w:t>
      </w:r>
      <w:r w:rsidRPr="008131AF">
        <w:t>SCE and SoCalGas</w:t>
      </w:r>
      <w:r>
        <w:t xml:space="preserve"> stated that they expect </w:t>
      </w:r>
      <w:r w:rsidRPr="008131AF">
        <w:t>to retain all design, procurement, construction, and system tie-in responsibilities.</w:t>
      </w:r>
      <w:r>
        <w:t xml:space="preserve"> </w:t>
      </w:r>
      <w:r w:rsidRPr="008131AF">
        <w:t xml:space="preserve">CHSRA would only be responsible for providing </w:t>
      </w:r>
      <w:r>
        <w:t>data about where utility conflicts with the CHSRA Project would occur</w:t>
      </w:r>
      <w:r w:rsidRPr="008131AF">
        <w:t>, CHSRA Project plans, and other design data and for paying for the design, procurement of supplies, construction, and system tie-in work</w:t>
      </w:r>
      <w:r>
        <w:t xml:space="preserve"> to be</w:t>
      </w:r>
      <w:r w:rsidRPr="008131AF">
        <w:t xml:space="preserve"> completed by SCE and SoCalGas.</w:t>
      </w:r>
    </w:p>
    <w:p w14:paraId="729B9017" w14:textId="77777777" w:rsidR="009129DF" w:rsidRPr="008131AF" w:rsidRDefault="009129DF">
      <w:pPr>
        <w:rPr>
          <w:b/>
        </w:rPr>
      </w:pPr>
    </w:p>
    <w:p w14:paraId="1096926E" w14:textId="35FF4490" w:rsidR="00CF17DE" w:rsidRDefault="009129DF">
      <w:r w:rsidRPr="008131AF">
        <w:rPr>
          <w:b/>
        </w:rPr>
        <w:t>2</w:t>
      </w:r>
      <w:r w:rsidR="001B2E3B" w:rsidRPr="008131AF">
        <w:rPr>
          <w:b/>
        </w:rPr>
        <w:t xml:space="preserve">. </w:t>
      </w:r>
      <w:r w:rsidR="00453DAF" w:rsidRPr="008131AF">
        <w:rPr>
          <w:b/>
        </w:rPr>
        <w:t xml:space="preserve">PG&amp;E has completed limited work for CHSRA pursuant to GO 96-B </w:t>
      </w:r>
      <w:r w:rsidR="006E70C4">
        <w:rPr>
          <w:b/>
        </w:rPr>
        <w:br/>
      </w:r>
      <w:r w:rsidR="00453DAF" w:rsidRPr="008131AF">
        <w:rPr>
          <w:b/>
        </w:rPr>
        <w:t>Section 8.2.3 and Energy Industry Rules Section 5.3(8) for services to government agencies.</w:t>
      </w:r>
      <w:r w:rsidR="00453DAF" w:rsidRPr="008131AF">
        <w:t xml:space="preserve"> </w:t>
      </w:r>
      <w:r w:rsidR="00F77B89" w:rsidRPr="008131AF">
        <w:t xml:space="preserve">PG&amp;E disconnected a number of gas distribution lines to allow for CHSRA Project construction along CP01 to proceed. PG&amp;E has not completed any other construction work at this time. </w:t>
      </w:r>
      <w:r w:rsidR="00F77B89" w:rsidRPr="00453DAF">
        <w:t>PG&amp;E’s work for CHSRA is a matter appropriate to Tier 3 filings</w:t>
      </w:r>
      <w:r w:rsidR="00F77B89">
        <w:t xml:space="preserve">, consistent with </w:t>
      </w:r>
      <w:r w:rsidR="00F77B89" w:rsidRPr="00453DAF">
        <w:t xml:space="preserve">GO 96-B. </w:t>
      </w:r>
      <w:r w:rsidR="00F77B89">
        <w:t xml:space="preserve"> </w:t>
      </w:r>
      <w:r w:rsidR="006E70C4">
        <w:br/>
      </w:r>
      <w:r w:rsidR="00F77B89" w:rsidRPr="00453DAF">
        <w:lastRenderedPageBreak/>
        <w:t xml:space="preserve">AL 3484-G/4443-E was effective pending disposition when filed on June 13, 2014 </w:t>
      </w:r>
      <w:r w:rsidR="00F77B89">
        <w:t>pursuant to</w:t>
      </w:r>
      <w:r w:rsidR="00F77B89" w:rsidRPr="00453DAF">
        <w:t xml:space="preserve"> GO 96-B Section 8.2.3 for service to government agencies, </w:t>
      </w:r>
      <w:r w:rsidR="00F77B89">
        <w:t xml:space="preserve">and </w:t>
      </w:r>
      <w:r w:rsidR="00F77B89" w:rsidRPr="00453DAF">
        <w:t>this Resolution approve</w:t>
      </w:r>
      <w:r w:rsidR="00F77B89">
        <w:t>s</w:t>
      </w:r>
      <w:r w:rsidR="00F77B89" w:rsidRPr="00453DAF">
        <w:t xml:space="preserve"> the reasonableness of </w:t>
      </w:r>
      <w:r w:rsidR="00F77B89">
        <w:t xml:space="preserve">the </w:t>
      </w:r>
      <w:r w:rsidR="00F77B89" w:rsidRPr="00453DAF">
        <w:t>service</w:t>
      </w:r>
      <w:r w:rsidR="00F77B89">
        <w:t>s provided to CHSRA</w:t>
      </w:r>
      <w:r w:rsidR="00F77B89" w:rsidRPr="00453DAF">
        <w:t xml:space="preserve">. </w:t>
      </w:r>
      <w:r w:rsidR="00F77B89" w:rsidRPr="00E70FEC">
        <w:t xml:space="preserve">The findings documented in this Resolution support </w:t>
      </w:r>
      <w:r w:rsidR="00F77B89">
        <w:t>a</w:t>
      </w:r>
      <w:r w:rsidR="00F77B89" w:rsidRPr="00E70FEC">
        <w:t xml:space="preserve"> determination that the </w:t>
      </w:r>
      <w:r w:rsidR="00F77B89">
        <w:t xml:space="preserve">limited gas distribution pipeline disconnection </w:t>
      </w:r>
      <w:r w:rsidR="00F77B89" w:rsidRPr="00E70FEC">
        <w:t xml:space="preserve">services </w:t>
      </w:r>
      <w:r w:rsidR="00F77B89">
        <w:t>already provided by</w:t>
      </w:r>
      <w:r w:rsidR="00F77B89" w:rsidRPr="00E70FEC">
        <w:t xml:space="preserve"> PG&amp;E were reasonable</w:t>
      </w:r>
      <w:r w:rsidR="00243EFB">
        <w:t xml:space="preserve"> and allowed </w:t>
      </w:r>
      <w:r w:rsidR="00243EFB" w:rsidRPr="00243EFB">
        <w:t>pursuant to GO 96-B Section 8.2.3</w:t>
      </w:r>
      <w:r w:rsidR="00F77B89" w:rsidRPr="00E70FEC">
        <w:t>.</w:t>
      </w:r>
      <w:r w:rsidR="00F77B89">
        <w:t xml:space="preserve"> CHSRA</w:t>
      </w:r>
      <w:r w:rsidR="00A7407D">
        <w:t>,</w:t>
      </w:r>
      <w:r w:rsidR="00F77B89">
        <w:t xml:space="preserve"> and not ratepayers</w:t>
      </w:r>
      <w:r w:rsidR="00A7407D">
        <w:t>,</w:t>
      </w:r>
      <w:r w:rsidR="00F77B89">
        <w:t xml:space="preserve"> will pay for this work.</w:t>
      </w:r>
    </w:p>
    <w:p w14:paraId="4B58DA19" w14:textId="77777777" w:rsidR="00453DAF" w:rsidRDefault="00453DAF"/>
    <w:p w14:paraId="14A2803A" w14:textId="349B05E2" w:rsidR="00F77B89" w:rsidRPr="008131AF" w:rsidRDefault="00F77B89" w:rsidP="00F77B89">
      <w:r>
        <w:t xml:space="preserve">SCE and SoCalGas have not yet completed </w:t>
      </w:r>
      <w:r w:rsidRPr="008131AF">
        <w:t xml:space="preserve">work pursuant to their </w:t>
      </w:r>
      <w:r>
        <w:t>M</w:t>
      </w:r>
      <w:r w:rsidRPr="008131AF">
        <w:t xml:space="preserve">aster </w:t>
      </w:r>
      <w:r>
        <w:t>A</w:t>
      </w:r>
      <w:r w:rsidRPr="008131AF">
        <w:t>greements for relocation work with CHSRA. Neither SCE nor SoCalGas have executed a Utility Agreemen</w:t>
      </w:r>
      <w:r w:rsidR="003F0DE6">
        <w:t xml:space="preserve">t with CHSRA at this time. The </w:t>
      </w:r>
      <w:r w:rsidR="00CF3E67">
        <w:rPr>
          <w:rFonts w:ascii="Palatino Linotype" w:hAnsi="Palatino Linotype"/>
        </w:rPr>
        <w:t xml:space="preserve">advice letters </w:t>
      </w:r>
      <w:r w:rsidRPr="008131AF">
        <w:t>already filed and preliminary information about expected future filings for PG&amp;E, SCE, and SoCalGas involvement with the CHSRA Project are listed in Appendix A.</w:t>
      </w:r>
    </w:p>
    <w:p w14:paraId="2AB3D7CF" w14:textId="4EB90B4F" w:rsidR="00453DAF" w:rsidRPr="008131AF" w:rsidRDefault="00453DAF"/>
    <w:p w14:paraId="506AFB29" w14:textId="1F2B3C5C" w:rsidR="00453DAF" w:rsidRDefault="009129DF">
      <w:r w:rsidRPr="008131AF">
        <w:rPr>
          <w:b/>
        </w:rPr>
        <w:t>3</w:t>
      </w:r>
      <w:r w:rsidR="001B2E3B" w:rsidRPr="008131AF">
        <w:rPr>
          <w:b/>
        </w:rPr>
        <w:t xml:space="preserve">. </w:t>
      </w:r>
      <w:r w:rsidR="00E70FEC" w:rsidRPr="008131AF">
        <w:rPr>
          <w:b/>
        </w:rPr>
        <w:t xml:space="preserve">State of California Standard Form 213 was used for the PG&amp;E Utility Agreements and </w:t>
      </w:r>
      <w:r w:rsidR="00CC1129">
        <w:rPr>
          <w:b/>
        </w:rPr>
        <w:t>is expected to</w:t>
      </w:r>
      <w:r w:rsidR="00CC1129" w:rsidRPr="008131AF">
        <w:rPr>
          <w:b/>
        </w:rPr>
        <w:t xml:space="preserve"> </w:t>
      </w:r>
      <w:r w:rsidR="00E70FEC" w:rsidRPr="008131AF">
        <w:rPr>
          <w:b/>
        </w:rPr>
        <w:t>be used for the SCE and SoCalGas Utility Agreements instead of the utility-company forms already documented with the Commission.</w:t>
      </w:r>
      <w:r w:rsidR="0020790E">
        <w:rPr>
          <w:b/>
        </w:rPr>
        <w:t xml:space="preserve"> </w:t>
      </w:r>
      <w:r w:rsidR="00E70FEC">
        <w:t xml:space="preserve">Use of a </w:t>
      </w:r>
      <w:r w:rsidR="00E70FEC" w:rsidRPr="00E70FEC">
        <w:t xml:space="preserve">State of California form for agreements with CHSRA </w:t>
      </w:r>
      <w:r w:rsidR="00E70FEC">
        <w:t xml:space="preserve">instead of a standard PG&amp;E form was required, primarily, because </w:t>
      </w:r>
      <w:r w:rsidR="00E70FEC" w:rsidRPr="00E70FEC">
        <w:t xml:space="preserve">CHSRA </w:t>
      </w:r>
      <w:r w:rsidR="00E70FEC">
        <w:t>cannot provide</w:t>
      </w:r>
      <w:r w:rsidR="00E70FEC" w:rsidRPr="00E70FEC">
        <w:t xml:space="preserve"> </w:t>
      </w:r>
      <w:r w:rsidR="00E70FEC">
        <w:t xml:space="preserve">advanced </w:t>
      </w:r>
      <w:r w:rsidR="00E70FEC" w:rsidRPr="00E70FEC">
        <w:t xml:space="preserve">funding (an engineering advance) as required by PG&amp;E standard practices. </w:t>
      </w:r>
      <w:r w:rsidR="00F221A4">
        <w:t xml:space="preserve">Instead, PG&amp;E will bill </w:t>
      </w:r>
      <w:r w:rsidR="00E70FEC" w:rsidRPr="00E70FEC">
        <w:t>CHSRA on an “actual cost” basis with billing occurring progressively as work is performed or at project completion.</w:t>
      </w:r>
      <w:r w:rsidR="00E70FEC">
        <w:t xml:space="preserve"> </w:t>
      </w:r>
      <w:r w:rsidR="00AF542F">
        <w:t>Use of the non-standard form is reasonable, and i</w:t>
      </w:r>
      <w:r w:rsidR="00E70FEC">
        <w:t xml:space="preserve">t is anticipated that the same </w:t>
      </w:r>
      <w:r w:rsidR="00AF542F">
        <w:t xml:space="preserve">form </w:t>
      </w:r>
      <w:r w:rsidR="00E70FEC">
        <w:t xml:space="preserve">will </w:t>
      </w:r>
      <w:r w:rsidR="00AF542F">
        <w:t xml:space="preserve">be used for the </w:t>
      </w:r>
      <w:r w:rsidR="00E70FEC">
        <w:t>SCE and SoCalGas Utility Agreements.</w:t>
      </w:r>
    </w:p>
    <w:p w14:paraId="7FD6FE9F" w14:textId="77777777" w:rsidR="008A1626" w:rsidRDefault="008A1626"/>
    <w:p w14:paraId="0CB0FBA6" w14:textId="570F436C" w:rsidR="00DA20E1" w:rsidRDefault="00BF019D" w:rsidP="00412217">
      <w:r w:rsidRPr="00BF019D">
        <w:rPr>
          <w:b/>
        </w:rPr>
        <w:t xml:space="preserve">4. </w:t>
      </w:r>
      <w:r w:rsidR="00A678DF">
        <w:rPr>
          <w:b/>
        </w:rPr>
        <w:t>D</w:t>
      </w:r>
      <w:r w:rsidR="00412217" w:rsidRPr="00412217">
        <w:rPr>
          <w:b/>
        </w:rPr>
        <w:t xml:space="preserve">eviations to utility-company Rules for service extensions </w:t>
      </w:r>
      <w:r w:rsidR="00A678DF">
        <w:rPr>
          <w:b/>
        </w:rPr>
        <w:t xml:space="preserve">were </w:t>
      </w:r>
      <w:r w:rsidR="00412217" w:rsidRPr="00412217">
        <w:rPr>
          <w:b/>
        </w:rPr>
        <w:t>required to complete the</w:t>
      </w:r>
      <w:r w:rsidR="009310BB">
        <w:rPr>
          <w:b/>
        </w:rPr>
        <w:t xml:space="preserve"> Master Agreements and Utility Agreements</w:t>
      </w:r>
      <w:r w:rsidR="00546692">
        <w:rPr>
          <w:b/>
        </w:rPr>
        <w:t xml:space="preserve"> with CHSRA</w:t>
      </w:r>
      <w:r w:rsidR="00546692" w:rsidRPr="00A678DF">
        <w:rPr>
          <w:b/>
        </w:rPr>
        <w:t xml:space="preserve">. </w:t>
      </w:r>
      <w:r w:rsidR="00546692" w:rsidRPr="00A678DF">
        <w:t>The relocation work will be performed based on actual costs and not estimated costs</w:t>
      </w:r>
      <w:r w:rsidR="00546692">
        <w:t xml:space="preserve">, as required by </w:t>
      </w:r>
      <w:r w:rsidR="005265FA">
        <w:t xml:space="preserve">the </w:t>
      </w:r>
      <w:r w:rsidR="005265FA" w:rsidRPr="00C73D30">
        <w:t>California High-Speed Rail Act</w:t>
      </w:r>
      <w:r w:rsidR="00546692" w:rsidRPr="00A678DF">
        <w:t>. This differs from the utility company standard practices established in electric and gas tariff Rules adopted by the Commission.</w:t>
      </w:r>
      <w:r w:rsidR="00546692" w:rsidRPr="00A678DF">
        <w:rPr>
          <w:rStyle w:val="FootnoteReference"/>
        </w:rPr>
        <w:footnoteReference w:id="5"/>
      </w:r>
      <w:r w:rsidR="00546692" w:rsidRPr="00A678DF">
        <w:t xml:space="preserve"> </w:t>
      </w:r>
      <w:r w:rsidR="00DA20E1">
        <w:t xml:space="preserve">In addition, </w:t>
      </w:r>
      <w:r w:rsidR="00F73DA1">
        <w:t xml:space="preserve">the Master Agreements specify that </w:t>
      </w:r>
      <w:r w:rsidR="00DA20E1">
        <w:t xml:space="preserve">funding for </w:t>
      </w:r>
      <w:r w:rsidR="00DA20E1">
        <w:lastRenderedPageBreak/>
        <w:t>the relocation work is contingent upon passage of the State Budget Act and the allocation of funding for each Utility Agreement.</w:t>
      </w:r>
    </w:p>
    <w:p w14:paraId="1098443D" w14:textId="77777777" w:rsidR="00DA20E1" w:rsidRDefault="00DA20E1" w:rsidP="00412217"/>
    <w:p w14:paraId="511D592F" w14:textId="7F3EE93C" w:rsidR="00412217" w:rsidRDefault="00546692" w:rsidP="00412217">
      <w:r w:rsidRPr="00A678DF">
        <w:t>The</w:t>
      </w:r>
      <w:r w:rsidR="00F73DA1">
        <w:t>se</w:t>
      </w:r>
      <w:r w:rsidRPr="00A678DF">
        <w:t xml:space="preserve"> deviations were properly documented by the utilities and filed for Commission approval. The deviations to utility-company Rules </w:t>
      </w:r>
      <w:r>
        <w:t xml:space="preserve">to accommodate the repayment structure required by CHSRA </w:t>
      </w:r>
      <w:r w:rsidRPr="00A678DF">
        <w:t xml:space="preserve">are reasonable. </w:t>
      </w:r>
    </w:p>
    <w:p w14:paraId="6B060333" w14:textId="77777777" w:rsidR="00617586" w:rsidRDefault="00617586" w:rsidP="00412217"/>
    <w:p w14:paraId="66876632" w14:textId="6A77F1A5" w:rsidR="00016845" w:rsidRDefault="00BF019D" w:rsidP="00BD096E">
      <w:pPr>
        <w:pStyle w:val="Res-Caption"/>
        <w:ind w:left="0" w:right="0"/>
      </w:pPr>
      <w:r>
        <w:rPr>
          <w:b/>
        </w:rPr>
        <w:t>5</w:t>
      </w:r>
      <w:r w:rsidR="001B2E3B" w:rsidRPr="00BD096E">
        <w:rPr>
          <w:b/>
        </w:rPr>
        <w:t xml:space="preserve">. </w:t>
      </w:r>
      <w:r w:rsidR="009058DA">
        <w:rPr>
          <w:b/>
        </w:rPr>
        <w:t>PU</w:t>
      </w:r>
      <w:r w:rsidR="009F77C9">
        <w:rPr>
          <w:b/>
        </w:rPr>
        <w:t xml:space="preserve"> </w:t>
      </w:r>
      <w:r w:rsidR="009058DA">
        <w:rPr>
          <w:b/>
        </w:rPr>
        <w:t>C</w:t>
      </w:r>
      <w:r w:rsidR="009F77C9">
        <w:rPr>
          <w:b/>
        </w:rPr>
        <w:t>ode</w:t>
      </w:r>
      <w:r w:rsidR="009058DA">
        <w:rPr>
          <w:b/>
        </w:rPr>
        <w:t xml:space="preserve"> </w:t>
      </w:r>
      <w:r w:rsidR="00016845" w:rsidRPr="00BD096E">
        <w:rPr>
          <w:b/>
        </w:rPr>
        <w:t>Section 185000 et seq. (California High-Speed Rail Act) require</w:t>
      </w:r>
      <w:r w:rsidR="00243EFB">
        <w:rPr>
          <w:b/>
        </w:rPr>
        <w:t>s</w:t>
      </w:r>
      <w:r w:rsidR="00016845" w:rsidRPr="00BD096E">
        <w:rPr>
          <w:b/>
        </w:rPr>
        <w:t xml:space="preserve"> that CHSRA pay the reasonable and necessary costs of PG&amp;E, SCE, and SoCalGas relocations or removals needed to accommodate the Project subject to credits to which CHSRA is entitled.</w:t>
      </w:r>
      <w:r w:rsidR="00016845" w:rsidRPr="00BD096E">
        <w:t xml:space="preserve"> </w:t>
      </w:r>
      <w:r w:rsidR="00016845" w:rsidRPr="00016845">
        <w:t>The agreements govern the obligations of PG&amp;E, SCE, SoCalGas, and CHSRA regarding electric and gas facility relocation, including but not limited to</w:t>
      </w:r>
      <w:r w:rsidR="00403ECF">
        <w:t>,</w:t>
      </w:r>
      <w:r w:rsidR="00016845" w:rsidRPr="00016845">
        <w:t xml:space="preserve"> labor, materials, design, safety, permitting, land acquisition, construction, and system tie-in. The agreements reasonably set forth the responsibilities of both parties.</w:t>
      </w:r>
    </w:p>
    <w:p w14:paraId="6434E13B" w14:textId="77777777" w:rsidR="00BD096E" w:rsidRPr="00BD096E" w:rsidRDefault="00BD096E" w:rsidP="00BD096E">
      <w:pPr>
        <w:pStyle w:val="Res-Caption"/>
        <w:ind w:left="0" w:right="0"/>
      </w:pPr>
    </w:p>
    <w:p w14:paraId="424B8F73" w14:textId="66B5A31C" w:rsidR="00252D15" w:rsidRDefault="00252D15" w:rsidP="00252D15">
      <w:pPr>
        <w:pStyle w:val="Res-Caption"/>
        <w:ind w:left="0" w:right="0"/>
      </w:pPr>
      <w:r w:rsidRPr="00FE35DA">
        <w:t>The scope of the agreements a</w:t>
      </w:r>
      <w:r>
        <w:t>ppropriately addresses relocation and not expansion</w:t>
      </w:r>
      <w:r w:rsidRPr="00FE35DA">
        <w:t xml:space="preserve"> of </w:t>
      </w:r>
      <w:r>
        <w:t>utility</w:t>
      </w:r>
      <w:r w:rsidRPr="00FE35DA">
        <w:t xml:space="preserve"> facilities. “Relocation,” as defined in the agreements, does not include the expansion of facilities.  This is an appropriate limitation of scope and consistent with PU</w:t>
      </w:r>
      <w:r w:rsidR="009F77C9">
        <w:t xml:space="preserve"> </w:t>
      </w:r>
      <w:r w:rsidRPr="00FE35DA">
        <w:t>C</w:t>
      </w:r>
      <w:r w:rsidR="009F77C9">
        <w:t>ode</w:t>
      </w:r>
      <w:r w:rsidRPr="00FE35DA">
        <w:t xml:space="preserve"> Section 185000 et seq.</w:t>
      </w:r>
    </w:p>
    <w:p w14:paraId="158681F9" w14:textId="77777777" w:rsidR="00BD096E" w:rsidRDefault="00BD096E" w:rsidP="00BD096E">
      <w:pPr>
        <w:pStyle w:val="Res-Caption"/>
        <w:ind w:left="0" w:right="0"/>
      </w:pPr>
    </w:p>
    <w:p w14:paraId="63F5BB25" w14:textId="40806BC5" w:rsidR="00D17659" w:rsidRDefault="00D17659" w:rsidP="00D17659">
      <w:r>
        <w:rPr>
          <w:b/>
        </w:rPr>
        <w:t xml:space="preserve">6. </w:t>
      </w:r>
      <w:r w:rsidRPr="00D354CB">
        <w:rPr>
          <w:b/>
        </w:rPr>
        <w:t xml:space="preserve">Relocation work costs will only be passed on to ratepayers in the form of </w:t>
      </w:r>
      <w:r>
        <w:rPr>
          <w:b/>
        </w:rPr>
        <w:t>“</w:t>
      </w:r>
      <w:r w:rsidRPr="00D354CB">
        <w:rPr>
          <w:b/>
        </w:rPr>
        <w:t>credits</w:t>
      </w:r>
      <w:r>
        <w:rPr>
          <w:b/>
        </w:rPr>
        <w:t>”</w:t>
      </w:r>
      <w:r w:rsidRPr="00D354CB">
        <w:rPr>
          <w:b/>
        </w:rPr>
        <w:t xml:space="preserve"> to CHSRA</w:t>
      </w:r>
      <w:r>
        <w:rPr>
          <w:b/>
        </w:rPr>
        <w:t>.</w:t>
      </w:r>
      <w:r>
        <w:t xml:space="preserve"> </w:t>
      </w:r>
      <w:r w:rsidRPr="00D354CB">
        <w:t xml:space="preserve">The </w:t>
      </w:r>
      <w:r w:rsidR="00247615" w:rsidRPr="00247615">
        <w:t xml:space="preserve">Master Agreements </w:t>
      </w:r>
      <w:r>
        <w:t>state</w:t>
      </w:r>
      <w:r w:rsidRPr="00D354CB">
        <w:t xml:space="preserve"> that CHSRA would be credited </w:t>
      </w:r>
      <w:r>
        <w:t xml:space="preserve">an amount that is equivalent, in general terms, to </w:t>
      </w:r>
      <w:r w:rsidRPr="00D354CB">
        <w:t xml:space="preserve">the extent to which </w:t>
      </w:r>
      <w:r>
        <w:t>the utility company</w:t>
      </w:r>
      <w:r w:rsidRPr="00D354CB">
        <w:t xml:space="preserve"> and its customers would benefit from the installation </w:t>
      </w:r>
      <w:r>
        <w:t>of</w:t>
      </w:r>
      <w:r w:rsidRPr="00D354CB">
        <w:t xml:space="preserve"> </w:t>
      </w:r>
      <w:r w:rsidR="00F00968">
        <w:t xml:space="preserve">new and/or </w:t>
      </w:r>
      <w:r w:rsidRPr="00D354CB">
        <w:t xml:space="preserve">upgraded </w:t>
      </w:r>
      <w:r w:rsidR="00F00968">
        <w:t xml:space="preserve">replacement </w:t>
      </w:r>
      <w:r w:rsidRPr="00D354CB">
        <w:t>facilities</w:t>
      </w:r>
      <w:r w:rsidR="00C45C38">
        <w:t xml:space="preserve"> (</w:t>
      </w:r>
      <w:r w:rsidR="00F00968">
        <w:t>e.g., new facilities replacing existing facilities thereby extending service life</w:t>
      </w:r>
      <w:r w:rsidR="00C45C38">
        <w:t>)</w:t>
      </w:r>
      <w:r w:rsidRPr="00D354CB">
        <w:t xml:space="preserve">. </w:t>
      </w:r>
      <w:r>
        <w:t xml:space="preserve">The credit amount is determined based on the term </w:t>
      </w:r>
      <w:r w:rsidRPr="00065A1A">
        <w:rPr>
          <w:i/>
        </w:rPr>
        <w:t>betterment</w:t>
      </w:r>
      <w:r>
        <w:t xml:space="preserve"> as defined in the Master Agreements and based on the age of the facility to be relocated (i.e., a depreciation credit calculation) and salvage value or parts retained by the utility company. The specific factors used for completing the credit calculation are established in the </w:t>
      </w:r>
      <w:r w:rsidRPr="003A4677">
        <w:t xml:space="preserve">California High-Speed Rail Act </w:t>
      </w:r>
      <w:r>
        <w:t>and do not vary among the Master Agreements between CHSRA and each utility company. The credits are appropriate and will be the only costs transferred to the ratepayers of each utility company for relocation work.</w:t>
      </w:r>
    </w:p>
    <w:p w14:paraId="651974B9" w14:textId="77777777" w:rsidR="00D17659" w:rsidRDefault="00D17659" w:rsidP="00D17659"/>
    <w:p w14:paraId="1C9FC7D5" w14:textId="77777777" w:rsidR="00D17659" w:rsidRPr="00725008" w:rsidRDefault="00D17659" w:rsidP="00D17659">
      <w:pPr>
        <w:rPr>
          <w:i/>
        </w:rPr>
      </w:pPr>
      <w:r w:rsidRPr="00725008">
        <w:rPr>
          <w:i/>
        </w:rPr>
        <w:t>Cost Estimates</w:t>
      </w:r>
    </w:p>
    <w:p w14:paraId="38C1FC10" w14:textId="0BD4681E" w:rsidR="00D17659" w:rsidRDefault="00D17659" w:rsidP="00D17659">
      <w:r>
        <w:t xml:space="preserve">Cost estimates for the credits are not yet available from SCE and SoCalGas. Cost estimates </w:t>
      </w:r>
      <w:r w:rsidRPr="005A0268">
        <w:t xml:space="preserve">from PG&amp;E are available for work planned from 2014 through 2019. PG&amp;E’s cost estimate through 2019 for electric and gas relocation work in their </w:t>
      </w:r>
      <w:r w:rsidRPr="005A0268">
        <w:lastRenderedPageBreak/>
        <w:t>2017 General Rate Case is $23.7 million (A.15-09-001</w:t>
      </w:r>
      <w:r w:rsidR="007F5C03" w:rsidRPr="005A0268">
        <w:t>; final decision</w:t>
      </w:r>
      <w:r w:rsidR="007F5C03">
        <w:t xml:space="preserve"> expected in December 2016</w:t>
      </w:r>
      <w:r>
        <w:t>)</w:t>
      </w:r>
      <w:r w:rsidRPr="00A545AA">
        <w:t xml:space="preserve">. PG&amp;E assumed that relocation work activities from Madera to north of Bakersfield would be completed for this estimate (i.e., CP01, CP02, CP03, and CP04 facility relocations would be completed). PG&amp;E’s cost estimate through 2017 for gas transmission </w:t>
      </w:r>
      <w:r w:rsidRPr="00177903">
        <w:t xml:space="preserve">relocation work in their 2015 Gas Transmission and Storage Rate Case is $26.6 million (A.13-12-012). Together, this equates to $50.3 million in credits charged to ratepayers. This estimate through 2019 </w:t>
      </w:r>
      <w:r w:rsidR="005A0268" w:rsidRPr="00177903">
        <w:t xml:space="preserve">will </w:t>
      </w:r>
      <w:r w:rsidRPr="00177903">
        <w:t>change based on the outcome of those proceedings and because estimates for the next Gas Transmission and Storage Rate Case are not yet available from PG&amp;E.</w:t>
      </w:r>
      <w:r w:rsidRPr="00177903">
        <w:rPr>
          <w:rStyle w:val="FootnoteReference"/>
        </w:rPr>
        <w:footnoteReference w:id="6"/>
      </w:r>
    </w:p>
    <w:p w14:paraId="04EFC8CF" w14:textId="77777777" w:rsidR="00D17659" w:rsidRDefault="00D17659" w:rsidP="00D17659"/>
    <w:p w14:paraId="7DF75C40" w14:textId="3DEF4225" w:rsidR="00D17659" w:rsidRDefault="00D17659" w:rsidP="00D17659">
      <w:r w:rsidRPr="00F03C81">
        <w:t>Additional relocation work costs will be included in PG&amp;</w:t>
      </w:r>
      <w:r w:rsidRPr="00F83294">
        <w:t xml:space="preserve">E’s 2019 General Rate Case (to be filed in 2017) and </w:t>
      </w:r>
      <w:r>
        <w:t>the next</w:t>
      </w:r>
      <w:r w:rsidRPr="00F83294">
        <w:t xml:space="preserve"> Gas Transmission and Storage Rate</w:t>
      </w:r>
      <w:r w:rsidRPr="00F03C81">
        <w:t xml:space="preserve"> Case. PG&amp;E data indicate that the cost of credits charged to ratepayers for electric and gas facility relocations will range from roughly 5 to 10 percent of the costs incurred by CHSRA. </w:t>
      </w:r>
      <w:proofErr w:type="spellStart"/>
      <w:r>
        <w:t>SoCalGas’s</w:t>
      </w:r>
      <w:proofErr w:type="spellEnd"/>
      <w:r>
        <w:t xml:space="preserve"> 2016 General Rate Case was filed in application </w:t>
      </w:r>
      <w:r w:rsidRPr="004C74F6">
        <w:t>A.14-11-004</w:t>
      </w:r>
      <w:r>
        <w:t xml:space="preserve"> jointly with San Diego Gas and Electric Company on </w:t>
      </w:r>
      <w:r w:rsidR="006E70C4">
        <w:br/>
      </w:r>
      <w:r>
        <w:t xml:space="preserve">November 14, 2014. </w:t>
      </w:r>
      <w:r w:rsidRPr="008C5909">
        <w:t xml:space="preserve">SoCalGas states that no work for the CHSRA Project was included in this or </w:t>
      </w:r>
      <w:r>
        <w:t xml:space="preserve">its </w:t>
      </w:r>
      <w:r w:rsidRPr="008C5909">
        <w:t xml:space="preserve">prior general rate cases. SCE’s 2018 General Rate Case </w:t>
      </w:r>
      <w:r>
        <w:t>is expected to</w:t>
      </w:r>
      <w:r w:rsidRPr="008C5909">
        <w:t xml:space="preserve"> be filed in </w:t>
      </w:r>
      <w:r>
        <w:t xml:space="preserve">September </w:t>
      </w:r>
      <w:r w:rsidRPr="008C5909">
        <w:t>2016.</w:t>
      </w:r>
    </w:p>
    <w:p w14:paraId="13BA0F9D" w14:textId="77777777" w:rsidR="00D17659" w:rsidRDefault="00D17659" w:rsidP="007C6CDB"/>
    <w:p w14:paraId="438F8DDA" w14:textId="7181F39C" w:rsidR="00BC0AC1" w:rsidRDefault="00D17659">
      <w:r>
        <w:rPr>
          <w:b/>
        </w:rPr>
        <w:t>7</w:t>
      </w:r>
      <w:r w:rsidR="00BC0AC1">
        <w:rPr>
          <w:b/>
        </w:rPr>
        <w:t xml:space="preserve">. </w:t>
      </w:r>
      <w:r w:rsidR="00BC0AC1" w:rsidRPr="00BC0AC1">
        <w:rPr>
          <w:b/>
        </w:rPr>
        <w:t>PG&amp;E</w:t>
      </w:r>
      <w:r w:rsidR="00BC0AC1">
        <w:rPr>
          <w:b/>
        </w:rPr>
        <w:t xml:space="preserve">, SCE, and SoCalGas </w:t>
      </w:r>
      <w:r w:rsidR="00BC0AC1" w:rsidRPr="00BC0AC1">
        <w:rPr>
          <w:b/>
        </w:rPr>
        <w:t xml:space="preserve">have large service areas and their </w:t>
      </w:r>
      <w:r w:rsidR="00BC0AC1">
        <w:rPr>
          <w:b/>
        </w:rPr>
        <w:t>General Rate Case</w:t>
      </w:r>
      <w:r w:rsidR="00BC0AC1" w:rsidRPr="00BC0AC1">
        <w:rPr>
          <w:b/>
        </w:rPr>
        <w:t xml:space="preserve"> processes are very complex. Contractual negotiations between </w:t>
      </w:r>
      <w:r w:rsidR="00BC0AC1">
        <w:rPr>
          <w:b/>
        </w:rPr>
        <w:t xml:space="preserve">the utility companies </w:t>
      </w:r>
      <w:r w:rsidR="00BC0AC1" w:rsidRPr="00BC0AC1">
        <w:rPr>
          <w:b/>
        </w:rPr>
        <w:t xml:space="preserve">and CHSRA have also been complex. Diligence is required by all parties to ensure that costs are not inadvertently passed onto ratepayers in a </w:t>
      </w:r>
      <w:r w:rsidR="00BC0AC1">
        <w:rPr>
          <w:b/>
        </w:rPr>
        <w:t>General Rate Case</w:t>
      </w:r>
      <w:r w:rsidR="00BC0AC1" w:rsidRPr="00BC0AC1">
        <w:rPr>
          <w:b/>
        </w:rPr>
        <w:t xml:space="preserve"> that should be invoiced to CHSRA</w:t>
      </w:r>
      <w:r w:rsidR="00BC0AC1">
        <w:rPr>
          <w:b/>
        </w:rPr>
        <w:t>.</w:t>
      </w:r>
      <w:r w:rsidR="004827B4">
        <w:rPr>
          <w:b/>
        </w:rPr>
        <w:t xml:space="preserve"> </w:t>
      </w:r>
      <w:r w:rsidR="001C3CF2">
        <w:t>An example of the complex negotiations between CHSRA and the utility companies is PG&amp;E’s request for payment to complete g</w:t>
      </w:r>
      <w:r w:rsidR="004827B4" w:rsidRPr="004827B4">
        <w:t xml:space="preserve">as distribution line service cut-offs completed in 2014 </w:t>
      </w:r>
      <w:r w:rsidR="001C3CF2">
        <w:t xml:space="preserve">at a </w:t>
      </w:r>
      <w:r w:rsidR="004827B4" w:rsidRPr="004827B4">
        <w:t xml:space="preserve">cost </w:t>
      </w:r>
      <w:r w:rsidR="001C3CF2">
        <w:t xml:space="preserve">of </w:t>
      </w:r>
      <w:r w:rsidR="004827B4" w:rsidRPr="004827B4">
        <w:t>$147,000</w:t>
      </w:r>
      <w:r w:rsidR="001C3CF2">
        <w:t xml:space="preserve">. </w:t>
      </w:r>
      <w:r w:rsidR="004827B4" w:rsidRPr="004827B4">
        <w:t xml:space="preserve">PG&amp;E disconnected and capped gas distribution lines that serve buildings to be demolished as part of the Project’s CP01 work </w:t>
      </w:r>
      <w:r w:rsidR="004827B4" w:rsidRPr="004827B4">
        <w:lastRenderedPageBreak/>
        <w:t>area. The costs</w:t>
      </w:r>
      <w:r w:rsidR="00B515F8">
        <w:t xml:space="preserve"> </w:t>
      </w:r>
      <w:r w:rsidR="004827B4">
        <w:t>were</w:t>
      </w:r>
      <w:r w:rsidR="004827B4" w:rsidRPr="004827B4">
        <w:t xml:space="preserve"> included in PG&amp;E’s 2017 General Rate Case application (A.15-09-001</w:t>
      </w:r>
      <w:r w:rsidR="001C3CF2">
        <w:t>) as filed on September 1, 2015</w:t>
      </w:r>
      <w:r w:rsidR="00B515F8">
        <w:t>.</w:t>
      </w:r>
      <w:r w:rsidR="001C3CF2">
        <w:t xml:space="preserve"> </w:t>
      </w:r>
    </w:p>
    <w:p w14:paraId="42CB8980" w14:textId="77777777" w:rsidR="00B515F8" w:rsidRDefault="00B515F8"/>
    <w:p w14:paraId="6A3257B5" w14:textId="22CEEE59" w:rsidR="00CB6288" w:rsidRDefault="004827B4">
      <w:r w:rsidRPr="004827B4">
        <w:t xml:space="preserve">PG&amp;E explained </w:t>
      </w:r>
      <w:r w:rsidR="00B515F8">
        <w:t xml:space="preserve">to Commission staff </w:t>
      </w:r>
      <w:r w:rsidRPr="004827B4">
        <w:t xml:space="preserve">on December 4, 2015 that costs associated with Work Requested by </w:t>
      </w:r>
      <w:proofErr w:type="gramStart"/>
      <w:r w:rsidRPr="004827B4">
        <w:t>Others</w:t>
      </w:r>
      <w:proofErr w:type="gramEnd"/>
      <w:r w:rsidRPr="004827B4">
        <w:t xml:space="preserve"> (e.g., CHSRA) as defined in the General Rate Case application are recorded in PG&amp;E’s financial system, and reimbursement might not be collected from the responsible entity until a future date for reasons including, but not limited to, contractual terms for invoicing. Once cost</w:t>
      </w:r>
      <w:r w:rsidR="00B570A1">
        <w:t>s</w:t>
      </w:r>
      <w:r w:rsidRPr="004827B4">
        <w:t xml:space="preserve"> are recovered, the appropriate accounting entries will be made to reflect the net cost to PG&amp;E, if any, that remain. Upon execution of the appropriate contract with CHSRA, PG&amp;E will invoice CHSRA the $147,000, which, if fully reimbursed, will result in a $0 net plant balance for this work.</w:t>
      </w:r>
      <w:r w:rsidR="00CB6288">
        <w:t xml:space="preserve"> </w:t>
      </w:r>
    </w:p>
    <w:p w14:paraId="5F48DB65" w14:textId="77777777" w:rsidR="00CB6288" w:rsidRDefault="00CB6288"/>
    <w:p w14:paraId="0AF0AE0A" w14:textId="4E6FA9F7" w:rsidR="001C3CF2" w:rsidRDefault="00CB6288">
      <w:r>
        <w:t xml:space="preserve">The letter agreement provided in supplemental </w:t>
      </w:r>
      <w:r w:rsidRPr="00CB6288">
        <w:t>Advice Letter 3484-G-B/4443-E-B filed on April 1, 2016</w:t>
      </w:r>
      <w:r>
        <w:t>, appropriately addresses this issue.</w:t>
      </w:r>
      <w:r w:rsidRPr="00CB6288">
        <w:t xml:space="preserve"> </w:t>
      </w:r>
      <w:r>
        <w:t>The letter agreement provides that PG&amp;E will coordinate the disconnection work by communicating directly with CHSRA’s contractor responsib</w:t>
      </w:r>
      <w:r w:rsidR="00712367">
        <w:t xml:space="preserve">le for demolishing structures </w:t>
      </w:r>
      <w:r>
        <w:t>and invoicing the contractor directly for the disconnection work, including service facilities. The invoicing will be on a progress bill basis and based on PG&amp;E’s actual costs.</w:t>
      </w:r>
      <w:r w:rsidR="001C3CF2">
        <w:t xml:space="preserve"> There will be a large number of disconnections required along the CHSRA Project alignment. PG&amp;E added the letter agreement to its list of contracts and deviations.</w:t>
      </w:r>
    </w:p>
    <w:p w14:paraId="26F4A96B" w14:textId="77777777" w:rsidR="001C3CF2" w:rsidRDefault="001C3CF2"/>
    <w:p w14:paraId="2FA3ECB4" w14:textId="3F91A69F" w:rsidR="009F77C9" w:rsidRDefault="009F77C9" w:rsidP="009F77C9">
      <w:r>
        <w:t xml:space="preserve">Given this example of the complex, long-term negotiations between CHSRA and the utility companies, and the potential effect on utility company rate cases, it is reasonable for this Resolution to </w:t>
      </w:r>
      <w:r w:rsidR="006F0769">
        <w:t>clarify</w:t>
      </w:r>
      <w:r>
        <w:t xml:space="preserve"> that </w:t>
      </w:r>
      <w:r w:rsidRPr="001C3CF2">
        <w:t xml:space="preserve">PG&amp;E, SCE, and SoCalGas </w:t>
      </w:r>
      <w:r>
        <w:t xml:space="preserve">must not seek </w:t>
      </w:r>
      <w:r w:rsidRPr="001C3CF2">
        <w:t xml:space="preserve">cost recovery </w:t>
      </w:r>
      <w:r>
        <w:t xml:space="preserve">from the </w:t>
      </w:r>
      <w:r w:rsidRPr="001C3CF2">
        <w:t>Commission</w:t>
      </w:r>
      <w:r>
        <w:t xml:space="preserve"> for</w:t>
      </w:r>
      <w:r w:rsidRPr="001C3CF2">
        <w:t xml:space="preserve"> any CHSRA Project work performed by PG&amp;E, SCE, SoCalGas or their contractors for</w:t>
      </w:r>
      <w:r>
        <w:t xml:space="preserve"> which </w:t>
      </w:r>
      <w:r w:rsidRPr="001C3CF2">
        <w:t>CHSRA or its contractors</w:t>
      </w:r>
      <w:r>
        <w:t xml:space="preserve"> are responsible for payment</w:t>
      </w:r>
      <w:r w:rsidRPr="001C3CF2">
        <w:t>.</w:t>
      </w:r>
    </w:p>
    <w:p w14:paraId="4CEBA860" w14:textId="77777777" w:rsidR="001C3CF2" w:rsidRDefault="001C3CF2"/>
    <w:p w14:paraId="132A7BEC" w14:textId="2CFD4E7A" w:rsidR="0080481C" w:rsidRDefault="00D17659" w:rsidP="0080481C">
      <w:r>
        <w:rPr>
          <w:b/>
        </w:rPr>
        <w:t>8</w:t>
      </w:r>
      <w:r w:rsidR="007F10DD">
        <w:rPr>
          <w:b/>
        </w:rPr>
        <w:t>.</w:t>
      </w:r>
      <w:r w:rsidR="00C13760">
        <w:rPr>
          <w:b/>
        </w:rPr>
        <w:t xml:space="preserve"> </w:t>
      </w:r>
      <w:r w:rsidR="00C13760" w:rsidRPr="00C13760">
        <w:rPr>
          <w:b/>
        </w:rPr>
        <w:t xml:space="preserve">The billing arrangements specified in the PG&amp;E Utility Agreements are appropriate and similar terms would be appropriate for </w:t>
      </w:r>
      <w:r w:rsidR="007A2701">
        <w:rPr>
          <w:b/>
        </w:rPr>
        <w:t xml:space="preserve">the </w:t>
      </w:r>
      <w:r w:rsidR="00C13760" w:rsidRPr="00C13760">
        <w:rPr>
          <w:b/>
        </w:rPr>
        <w:t>SCE and SoCalGas Utility Agreements curren</w:t>
      </w:r>
      <w:r w:rsidR="00C13760">
        <w:rPr>
          <w:b/>
        </w:rPr>
        <w:t>tly being negotiated with CHSRA</w:t>
      </w:r>
      <w:r w:rsidR="007F10DD">
        <w:rPr>
          <w:b/>
        </w:rPr>
        <w:t>.</w:t>
      </w:r>
      <w:r w:rsidR="00C13760">
        <w:t xml:space="preserve"> </w:t>
      </w:r>
      <w:r w:rsidR="0080481C">
        <w:t>Under the PG&amp;E Utility Agreements, PG&amp;E will bill CHSRA on a progress bill basis.  Invoices</w:t>
      </w:r>
      <w:r w:rsidR="00712367">
        <w:t xml:space="preserve"> will usually be issued monthly</w:t>
      </w:r>
      <w:r w:rsidR="006F0769">
        <w:t>,</w:t>
      </w:r>
      <w:r w:rsidR="0080481C">
        <w:t xml:space="preserve"> but </w:t>
      </w:r>
      <w:r w:rsidR="006F0769">
        <w:t>w</w:t>
      </w:r>
      <w:r w:rsidR="00E24970">
        <w:t xml:space="preserve">ould be issued </w:t>
      </w:r>
      <w:r w:rsidR="0080481C">
        <w:t>less frequently</w:t>
      </w:r>
      <w:r w:rsidR="0071738E">
        <w:t xml:space="preserve"> if accumulated costs do not exceed $10,000</w:t>
      </w:r>
      <w:r w:rsidR="0080481C">
        <w:t xml:space="preserve">. </w:t>
      </w:r>
      <w:r w:rsidR="0071738E">
        <w:t>At minimum, invoic</w:t>
      </w:r>
      <w:r w:rsidR="006F0769">
        <w:t>es will be submitted quarterly. The Utility Agreements include</w:t>
      </w:r>
      <w:r w:rsidR="002328BA">
        <w:t>,</w:t>
      </w:r>
      <w:r w:rsidR="006F0769">
        <w:t xml:space="preserve"> under General Conditions (Agreement </w:t>
      </w:r>
      <w:r w:rsidR="006E70C4">
        <w:br/>
      </w:r>
      <w:r w:rsidR="006F0769">
        <w:t>HSR15-36, Exhibit A, Section 8.1)</w:t>
      </w:r>
      <w:r w:rsidR="002328BA">
        <w:t>,</w:t>
      </w:r>
      <w:r w:rsidR="006F0769">
        <w:t xml:space="preserve"> appropriate terms for promptly notifying PG&amp;E about aspects of the CHSRA Project that may be cancelled or modified </w:t>
      </w:r>
      <w:r w:rsidR="006F0769">
        <w:lastRenderedPageBreak/>
        <w:t xml:space="preserve">and </w:t>
      </w:r>
      <w:r w:rsidR="002328BA">
        <w:t xml:space="preserve">for </w:t>
      </w:r>
      <w:r w:rsidR="006F0769">
        <w:t xml:space="preserve">reaching mutually agreeable resolution. </w:t>
      </w:r>
      <w:r w:rsidR="0080481C">
        <w:t>CHSRA payments are due within 45 days of receipt of itemized bill</w:t>
      </w:r>
      <w:r w:rsidR="0071738E">
        <w:t>s</w:t>
      </w:r>
      <w:r w:rsidR="0080481C">
        <w:t>.</w:t>
      </w:r>
      <w:r w:rsidR="0071738E">
        <w:rPr>
          <w:rStyle w:val="FootnoteReference"/>
        </w:rPr>
        <w:footnoteReference w:id="7"/>
      </w:r>
      <w:r w:rsidR="006F0769">
        <w:t xml:space="preserve"> </w:t>
      </w:r>
      <w:r w:rsidR="006F0769" w:rsidRPr="006F0769">
        <w:t xml:space="preserve">CHSRA </w:t>
      </w:r>
      <w:r w:rsidR="006F0769">
        <w:t xml:space="preserve">can </w:t>
      </w:r>
      <w:r w:rsidR="006F0769" w:rsidRPr="006F0769">
        <w:t>only authorize work for which it has secured the necessary funds.</w:t>
      </w:r>
    </w:p>
    <w:p w14:paraId="3B554DC1" w14:textId="3D266706" w:rsidR="00C13760" w:rsidRDefault="0080481C">
      <w:r>
        <w:t xml:space="preserve"> </w:t>
      </w:r>
    </w:p>
    <w:p w14:paraId="5294A926" w14:textId="5EDE3ABD" w:rsidR="00C13760" w:rsidRDefault="00C13760">
      <w:r>
        <w:t>Billing arrangements for SCE and SoCalGas will be specified in their Utility Agreements. The billing arrangements for these t</w:t>
      </w:r>
      <w:r w:rsidR="00E24970">
        <w:t xml:space="preserve">wo utilities are anticipated </w:t>
      </w:r>
      <w:proofErr w:type="gramStart"/>
      <w:r w:rsidR="00E24970">
        <w:t>be</w:t>
      </w:r>
      <w:proofErr w:type="gramEnd"/>
      <w:r w:rsidR="00E24970">
        <w:t xml:space="preserve"> </w:t>
      </w:r>
      <w:r>
        <w:t>similar to those already agreed to by PG&amp;E.</w:t>
      </w:r>
    </w:p>
    <w:p w14:paraId="2F0D8D0C" w14:textId="77777777" w:rsidR="004827B4" w:rsidRDefault="004827B4"/>
    <w:p w14:paraId="38F657A7" w14:textId="3C230525" w:rsidR="00D17659" w:rsidRDefault="00D17659" w:rsidP="00D17659">
      <w:pPr>
        <w:rPr>
          <w:b/>
        </w:rPr>
      </w:pPr>
      <w:r>
        <w:rPr>
          <w:b/>
        </w:rPr>
        <w:t xml:space="preserve">9. </w:t>
      </w:r>
      <w:r w:rsidRPr="001B2E3B">
        <w:rPr>
          <w:b/>
        </w:rPr>
        <w:t xml:space="preserve">CHSRA and its contractors will be responsible for the design, procurement of </w:t>
      </w:r>
      <w:r w:rsidRPr="00311CDF">
        <w:rPr>
          <w:b/>
        </w:rPr>
        <w:t xml:space="preserve">supplies, construction, and system tie-in of all PG&amp;E facility relocations. SCE and SoCalGas and their contractors will be responsible for the design, procurement of supplies, construction, and system tie-in of all SCE and SoCalGas facility relocations, respectively. </w:t>
      </w:r>
      <w:r w:rsidRPr="00BD096E">
        <w:t>Each utility company has unique facilities and operating procedures</w:t>
      </w:r>
      <w:r>
        <w:t xml:space="preserve">. </w:t>
      </w:r>
      <w:r w:rsidRPr="00BD096E">
        <w:t xml:space="preserve">For PG&amp;E, it was reasonable that CHSRA agree to these responsibilities as established in the Utility Agreements. For SCE and SoCalGas, however, it was reasonable that they decided not </w:t>
      </w:r>
      <w:r w:rsidR="002328BA">
        <w:t xml:space="preserve">to </w:t>
      </w:r>
      <w:r w:rsidRPr="00BD096E">
        <w:t>transfer these responsibilities</w:t>
      </w:r>
      <w:r>
        <w:t xml:space="preserve">. </w:t>
      </w:r>
      <w:r w:rsidRPr="00BD096E">
        <w:t xml:space="preserve">The </w:t>
      </w:r>
      <w:r>
        <w:t xml:space="preserve">Master Agreements reasonably </w:t>
      </w:r>
      <w:r w:rsidRPr="00BD096E">
        <w:t xml:space="preserve">establish that CHSRA will pay </w:t>
      </w:r>
      <w:r>
        <w:t xml:space="preserve">the utility companies </w:t>
      </w:r>
      <w:r w:rsidRPr="00BD096E">
        <w:t>for their contracted responsibilities.</w:t>
      </w:r>
    </w:p>
    <w:p w14:paraId="5D8D72E4" w14:textId="77777777" w:rsidR="00D17659" w:rsidRPr="00BD096E" w:rsidRDefault="00D17659" w:rsidP="00D17659">
      <w:pPr>
        <w:rPr>
          <w:b/>
        </w:rPr>
      </w:pPr>
    </w:p>
    <w:p w14:paraId="167D6AC6" w14:textId="0CB412D1" w:rsidR="00D17659" w:rsidRPr="007C6CDB" w:rsidRDefault="00D17659" w:rsidP="00D17659">
      <w:r>
        <w:rPr>
          <w:b/>
        </w:rPr>
        <w:t xml:space="preserve">10. </w:t>
      </w:r>
      <w:r w:rsidRPr="00311CDF">
        <w:rPr>
          <w:b/>
        </w:rPr>
        <w:t xml:space="preserve">Work performed pursuant to the </w:t>
      </w:r>
      <w:r w:rsidR="00247615">
        <w:rPr>
          <w:b/>
        </w:rPr>
        <w:t xml:space="preserve">Master Agreements and Utility Agreements </w:t>
      </w:r>
      <w:r w:rsidRPr="00311CDF">
        <w:rPr>
          <w:b/>
        </w:rPr>
        <w:t>would conform to all current and applicable laws and to applicable Commission, CHSRA, and industry safety requirem</w:t>
      </w:r>
      <w:r>
        <w:rPr>
          <w:b/>
        </w:rPr>
        <w:t xml:space="preserve">ents as well as utility-company </w:t>
      </w:r>
      <w:r w:rsidRPr="00311CDF">
        <w:rPr>
          <w:b/>
        </w:rPr>
        <w:t>(PG&amp;E/SCE/SoCalGas) safety requirements as applicable.</w:t>
      </w:r>
      <w:r>
        <w:rPr>
          <w:b/>
        </w:rPr>
        <w:t xml:space="preserve"> </w:t>
      </w:r>
      <w:r w:rsidRPr="007C6CDB">
        <w:t xml:space="preserve">SCE and SoCalGas or their contractors would be responsible for the design, procurement of supplies, construction, and system tie-in of all SCE and SoCalGas facility relocations. </w:t>
      </w:r>
      <w:r>
        <w:t xml:space="preserve">The </w:t>
      </w:r>
      <w:r w:rsidRPr="007C6CDB">
        <w:t>SCE and SoCalGas</w:t>
      </w:r>
      <w:r>
        <w:t xml:space="preserve"> relocation work </w:t>
      </w:r>
      <w:r w:rsidRPr="007C6CDB">
        <w:t>would conform to all applicable laws and Commission, industry, and utility company safety requirements. The Utility Agreements filed by SCE and SoCalGas are not expected to include additional terms and conditions applicable to CHSRA or CHSRA contractors to perform relocation work.</w:t>
      </w:r>
    </w:p>
    <w:p w14:paraId="6475EE84" w14:textId="77777777" w:rsidR="00D17659" w:rsidRDefault="00D17659" w:rsidP="00D17659"/>
    <w:p w14:paraId="1B4C2DD3" w14:textId="090A9F45" w:rsidR="00D17659" w:rsidRDefault="00D17659" w:rsidP="00D17659">
      <w:r w:rsidRPr="007C6CDB">
        <w:t>The PG&amp;E Utility Agreements, however, include additional terms and conditions applicable to CHSRA subcontractors that would complete the relocation work</w:t>
      </w:r>
      <w:r>
        <w:t xml:space="preserve">. The terms and conditions applicable to CHSRA subcontractors are called </w:t>
      </w:r>
      <w:r w:rsidRPr="00B73D25">
        <w:rPr>
          <w:i/>
        </w:rPr>
        <w:lastRenderedPageBreak/>
        <w:t>Flowdown Terms</w:t>
      </w:r>
      <w:r>
        <w:t>.</w:t>
      </w:r>
      <w:r>
        <w:rPr>
          <w:rStyle w:val="FootnoteReference"/>
        </w:rPr>
        <w:footnoteReference w:id="8"/>
      </w:r>
      <w:r>
        <w:t xml:space="preserve"> The </w:t>
      </w:r>
      <w:r w:rsidRPr="00B73D25">
        <w:t xml:space="preserve">Flowdown Terms cover a range of subjects, including </w:t>
      </w:r>
      <w:r>
        <w:t>sub</w:t>
      </w:r>
      <w:r w:rsidRPr="00B73D25">
        <w:t xml:space="preserve">contractor safety, </w:t>
      </w:r>
      <w:r>
        <w:t>work</w:t>
      </w:r>
      <w:r w:rsidRPr="00B73D25">
        <w:t xml:space="preserve"> standards, and mate</w:t>
      </w:r>
      <w:r>
        <w:t xml:space="preserve">rials </w:t>
      </w:r>
      <w:r w:rsidRPr="00B73D25">
        <w:t xml:space="preserve">procurement </w:t>
      </w:r>
      <w:r>
        <w:t>from approved suppliers. All CHSRA sub</w:t>
      </w:r>
      <w:r w:rsidRPr="00B73D25">
        <w:t>contractors are required to perform work in compliance with PG&amp;E’s Contractor</w:t>
      </w:r>
      <w:r>
        <w:t xml:space="preserve"> </w:t>
      </w:r>
      <w:r w:rsidRPr="00B73D25">
        <w:t>Safety Program Standard Contract Requirements</w:t>
      </w:r>
      <w:r>
        <w:t>, the requirements of GO</w:t>
      </w:r>
      <w:r w:rsidR="00E24970">
        <w:t xml:space="preserve"> 176,</w:t>
      </w:r>
      <w:r w:rsidR="005B25DA">
        <w:rPr>
          <w:rStyle w:val="FootnoteReference"/>
        </w:rPr>
        <w:footnoteReference w:id="9"/>
      </w:r>
      <w:r w:rsidR="00E24970">
        <w:t xml:space="preserve"> and all other applicable General O</w:t>
      </w:r>
      <w:r>
        <w:t xml:space="preserve">rders. The PG&amp;E Flowdown Terms establish that the work performed by CHSRA’s subcontractors will meet the same requirements and standards that would otherwise apply if PG&amp;E were to perform the work using its own workers or subcontractors. </w:t>
      </w:r>
      <w:r w:rsidR="00876C1C">
        <w:t xml:space="preserve">Commission staff </w:t>
      </w:r>
      <w:proofErr w:type="gramStart"/>
      <w:r w:rsidR="00876C1C">
        <w:t>find</w:t>
      </w:r>
      <w:proofErr w:type="gramEnd"/>
      <w:r w:rsidR="00876C1C">
        <w:t xml:space="preserve"> that the </w:t>
      </w:r>
      <w:r>
        <w:t xml:space="preserve">additional </w:t>
      </w:r>
      <w:r w:rsidR="008B344C">
        <w:t xml:space="preserve">Flowdown </w:t>
      </w:r>
      <w:r>
        <w:t>Terms in PG&amp;E’s Utility Agreements appropriately address safety.</w:t>
      </w:r>
    </w:p>
    <w:p w14:paraId="48B9CAF8" w14:textId="77777777" w:rsidR="00D17659" w:rsidRDefault="00D17659"/>
    <w:p w14:paraId="0C3E4214" w14:textId="7E72F74C" w:rsidR="00665354" w:rsidRDefault="00BF019D" w:rsidP="00665354">
      <w:r>
        <w:rPr>
          <w:b/>
        </w:rPr>
        <w:t>11</w:t>
      </w:r>
      <w:r w:rsidR="00665354">
        <w:rPr>
          <w:b/>
        </w:rPr>
        <w:t xml:space="preserve">. </w:t>
      </w:r>
      <w:r w:rsidR="00665354" w:rsidRPr="00665354">
        <w:rPr>
          <w:b/>
        </w:rPr>
        <w:t xml:space="preserve">Utility relocation work for the CHSRA Project will involve </w:t>
      </w:r>
      <w:r w:rsidR="00405332">
        <w:rPr>
          <w:b/>
        </w:rPr>
        <w:t>a transfer</w:t>
      </w:r>
      <w:r w:rsidR="00405332" w:rsidRPr="00665354">
        <w:rPr>
          <w:b/>
        </w:rPr>
        <w:t xml:space="preserve"> </w:t>
      </w:r>
      <w:r w:rsidR="00665354" w:rsidRPr="00665354">
        <w:rPr>
          <w:b/>
        </w:rPr>
        <w:t>of land rights. PG&amp;E, SCE, and SoCalGas would relinquish</w:t>
      </w:r>
      <w:r w:rsidR="00982A08">
        <w:rPr>
          <w:rStyle w:val="FootnoteReference"/>
          <w:b/>
        </w:rPr>
        <w:footnoteReference w:id="10"/>
      </w:r>
      <w:r w:rsidR="00665354" w:rsidRPr="00665354">
        <w:rPr>
          <w:b/>
        </w:rPr>
        <w:t xml:space="preserve"> land rights in the location of their existing utility facilities to make way for CHSRA Project construction at those locations. PG&amp;E, SCE, and SoCalGas would receive equivalent land rights in the locations where their relocated utility facilities would be installed.</w:t>
      </w:r>
      <w:r w:rsidR="00E24970">
        <w:t xml:space="preserve"> </w:t>
      </w:r>
      <w:r w:rsidR="00451806" w:rsidRPr="00451806">
        <w:rPr>
          <w:b/>
        </w:rPr>
        <w:t xml:space="preserve">In some cases, a greater amount of land may be required than at the existing utility site </w:t>
      </w:r>
      <w:r w:rsidR="00E24970">
        <w:rPr>
          <w:b/>
        </w:rPr>
        <w:t xml:space="preserve">to reach </w:t>
      </w:r>
      <w:r w:rsidR="00451806" w:rsidRPr="00451806">
        <w:rPr>
          <w:b/>
        </w:rPr>
        <w:t>a suitable CHSRA corridor crossing location.</w:t>
      </w:r>
      <w:r w:rsidR="00451806">
        <w:t xml:space="preserve"> </w:t>
      </w:r>
      <w:r w:rsidR="00405332">
        <w:t xml:space="preserve">The following </w:t>
      </w:r>
      <w:r w:rsidR="00E24970">
        <w:t xml:space="preserve">are </w:t>
      </w:r>
      <w:r w:rsidR="00405332">
        <w:t>three example scenarios for the anticipated land rights transfers:</w:t>
      </w:r>
    </w:p>
    <w:p w14:paraId="0CB877A3" w14:textId="77777777" w:rsidR="006E70C4" w:rsidRDefault="006E70C4" w:rsidP="00665354"/>
    <w:p w14:paraId="25FA6CC1" w14:textId="1C89E5D3" w:rsidR="00665354" w:rsidRDefault="00665354" w:rsidP="00982A08">
      <w:pPr>
        <w:pStyle w:val="ListParagraph"/>
        <w:numPr>
          <w:ilvl w:val="0"/>
          <w:numId w:val="19"/>
        </w:numPr>
      </w:pPr>
      <w:r w:rsidRPr="00982A08">
        <w:rPr>
          <w:i/>
        </w:rPr>
        <w:t>Consent to Common Use</w:t>
      </w:r>
      <w:r w:rsidR="00CA022F" w:rsidRPr="00982A08">
        <w:rPr>
          <w:i/>
        </w:rPr>
        <w:t xml:space="preserve"> within the CHSRA corridor</w:t>
      </w:r>
      <w:r w:rsidR="00982A08" w:rsidRPr="00982A08">
        <w:rPr>
          <w:i/>
        </w:rPr>
        <w:t>.</w:t>
      </w:r>
      <w:r w:rsidR="00982A08">
        <w:t xml:space="preserve"> Under the Consent to Common Use scenario, the utility facility would remain within the existing utility ROW that crosses the CHSRA corridor. CHSRA and the utility would agree to common use of the existing utility ROW.</w:t>
      </w:r>
    </w:p>
    <w:p w14:paraId="5D32DA58" w14:textId="2FC7F118" w:rsidR="00665354" w:rsidRDefault="00665354" w:rsidP="00982A08">
      <w:pPr>
        <w:pStyle w:val="ListParagraph"/>
        <w:numPr>
          <w:ilvl w:val="0"/>
          <w:numId w:val="19"/>
        </w:numPr>
      </w:pPr>
      <w:r w:rsidRPr="00982A08">
        <w:rPr>
          <w:i/>
        </w:rPr>
        <w:t>Joint Use Agreement</w:t>
      </w:r>
      <w:r w:rsidR="00CA022F" w:rsidRPr="00982A08">
        <w:rPr>
          <w:i/>
        </w:rPr>
        <w:t xml:space="preserve"> within the CHSRA corridor</w:t>
      </w:r>
      <w:r w:rsidR="00982A08" w:rsidRPr="00982A08">
        <w:rPr>
          <w:i/>
        </w:rPr>
        <w:t>.</w:t>
      </w:r>
      <w:r w:rsidR="00982A08">
        <w:t xml:space="preserve"> Under the Joint Use Agreement scenario, the utility facility would be relocated to a new ROW that crosses the CHSRA corridor. CHSRA and the utility would agree to common use of the new ROW for the utility.</w:t>
      </w:r>
    </w:p>
    <w:p w14:paraId="239C7337" w14:textId="36B23625" w:rsidR="00665354" w:rsidRDefault="00665354" w:rsidP="00982A08">
      <w:pPr>
        <w:pStyle w:val="ListParagraph"/>
        <w:numPr>
          <w:ilvl w:val="0"/>
          <w:numId w:val="19"/>
        </w:numPr>
      </w:pPr>
      <w:r w:rsidRPr="00982A08">
        <w:rPr>
          <w:i/>
        </w:rPr>
        <w:lastRenderedPageBreak/>
        <w:t xml:space="preserve">Relocation outside </w:t>
      </w:r>
      <w:r w:rsidR="00CA022F" w:rsidRPr="00982A08">
        <w:rPr>
          <w:i/>
        </w:rPr>
        <w:t xml:space="preserve">the </w:t>
      </w:r>
      <w:r w:rsidRPr="00982A08">
        <w:rPr>
          <w:i/>
        </w:rPr>
        <w:t>CHSRA corridor</w:t>
      </w:r>
      <w:r w:rsidR="00982A08">
        <w:rPr>
          <w:i/>
        </w:rPr>
        <w:t xml:space="preserve">. </w:t>
      </w:r>
      <w:r w:rsidR="00982A08" w:rsidRPr="00982A08">
        <w:t>The utility facility would be relocated</w:t>
      </w:r>
      <w:r>
        <w:t xml:space="preserve"> </w:t>
      </w:r>
      <w:r w:rsidR="00CA022F">
        <w:t>to a location where</w:t>
      </w:r>
      <w:r>
        <w:t xml:space="preserve"> CHSRA provides </w:t>
      </w:r>
      <w:r w:rsidR="00A405A2">
        <w:t xml:space="preserve">the </w:t>
      </w:r>
      <w:r>
        <w:t xml:space="preserve">ROW </w:t>
      </w:r>
      <w:r w:rsidR="00CA022F">
        <w:t>and acquires additional land rights.</w:t>
      </w:r>
      <w:r w:rsidR="00E24970">
        <w:t xml:space="preserve"> Consent to Common U</w:t>
      </w:r>
      <w:r w:rsidR="00982A08">
        <w:t xml:space="preserve">se would apply to the location where the </w:t>
      </w:r>
      <w:r w:rsidR="00E24970">
        <w:t xml:space="preserve">relocated </w:t>
      </w:r>
      <w:r w:rsidR="00982A08">
        <w:t xml:space="preserve">utility facility would </w:t>
      </w:r>
      <w:r w:rsidR="00E24970">
        <w:t xml:space="preserve">ultimately </w:t>
      </w:r>
      <w:r w:rsidR="00982A08">
        <w:t>cross the CHSRA corridor.</w:t>
      </w:r>
    </w:p>
    <w:p w14:paraId="6DB433E6" w14:textId="77777777" w:rsidR="00CA022F" w:rsidRDefault="00CA022F" w:rsidP="00665354"/>
    <w:p w14:paraId="0F4B8591" w14:textId="6EF1F9F1" w:rsidR="00665354" w:rsidRDefault="00CA022F" w:rsidP="00665354">
      <w:r>
        <w:t xml:space="preserve">Under the third scenario contemplated, the utility facility would be relocated to an alignment that parallels the CHSRA corridor for some distance before crossing the CHSRA corridor. Under this scenario, the linear utility facility may need to be extended substantially to reach a suitable CHSRA corridor crossing. It is not clear at this time </w:t>
      </w:r>
      <w:r w:rsidR="00982A08">
        <w:t xml:space="preserve">at what frequency the various types of scenarios </w:t>
      </w:r>
      <w:r w:rsidR="00E63F02">
        <w:t>would</w:t>
      </w:r>
      <w:r w:rsidR="00982A08">
        <w:t xml:space="preserve"> be implemented. For all scenarios, CHSRA is responsible for obtaining the required land rights for the utility facility to be relocated in a</w:t>
      </w:r>
      <w:r w:rsidR="009D052F">
        <w:t xml:space="preserve"> location</w:t>
      </w:r>
      <w:r w:rsidR="00982A08">
        <w:t xml:space="preserve"> that is mutually agreeable to both parties.</w:t>
      </w:r>
      <w:r w:rsidR="00556001">
        <w:t xml:space="preserve"> Commission approval for the required land rights transactions are described in the following section of this Resolution.</w:t>
      </w:r>
    </w:p>
    <w:p w14:paraId="1BF1593B" w14:textId="77777777" w:rsidR="00CA022F" w:rsidRDefault="00CA022F" w:rsidP="00665354"/>
    <w:p w14:paraId="70A64365" w14:textId="5DD1EB40" w:rsidR="00695B31" w:rsidRDefault="00695B31" w:rsidP="00695B31">
      <w:r>
        <w:rPr>
          <w:b/>
        </w:rPr>
        <w:t xml:space="preserve">12. PU Code </w:t>
      </w:r>
      <w:r w:rsidRPr="00D05E3B">
        <w:rPr>
          <w:b/>
        </w:rPr>
        <w:t xml:space="preserve">Section 851 requires that PG&amp;E, SCE, and SoCalGas secure Commission approval for the </w:t>
      </w:r>
      <w:r>
        <w:rPr>
          <w:b/>
        </w:rPr>
        <w:t xml:space="preserve">disposal of any utility property necessary or useful in the performance of the utility’s duties to the public. </w:t>
      </w:r>
      <w:r w:rsidRPr="00D05E3B">
        <w:rPr>
          <w:b/>
        </w:rPr>
        <w:t>This Resolution</w:t>
      </w:r>
      <w:r>
        <w:rPr>
          <w:b/>
        </w:rPr>
        <w:t xml:space="preserve"> approves a process by which</w:t>
      </w:r>
      <w:r w:rsidRPr="00D05E3B">
        <w:rPr>
          <w:b/>
        </w:rPr>
        <w:t xml:space="preserve"> inf</w:t>
      </w:r>
      <w:r>
        <w:rPr>
          <w:b/>
        </w:rPr>
        <w:t>ormation-only filings and</w:t>
      </w:r>
      <w:r w:rsidRPr="00D05E3B">
        <w:rPr>
          <w:b/>
        </w:rPr>
        <w:t xml:space="preserve"> </w:t>
      </w:r>
      <w:r>
        <w:rPr>
          <w:b/>
        </w:rPr>
        <w:t>Tier 2</w:t>
      </w:r>
      <w:r w:rsidRPr="00D05E3B">
        <w:rPr>
          <w:b/>
        </w:rPr>
        <w:t xml:space="preserve"> annual-report advice letter filings would constitute compliance with </w:t>
      </w:r>
      <w:r>
        <w:rPr>
          <w:b/>
        </w:rPr>
        <w:t xml:space="preserve">PU Code </w:t>
      </w:r>
      <w:r w:rsidRPr="00D05E3B">
        <w:rPr>
          <w:b/>
        </w:rPr>
        <w:t>Section 851 and GO 173</w:t>
      </w:r>
      <w:r>
        <w:rPr>
          <w:b/>
        </w:rPr>
        <w:t xml:space="preserve"> requirements</w:t>
      </w:r>
      <w:r w:rsidRPr="00D05E3B">
        <w:t>.</w:t>
      </w:r>
      <w:r>
        <w:t xml:space="preserve"> </w:t>
      </w:r>
      <w:r w:rsidRPr="00556001">
        <w:t>PG&amp;E</w:t>
      </w:r>
      <w:r>
        <w:t xml:space="preserve">, SCE, and SoCalGas </w:t>
      </w:r>
      <w:r w:rsidRPr="00556001">
        <w:t xml:space="preserve">are required to secure an order from the Commission or file an </w:t>
      </w:r>
      <w:r w:rsidR="00CF3E67">
        <w:rPr>
          <w:rFonts w:ascii="Palatino Linotype" w:hAnsi="Palatino Linotype"/>
        </w:rPr>
        <w:t xml:space="preserve">advice letter </w:t>
      </w:r>
      <w:r w:rsidRPr="00556001">
        <w:t xml:space="preserve">to obtain Commission approval pursuant to GO 96-B (or its successor) for </w:t>
      </w:r>
      <w:r>
        <w:t xml:space="preserve">property disposal activities pursuant to PU Code </w:t>
      </w:r>
      <w:r w:rsidRPr="00556001">
        <w:t>Section 851</w:t>
      </w:r>
      <w:r>
        <w:t xml:space="preserve"> and as directed by GO 173</w:t>
      </w:r>
      <w:r w:rsidRPr="00556001">
        <w:t>.</w:t>
      </w:r>
      <w:r>
        <w:t xml:space="preserve"> GO 173 describes a</w:t>
      </w:r>
      <w:r w:rsidR="001A59E8">
        <w:t xml:space="preserve"> Section 851</w:t>
      </w:r>
      <w:r>
        <w:t xml:space="preserve"> </w:t>
      </w:r>
      <w:r w:rsidR="001A59E8">
        <w:t xml:space="preserve">compliance </w:t>
      </w:r>
      <w:r>
        <w:t xml:space="preserve">process for utilities to file </w:t>
      </w:r>
      <w:r w:rsidR="00CF3E67">
        <w:rPr>
          <w:rFonts w:ascii="Palatino Linotype" w:hAnsi="Palatino Linotype"/>
        </w:rPr>
        <w:t xml:space="preserve">advice letters </w:t>
      </w:r>
      <w:r>
        <w:t xml:space="preserve">pursuant to </w:t>
      </w:r>
      <w:r w:rsidR="006E70C4">
        <w:br/>
      </w:r>
      <w:r>
        <w:t xml:space="preserve">GO 96-B for the transfer of interest in utility property valued at less than </w:t>
      </w:r>
      <w:r w:rsidR="006E70C4">
        <w:br/>
      </w:r>
      <w:r>
        <w:t xml:space="preserve">$5 million. For the CHSRA Project, utility company interest in thousands of individual properties must </w:t>
      </w:r>
      <w:r w:rsidR="00C17C07">
        <w:t xml:space="preserve">be </w:t>
      </w:r>
      <w:r>
        <w:t>modified or transferred based on terms mutually agreeable to CHSRA and the utility company. It is unclear at this time how many</w:t>
      </w:r>
      <w:r w:rsidR="00787F6E">
        <w:t xml:space="preserve"> land</w:t>
      </w:r>
      <w:r>
        <w:t xml:space="preserve"> transactions will require Commission approval.  The following two sections of this Resolution </w:t>
      </w:r>
      <w:r w:rsidR="001A59E8">
        <w:t xml:space="preserve">define </w:t>
      </w:r>
      <w:r>
        <w:t xml:space="preserve">a streamlined process to approve the property transactions necessary for relocations to ensure compliance can be achieved in a reasonable timeframe.  Compliance with the streamlined process will </w:t>
      </w:r>
      <w:r w:rsidR="00C17C07">
        <w:t xml:space="preserve">constitute compliance with Section 851 and </w:t>
      </w:r>
      <w:r>
        <w:t>GO 173.</w:t>
      </w:r>
    </w:p>
    <w:p w14:paraId="6B2DB9B3" w14:textId="77777777" w:rsidR="00695B31" w:rsidRDefault="00695B31" w:rsidP="00695B31"/>
    <w:p w14:paraId="71E4E719" w14:textId="3CDB822C" w:rsidR="000235B5" w:rsidRDefault="00695B31" w:rsidP="00B33BA7">
      <w:r>
        <w:rPr>
          <w:b/>
        </w:rPr>
        <w:t xml:space="preserve">13. Subject </w:t>
      </w:r>
      <w:r w:rsidRPr="00D25C64">
        <w:rPr>
          <w:b/>
        </w:rPr>
        <w:t>to Commission approval of the Master Agreement for facility relocation work</w:t>
      </w:r>
      <w:r>
        <w:rPr>
          <w:b/>
        </w:rPr>
        <w:t>,</w:t>
      </w:r>
      <w:r w:rsidRPr="00D25C64">
        <w:rPr>
          <w:b/>
        </w:rPr>
        <w:t xml:space="preserve"> </w:t>
      </w:r>
      <w:r>
        <w:rPr>
          <w:b/>
        </w:rPr>
        <w:t>the</w:t>
      </w:r>
      <w:r w:rsidRPr="00D25C64">
        <w:rPr>
          <w:b/>
        </w:rPr>
        <w:t xml:space="preserve"> information-only filing process pursuant to GO 96-B is appropriate for future Utility Agreements.</w:t>
      </w:r>
      <w:r>
        <w:t xml:space="preserve"> GO 96-B defines information-only filings as informal reports required by statute or Commission order that are </w:t>
      </w:r>
      <w:r>
        <w:lastRenderedPageBreak/>
        <w:t>submitted by a utility to the Commission, but are not submitted in connection with a request for Commission approval, authorization, or other relief. Because the transactions are relocating utility facilities that will continue to serve the same purpose, the financial terms of the transactions are being approved by the Commission in advance, and CHSRA is the C</w:t>
      </w:r>
      <w:r w:rsidR="00E24970">
        <w:t>alifornia Environmental Quality Act (CEQA) Lead A</w:t>
      </w:r>
      <w:r>
        <w:t xml:space="preserve">gency for </w:t>
      </w:r>
      <w:r w:rsidR="003F0DE6">
        <w:t xml:space="preserve">the Project, the normal GO 173 </w:t>
      </w:r>
      <w:r w:rsidR="00CF3E67">
        <w:rPr>
          <w:rFonts w:ascii="Palatino Linotype" w:hAnsi="Palatino Linotype"/>
        </w:rPr>
        <w:t xml:space="preserve">advice letter </w:t>
      </w:r>
      <w:r>
        <w:t>process is not necessary.</w:t>
      </w:r>
      <w:r w:rsidR="000235B5">
        <w:t xml:space="preserve"> In addition, </w:t>
      </w:r>
      <w:r w:rsidR="001A59E8">
        <w:t>PU Code Section 853(b)</w:t>
      </w:r>
      <w:r w:rsidR="000235B5">
        <w:t xml:space="preserve"> </w:t>
      </w:r>
      <w:r w:rsidR="001A59E8">
        <w:t xml:space="preserve">allows </w:t>
      </w:r>
      <w:r w:rsidR="000235B5">
        <w:t xml:space="preserve">the Commission to exempt a public utility from Section 851 requirements or establish rules or impose requirements deemed necessary to protect the interest of the customers or subscribers of the public utility or class of public utility. </w:t>
      </w:r>
    </w:p>
    <w:p w14:paraId="2D33ADA7" w14:textId="77777777" w:rsidR="000235B5" w:rsidRDefault="000235B5" w:rsidP="00B33BA7"/>
    <w:p w14:paraId="78D72361" w14:textId="5843BF11" w:rsidR="00B33BA7" w:rsidRDefault="000235B5" w:rsidP="00B33BA7">
      <w:r>
        <w:t xml:space="preserve">Therefore, to </w:t>
      </w:r>
      <w:r w:rsidR="00B33BA7">
        <w:t xml:space="preserve">ensure that the </w:t>
      </w:r>
      <w:r w:rsidR="00F00968">
        <w:t xml:space="preserve">numerous </w:t>
      </w:r>
      <w:r w:rsidR="00B33BA7">
        <w:t>property transaction</w:t>
      </w:r>
      <w:r w:rsidR="00BA6B7D">
        <w:t>s</w:t>
      </w:r>
      <w:r w:rsidR="00B33BA7">
        <w:t xml:space="preserve"> anticipated for the CHSRA Project can be </w:t>
      </w:r>
      <w:r w:rsidR="00065EA6">
        <w:t>processe</w:t>
      </w:r>
      <w:r w:rsidR="006D5FF2">
        <w:t>d</w:t>
      </w:r>
      <w:r w:rsidR="00B33BA7">
        <w:t xml:space="preserve"> on an expedited basis, it is reasonable that this Resolution define</w:t>
      </w:r>
      <w:r w:rsidR="009A38C7">
        <w:t>s</w:t>
      </w:r>
      <w:r w:rsidR="00B33BA7">
        <w:t xml:space="preserve"> a process for information-only filings that would be </w:t>
      </w:r>
      <w:r w:rsidR="009A38C7">
        <w:t>authorized</w:t>
      </w:r>
      <w:r w:rsidR="00B33BA7">
        <w:t xml:space="preserve"> by the Commission </w:t>
      </w:r>
      <w:r w:rsidR="009A38C7">
        <w:t xml:space="preserve">on an annual basis </w:t>
      </w:r>
      <w:r w:rsidR="00B33BA7">
        <w:t xml:space="preserve">in an </w:t>
      </w:r>
      <w:r w:rsidR="00CF3E67">
        <w:rPr>
          <w:rFonts w:ascii="Palatino Linotype" w:hAnsi="Palatino Linotype"/>
        </w:rPr>
        <w:t xml:space="preserve">advice letter </w:t>
      </w:r>
      <w:r w:rsidR="00B33BA7">
        <w:t xml:space="preserve">filing </w:t>
      </w:r>
      <w:r w:rsidR="00690B91">
        <w:t xml:space="preserve">by each utility company. This approach </w:t>
      </w:r>
      <w:r w:rsidR="006D5FF2">
        <w:t>would</w:t>
      </w:r>
      <w:r w:rsidR="00690B91">
        <w:t xml:space="preserve"> limit the number of Commission approval</w:t>
      </w:r>
      <w:r w:rsidR="009C76DA">
        <w:t>s</w:t>
      </w:r>
      <w:r w:rsidR="00690B91">
        <w:t xml:space="preserve"> required while </w:t>
      </w:r>
      <w:r w:rsidR="009C76DA">
        <w:t xml:space="preserve">ensuring </w:t>
      </w:r>
      <w:r w:rsidR="00690B91">
        <w:t xml:space="preserve">appropriate Commission </w:t>
      </w:r>
      <w:r w:rsidR="00C348FF">
        <w:t>oversight</w:t>
      </w:r>
      <w:r w:rsidR="00690B91">
        <w:t xml:space="preserve">. The information-only filing requirements are provided in this section of the Resolution, and the annual </w:t>
      </w:r>
      <w:r w:rsidR="00CF3E67">
        <w:rPr>
          <w:rFonts w:ascii="Palatino Linotype" w:hAnsi="Palatino Linotype"/>
        </w:rPr>
        <w:t xml:space="preserve">advice letter </w:t>
      </w:r>
      <w:r w:rsidR="00690B91">
        <w:t>filing requirements are provide</w:t>
      </w:r>
      <w:r w:rsidR="00BF0997">
        <w:t>d</w:t>
      </w:r>
      <w:r w:rsidR="00690B91">
        <w:t xml:space="preserve"> in the subsequent section.</w:t>
      </w:r>
    </w:p>
    <w:p w14:paraId="2FD00B71" w14:textId="77777777" w:rsidR="00C17B4F" w:rsidRDefault="00C17B4F" w:rsidP="00B33BA7"/>
    <w:p w14:paraId="5B53BBFA" w14:textId="15C1783F" w:rsidR="00C17B4F" w:rsidRPr="00C17B4F" w:rsidRDefault="00C17B4F" w:rsidP="00B33BA7">
      <w:pPr>
        <w:rPr>
          <w:i/>
        </w:rPr>
      </w:pPr>
      <w:r w:rsidRPr="00C17B4F">
        <w:rPr>
          <w:i/>
        </w:rPr>
        <w:t>Information-only Filing Requirements</w:t>
      </w:r>
    </w:p>
    <w:p w14:paraId="780C85AD" w14:textId="08C95BB6" w:rsidR="00690B91" w:rsidRDefault="00690B91" w:rsidP="00B33BA7">
      <w:r w:rsidRPr="00690B91">
        <w:t>PG&amp;E, SCE, and SoCalGas shall coordinate with Energy Division prior to the first information-only filing and as needed periodically to discuss filing contents and organization.</w:t>
      </w:r>
      <w:r>
        <w:t xml:space="preserve"> </w:t>
      </w:r>
      <w:r w:rsidRPr="00690B91">
        <w:t>More than one Utility Agreement may be include</w:t>
      </w:r>
      <w:r>
        <w:t>d in an information-only filing, and e</w:t>
      </w:r>
      <w:r w:rsidRPr="00690B91">
        <w:t>ac</w:t>
      </w:r>
      <w:r>
        <w:t xml:space="preserve">h information-only filing will </w:t>
      </w:r>
      <w:r w:rsidRPr="00690B91">
        <w:t>include the following:</w:t>
      </w:r>
    </w:p>
    <w:p w14:paraId="5D4D754B" w14:textId="77777777" w:rsidR="00BF0997" w:rsidRDefault="00BF0997" w:rsidP="00B33BA7"/>
    <w:p w14:paraId="5E5D5AF8" w14:textId="2F692270" w:rsidR="00690B91" w:rsidRPr="00E94EC2" w:rsidRDefault="00690B91" w:rsidP="008302E0">
      <w:pPr>
        <w:numPr>
          <w:ilvl w:val="0"/>
          <w:numId w:val="20"/>
        </w:numPr>
      </w:pPr>
      <w:r w:rsidRPr="00E94EC2">
        <w:t>Summary of the filing’s purpose as ordered by this Resolution</w:t>
      </w:r>
      <w:r>
        <w:t>;</w:t>
      </w:r>
    </w:p>
    <w:p w14:paraId="3E77C871" w14:textId="4F77DD55" w:rsidR="00690B91" w:rsidRDefault="00690B91" w:rsidP="008302E0">
      <w:pPr>
        <w:numPr>
          <w:ilvl w:val="0"/>
          <w:numId w:val="20"/>
        </w:numPr>
      </w:pPr>
      <w:r w:rsidRPr="00892604">
        <w:t xml:space="preserve">Description of location and length of CHSRA Project segment </w:t>
      </w:r>
      <w:r>
        <w:t xml:space="preserve">or portion thereof </w:t>
      </w:r>
      <w:r w:rsidRPr="00892604">
        <w:t>covered by each Utility Agreement i</w:t>
      </w:r>
      <w:r>
        <w:t>ncluded in the filing;</w:t>
      </w:r>
    </w:p>
    <w:p w14:paraId="14517A8F" w14:textId="6A948A59" w:rsidR="00690B91" w:rsidRPr="00892604" w:rsidRDefault="00690B91" w:rsidP="008302E0">
      <w:pPr>
        <w:numPr>
          <w:ilvl w:val="0"/>
          <w:numId w:val="20"/>
        </w:numPr>
      </w:pPr>
      <w:r>
        <w:t>E</w:t>
      </w:r>
      <w:r w:rsidRPr="00892604">
        <w:t xml:space="preserve">stimated number of facilities to be relocated and </w:t>
      </w:r>
      <w:r>
        <w:t>property</w:t>
      </w:r>
      <w:r w:rsidRPr="00892604">
        <w:t xml:space="preserve"> transactions required</w:t>
      </w:r>
      <w:r>
        <w:t xml:space="preserve"> for each Utility Agreement; and</w:t>
      </w:r>
    </w:p>
    <w:p w14:paraId="14D77BD2" w14:textId="77777777" w:rsidR="00690B91" w:rsidRPr="00E94EC2" w:rsidRDefault="00690B91" w:rsidP="008302E0">
      <w:pPr>
        <w:numPr>
          <w:ilvl w:val="0"/>
          <w:numId w:val="20"/>
        </w:numPr>
      </w:pPr>
      <w:r w:rsidRPr="00E94EC2">
        <w:t xml:space="preserve">Complete copy of each Utility Agreement </w:t>
      </w:r>
      <w:r>
        <w:t>including</w:t>
      </w:r>
      <w:r w:rsidRPr="00E94EC2">
        <w:t xml:space="preserve"> all forms and each attachment</w:t>
      </w:r>
      <w:r>
        <w:t>.</w:t>
      </w:r>
    </w:p>
    <w:p w14:paraId="1832C01D" w14:textId="77777777" w:rsidR="008302E0" w:rsidRDefault="008302E0" w:rsidP="00665354"/>
    <w:p w14:paraId="2EE36C26" w14:textId="06A66787" w:rsidR="001532DD" w:rsidRDefault="001532DD" w:rsidP="001532DD">
      <w:r w:rsidRPr="00690B91">
        <w:t>Finalization of each unique property transaction could occur sometime after the respective Utility Agreement is complet</w:t>
      </w:r>
      <w:r>
        <w:t xml:space="preserve">e. It is appropriate to include </w:t>
      </w:r>
      <w:r>
        <w:lastRenderedPageBreak/>
        <w:t xml:space="preserve">documentation for </w:t>
      </w:r>
      <w:r w:rsidRPr="00690B91">
        <w:t xml:space="preserve">completed property transactions in </w:t>
      </w:r>
      <w:r>
        <w:t>the annual</w:t>
      </w:r>
      <w:r w:rsidRPr="00690B91">
        <w:t xml:space="preserve"> </w:t>
      </w:r>
      <w:r w:rsidR="00CF3E67">
        <w:rPr>
          <w:rFonts w:ascii="Palatino Linotype" w:hAnsi="Palatino Linotype"/>
        </w:rPr>
        <w:t xml:space="preserve">advice letter </w:t>
      </w:r>
      <w:r w:rsidRPr="00690B91">
        <w:t>filing</w:t>
      </w:r>
      <w:r>
        <w:t xml:space="preserve"> described below.</w:t>
      </w:r>
      <w:r w:rsidRPr="00690B91">
        <w:t xml:space="preserve"> </w:t>
      </w:r>
    </w:p>
    <w:p w14:paraId="5C591F23" w14:textId="77777777" w:rsidR="00977EF5" w:rsidRDefault="00977EF5" w:rsidP="006D5FF2"/>
    <w:p w14:paraId="268208DA" w14:textId="3FFB414F" w:rsidR="00977EF5" w:rsidRDefault="00206EDB" w:rsidP="00AF592B">
      <w:r>
        <w:rPr>
          <w:b/>
        </w:rPr>
        <w:t>1</w:t>
      </w:r>
      <w:r w:rsidR="00BF019D">
        <w:rPr>
          <w:b/>
        </w:rPr>
        <w:t>4</w:t>
      </w:r>
      <w:r>
        <w:rPr>
          <w:b/>
        </w:rPr>
        <w:t xml:space="preserve">. </w:t>
      </w:r>
      <w:r w:rsidRPr="00206EDB">
        <w:rPr>
          <w:b/>
        </w:rPr>
        <w:t xml:space="preserve">It is appropriate that PG&amp;E, SCE, and SoCalGas file </w:t>
      </w:r>
      <w:r w:rsidR="001532DD">
        <w:rPr>
          <w:b/>
        </w:rPr>
        <w:t>with</w:t>
      </w:r>
      <w:r w:rsidRPr="00206EDB">
        <w:rPr>
          <w:b/>
        </w:rPr>
        <w:t xml:space="preserve"> the Commission annual reports </w:t>
      </w:r>
      <w:r w:rsidR="001532DD">
        <w:rPr>
          <w:b/>
        </w:rPr>
        <w:t>that track</w:t>
      </w:r>
      <w:r w:rsidRPr="00206EDB">
        <w:rPr>
          <w:b/>
        </w:rPr>
        <w:t xml:space="preserve"> the cost and status of all relocation work performed for CHSRA that documents costs to ratepayer</w:t>
      </w:r>
      <w:r w:rsidR="00BF0997">
        <w:rPr>
          <w:b/>
        </w:rPr>
        <w:t xml:space="preserve">s (credits) </w:t>
      </w:r>
      <w:r w:rsidR="007709DE">
        <w:rPr>
          <w:b/>
        </w:rPr>
        <w:t xml:space="preserve">and </w:t>
      </w:r>
      <w:r w:rsidR="00065EA6">
        <w:rPr>
          <w:b/>
        </w:rPr>
        <w:t xml:space="preserve">itemizes </w:t>
      </w:r>
      <w:r w:rsidR="00C73A35">
        <w:rPr>
          <w:b/>
        </w:rPr>
        <w:t xml:space="preserve">all </w:t>
      </w:r>
      <w:r w:rsidR="007709DE" w:rsidRPr="007709DE">
        <w:rPr>
          <w:b/>
        </w:rPr>
        <w:t>information-only filing</w:t>
      </w:r>
      <w:r w:rsidR="007709DE">
        <w:rPr>
          <w:b/>
        </w:rPr>
        <w:t>s submitted</w:t>
      </w:r>
      <w:r w:rsidRPr="00206EDB">
        <w:rPr>
          <w:b/>
        </w:rPr>
        <w:t xml:space="preserve">. </w:t>
      </w:r>
      <w:r w:rsidR="00C73A35">
        <w:rPr>
          <w:b/>
        </w:rPr>
        <w:t>The a</w:t>
      </w:r>
      <w:r w:rsidRPr="00206EDB">
        <w:rPr>
          <w:b/>
        </w:rPr>
        <w:t>nnual r</w:t>
      </w:r>
      <w:r w:rsidR="00CF3E67">
        <w:rPr>
          <w:b/>
        </w:rPr>
        <w:t>eports will be filed as Tier 2 advice l</w:t>
      </w:r>
      <w:r w:rsidRPr="00206EDB">
        <w:rPr>
          <w:b/>
        </w:rPr>
        <w:t>etters pursuant to GO 96-</w:t>
      </w:r>
      <w:r>
        <w:rPr>
          <w:b/>
        </w:rPr>
        <w:t xml:space="preserve">B. </w:t>
      </w:r>
      <w:r w:rsidR="007709DE" w:rsidRPr="007709DE">
        <w:t xml:space="preserve">PG&amp;E, SCE, and SoCalGas shall coordinate with Energy Division prior to the first annual report filing to discuss report contents and organization. </w:t>
      </w:r>
    </w:p>
    <w:p w14:paraId="6E3F1BFE" w14:textId="77777777" w:rsidR="00977EF5" w:rsidRDefault="00977EF5" w:rsidP="00AF592B"/>
    <w:p w14:paraId="7872FA64" w14:textId="659A5F19" w:rsidR="00AF592B" w:rsidRDefault="00AF592B" w:rsidP="00AF592B">
      <w:r>
        <w:t>Each annual report will include the following or as modified based on coordination with Energy Division prior to the first annual report filing:</w:t>
      </w:r>
    </w:p>
    <w:p w14:paraId="702AB87F" w14:textId="77777777" w:rsidR="00BF0997" w:rsidRDefault="00BF0997" w:rsidP="00AF592B"/>
    <w:p w14:paraId="6DFCC65C" w14:textId="17682606" w:rsidR="00AF592B" w:rsidRDefault="00AF592B" w:rsidP="00AF592B">
      <w:pPr>
        <w:numPr>
          <w:ilvl w:val="0"/>
          <w:numId w:val="21"/>
        </w:numPr>
      </w:pPr>
      <w:r>
        <w:t>Summary of the annual report’s purpose as ordered by this Resolution.</w:t>
      </w:r>
    </w:p>
    <w:p w14:paraId="1552B72D" w14:textId="1943E8FA" w:rsidR="00AF592B" w:rsidRDefault="00AF592B" w:rsidP="00AF592B">
      <w:pPr>
        <w:numPr>
          <w:ilvl w:val="0"/>
          <w:numId w:val="21"/>
        </w:numPr>
      </w:pPr>
      <w:r>
        <w:t>Summary Table 1 (see Attachment</w:t>
      </w:r>
      <w:r w:rsidR="007661D7">
        <w:t xml:space="preserve"> B</w:t>
      </w:r>
      <w:r>
        <w:t xml:space="preserve">) that includes a row for </w:t>
      </w:r>
      <w:r w:rsidRPr="00014DA3">
        <w:t>each completed Utility Agreement and</w:t>
      </w:r>
      <w:r w:rsidR="00BF0997">
        <w:t xml:space="preserve"> the following columns:</w:t>
      </w:r>
    </w:p>
    <w:p w14:paraId="214A07A6" w14:textId="167E3020" w:rsidR="00AF592B" w:rsidRPr="00B863B7" w:rsidRDefault="00AF592B" w:rsidP="00AF592B">
      <w:pPr>
        <w:numPr>
          <w:ilvl w:val="1"/>
          <w:numId w:val="21"/>
        </w:numPr>
      </w:pPr>
      <w:r>
        <w:t xml:space="preserve">Utility Agreement number, </w:t>
      </w:r>
      <w:r w:rsidR="00B863B7">
        <w:t xml:space="preserve">CPUC </w:t>
      </w:r>
      <w:r>
        <w:t xml:space="preserve">filing </w:t>
      </w:r>
      <w:r w:rsidR="00B863B7">
        <w:t xml:space="preserve">number and </w:t>
      </w:r>
      <w:r>
        <w:t xml:space="preserve">date, </w:t>
      </w:r>
      <w:r w:rsidR="00B863B7">
        <w:t>CHSRA P</w:t>
      </w:r>
      <w:r>
        <w:t>roject segment</w:t>
      </w:r>
      <w:r w:rsidR="00B863B7">
        <w:t>/const</w:t>
      </w:r>
      <w:r w:rsidR="00B863B7" w:rsidRPr="00B863B7">
        <w:t>ruction package</w:t>
      </w:r>
      <w:r w:rsidRPr="00B863B7">
        <w:t>,</w:t>
      </w:r>
      <w:r w:rsidR="00B863B7" w:rsidRPr="00B863B7">
        <w:t xml:space="preserve"> </w:t>
      </w:r>
      <w:r w:rsidR="00B863B7">
        <w:t xml:space="preserve">and </w:t>
      </w:r>
      <w:r w:rsidR="00B863B7" w:rsidRPr="00B863B7">
        <w:t>agreement value</w:t>
      </w:r>
      <w:r w:rsidRPr="00B863B7">
        <w:t>;</w:t>
      </w:r>
    </w:p>
    <w:p w14:paraId="30143E07" w14:textId="6FB980A5" w:rsidR="00AF592B" w:rsidRPr="00B863B7" w:rsidRDefault="00AF592B" w:rsidP="00AF592B">
      <w:pPr>
        <w:numPr>
          <w:ilvl w:val="1"/>
          <w:numId w:val="21"/>
        </w:numPr>
      </w:pPr>
      <w:r w:rsidRPr="00B863B7">
        <w:t>Utility costs to CHSRA;</w:t>
      </w:r>
    </w:p>
    <w:p w14:paraId="139C5A67" w14:textId="4BD9B94C" w:rsidR="00AF592B" w:rsidRPr="00B863B7" w:rsidRDefault="00AF592B" w:rsidP="00AF592B">
      <w:pPr>
        <w:numPr>
          <w:ilvl w:val="1"/>
          <w:numId w:val="21"/>
        </w:numPr>
      </w:pPr>
      <w:r w:rsidRPr="00B863B7">
        <w:t>Utility costs to ratepayers (credits);</w:t>
      </w:r>
    </w:p>
    <w:p w14:paraId="7044DC4F" w14:textId="7E71146A" w:rsidR="00AF592B" w:rsidRDefault="00AF592B" w:rsidP="00AF592B">
      <w:pPr>
        <w:numPr>
          <w:ilvl w:val="1"/>
          <w:numId w:val="21"/>
        </w:numPr>
      </w:pPr>
      <w:r>
        <w:t xml:space="preserve">Ratepayer costs included in Commission </w:t>
      </w:r>
      <w:r w:rsidR="00FE4E6B">
        <w:t>r</w:t>
      </w:r>
      <w:r>
        <w:t xml:space="preserve">ate </w:t>
      </w:r>
      <w:r w:rsidR="00FE4E6B">
        <w:t>c</w:t>
      </w:r>
      <w:r>
        <w:t>ase (</w:t>
      </w:r>
      <w:r w:rsidR="00163796">
        <w:t xml:space="preserve">list </w:t>
      </w:r>
      <w:r w:rsidR="00FE4E6B">
        <w:t>r</w:t>
      </w:r>
      <w:r>
        <w:t xml:space="preserve">ate </w:t>
      </w:r>
      <w:r w:rsidR="00FE4E6B">
        <w:t>c</w:t>
      </w:r>
      <w:r>
        <w:t>ase</w:t>
      </w:r>
      <w:r w:rsidR="00B863B7">
        <w:t xml:space="preserve"> and</w:t>
      </w:r>
      <w:r>
        <w:t xml:space="preserve"> year);</w:t>
      </w:r>
    </w:p>
    <w:p w14:paraId="1CC4BA10" w14:textId="572E1938" w:rsidR="00AF592B" w:rsidRDefault="00AF592B" w:rsidP="00AF592B">
      <w:pPr>
        <w:numPr>
          <w:ilvl w:val="1"/>
          <w:numId w:val="21"/>
        </w:numPr>
      </w:pPr>
      <w:r>
        <w:t>Property transaction completion status; and</w:t>
      </w:r>
    </w:p>
    <w:p w14:paraId="7A325562" w14:textId="726BB543" w:rsidR="00382D47" w:rsidRDefault="00AF592B" w:rsidP="00AF592B">
      <w:pPr>
        <w:numPr>
          <w:ilvl w:val="1"/>
          <w:numId w:val="21"/>
        </w:numPr>
      </w:pPr>
      <w:r>
        <w:t>Completion date or expected completion date of all property transactions.</w:t>
      </w:r>
    </w:p>
    <w:p w14:paraId="2AD54A9D" w14:textId="5592C4DB" w:rsidR="00AF592B" w:rsidRDefault="00AF592B" w:rsidP="00AF592B">
      <w:pPr>
        <w:numPr>
          <w:ilvl w:val="0"/>
          <w:numId w:val="21"/>
        </w:numPr>
      </w:pPr>
      <w:r>
        <w:t>Summary Table 2 (see Attachment</w:t>
      </w:r>
      <w:r w:rsidR="007661D7">
        <w:t xml:space="preserve"> B</w:t>
      </w:r>
      <w:r>
        <w:t xml:space="preserve">) that includes a row for each completed Utility Agreement </w:t>
      </w:r>
      <w:r w:rsidR="00014DA3">
        <w:t xml:space="preserve">filed </w:t>
      </w:r>
      <w:r>
        <w:t>and the following columns (enter “N/A” if type of facility is not applicable to the utility company):</w:t>
      </w:r>
    </w:p>
    <w:p w14:paraId="36D155BF" w14:textId="539C3131" w:rsidR="00AF592B" w:rsidRDefault="00AF592B" w:rsidP="00AF592B">
      <w:pPr>
        <w:numPr>
          <w:ilvl w:val="1"/>
          <w:numId w:val="21"/>
        </w:numPr>
      </w:pPr>
      <w:r>
        <w:t>Utility Agreement number;</w:t>
      </w:r>
    </w:p>
    <w:p w14:paraId="17D35C67" w14:textId="29201F8D" w:rsidR="00AF592B" w:rsidRDefault="00AF592B" w:rsidP="00AF592B">
      <w:pPr>
        <w:numPr>
          <w:ilvl w:val="1"/>
          <w:numId w:val="21"/>
        </w:numPr>
      </w:pPr>
      <w:r>
        <w:t>Total number of facilities relocated;</w:t>
      </w:r>
    </w:p>
    <w:p w14:paraId="228C90FE" w14:textId="598C713E" w:rsidR="00AF592B" w:rsidRDefault="00AF592B" w:rsidP="00AF592B">
      <w:pPr>
        <w:numPr>
          <w:ilvl w:val="1"/>
          <w:numId w:val="21"/>
        </w:numPr>
      </w:pPr>
      <w:r>
        <w:t>Number of Electric Distribution Lines (under 50 kV) relocated;</w:t>
      </w:r>
    </w:p>
    <w:p w14:paraId="05A3353F" w14:textId="79888E69" w:rsidR="00AF592B" w:rsidRDefault="00AF592B" w:rsidP="00AF592B">
      <w:pPr>
        <w:numPr>
          <w:ilvl w:val="1"/>
          <w:numId w:val="21"/>
        </w:numPr>
      </w:pPr>
      <w:r>
        <w:t>Number of Electric Power Lines (50 kV to less than 200kV) relocated;</w:t>
      </w:r>
    </w:p>
    <w:p w14:paraId="613E649D" w14:textId="7CBAA862" w:rsidR="00AF592B" w:rsidRDefault="00AF592B" w:rsidP="00AF592B">
      <w:pPr>
        <w:numPr>
          <w:ilvl w:val="1"/>
          <w:numId w:val="21"/>
        </w:numPr>
      </w:pPr>
      <w:r>
        <w:t>Number of Electric Transmission Lines (200 kV and above) relocated;</w:t>
      </w:r>
    </w:p>
    <w:p w14:paraId="31A6B3C0" w14:textId="177CD8A4" w:rsidR="00AF592B" w:rsidRDefault="00AF592B" w:rsidP="00AF592B">
      <w:pPr>
        <w:numPr>
          <w:ilvl w:val="1"/>
          <w:numId w:val="21"/>
        </w:numPr>
      </w:pPr>
      <w:r>
        <w:t>Number of Ga</w:t>
      </w:r>
      <w:r w:rsidR="00077E49">
        <w:t>s Distribution Lines relocated;</w:t>
      </w:r>
    </w:p>
    <w:p w14:paraId="5BC9BAFD" w14:textId="77777777" w:rsidR="00077E49" w:rsidRDefault="00AF592B" w:rsidP="00AF592B">
      <w:pPr>
        <w:numPr>
          <w:ilvl w:val="1"/>
          <w:numId w:val="21"/>
        </w:numPr>
      </w:pPr>
      <w:r>
        <w:t>Number of Gas Transmission Lines relocated</w:t>
      </w:r>
      <w:r w:rsidR="00077E49">
        <w:t>; and</w:t>
      </w:r>
    </w:p>
    <w:p w14:paraId="6F1BC50E" w14:textId="3BF1CACF" w:rsidR="00AF592B" w:rsidRDefault="00077E49" w:rsidP="00077E49">
      <w:pPr>
        <w:numPr>
          <w:ilvl w:val="1"/>
          <w:numId w:val="21"/>
        </w:numPr>
      </w:pPr>
      <w:r>
        <w:t xml:space="preserve">Number of </w:t>
      </w:r>
      <w:r w:rsidR="00F75A4A">
        <w:t>T</w:t>
      </w:r>
      <w:r>
        <w:t xml:space="preserve">elecommunication </w:t>
      </w:r>
      <w:r w:rsidR="00F75A4A">
        <w:t>L</w:t>
      </w:r>
      <w:r>
        <w:t>ines relocated</w:t>
      </w:r>
      <w:r w:rsidR="00AF592B">
        <w:t>.</w:t>
      </w:r>
    </w:p>
    <w:p w14:paraId="3C76ED44" w14:textId="1CAA44AF" w:rsidR="00C67754" w:rsidRDefault="00C67754" w:rsidP="00C67754">
      <w:pPr>
        <w:numPr>
          <w:ilvl w:val="0"/>
          <w:numId w:val="21"/>
        </w:numPr>
      </w:pPr>
      <w:r>
        <w:lastRenderedPageBreak/>
        <w:t>Documentation of all completed land transactions not yet submitted in prior annual reports.</w:t>
      </w:r>
    </w:p>
    <w:p w14:paraId="77A5D98B" w14:textId="5B51EBAF" w:rsidR="00C67754" w:rsidRPr="001C3F20" w:rsidRDefault="00C67754" w:rsidP="00C67754">
      <w:pPr>
        <w:numPr>
          <w:ilvl w:val="0"/>
          <w:numId w:val="21"/>
        </w:numPr>
      </w:pPr>
      <w:r>
        <w:t xml:space="preserve">Verification that the only relocation work costs charged to ratepayers </w:t>
      </w:r>
      <w:r w:rsidR="004A2A4D">
        <w:t>were</w:t>
      </w:r>
      <w:r>
        <w:t xml:space="preserve"> </w:t>
      </w:r>
      <w:r w:rsidRPr="001C3F20">
        <w:t xml:space="preserve">credits </w:t>
      </w:r>
      <w:r w:rsidR="004A2A4D">
        <w:t xml:space="preserve">as </w:t>
      </w:r>
      <w:r w:rsidRPr="001C3F20">
        <w:t>described in this Resolution.</w:t>
      </w:r>
    </w:p>
    <w:p w14:paraId="0E7D4FA2" w14:textId="73C1B33C" w:rsidR="00977EF5" w:rsidRDefault="00977EF5" w:rsidP="00977EF5">
      <w:pPr>
        <w:pStyle w:val="ListParagraph"/>
        <w:numPr>
          <w:ilvl w:val="0"/>
          <w:numId w:val="21"/>
        </w:numPr>
      </w:pPr>
      <w:r>
        <w:t xml:space="preserve">The </w:t>
      </w:r>
      <w:r w:rsidR="00445505">
        <w:t xml:space="preserve">data and documentation required in the </w:t>
      </w:r>
      <w:r w:rsidRPr="00977EF5">
        <w:t xml:space="preserve">annual reports </w:t>
      </w:r>
      <w:r>
        <w:t xml:space="preserve">will </w:t>
      </w:r>
      <w:r w:rsidR="00445505">
        <w:t xml:space="preserve">cover the period from </w:t>
      </w:r>
      <w:r w:rsidR="00B863B7">
        <w:t xml:space="preserve">the utility company’s first Utility Agreement filing </w:t>
      </w:r>
      <w:r w:rsidR="00445505">
        <w:t xml:space="preserve">to </w:t>
      </w:r>
      <w:r w:rsidRPr="00977EF5">
        <w:t xml:space="preserve">30 days prior to </w:t>
      </w:r>
      <w:r w:rsidR="000F6228">
        <w:t xml:space="preserve">annual report </w:t>
      </w:r>
      <w:r w:rsidRPr="00977EF5">
        <w:t>filing.</w:t>
      </w:r>
    </w:p>
    <w:p w14:paraId="02458C9E" w14:textId="4A9C09B2" w:rsidR="001C3F20" w:rsidRPr="001C3F20" w:rsidRDefault="001C3F20" w:rsidP="001C3F20">
      <w:pPr>
        <w:numPr>
          <w:ilvl w:val="0"/>
          <w:numId w:val="21"/>
        </w:numPr>
      </w:pPr>
      <w:r w:rsidRPr="001C3F20">
        <w:t xml:space="preserve">For PG&amp;E only, the annual report </w:t>
      </w:r>
      <w:r w:rsidR="00967C77">
        <w:t>must</w:t>
      </w:r>
      <w:r w:rsidRPr="001C3F20">
        <w:t xml:space="preserve"> </w:t>
      </w:r>
      <w:r w:rsidR="00967C77">
        <w:t xml:space="preserve">also </w:t>
      </w:r>
      <w:r w:rsidRPr="001C3F20">
        <w:t>verify that CHSRA or i</w:t>
      </w:r>
      <w:r w:rsidR="002273AA">
        <w:t>t</w:t>
      </w:r>
      <w:r w:rsidRPr="001C3F20">
        <w:t xml:space="preserve">s contractors constructed and tied-in all relocated </w:t>
      </w:r>
      <w:r w:rsidR="00967C77">
        <w:t xml:space="preserve">PG&amp;E </w:t>
      </w:r>
      <w:r w:rsidRPr="001C3F20">
        <w:t>utility facilities.</w:t>
      </w:r>
    </w:p>
    <w:p w14:paraId="5C919474" w14:textId="77777777" w:rsidR="001C1568" w:rsidRDefault="001C1568" w:rsidP="00CA022F"/>
    <w:p w14:paraId="7316856A" w14:textId="66D03772" w:rsidR="00245ADE" w:rsidRDefault="001C1568" w:rsidP="00245ADE">
      <w:r>
        <w:rPr>
          <w:b/>
        </w:rPr>
        <w:t>1</w:t>
      </w:r>
      <w:r w:rsidR="00BF019D">
        <w:rPr>
          <w:b/>
        </w:rPr>
        <w:t>5</w:t>
      </w:r>
      <w:r>
        <w:rPr>
          <w:b/>
        </w:rPr>
        <w:t xml:space="preserve">. </w:t>
      </w:r>
      <w:r w:rsidRPr="001C1568">
        <w:rPr>
          <w:b/>
        </w:rPr>
        <w:t>CHSRA is the Lead Agency under CEQA and the Federal Railroad Administration is the Lead Agency under NEPA. The joint Lead Agencies will complete all required environmental reviews, public notices, and documentation required for CEQA and NEPA complianc</w:t>
      </w:r>
      <w:r>
        <w:rPr>
          <w:b/>
        </w:rPr>
        <w:t>e.</w:t>
      </w:r>
      <w:r>
        <w:t xml:space="preserve"> </w:t>
      </w:r>
      <w:r w:rsidR="00245ADE">
        <w:t xml:space="preserve">Given that CHSRA together with the </w:t>
      </w:r>
      <w:r w:rsidR="00245ADE" w:rsidRPr="008A25C8">
        <w:t xml:space="preserve">Federal Railroad Administration </w:t>
      </w:r>
      <w:r w:rsidR="00245ADE">
        <w:t xml:space="preserve">are preparing all required environmental review processes required for the utility facility relocation work, the compliance process </w:t>
      </w:r>
      <w:r w:rsidR="00876C1C">
        <w:t xml:space="preserve">described in </w:t>
      </w:r>
      <w:r w:rsidR="00B46CEF">
        <w:t>Discussion s</w:t>
      </w:r>
      <w:r w:rsidR="00876C1C">
        <w:t xml:space="preserve">ections 13 and 14 of </w:t>
      </w:r>
      <w:r w:rsidR="00245ADE">
        <w:t>this Resolution is reasonable an</w:t>
      </w:r>
      <w:r w:rsidR="000F11DC">
        <w:t>d</w:t>
      </w:r>
      <w:r w:rsidR="00245ADE">
        <w:t xml:space="preserve"> appropriate.</w:t>
      </w:r>
    </w:p>
    <w:p w14:paraId="78A77466" w14:textId="10E76920" w:rsidR="0071738E" w:rsidRDefault="0071738E" w:rsidP="001C1568"/>
    <w:p w14:paraId="3343A6CD" w14:textId="593AE4D8" w:rsidR="00C15F20" w:rsidRDefault="008A25C8" w:rsidP="00245ADE">
      <w:r>
        <w:rPr>
          <w:b/>
        </w:rPr>
        <w:t>1</w:t>
      </w:r>
      <w:r w:rsidR="00BF019D">
        <w:rPr>
          <w:b/>
        </w:rPr>
        <w:t>6</w:t>
      </w:r>
      <w:r>
        <w:rPr>
          <w:b/>
        </w:rPr>
        <w:t xml:space="preserve">. </w:t>
      </w:r>
      <w:r w:rsidRPr="008A25C8">
        <w:rPr>
          <w:b/>
        </w:rPr>
        <w:t xml:space="preserve">GO 131-D would not apply to </w:t>
      </w:r>
      <w:r w:rsidR="00207A38">
        <w:rPr>
          <w:b/>
        </w:rPr>
        <w:t xml:space="preserve">PG&amp;E </w:t>
      </w:r>
      <w:r w:rsidRPr="008A25C8">
        <w:rPr>
          <w:b/>
        </w:rPr>
        <w:t>electric</w:t>
      </w:r>
      <w:r w:rsidR="00207A38">
        <w:rPr>
          <w:b/>
        </w:rPr>
        <w:t>al</w:t>
      </w:r>
      <w:r w:rsidRPr="008A25C8">
        <w:rPr>
          <w:b/>
        </w:rPr>
        <w:t xml:space="preserve"> </w:t>
      </w:r>
      <w:r w:rsidR="00207A38">
        <w:rPr>
          <w:b/>
        </w:rPr>
        <w:t xml:space="preserve">facility </w:t>
      </w:r>
      <w:r w:rsidRPr="008A25C8">
        <w:rPr>
          <w:b/>
        </w:rPr>
        <w:t xml:space="preserve">relocation work because CHSRA will be responsible for the design, procurement of supplies, construction, and </w:t>
      </w:r>
      <w:r w:rsidRPr="008B344C">
        <w:rPr>
          <w:b/>
        </w:rPr>
        <w:t xml:space="preserve">system tie-in of all </w:t>
      </w:r>
      <w:r w:rsidR="00207A38" w:rsidRPr="008B344C">
        <w:rPr>
          <w:b/>
        </w:rPr>
        <w:t xml:space="preserve">PG&amp;E </w:t>
      </w:r>
      <w:r w:rsidRPr="008B344C">
        <w:rPr>
          <w:b/>
        </w:rPr>
        <w:t>facility relocations and would complete all CEQA review requirements</w:t>
      </w:r>
      <w:r w:rsidRPr="008B344C">
        <w:t>.</w:t>
      </w:r>
      <w:r w:rsidR="00207A38" w:rsidRPr="008B344C">
        <w:t xml:space="preserve"> </w:t>
      </w:r>
      <w:r w:rsidR="00245ADE" w:rsidRPr="008B344C">
        <w:t>GO 131-D applies to work completed by electric utilities</w:t>
      </w:r>
      <w:r w:rsidR="00F90461" w:rsidRPr="008B344C">
        <w:rPr>
          <w:rStyle w:val="FootnoteReference"/>
          <w:b/>
        </w:rPr>
        <w:footnoteReference w:id="11"/>
      </w:r>
      <w:r w:rsidR="00245ADE" w:rsidRPr="008B344C">
        <w:t xml:space="preserve"> and ensures that CEQA requirements are met. For PG&amp;E electric facility relocation work, CHSRA would both construct the relocation and ensure that all CEQA requirements are met. CHSRA is not an electric utility and the work is necessary to accommodate</w:t>
      </w:r>
      <w:r w:rsidR="00245ADE">
        <w:t xml:space="preserve"> CHSRA’s Project.  For these reasons, </w:t>
      </w:r>
      <w:r w:rsidR="006E70C4">
        <w:br/>
      </w:r>
      <w:r w:rsidR="00245ADE">
        <w:t xml:space="preserve">GO 131-D would not apply to the relocation of </w:t>
      </w:r>
      <w:r w:rsidR="00245ADE" w:rsidRPr="002C03FD">
        <w:t>PG&amp;E</w:t>
      </w:r>
      <w:r w:rsidR="00245ADE">
        <w:t xml:space="preserve"> electric facilities</w:t>
      </w:r>
      <w:r w:rsidR="00445505">
        <w:t xml:space="preserve"> by CHSRA</w:t>
      </w:r>
      <w:r w:rsidR="00245ADE">
        <w:t xml:space="preserve">. </w:t>
      </w:r>
    </w:p>
    <w:p w14:paraId="7B4D255D" w14:textId="77777777" w:rsidR="00C15F20" w:rsidRDefault="00C15F20" w:rsidP="00245ADE"/>
    <w:p w14:paraId="1D1922CE" w14:textId="2A597CBF" w:rsidR="00245ADE" w:rsidRDefault="00245ADE" w:rsidP="00245ADE">
      <w:r>
        <w:lastRenderedPageBreak/>
        <w:t xml:space="preserve">SCE </w:t>
      </w:r>
      <w:r w:rsidR="000F11DC">
        <w:t>indicated to</w:t>
      </w:r>
      <w:r w:rsidR="00C15F20">
        <w:t xml:space="preserve"> Commission staff that they plan to </w:t>
      </w:r>
      <w:r w:rsidR="00BB3EE3" w:rsidRPr="00BB3EE3">
        <w:t xml:space="preserve">be responsible for the design, procurement of supplies, construction, and system tie-in </w:t>
      </w:r>
      <w:r w:rsidR="00BB3EE3">
        <w:t>activities required to relocate their facilities</w:t>
      </w:r>
      <w:r w:rsidR="00C15F20">
        <w:t xml:space="preserve">. Hence, </w:t>
      </w:r>
      <w:r>
        <w:t>GO 131-D would apply to the relocation of SCE</w:t>
      </w:r>
      <w:r w:rsidR="00C15F20">
        <w:t>’s</w:t>
      </w:r>
      <w:r>
        <w:t xml:space="preserve"> electric facilities</w:t>
      </w:r>
      <w:r w:rsidR="00C15F20">
        <w:t xml:space="preserve"> for the CHSRA Project</w:t>
      </w:r>
      <w:r>
        <w:t xml:space="preserve">. </w:t>
      </w:r>
    </w:p>
    <w:p w14:paraId="37DED277" w14:textId="77777777" w:rsidR="008A25C8" w:rsidRDefault="008A25C8"/>
    <w:p w14:paraId="382A4F72" w14:textId="5D8A4EFB" w:rsidR="00F8465C" w:rsidRDefault="00BF019D">
      <w:r>
        <w:rPr>
          <w:b/>
        </w:rPr>
        <w:t>17</w:t>
      </w:r>
      <w:r w:rsidR="008A25C8">
        <w:rPr>
          <w:b/>
        </w:rPr>
        <w:t xml:space="preserve">. </w:t>
      </w:r>
      <w:r w:rsidR="008A25C8" w:rsidRPr="008A25C8">
        <w:rPr>
          <w:b/>
        </w:rPr>
        <w:t>The expansion or new construction of electric facilities needed to electrify the Project will be addressed under separate agreements between PG&amp;E, SCE, and CHSRA and separate</w:t>
      </w:r>
      <w:r w:rsidR="00B863B7">
        <w:rPr>
          <w:b/>
        </w:rPr>
        <w:t>ly</w:t>
      </w:r>
      <w:r w:rsidR="008A25C8" w:rsidRPr="008A25C8">
        <w:rPr>
          <w:b/>
        </w:rPr>
        <w:t xml:space="preserve"> </w:t>
      </w:r>
      <w:r w:rsidR="00B863B7">
        <w:rPr>
          <w:b/>
        </w:rPr>
        <w:t>considered</w:t>
      </w:r>
      <w:r w:rsidR="008A25C8" w:rsidRPr="008A25C8">
        <w:rPr>
          <w:b/>
        </w:rPr>
        <w:t xml:space="preserve"> by the </w:t>
      </w:r>
      <w:r w:rsidR="00F35ED9">
        <w:rPr>
          <w:b/>
        </w:rPr>
        <w:t>Commission</w:t>
      </w:r>
      <w:r w:rsidR="008A25C8" w:rsidRPr="008A25C8">
        <w:rPr>
          <w:b/>
        </w:rPr>
        <w:t xml:space="preserve"> as required.</w:t>
      </w:r>
      <w:r w:rsidR="008A25C8">
        <w:rPr>
          <w:b/>
        </w:rPr>
        <w:t xml:space="preserve"> </w:t>
      </w:r>
      <w:r w:rsidR="00F35ED9" w:rsidRPr="00F35ED9">
        <w:t xml:space="preserve">PG&amp;E filed Advice Letter </w:t>
      </w:r>
      <w:r w:rsidR="00F35ED9">
        <w:t>4570-E-A</w:t>
      </w:r>
      <w:r w:rsidR="001D6B2F">
        <w:rPr>
          <w:rStyle w:val="FootnoteReference"/>
        </w:rPr>
        <w:footnoteReference w:id="12"/>
      </w:r>
      <w:r w:rsidR="00F35ED9">
        <w:t xml:space="preserve"> </w:t>
      </w:r>
      <w:r w:rsidR="00B863B7">
        <w:t>with</w:t>
      </w:r>
      <w:r w:rsidR="00F35ED9">
        <w:t xml:space="preserve"> the</w:t>
      </w:r>
      <w:r w:rsidR="00F35ED9" w:rsidRPr="00F35ED9">
        <w:t xml:space="preserve"> Commission</w:t>
      </w:r>
      <w:r w:rsidR="00F35ED9">
        <w:t xml:space="preserve"> in </w:t>
      </w:r>
      <w:r w:rsidR="001D6B2F">
        <w:t xml:space="preserve">December </w:t>
      </w:r>
      <w:r w:rsidR="00F35ED9">
        <w:t xml:space="preserve">2015 </w:t>
      </w:r>
      <w:r w:rsidR="00F35ED9" w:rsidRPr="00F35ED9">
        <w:t xml:space="preserve">for approval of </w:t>
      </w:r>
      <w:r w:rsidR="00F35ED9">
        <w:t>c</w:t>
      </w:r>
      <w:r w:rsidR="00F35ED9" w:rsidRPr="00F35ED9">
        <w:t xml:space="preserve">ontractual agreements with CHSRA </w:t>
      </w:r>
      <w:r w:rsidR="00F35ED9">
        <w:t>for</w:t>
      </w:r>
      <w:r w:rsidR="00F35ED9" w:rsidRPr="00F35ED9">
        <w:t xml:space="preserve"> interconnection work planning activities (e.g., System Impact Studies)</w:t>
      </w:r>
      <w:r w:rsidR="00F35ED9">
        <w:t xml:space="preserve"> </w:t>
      </w:r>
      <w:r w:rsidR="00574556">
        <w:t>necessary to determine what modifications and upgrades to</w:t>
      </w:r>
      <w:r w:rsidR="00F35ED9">
        <w:t xml:space="preserve"> PG&amp;E’s </w:t>
      </w:r>
      <w:r w:rsidR="00574556">
        <w:t xml:space="preserve">electric </w:t>
      </w:r>
      <w:r w:rsidR="00F35ED9">
        <w:t xml:space="preserve">system </w:t>
      </w:r>
      <w:r w:rsidR="00574556">
        <w:t xml:space="preserve">are necessary for PG&amp;E </w:t>
      </w:r>
      <w:r w:rsidR="00F35ED9">
        <w:t xml:space="preserve">to </w:t>
      </w:r>
      <w:r w:rsidR="00F35ED9" w:rsidRPr="00F35ED9">
        <w:t xml:space="preserve">provide power to the </w:t>
      </w:r>
      <w:r w:rsidR="00F35ED9">
        <w:t xml:space="preserve">CHSRA </w:t>
      </w:r>
      <w:r w:rsidR="00F35ED9" w:rsidRPr="00F35ED9">
        <w:t>Project</w:t>
      </w:r>
      <w:r w:rsidR="00F35ED9">
        <w:t>.</w:t>
      </w:r>
      <w:r w:rsidR="00574556">
        <w:t xml:space="preserve"> </w:t>
      </w:r>
      <w:r w:rsidR="00F8465C">
        <w:t xml:space="preserve">SCE is expected to file similar </w:t>
      </w:r>
      <w:r w:rsidR="00CF3E67">
        <w:rPr>
          <w:rFonts w:ascii="Palatino Linotype" w:hAnsi="Palatino Linotype"/>
        </w:rPr>
        <w:t>advice letters</w:t>
      </w:r>
      <w:r w:rsidR="00F8465C">
        <w:t xml:space="preserve"> in the future.</w:t>
      </w:r>
      <w:r w:rsidR="00A651E0">
        <w:t xml:space="preserve"> </w:t>
      </w:r>
      <w:r w:rsidR="00A651E0" w:rsidRPr="00A651E0">
        <w:t>SoCalGas facilities would not be interconnected to the CHSRA Project</w:t>
      </w:r>
      <w:r w:rsidR="00A651E0">
        <w:t>, and h</w:t>
      </w:r>
      <w:r w:rsidR="00A651E0" w:rsidRPr="00A651E0">
        <w:t xml:space="preserve">ence, the interconnection work concept </w:t>
      </w:r>
      <w:r w:rsidR="00A651E0">
        <w:t>would</w:t>
      </w:r>
      <w:r w:rsidR="00A651E0" w:rsidRPr="00A651E0">
        <w:t xml:space="preserve"> not </w:t>
      </w:r>
      <w:r w:rsidR="00A651E0">
        <w:t>be applicable</w:t>
      </w:r>
      <w:r w:rsidR="00A651E0" w:rsidRPr="00A651E0">
        <w:t xml:space="preserve"> to SoCalGas.</w:t>
      </w:r>
    </w:p>
    <w:p w14:paraId="29FECBB0" w14:textId="77777777" w:rsidR="00F8465C" w:rsidRDefault="00F8465C"/>
    <w:p w14:paraId="397FD665" w14:textId="4642733A" w:rsidR="00B863B7" w:rsidRDefault="00B863B7" w:rsidP="00B863B7">
      <w:r>
        <w:t xml:space="preserve">The required contractual processes, permitting activities, construction activities, and costs for powering the CHSRA Project are separate and distinct from those required to relocate existing utility facilities that are located within the CHSRA Project alignment ROW. </w:t>
      </w:r>
      <w:r w:rsidR="00D62717">
        <w:t>T</w:t>
      </w:r>
      <w:r>
        <w:t xml:space="preserve">he Commission </w:t>
      </w:r>
      <w:r w:rsidR="00D62717">
        <w:t xml:space="preserve">must </w:t>
      </w:r>
      <w:r>
        <w:t xml:space="preserve">separately consider facility relocations and electric interconnections to power the CHSRA Project because the relocated facilities will serve their existing purpose, while the interconnections to power the Project could involve significant system upgrades. </w:t>
      </w:r>
      <w:r w:rsidRPr="007D0D0A">
        <w:t>Costs associated with the interconnection of PG&amp;E and SCE facilities to provide electric power to the Project will be the subject of separate filings to the Commission</w:t>
      </w:r>
      <w:r>
        <w:t>.</w:t>
      </w:r>
    </w:p>
    <w:p w14:paraId="269CA756" w14:textId="77777777" w:rsidR="008A25C8" w:rsidRDefault="008A25C8"/>
    <w:p w14:paraId="6B18684D" w14:textId="77777777" w:rsidR="00CF17DE" w:rsidRDefault="00CF17DE">
      <w:pPr>
        <w:pStyle w:val="Heading1"/>
      </w:pPr>
      <w:r>
        <w:t>Comments</w:t>
      </w:r>
    </w:p>
    <w:p w14:paraId="1579BB17" w14:textId="4C825552" w:rsidR="003F3AE6" w:rsidRDefault="00556001" w:rsidP="003F3AE6">
      <w:r>
        <w:t>PU</w:t>
      </w:r>
      <w:r w:rsidR="009F77C9">
        <w:t xml:space="preserve"> </w:t>
      </w:r>
      <w:r>
        <w:t>C</w:t>
      </w:r>
      <w:r w:rsidR="009F77C9">
        <w:t>ode</w:t>
      </w:r>
      <w:r>
        <w:t xml:space="preserve"> S</w:t>
      </w:r>
      <w:r w:rsidR="003F3AE6">
        <w:t>ection 311(g</w:t>
      </w:r>
      <w:proofErr w:type="gramStart"/>
      <w:r w:rsidR="003F3AE6">
        <w:t>)(</w:t>
      </w:r>
      <w:proofErr w:type="gramEnd"/>
      <w:r w:rsidR="003F3AE6">
        <w:t xml:space="preserve">1) provides that this resolution must be served on all parties and subject to at least 30 days public review and comment prior to a vote </w:t>
      </w:r>
      <w:r w:rsidR="003F3AE6">
        <w:lastRenderedPageBreak/>
        <w:t>of the Commission. Section 311(g</w:t>
      </w:r>
      <w:proofErr w:type="gramStart"/>
      <w:r w:rsidR="003F3AE6">
        <w:t>)(</w:t>
      </w:r>
      <w:proofErr w:type="gramEnd"/>
      <w:r w:rsidR="003F3AE6">
        <w:t>2) provides that this 30-day period may be reduced or waived upon the stipulation of all parties in the proceeding.</w:t>
      </w:r>
    </w:p>
    <w:p w14:paraId="7A0B2829" w14:textId="77777777" w:rsidR="003F3AE6" w:rsidRDefault="003F3AE6" w:rsidP="003F3AE6"/>
    <w:p w14:paraId="19109FB0" w14:textId="7592E409" w:rsidR="003F3AE6" w:rsidRDefault="003F3AE6" w:rsidP="003F3AE6">
      <w:r>
        <w:t xml:space="preserve">The 30-day comment period for the draft of this resolution was neither waived nor reduced. Accordingly, this draft resolution was mailed to parties for comments, and will be placed on the Commission's agenda no earlier than </w:t>
      </w:r>
    </w:p>
    <w:p w14:paraId="183CE040" w14:textId="31C0180F" w:rsidR="003F3AE6" w:rsidRDefault="003F3AE6" w:rsidP="003F3AE6">
      <w:r>
        <w:t>30 days from today.</w:t>
      </w:r>
    </w:p>
    <w:p w14:paraId="7273B48A" w14:textId="77777777" w:rsidR="003F3AE6" w:rsidRDefault="003F3AE6"/>
    <w:p w14:paraId="27ADD24A" w14:textId="77777777" w:rsidR="00CF17DE" w:rsidRDefault="00CF17DE">
      <w:pPr>
        <w:pStyle w:val="Heading1"/>
      </w:pPr>
      <w:r>
        <w:t>Findings</w:t>
      </w:r>
    </w:p>
    <w:p w14:paraId="2A5022C0" w14:textId="56FC7DA5" w:rsidR="003E1F90" w:rsidRDefault="005E4E7A" w:rsidP="008A1626">
      <w:r>
        <w:t xml:space="preserve">With </w:t>
      </w:r>
      <w:r w:rsidRPr="005E4E7A">
        <w:t xml:space="preserve">PG&amp;E Advice Letter 3484-G/4443-E supplemented by Advice Letter </w:t>
      </w:r>
      <w:r w:rsidR="006E70C4">
        <w:br/>
      </w:r>
      <w:r w:rsidRPr="005E4E7A">
        <w:t>3484-G-A/4443-E-A and Advice Letter 3484-G-B/4443-E-B</w:t>
      </w:r>
      <w:r>
        <w:t>,</w:t>
      </w:r>
      <w:r w:rsidRPr="005E4E7A">
        <w:t xml:space="preserve"> </w:t>
      </w:r>
      <w:r>
        <w:t>with</w:t>
      </w:r>
      <w:r w:rsidRPr="005E4E7A">
        <w:t xml:space="preserve"> SCE Advice Letter 3315-E</w:t>
      </w:r>
      <w:r>
        <w:t>,</w:t>
      </w:r>
      <w:r w:rsidRPr="005E4E7A">
        <w:t xml:space="preserve"> and </w:t>
      </w:r>
      <w:r>
        <w:t>with</w:t>
      </w:r>
      <w:r w:rsidRPr="005E4E7A">
        <w:t xml:space="preserve"> SoCalGas Advice Let</w:t>
      </w:r>
      <w:r>
        <w:t xml:space="preserve">ter 4946, </w:t>
      </w:r>
      <w:r w:rsidR="00B169FE" w:rsidRPr="008B727C">
        <w:t xml:space="preserve">the </w:t>
      </w:r>
      <w:r w:rsidR="00237F31" w:rsidRPr="008B727C">
        <w:t>three</w:t>
      </w:r>
      <w:r w:rsidR="00B169FE" w:rsidRPr="008B727C">
        <w:t xml:space="preserve"> utility companies submitted </w:t>
      </w:r>
      <w:r w:rsidR="003E1F90" w:rsidRPr="008B727C">
        <w:t>for approval agreement</w:t>
      </w:r>
      <w:r w:rsidR="00B169FE" w:rsidRPr="008B727C">
        <w:t>s</w:t>
      </w:r>
      <w:r w:rsidR="003E1F90" w:rsidRPr="008B727C">
        <w:t xml:space="preserve"> </w:t>
      </w:r>
      <w:r w:rsidR="00B169FE" w:rsidRPr="008B727C">
        <w:t>with</w:t>
      </w:r>
      <w:r w:rsidR="003E1F90" w:rsidRPr="008B727C">
        <w:t xml:space="preserve"> CHSRA to address obligations regarding electric and gas facility relocations needed to accommodate the Project.</w:t>
      </w:r>
      <w:r w:rsidR="008A1626" w:rsidRPr="008B727C">
        <w:t xml:space="preserve"> </w:t>
      </w:r>
      <w:r w:rsidR="003E1F90" w:rsidRPr="008B727C">
        <w:t>Key findings from the Commission’s review of the agreements are highlighted in bold in the Discussion section of this Resolution and summarized here:</w:t>
      </w:r>
    </w:p>
    <w:p w14:paraId="6B64A0C9" w14:textId="77777777" w:rsidR="008A1626" w:rsidRPr="00453DAF" w:rsidRDefault="008A1626" w:rsidP="008A1626"/>
    <w:p w14:paraId="02A4B499" w14:textId="449753CF" w:rsidR="009129DF" w:rsidRDefault="00AD78F4" w:rsidP="006E70C4">
      <w:pPr>
        <w:numPr>
          <w:ilvl w:val="0"/>
          <w:numId w:val="4"/>
        </w:numPr>
        <w:spacing w:after="120"/>
      </w:pPr>
      <w:r>
        <w:t xml:space="preserve">Two types of agreements have been executed </w:t>
      </w:r>
      <w:r w:rsidR="001320DA">
        <w:t xml:space="preserve">for </w:t>
      </w:r>
      <w:r>
        <w:t>utility facility relocation work required for the CHSRA Project: Master Agreements and Utility Agreements.</w:t>
      </w:r>
    </w:p>
    <w:p w14:paraId="526934F4" w14:textId="67FDF52A" w:rsidR="00CF17DE" w:rsidRPr="00E70FEC" w:rsidRDefault="00E70FEC" w:rsidP="006E70C4">
      <w:pPr>
        <w:numPr>
          <w:ilvl w:val="0"/>
          <w:numId w:val="4"/>
        </w:numPr>
        <w:spacing w:after="120"/>
      </w:pPr>
      <w:r w:rsidRPr="00E70FEC">
        <w:t>The gas distribution pipeline</w:t>
      </w:r>
      <w:r w:rsidR="008A1626" w:rsidRPr="00E70FEC">
        <w:t xml:space="preserve"> </w:t>
      </w:r>
      <w:r w:rsidRPr="00E70FEC">
        <w:t xml:space="preserve">disconnection </w:t>
      </w:r>
      <w:r w:rsidR="008A1626" w:rsidRPr="00E70FEC">
        <w:t>work</w:t>
      </w:r>
      <w:r w:rsidRPr="00E70FEC">
        <w:t xml:space="preserve"> already completed by PG&amp;E</w:t>
      </w:r>
      <w:r w:rsidR="008A1626" w:rsidRPr="00E70FEC">
        <w:t xml:space="preserve"> for CHSRA pursuant to GO 96-B Section 8.2.3 and Energy Industry Rules Section 5.3(8) for services to government agencies</w:t>
      </w:r>
      <w:r w:rsidRPr="00E70FEC">
        <w:t xml:space="preserve"> was reasonable.</w:t>
      </w:r>
    </w:p>
    <w:p w14:paraId="417C2E89" w14:textId="60A0DCBA" w:rsidR="003E1F90" w:rsidRPr="00641857" w:rsidRDefault="00E70FEC" w:rsidP="006E70C4">
      <w:pPr>
        <w:numPr>
          <w:ilvl w:val="0"/>
          <w:numId w:val="4"/>
        </w:numPr>
        <w:spacing w:after="120"/>
      </w:pPr>
      <w:r w:rsidRPr="00641857">
        <w:t>The use of State of California Standard Form 213 for the CHS</w:t>
      </w:r>
      <w:r w:rsidR="005E4E7A">
        <w:t xml:space="preserve">RA Project Utility Agreements </w:t>
      </w:r>
      <w:r w:rsidRPr="00641857">
        <w:t xml:space="preserve">instead of a utility-company form already </w:t>
      </w:r>
      <w:r w:rsidR="00641857" w:rsidRPr="00641857">
        <w:t xml:space="preserve">approved by </w:t>
      </w:r>
      <w:r w:rsidRPr="00641857">
        <w:t>the Commission is reasonable.</w:t>
      </w:r>
      <w:r w:rsidR="00FA5D5C">
        <w:t xml:space="preserve"> </w:t>
      </w:r>
    </w:p>
    <w:p w14:paraId="336A4E81" w14:textId="728E3DBA" w:rsidR="00412217" w:rsidRDefault="00412217" w:rsidP="006E70C4">
      <w:pPr>
        <w:numPr>
          <w:ilvl w:val="0"/>
          <w:numId w:val="4"/>
        </w:numPr>
        <w:spacing w:after="120"/>
      </w:pPr>
      <w:r w:rsidRPr="00412217">
        <w:t xml:space="preserve">The deviations to </w:t>
      </w:r>
      <w:r>
        <w:t xml:space="preserve">utility-company </w:t>
      </w:r>
      <w:r w:rsidRPr="00412217">
        <w:t xml:space="preserve">Rules for service extensions required to complete the </w:t>
      </w:r>
      <w:r w:rsidR="00247615" w:rsidRPr="00247615">
        <w:t xml:space="preserve">Master Agreements and Utility Agreements </w:t>
      </w:r>
      <w:r w:rsidR="00A678DF">
        <w:t xml:space="preserve">with CHSRA </w:t>
      </w:r>
      <w:r w:rsidRPr="00412217">
        <w:t>are reasonable</w:t>
      </w:r>
      <w:r w:rsidR="00DA20E1">
        <w:t xml:space="preserve"> (see </w:t>
      </w:r>
      <w:r w:rsidR="00B46CEF">
        <w:t xml:space="preserve">Discussion sections </w:t>
      </w:r>
      <w:r w:rsidR="00DA20E1">
        <w:t>3 and 4 of this Resolution)</w:t>
      </w:r>
      <w:r w:rsidRPr="00412217">
        <w:t>.</w:t>
      </w:r>
    </w:p>
    <w:p w14:paraId="14590B6E" w14:textId="0B609CE7" w:rsidR="00453DAF" w:rsidRDefault="00016845" w:rsidP="006E70C4">
      <w:pPr>
        <w:numPr>
          <w:ilvl w:val="0"/>
          <w:numId w:val="4"/>
        </w:numPr>
        <w:spacing w:after="120"/>
      </w:pPr>
      <w:r w:rsidRPr="00016845">
        <w:t xml:space="preserve">The </w:t>
      </w:r>
      <w:r w:rsidR="0095500D">
        <w:t>California High-Speed Rail Act (PU Code Section</w:t>
      </w:r>
      <w:r w:rsidR="0095500D" w:rsidRPr="00147117">
        <w:t xml:space="preserve"> 185000 et seq.</w:t>
      </w:r>
      <w:r w:rsidR="0095500D">
        <w:t xml:space="preserve">) </w:t>
      </w:r>
      <w:r w:rsidR="0085009E">
        <w:t>requires</w:t>
      </w:r>
      <w:r w:rsidR="0085009E" w:rsidRPr="00016845">
        <w:t xml:space="preserve"> </w:t>
      </w:r>
      <w:r w:rsidRPr="00016845">
        <w:t>that CHSRA pay the reasonable and necessary costs of PG&amp;E, SCE, and SoCalGas relocations or removals needed to accommodate the Project subject to credits to which CHSRA is entitled.</w:t>
      </w:r>
    </w:p>
    <w:p w14:paraId="20E7FEAE" w14:textId="68445EA5" w:rsidR="00D17659" w:rsidRPr="00E70FEC" w:rsidRDefault="00D17659" w:rsidP="006E70C4">
      <w:pPr>
        <w:numPr>
          <w:ilvl w:val="0"/>
          <w:numId w:val="4"/>
        </w:numPr>
        <w:spacing w:after="120"/>
      </w:pPr>
      <w:r w:rsidRPr="00C13760">
        <w:t xml:space="preserve">Relocation work costs </w:t>
      </w:r>
      <w:r w:rsidR="00E71AAE">
        <w:t>should</w:t>
      </w:r>
      <w:r w:rsidRPr="00C13760">
        <w:t xml:space="preserve"> only be passed on to rat</w:t>
      </w:r>
      <w:r>
        <w:t>epayers in the form of credits</w:t>
      </w:r>
      <w:r w:rsidRPr="00C13760">
        <w:t xml:space="preserve"> to CHSRA</w:t>
      </w:r>
      <w:r>
        <w:t xml:space="preserve"> as established by the California High-Speed Rail Act</w:t>
      </w:r>
      <w:r w:rsidRPr="00C13760">
        <w:t>.</w:t>
      </w:r>
    </w:p>
    <w:p w14:paraId="54E6F9C0" w14:textId="476D8600" w:rsidR="001174E1" w:rsidRPr="001174E1" w:rsidRDefault="001174E1" w:rsidP="006E70C4">
      <w:pPr>
        <w:pStyle w:val="ListParagraph"/>
        <w:numPr>
          <w:ilvl w:val="0"/>
          <w:numId w:val="4"/>
        </w:numPr>
        <w:spacing w:after="120"/>
      </w:pPr>
      <w:r w:rsidRPr="001174E1">
        <w:lastRenderedPageBreak/>
        <w:t xml:space="preserve">PG&amp;E, SCE, and SoCalGas </w:t>
      </w:r>
      <w:r w:rsidR="00E71AAE">
        <w:t>should</w:t>
      </w:r>
      <w:r w:rsidRPr="001174E1">
        <w:t xml:space="preserve"> not pass costs onto ratepayers in </w:t>
      </w:r>
      <w:r w:rsidR="00D17659">
        <w:t xml:space="preserve">rate case proceedings </w:t>
      </w:r>
      <w:r w:rsidRPr="001174E1">
        <w:t>that should be invoiced to CHSRA.</w:t>
      </w:r>
    </w:p>
    <w:p w14:paraId="6AE204F6" w14:textId="1B03194B" w:rsidR="00453DAF" w:rsidRPr="00E70FEC" w:rsidRDefault="00C13760" w:rsidP="006E70C4">
      <w:pPr>
        <w:numPr>
          <w:ilvl w:val="0"/>
          <w:numId w:val="4"/>
        </w:numPr>
        <w:spacing w:after="120"/>
      </w:pPr>
      <w:r w:rsidRPr="00C13760">
        <w:t>The billing arrangements specified in the PG&amp;E Utility Agreements are appropriate and similar terms would be appropriate for SCE and SoCalGas Utility Agreements that are currently being negotiated with CHSRA.</w:t>
      </w:r>
    </w:p>
    <w:p w14:paraId="47B4DA96" w14:textId="77777777" w:rsidR="00223F8E" w:rsidRDefault="00223F8E" w:rsidP="006E70C4">
      <w:pPr>
        <w:numPr>
          <w:ilvl w:val="0"/>
          <w:numId w:val="4"/>
        </w:numPr>
        <w:spacing w:after="120"/>
      </w:pPr>
      <w:r>
        <w:t xml:space="preserve">Each utility company has unique facilities and operating procedures. It is reasonable that while </w:t>
      </w:r>
      <w:r w:rsidRPr="00B05613">
        <w:t>CHSRA and its contractors will be responsible for the design, procurement of supplies, construction, and system tie-in of all PG&amp;E facility relocations</w:t>
      </w:r>
      <w:r>
        <w:t>, SCE and SoCalGas would prefer to retain these responsibilities instead of transferring them to CHSRA</w:t>
      </w:r>
      <w:r w:rsidRPr="00B05613">
        <w:t xml:space="preserve">. </w:t>
      </w:r>
    </w:p>
    <w:p w14:paraId="0032916D" w14:textId="00F3F88F" w:rsidR="00223F8E" w:rsidRPr="00E70FEC" w:rsidRDefault="00223F8E" w:rsidP="006E70C4">
      <w:pPr>
        <w:numPr>
          <w:ilvl w:val="0"/>
          <w:numId w:val="4"/>
        </w:numPr>
        <w:spacing w:after="120"/>
      </w:pPr>
      <w:r>
        <w:t xml:space="preserve">Work performed pursuant to the </w:t>
      </w:r>
      <w:r w:rsidR="00247615" w:rsidRPr="00247615">
        <w:t xml:space="preserve">Master Agreements and Utility Agreements </w:t>
      </w:r>
      <w:r>
        <w:t>would conform to all current and applicable laws and to applicable Commission, CHSRA, and industry safety requirements as well as utility-company (PG&amp;E/SCE/</w:t>
      </w:r>
      <w:r w:rsidR="005E4E7A">
        <w:t>SoCalGas) safety requirements</w:t>
      </w:r>
      <w:r>
        <w:t>. It is reasonable that the PG&amp;E Utility Agreements include additional terms and conditions (Flowdown Terms) applicable to CHSRA subcontractors that would complete the relocation work to ensure compliance wi</w:t>
      </w:r>
      <w:r w:rsidR="00BA4A7A">
        <w:t>th</w:t>
      </w:r>
      <w:r>
        <w:t xml:space="preserve"> all applicable laws and safety requirements.</w:t>
      </w:r>
    </w:p>
    <w:p w14:paraId="3E8298AF" w14:textId="7ACE8881" w:rsidR="00453DAF" w:rsidRPr="00E70FEC" w:rsidRDefault="00451806" w:rsidP="006E70C4">
      <w:pPr>
        <w:numPr>
          <w:ilvl w:val="0"/>
          <w:numId w:val="4"/>
        </w:numPr>
        <w:spacing w:after="120"/>
      </w:pPr>
      <w:r w:rsidRPr="00451806">
        <w:t>Utility relocation work for the CHSRA Project will involve a transfer of land rights</w:t>
      </w:r>
      <w:r>
        <w:t xml:space="preserve"> between the utility company and CHSRA</w:t>
      </w:r>
      <w:r w:rsidRPr="00451806">
        <w:t>. CHSRA is responsible for obtaining the required land</w:t>
      </w:r>
      <w:r w:rsidR="005E4E7A">
        <w:t xml:space="preserve"> rights for the utility facilities</w:t>
      </w:r>
      <w:r w:rsidRPr="00451806">
        <w:t xml:space="preserve"> to be relocated </w:t>
      </w:r>
      <w:r w:rsidR="005E4E7A">
        <w:t>to</w:t>
      </w:r>
      <w:r w:rsidRPr="00451806">
        <w:t xml:space="preserve"> a location that is mutually agreeable.</w:t>
      </w:r>
    </w:p>
    <w:p w14:paraId="74D51217" w14:textId="767EC805" w:rsidR="00453DAF" w:rsidRPr="00E70FEC" w:rsidRDefault="00451806" w:rsidP="006E70C4">
      <w:pPr>
        <w:numPr>
          <w:ilvl w:val="0"/>
          <w:numId w:val="4"/>
        </w:numPr>
        <w:spacing w:after="120"/>
      </w:pPr>
      <w:r w:rsidRPr="00451806">
        <w:t>PU</w:t>
      </w:r>
      <w:r w:rsidR="009F77C9">
        <w:t xml:space="preserve"> </w:t>
      </w:r>
      <w:r w:rsidRPr="00451806">
        <w:t>C</w:t>
      </w:r>
      <w:r w:rsidR="009F77C9">
        <w:t>ode</w:t>
      </w:r>
      <w:r w:rsidRPr="00451806">
        <w:t xml:space="preserve"> Section 851 requires that PG&amp;E, SCE, and SoCalGas secure Commission approval for the disposal of any utility property necessary or useful in the performance of the utilities</w:t>
      </w:r>
      <w:r w:rsidR="00456204">
        <w:t>’</w:t>
      </w:r>
      <w:r w:rsidRPr="00451806">
        <w:t xml:space="preserve"> duties to the public. </w:t>
      </w:r>
      <w:r w:rsidR="005E4E7A">
        <w:t>T</w:t>
      </w:r>
      <w:r w:rsidRPr="00451806">
        <w:t>he infor</w:t>
      </w:r>
      <w:r>
        <w:t xml:space="preserve">mation-only filings and Tier 2 </w:t>
      </w:r>
      <w:r w:rsidR="003F0DE6">
        <w:t>annual-report Advice L</w:t>
      </w:r>
      <w:r w:rsidRPr="00451806">
        <w:t xml:space="preserve">etter filings </w:t>
      </w:r>
      <w:r w:rsidR="005E4E7A">
        <w:t>required by</w:t>
      </w:r>
      <w:r w:rsidRPr="00451806">
        <w:t xml:space="preserve"> </w:t>
      </w:r>
      <w:r>
        <w:t>this Resolution</w:t>
      </w:r>
      <w:r w:rsidRPr="00451806">
        <w:t xml:space="preserve"> </w:t>
      </w:r>
      <w:r w:rsidR="00120D2B">
        <w:t>satisfy PU Code</w:t>
      </w:r>
      <w:r>
        <w:t xml:space="preserve"> Section 851 and GO 173</w:t>
      </w:r>
      <w:r w:rsidR="00120D2B">
        <w:t xml:space="preserve"> requirements</w:t>
      </w:r>
      <w:r>
        <w:t>.</w:t>
      </w:r>
    </w:p>
    <w:p w14:paraId="4EEA0D24" w14:textId="21BC3DF9" w:rsidR="00405332" w:rsidRDefault="00451806" w:rsidP="006E70C4">
      <w:pPr>
        <w:numPr>
          <w:ilvl w:val="0"/>
          <w:numId w:val="4"/>
        </w:numPr>
        <w:spacing w:after="120"/>
      </w:pPr>
      <w:r w:rsidRPr="00451806">
        <w:t xml:space="preserve">An information-only filing process pursuant to GO 96-B is appropriate for future Utility Agreements </w:t>
      </w:r>
      <w:r w:rsidR="005838A0">
        <w:t xml:space="preserve">for facility relocation work that </w:t>
      </w:r>
      <w:proofErr w:type="gramStart"/>
      <w:r w:rsidR="005838A0">
        <w:t>are</w:t>
      </w:r>
      <w:proofErr w:type="gramEnd"/>
      <w:r w:rsidR="005838A0">
        <w:t xml:space="preserve"> consistent with the Commission-approved </w:t>
      </w:r>
      <w:r w:rsidRPr="00451806">
        <w:t>Master Agreemen</w:t>
      </w:r>
      <w:r>
        <w:t>t</w:t>
      </w:r>
      <w:r w:rsidR="005838A0">
        <w:t>s</w:t>
      </w:r>
      <w:r>
        <w:t>.</w:t>
      </w:r>
    </w:p>
    <w:p w14:paraId="0C6A14BA" w14:textId="377B13D1" w:rsidR="00451806" w:rsidRPr="00E70FEC" w:rsidRDefault="00D74A5E" w:rsidP="006E70C4">
      <w:pPr>
        <w:numPr>
          <w:ilvl w:val="0"/>
          <w:numId w:val="4"/>
        </w:numPr>
        <w:spacing w:after="120"/>
      </w:pPr>
      <w:r w:rsidRPr="00451806">
        <w:t>PG&amp;E, SCE, and SoCalGas</w:t>
      </w:r>
      <w:r>
        <w:t xml:space="preserve"> should</w:t>
      </w:r>
      <w:r w:rsidRPr="00451806">
        <w:t xml:space="preserve"> file annual reports </w:t>
      </w:r>
      <w:r>
        <w:t>with</w:t>
      </w:r>
      <w:r w:rsidRPr="00451806">
        <w:t xml:space="preserve"> the Commission </w:t>
      </w:r>
      <w:r>
        <w:t xml:space="preserve">that track </w:t>
      </w:r>
      <w:r w:rsidRPr="00451806">
        <w:t>the cost and status of all relocation work performed for CHSRA</w:t>
      </w:r>
      <w:r>
        <w:t>, including</w:t>
      </w:r>
      <w:r w:rsidRPr="00451806">
        <w:t xml:space="preserve"> itemiz</w:t>
      </w:r>
      <w:r>
        <w:t>ing</w:t>
      </w:r>
      <w:r w:rsidRPr="00451806">
        <w:t xml:space="preserve"> all information-only filings submitted </w:t>
      </w:r>
      <w:r>
        <w:t xml:space="preserve">up to 30 days prior to </w:t>
      </w:r>
      <w:r w:rsidR="005E4E7A">
        <w:t xml:space="preserve">the </w:t>
      </w:r>
      <w:r>
        <w:t>annual report filing</w:t>
      </w:r>
      <w:r w:rsidR="005E4E7A">
        <w:t xml:space="preserve"> </w:t>
      </w:r>
      <w:r w:rsidRPr="00451806">
        <w:t>date</w:t>
      </w:r>
      <w:r>
        <w:t xml:space="preserve">. </w:t>
      </w:r>
      <w:r w:rsidRPr="00451806">
        <w:t>The annual r</w:t>
      </w:r>
      <w:r w:rsidR="003F0DE6">
        <w:t>eports will be filed as Tier 2 A</w:t>
      </w:r>
      <w:r w:rsidRPr="00451806">
        <w:t>dv</w:t>
      </w:r>
      <w:r w:rsidR="003F0DE6">
        <w:t>ice L</w:t>
      </w:r>
      <w:r w:rsidR="00247615">
        <w:t>etters pursuant to GO 96-B</w:t>
      </w:r>
      <w:r w:rsidR="00451806" w:rsidRPr="00451806">
        <w:t>.</w:t>
      </w:r>
    </w:p>
    <w:p w14:paraId="2DED9BB2" w14:textId="4B0BC7CA" w:rsidR="00451806" w:rsidRDefault="00451806" w:rsidP="006E70C4">
      <w:pPr>
        <w:numPr>
          <w:ilvl w:val="0"/>
          <w:numId w:val="4"/>
        </w:numPr>
        <w:spacing w:after="120"/>
      </w:pPr>
      <w:r w:rsidRPr="00451806">
        <w:lastRenderedPageBreak/>
        <w:t>CHSRA is the Lead Agency under CEQA and the Federal Railroad Administration is the Lead Agency under NEPA</w:t>
      </w:r>
      <w:r w:rsidR="005E4E7A">
        <w:t xml:space="preserve"> for the CHSRA Project</w:t>
      </w:r>
      <w:r w:rsidRPr="00451806">
        <w:t>. The joint Lead Agencies will complete all required environmental reviews, public notices, and documentation required for CEQA and NEPA compliance.</w:t>
      </w:r>
    </w:p>
    <w:p w14:paraId="496EB755" w14:textId="35AC0C48" w:rsidR="00451806" w:rsidRDefault="00451806" w:rsidP="006E70C4">
      <w:pPr>
        <w:numPr>
          <w:ilvl w:val="0"/>
          <w:numId w:val="4"/>
        </w:numPr>
        <w:spacing w:after="120"/>
      </w:pPr>
      <w:r w:rsidRPr="00451806">
        <w:t>GO 131-D would not apply to PG&amp;E  electrical facility relocation work because CHSRA will be responsible for the design, procurement of supplies, construction, and system tie-in of all PG&amp;E facility relocations</w:t>
      </w:r>
      <w:r w:rsidR="00A92732">
        <w:t>.</w:t>
      </w:r>
    </w:p>
    <w:p w14:paraId="7D4B9D85" w14:textId="2DAB3B04" w:rsidR="00451806" w:rsidRPr="00E70FEC" w:rsidRDefault="00A92732" w:rsidP="006E70C4">
      <w:pPr>
        <w:numPr>
          <w:ilvl w:val="0"/>
          <w:numId w:val="4"/>
        </w:numPr>
        <w:spacing w:after="120"/>
      </w:pPr>
      <w:r>
        <w:t>It is appropriate that t</w:t>
      </w:r>
      <w:r w:rsidR="00451806" w:rsidRPr="00451806">
        <w:t>he expansion or new construction of electric facilities needed to electrify the Project will be addressed under separate agreements between PG&amp;E, SCE, and CHSRA and separate</w:t>
      </w:r>
      <w:r w:rsidR="005E4E7A">
        <w:t>ly</w:t>
      </w:r>
      <w:r w:rsidR="00451806" w:rsidRPr="00451806">
        <w:t xml:space="preserve"> </w:t>
      </w:r>
      <w:r w:rsidR="00247615">
        <w:t>consider</w:t>
      </w:r>
      <w:r w:rsidR="005E4E7A">
        <w:t>ed</w:t>
      </w:r>
      <w:r w:rsidR="00451806" w:rsidRPr="00451806">
        <w:t xml:space="preserve"> by the Commission</w:t>
      </w:r>
      <w:r w:rsidR="005E4E7A">
        <w:t>,</w:t>
      </w:r>
      <w:r w:rsidR="00451806" w:rsidRPr="00451806">
        <w:t xml:space="preserve"> as required.</w:t>
      </w:r>
      <w:r w:rsidR="00451806">
        <w:t xml:space="preserve"> </w:t>
      </w:r>
    </w:p>
    <w:p w14:paraId="292146D7" w14:textId="77777777" w:rsidR="00CF17DE" w:rsidRPr="00E70FEC" w:rsidRDefault="00CF17DE"/>
    <w:p w14:paraId="7063F52C" w14:textId="100BB292" w:rsidR="00632DE7" w:rsidRDefault="00632DE7" w:rsidP="00632DE7">
      <w:pPr>
        <w:rPr>
          <w:b/>
        </w:rPr>
      </w:pPr>
      <w:r w:rsidRPr="004972B5">
        <w:rPr>
          <w:b/>
        </w:rPr>
        <w:t xml:space="preserve">On the basis of these findings, it is reasonable to approve the </w:t>
      </w:r>
      <w:r w:rsidR="00247615" w:rsidRPr="00247615">
        <w:rPr>
          <w:b/>
        </w:rPr>
        <w:t>Master Agreements and Utility Agreements</w:t>
      </w:r>
      <w:r w:rsidRPr="004972B5">
        <w:rPr>
          <w:b/>
        </w:rPr>
        <w:t xml:space="preserve"> with the conditions ordered by this Resolution.</w:t>
      </w:r>
    </w:p>
    <w:p w14:paraId="40D03243" w14:textId="77777777" w:rsidR="00632DE7" w:rsidRPr="004972B5" w:rsidRDefault="00632DE7" w:rsidP="00632DE7">
      <w:pPr>
        <w:rPr>
          <w:b/>
        </w:rPr>
      </w:pPr>
    </w:p>
    <w:p w14:paraId="7CA7638B" w14:textId="77777777" w:rsidR="00CF17DE" w:rsidRDefault="00CF17DE">
      <w:pPr>
        <w:pStyle w:val="Heading1"/>
      </w:pPr>
      <w:r>
        <w:t>Therefore it is ordered that:</w:t>
      </w:r>
    </w:p>
    <w:p w14:paraId="0ACCA304" w14:textId="46E7E362" w:rsidR="001061E7" w:rsidRPr="007B2248" w:rsidRDefault="001061E7" w:rsidP="006E70C4">
      <w:pPr>
        <w:numPr>
          <w:ilvl w:val="0"/>
          <w:numId w:val="5"/>
        </w:numPr>
        <w:spacing w:after="120"/>
        <w:rPr>
          <w:snapToGrid w:val="0"/>
        </w:rPr>
      </w:pPr>
      <w:r w:rsidRPr="00560F03">
        <w:rPr>
          <w:snapToGrid w:val="0"/>
        </w:rPr>
        <w:t xml:space="preserve">The Master Agreement and Utility Agreements between PG&amp;E and </w:t>
      </w:r>
      <w:r w:rsidRPr="00FA051A">
        <w:rPr>
          <w:snapToGrid w:val="0"/>
        </w:rPr>
        <w:t>California High-Speed Rail Authority</w:t>
      </w:r>
      <w:r>
        <w:rPr>
          <w:snapToGrid w:val="0"/>
        </w:rPr>
        <w:t xml:space="preserve"> (</w:t>
      </w:r>
      <w:r w:rsidRPr="00560F03">
        <w:rPr>
          <w:snapToGrid w:val="0"/>
        </w:rPr>
        <w:t>CHSRA</w:t>
      </w:r>
      <w:r>
        <w:rPr>
          <w:snapToGrid w:val="0"/>
        </w:rPr>
        <w:t>)</w:t>
      </w:r>
      <w:r w:rsidRPr="00560F03">
        <w:rPr>
          <w:snapToGrid w:val="0"/>
        </w:rPr>
        <w:t xml:space="preserve"> submitted with Advice Letter </w:t>
      </w:r>
      <w:r w:rsidR="006C057A">
        <w:rPr>
          <w:snapToGrid w:val="0"/>
        </w:rPr>
        <w:br/>
      </w:r>
      <w:r w:rsidRPr="00560F03">
        <w:rPr>
          <w:snapToGrid w:val="0"/>
        </w:rPr>
        <w:t xml:space="preserve">3484-G/4443-E </w:t>
      </w:r>
      <w:r>
        <w:rPr>
          <w:snapToGrid w:val="0"/>
        </w:rPr>
        <w:t xml:space="preserve">and </w:t>
      </w:r>
      <w:r w:rsidRPr="005E4E7A">
        <w:t>supplemented by Advice Letter 3484-G-A/4443-E-A and Advice Letter 3484-G-B/4443-E-B</w:t>
      </w:r>
      <w:r>
        <w:t>;</w:t>
      </w:r>
      <w:r w:rsidRPr="00560F03">
        <w:t xml:space="preserve"> </w:t>
      </w:r>
      <w:r>
        <w:t xml:space="preserve">the </w:t>
      </w:r>
      <w:r w:rsidRPr="007B2248">
        <w:rPr>
          <w:snapToGrid w:val="0"/>
        </w:rPr>
        <w:t xml:space="preserve">Master Agreement between SCE and CHSRA submitted with Advice Letter 3315-E; and </w:t>
      </w:r>
      <w:r>
        <w:t xml:space="preserve">the </w:t>
      </w:r>
      <w:r w:rsidRPr="007B2248">
        <w:rPr>
          <w:snapToGrid w:val="0"/>
        </w:rPr>
        <w:t xml:space="preserve">Master Agreement between SoCalGas and CHSRA submitted with </w:t>
      </w:r>
      <w:r>
        <w:t xml:space="preserve">SoCalGas Advice Letter 4946 </w:t>
      </w:r>
      <w:r w:rsidRPr="007B2248">
        <w:rPr>
          <w:snapToGrid w:val="0"/>
        </w:rPr>
        <w:t>are approved subject to the conditions contained in this Resolution.</w:t>
      </w:r>
    </w:p>
    <w:p w14:paraId="0875E403" w14:textId="230E2424" w:rsidR="00560F03" w:rsidRDefault="00560F03" w:rsidP="006E70C4">
      <w:pPr>
        <w:numPr>
          <w:ilvl w:val="0"/>
          <w:numId w:val="5"/>
        </w:numPr>
        <w:spacing w:after="120"/>
        <w:rPr>
          <w:snapToGrid w:val="0"/>
        </w:rPr>
      </w:pPr>
      <w:r w:rsidRPr="00560F03">
        <w:rPr>
          <w:snapToGrid w:val="0"/>
        </w:rPr>
        <w:t xml:space="preserve">The </w:t>
      </w:r>
      <w:r w:rsidR="001061E7">
        <w:rPr>
          <w:snapToGrid w:val="0"/>
        </w:rPr>
        <w:t xml:space="preserve">utility companies may </w:t>
      </w:r>
      <w:r w:rsidRPr="00560F03">
        <w:rPr>
          <w:snapToGrid w:val="0"/>
        </w:rPr>
        <w:t xml:space="preserve">use State of California </w:t>
      </w:r>
      <w:r w:rsidR="00DC6D72">
        <w:rPr>
          <w:snapToGrid w:val="0"/>
        </w:rPr>
        <w:t>Standard F</w:t>
      </w:r>
      <w:r w:rsidRPr="00560F03">
        <w:rPr>
          <w:snapToGrid w:val="0"/>
        </w:rPr>
        <w:t xml:space="preserve">orm </w:t>
      </w:r>
      <w:r w:rsidRPr="00BF019D">
        <w:rPr>
          <w:snapToGrid w:val="0"/>
        </w:rPr>
        <w:t>213 for</w:t>
      </w:r>
      <w:r w:rsidR="007B2248">
        <w:rPr>
          <w:snapToGrid w:val="0"/>
        </w:rPr>
        <w:t xml:space="preserve"> agreements between </w:t>
      </w:r>
      <w:r w:rsidR="007B2248" w:rsidRPr="007B2248">
        <w:rPr>
          <w:snapToGrid w:val="0"/>
        </w:rPr>
        <w:t>California High-Speed Rail Authority</w:t>
      </w:r>
      <w:r w:rsidR="001061E7">
        <w:rPr>
          <w:snapToGrid w:val="0"/>
        </w:rPr>
        <w:t>,</w:t>
      </w:r>
      <w:r w:rsidR="007B2248" w:rsidRPr="007B2248">
        <w:rPr>
          <w:snapToGrid w:val="0"/>
        </w:rPr>
        <w:t xml:space="preserve"> </w:t>
      </w:r>
      <w:r w:rsidR="00BF019D">
        <w:rPr>
          <w:snapToGrid w:val="0"/>
        </w:rPr>
        <w:t>and</w:t>
      </w:r>
      <w:r w:rsidR="00AD4BCC">
        <w:rPr>
          <w:snapToGrid w:val="0"/>
        </w:rPr>
        <w:t xml:space="preserve"> all</w:t>
      </w:r>
      <w:r w:rsidR="00BF019D">
        <w:rPr>
          <w:snapToGrid w:val="0"/>
        </w:rPr>
        <w:t xml:space="preserve"> deviations to </w:t>
      </w:r>
      <w:r w:rsidR="00AD4BCC">
        <w:rPr>
          <w:snapToGrid w:val="0"/>
        </w:rPr>
        <w:t xml:space="preserve">utility-company </w:t>
      </w:r>
      <w:r w:rsidR="00BF019D">
        <w:rPr>
          <w:snapToGrid w:val="0"/>
        </w:rPr>
        <w:t>Rules for service extensions</w:t>
      </w:r>
      <w:r w:rsidRPr="00560F03">
        <w:rPr>
          <w:snapToGrid w:val="0"/>
        </w:rPr>
        <w:t xml:space="preserve"> </w:t>
      </w:r>
      <w:r w:rsidR="00247615">
        <w:rPr>
          <w:snapToGrid w:val="0"/>
        </w:rPr>
        <w:t xml:space="preserve">that are contained in the Master Agreements and Utility Agreements </w:t>
      </w:r>
      <w:r w:rsidRPr="00560F03">
        <w:rPr>
          <w:snapToGrid w:val="0"/>
        </w:rPr>
        <w:t>are approved.</w:t>
      </w:r>
    </w:p>
    <w:p w14:paraId="5A1D1050" w14:textId="56B2EAC6" w:rsidR="00660984" w:rsidRPr="00FA5D5C" w:rsidRDefault="003F5BEC" w:rsidP="006E70C4">
      <w:pPr>
        <w:numPr>
          <w:ilvl w:val="0"/>
          <w:numId w:val="5"/>
        </w:numPr>
        <w:spacing w:after="120"/>
        <w:rPr>
          <w:snapToGrid w:val="0"/>
        </w:rPr>
      </w:pPr>
      <w:r w:rsidRPr="00A92732">
        <w:rPr>
          <w:snapToGrid w:val="0"/>
        </w:rPr>
        <w:t xml:space="preserve">PG&amp;E, SCE, and SoCalGas </w:t>
      </w:r>
      <w:r>
        <w:rPr>
          <w:snapToGrid w:val="0"/>
        </w:rPr>
        <w:t>may use a</w:t>
      </w:r>
      <w:r w:rsidRPr="00A92732">
        <w:rPr>
          <w:snapToGrid w:val="0"/>
        </w:rPr>
        <w:t xml:space="preserve">n </w:t>
      </w:r>
      <w:r w:rsidR="00660984" w:rsidRPr="00A92732">
        <w:rPr>
          <w:snapToGrid w:val="0"/>
        </w:rPr>
        <w:t xml:space="preserve">information-only filing process pursuant to GO 96-B </w:t>
      </w:r>
      <w:r w:rsidR="00B169FE" w:rsidRPr="00A92732">
        <w:rPr>
          <w:snapToGrid w:val="0"/>
        </w:rPr>
        <w:t xml:space="preserve">for </w:t>
      </w:r>
      <w:r w:rsidR="00560F03" w:rsidRPr="00A92732">
        <w:rPr>
          <w:snapToGrid w:val="0"/>
        </w:rPr>
        <w:t xml:space="preserve">each </w:t>
      </w:r>
      <w:r w:rsidR="00B169FE" w:rsidRPr="00A92732">
        <w:rPr>
          <w:snapToGrid w:val="0"/>
        </w:rPr>
        <w:t xml:space="preserve">Utility Agreement </w:t>
      </w:r>
      <w:r w:rsidR="00560F03" w:rsidRPr="00A92732">
        <w:rPr>
          <w:snapToGrid w:val="0"/>
        </w:rPr>
        <w:t>completed</w:t>
      </w:r>
      <w:r w:rsidR="00660984" w:rsidRPr="00A92732">
        <w:rPr>
          <w:snapToGrid w:val="0"/>
        </w:rPr>
        <w:t>.</w:t>
      </w:r>
    </w:p>
    <w:p w14:paraId="3EB08212" w14:textId="7ADF8D60" w:rsidR="006B29CC" w:rsidRPr="008B727C" w:rsidRDefault="0066002E" w:rsidP="006E70C4">
      <w:pPr>
        <w:numPr>
          <w:ilvl w:val="0"/>
          <w:numId w:val="5"/>
        </w:numPr>
        <w:spacing w:after="120"/>
        <w:rPr>
          <w:snapToGrid w:val="0"/>
        </w:rPr>
      </w:pPr>
      <w:r w:rsidRPr="00A92732">
        <w:rPr>
          <w:snapToGrid w:val="0"/>
        </w:rPr>
        <w:t xml:space="preserve">PG&amp;E, </w:t>
      </w:r>
      <w:r w:rsidR="001228FB" w:rsidRPr="00A92732">
        <w:rPr>
          <w:snapToGrid w:val="0"/>
        </w:rPr>
        <w:t>SCE</w:t>
      </w:r>
      <w:r w:rsidRPr="00A92732">
        <w:rPr>
          <w:snapToGrid w:val="0"/>
        </w:rPr>
        <w:t>, and SoCalGas</w:t>
      </w:r>
      <w:r w:rsidR="001228FB" w:rsidRPr="00A92732">
        <w:rPr>
          <w:snapToGrid w:val="0"/>
        </w:rPr>
        <w:t xml:space="preserve"> </w:t>
      </w:r>
      <w:r w:rsidR="006B29CC" w:rsidRPr="00A92732">
        <w:rPr>
          <w:snapToGrid w:val="0"/>
        </w:rPr>
        <w:t xml:space="preserve">shall submit to the Commission annual reports as described in </w:t>
      </w:r>
      <w:r w:rsidR="00B46CEF">
        <w:rPr>
          <w:snapToGrid w:val="0"/>
        </w:rPr>
        <w:t xml:space="preserve">Discussion </w:t>
      </w:r>
      <w:r w:rsidR="00E71AAE">
        <w:rPr>
          <w:snapToGrid w:val="0"/>
        </w:rPr>
        <w:t xml:space="preserve">Section 14 of </w:t>
      </w:r>
      <w:r w:rsidR="006B29CC" w:rsidRPr="00A92732">
        <w:rPr>
          <w:snapToGrid w:val="0"/>
        </w:rPr>
        <w:t xml:space="preserve">this Resolution </w:t>
      </w:r>
      <w:r w:rsidR="007B2248">
        <w:rPr>
          <w:snapToGrid w:val="0"/>
        </w:rPr>
        <w:t>stating</w:t>
      </w:r>
      <w:r w:rsidR="006B29CC" w:rsidRPr="00A92732">
        <w:rPr>
          <w:snapToGrid w:val="0"/>
        </w:rPr>
        <w:t xml:space="preserve"> the </w:t>
      </w:r>
      <w:r w:rsidR="006B29CC" w:rsidRPr="008B727C">
        <w:rPr>
          <w:snapToGrid w:val="0"/>
        </w:rPr>
        <w:t xml:space="preserve">cost and status of all relocation work performed for </w:t>
      </w:r>
      <w:r w:rsidR="007B2248" w:rsidRPr="00FA051A">
        <w:rPr>
          <w:snapToGrid w:val="0"/>
        </w:rPr>
        <w:t>California High-Speed Rail Authority</w:t>
      </w:r>
      <w:r w:rsidR="007B2248">
        <w:rPr>
          <w:snapToGrid w:val="0"/>
        </w:rPr>
        <w:t xml:space="preserve"> </w:t>
      </w:r>
      <w:r w:rsidR="006B29CC" w:rsidRPr="008B727C">
        <w:rPr>
          <w:snapToGrid w:val="0"/>
        </w:rPr>
        <w:t xml:space="preserve">on December 1st of every year starting on </w:t>
      </w:r>
      <w:r w:rsidR="006B29CC" w:rsidRPr="008B727C">
        <w:rPr>
          <w:b/>
          <w:snapToGrid w:val="0"/>
        </w:rPr>
        <w:t>December 1, 2016</w:t>
      </w:r>
      <w:r w:rsidR="006B29CC" w:rsidRPr="008B727C">
        <w:rPr>
          <w:snapToGrid w:val="0"/>
        </w:rPr>
        <w:t>.</w:t>
      </w:r>
    </w:p>
    <w:p w14:paraId="54400138" w14:textId="240F312C" w:rsidR="00AF6002" w:rsidRPr="00E71AAE" w:rsidRDefault="003F5BEC" w:rsidP="006E70C4">
      <w:pPr>
        <w:numPr>
          <w:ilvl w:val="0"/>
          <w:numId w:val="5"/>
        </w:numPr>
        <w:spacing w:after="120"/>
        <w:rPr>
          <w:snapToGrid w:val="0"/>
        </w:rPr>
      </w:pPr>
      <w:r w:rsidRPr="00A92732">
        <w:rPr>
          <w:snapToGrid w:val="0"/>
        </w:rPr>
        <w:lastRenderedPageBreak/>
        <w:t xml:space="preserve">PG&amp;E, SCE, and SoCalGas </w:t>
      </w:r>
      <w:r>
        <w:rPr>
          <w:snapToGrid w:val="0"/>
        </w:rPr>
        <w:t xml:space="preserve">shall only pass relocation </w:t>
      </w:r>
      <w:r w:rsidR="00AF6002" w:rsidRPr="00E71AAE">
        <w:rPr>
          <w:snapToGrid w:val="0"/>
        </w:rPr>
        <w:t xml:space="preserve">work costs on to ratepayers in the form of credits to </w:t>
      </w:r>
      <w:r w:rsidR="007B2248" w:rsidRPr="00FA051A">
        <w:rPr>
          <w:snapToGrid w:val="0"/>
        </w:rPr>
        <w:t>California High-Speed Rail Authority</w:t>
      </w:r>
      <w:r w:rsidR="007B2248">
        <w:rPr>
          <w:snapToGrid w:val="0"/>
        </w:rPr>
        <w:t xml:space="preserve"> </w:t>
      </w:r>
      <w:r w:rsidR="00AF6002" w:rsidRPr="00E71AAE">
        <w:rPr>
          <w:snapToGrid w:val="0"/>
        </w:rPr>
        <w:t>as established by the California High-Speed Rail Act.</w:t>
      </w:r>
    </w:p>
    <w:p w14:paraId="3F25CEE4" w14:textId="64A7B17B" w:rsidR="0066002E" w:rsidRDefault="00E71AAE" w:rsidP="006E70C4">
      <w:pPr>
        <w:pStyle w:val="ListParagraph"/>
        <w:numPr>
          <w:ilvl w:val="0"/>
          <w:numId w:val="5"/>
        </w:numPr>
        <w:spacing w:after="120"/>
        <w:rPr>
          <w:snapToGrid w:val="0"/>
        </w:rPr>
      </w:pPr>
      <w:r w:rsidRPr="00E71AAE">
        <w:rPr>
          <w:snapToGrid w:val="0"/>
        </w:rPr>
        <w:t xml:space="preserve">PG&amp;E, SCE, and SoCalGas must not seek cost recovery from the Commission for any </w:t>
      </w:r>
      <w:r w:rsidR="007B2248" w:rsidRPr="00FA051A">
        <w:rPr>
          <w:snapToGrid w:val="0"/>
        </w:rPr>
        <w:t>California High-Speed Rail Authority</w:t>
      </w:r>
      <w:r w:rsidR="007B2248">
        <w:rPr>
          <w:snapToGrid w:val="0"/>
        </w:rPr>
        <w:t xml:space="preserve"> (CHSRA) </w:t>
      </w:r>
      <w:r w:rsidRPr="00E71AAE">
        <w:rPr>
          <w:snapToGrid w:val="0"/>
        </w:rPr>
        <w:t>Proje</w:t>
      </w:r>
      <w:r w:rsidR="007B2248">
        <w:rPr>
          <w:snapToGrid w:val="0"/>
        </w:rPr>
        <w:t xml:space="preserve">ct work performed by PG&amp;E, SCE, </w:t>
      </w:r>
      <w:r w:rsidRPr="00E71AAE">
        <w:rPr>
          <w:snapToGrid w:val="0"/>
        </w:rPr>
        <w:t>SoCalGas or their contractors for which CHSRA or its contractors are responsible for payment</w:t>
      </w:r>
      <w:r w:rsidR="0066002E" w:rsidRPr="00E71AAE">
        <w:rPr>
          <w:snapToGrid w:val="0"/>
        </w:rPr>
        <w:t>.</w:t>
      </w:r>
    </w:p>
    <w:p w14:paraId="35FA0EC6" w14:textId="77777777" w:rsidR="005931FF" w:rsidRDefault="005931FF">
      <w:pPr>
        <w:tabs>
          <w:tab w:val="left" w:pos="720"/>
          <w:tab w:val="left" w:pos="1296"/>
          <w:tab w:val="left" w:pos="2016"/>
          <w:tab w:val="left" w:pos="2736"/>
          <w:tab w:val="left" w:pos="3456"/>
          <w:tab w:val="left" w:pos="4176"/>
          <w:tab w:val="left" w:pos="5760"/>
        </w:tabs>
      </w:pPr>
    </w:p>
    <w:p w14:paraId="0EF5B250" w14:textId="77777777" w:rsidR="00CF17DE" w:rsidRDefault="00CF17DE">
      <w:pPr>
        <w:tabs>
          <w:tab w:val="left" w:pos="720"/>
          <w:tab w:val="left" w:pos="1296"/>
          <w:tab w:val="left" w:pos="2016"/>
          <w:tab w:val="left" w:pos="2736"/>
          <w:tab w:val="left" w:pos="3456"/>
          <w:tab w:val="left" w:pos="4176"/>
          <w:tab w:val="left" w:pos="5760"/>
        </w:tabs>
      </w:pPr>
      <w:r>
        <w:t>This Resolution is effective today.</w:t>
      </w:r>
    </w:p>
    <w:p w14:paraId="6C463743" w14:textId="77777777" w:rsidR="007B2248" w:rsidRDefault="007B2248">
      <w:pPr>
        <w:rPr>
          <w:snapToGrid w:val="0"/>
        </w:rPr>
      </w:pPr>
    </w:p>
    <w:p w14:paraId="02C662B6" w14:textId="13E40603" w:rsidR="00CF17DE" w:rsidRDefault="00CF17DE">
      <w:pPr>
        <w:rPr>
          <w:snapToGrid w:val="0"/>
        </w:rPr>
      </w:pPr>
      <w:r>
        <w:rPr>
          <w:snapToGrid w:val="0"/>
        </w:rPr>
        <w:t>I certify that the foregoing resolution was duly introduced, passed and adopted at a conference of the Public Utilities Commission of t</w:t>
      </w:r>
      <w:r w:rsidR="001E5F99">
        <w:rPr>
          <w:snapToGrid w:val="0"/>
        </w:rPr>
        <w:t xml:space="preserve">he State of California held on </w:t>
      </w:r>
      <w:r w:rsidR="001E5F99" w:rsidRPr="001E5F99">
        <w:rPr>
          <w:snapToGrid w:val="0"/>
        </w:rPr>
        <w:t>September 15, 2016</w:t>
      </w:r>
      <w:r>
        <w:rPr>
          <w:snapToGrid w:val="0"/>
        </w:rPr>
        <w:t>; the following Commissioners voting favorably thereon:</w:t>
      </w:r>
    </w:p>
    <w:p w14:paraId="0FC583B6" w14:textId="77777777" w:rsidR="00CF17DE" w:rsidRDefault="00CF17DE">
      <w:pPr>
        <w:tabs>
          <w:tab w:val="left" w:pos="720"/>
          <w:tab w:val="left" w:pos="1152"/>
          <w:tab w:val="left" w:pos="1728"/>
          <w:tab w:val="left" w:pos="3168"/>
          <w:tab w:val="left" w:pos="5040"/>
        </w:tabs>
        <w:ind w:right="144"/>
      </w:pPr>
    </w:p>
    <w:p w14:paraId="275A9B50" w14:textId="77777777" w:rsidR="00CF17DE" w:rsidRDefault="00CF17DE">
      <w:pPr>
        <w:tabs>
          <w:tab w:val="left" w:pos="720"/>
          <w:tab w:val="left" w:pos="1152"/>
          <w:tab w:val="left" w:pos="1728"/>
          <w:tab w:val="left" w:pos="3168"/>
          <w:tab w:val="left" w:pos="5040"/>
        </w:tabs>
        <w:ind w:right="144"/>
      </w:pPr>
    </w:p>
    <w:p w14:paraId="5A050D66" w14:textId="77777777" w:rsidR="00CF17DE" w:rsidRDefault="00CF17DE">
      <w:pPr>
        <w:tabs>
          <w:tab w:val="left" w:pos="720"/>
          <w:tab w:val="left" w:pos="1152"/>
          <w:tab w:val="left" w:pos="1728"/>
          <w:tab w:val="left" w:pos="3168"/>
          <w:tab w:val="left" w:pos="5040"/>
        </w:tabs>
        <w:ind w:right="144"/>
      </w:pPr>
    </w:p>
    <w:p w14:paraId="0EDFEAE2" w14:textId="77777777" w:rsidR="00CF17DE" w:rsidRDefault="00CF17DE">
      <w:pPr>
        <w:tabs>
          <w:tab w:val="left" w:pos="720"/>
          <w:tab w:val="left" w:pos="1152"/>
          <w:tab w:val="left" w:pos="1728"/>
          <w:tab w:val="left" w:pos="3168"/>
          <w:tab w:val="left" w:pos="5040"/>
        </w:tabs>
        <w:ind w:right="144"/>
      </w:pPr>
    </w:p>
    <w:p w14:paraId="3F429800" w14:textId="77777777" w:rsidR="00CF17DE" w:rsidRDefault="00CF17DE">
      <w:pPr>
        <w:tabs>
          <w:tab w:val="left" w:pos="720"/>
          <w:tab w:val="left" w:pos="1152"/>
          <w:tab w:val="left" w:pos="1728"/>
          <w:tab w:val="left" w:pos="3168"/>
          <w:tab w:val="left" w:pos="5040"/>
        </w:tabs>
        <w:ind w:right="144"/>
      </w:pPr>
      <w:r>
        <w:tab/>
      </w:r>
      <w:r>
        <w:tab/>
      </w:r>
      <w:r>
        <w:tab/>
      </w:r>
      <w:r>
        <w:tab/>
      </w:r>
      <w:r>
        <w:tab/>
      </w:r>
      <w:r>
        <w:tab/>
        <w:t>_______________</w:t>
      </w:r>
      <w:r w:rsidR="008E6797">
        <w:t>______</w:t>
      </w:r>
    </w:p>
    <w:p w14:paraId="78CDFECE" w14:textId="77777777" w:rsidR="00CF17DE" w:rsidRDefault="00CF17DE">
      <w:r>
        <w:tab/>
      </w:r>
      <w:r>
        <w:tab/>
      </w:r>
      <w:r>
        <w:tab/>
      </w:r>
      <w:r>
        <w:tab/>
      </w:r>
      <w:r>
        <w:tab/>
      </w:r>
      <w:r>
        <w:tab/>
      </w:r>
      <w:r>
        <w:tab/>
      </w:r>
      <w:r>
        <w:tab/>
      </w:r>
      <w:r w:rsidR="003F6E5A">
        <w:t>TIMOTHY J. SULLIVAN</w:t>
      </w:r>
    </w:p>
    <w:p w14:paraId="18983B39" w14:textId="77777777" w:rsidR="00250C67" w:rsidRDefault="00CF17DE">
      <w:r>
        <w:tab/>
      </w:r>
      <w:r>
        <w:tab/>
      </w:r>
      <w:r>
        <w:tab/>
      </w:r>
      <w:r>
        <w:tab/>
      </w:r>
      <w:r>
        <w:tab/>
      </w:r>
      <w:r>
        <w:tab/>
      </w:r>
      <w:r>
        <w:tab/>
      </w:r>
      <w:r>
        <w:tab/>
        <w:t>Executive Director</w:t>
      </w:r>
    </w:p>
    <w:p w14:paraId="2A894C6C" w14:textId="77777777" w:rsidR="006E70C4" w:rsidRDefault="006E70C4"/>
    <w:p w14:paraId="39454DCF" w14:textId="77777777" w:rsidR="006E70C4" w:rsidRDefault="006E70C4"/>
    <w:p w14:paraId="32C6DD49" w14:textId="77777777" w:rsidR="006E70C4" w:rsidRDefault="006E70C4">
      <w:pPr>
        <w:sectPr w:rsidR="006E70C4">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14:paraId="5D73CDA3" w14:textId="77777777" w:rsidR="00250C67" w:rsidRPr="00434035" w:rsidRDefault="00250C67" w:rsidP="00250C67">
      <w:pPr>
        <w:pStyle w:val="titlebar"/>
        <w:rPr>
          <w:szCs w:val="26"/>
        </w:rPr>
      </w:pPr>
      <w:r w:rsidRPr="00434035">
        <w:rPr>
          <w:szCs w:val="26"/>
        </w:rPr>
        <w:lastRenderedPageBreak/>
        <w:t>APPENDIX A</w:t>
      </w:r>
    </w:p>
    <w:p w14:paraId="3EA4BBEF" w14:textId="77777777" w:rsidR="00250C67" w:rsidRDefault="00250C67" w:rsidP="00250C67">
      <w:pPr>
        <w:pStyle w:val="titlebar"/>
        <w:rPr>
          <w:sz w:val="24"/>
        </w:rPr>
      </w:pPr>
    </w:p>
    <w:tbl>
      <w:tblPr>
        <w:tblStyle w:val="TableGrid"/>
        <w:tblW w:w="13338" w:type="dxa"/>
        <w:tblLook w:val="04A0" w:firstRow="1" w:lastRow="0" w:firstColumn="1" w:lastColumn="0" w:noHBand="0" w:noVBand="1"/>
      </w:tblPr>
      <w:tblGrid>
        <w:gridCol w:w="1126"/>
        <w:gridCol w:w="2593"/>
        <w:gridCol w:w="1646"/>
        <w:gridCol w:w="1732"/>
        <w:gridCol w:w="3271"/>
        <w:gridCol w:w="1364"/>
        <w:gridCol w:w="1606"/>
      </w:tblGrid>
      <w:tr w:rsidR="00250C67" w:rsidRPr="00C111EB" w14:paraId="064AEDE2" w14:textId="77777777" w:rsidTr="00F00968">
        <w:tc>
          <w:tcPr>
            <w:tcW w:w="13338" w:type="dxa"/>
            <w:gridSpan w:val="7"/>
            <w:tcBorders>
              <w:top w:val="nil"/>
              <w:left w:val="nil"/>
              <w:right w:val="nil"/>
            </w:tcBorders>
          </w:tcPr>
          <w:p w14:paraId="50CA91DF" w14:textId="7B774960" w:rsidR="00250C67" w:rsidRPr="00EE00AB" w:rsidRDefault="00250C67" w:rsidP="00250C67">
            <w:pPr>
              <w:rPr>
                <w:b/>
                <w:szCs w:val="26"/>
              </w:rPr>
            </w:pPr>
            <w:r w:rsidRPr="00EE00AB">
              <w:rPr>
                <w:b/>
                <w:szCs w:val="26"/>
              </w:rPr>
              <w:t>Table A-1. PG&amp;E Current and Expected Filings for CHSRA Project Relocation Work</w:t>
            </w:r>
          </w:p>
        </w:tc>
      </w:tr>
      <w:tr w:rsidR="00250C67" w:rsidRPr="00C111EB" w14:paraId="156EF28F" w14:textId="77777777" w:rsidTr="00F00968">
        <w:tc>
          <w:tcPr>
            <w:tcW w:w="1126" w:type="dxa"/>
            <w:shd w:val="clear" w:color="auto" w:fill="auto"/>
          </w:tcPr>
          <w:p w14:paraId="0394B0BA" w14:textId="77777777" w:rsidR="00250C67" w:rsidRPr="00C111EB" w:rsidRDefault="00250C67" w:rsidP="00F00968">
            <w:pPr>
              <w:spacing w:before="20" w:after="20"/>
              <w:rPr>
                <w:b/>
                <w:sz w:val="24"/>
                <w:szCs w:val="24"/>
              </w:rPr>
            </w:pPr>
            <w:r w:rsidRPr="00C111EB">
              <w:rPr>
                <w:b/>
                <w:sz w:val="24"/>
                <w:szCs w:val="24"/>
              </w:rPr>
              <w:t>Item No.</w:t>
            </w:r>
          </w:p>
        </w:tc>
        <w:tc>
          <w:tcPr>
            <w:tcW w:w="2593" w:type="dxa"/>
            <w:shd w:val="clear" w:color="auto" w:fill="auto"/>
          </w:tcPr>
          <w:p w14:paraId="7A4C76D4" w14:textId="77777777" w:rsidR="00250C67" w:rsidRPr="00C111EB" w:rsidRDefault="00250C67" w:rsidP="00F00968">
            <w:pPr>
              <w:spacing w:before="20" w:after="20"/>
              <w:rPr>
                <w:b/>
                <w:sz w:val="24"/>
                <w:szCs w:val="24"/>
              </w:rPr>
            </w:pPr>
            <w:r w:rsidRPr="00C111EB">
              <w:rPr>
                <w:b/>
                <w:sz w:val="24"/>
                <w:szCs w:val="24"/>
              </w:rPr>
              <w:t>Filing Number/Type</w:t>
            </w:r>
          </w:p>
        </w:tc>
        <w:tc>
          <w:tcPr>
            <w:tcW w:w="1646" w:type="dxa"/>
          </w:tcPr>
          <w:p w14:paraId="6277AA1C" w14:textId="77777777" w:rsidR="00250C67" w:rsidRPr="00C111EB" w:rsidRDefault="00250C67" w:rsidP="00F00968">
            <w:pPr>
              <w:spacing w:before="20" w:after="20"/>
              <w:rPr>
                <w:b/>
                <w:sz w:val="24"/>
                <w:szCs w:val="24"/>
              </w:rPr>
            </w:pPr>
            <w:r w:rsidRPr="00C111EB">
              <w:rPr>
                <w:b/>
                <w:sz w:val="24"/>
                <w:szCs w:val="24"/>
              </w:rPr>
              <w:t>Agreements Signed</w:t>
            </w:r>
          </w:p>
        </w:tc>
        <w:tc>
          <w:tcPr>
            <w:tcW w:w="1732" w:type="dxa"/>
            <w:shd w:val="clear" w:color="auto" w:fill="auto"/>
          </w:tcPr>
          <w:p w14:paraId="23C5E132" w14:textId="77777777" w:rsidR="00250C67" w:rsidRPr="00C111EB" w:rsidRDefault="00250C67" w:rsidP="00F00968">
            <w:pPr>
              <w:spacing w:before="20" w:after="20"/>
              <w:rPr>
                <w:b/>
                <w:sz w:val="24"/>
                <w:szCs w:val="24"/>
              </w:rPr>
            </w:pPr>
            <w:r w:rsidRPr="00C111EB">
              <w:rPr>
                <w:b/>
                <w:sz w:val="24"/>
                <w:szCs w:val="24"/>
              </w:rPr>
              <w:t xml:space="preserve">Filing Date / Expected </w:t>
            </w:r>
          </w:p>
        </w:tc>
        <w:tc>
          <w:tcPr>
            <w:tcW w:w="3271" w:type="dxa"/>
            <w:shd w:val="clear" w:color="auto" w:fill="auto"/>
          </w:tcPr>
          <w:p w14:paraId="795CF9A7" w14:textId="77777777" w:rsidR="00250C67" w:rsidRPr="00C111EB" w:rsidRDefault="00250C67" w:rsidP="00F00968">
            <w:pPr>
              <w:spacing w:before="20" w:after="20"/>
              <w:rPr>
                <w:b/>
                <w:sz w:val="24"/>
                <w:szCs w:val="24"/>
              </w:rPr>
            </w:pPr>
            <w:r w:rsidRPr="00C111EB">
              <w:rPr>
                <w:b/>
                <w:sz w:val="24"/>
                <w:szCs w:val="24"/>
              </w:rPr>
              <w:t>Description</w:t>
            </w:r>
          </w:p>
        </w:tc>
        <w:tc>
          <w:tcPr>
            <w:tcW w:w="1364" w:type="dxa"/>
            <w:shd w:val="clear" w:color="auto" w:fill="auto"/>
          </w:tcPr>
          <w:p w14:paraId="7EE2683C" w14:textId="77777777" w:rsidR="00250C67" w:rsidRPr="00C111EB" w:rsidRDefault="00250C67" w:rsidP="00F00968">
            <w:pPr>
              <w:spacing w:before="20" w:after="20"/>
              <w:rPr>
                <w:b/>
                <w:sz w:val="24"/>
                <w:szCs w:val="24"/>
              </w:rPr>
            </w:pPr>
            <w:r w:rsidRPr="00C111EB">
              <w:rPr>
                <w:b/>
                <w:sz w:val="24"/>
                <w:szCs w:val="24"/>
              </w:rPr>
              <w:t>CHSRA Funding in Filing</w:t>
            </w:r>
          </w:p>
        </w:tc>
        <w:tc>
          <w:tcPr>
            <w:tcW w:w="1606" w:type="dxa"/>
            <w:shd w:val="clear" w:color="auto" w:fill="auto"/>
          </w:tcPr>
          <w:p w14:paraId="4EC5CDA4" w14:textId="77777777" w:rsidR="00250C67" w:rsidRPr="00C111EB" w:rsidRDefault="00250C67" w:rsidP="00F00968">
            <w:pPr>
              <w:spacing w:before="20" w:after="20"/>
              <w:rPr>
                <w:b/>
                <w:sz w:val="24"/>
                <w:szCs w:val="24"/>
              </w:rPr>
            </w:pPr>
            <w:r w:rsidRPr="00C111EB">
              <w:rPr>
                <w:b/>
                <w:sz w:val="24"/>
                <w:szCs w:val="24"/>
              </w:rPr>
              <w:t>Resolution No.</w:t>
            </w:r>
          </w:p>
        </w:tc>
      </w:tr>
      <w:tr w:rsidR="00250C67" w:rsidRPr="00C111EB" w14:paraId="763060F6" w14:textId="77777777" w:rsidTr="00F00968">
        <w:tc>
          <w:tcPr>
            <w:tcW w:w="1126" w:type="dxa"/>
            <w:shd w:val="clear" w:color="auto" w:fill="auto"/>
          </w:tcPr>
          <w:p w14:paraId="5C5C1397" w14:textId="77777777" w:rsidR="00250C67" w:rsidRPr="00C111EB" w:rsidRDefault="00250C67" w:rsidP="00F00968">
            <w:pPr>
              <w:spacing w:before="20" w:after="20"/>
              <w:rPr>
                <w:sz w:val="24"/>
                <w:szCs w:val="24"/>
              </w:rPr>
            </w:pPr>
            <w:r w:rsidRPr="00C111EB">
              <w:rPr>
                <w:sz w:val="24"/>
                <w:szCs w:val="24"/>
              </w:rPr>
              <w:t>1</w:t>
            </w:r>
          </w:p>
        </w:tc>
        <w:tc>
          <w:tcPr>
            <w:tcW w:w="2593" w:type="dxa"/>
            <w:shd w:val="clear" w:color="auto" w:fill="auto"/>
          </w:tcPr>
          <w:p w14:paraId="5368782C" w14:textId="77777777" w:rsidR="00250C67" w:rsidRPr="00C111EB" w:rsidRDefault="00250C67" w:rsidP="00F00968">
            <w:pPr>
              <w:spacing w:before="20" w:after="20"/>
              <w:rPr>
                <w:sz w:val="24"/>
                <w:szCs w:val="24"/>
              </w:rPr>
            </w:pPr>
            <w:r w:rsidRPr="00C111EB">
              <w:rPr>
                <w:sz w:val="24"/>
                <w:szCs w:val="24"/>
              </w:rPr>
              <w:t>AL 3484-G/4443-E (Tier 3)</w:t>
            </w:r>
          </w:p>
        </w:tc>
        <w:tc>
          <w:tcPr>
            <w:tcW w:w="1646" w:type="dxa"/>
          </w:tcPr>
          <w:p w14:paraId="69D71489" w14:textId="77777777" w:rsidR="00250C67" w:rsidRPr="00C111EB" w:rsidRDefault="00250C67" w:rsidP="00F00968">
            <w:pPr>
              <w:spacing w:before="20" w:after="20"/>
              <w:rPr>
                <w:sz w:val="24"/>
                <w:szCs w:val="24"/>
              </w:rPr>
            </w:pPr>
            <w:r w:rsidRPr="00C111EB">
              <w:rPr>
                <w:sz w:val="24"/>
                <w:szCs w:val="24"/>
              </w:rPr>
              <w:t>4/2014</w:t>
            </w:r>
          </w:p>
        </w:tc>
        <w:tc>
          <w:tcPr>
            <w:tcW w:w="1732" w:type="dxa"/>
            <w:shd w:val="clear" w:color="auto" w:fill="auto"/>
          </w:tcPr>
          <w:p w14:paraId="7B3BC2D4" w14:textId="77777777" w:rsidR="00250C67" w:rsidRPr="00C111EB" w:rsidRDefault="00250C67" w:rsidP="00F00968">
            <w:pPr>
              <w:spacing w:before="20" w:after="20"/>
              <w:rPr>
                <w:sz w:val="24"/>
                <w:szCs w:val="24"/>
              </w:rPr>
            </w:pPr>
            <w:r>
              <w:rPr>
                <w:sz w:val="24"/>
                <w:szCs w:val="24"/>
              </w:rPr>
              <w:t>6/14</w:t>
            </w:r>
            <w:r w:rsidRPr="00C111EB">
              <w:rPr>
                <w:sz w:val="24"/>
                <w:szCs w:val="24"/>
              </w:rPr>
              <w:t xml:space="preserve">/14  </w:t>
            </w:r>
          </w:p>
        </w:tc>
        <w:tc>
          <w:tcPr>
            <w:tcW w:w="3271" w:type="dxa"/>
            <w:shd w:val="clear" w:color="auto" w:fill="auto"/>
          </w:tcPr>
          <w:p w14:paraId="3EAE30E8" w14:textId="7B5224F9" w:rsidR="00250C67" w:rsidRPr="00C111EB" w:rsidRDefault="00250C67" w:rsidP="005C6137">
            <w:pPr>
              <w:spacing w:before="20" w:after="20"/>
              <w:rPr>
                <w:sz w:val="24"/>
                <w:szCs w:val="24"/>
              </w:rPr>
            </w:pPr>
            <w:r w:rsidRPr="00C111EB">
              <w:rPr>
                <w:sz w:val="24"/>
                <w:szCs w:val="24"/>
              </w:rPr>
              <w:t>PG&amp;E relocation work Master Agreement No. HSR 13-</w:t>
            </w:r>
            <w:r w:rsidR="005C6137" w:rsidRPr="00C111EB">
              <w:rPr>
                <w:sz w:val="24"/>
                <w:szCs w:val="24"/>
              </w:rPr>
              <w:t>5</w:t>
            </w:r>
            <w:r w:rsidR="005C6137">
              <w:rPr>
                <w:sz w:val="24"/>
                <w:szCs w:val="24"/>
              </w:rPr>
              <w:t>2</w:t>
            </w:r>
          </w:p>
        </w:tc>
        <w:tc>
          <w:tcPr>
            <w:tcW w:w="1364" w:type="dxa"/>
            <w:shd w:val="clear" w:color="auto" w:fill="auto"/>
          </w:tcPr>
          <w:p w14:paraId="3B9711B8" w14:textId="77777777" w:rsidR="00250C67" w:rsidRPr="00C111EB" w:rsidRDefault="00250C67" w:rsidP="00F00968">
            <w:pPr>
              <w:spacing w:before="20" w:after="20"/>
              <w:rPr>
                <w:sz w:val="24"/>
                <w:szCs w:val="24"/>
              </w:rPr>
            </w:pPr>
            <w:r w:rsidRPr="00C111EB">
              <w:rPr>
                <w:sz w:val="24"/>
                <w:szCs w:val="24"/>
              </w:rPr>
              <w:t>None identified</w:t>
            </w:r>
          </w:p>
        </w:tc>
        <w:tc>
          <w:tcPr>
            <w:tcW w:w="1606" w:type="dxa"/>
            <w:vMerge w:val="restart"/>
            <w:shd w:val="clear" w:color="auto" w:fill="auto"/>
          </w:tcPr>
          <w:p w14:paraId="2D8F86BA" w14:textId="77777777" w:rsidR="00250C67" w:rsidRPr="00C111EB" w:rsidRDefault="00250C67" w:rsidP="00F00968">
            <w:pPr>
              <w:spacing w:before="20" w:after="20"/>
              <w:rPr>
                <w:sz w:val="24"/>
                <w:szCs w:val="24"/>
              </w:rPr>
            </w:pPr>
            <w:r w:rsidRPr="00C111EB">
              <w:rPr>
                <w:sz w:val="24"/>
                <w:szCs w:val="24"/>
              </w:rPr>
              <w:t>G-3498</w:t>
            </w:r>
          </w:p>
        </w:tc>
      </w:tr>
      <w:tr w:rsidR="00250C67" w:rsidRPr="00C111EB" w14:paraId="53792F47" w14:textId="77777777" w:rsidTr="00F00968">
        <w:tc>
          <w:tcPr>
            <w:tcW w:w="1126" w:type="dxa"/>
            <w:shd w:val="clear" w:color="auto" w:fill="auto"/>
          </w:tcPr>
          <w:p w14:paraId="3904C3F0" w14:textId="77777777" w:rsidR="00250C67" w:rsidRPr="00C111EB" w:rsidRDefault="00250C67" w:rsidP="00F00968">
            <w:pPr>
              <w:spacing w:before="20" w:after="20"/>
              <w:rPr>
                <w:sz w:val="24"/>
                <w:szCs w:val="24"/>
              </w:rPr>
            </w:pPr>
            <w:r w:rsidRPr="00C111EB">
              <w:rPr>
                <w:sz w:val="24"/>
                <w:szCs w:val="24"/>
              </w:rPr>
              <w:t>2</w:t>
            </w:r>
          </w:p>
        </w:tc>
        <w:tc>
          <w:tcPr>
            <w:tcW w:w="2593" w:type="dxa"/>
            <w:shd w:val="clear" w:color="auto" w:fill="auto"/>
          </w:tcPr>
          <w:p w14:paraId="06DDB0B9" w14:textId="77777777" w:rsidR="00250C67" w:rsidRPr="00C111EB" w:rsidRDefault="00250C67" w:rsidP="00F00968">
            <w:pPr>
              <w:spacing w:before="20" w:after="20"/>
              <w:rPr>
                <w:sz w:val="24"/>
                <w:szCs w:val="24"/>
              </w:rPr>
            </w:pPr>
            <w:r w:rsidRPr="00C111EB">
              <w:rPr>
                <w:sz w:val="24"/>
                <w:szCs w:val="24"/>
              </w:rPr>
              <w:t>AL 3484-G-A/4443-E-A (Tier 3)</w:t>
            </w:r>
          </w:p>
        </w:tc>
        <w:tc>
          <w:tcPr>
            <w:tcW w:w="1646" w:type="dxa"/>
          </w:tcPr>
          <w:p w14:paraId="01D15738" w14:textId="77777777" w:rsidR="00250C67" w:rsidRPr="00C111EB" w:rsidRDefault="00250C67" w:rsidP="00F00968">
            <w:pPr>
              <w:spacing w:before="20" w:after="20"/>
              <w:rPr>
                <w:sz w:val="24"/>
                <w:szCs w:val="24"/>
              </w:rPr>
            </w:pPr>
            <w:r w:rsidRPr="00C111EB">
              <w:rPr>
                <w:sz w:val="24"/>
                <w:szCs w:val="24"/>
              </w:rPr>
              <w:t>12/2014 and 8/2015</w:t>
            </w:r>
          </w:p>
        </w:tc>
        <w:tc>
          <w:tcPr>
            <w:tcW w:w="1732" w:type="dxa"/>
            <w:shd w:val="clear" w:color="auto" w:fill="auto"/>
          </w:tcPr>
          <w:p w14:paraId="570BA0B0" w14:textId="77777777" w:rsidR="00250C67" w:rsidRPr="00C111EB" w:rsidRDefault="00250C67" w:rsidP="00F00968">
            <w:pPr>
              <w:spacing w:before="20" w:after="20"/>
              <w:rPr>
                <w:sz w:val="24"/>
                <w:szCs w:val="24"/>
              </w:rPr>
            </w:pPr>
            <w:r w:rsidRPr="00C111EB">
              <w:rPr>
                <w:sz w:val="24"/>
                <w:szCs w:val="24"/>
              </w:rPr>
              <w:t>12/22/15</w:t>
            </w:r>
          </w:p>
        </w:tc>
        <w:tc>
          <w:tcPr>
            <w:tcW w:w="3271" w:type="dxa"/>
            <w:shd w:val="clear" w:color="auto" w:fill="auto"/>
          </w:tcPr>
          <w:p w14:paraId="74205342" w14:textId="77777777" w:rsidR="00250C67" w:rsidRPr="00C111EB" w:rsidRDefault="00250C67" w:rsidP="00F00968">
            <w:pPr>
              <w:spacing w:before="20" w:after="20"/>
              <w:rPr>
                <w:sz w:val="24"/>
                <w:szCs w:val="24"/>
              </w:rPr>
            </w:pPr>
            <w:r w:rsidRPr="00C111EB">
              <w:rPr>
                <w:sz w:val="24"/>
                <w:szCs w:val="24"/>
              </w:rPr>
              <w:t>PG&amp;E relocation work utility agreements including CP01 (Nos. HSR 14-49 and HSR 15-36)</w:t>
            </w:r>
          </w:p>
        </w:tc>
        <w:tc>
          <w:tcPr>
            <w:tcW w:w="1364" w:type="dxa"/>
            <w:shd w:val="clear" w:color="auto" w:fill="auto"/>
          </w:tcPr>
          <w:p w14:paraId="1726FB39" w14:textId="77777777" w:rsidR="00250C67" w:rsidRPr="00C111EB" w:rsidRDefault="00250C67" w:rsidP="00F00968">
            <w:pPr>
              <w:spacing w:before="20" w:after="20"/>
              <w:rPr>
                <w:sz w:val="24"/>
                <w:szCs w:val="24"/>
              </w:rPr>
            </w:pPr>
            <w:r w:rsidRPr="00C111EB">
              <w:rPr>
                <w:sz w:val="24"/>
                <w:szCs w:val="24"/>
              </w:rPr>
              <w:t>$2</w:t>
            </w:r>
            <w:r>
              <w:rPr>
                <w:sz w:val="24"/>
                <w:szCs w:val="24"/>
              </w:rPr>
              <w:t>9</w:t>
            </w:r>
            <w:r w:rsidRPr="00C111EB">
              <w:rPr>
                <w:sz w:val="24"/>
                <w:szCs w:val="24"/>
              </w:rPr>
              <w:t xml:space="preserve"> million</w:t>
            </w:r>
          </w:p>
        </w:tc>
        <w:tc>
          <w:tcPr>
            <w:tcW w:w="1606" w:type="dxa"/>
            <w:vMerge/>
            <w:shd w:val="clear" w:color="auto" w:fill="auto"/>
          </w:tcPr>
          <w:p w14:paraId="4D8070EE" w14:textId="77777777" w:rsidR="00250C67" w:rsidRPr="00C111EB" w:rsidRDefault="00250C67" w:rsidP="00F00968">
            <w:pPr>
              <w:spacing w:before="20" w:after="20"/>
              <w:rPr>
                <w:sz w:val="24"/>
                <w:szCs w:val="24"/>
              </w:rPr>
            </w:pPr>
          </w:p>
        </w:tc>
      </w:tr>
      <w:tr w:rsidR="00250C67" w:rsidRPr="00C111EB" w14:paraId="114B78D5" w14:textId="77777777" w:rsidTr="00F00968">
        <w:tc>
          <w:tcPr>
            <w:tcW w:w="1126" w:type="dxa"/>
            <w:shd w:val="clear" w:color="auto" w:fill="auto"/>
          </w:tcPr>
          <w:p w14:paraId="6B17A84F" w14:textId="77777777" w:rsidR="00250C67" w:rsidRPr="00C111EB" w:rsidRDefault="00250C67" w:rsidP="00F00968">
            <w:pPr>
              <w:spacing w:before="20" w:after="20"/>
              <w:rPr>
                <w:sz w:val="24"/>
                <w:szCs w:val="24"/>
              </w:rPr>
            </w:pPr>
            <w:r w:rsidRPr="00C111EB">
              <w:rPr>
                <w:sz w:val="24"/>
                <w:szCs w:val="24"/>
              </w:rPr>
              <w:t>3</w:t>
            </w:r>
          </w:p>
        </w:tc>
        <w:tc>
          <w:tcPr>
            <w:tcW w:w="2593" w:type="dxa"/>
            <w:shd w:val="clear" w:color="auto" w:fill="auto"/>
          </w:tcPr>
          <w:p w14:paraId="05A0BFA9" w14:textId="77777777" w:rsidR="00250C67" w:rsidRPr="00C111EB" w:rsidRDefault="00250C67" w:rsidP="00F00968">
            <w:pPr>
              <w:spacing w:before="20" w:after="20"/>
              <w:rPr>
                <w:sz w:val="24"/>
                <w:szCs w:val="24"/>
              </w:rPr>
            </w:pPr>
            <w:r w:rsidRPr="00DB2568">
              <w:rPr>
                <w:sz w:val="24"/>
                <w:szCs w:val="24"/>
              </w:rPr>
              <w:t>AL 3484-G-B/4443-E-B (Tier 3)</w:t>
            </w:r>
          </w:p>
        </w:tc>
        <w:tc>
          <w:tcPr>
            <w:tcW w:w="1646" w:type="dxa"/>
          </w:tcPr>
          <w:p w14:paraId="02E56B86" w14:textId="77777777" w:rsidR="00250C67" w:rsidRPr="00C111EB" w:rsidRDefault="00250C67" w:rsidP="00F00968">
            <w:pPr>
              <w:spacing w:before="20" w:after="20"/>
              <w:rPr>
                <w:sz w:val="24"/>
                <w:szCs w:val="24"/>
                <w:highlight w:val="yellow"/>
              </w:rPr>
            </w:pPr>
            <w:r w:rsidRPr="00DB2568">
              <w:rPr>
                <w:sz w:val="24"/>
                <w:szCs w:val="24"/>
              </w:rPr>
              <w:t>2/2016</w:t>
            </w:r>
          </w:p>
        </w:tc>
        <w:tc>
          <w:tcPr>
            <w:tcW w:w="1732" w:type="dxa"/>
            <w:shd w:val="clear" w:color="auto" w:fill="auto"/>
          </w:tcPr>
          <w:p w14:paraId="365A9ED7" w14:textId="77777777" w:rsidR="00250C67" w:rsidRPr="00C111EB" w:rsidRDefault="00250C67" w:rsidP="00F00968">
            <w:pPr>
              <w:spacing w:before="20" w:after="20"/>
              <w:rPr>
                <w:sz w:val="24"/>
                <w:szCs w:val="24"/>
              </w:rPr>
            </w:pPr>
            <w:r>
              <w:rPr>
                <w:sz w:val="24"/>
                <w:szCs w:val="24"/>
              </w:rPr>
              <w:t>4/1/16</w:t>
            </w:r>
          </w:p>
        </w:tc>
        <w:tc>
          <w:tcPr>
            <w:tcW w:w="3271" w:type="dxa"/>
            <w:shd w:val="clear" w:color="auto" w:fill="auto"/>
          </w:tcPr>
          <w:p w14:paraId="4D8C698F" w14:textId="77777777" w:rsidR="00250C67" w:rsidRPr="00C111EB" w:rsidRDefault="00250C67" w:rsidP="00F00968">
            <w:pPr>
              <w:spacing w:before="20" w:after="20"/>
              <w:rPr>
                <w:sz w:val="24"/>
                <w:szCs w:val="24"/>
              </w:rPr>
            </w:pPr>
            <w:r w:rsidRPr="00C111EB">
              <w:rPr>
                <w:sz w:val="24"/>
                <w:szCs w:val="24"/>
              </w:rPr>
              <w:t>PG&amp;E relocation work supplemental agreement to master agreement</w:t>
            </w:r>
            <w:r>
              <w:rPr>
                <w:sz w:val="24"/>
                <w:szCs w:val="24"/>
              </w:rPr>
              <w:t xml:space="preserve"> </w:t>
            </w:r>
            <w:r w:rsidRPr="006E2710">
              <w:rPr>
                <w:sz w:val="24"/>
                <w:szCs w:val="24"/>
              </w:rPr>
              <w:t xml:space="preserve">(natural gas disconnection work </w:t>
            </w:r>
            <w:r>
              <w:rPr>
                <w:sz w:val="24"/>
                <w:szCs w:val="24"/>
              </w:rPr>
              <w:t xml:space="preserve">coordinated </w:t>
            </w:r>
            <w:r w:rsidRPr="006E2710">
              <w:rPr>
                <w:sz w:val="24"/>
                <w:szCs w:val="24"/>
              </w:rPr>
              <w:t>by PG&amp;E)</w:t>
            </w:r>
          </w:p>
        </w:tc>
        <w:tc>
          <w:tcPr>
            <w:tcW w:w="1364" w:type="dxa"/>
            <w:shd w:val="clear" w:color="auto" w:fill="auto"/>
          </w:tcPr>
          <w:p w14:paraId="1EBA806C" w14:textId="77777777" w:rsidR="00250C67" w:rsidRPr="00C111EB" w:rsidRDefault="00250C67" w:rsidP="00F00968">
            <w:pPr>
              <w:spacing w:before="20" w:after="20"/>
              <w:rPr>
                <w:sz w:val="24"/>
                <w:szCs w:val="24"/>
              </w:rPr>
            </w:pPr>
            <w:r w:rsidRPr="00C111EB">
              <w:rPr>
                <w:sz w:val="24"/>
                <w:szCs w:val="24"/>
              </w:rPr>
              <w:t>None identified</w:t>
            </w:r>
          </w:p>
        </w:tc>
        <w:tc>
          <w:tcPr>
            <w:tcW w:w="1606" w:type="dxa"/>
            <w:vMerge/>
            <w:shd w:val="clear" w:color="auto" w:fill="auto"/>
          </w:tcPr>
          <w:p w14:paraId="73DD712B" w14:textId="77777777" w:rsidR="00250C67" w:rsidRPr="00C111EB" w:rsidRDefault="00250C67" w:rsidP="00F00968">
            <w:pPr>
              <w:spacing w:before="20" w:after="20"/>
              <w:rPr>
                <w:sz w:val="24"/>
                <w:szCs w:val="24"/>
              </w:rPr>
            </w:pPr>
          </w:p>
        </w:tc>
      </w:tr>
      <w:tr w:rsidR="00250C67" w:rsidRPr="00C111EB" w14:paraId="5DD793DE" w14:textId="77777777" w:rsidTr="00F00968">
        <w:tc>
          <w:tcPr>
            <w:tcW w:w="1126" w:type="dxa"/>
            <w:shd w:val="clear" w:color="auto" w:fill="auto"/>
          </w:tcPr>
          <w:p w14:paraId="176740BF" w14:textId="77777777" w:rsidR="00250C67" w:rsidRPr="00C111EB" w:rsidRDefault="00250C67" w:rsidP="00F00968">
            <w:pPr>
              <w:spacing w:before="20" w:after="20"/>
              <w:rPr>
                <w:sz w:val="24"/>
                <w:szCs w:val="24"/>
              </w:rPr>
            </w:pPr>
            <w:r w:rsidRPr="00C111EB">
              <w:rPr>
                <w:sz w:val="24"/>
                <w:szCs w:val="24"/>
              </w:rPr>
              <w:t>Add 2</w:t>
            </w:r>
          </w:p>
        </w:tc>
        <w:tc>
          <w:tcPr>
            <w:tcW w:w="2593" w:type="dxa"/>
            <w:shd w:val="clear" w:color="auto" w:fill="auto"/>
          </w:tcPr>
          <w:p w14:paraId="6F2BB028" w14:textId="77777777" w:rsidR="00250C67" w:rsidRPr="00C111EB" w:rsidRDefault="00250C67" w:rsidP="00F00968">
            <w:pPr>
              <w:spacing w:before="20" w:after="20"/>
              <w:rPr>
                <w:sz w:val="24"/>
                <w:szCs w:val="24"/>
              </w:rPr>
            </w:pPr>
            <w:r w:rsidRPr="00C111EB">
              <w:rPr>
                <w:sz w:val="24"/>
                <w:szCs w:val="24"/>
              </w:rPr>
              <w:t>Information-Only Filings</w:t>
            </w:r>
          </w:p>
        </w:tc>
        <w:tc>
          <w:tcPr>
            <w:tcW w:w="1646" w:type="dxa"/>
          </w:tcPr>
          <w:p w14:paraId="7A11E763" w14:textId="77777777" w:rsidR="00250C67" w:rsidRPr="00C111EB" w:rsidRDefault="00250C67" w:rsidP="00F00968">
            <w:pPr>
              <w:spacing w:before="20" w:after="20"/>
              <w:rPr>
                <w:sz w:val="24"/>
                <w:szCs w:val="24"/>
              </w:rPr>
            </w:pPr>
            <w:r w:rsidRPr="00C111EB">
              <w:rPr>
                <w:sz w:val="24"/>
                <w:szCs w:val="24"/>
              </w:rPr>
              <w:t>TBD</w:t>
            </w:r>
          </w:p>
        </w:tc>
        <w:tc>
          <w:tcPr>
            <w:tcW w:w="1732" w:type="dxa"/>
            <w:shd w:val="clear" w:color="auto" w:fill="auto"/>
          </w:tcPr>
          <w:p w14:paraId="1BE6C0B8" w14:textId="77777777" w:rsidR="00250C67" w:rsidRPr="00C111EB" w:rsidRDefault="00250C67" w:rsidP="00F00968">
            <w:pPr>
              <w:spacing w:before="20" w:after="20"/>
              <w:rPr>
                <w:sz w:val="24"/>
                <w:szCs w:val="24"/>
              </w:rPr>
            </w:pPr>
            <w:r w:rsidRPr="00A27261">
              <w:rPr>
                <w:sz w:val="24"/>
                <w:szCs w:val="24"/>
              </w:rPr>
              <w:t>2016</w:t>
            </w:r>
          </w:p>
        </w:tc>
        <w:tc>
          <w:tcPr>
            <w:tcW w:w="3271" w:type="dxa"/>
            <w:shd w:val="clear" w:color="auto" w:fill="auto"/>
          </w:tcPr>
          <w:p w14:paraId="7E7C2124" w14:textId="77777777" w:rsidR="00250C67" w:rsidRPr="00C111EB" w:rsidRDefault="00250C67" w:rsidP="00F00968">
            <w:pPr>
              <w:spacing w:before="20" w:after="20"/>
              <w:rPr>
                <w:sz w:val="24"/>
                <w:szCs w:val="24"/>
              </w:rPr>
            </w:pPr>
            <w:r w:rsidRPr="00C111EB">
              <w:rPr>
                <w:sz w:val="24"/>
                <w:szCs w:val="24"/>
              </w:rPr>
              <w:t>PG&amp;E relocation work utility agreements for covering CP02 and CP03</w:t>
            </w:r>
          </w:p>
        </w:tc>
        <w:tc>
          <w:tcPr>
            <w:tcW w:w="1364" w:type="dxa"/>
            <w:shd w:val="clear" w:color="auto" w:fill="auto"/>
          </w:tcPr>
          <w:p w14:paraId="7B105B29" w14:textId="77777777" w:rsidR="00250C67" w:rsidRPr="00C111EB" w:rsidRDefault="00250C67" w:rsidP="00F00968">
            <w:pPr>
              <w:spacing w:before="20" w:after="20"/>
              <w:rPr>
                <w:sz w:val="24"/>
                <w:szCs w:val="24"/>
              </w:rPr>
            </w:pPr>
            <w:r w:rsidRPr="00C111EB">
              <w:rPr>
                <w:sz w:val="24"/>
                <w:szCs w:val="24"/>
              </w:rPr>
              <w:t>TBD</w:t>
            </w:r>
          </w:p>
        </w:tc>
        <w:tc>
          <w:tcPr>
            <w:tcW w:w="1606" w:type="dxa"/>
            <w:shd w:val="clear" w:color="auto" w:fill="auto"/>
          </w:tcPr>
          <w:p w14:paraId="3D86221D" w14:textId="77777777" w:rsidR="00250C67" w:rsidRPr="00C111EB" w:rsidRDefault="00250C67" w:rsidP="00F00968">
            <w:pPr>
              <w:spacing w:before="20" w:after="20"/>
              <w:rPr>
                <w:sz w:val="24"/>
                <w:szCs w:val="24"/>
              </w:rPr>
            </w:pPr>
            <w:r w:rsidRPr="00C111EB">
              <w:rPr>
                <w:sz w:val="24"/>
                <w:szCs w:val="24"/>
              </w:rPr>
              <w:t>None</w:t>
            </w:r>
          </w:p>
        </w:tc>
      </w:tr>
      <w:tr w:rsidR="00250C67" w:rsidRPr="00C111EB" w14:paraId="42B4D095" w14:textId="77777777" w:rsidTr="00F00968">
        <w:tc>
          <w:tcPr>
            <w:tcW w:w="1126" w:type="dxa"/>
            <w:shd w:val="clear" w:color="auto" w:fill="auto"/>
          </w:tcPr>
          <w:p w14:paraId="3250839E" w14:textId="77777777" w:rsidR="00250C67" w:rsidRPr="00C111EB" w:rsidRDefault="00250C67" w:rsidP="00F00968">
            <w:pPr>
              <w:spacing w:before="20" w:after="20"/>
              <w:rPr>
                <w:sz w:val="24"/>
                <w:szCs w:val="24"/>
              </w:rPr>
            </w:pPr>
            <w:r w:rsidRPr="00C111EB">
              <w:rPr>
                <w:sz w:val="24"/>
                <w:szCs w:val="24"/>
              </w:rPr>
              <w:t>Add about 8</w:t>
            </w:r>
          </w:p>
        </w:tc>
        <w:tc>
          <w:tcPr>
            <w:tcW w:w="2593" w:type="dxa"/>
            <w:shd w:val="clear" w:color="auto" w:fill="auto"/>
          </w:tcPr>
          <w:p w14:paraId="55D60150" w14:textId="77777777" w:rsidR="00250C67" w:rsidRPr="00C111EB" w:rsidRDefault="00250C67" w:rsidP="00F00968">
            <w:pPr>
              <w:spacing w:before="20" w:after="20"/>
              <w:rPr>
                <w:sz w:val="24"/>
                <w:szCs w:val="24"/>
              </w:rPr>
            </w:pPr>
            <w:r w:rsidRPr="00C111EB">
              <w:rPr>
                <w:sz w:val="24"/>
                <w:szCs w:val="24"/>
              </w:rPr>
              <w:t>Information-Only Filings</w:t>
            </w:r>
          </w:p>
        </w:tc>
        <w:tc>
          <w:tcPr>
            <w:tcW w:w="1646" w:type="dxa"/>
          </w:tcPr>
          <w:p w14:paraId="0DFD4DC1" w14:textId="77777777" w:rsidR="00250C67" w:rsidRPr="00C111EB" w:rsidRDefault="00250C67" w:rsidP="00F00968">
            <w:pPr>
              <w:spacing w:before="20" w:after="20"/>
              <w:rPr>
                <w:sz w:val="24"/>
                <w:szCs w:val="24"/>
              </w:rPr>
            </w:pPr>
            <w:r w:rsidRPr="00C111EB">
              <w:rPr>
                <w:sz w:val="24"/>
                <w:szCs w:val="24"/>
              </w:rPr>
              <w:t>TBD</w:t>
            </w:r>
          </w:p>
        </w:tc>
        <w:tc>
          <w:tcPr>
            <w:tcW w:w="1732" w:type="dxa"/>
            <w:shd w:val="clear" w:color="auto" w:fill="auto"/>
          </w:tcPr>
          <w:p w14:paraId="499CA9F9" w14:textId="77777777" w:rsidR="00250C67" w:rsidRPr="00C111EB" w:rsidRDefault="00250C67" w:rsidP="00F00968">
            <w:pPr>
              <w:spacing w:before="20" w:after="20"/>
              <w:rPr>
                <w:sz w:val="24"/>
                <w:szCs w:val="24"/>
              </w:rPr>
            </w:pPr>
            <w:r w:rsidRPr="00C111EB">
              <w:rPr>
                <w:sz w:val="24"/>
                <w:szCs w:val="24"/>
              </w:rPr>
              <w:t>2017–2029</w:t>
            </w:r>
          </w:p>
        </w:tc>
        <w:tc>
          <w:tcPr>
            <w:tcW w:w="3271" w:type="dxa"/>
            <w:shd w:val="clear" w:color="auto" w:fill="auto"/>
          </w:tcPr>
          <w:p w14:paraId="1A318C87" w14:textId="77777777" w:rsidR="00250C67" w:rsidRPr="00C111EB" w:rsidRDefault="00250C67" w:rsidP="00F00968">
            <w:pPr>
              <w:spacing w:before="20" w:after="20"/>
              <w:rPr>
                <w:sz w:val="24"/>
                <w:szCs w:val="24"/>
              </w:rPr>
            </w:pPr>
            <w:r w:rsidRPr="00C111EB">
              <w:rPr>
                <w:sz w:val="24"/>
                <w:szCs w:val="24"/>
              </w:rPr>
              <w:t>TBD</w:t>
            </w:r>
          </w:p>
        </w:tc>
        <w:tc>
          <w:tcPr>
            <w:tcW w:w="1364" w:type="dxa"/>
            <w:shd w:val="clear" w:color="auto" w:fill="auto"/>
          </w:tcPr>
          <w:p w14:paraId="79E8CD10" w14:textId="77777777" w:rsidR="00250C67" w:rsidRPr="00C111EB" w:rsidRDefault="00250C67" w:rsidP="00F00968">
            <w:pPr>
              <w:spacing w:before="20" w:after="20"/>
              <w:rPr>
                <w:sz w:val="24"/>
                <w:szCs w:val="24"/>
              </w:rPr>
            </w:pPr>
            <w:r w:rsidRPr="00C111EB">
              <w:rPr>
                <w:sz w:val="24"/>
                <w:szCs w:val="24"/>
              </w:rPr>
              <w:t>TBD</w:t>
            </w:r>
          </w:p>
        </w:tc>
        <w:tc>
          <w:tcPr>
            <w:tcW w:w="1606" w:type="dxa"/>
            <w:shd w:val="clear" w:color="auto" w:fill="auto"/>
          </w:tcPr>
          <w:p w14:paraId="730FDD97" w14:textId="77777777" w:rsidR="00250C67" w:rsidRPr="00C111EB" w:rsidRDefault="00250C67" w:rsidP="00F00968">
            <w:pPr>
              <w:spacing w:before="20" w:after="20"/>
              <w:rPr>
                <w:sz w:val="24"/>
                <w:szCs w:val="24"/>
              </w:rPr>
            </w:pPr>
            <w:r w:rsidRPr="00C111EB">
              <w:rPr>
                <w:sz w:val="24"/>
                <w:szCs w:val="24"/>
              </w:rPr>
              <w:t>None</w:t>
            </w:r>
          </w:p>
        </w:tc>
      </w:tr>
      <w:tr w:rsidR="00250C67" w:rsidRPr="00C111EB" w14:paraId="27341985" w14:textId="77777777" w:rsidTr="00F00968">
        <w:tc>
          <w:tcPr>
            <w:tcW w:w="1126" w:type="dxa"/>
            <w:shd w:val="clear" w:color="auto" w:fill="auto"/>
          </w:tcPr>
          <w:p w14:paraId="2DB2BF2B" w14:textId="77777777" w:rsidR="00250C67" w:rsidRPr="00C111EB" w:rsidRDefault="00250C67" w:rsidP="00F00968">
            <w:pPr>
              <w:spacing w:before="20" w:after="20"/>
              <w:rPr>
                <w:sz w:val="24"/>
                <w:szCs w:val="24"/>
              </w:rPr>
            </w:pPr>
            <w:r w:rsidRPr="00C111EB">
              <w:rPr>
                <w:sz w:val="24"/>
                <w:szCs w:val="24"/>
              </w:rPr>
              <w:t>Add about 13</w:t>
            </w:r>
          </w:p>
        </w:tc>
        <w:tc>
          <w:tcPr>
            <w:tcW w:w="2593" w:type="dxa"/>
            <w:shd w:val="clear" w:color="auto" w:fill="auto"/>
          </w:tcPr>
          <w:p w14:paraId="3D5CA2B2" w14:textId="77777777" w:rsidR="00250C67" w:rsidRPr="00C111EB" w:rsidRDefault="00250C67" w:rsidP="00F00968">
            <w:pPr>
              <w:spacing w:before="20" w:after="20"/>
              <w:rPr>
                <w:sz w:val="24"/>
                <w:szCs w:val="24"/>
              </w:rPr>
            </w:pPr>
            <w:r w:rsidRPr="00C111EB">
              <w:rPr>
                <w:sz w:val="24"/>
                <w:szCs w:val="24"/>
              </w:rPr>
              <w:t>Tier 2</w:t>
            </w:r>
          </w:p>
        </w:tc>
        <w:tc>
          <w:tcPr>
            <w:tcW w:w="1646" w:type="dxa"/>
          </w:tcPr>
          <w:p w14:paraId="25DA6AD8" w14:textId="77777777" w:rsidR="00250C67" w:rsidRPr="00C111EB" w:rsidRDefault="00250C67" w:rsidP="00F00968">
            <w:pPr>
              <w:spacing w:before="20" w:after="20"/>
              <w:rPr>
                <w:sz w:val="24"/>
                <w:szCs w:val="24"/>
              </w:rPr>
            </w:pPr>
            <w:r w:rsidRPr="00C111EB">
              <w:rPr>
                <w:sz w:val="24"/>
                <w:szCs w:val="24"/>
              </w:rPr>
              <w:t>TBD</w:t>
            </w:r>
          </w:p>
        </w:tc>
        <w:tc>
          <w:tcPr>
            <w:tcW w:w="1732" w:type="dxa"/>
            <w:shd w:val="clear" w:color="auto" w:fill="auto"/>
          </w:tcPr>
          <w:p w14:paraId="4741B4B0" w14:textId="77777777" w:rsidR="00250C67" w:rsidRPr="00C111EB" w:rsidRDefault="00250C67" w:rsidP="00F00968">
            <w:pPr>
              <w:spacing w:before="20" w:after="20"/>
              <w:rPr>
                <w:sz w:val="24"/>
                <w:szCs w:val="24"/>
              </w:rPr>
            </w:pPr>
            <w:r w:rsidRPr="00C111EB">
              <w:rPr>
                <w:sz w:val="24"/>
                <w:szCs w:val="24"/>
              </w:rPr>
              <w:t>2017–2029</w:t>
            </w:r>
          </w:p>
        </w:tc>
        <w:tc>
          <w:tcPr>
            <w:tcW w:w="3271" w:type="dxa"/>
            <w:shd w:val="clear" w:color="auto" w:fill="auto"/>
          </w:tcPr>
          <w:p w14:paraId="3EBDA412" w14:textId="77777777" w:rsidR="00250C67" w:rsidRPr="00C111EB" w:rsidRDefault="00250C67" w:rsidP="00F00968">
            <w:pPr>
              <w:spacing w:before="20" w:after="20"/>
              <w:rPr>
                <w:sz w:val="24"/>
                <w:szCs w:val="24"/>
              </w:rPr>
            </w:pPr>
            <w:r w:rsidRPr="00C111EB">
              <w:rPr>
                <w:sz w:val="24"/>
                <w:szCs w:val="24"/>
              </w:rPr>
              <w:t>Annual compliance filing throughout construction</w:t>
            </w:r>
          </w:p>
        </w:tc>
        <w:tc>
          <w:tcPr>
            <w:tcW w:w="1364" w:type="dxa"/>
            <w:shd w:val="clear" w:color="auto" w:fill="auto"/>
          </w:tcPr>
          <w:p w14:paraId="0C4C221B" w14:textId="77777777" w:rsidR="00250C67" w:rsidRPr="00C111EB" w:rsidRDefault="00250C67" w:rsidP="00F00968">
            <w:pPr>
              <w:spacing w:before="20" w:after="20"/>
              <w:rPr>
                <w:sz w:val="24"/>
                <w:szCs w:val="24"/>
              </w:rPr>
            </w:pPr>
            <w:r w:rsidRPr="00C111EB">
              <w:rPr>
                <w:sz w:val="24"/>
                <w:szCs w:val="24"/>
              </w:rPr>
              <w:t>TBD</w:t>
            </w:r>
          </w:p>
        </w:tc>
        <w:tc>
          <w:tcPr>
            <w:tcW w:w="1606" w:type="dxa"/>
            <w:shd w:val="clear" w:color="auto" w:fill="auto"/>
          </w:tcPr>
          <w:p w14:paraId="5FC517EF" w14:textId="77777777" w:rsidR="00250C67" w:rsidRPr="00C111EB" w:rsidRDefault="00250C67" w:rsidP="00F00968">
            <w:pPr>
              <w:spacing w:before="20" w:after="20"/>
              <w:rPr>
                <w:sz w:val="24"/>
                <w:szCs w:val="24"/>
              </w:rPr>
            </w:pPr>
            <w:r w:rsidRPr="00C111EB">
              <w:rPr>
                <w:sz w:val="24"/>
                <w:szCs w:val="24"/>
              </w:rPr>
              <w:t>TBD</w:t>
            </w:r>
          </w:p>
        </w:tc>
      </w:tr>
      <w:tr w:rsidR="00250C67" w:rsidRPr="00C111EB" w14:paraId="38951E60" w14:textId="77777777" w:rsidTr="00F00968">
        <w:tc>
          <w:tcPr>
            <w:tcW w:w="13338" w:type="dxa"/>
            <w:gridSpan w:val="7"/>
          </w:tcPr>
          <w:p w14:paraId="14C3DA29" w14:textId="77777777" w:rsidR="00250C67" w:rsidRPr="00C111EB" w:rsidRDefault="00250C67" w:rsidP="00F00968">
            <w:pPr>
              <w:spacing w:before="60" w:after="60"/>
              <w:rPr>
                <w:b/>
                <w:sz w:val="24"/>
                <w:szCs w:val="24"/>
              </w:rPr>
            </w:pPr>
            <w:r w:rsidRPr="00C111EB">
              <w:rPr>
                <w:b/>
                <w:sz w:val="24"/>
                <w:szCs w:val="24"/>
              </w:rPr>
              <w:t xml:space="preserve">Total = </w:t>
            </w:r>
            <w:r w:rsidRPr="00C111EB">
              <w:rPr>
                <w:sz w:val="24"/>
                <w:szCs w:val="24"/>
              </w:rPr>
              <w:t>about</w:t>
            </w:r>
            <w:r w:rsidRPr="00C111EB">
              <w:rPr>
                <w:b/>
                <w:sz w:val="24"/>
                <w:szCs w:val="24"/>
              </w:rPr>
              <w:t xml:space="preserve"> 26 </w:t>
            </w:r>
            <w:r w:rsidRPr="00C111EB">
              <w:rPr>
                <w:sz w:val="24"/>
                <w:szCs w:val="24"/>
              </w:rPr>
              <w:t>PG&amp;E filings for CHSRA Project relocation work</w:t>
            </w:r>
            <w:r>
              <w:rPr>
                <w:sz w:val="24"/>
                <w:szCs w:val="24"/>
              </w:rPr>
              <w:t xml:space="preserve"> through 2029</w:t>
            </w:r>
          </w:p>
        </w:tc>
      </w:tr>
    </w:tbl>
    <w:p w14:paraId="4BBB2DA7" w14:textId="3DA3A3B9" w:rsidR="00250C67" w:rsidRPr="00C111EB" w:rsidRDefault="00250C67" w:rsidP="00250C67">
      <w:pPr>
        <w:spacing w:before="60" w:after="60"/>
        <w:rPr>
          <w:b/>
          <w:sz w:val="22"/>
          <w:szCs w:val="22"/>
        </w:rPr>
      </w:pPr>
      <w:r w:rsidRPr="00C111EB">
        <w:rPr>
          <w:rFonts w:eastAsiaTheme="minorHAnsi" w:cstheme="minorBidi"/>
          <w:sz w:val="22"/>
          <w:szCs w:val="22"/>
        </w:rPr>
        <w:t xml:space="preserve">Key: AL = Advice </w:t>
      </w:r>
      <w:r w:rsidR="000F7340">
        <w:rPr>
          <w:rFonts w:eastAsiaTheme="minorHAnsi" w:cstheme="minorBidi"/>
          <w:sz w:val="22"/>
          <w:szCs w:val="22"/>
        </w:rPr>
        <w:t>Letter, CHSRA = California High-</w:t>
      </w:r>
      <w:r w:rsidRPr="00C111EB">
        <w:rPr>
          <w:rFonts w:eastAsiaTheme="minorHAnsi" w:cstheme="minorBidi"/>
          <w:sz w:val="22"/>
          <w:szCs w:val="22"/>
        </w:rPr>
        <w:t>Speed Rail Authority, CP = Construction Package for CHSRA Project, TBD = to be determined</w:t>
      </w:r>
      <w:r w:rsidRPr="00C111EB">
        <w:rPr>
          <w:b/>
          <w:sz w:val="22"/>
          <w:szCs w:val="22"/>
        </w:rPr>
        <w:t xml:space="preserve"> </w:t>
      </w:r>
      <w:r w:rsidRPr="00C111EB">
        <w:rPr>
          <w:b/>
          <w:sz w:val="22"/>
          <w:szCs w:val="22"/>
        </w:rPr>
        <w:br w:type="page"/>
      </w:r>
    </w:p>
    <w:p w14:paraId="66D34545" w14:textId="77777777" w:rsidR="00250C67" w:rsidRDefault="00250C67" w:rsidP="00250C67">
      <w:pPr>
        <w:pStyle w:val="titlebar"/>
        <w:jc w:val="left"/>
        <w:rPr>
          <w:sz w:val="24"/>
        </w:rPr>
      </w:pPr>
    </w:p>
    <w:p w14:paraId="52154D98" w14:textId="2B2D6DDE" w:rsidR="00250C67" w:rsidRPr="00C733E3" w:rsidRDefault="00250C67" w:rsidP="00250C67">
      <w:pPr>
        <w:rPr>
          <w:b/>
        </w:rPr>
      </w:pPr>
      <w:proofErr w:type="gramStart"/>
      <w:r w:rsidRPr="00C733E3">
        <w:rPr>
          <w:rFonts w:cstheme="minorBidi"/>
          <w:b/>
          <w:szCs w:val="22"/>
        </w:rPr>
        <w:t>Table</w:t>
      </w:r>
      <w:r>
        <w:rPr>
          <w:b/>
        </w:rPr>
        <w:t xml:space="preserve"> A-2.</w:t>
      </w:r>
      <w:proofErr w:type="gramEnd"/>
      <w:r w:rsidRPr="00C733E3">
        <w:rPr>
          <w:rFonts w:cstheme="minorBidi"/>
          <w:b/>
          <w:szCs w:val="22"/>
        </w:rPr>
        <w:t xml:space="preserve"> </w:t>
      </w:r>
      <w:r>
        <w:rPr>
          <w:rFonts w:cstheme="minorBidi"/>
          <w:b/>
          <w:szCs w:val="22"/>
        </w:rPr>
        <w:t xml:space="preserve">SCE </w:t>
      </w:r>
      <w:r>
        <w:rPr>
          <w:b/>
        </w:rPr>
        <w:t xml:space="preserve">Current and Expected </w:t>
      </w:r>
      <w:r w:rsidRPr="00C733E3">
        <w:rPr>
          <w:rFonts w:cstheme="minorBidi"/>
          <w:b/>
          <w:szCs w:val="22"/>
        </w:rPr>
        <w:t xml:space="preserve">Filings </w:t>
      </w:r>
      <w:r>
        <w:rPr>
          <w:b/>
        </w:rPr>
        <w:t>for CHSRA Project Relocation Work</w:t>
      </w:r>
    </w:p>
    <w:tbl>
      <w:tblPr>
        <w:tblStyle w:val="TableGrid"/>
        <w:tblW w:w="13176" w:type="dxa"/>
        <w:tblLook w:val="04A0" w:firstRow="1" w:lastRow="0" w:firstColumn="1" w:lastColumn="0" w:noHBand="0" w:noVBand="1"/>
      </w:tblPr>
      <w:tblGrid>
        <w:gridCol w:w="1154"/>
        <w:gridCol w:w="2675"/>
        <w:gridCol w:w="1536"/>
        <w:gridCol w:w="1603"/>
        <w:gridCol w:w="3024"/>
        <w:gridCol w:w="1363"/>
        <w:gridCol w:w="1821"/>
      </w:tblGrid>
      <w:tr w:rsidR="00250C67" w:rsidRPr="00EE00AB" w14:paraId="5748FFCA" w14:textId="77777777" w:rsidTr="00F00968">
        <w:tc>
          <w:tcPr>
            <w:tcW w:w="1173" w:type="dxa"/>
            <w:shd w:val="clear" w:color="auto" w:fill="auto"/>
          </w:tcPr>
          <w:p w14:paraId="164E9EC8" w14:textId="77777777" w:rsidR="00250C67" w:rsidRPr="00EE00AB" w:rsidRDefault="00250C67" w:rsidP="00F00968">
            <w:pPr>
              <w:spacing w:before="20" w:after="20"/>
              <w:rPr>
                <w:b/>
                <w:sz w:val="24"/>
                <w:szCs w:val="24"/>
              </w:rPr>
            </w:pPr>
            <w:r w:rsidRPr="00EE00AB">
              <w:rPr>
                <w:b/>
                <w:sz w:val="24"/>
                <w:szCs w:val="24"/>
              </w:rPr>
              <w:t>Item No.</w:t>
            </w:r>
          </w:p>
        </w:tc>
        <w:tc>
          <w:tcPr>
            <w:tcW w:w="2724" w:type="dxa"/>
            <w:shd w:val="clear" w:color="auto" w:fill="auto"/>
          </w:tcPr>
          <w:p w14:paraId="612E1AF9" w14:textId="77777777" w:rsidR="00250C67" w:rsidRPr="00EE00AB" w:rsidRDefault="00250C67" w:rsidP="00F00968">
            <w:pPr>
              <w:spacing w:before="20" w:after="20"/>
              <w:ind w:left="296" w:hanging="296"/>
              <w:rPr>
                <w:b/>
                <w:sz w:val="24"/>
                <w:szCs w:val="24"/>
              </w:rPr>
            </w:pPr>
            <w:r w:rsidRPr="00EE00AB">
              <w:rPr>
                <w:b/>
                <w:sz w:val="24"/>
                <w:szCs w:val="24"/>
              </w:rPr>
              <w:t>Filing Number/Type</w:t>
            </w:r>
          </w:p>
        </w:tc>
        <w:tc>
          <w:tcPr>
            <w:tcW w:w="1340" w:type="dxa"/>
          </w:tcPr>
          <w:p w14:paraId="40CDA4C3" w14:textId="77777777" w:rsidR="00250C67" w:rsidRPr="00EE00AB" w:rsidRDefault="00250C67" w:rsidP="00F00968">
            <w:pPr>
              <w:spacing w:before="20" w:after="20"/>
              <w:rPr>
                <w:b/>
                <w:sz w:val="24"/>
                <w:szCs w:val="24"/>
              </w:rPr>
            </w:pPr>
            <w:r w:rsidRPr="00EE00AB">
              <w:rPr>
                <w:b/>
                <w:sz w:val="24"/>
                <w:szCs w:val="24"/>
              </w:rPr>
              <w:t>Agreements Signed</w:t>
            </w:r>
          </w:p>
        </w:tc>
        <w:tc>
          <w:tcPr>
            <w:tcW w:w="1623" w:type="dxa"/>
            <w:shd w:val="clear" w:color="auto" w:fill="auto"/>
          </w:tcPr>
          <w:p w14:paraId="2C36B2AB" w14:textId="77777777" w:rsidR="00250C67" w:rsidRPr="00EE00AB" w:rsidRDefault="00250C67" w:rsidP="00F00968">
            <w:pPr>
              <w:spacing w:before="20" w:after="20"/>
              <w:rPr>
                <w:b/>
                <w:sz w:val="24"/>
                <w:szCs w:val="24"/>
              </w:rPr>
            </w:pPr>
            <w:r w:rsidRPr="00EE00AB">
              <w:rPr>
                <w:b/>
                <w:sz w:val="24"/>
                <w:szCs w:val="24"/>
              </w:rPr>
              <w:t xml:space="preserve">Filing Date / Expected </w:t>
            </w:r>
          </w:p>
        </w:tc>
        <w:tc>
          <w:tcPr>
            <w:tcW w:w="3104" w:type="dxa"/>
            <w:shd w:val="clear" w:color="auto" w:fill="auto"/>
          </w:tcPr>
          <w:p w14:paraId="49711E31" w14:textId="77777777" w:rsidR="00250C67" w:rsidRPr="00EE00AB" w:rsidRDefault="00250C67" w:rsidP="00F00968">
            <w:pPr>
              <w:spacing w:before="20" w:after="20"/>
              <w:rPr>
                <w:b/>
                <w:sz w:val="24"/>
                <w:szCs w:val="24"/>
              </w:rPr>
            </w:pPr>
            <w:r w:rsidRPr="00EE00AB">
              <w:rPr>
                <w:b/>
                <w:sz w:val="24"/>
                <w:szCs w:val="24"/>
              </w:rPr>
              <w:t>Description</w:t>
            </w:r>
          </w:p>
        </w:tc>
        <w:tc>
          <w:tcPr>
            <w:tcW w:w="1369" w:type="dxa"/>
            <w:shd w:val="clear" w:color="auto" w:fill="auto"/>
          </w:tcPr>
          <w:p w14:paraId="13A01000" w14:textId="77777777" w:rsidR="00250C67" w:rsidRPr="00EE00AB" w:rsidRDefault="00250C67" w:rsidP="00F00968">
            <w:pPr>
              <w:rPr>
                <w:b/>
                <w:sz w:val="24"/>
                <w:szCs w:val="24"/>
              </w:rPr>
            </w:pPr>
            <w:r w:rsidRPr="00EE00AB">
              <w:rPr>
                <w:b/>
                <w:sz w:val="24"/>
                <w:szCs w:val="24"/>
              </w:rPr>
              <w:t>CHSRA Funding in Filing</w:t>
            </w:r>
          </w:p>
        </w:tc>
        <w:tc>
          <w:tcPr>
            <w:tcW w:w="1843" w:type="dxa"/>
            <w:shd w:val="clear" w:color="auto" w:fill="auto"/>
          </w:tcPr>
          <w:p w14:paraId="7E928D70" w14:textId="77777777" w:rsidR="00250C67" w:rsidRPr="00EE00AB" w:rsidRDefault="00250C67" w:rsidP="00F00968">
            <w:pPr>
              <w:rPr>
                <w:b/>
                <w:sz w:val="24"/>
                <w:szCs w:val="24"/>
              </w:rPr>
            </w:pPr>
            <w:r w:rsidRPr="00EE00AB">
              <w:rPr>
                <w:b/>
                <w:sz w:val="24"/>
                <w:szCs w:val="24"/>
              </w:rPr>
              <w:t>Resolution No.</w:t>
            </w:r>
          </w:p>
        </w:tc>
      </w:tr>
      <w:tr w:rsidR="00250C67" w:rsidRPr="00EE00AB" w14:paraId="51B7DF66" w14:textId="77777777" w:rsidTr="00F00968">
        <w:tc>
          <w:tcPr>
            <w:tcW w:w="1173" w:type="dxa"/>
            <w:shd w:val="clear" w:color="auto" w:fill="auto"/>
          </w:tcPr>
          <w:p w14:paraId="2689DD33" w14:textId="77777777" w:rsidR="00250C67" w:rsidRPr="00EE00AB" w:rsidRDefault="00250C67" w:rsidP="00F00968">
            <w:pPr>
              <w:spacing w:before="20" w:after="20"/>
              <w:rPr>
                <w:sz w:val="24"/>
                <w:szCs w:val="24"/>
              </w:rPr>
            </w:pPr>
            <w:r w:rsidRPr="00EE00AB">
              <w:rPr>
                <w:sz w:val="24"/>
                <w:szCs w:val="24"/>
              </w:rPr>
              <w:t>1</w:t>
            </w:r>
          </w:p>
        </w:tc>
        <w:tc>
          <w:tcPr>
            <w:tcW w:w="2724" w:type="dxa"/>
            <w:shd w:val="clear" w:color="auto" w:fill="auto"/>
          </w:tcPr>
          <w:p w14:paraId="11F7A7D3" w14:textId="77777777" w:rsidR="00250C67" w:rsidRPr="00EE00AB" w:rsidRDefault="00250C67" w:rsidP="00F00968">
            <w:pPr>
              <w:spacing w:before="20" w:after="20"/>
              <w:rPr>
                <w:sz w:val="24"/>
                <w:szCs w:val="24"/>
              </w:rPr>
            </w:pPr>
            <w:r w:rsidRPr="00EE00AB">
              <w:rPr>
                <w:sz w:val="24"/>
                <w:szCs w:val="24"/>
              </w:rPr>
              <w:t>AL 3315-E (Tier 3)</w:t>
            </w:r>
          </w:p>
        </w:tc>
        <w:tc>
          <w:tcPr>
            <w:tcW w:w="1340" w:type="dxa"/>
          </w:tcPr>
          <w:p w14:paraId="64EE0944" w14:textId="77777777" w:rsidR="00250C67" w:rsidRPr="00EE00AB" w:rsidRDefault="00250C67" w:rsidP="00F00968">
            <w:pPr>
              <w:spacing w:before="20" w:after="20"/>
              <w:rPr>
                <w:sz w:val="24"/>
                <w:szCs w:val="24"/>
              </w:rPr>
            </w:pPr>
            <w:r w:rsidRPr="00EE00AB">
              <w:rPr>
                <w:sz w:val="24"/>
                <w:szCs w:val="24"/>
              </w:rPr>
              <w:t>3/2015</w:t>
            </w:r>
          </w:p>
        </w:tc>
        <w:tc>
          <w:tcPr>
            <w:tcW w:w="1623" w:type="dxa"/>
            <w:shd w:val="clear" w:color="auto" w:fill="auto"/>
          </w:tcPr>
          <w:p w14:paraId="1AE657B6" w14:textId="77777777" w:rsidR="00250C67" w:rsidRPr="00EE00AB" w:rsidRDefault="00250C67" w:rsidP="00F00968">
            <w:pPr>
              <w:spacing w:before="20" w:after="20"/>
              <w:rPr>
                <w:sz w:val="24"/>
                <w:szCs w:val="24"/>
              </w:rPr>
            </w:pPr>
            <w:r w:rsidRPr="00EE00AB">
              <w:rPr>
                <w:sz w:val="24"/>
                <w:szCs w:val="24"/>
              </w:rPr>
              <w:t>11/25/15</w:t>
            </w:r>
          </w:p>
        </w:tc>
        <w:tc>
          <w:tcPr>
            <w:tcW w:w="3104" w:type="dxa"/>
            <w:shd w:val="clear" w:color="auto" w:fill="auto"/>
          </w:tcPr>
          <w:p w14:paraId="11BFAB13" w14:textId="77777777" w:rsidR="00250C67" w:rsidRPr="00EE00AB" w:rsidRDefault="00250C67" w:rsidP="00F00968">
            <w:pPr>
              <w:spacing w:before="20" w:after="20"/>
              <w:rPr>
                <w:sz w:val="24"/>
                <w:szCs w:val="24"/>
              </w:rPr>
            </w:pPr>
            <w:r w:rsidRPr="00EE00AB">
              <w:rPr>
                <w:sz w:val="24"/>
                <w:szCs w:val="24"/>
              </w:rPr>
              <w:t>SCE relocation work Master Agreement No. HSR 15-54</w:t>
            </w:r>
          </w:p>
        </w:tc>
        <w:tc>
          <w:tcPr>
            <w:tcW w:w="1369" w:type="dxa"/>
            <w:shd w:val="clear" w:color="auto" w:fill="auto"/>
          </w:tcPr>
          <w:p w14:paraId="0112B619" w14:textId="77777777" w:rsidR="00250C67" w:rsidRPr="00EE00AB" w:rsidRDefault="00250C67" w:rsidP="00F00968">
            <w:pPr>
              <w:rPr>
                <w:sz w:val="24"/>
                <w:szCs w:val="24"/>
              </w:rPr>
            </w:pPr>
            <w:r w:rsidRPr="00EE00AB">
              <w:rPr>
                <w:sz w:val="24"/>
                <w:szCs w:val="24"/>
              </w:rPr>
              <w:t>None identified</w:t>
            </w:r>
          </w:p>
        </w:tc>
        <w:tc>
          <w:tcPr>
            <w:tcW w:w="1843" w:type="dxa"/>
            <w:shd w:val="clear" w:color="auto" w:fill="auto"/>
          </w:tcPr>
          <w:p w14:paraId="45E0876B" w14:textId="77777777" w:rsidR="00250C67" w:rsidRPr="00EE00AB" w:rsidRDefault="00250C67" w:rsidP="00F00968">
            <w:pPr>
              <w:rPr>
                <w:sz w:val="24"/>
                <w:szCs w:val="24"/>
              </w:rPr>
            </w:pPr>
            <w:r w:rsidRPr="00EE00AB">
              <w:rPr>
                <w:sz w:val="24"/>
                <w:szCs w:val="24"/>
              </w:rPr>
              <w:t>G-3498</w:t>
            </w:r>
          </w:p>
        </w:tc>
      </w:tr>
      <w:tr w:rsidR="00250C67" w:rsidRPr="00EE00AB" w14:paraId="625585F2" w14:textId="77777777" w:rsidTr="00F00968">
        <w:tc>
          <w:tcPr>
            <w:tcW w:w="1173" w:type="dxa"/>
            <w:shd w:val="clear" w:color="auto" w:fill="auto"/>
          </w:tcPr>
          <w:p w14:paraId="160234F5" w14:textId="77777777" w:rsidR="00250C67" w:rsidRPr="00EE00AB" w:rsidRDefault="00250C67" w:rsidP="00F00968">
            <w:pPr>
              <w:spacing w:before="20" w:after="20"/>
              <w:rPr>
                <w:sz w:val="24"/>
                <w:szCs w:val="24"/>
              </w:rPr>
            </w:pPr>
            <w:r w:rsidRPr="00EE00AB">
              <w:rPr>
                <w:sz w:val="24"/>
                <w:szCs w:val="24"/>
              </w:rPr>
              <w:t>Add about 4</w:t>
            </w:r>
          </w:p>
        </w:tc>
        <w:tc>
          <w:tcPr>
            <w:tcW w:w="2724" w:type="dxa"/>
            <w:shd w:val="clear" w:color="auto" w:fill="auto"/>
          </w:tcPr>
          <w:p w14:paraId="6DB659DE" w14:textId="77777777" w:rsidR="00250C67" w:rsidRPr="00EE00AB" w:rsidRDefault="00250C67" w:rsidP="00F00968">
            <w:pPr>
              <w:spacing w:before="20" w:after="20"/>
              <w:rPr>
                <w:sz w:val="24"/>
                <w:szCs w:val="24"/>
              </w:rPr>
            </w:pPr>
            <w:r w:rsidRPr="00EE00AB">
              <w:rPr>
                <w:sz w:val="24"/>
                <w:szCs w:val="24"/>
              </w:rPr>
              <w:t>Information-Only Filings</w:t>
            </w:r>
          </w:p>
        </w:tc>
        <w:tc>
          <w:tcPr>
            <w:tcW w:w="1340" w:type="dxa"/>
          </w:tcPr>
          <w:p w14:paraId="07A282B4" w14:textId="77777777" w:rsidR="00250C67" w:rsidRPr="00EE00AB" w:rsidRDefault="00250C67" w:rsidP="00F00968">
            <w:pPr>
              <w:spacing w:before="20" w:after="20"/>
              <w:rPr>
                <w:sz w:val="24"/>
                <w:szCs w:val="24"/>
              </w:rPr>
            </w:pPr>
            <w:r w:rsidRPr="00EE00AB">
              <w:rPr>
                <w:sz w:val="24"/>
                <w:szCs w:val="24"/>
              </w:rPr>
              <w:t>TBD</w:t>
            </w:r>
          </w:p>
        </w:tc>
        <w:tc>
          <w:tcPr>
            <w:tcW w:w="1623" w:type="dxa"/>
            <w:shd w:val="clear" w:color="auto" w:fill="auto"/>
          </w:tcPr>
          <w:p w14:paraId="007CD9D5" w14:textId="77777777" w:rsidR="00250C67" w:rsidRPr="00EE00AB" w:rsidRDefault="00250C67" w:rsidP="00F00968">
            <w:pPr>
              <w:spacing w:before="20" w:after="20"/>
              <w:rPr>
                <w:sz w:val="24"/>
                <w:szCs w:val="24"/>
              </w:rPr>
            </w:pPr>
            <w:r w:rsidRPr="00EE00AB">
              <w:rPr>
                <w:sz w:val="24"/>
                <w:szCs w:val="24"/>
              </w:rPr>
              <w:t>2016–2029</w:t>
            </w:r>
          </w:p>
        </w:tc>
        <w:tc>
          <w:tcPr>
            <w:tcW w:w="3104" w:type="dxa"/>
            <w:shd w:val="clear" w:color="auto" w:fill="auto"/>
          </w:tcPr>
          <w:p w14:paraId="50BD7AD3" w14:textId="77777777" w:rsidR="00250C67" w:rsidRPr="00EE00AB" w:rsidRDefault="00250C67" w:rsidP="00F00968">
            <w:pPr>
              <w:spacing w:before="20" w:after="20"/>
              <w:rPr>
                <w:sz w:val="24"/>
                <w:szCs w:val="24"/>
              </w:rPr>
            </w:pPr>
            <w:r w:rsidRPr="00EE00AB">
              <w:rPr>
                <w:sz w:val="24"/>
                <w:szCs w:val="24"/>
              </w:rPr>
              <w:t>SCE relocation work utility agreements</w:t>
            </w:r>
          </w:p>
        </w:tc>
        <w:tc>
          <w:tcPr>
            <w:tcW w:w="1369" w:type="dxa"/>
            <w:shd w:val="clear" w:color="auto" w:fill="auto"/>
          </w:tcPr>
          <w:p w14:paraId="101DBE35" w14:textId="77777777" w:rsidR="00250C67" w:rsidRPr="00EE00AB" w:rsidRDefault="00250C67" w:rsidP="00F00968">
            <w:pPr>
              <w:rPr>
                <w:sz w:val="24"/>
                <w:szCs w:val="24"/>
              </w:rPr>
            </w:pPr>
            <w:r w:rsidRPr="00EE00AB">
              <w:rPr>
                <w:sz w:val="24"/>
                <w:szCs w:val="24"/>
              </w:rPr>
              <w:t>TBD</w:t>
            </w:r>
          </w:p>
        </w:tc>
        <w:tc>
          <w:tcPr>
            <w:tcW w:w="1843" w:type="dxa"/>
            <w:shd w:val="clear" w:color="auto" w:fill="auto"/>
          </w:tcPr>
          <w:p w14:paraId="6016B61E" w14:textId="77777777" w:rsidR="00250C67" w:rsidRPr="00EE00AB" w:rsidRDefault="00250C67" w:rsidP="00F00968">
            <w:pPr>
              <w:rPr>
                <w:sz w:val="24"/>
                <w:szCs w:val="24"/>
              </w:rPr>
            </w:pPr>
            <w:r w:rsidRPr="00EE00AB">
              <w:rPr>
                <w:sz w:val="24"/>
                <w:szCs w:val="24"/>
              </w:rPr>
              <w:t>None</w:t>
            </w:r>
          </w:p>
        </w:tc>
      </w:tr>
      <w:tr w:rsidR="00250C67" w:rsidRPr="00EE00AB" w14:paraId="4C9F8C23" w14:textId="77777777" w:rsidTr="00F00968">
        <w:tc>
          <w:tcPr>
            <w:tcW w:w="1173" w:type="dxa"/>
            <w:shd w:val="clear" w:color="auto" w:fill="auto"/>
          </w:tcPr>
          <w:p w14:paraId="06008815" w14:textId="77777777" w:rsidR="00250C67" w:rsidRPr="00EE00AB" w:rsidRDefault="00250C67" w:rsidP="00F00968">
            <w:pPr>
              <w:spacing w:before="20" w:after="20"/>
              <w:rPr>
                <w:sz w:val="24"/>
                <w:szCs w:val="24"/>
              </w:rPr>
            </w:pPr>
            <w:r w:rsidRPr="00EE00AB">
              <w:rPr>
                <w:sz w:val="24"/>
                <w:szCs w:val="24"/>
              </w:rPr>
              <w:t>Add about 13</w:t>
            </w:r>
          </w:p>
        </w:tc>
        <w:tc>
          <w:tcPr>
            <w:tcW w:w="2724" w:type="dxa"/>
            <w:shd w:val="clear" w:color="auto" w:fill="auto"/>
          </w:tcPr>
          <w:p w14:paraId="5D714812" w14:textId="77777777" w:rsidR="00250C67" w:rsidRPr="00EE00AB" w:rsidRDefault="00250C67" w:rsidP="00F00968">
            <w:pPr>
              <w:spacing w:before="20" w:after="20"/>
              <w:rPr>
                <w:sz w:val="24"/>
                <w:szCs w:val="24"/>
              </w:rPr>
            </w:pPr>
            <w:r w:rsidRPr="00EE00AB">
              <w:rPr>
                <w:sz w:val="24"/>
                <w:szCs w:val="24"/>
              </w:rPr>
              <w:t>Tier 2</w:t>
            </w:r>
          </w:p>
        </w:tc>
        <w:tc>
          <w:tcPr>
            <w:tcW w:w="1340" w:type="dxa"/>
          </w:tcPr>
          <w:p w14:paraId="5DE6CE74" w14:textId="77777777" w:rsidR="00250C67" w:rsidRPr="00EE00AB" w:rsidRDefault="00250C67" w:rsidP="00F00968">
            <w:pPr>
              <w:spacing w:before="20" w:after="20"/>
              <w:rPr>
                <w:sz w:val="24"/>
                <w:szCs w:val="24"/>
              </w:rPr>
            </w:pPr>
            <w:r w:rsidRPr="00EE00AB">
              <w:rPr>
                <w:sz w:val="24"/>
                <w:szCs w:val="24"/>
              </w:rPr>
              <w:t>TBD</w:t>
            </w:r>
          </w:p>
        </w:tc>
        <w:tc>
          <w:tcPr>
            <w:tcW w:w="1623" w:type="dxa"/>
            <w:shd w:val="clear" w:color="auto" w:fill="auto"/>
          </w:tcPr>
          <w:p w14:paraId="7A8B11E7" w14:textId="77777777" w:rsidR="00250C67" w:rsidRPr="00EE00AB" w:rsidRDefault="00250C67" w:rsidP="00F00968">
            <w:pPr>
              <w:spacing w:before="20" w:after="20"/>
              <w:rPr>
                <w:sz w:val="24"/>
                <w:szCs w:val="24"/>
              </w:rPr>
            </w:pPr>
            <w:r w:rsidRPr="00EE00AB">
              <w:rPr>
                <w:sz w:val="24"/>
                <w:szCs w:val="24"/>
              </w:rPr>
              <w:t>2017–2029</w:t>
            </w:r>
          </w:p>
        </w:tc>
        <w:tc>
          <w:tcPr>
            <w:tcW w:w="3104" w:type="dxa"/>
            <w:shd w:val="clear" w:color="auto" w:fill="auto"/>
          </w:tcPr>
          <w:p w14:paraId="443ABBFC" w14:textId="77777777" w:rsidR="00250C67" w:rsidRPr="00EE00AB" w:rsidRDefault="00250C67" w:rsidP="00F00968">
            <w:pPr>
              <w:spacing w:before="20" w:after="20"/>
              <w:rPr>
                <w:sz w:val="24"/>
                <w:szCs w:val="24"/>
              </w:rPr>
            </w:pPr>
            <w:r w:rsidRPr="00EE00AB">
              <w:rPr>
                <w:sz w:val="24"/>
                <w:szCs w:val="24"/>
              </w:rPr>
              <w:t>Annual compliance filing throughout construction</w:t>
            </w:r>
          </w:p>
        </w:tc>
        <w:tc>
          <w:tcPr>
            <w:tcW w:w="1369" w:type="dxa"/>
            <w:shd w:val="clear" w:color="auto" w:fill="auto"/>
          </w:tcPr>
          <w:p w14:paraId="1C4A9023" w14:textId="77777777" w:rsidR="00250C67" w:rsidRPr="00EE00AB" w:rsidRDefault="00250C67" w:rsidP="00F00968">
            <w:pPr>
              <w:rPr>
                <w:sz w:val="24"/>
                <w:szCs w:val="24"/>
              </w:rPr>
            </w:pPr>
            <w:r w:rsidRPr="00EE00AB">
              <w:rPr>
                <w:sz w:val="24"/>
                <w:szCs w:val="24"/>
              </w:rPr>
              <w:t>TBD</w:t>
            </w:r>
          </w:p>
        </w:tc>
        <w:tc>
          <w:tcPr>
            <w:tcW w:w="1843" w:type="dxa"/>
            <w:shd w:val="clear" w:color="auto" w:fill="auto"/>
          </w:tcPr>
          <w:p w14:paraId="73883D2B" w14:textId="77777777" w:rsidR="00250C67" w:rsidRPr="00EE00AB" w:rsidRDefault="00250C67" w:rsidP="00F00968">
            <w:pPr>
              <w:rPr>
                <w:sz w:val="24"/>
                <w:szCs w:val="24"/>
              </w:rPr>
            </w:pPr>
            <w:r w:rsidRPr="00EE00AB">
              <w:rPr>
                <w:sz w:val="24"/>
                <w:szCs w:val="24"/>
              </w:rPr>
              <w:t>TBD</w:t>
            </w:r>
          </w:p>
        </w:tc>
      </w:tr>
      <w:tr w:rsidR="00250C67" w:rsidRPr="00EE00AB" w14:paraId="08F9B0D9" w14:textId="77777777" w:rsidTr="00F00968">
        <w:tc>
          <w:tcPr>
            <w:tcW w:w="13176" w:type="dxa"/>
            <w:gridSpan w:val="7"/>
          </w:tcPr>
          <w:p w14:paraId="1FCFFBC0" w14:textId="77777777" w:rsidR="00250C67" w:rsidRPr="00EE00AB" w:rsidRDefault="00250C67" w:rsidP="00F00968">
            <w:pPr>
              <w:spacing w:before="60" w:after="60"/>
              <w:rPr>
                <w:b/>
                <w:sz w:val="24"/>
                <w:szCs w:val="24"/>
              </w:rPr>
            </w:pPr>
            <w:r w:rsidRPr="00EE00AB">
              <w:rPr>
                <w:b/>
                <w:sz w:val="24"/>
                <w:szCs w:val="24"/>
              </w:rPr>
              <w:t xml:space="preserve">Total = </w:t>
            </w:r>
            <w:r w:rsidRPr="00EE00AB">
              <w:rPr>
                <w:sz w:val="24"/>
                <w:szCs w:val="24"/>
              </w:rPr>
              <w:t>about</w:t>
            </w:r>
            <w:r w:rsidRPr="00EE00AB">
              <w:rPr>
                <w:b/>
                <w:sz w:val="24"/>
                <w:szCs w:val="24"/>
              </w:rPr>
              <w:t xml:space="preserve"> 18 </w:t>
            </w:r>
            <w:r w:rsidRPr="00EE00AB">
              <w:rPr>
                <w:sz w:val="24"/>
                <w:szCs w:val="24"/>
              </w:rPr>
              <w:t>SCE filings for CHSRA Project relocation work</w:t>
            </w:r>
            <w:r>
              <w:rPr>
                <w:sz w:val="24"/>
                <w:szCs w:val="24"/>
              </w:rPr>
              <w:t xml:space="preserve"> through 2029</w:t>
            </w:r>
          </w:p>
        </w:tc>
      </w:tr>
    </w:tbl>
    <w:p w14:paraId="6E021BDE" w14:textId="3B177E2D" w:rsidR="00250C67" w:rsidRDefault="00250C67" w:rsidP="00250C67">
      <w:pPr>
        <w:spacing w:before="60" w:after="60"/>
        <w:rPr>
          <w:rFonts w:eastAsiaTheme="minorHAnsi" w:cstheme="minorBidi"/>
          <w:sz w:val="22"/>
          <w:szCs w:val="22"/>
        </w:rPr>
      </w:pPr>
      <w:r w:rsidRPr="00EE00AB">
        <w:rPr>
          <w:rFonts w:eastAsiaTheme="minorHAnsi" w:cstheme="minorBidi"/>
          <w:sz w:val="22"/>
          <w:szCs w:val="22"/>
        </w:rPr>
        <w:t>Key: AL = Advice Letter,</w:t>
      </w:r>
      <w:r w:rsidR="000F7340">
        <w:rPr>
          <w:rFonts w:eastAsiaTheme="minorHAnsi" w:cstheme="minorBidi"/>
          <w:sz w:val="22"/>
          <w:szCs w:val="22"/>
        </w:rPr>
        <w:t xml:space="preserve"> CHSRA = California High-</w:t>
      </w:r>
      <w:r w:rsidRPr="00EE00AB">
        <w:rPr>
          <w:rFonts w:eastAsiaTheme="minorHAnsi" w:cstheme="minorBidi"/>
          <w:sz w:val="22"/>
          <w:szCs w:val="22"/>
        </w:rPr>
        <w:t>Speed Rail Authority, TBD = to be determined</w:t>
      </w:r>
    </w:p>
    <w:p w14:paraId="61F405D6" w14:textId="77777777" w:rsidR="00250C67" w:rsidRDefault="00250C67" w:rsidP="00250C67">
      <w:pPr>
        <w:spacing w:before="60" w:after="60"/>
        <w:rPr>
          <w:rFonts w:eastAsiaTheme="minorHAnsi" w:cstheme="minorBidi"/>
          <w:sz w:val="22"/>
          <w:szCs w:val="22"/>
        </w:rPr>
      </w:pPr>
    </w:p>
    <w:p w14:paraId="6990DC0D" w14:textId="27F1D473" w:rsidR="00250C67" w:rsidRPr="00C733E3" w:rsidRDefault="00250C67" w:rsidP="00250C67">
      <w:pPr>
        <w:rPr>
          <w:b/>
        </w:rPr>
      </w:pPr>
      <w:proofErr w:type="gramStart"/>
      <w:r w:rsidRPr="00C733E3">
        <w:rPr>
          <w:rFonts w:cstheme="minorBidi"/>
          <w:b/>
          <w:szCs w:val="22"/>
        </w:rPr>
        <w:t>Table</w:t>
      </w:r>
      <w:r>
        <w:rPr>
          <w:b/>
        </w:rPr>
        <w:t xml:space="preserve"> A-3.</w:t>
      </w:r>
      <w:proofErr w:type="gramEnd"/>
      <w:r w:rsidRPr="00C733E3">
        <w:rPr>
          <w:rFonts w:cstheme="minorBidi"/>
          <w:b/>
          <w:szCs w:val="22"/>
        </w:rPr>
        <w:t xml:space="preserve"> </w:t>
      </w:r>
      <w:r>
        <w:rPr>
          <w:rFonts w:cstheme="minorBidi"/>
          <w:b/>
          <w:szCs w:val="22"/>
        </w:rPr>
        <w:t xml:space="preserve">SoCalGas </w:t>
      </w:r>
      <w:r>
        <w:rPr>
          <w:b/>
        </w:rPr>
        <w:t xml:space="preserve">Current and Expected </w:t>
      </w:r>
      <w:r w:rsidRPr="00C733E3">
        <w:rPr>
          <w:rFonts w:cstheme="minorBidi"/>
          <w:b/>
          <w:szCs w:val="22"/>
        </w:rPr>
        <w:t xml:space="preserve">Filings </w:t>
      </w:r>
      <w:r>
        <w:rPr>
          <w:b/>
        </w:rPr>
        <w:t>for CHSRA Project Relocation Work</w:t>
      </w:r>
    </w:p>
    <w:tbl>
      <w:tblPr>
        <w:tblStyle w:val="TableGrid"/>
        <w:tblW w:w="13176" w:type="dxa"/>
        <w:tblLook w:val="04A0" w:firstRow="1" w:lastRow="0" w:firstColumn="1" w:lastColumn="0" w:noHBand="0" w:noVBand="1"/>
      </w:tblPr>
      <w:tblGrid>
        <w:gridCol w:w="1155"/>
        <w:gridCol w:w="2675"/>
        <w:gridCol w:w="1536"/>
        <w:gridCol w:w="1602"/>
        <w:gridCol w:w="3024"/>
        <w:gridCol w:w="1363"/>
        <w:gridCol w:w="1821"/>
      </w:tblGrid>
      <w:tr w:rsidR="00250C67" w:rsidRPr="00EE00AB" w14:paraId="4CCB5C20" w14:textId="77777777" w:rsidTr="00F00968">
        <w:tc>
          <w:tcPr>
            <w:tcW w:w="1173" w:type="dxa"/>
            <w:shd w:val="clear" w:color="auto" w:fill="auto"/>
          </w:tcPr>
          <w:p w14:paraId="7556BB7B" w14:textId="77777777" w:rsidR="00250C67" w:rsidRPr="00EE00AB" w:rsidRDefault="00250C67" w:rsidP="00F00968">
            <w:pPr>
              <w:spacing w:before="20" w:after="20"/>
              <w:rPr>
                <w:b/>
                <w:sz w:val="24"/>
                <w:szCs w:val="24"/>
              </w:rPr>
            </w:pPr>
            <w:r w:rsidRPr="00EE00AB">
              <w:rPr>
                <w:b/>
                <w:sz w:val="24"/>
                <w:szCs w:val="24"/>
              </w:rPr>
              <w:t>Item No.</w:t>
            </w:r>
          </w:p>
        </w:tc>
        <w:tc>
          <w:tcPr>
            <w:tcW w:w="2724" w:type="dxa"/>
            <w:shd w:val="clear" w:color="auto" w:fill="auto"/>
          </w:tcPr>
          <w:p w14:paraId="1B6358F1" w14:textId="77777777" w:rsidR="00250C67" w:rsidRPr="00EE00AB" w:rsidRDefault="00250C67" w:rsidP="00F00968">
            <w:pPr>
              <w:spacing w:before="20" w:after="20"/>
              <w:ind w:left="296" w:hanging="296"/>
              <w:rPr>
                <w:b/>
                <w:sz w:val="24"/>
                <w:szCs w:val="24"/>
              </w:rPr>
            </w:pPr>
            <w:r w:rsidRPr="00EE00AB">
              <w:rPr>
                <w:b/>
                <w:sz w:val="24"/>
                <w:szCs w:val="24"/>
              </w:rPr>
              <w:t>Filing Number/Type</w:t>
            </w:r>
          </w:p>
        </w:tc>
        <w:tc>
          <w:tcPr>
            <w:tcW w:w="1340" w:type="dxa"/>
          </w:tcPr>
          <w:p w14:paraId="4D57E7BF" w14:textId="77777777" w:rsidR="00250C67" w:rsidRPr="00EE00AB" w:rsidRDefault="00250C67" w:rsidP="00F00968">
            <w:pPr>
              <w:spacing w:before="20" w:after="20"/>
              <w:rPr>
                <w:b/>
                <w:sz w:val="24"/>
                <w:szCs w:val="24"/>
              </w:rPr>
            </w:pPr>
            <w:r w:rsidRPr="00EE00AB">
              <w:rPr>
                <w:b/>
                <w:sz w:val="24"/>
                <w:szCs w:val="24"/>
              </w:rPr>
              <w:t>Agreements Signed</w:t>
            </w:r>
          </w:p>
        </w:tc>
        <w:tc>
          <w:tcPr>
            <w:tcW w:w="1623" w:type="dxa"/>
            <w:shd w:val="clear" w:color="auto" w:fill="auto"/>
          </w:tcPr>
          <w:p w14:paraId="40626E31" w14:textId="77777777" w:rsidR="00250C67" w:rsidRPr="00EE00AB" w:rsidRDefault="00250C67" w:rsidP="00F00968">
            <w:pPr>
              <w:spacing w:before="20" w:after="20"/>
              <w:rPr>
                <w:b/>
                <w:sz w:val="24"/>
                <w:szCs w:val="24"/>
              </w:rPr>
            </w:pPr>
            <w:r w:rsidRPr="00EE00AB">
              <w:rPr>
                <w:b/>
                <w:sz w:val="24"/>
                <w:szCs w:val="24"/>
              </w:rPr>
              <w:t xml:space="preserve">Filing Date / Expected </w:t>
            </w:r>
          </w:p>
        </w:tc>
        <w:tc>
          <w:tcPr>
            <w:tcW w:w="3104" w:type="dxa"/>
            <w:shd w:val="clear" w:color="auto" w:fill="auto"/>
          </w:tcPr>
          <w:p w14:paraId="1B2A258B" w14:textId="77777777" w:rsidR="00250C67" w:rsidRPr="00EE00AB" w:rsidRDefault="00250C67" w:rsidP="00F00968">
            <w:pPr>
              <w:spacing w:before="20" w:after="20"/>
              <w:rPr>
                <w:b/>
                <w:sz w:val="24"/>
                <w:szCs w:val="24"/>
              </w:rPr>
            </w:pPr>
            <w:r w:rsidRPr="00EE00AB">
              <w:rPr>
                <w:b/>
                <w:sz w:val="24"/>
                <w:szCs w:val="24"/>
              </w:rPr>
              <w:t>Description</w:t>
            </w:r>
          </w:p>
        </w:tc>
        <w:tc>
          <w:tcPr>
            <w:tcW w:w="1369" w:type="dxa"/>
            <w:shd w:val="clear" w:color="auto" w:fill="auto"/>
          </w:tcPr>
          <w:p w14:paraId="3AEF13DF" w14:textId="77777777" w:rsidR="00250C67" w:rsidRPr="00EE00AB" w:rsidRDefault="00250C67" w:rsidP="00F00968">
            <w:pPr>
              <w:rPr>
                <w:b/>
                <w:sz w:val="24"/>
                <w:szCs w:val="24"/>
              </w:rPr>
            </w:pPr>
            <w:r w:rsidRPr="00EE00AB">
              <w:rPr>
                <w:b/>
                <w:sz w:val="24"/>
                <w:szCs w:val="24"/>
              </w:rPr>
              <w:t>CHSRA Funding in Filing</w:t>
            </w:r>
          </w:p>
        </w:tc>
        <w:tc>
          <w:tcPr>
            <w:tcW w:w="1843" w:type="dxa"/>
            <w:shd w:val="clear" w:color="auto" w:fill="auto"/>
          </w:tcPr>
          <w:p w14:paraId="00DA2BB4" w14:textId="77777777" w:rsidR="00250C67" w:rsidRPr="00EE00AB" w:rsidRDefault="00250C67" w:rsidP="00F00968">
            <w:pPr>
              <w:rPr>
                <w:b/>
                <w:sz w:val="24"/>
                <w:szCs w:val="24"/>
              </w:rPr>
            </w:pPr>
            <w:r w:rsidRPr="00EE00AB">
              <w:rPr>
                <w:b/>
                <w:sz w:val="24"/>
                <w:szCs w:val="24"/>
              </w:rPr>
              <w:t>Resolution No.</w:t>
            </w:r>
          </w:p>
        </w:tc>
      </w:tr>
      <w:tr w:rsidR="00250C67" w:rsidRPr="00EE00AB" w14:paraId="3A3C6CCE" w14:textId="77777777" w:rsidTr="00F00968">
        <w:tc>
          <w:tcPr>
            <w:tcW w:w="1173" w:type="dxa"/>
            <w:shd w:val="clear" w:color="auto" w:fill="auto"/>
          </w:tcPr>
          <w:p w14:paraId="309A1942" w14:textId="77777777" w:rsidR="00250C67" w:rsidRPr="00EE00AB" w:rsidRDefault="00250C67" w:rsidP="00F00968">
            <w:pPr>
              <w:spacing w:before="20" w:after="20"/>
              <w:rPr>
                <w:sz w:val="24"/>
                <w:szCs w:val="24"/>
              </w:rPr>
            </w:pPr>
            <w:r w:rsidRPr="00EE00AB">
              <w:rPr>
                <w:sz w:val="24"/>
                <w:szCs w:val="24"/>
              </w:rPr>
              <w:t>1</w:t>
            </w:r>
          </w:p>
        </w:tc>
        <w:tc>
          <w:tcPr>
            <w:tcW w:w="2724" w:type="dxa"/>
            <w:shd w:val="clear" w:color="auto" w:fill="auto"/>
          </w:tcPr>
          <w:p w14:paraId="22C7D1EB" w14:textId="77777777" w:rsidR="00250C67" w:rsidRPr="00EE00AB" w:rsidRDefault="00250C67" w:rsidP="00F00968">
            <w:pPr>
              <w:spacing w:before="20" w:after="20"/>
              <w:rPr>
                <w:sz w:val="24"/>
                <w:szCs w:val="24"/>
              </w:rPr>
            </w:pPr>
            <w:r w:rsidRPr="00EE00AB">
              <w:rPr>
                <w:sz w:val="24"/>
                <w:szCs w:val="24"/>
              </w:rPr>
              <w:t xml:space="preserve">AL </w:t>
            </w:r>
            <w:r>
              <w:rPr>
                <w:sz w:val="24"/>
                <w:szCs w:val="24"/>
              </w:rPr>
              <w:t>4946</w:t>
            </w:r>
            <w:r w:rsidRPr="00EE00AB">
              <w:rPr>
                <w:sz w:val="24"/>
                <w:szCs w:val="24"/>
              </w:rPr>
              <w:t xml:space="preserve"> (Tier 3)</w:t>
            </w:r>
          </w:p>
        </w:tc>
        <w:tc>
          <w:tcPr>
            <w:tcW w:w="1340" w:type="dxa"/>
          </w:tcPr>
          <w:p w14:paraId="66CCEF26" w14:textId="77777777" w:rsidR="00250C67" w:rsidRPr="00EE00AB" w:rsidRDefault="00250C67" w:rsidP="00F00968">
            <w:pPr>
              <w:spacing w:before="20" w:after="20"/>
              <w:rPr>
                <w:sz w:val="24"/>
                <w:szCs w:val="24"/>
              </w:rPr>
            </w:pPr>
            <w:r>
              <w:rPr>
                <w:sz w:val="24"/>
                <w:szCs w:val="24"/>
              </w:rPr>
              <w:t>12/</w:t>
            </w:r>
            <w:r w:rsidRPr="00EE00AB">
              <w:rPr>
                <w:sz w:val="24"/>
                <w:szCs w:val="24"/>
              </w:rPr>
              <w:t>201</w:t>
            </w:r>
            <w:r>
              <w:rPr>
                <w:sz w:val="24"/>
                <w:szCs w:val="24"/>
              </w:rPr>
              <w:t>4</w:t>
            </w:r>
          </w:p>
        </w:tc>
        <w:tc>
          <w:tcPr>
            <w:tcW w:w="1623" w:type="dxa"/>
            <w:shd w:val="clear" w:color="auto" w:fill="auto"/>
          </w:tcPr>
          <w:p w14:paraId="5EFF6948" w14:textId="77777777" w:rsidR="00250C67" w:rsidRPr="00EE00AB" w:rsidRDefault="00250C67" w:rsidP="00F00968">
            <w:pPr>
              <w:spacing w:before="20" w:after="20"/>
              <w:rPr>
                <w:sz w:val="24"/>
                <w:szCs w:val="24"/>
              </w:rPr>
            </w:pPr>
            <w:r>
              <w:rPr>
                <w:sz w:val="24"/>
                <w:szCs w:val="24"/>
              </w:rPr>
              <w:t>4/</w:t>
            </w:r>
            <w:r w:rsidRPr="00EE00AB">
              <w:rPr>
                <w:sz w:val="24"/>
                <w:szCs w:val="24"/>
              </w:rPr>
              <w:t>5/1</w:t>
            </w:r>
            <w:r>
              <w:rPr>
                <w:sz w:val="24"/>
                <w:szCs w:val="24"/>
              </w:rPr>
              <w:t>6</w:t>
            </w:r>
          </w:p>
        </w:tc>
        <w:tc>
          <w:tcPr>
            <w:tcW w:w="3104" w:type="dxa"/>
            <w:shd w:val="clear" w:color="auto" w:fill="auto"/>
          </w:tcPr>
          <w:p w14:paraId="0776DF41" w14:textId="77777777" w:rsidR="00250C67" w:rsidRPr="00EE00AB" w:rsidRDefault="00250C67" w:rsidP="00F00968">
            <w:pPr>
              <w:spacing w:before="20" w:after="20"/>
              <w:rPr>
                <w:sz w:val="24"/>
                <w:szCs w:val="24"/>
              </w:rPr>
            </w:pPr>
            <w:r>
              <w:rPr>
                <w:sz w:val="24"/>
                <w:szCs w:val="24"/>
              </w:rPr>
              <w:t>SoCalGas</w:t>
            </w:r>
            <w:r w:rsidRPr="00EE00AB">
              <w:rPr>
                <w:sz w:val="24"/>
                <w:szCs w:val="24"/>
              </w:rPr>
              <w:t xml:space="preserve"> relocation </w:t>
            </w:r>
            <w:r>
              <w:rPr>
                <w:sz w:val="24"/>
                <w:szCs w:val="24"/>
              </w:rPr>
              <w:t>work Master Agreement No. HSR 14</w:t>
            </w:r>
            <w:r w:rsidRPr="00EE00AB">
              <w:rPr>
                <w:sz w:val="24"/>
                <w:szCs w:val="24"/>
              </w:rPr>
              <w:t>-</w:t>
            </w:r>
            <w:r>
              <w:rPr>
                <w:sz w:val="24"/>
                <w:szCs w:val="24"/>
              </w:rPr>
              <w:t>27</w:t>
            </w:r>
          </w:p>
        </w:tc>
        <w:tc>
          <w:tcPr>
            <w:tcW w:w="1369" w:type="dxa"/>
            <w:shd w:val="clear" w:color="auto" w:fill="auto"/>
          </w:tcPr>
          <w:p w14:paraId="765F69E5" w14:textId="77777777" w:rsidR="00250C67" w:rsidRPr="00EE00AB" w:rsidRDefault="00250C67" w:rsidP="00F00968">
            <w:pPr>
              <w:rPr>
                <w:sz w:val="24"/>
                <w:szCs w:val="24"/>
              </w:rPr>
            </w:pPr>
            <w:r w:rsidRPr="00EE00AB">
              <w:rPr>
                <w:sz w:val="24"/>
                <w:szCs w:val="24"/>
              </w:rPr>
              <w:t>None identified</w:t>
            </w:r>
          </w:p>
        </w:tc>
        <w:tc>
          <w:tcPr>
            <w:tcW w:w="1843" w:type="dxa"/>
            <w:shd w:val="clear" w:color="auto" w:fill="auto"/>
          </w:tcPr>
          <w:p w14:paraId="456E799E" w14:textId="77777777" w:rsidR="00250C67" w:rsidRPr="00EE00AB" w:rsidRDefault="00250C67" w:rsidP="00F00968">
            <w:pPr>
              <w:rPr>
                <w:sz w:val="24"/>
                <w:szCs w:val="24"/>
              </w:rPr>
            </w:pPr>
            <w:r w:rsidRPr="00EE00AB">
              <w:rPr>
                <w:sz w:val="24"/>
                <w:szCs w:val="24"/>
              </w:rPr>
              <w:t>G-3498</w:t>
            </w:r>
          </w:p>
        </w:tc>
      </w:tr>
      <w:tr w:rsidR="00250C67" w:rsidRPr="00EE00AB" w14:paraId="105C7470" w14:textId="77777777" w:rsidTr="00F00968">
        <w:tc>
          <w:tcPr>
            <w:tcW w:w="1173" w:type="dxa"/>
            <w:shd w:val="clear" w:color="auto" w:fill="auto"/>
          </w:tcPr>
          <w:p w14:paraId="3B26DC79" w14:textId="77777777" w:rsidR="00250C67" w:rsidRPr="00EE00AB" w:rsidRDefault="00250C67" w:rsidP="00F00968">
            <w:pPr>
              <w:spacing w:before="20" w:after="20"/>
              <w:rPr>
                <w:sz w:val="24"/>
                <w:szCs w:val="24"/>
              </w:rPr>
            </w:pPr>
            <w:r w:rsidRPr="00EE00AB">
              <w:rPr>
                <w:sz w:val="24"/>
                <w:szCs w:val="24"/>
              </w:rPr>
              <w:t>Add about</w:t>
            </w:r>
            <w:r>
              <w:rPr>
                <w:sz w:val="24"/>
                <w:szCs w:val="24"/>
              </w:rPr>
              <w:t xml:space="preserve"> 10</w:t>
            </w:r>
          </w:p>
        </w:tc>
        <w:tc>
          <w:tcPr>
            <w:tcW w:w="2724" w:type="dxa"/>
            <w:shd w:val="clear" w:color="auto" w:fill="auto"/>
          </w:tcPr>
          <w:p w14:paraId="5CE4EC4A" w14:textId="77777777" w:rsidR="00250C67" w:rsidRPr="00EE00AB" w:rsidRDefault="00250C67" w:rsidP="00F00968">
            <w:pPr>
              <w:spacing w:before="20" w:after="20"/>
              <w:rPr>
                <w:sz w:val="24"/>
                <w:szCs w:val="24"/>
              </w:rPr>
            </w:pPr>
            <w:r w:rsidRPr="00EE00AB">
              <w:rPr>
                <w:sz w:val="24"/>
                <w:szCs w:val="24"/>
              </w:rPr>
              <w:t>Information-Only Filings</w:t>
            </w:r>
          </w:p>
        </w:tc>
        <w:tc>
          <w:tcPr>
            <w:tcW w:w="1340" w:type="dxa"/>
          </w:tcPr>
          <w:p w14:paraId="5549C705" w14:textId="77777777" w:rsidR="00250C67" w:rsidRPr="00EE00AB" w:rsidRDefault="00250C67" w:rsidP="00F00968">
            <w:pPr>
              <w:spacing w:before="20" w:after="20"/>
              <w:rPr>
                <w:sz w:val="24"/>
                <w:szCs w:val="24"/>
              </w:rPr>
            </w:pPr>
            <w:r w:rsidRPr="00EE00AB">
              <w:rPr>
                <w:sz w:val="24"/>
                <w:szCs w:val="24"/>
              </w:rPr>
              <w:t>TBD</w:t>
            </w:r>
          </w:p>
        </w:tc>
        <w:tc>
          <w:tcPr>
            <w:tcW w:w="1623" w:type="dxa"/>
            <w:shd w:val="clear" w:color="auto" w:fill="auto"/>
          </w:tcPr>
          <w:p w14:paraId="0A64F97D" w14:textId="77777777" w:rsidR="00250C67" w:rsidRPr="00EE00AB" w:rsidRDefault="00250C67" w:rsidP="00F00968">
            <w:pPr>
              <w:spacing w:before="20" w:after="20"/>
              <w:rPr>
                <w:sz w:val="24"/>
                <w:szCs w:val="24"/>
              </w:rPr>
            </w:pPr>
            <w:r w:rsidRPr="00EE00AB">
              <w:rPr>
                <w:sz w:val="24"/>
                <w:szCs w:val="24"/>
              </w:rPr>
              <w:t>2016–2029</w:t>
            </w:r>
          </w:p>
        </w:tc>
        <w:tc>
          <w:tcPr>
            <w:tcW w:w="3104" w:type="dxa"/>
            <w:shd w:val="clear" w:color="auto" w:fill="auto"/>
          </w:tcPr>
          <w:p w14:paraId="5EC3EEC0" w14:textId="77777777" w:rsidR="00250C67" w:rsidRPr="00EE00AB" w:rsidRDefault="00250C67" w:rsidP="00F00968">
            <w:pPr>
              <w:spacing w:before="20" w:after="20"/>
              <w:rPr>
                <w:sz w:val="24"/>
                <w:szCs w:val="24"/>
              </w:rPr>
            </w:pPr>
            <w:r>
              <w:rPr>
                <w:sz w:val="24"/>
                <w:szCs w:val="24"/>
              </w:rPr>
              <w:t>SoCalGas</w:t>
            </w:r>
            <w:r w:rsidRPr="00EE00AB">
              <w:rPr>
                <w:sz w:val="24"/>
                <w:szCs w:val="24"/>
              </w:rPr>
              <w:t xml:space="preserve"> relocation work utility agreements</w:t>
            </w:r>
          </w:p>
        </w:tc>
        <w:tc>
          <w:tcPr>
            <w:tcW w:w="1369" w:type="dxa"/>
            <w:shd w:val="clear" w:color="auto" w:fill="auto"/>
          </w:tcPr>
          <w:p w14:paraId="1DAB1A63" w14:textId="77777777" w:rsidR="00250C67" w:rsidRPr="00EE00AB" w:rsidRDefault="00250C67" w:rsidP="00F00968">
            <w:pPr>
              <w:rPr>
                <w:sz w:val="24"/>
                <w:szCs w:val="24"/>
              </w:rPr>
            </w:pPr>
            <w:r w:rsidRPr="00EE00AB">
              <w:rPr>
                <w:sz w:val="24"/>
                <w:szCs w:val="24"/>
              </w:rPr>
              <w:t>TBD</w:t>
            </w:r>
          </w:p>
        </w:tc>
        <w:tc>
          <w:tcPr>
            <w:tcW w:w="1843" w:type="dxa"/>
            <w:shd w:val="clear" w:color="auto" w:fill="auto"/>
          </w:tcPr>
          <w:p w14:paraId="48200B40" w14:textId="77777777" w:rsidR="00250C67" w:rsidRPr="00EE00AB" w:rsidRDefault="00250C67" w:rsidP="00F00968">
            <w:pPr>
              <w:rPr>
                <w:sz w:val="24"/>
                <w:szCs w:val="24"/>
              </w:rPr>
            </w:pPr>
            <w:r w:rsidRPr="00EE00AB">
              <w:rPr>
                <w:sz w:val="24"/>
                <w:szCs w:val="24"/>
              </w:rPr>
              <w:t>None</w:t>
            </w:r>
          </w:p>
        </w:tc>
      </w:tr>
      <w:tr w:rsidR="00250C67" w:rsidRPr="00EE00AB" w14:paraId="7CCBBB29" w14:textId="77777777" w:rsidTr="00F00968">
        <w:tc>
          <w:tcPr>
            <w:tcW w:w="1173" w:type="dxa"/>
            <w:shd w:val="clear" w:color="auto" w:fill="auto"/>
          </w:tcPr>
          <w:p w14:paraId="45EBAC87" w14:textId="77777777" w:rsidR="00250C67" w:rsidRPr="00EE00AB" w:rsidRDefault="00250C67" w:rsidP="00F00968">
            <w:pPr>
              <w:spacing w:before="20" w:after="20"/>
              <w:rPr>
                <w:sz w:val="24"/>
                <w:szCs w:val="24"/>
              </w:rPr>
            </w:pPr>
            <w:r w:rsidRPr="00EE00AB">
              <w:rPr>
                <w:sz w:val="24"/>
                <w:szCs w:val="24"/>
              </w:rPr>
              <w:t>Add about 13</w:t>
            </w:r>
          </w:p>
        </w:tc>
        <w:tc>
          <w:tcPr>
            <w:tcW w:w="2724" w:type="dxa"/>
            <w:shd w:val="clear" w:color="auto" w:fill="auto"/>
          </w:tcPr>
          <w:p w14:paraId="7D468796" w14:textId="77777777" w:rsidR="00250C67" w:rsidRPr="00EE00AB" w:rsidRDefault="00250C67" w:rsidP="00F00968">
            <w:pPr>
              <w:spacing w:before="20" w:after="20"/>
              <w:rPr>
                <w:sz w:val="24"/>
                <w:szCs w:val="24"/>
              </w:rPr>
            </w:pPr>
            <w:r w:rsidRPr="00EE00AB">
              <w:rPr>
                <w:sz w:val="24"/>
                <w:szCs w:val="24"/>
              </w:rPr>
              <w:t>Tier 2</w:t>
            </w:r>
          </w:p>
        </w:tc>
        <w:tc>
          <w:tcPr>
            <w:tcW w:w="1340" w:type="dxa"/>
          </w:tcPr>
          <w:p w14:paraId="15CC8FD0" w14:textId="77777777" w:rsidR="00250C67" w:rsidRPr="00EE00AB" w:rsidRDefault="00250C67" w:rsidP="00F00968">
            <w:pPr>
              <w:spacing w:before="20" w:after="20"/>
              <w:rPr>
                <w:sz w:val="24"/>
                <w:szCs w:val="24"/>
              </w:rPr>
            </w:pPr>
            <w:r w:rsidRPr="00EE00AB">
              <w:rPr>
                <w:sz w:val="24"/>
                <w:szCs w:val="24"/>
              </w:rPr>
              <w:t>TBD</w:t>
            </w:r>
          </w:p>
        </w:tc>
        <w:tc>
          <w:tcPr>
            <w:tcW w:w="1623" w:type="dxa"/>
            <w:shd w:val="clear" w:color="auto" w:fill="auto"/>
          </w:tcPr>
          <w:p w14:paraId="63B5DDE0" w14:textId="77777777" w:rsidR="00250C67" w:rsidRPr="00EE00AB" w:rsidRDefault="00250C67" w:rsidP="00F00968">
            <w:pPr>
              <w:spacing w:before="20" w:after="20"/>
              <w:rPr>
                <w:sz w:val="24"/>
                <w:szCs w:val="24"/>
              </w:rPr>
            </w:pPr>
            <w:r w:rsidRPr="00EE00AB">
              <w:rPr>
                <w:sz w:val="24"/>
                <w:szCs w:val="24"/>
              </w:rPr>
              <w:t>2017–2029</w:t>
            </w:r>
          </w:p>
        </w:tc>
        <w:tc>
          <w:tcPr>
            <w:tcW w:w="3104" w:type="dxa"/>
            <w:shd w:val="clear" w:color="auto" w:fill="auto"/>
          </w:tcPr>
          <w:p w14:paraId="530DC6DF" w14:textId="77777777" w:rsidR="00250C67" w:rsidRPr="00EE00AB" w:rsidRDefault="00250C67" w:rsidP="00F00968">
            <w:pPr>
              <w:spacing w:before="20" w:after="20"/>
              <w:rPr>
                <w:sz w:val="24"/>
                <w:szCs w:val="24"/>
              </w:rPr>
            </w:pPr>
            <w:r w:rsidRPr="00EE00AB">
              <w:rPr>
                <w:sz w:val="24"/>
                <w:szCs w:val="24"/>
              </w:rPr>
              <w:t>Annual compliance filing throughout construction</w:t>
            </w:r>
          </w:p>
        </w:tc>
        <w:tc>
          <w:tcPr>
            <w:tcW w:w="1369" w:type="dxa"/>
            <w:shd w:val="clear" w:color="auto" w:fill="auto"/>
          </w:tcPr>
          <w:p w14:paraId="52933373" w14:textId="77777777" w:rsidR="00250C67" w:rsidRPr="00EE00AB" w:rsidRDefault="00250C67" w:rsidP="00F00968">
            <w:pPr>
              <w:rPr>
                <w:sz w:val="24"/>
                <w:szCs w:val="24"/>
              </w:rPr>
            </w:pPr>
            <w:r w:rsidRPr="00EE00AB">
              <w:rPr>
                <w:sz w:val="24"/>
                <w:szCs w:val="24"/>
              </w:rPr>
              <w:t>TBD</w:t>
            </w:r>
          </w:p>
        </w:tc>
        <w:tc>
          <w:tcPr>
            <w:tcW w:w="1843" w:type="dxa"/>
            <w:shd w:val="clear" w:color="auto" w:fill="auto"/>
          </w:tcPr>
          <w:p w14:paraId="7429A5D4" w14:textId="77777777" w:rsidR="00250C67" w:rsidRPr="00EE00AB" w:rsidRDefault="00250C67" w:rsidP="00F00968">
            <w:pPr>
              <w:rPr>
                <w:sz w:val="24"/>
                <w:szCs w:val="24"/>
              </w:rPr>
            </w:pPr>
            <w:r w:rsidRPr="00EE00AB">
              <w:rPr>
                <w:sz w:val="24"/>
                <w:szCs w:val="24"/>
              </w:rPr>
              <w:t>TBD</w:t>
            </w:r>
          </w:p>
        </w:tc>
      </w:tr>
      <w:tr w:rsidR="00250C67" w:rsidRPr="00EE00AB" w14:paraId="31402393" w14:textId="77777777" w:rsidTr="00F00968">
        <w:tc>
          <w:tcPr>
            <w:tcW w:w="13176" w:type="dxa"/>
            <w:gridSpan w:val="7"/>
          </w:tcPr>
          <w:p w14:paraId="2ED80B8E" w14:textId="77777777" w:rsidR="00250C67" w:rsidRPr="00EE00AB" w:rsidRDefault="00250C67" w:rsidP="00F00968">
            <w:pPr>
              <w:spacing w:before="60" w:after="60"/>
              <w:rPr>
                <w:b/>
                <w:sz w:val="24"/>
                <w:szCs w:val="24"/>
              </w:rPr>
            </w:pPr>
            <w:r w:rsidRPr="00EE00AB">
              <w:rPr>
                <w:b/>
                <w:sz w:val="24"/>
                <w:szCs w:val="24"/>
              </w:rPr>
              <w:t xml:space="preserve">Total = </w:t>
            </w:r>
            <w:r w:rsidRPr="00EE00AB">
              <w:rPr>
                <w:sz w:val="24"/>
                <w:szCs w:val="24"/>
              </w:rPr>
              <w:t>about</w:t>
            </w:r>
            <w:r w:rsidRPr="00EE00AB">
              <w:rPr>
                <w:b/>
                <w:sz w:val="24"/>
                <w:szCs w:val="24"/>
              </w:rPr>
              <w:t xml:space="preserve"> </w:t>
            </w:r>
            <w:r>
              <w:rPr>
                <w:b/>
                <w:sz w:val="24"/>
                <w:szCs w:val="24"/>
              </w:rPr>
              <w:t>24</w:t>
            </w:r>
            <w:r w:rsidRPr="00EE00AB">
              <w:rPr>
                <w:b/>
                <w:sz w:val="24"/>
                <w:szCs w:val="24"/>
              </w:rPr>
              <w:t xml:space="preserve"> </w:t>
            </w:r>
            <w:r>
              <w:rPr>
                <w:sz w:val="24"/>
                <w:szCs w:val="24"/>
              </w:rPr>
              <w:t>SoCalGas</w:t>
            </w:r>
            <w:r w:rsidRPr="00EE00AB">
              <w:rPr>
                <w:sz w:val="24"/>
                <w:szCs w:val="24"/>
              </w:rPr>
              <w:t xml:space="preserve"> filings for CHSRA Project relocation work</w:t>
            </w:r>
            <w:r>
              <w:rPr>
                <w:sz w:val="24"/>
                <w:szCs w:val="24"/>
              </w:rPr>
              <w:t xml:space="preserve"> through 2029</w:t>
            </w:r>
          </w:p>
        </w:tc>
      </w:tr>
    </w:tbl>
    <w:p w14:paraId="04A181D7" w14:textId="7ED8D93C" w:rsidR="00250C67" w:rsidRPr="00EE00AB" w:rsidRDefault="00250C67" w:rsidP="00250C67">
      <w:pPr>
        <w:spacing w:before="60" w:after="60"/>
        <w:rPr>
          <w:rFonts w:eastAsiaTheme="minorHAnsi" w:cstheme="minorBidi"/>
          <w:sz w:val="22"/>
          <w:szCs w:val="22"/>
        </w:rPr>
      </w:pPr>
      <w:r w:rsidRPr="00EE00AB">
        <w:rPr>
          <w:rFonts w:eastAsiaTheme="minorHAnsi" w:cstheme="minorBidi"/>
          <w:sz w:val="22"/>
          <w:szCs w:val="22"/>
        </w:rPr>
        <w:t xml:space="preserve">Key: AL = Advice </w:t>
      </w:r>
      <w:r w:rsidR="000F7340">
        <w:rPr>
          <w:rFonts w:eastAsiaTheme="minorHAnsi" w:cstheme="minorBidi"/>
          <w:sz w:val="22"/>
          <w:szCs w:val="22"/>
        </w:rPr>
        <w:t>Letter, CHSRA = California High-</w:t>
      </w:r>
      <w:r w:rsidRPr="00EE00AB">
        <w:rPr>
          <w:rFonts w:eastAsiaTheme="minorHAnsi" w:cstheme="minorBidi"/>
          <w:sz w:val="22"/>
          <w:szCs w:val="22"/>
        </w:rPr>
        <w:t>Speed Rail Authority, TBD = to be determined</w:t>
      </w:r>
    </w:p>
    <w:p w14:paraId="149FED71" w14:textId="77777777" w:rsidR="00250C67" w:rsidRPr="009E16E8" w:rsidRDefault="00250C67" w:rsidP="00250C67">
      <w:pPr>
        <w:pStyle w:val="titlebar"/>
        <w:spacing w:after="240"/>
        <w:rPr>
          <w:szCs w:val="26"/>
        </w:rPr>
      </w:pPr>
      <w:r w:rsidRPr="009E16E8">
        <w:rPr>
          <w:szCs w:val="26"/>
        </w:rPr>
        <w:lastRenderedPageBreak/>
        <w:t>APPENDIX B</w:t>
      </w:r>
    </w:p>
    <w:p w14:paraId="5664D201" w14:textId="35B51ADB" w:rsidR="00250C67" w:rsidRDefault="00250C67" w:rsidP="00250C67">
      <w:pPr>
        <w:rPr>
          <w:szCs w:val="26"/>
        </w:rPr>
      </w:pPr>
      <w:proofErr w:type="gramStart"/>
      <w:r w:rsidRPr="00F200A4">
        <w:rPr>
          <w:b/>
          <w:szCs w:val="26"/>
        </w:rPr>
        <w:t>Table B-1.</w:t>
      </w:r>
      <w:proofErr w:type="gramEnd"/>
      <w:r w:rsidRPr="00F200A4">
        <w:rPr>
          <w:b/>
          <w:szCs w:val="26"/>
        </w:rPr>
        <w:t xml:space="preserve"> </w:t>
      </w:r>
      <w:r w:rsidR="002C2BB1">
        <w:rPr>
          <w:b/>
          <w:szCs w:val="26"/>
        </w:rPr>
        <w:t xml:space="preserve">Example </w:t>
      </w:r>
      <w:r w:rsidRPr="00F200A4">
        <w:rPr>
          <w:b/>
          <w:szCs w:val="26"/>
        </w:rPr>
        <w:t>Annual Report Table 1: Utility Agreements and Costs</w:t>
      </w:r>
      <w:r w:rsidR="000F7340">
        <w:rPr>
          <w:b/>
          <w:szCs w:val="26"/>
        </w:rPr>
        <w:t xml:space="preserve"> to Ratepayers to Date </w:t>
      </w:r>
      <w:r w:rsidR="007E66B9">
        <w:rPr>
          <w:b/>
          <w:szCs w:val="26"/>
        </w:rPr>
        <w:t xml:space="preserve">for </w:t>
      </w:r>
      <w:r w:rsidR="0085324E">
        <w:rPr>
          <w:b/>
          <w:szCs w:val="26"/>
        </w:rPr>
        <w:t>&lt;</w:t>
      </w:r>
      <w:r w:rsidR="007E66B9">
        <w:rPr>
          <w:b/>
          <w:szCs w:val="26"/>
        </w:rPr>
        <w:t>PG&amp;E</w:t>
      </w:r>
      <w:r w:rsidR="0085324E">
        <w:rPr>
          <w:b/>
          <w:szCs w:val="26"/>
        </w:rPr>
        <w:t>&gt;</w:t>
      </w:r>
      <w:r w:rsidRPr="00F200A4">
        <w:rPr>
          <w:b/>
          <w:szCs w:val="26"/>
        </w:rPr>
        <w:t xml:space="preserve"> Utility Relocation Work</w:t>
      </w:r>
      <w:r w:rsidR="007E66B9">
        <w:rPr>
          <w:b/>
          <w:szCs w:val="26"/>
        </w:rPr>
        <w:t xml:space="preserve"> for the </w:t>
      </w:r>
      <w:r w:rsidR="007E66B9">
        <w:rPr>
          <w:b/>
        </w:rPr>
        <w:t>CHSRA Project</w:t>
      </w:r>
    </w:p>
    <w:tbl>
      <w:tblPr>
        <w:tblStyle w:val="TableGrid"/>
        <w:tblW w:w="13274" w:type="dxa"/>
        <w:tblLook w:val="04A0" w:firstRow="1" w:lastRow="0" w:firstColumn="1" w:lastColumn="0" w:noHBand="0" w:noVBand="1"/>
      </w:tblPr>
      <w:tblGrid>
        <w:gridCol w:w="639"/>
        <w:gridCol w:w="1287"/>
        <w:gridCol w:w="1347"/>
        <w:gridCol w:w="1472"/>
        <w:gridCol w:w="1228"/>
        <w:gridCol w:w="1116"/>
        <w:gridCol w:w="1226"/>
        <w:gridCol w:w="1063"/>
        <w:gridCol w:w="1305"/>
        <w:gridCol w:w="1383"/>
        <w:gridCol w:w="1208"/>
      </w:tblGrid>
      <w:tr w:rsidR="00250C67" w:rsidRPr="00325B9D" w14:paraId="21E1FE54" w14:textId="77777777" w:rsidTr="00AB460F">
        <w:tc>
          <w:tcPr>
            <w:tcW w:w="639" w:type="dxa"/>
          </w:tcPr>
          <w:p w14:paraId="74D954EA"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Item</w:t>
            </w:r>
          </w:p>
        </w:tc>
        <w:tc>
          <w:tcPr>
            <w:tcW w:w="1287" w:type="dxa"/>
          </w:tcPr>
          <w:p w14:paraId="509B8C11" w14:textId="68CB1FCD" w:rsidR="00250C67" w:rsidRPr="00325B9D" w:rsidRDefault="000B2090" w:rsidP="00F00968">
            <w:pPr>
              <w:rPr>
                <w:rFonts w:ascii="Palatino Linotype" w:hAnsi="Palatino Linotype"/>
                <w:b/>
                <w:sz w:val="20"/>
                <w:szCs w:val="20"/>
              </w:rPr>
            </w:pPr>
            <w:r>
              <w:rPr>
                <w:rFonts w:ascii="Palatino Linotype" w:hAnsi="Palatino Linotype"/>
                <w:b/>
                <w:sz w:val="20"/>
                <w:szCs w:val="20"/>
              </w:rPr>
              <w:t>Master Agreement/</w:t>
            </w:r>
            <w:r>
              <w:rPr>
                <w:rFonts w:ascii="Palatino Linotype" w:hAnsi="Palatino Linotype"/>
                <w:b/>
                <w:sz w:val="20"/>
                <w:szCs w:val="20"/>
              </w:rPr>
              <w:br/>
            </w:r>
            <w:r w:rsidR="00250C67" w:rsidRPr="00325B9D">
              <w:rPr>
                <w:rFonts w:ascii="Palatino Linotype" w:hAnsi="Palatino Linotype"/>
                <w:b/>
                <w:sz w:val="20"/>
                <w:szCs w:val="20"/>
              </w:rPr>
              <w:t xml:space="preserve">Utility Agreement </w:t>
            </w:r>
          </w:p>
        </w:tc>
        <w:tc>
          <w:tcPr>
            <w:tcW w:w="1347" w:type="dxa"/>
          </w:tcPr>
          <w:p w14:paraId="7A595A23"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 xml:space="preserve">Filing Number; Filing Date </w:t>
            </w:r>
          </w:p>
        </w:tc>
        <w:tc>
          <w:tcPr>
            <w:tcW w:w="1472" w:type="dxa"/>
          </w:tcPr>
          <w:p w14:paraId="50E3FB7B"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HSR Project Segment (Construction Package No.)</w:t>
            </w:r>
          </w:p>
        </w:tc>
        <w:tc>
          <w:tcPr>
            <w:tcW w:w="1228" w:type="dxa"/>
          </w:tcPr>
          <w:p w14:paraId="553386CF"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Agreement Value (millions)</w:t>
            </w:r>
          </w:p>
        </w:tc>
        <w:tc>
          <w:tcPr>
            <w:tcW w:w="1116" w:type="dxa"/>
          </w:tcPr>
          <w:p w14:paraId="34C786F8"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Cost to CHSRA</w:t>
            </w:r>
          </w:p>
          <w:p w14:paraId="6591B4C7"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(millions)</w:t>
            </w:r>
          </w:p>
        </w:tc>
        <w:tc>
          <w:tcPr>
            <w:tcW w:w="1226" w:type="dxa"/>
          </w:tcPr>
          <w:p w14:paraId="21D12A95"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Cost to Ratepayers (credits) (millions)</w:t>
            </w:r>
          </w:p>
        </w:tc>
        <w:tc>
          <w:tcPr>
            <w:tcW w:w="1063" w:type="dxa"/>
          </w:tcPr>
          <w:p w14:paraId="705B6C5E" w14:textId="77777777" w:rsidR="00250C67" w:rsidRPr="00325B9D" w:rsidRDefault="00250C67" w:rsidP="00F00968">
            <w:pPr>
              <w:ind w:left="-53"/>
              <w:rPr>
                <w:rFonts w:ascii="Palatino Linotype" w:hAnsi="Palatino Linotype"/>
                <w:b/>
                <w:sz w:val="20"/>
                <w:szCs w:val="20"/>
              </w:rPr>
            </w:pPr>
            <w:r w:rsidRPr="00325B9D">
              <w:rPr>
                <w:rFonts w:ascii="Palatino Linotype" w:hAnsi="Palatino Linotype"/>
                <w:b/>
                <w:sz w:val="20"/>
                <w:szCs w:val="20"/>
              </w:rPr>
              <w:t xml:space="preserve">Cost in </w:t>
            </w:r>
            <w:r>
              <w:rPr>
                <w:rFonts w:ascii="Palatino Linotype" w:hAnsi="Palatino Linotype"/>
                <w:b/>
                <w:sz w:val="20"/>
                <w:szCs w:val="20"/>
              </w:rPr>
              <w:t>rate case</w:t>
            </w:r>
            <w:r w:rsidRPr="00325B9D">
              <w:rPr>
                <w:rFonts w:ascii="Palatino Linotype" w:hAnsi="Palatino Linotype"/>
                <w:b/>
                <w:sz w:val="20"/>
                <w:szCs w:val="20"/>
              </w:rPr>
              <w:t xml:space="preserve"> (millions) (</w:t>
            </w:r>
            <w:r>
              <w:rPr>
                <w:rFonts w:ascii="Palatino Linotype" w:hAnsi="Palatino Linotype"/>
                <w:b/>
                <w:sz w:val="20"/>
                <w:szCs w:val="20"/>
              </w:rPr>
              <w:t xml:space="preserve">case </w:t>
            </w:r>
            <w:r w:rsidRPr="00325B9D">
              <w:rPr>
                <w:rFonts w:ascii="Palatino Linotype" w:hAnsi="Palatino Linotype"/>
                <w:b/>
                <w:sz w:val="20"/>
                <w:szCs w:val="20"/>
              </w:rPr>
              <w:t xml:space="preserve">year) </w:t>
            </w:r>
          </w:p>
        </w:tc>
        <w:tc>
          <w:tcPr>
            <w:tcW w:w="1305" w:type="dxa"/>
          </w:tcPr>
          <w:p w14:paraId="7E5954F8"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 xml:space="preserve">Property Transaction Completion Status </w:t>
            </w:r>
          </w:p>
        </w:tc>
        <w:tc>
          <w:tcPr>
            <w:tcW w:w="1383" w:type="dxa"/>
          </w:tcPr>
          <w:p w14:paraId="441DB3D7"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Completion Date (all property transactions)</w:t>
            </w:r>
          </w:p>
        </w:tc>
        <w:tc>
          <w:tcPr>
            <w:tcW w:w="1208" w:type="dxa"/>
          </w:tcPr>
          <w:p w14:paraId="428921C9" w14:textId="77777777" w:rsidR="00250C67" w:rsidRPr="00325B9D" w:rsidRDefault="00250C67" w:rsidP="00F00968">
            <w:pPr>
              <w:rPr>
                <w:rFonts w:ascii="Palatino Linotype" w:hAnsi="Palatino Linotype"/>
                <w:b/>
                <w:sz w:val="20"/>
                <w:szCs w:val="20"/>
              </w:rPr>
            </w:pPr>
            <w:r w:rsidRPr="00325B9D">
              <w:rPr>
                <w:rFonts w:ascii="Palatino Linotype" w:hAnsi="Palatino Linotype"/>
                <w:b/>
                <w:sz w:val="20"/>
                <w:szCs w:val="20"/>
              </w:rPr>
              <w:t>Notes</w:t>
            </w:r>
          </w:p>
        </w:tc>
      </w:tr>
      <w:tr w:rsidR="00406882" w:rsidRPr="00325B9D" w14:paraId="60BA1309" w14:textId="77777777" w:rsidTr="00AB460F">
        <w:tc>
          <w:tcPr>
            <w:tcW w:w="639" w:type="dxa"/>
          </w:tcPr>
          <w:p w14:paraId="47DD817D" w14:textId="77777777" w:rsidR="00406882" w:rsidRPr="00325B9D" w:rsidRDefault="00406882" w:rsidP="00250C67">
            <w:pPr>
              <w:pStyle w:val="ListParagraph"/>
              <w:numPr>
                <w:ilvl w:val="0"/>
                <w:numId w:val="43"/>
              </w:numPr>
              <w:ind w:left="270" w:hanging="180"/>
              <w:rPr>
                <w:rFonts w:ascii="Palatino Linotype" w:hAnsi="Palatino Linotype"/>
                <w:sz w:val="20"/>
              </w:rPr>
            </w:pPr>
          </w:p>
        </w:tc>
        <w:tc>
          <w:tcPr>
            <w:tcW w:w="1287" w:type="dxa"/>
          </w:tcPr>
          <w:p w14:paraId="17BD6F8E" w14:textId="3500FE4B" w:rsidR="00406882" w:rsidRPr="00325B9D" w:rsidRDefault="00406882" w:rsidP="005C6137">
            <w:pPr>
              <w:rPr>
                <w:rFonts w:ascii="Palatino Linotype" w:hAnsi="Palatino Linotype"/>
                <w:sz w:val="20"/>
              </w:rPr>
            </w:pPr>
            <w:r w:rsidRPr="00406882">
              <w:rPr>
                <w:rFonts w:ascii="Palatino Linotype" w:hAnsi="Palatino Linotype"/>
                <w:sz w:val="20"/>
                <w:szCs w:val="20"/>
              </w:rPr>
              <w:t>HSR 13-5</w:t>
            </w:r>
            <w:r w:rsidR="005C6137">
              <w:rPr>
                <w:rFonts w:ascii="Palatino Linotype" w:hAnsi="Palatino Linotype"/>
                <w:sz w:val="20"/>
                <w:szCs w:val="20"/>
              </w:rPr>
              <w:t>2</w:t>
            </w:r>
          </w:p>
        </w:tc>
        <w:tc>
          <w:tcPr>
            <w:tcW w:w="1347" w:type="dxa"/>
          </w:tcPr>
          <w:p w14:paraId="596D5794" w14:textId="70B990F6" w:rsidR="00406882" w:rsidRPr="00325B9D" w:rsidRDefault="00406882" w:rsidP="00F00968">
            <w:pPr>
              <w:rPr>
                <w:rFonts w:ascii="Palatino Linotype" w:hAnsi="Palatino Linotype"/>
                <w:sz w:val="20"/>
              </w:rPr>
            </w:pPr>
            <w:r w:rsidRPr="00325B9D">
              <w:rPr>
                <w:rFonts w:ascii="Palatino Linotype" w:hAnsi="Palatino Linotype"/>
                <w:sz w:val="20"/>
                <w:szCs w:val="20"/>
              </w:rPr>
              <w:t xml:space="preserve">AL </w:t>
            </w:r>
            <w:r>
              <w:rPr>
                <w:rFonts w:ascii="Palatino Linotype" w:hAnsi="Palatino Linotype"/>
                <w:sz w:val="20"/>
                <w:szCs w:val="20"/>
              </w:rPr>
              <w:t>3484-G</w:t>
            </w:r>
            <w:r w:rsidRPr="00325B9D">
              <w:rPr>
                <w:rFonts w:ascii="Palatino Linotype" w:hAnsi="Palatino Linotype"/>
                <w:sz w:val="20"/>
                <w:szCs w:val="20"/>
              </w:rPr>
              <w:t>/4443-E</w:t>
            </w:r>
            <w:r>
              <w:rPr>
                <w:rFonts w:ascii="Palatino Linotype" w:hAnsi="Palatino Linotype"/>
                <w:sz w:val="20"/>
                <w:szCs w:val="20"/>
              </w:rPr>
              <w:t xml:space="preserve">; </w:t>
            </w:r>
            <w:r>
              <w:rPr>
                <w:rFonts w:ascii="Palatino Linotype" w:hAnsi="Palatino Linotype"/>
                <w:sz w:val="20"/>
                <w:szCs w:val="20"/>
              </w:rPr>
              <w:br/>
              <w:t>6/14/2014</w:t>
            </w:r>
          </w:p>
        </w:tc>
        <w:tc>
          <w:tcPr>
            <w:tcW w:w="1472" w:type="dxa"/>
          </w:tcPr>
          <w:p w14:paraId="52C59D0F" w14:textId="19FB2A46" w:rsidR="00406882" w:rsidRPr="00325B9D" w:rsidRDefault="00406882" w:rsidP="00F00968">
            <w:pPr>
              <w:rPr>
                <w:rFonts w:ascii="Palatino Linotype" w:hAnsi="Palatino Linotype"/>
                <w:sz w:val="20"/>
              </w:rPr>
            </w:pPr>
            <w:r w:rsidRPr="00325B9D">
              <w:rPr>
                <w:rFonts w:ascii="Palatino Linotype" w:hAnsi="Palatino Linotype"/>
                <w:sz w:val="20"/>
                <w:szCs w:val="20"/>
              </w:rPr>
              <w:t>n/a</w:t>
            </w:r>
          </w:p>
        </w:tc>
        <w:tc>
          <w:tcPr>
            <w:tcW w:w="1228" w:type="dxa"/>
          </w:tcPr>
          <w:p w14:paraId="02272F8E" w14:textId="5391917A" w:rsidR="00406882" w:rsidRPr="00325B9D" w:rsidRDefault="00406882" w:rsidP="00F00968">
            <w:pPr>
              <w:rPr>
                <w:rFonts w:ascii="Palatino Linotype" w:hAnsi="Palatino Linotype"/>
                <w:sz w:val="20"/>
              </w:rPr>
            </w:pPr>
            <w:r w:rsidRPr="00325B9D">
              <w:rPr>
                <w:rFonts w:ascii="Palatino Linotype" w:hAnsi="Palatino Linotype"/>
                <w:sz w:val="20"/>
                <w:szCs w:val="20"/>
              </w:rPr>
              <w:t>None</w:t>
            </w:r>
          </w:p>
        </w:tc>
        <w:tc>
          <w:tcPr>
            <w:tcW w:w="1116" w:type="dxa"/>
          </w:tcPr>
          <w:p w14:paraId="34580BAA" w14:textId="1286CB31" w:rsidR="00406882" w:rsidRPr="00325B9D" w:rsidRDefault="00406882" w:rsidP="00F00968">
            <w:pPr>
              <w:rPr>
                <w:rFonts w:ascii="Palatino Linotype" w:hAnsi="Palatino Linotype"/>
                <w:sz w:val="20"/>
              </w:rPr>
            </w:pPr>
            <w:r w:rsidRPr="00325B9D">
              <w:rPr>
                <w:rFonts w:ascii="Palatino Linotype" w:hAnsi="Palatino Linotype"/>
                <w:sz w:val="20"/>
                <w:szCs w:val="20"/>
              </w:rPr>
              <w:t>None</w:t>
            </w:r>
          </w:p>
        </w:tc>
        <w:tc>
          <w:tcPr>
            <w:tcW w:w="1226" w:type="dxa"/>
          </w:tcPr>
          <w:p w14:paraId="30C451A0" w14:textId="582DD06B" w:rsidR="00406882" w:rsidRPr="00325B9D" w:rsidRDefault="00406882" w:rsidP="00F00968">
            <w:pPr>
              <w:rPr>
                <w:rFonts w:ascii="Palatino Linotype" w:hAnsi="Palatino Linotype"/>
                <w:sz w:val="20"/>
              </w:rPr>
            </w:pPr>
            <w:r w:rsidRPr="00325B9D">
              <w:rPr>
                <w:rFonts w:ascii="Palatino Linotype" w:hAnsi="Palatino Linotype"/>
                <w:sz w:val="20"/>
                <w:szCs w:val="20"/>
              </w:rPr>
              <w:t>None</w:t>
            </w:r>
          </w:p>
        </w:tc>
        <w:tc>
          <w:tcPr>
            <w:tcW w:w="1063" w:type="dxa"/>
          </w:tcPr>
          <w:p w14:paraId="767C41EF" w14:textId="70A18CDC" w:rsidR="00406882" w:rsidRPr="00325B9D" w:rsidRDefault="00406882" w:rsidP="00F00968">
            <w:pPr>
              <w:rPr>
                <w:rFonts w:ascii="Palatino Linotype" w:hAnsi="Palatino Linotype"/>
                <w:sz w:val="20"/>
              </w:rPr>
            </w:pPr>
            <w:r w:rsidRPr="00325B9D">
              <w:rPr>
                <w:rFonts w:ascii="Palatino Linotype" w:hAnsi="Palatino Linotype"/>
                <w:sz w:val="20"/>
                <w:szCs w:val="20"/>
              </w:rPr>
              <w:t>None</w:t>
            </w:r>
          </w:p>
        </w:tc>
        <w:tc>
          <w:tcPr>
            <w:tcW w:w="1305" w:type="dxa"/>
          </w:tcPr>
          <w:p w14:paraId="17FA73B9" w14:textId="00A5B4A9" w:rsidR="00406882" w:rsidRPr="00325B9D" w:rsidRDefault="00406882" w:rsidP="00F00968">
            <w:pPr>
              <w:rPr>
                <w:rFonts w:ascii="Palatino Linotype" w:hAnsi="Palatino Linotype"/>
                <w:sz w:val="20"/>
              </w:rPr>
            </w:pPr>
            <w:r w:rsidRPr="00325B9D">
              <w:rPr>
                <w:rFonts w:ascii="Palatino Linotype" w:hAnsi="Palatino Linotype"/>
                <w:sz w:val="20"/>
                <w:szCs w:val="20"/>
              </w:rPr>
              <w:t>n/a</w:t>
            </w:r>
          </w:p>
        </w:tc>
        <w:tc>
          <w:tcPr>
            <w:tcW w:w="1383" w:type="dxa"/>
          </w:tcPr>
          <w:p w14:paraId="7E364A75" w14:textId="701057B0" w:rsidR="00406882" w:rsidRPr="00325B9D" w:rsidRDefault="00406882" w:rsidP="00F00968">
            <w:pPr>
              <w:rPr>
                <w:rFonts w:ascii="Palatino Linotype" w:hAnsi="Palatino Linotype"/>
                <w:sz w:val="20"/>
              </w:rPr>
            </w:pPr>
            <w:r w:rsidRPr="00325B9D">
              <w:rPr>
                <w:rFonts w:ascii="Palatino Linotype" w:hAnsi="Palatino Linotype"/>
                <w:sz w:val="20"/>
                <w:szCs w:val="20"/>
              </w:rPr>
              <w:t>n/a</w:t>
            </w:r>
          </w:p>
        </w:tc>
        <w:tc>
          <w:tcPr>
            <w:tcW w:w="1208" w:type="dxa"/>
          </w:tcPr>
          <w:p w14:paraId="03D36AEF" w14:textId="3E00DFCB" w:rsidR="00406882" w:rsidRPr="00325B9D" w:rsidRDefault="00406882" w:rsidP="00F00968">
            <w:pPr>
              <w:rPr>
                <w:rFonts w:ascii="Palatino Linotype" w:hAnsi="Palatino Linotype"/>
                <w:sz w:val="20"/>
              </w:rPr>
            </w:pPr>
            <w:r>
              <w:rPr>
                <w:rFonts w:ascii="Palatino Linotype" w:hAnsi="Palatino Linotype"/>
                <w:sz w:val="20"/>
              </w:rPr>
              <w:t>Master Agreement</w:t>
            </w:r>
          </w:p>
        </w:tc>
      </w:tr>
      <w:tr w:rsidR="00406882" w:rsidRPr="00325B9D" w14:paraId="21354732" w14:textId="77777777" w:rsidTr="00AB460F">
        <w:tc>
          <w:tcPr>
            <w:tcW w:w="639" w:type="dxa"/>
          </w:tcPr>
          <w:p w14:paraId="75E69BFA" w14:textId="77777777" w:rsidR="00406882" w:rsidRPr="00325B9D" w:rsidRDefault="00406882" w:rsidP="00250C67">
            <w:pPr>
              <w:pStyle w:val="ListParagraph"/>
              <w:numPr>
                <w:ilvl w:val="0"/>
                <w:numId w:val="43"/>
              </w:numPr>
              <w:ind w:left="270" w:hanging="180"/>
              <w:rPr>
                <w:rFonts w:ascii="Palatino Linotype" w:hAnsi="Palatino Linotype"/>
                <w:sz w:val="20"/>
                <w:szCs w:val="20"/>
              </w:rPr>
            </w:pPr>
          </w:p>
        </w:tc>
        <w:tc>
          <w:tcPr>
            <w:tcW w:w="1287" w:type="dxa"/>
          </w:tcPr>
          <w:p w14:paraId="2AFAC041"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HSR14-19</w:t>
            </w:r>
          </w:p>
        </w:tc>
        <w:tc>
          <w:tcPr>
            <w:tcW w:w="1347" w:type="dxa"/>
          </w:tcPr>
          <w:p w14:paraId="70AE4FCF"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AL 3484-G-A/4443-E-A; 12/22/2015</w:t>
            </w:r>
          </w:p>
        </w:tc>
        <w:tc>
          <w:tcPr>
            <w:tcW w:w="1472" w:type="dxa"/>
          </w:tcPr>
          <w:p w14:paraId="6A389C00"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228" w:type="dxa"/>
          </w:tcPr>
          <w:p w14:paraId="18C5AA1B"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$1.5</w:t>
            </w:r>
          </w:p>
        </w:tc>
        <w:tc>
          <w:tcPr>
            <w:tcW w:w="1116" w:type="dxa"/>
          </w:tcPr>
          <w:p w14:paraId="721B9C2E"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$1.5</w:t>
            </w:r>
          </w:p>
        </w:tc>
        <w:tc>
          <w:tcPr>
            <w:tcW w:w="1226" w:type="dxa"/>
          </w:tcPr>
          <w:p w14:paraId="284390C4"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None</w:t>
            </w:r>
          </w:p>
        </w:tc>
        <w:tc>
          <w:tcPr>
            <w:tcW w:w="1063" w:type="dxa"/>
          </w:tcPr>
          <w:p w14:paraId="43157303"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None</w:t>
            </w:r>
          </w:p>
        </w:tc>
        <w:tc>
          <w:tcPr>
            <w:tcW w:w="1305" w:type="dxa"/>
          </w:tcPr>
          <w:p w14:paraId="28EA22B1"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383" w:type="dxa"/>
          </w:tcPr>
          <w:p w14:paraId="3941A9A8"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208" w:type="dxa"/>
          </w:tcPr>
          <w:p w14:paraId="27166534"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 xml:space="preserve">Planning work only </w:t>
            </w:r>
          </w:p>
        </w:tc>
      </w:tr>
      <w:tr w:rsidR="00406882" w:rsidRPr="00325B9D" w14:paraId="41F62C6A" w14:textId="77777777" w:rsidTr="00AB460F">
        <w:tc>
          <w:tcPr>
            <w:tcW w:w="639" w:type="dxa"/>
          </w:tcPr>
          <w:p w14:paraId="13F911B3" w14:textId="77777777" w:rsidR="00406882" w:rsidRPr="00325B9D" w:rsidRDefault="00406882" w:rsidP="00250C67">
            <w:pPr>
              <w:pStyle w:val="ListParagraph"/>
              <w:numPr>
                <w:ilvl w:val="0"/>
                <w:numId w:val="43"/>
              </w:numPr>
              <w:ind w:left="270" w:hanging="180"/>
              <w:rPr>
                <w:rFonts w:ascii="Palatino Linotype" w:hAnsi="Palatino Linotype"/>
                <w:sz w:val="20"/>
                <w:szCs w:val="20"/>
              </w:rPr>
            </w:pPr>
          </w:p>
        </w:tc>
        <w:tc>
          <w:tcPr>
            <w:tcW w:w="1287" w:type="dxa"/>
          </w:tcPr>
          <w:p w14:paraId="5528ACE9" w14:textId="77777777" w:rsidR="00406882" w:rsidRPr="00325B9D" w:rsidRDefault="00406882" w:rsidP="00F00968">
            <w:pPr>
              <w:ind w:right="-124"/>
              <w:rPr>
                <w:rFonts w:ascii="Palatino Linotype" w:hAnsi="Palatino Linotype"/>
                <w:sz w:val="20"/>
                <w:szCs w:val="20"/>
              </w:rPr>
            </w:pPr>
            <w:r w:rsidRPr="00325B9D">
              <w:rPr>
                <w:rFonts w:ascii="Palatino Linotype" w:hAnsi="Palatino Linotype"/>
                <w:sz w:val="20"/>
                <w:szCs w:val="20"/>
              </w:rPr>
              <w:t>HSR14-19-1</w:t>
            </w:r>
          </w:p>
        </w:tc>
        <w:tc>
          <w:tcPr>
            <w:tcW w:w="1347" w:type="dxa"/>
          </w:tcPr>
          <w:p w14:paraId="147E38EB"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AL 3484-G-A/4443-E-A; 12/22/2015</w:t>
            </w:r>
          </w:p>
        </w:tc>
        <w:tc>
          <w:tcPr>
            <w:tcW w:w="1472" w:type="dxa"/>
          </w:tcPr>
          <w:p w14:paraId="495A53C8"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228" w:type="dxa"/>
          </w:tcPr>
          <w:p w14:paraId="294CF347"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$0.5</w:t>
            </w:r>
          </w:p>
        </w:tc>
        <w:tc>
          <w:tcPr>
            <w:tcW w:w="1116" w:type="dxa"/>
          </w:tcPr>
          <w:p w14:paraId="081DB98C"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$0.5</w:t>
            </w:r>
          </w:p>
        </w:tc>
        <w:tc>
          <w:tcPr>
            <w:tcW w:w="1226" w:type="dxa"/>
          </w:tcPr>
          <w:p w14:paraId="7763DFA9"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None</w:t>
            </w:r>
          </w:p>
        </w:tc>
        <w:tc>
          <w:tcPr>
            <w:tcW w:w="1063" w:type="dxa"/>
          </w:tcPr>
          <w:p w14:paraId="4D885240"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None</w:t>
            </w:r>
          </w:p>
        </w:tc>
        <w:tc>
          <w:tcPr>
            <w:tcW w:w="1305" w:type="dxa"/>
          </w:tcPr>
          <w:p w14:paraId="01C844D5"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383" w:type="dxa"/>
          </w:tcPr>
          <w:p w14:paraId="7B056236"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n/a</w:t>
            </w:r>
          </w:p>
        </w:tc>
        <w:tc>
          <w:tcPr>
            <w:tcW w:w="1208" w:type="dxa"/>
          </w:tcPr>
          <w:p w14:paraId="1895B2B9"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 xml:space="preserve">Planning work only </w:t>
            </w:r>
          </w:p>
        </w:tc>
      </w:tr>
      <w:tr w:rsidR="00406882" w:rsidRPr="00325B9D" w14:paraId="283768F8" w14:textId="77777777" w:rsidTr="00AB460F">
        <w:tc>
          <w:tcPr>
            <w:tcW w:w="639" w:type="dxa"/>
          </w:tcPr>
          <w:p w14:paraId="1C12A3BE" w14:textId="77777777" w:rsidR="00406882" w:rsidRPr="00325B9D" w:rsidRDefault="00406882" w:rsidP="00250C67">
            <w:pPr>
              <w:pStyle w:val="ListParagraph"/>
              <w:numPr>
                <w:ilvl w:val="0"/>
                <w:numId w:val="43"/>
              </w:numPr>
              <w:ind w:left="270" w:hanging="180"/>
              <w:rPr>
                <w:rFonts w:ascii="Palatino Linotype" w:hAnsi="Palatino Linotype"/>
                <w:sz w:val="20"/>
                <w:szCs w:val="20"/>
              </w:rPr>
            </w:pPr>
          </w:p>
        </w:tc>
        <w:tc>
          <w:tcPr>
            <w:tcW w:w="1287" w:type="dxa"/>
          </w:tcPr>
          <w:p w14:paraId="12208392"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HSR15-36</w:t>
            </w:r>
          </w:p>
        </w:tc>
        <w:tc>
          <w:tcPr>
            <w:tcW w:w="1347" w:type="dxa"/>
          </w:tcPr>
          <w:p w14:paraId="04643FD3"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AL 3484-G-A/4443-E-A; 12/22/2015</w:t>
            </w:r>
          </w:p>
        </w:tc>
        <w:tc>
          <w:tcPr>
            <w:tcW w:w="1472" w:type="dxa"/>
          </w:tcPr>
          <w:p w14:paraId="14F13595"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Madera to Fresno (CP01)</w:t>
            </w:r>
          </w:p>
        </w:tc>
        <w:tc>
          <w:tcPr>
            <w:tcW w:w="1228" w:type="dxa"/>
          </w:tcPr>
          <w:p w14:paraId="04A143E3"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$27</w:t>
            </w:r>
          </w:p>
        </w:tc>
        <w:tc>
          <w:tcPr>
            <w:tcW w:w="1116" w:type="dxa"/>
          </w:tcPr>
          <w:p w14:paraId="39B61C21"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$26.1</w:t>
            </w:r>
          </w:p>
        </w:tc>
        <w:tc>
          <w:tcPr>
            <w:tcW w:w="1226" w:type="dxa"/>
          </w:tcPr>
          <w:p w14:paraId="1A61EE77"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$X.X</w:t>
            </w:r>
          </w:p>
        </w:tc>
        <w:tc>
          <w:tcPr>
            <w:tcW w:w="1063" w:type="dxa"/>
          </w:tcPr>
          <w:p w14:paraId="3A0601DB"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$X.X (2017)</w:t>
            </w:r>
          </w:p>
        </w:tc>
        <w:tc>
          <w:tcPr>
            <w:tcW w:w="1305" w:type="dxa"/>
          </w:tcPr>
          <w:p w14:paraId="1381F1FF"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0 of 245</w:t>
            </w:r>
          </w:p>
        </w:tc>
        <w:tc>
          <w:tcPr>
            <w:tcW w:w="1383" w:type="dxa"/>
          </w:tcPr>
          <w:p w14:paraId="7B2D8964"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XX/XX/20XX</w:t>
            </w:r>
            <w:r w:rsidRPr="00325B9D">
              <w:rPr>
                <w:rFonts w:ascii="Palatino Linotype" w:hAnsi="Palatino Linotype"/>
                <w:sz w:val="20"/>
                <w:szCs w:val="20"/>
              </w:rPr>
              <w:br/>
              <w:t>(expected)</w:t>
            </w:r>
          </w:p>
        </w:tc>
        <w:tc>
          <w:tcPr>
            <w:tcW w:w="1208" w:type="dxa"/>
            <w:vAlign w:val="center"/>
          </w:tcPr>
          <w:p w14:paraId="1CFCC5A7"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r>
      <w:tr w:rsidR="00406882" w:rsidRPr="00325B9D" w14:paraId="7E12BFEF" w14:textId="77777777" w:rsidTr="00AB460F">
        <w:tc>
          <w:tcPr>
            <w:tcW w:w="639" w:type="dxa"/>
          </w:tcPr>
          <w:p w14:paraId="70C2A8A4" w14:textId="77777777" w:rsidR="00406882" w:rsidRPr="00325B9D" w:rsidRDefault="00406882" w:rsidP="00250C67">
            <w:pPr>
              <w:pStyle w:val="ListParagraph"/>
              <w:numPr>
                <w:ilvl w:val="0"/>
                <w:numId w:val="43"/>
              </w:numPr>
              <w:ind w:left="270" w:hanging="180"/>
              <w:rPr>
                <w:rFonts w:ascii="Palatino Linotype" w:hAnsi="Palatino Linotype"/>
                <w:sz w:val="20"/>
                <w:szCs w:val="20"/>
              </w:rPr>
            </w:pPr>
          </w:p>
        </w:tc>
        <w:tc>
          <w:tcPr>
            <w:tcW w:w="1287" w:type="dxa"/>
          </w:tcPr>
          <w:p w14:paraId="76CC7E68"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HSRXX-XX</w:t>
            </w:r>
          </w:p>
        </w:tc>
        <w:tc>
          <w:tcPr>
            <w:tcW w:w="1347" w:type="dxa"/>
          </w:tcPr>
          <w:p w14:paraId="1E1A4C1A"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Information-Only Filing XXXX</w:t>
            </w:r>
          </w:p>
        </w:tc>
        <w:tc>
          <w:tcPr>
            <w:tcW w:w="1472" w:type="dxa"/>
          </w:tcPr>
          <w:p w14:paraId="71E63FB5"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228" w:type="dxa"/>
          </w:tcPr>
          <w:p w14:paraId="292700C9"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116" w:type="dxa"/>
          </w:tcPr>
          <w:p w14:paraId="5855E66D"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226" w:type="dxa"/>
          </w:tcPr>
          <w:p w14:paraId="7275C168"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063" w:type="dxa"/>
          </w:tcPr>
          <w:p w14:paraId="2A899C82"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305" w:type="dxa"/>
          </w:tcPr>
          <w:p w14:paraId="7C45E617"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383" w:type="dxa"/>
          </w:tcPr>
          <w:p w14:paraId="2098E968" w14:textId="77777777" w:rsidR="00406882" w:rsidRPr="00325B9D" w:rsidRDefault="00406882" w:rsidP="00F00968">
            <w:pPr>
              <w:rPr>
                <w:rFonts w:ascii="Palatino Linotype" w:hAnsi="Palatino Linotype"/>
                <w:sz w:val="20"/>
                <w:szCs w:val="20"/>
              </w:rPr>
            </w:pPr>
            <w:r w:rsidRPr="00325B9D">
              <w:rPr>
                <w:rFonts w:ascii="Palatino Linotype" w:hAnsi="Palatino Linotype"/>
                <w:sz w:val="20"/>
                <w:szCs w:val="20"/>
              </w:rPr>
              <w:t>TBD</w:t>
            </w:r>
          </w:p>
        </w:tc>
        <w:tc>
          <w:tcPr>
            <w:tcW w:w="1208" w:type="dxa"/>
            <w:vAlign w:val="center"/>
          </w:tcPr>
          <w:p w14:paraId="253F0796"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r>
      <w:tr w:rsidR="00406882" w:rsidRPr="00325B9D" w14:paraId="3D240E2D" w14:textId="77777777" w:rsidTr="00AB460F">
        <w:tc>
          <w:tcPr>
            <w:tcW w:w="1926" w:type="dxa"/>
            <w:gridSpan w:val="2"/>
            <w:vAlign w:val="center"/>
          </w:tcPr>
          <w:p w14:paraId="305A27BD" w14:textId="77777777" w:rsidR="00406882" w:rsidRPr="00325B9D" w:rsidRDefault="00406882" w:rsidP="00F00968">
            <w:pPr>
              <w:jc w:val="center"/>
              <w:rPr>
                <w:rFonts w:ascii="Palatino Linotype" w:hAnsi="Palatino Linotype"/>
                <w:b/>
                <w:sz w:val="20"/>
                <w:szCs w:val="20"/>
              </w:rPr>
            </w:pPr>
            <w:r w:rsidRPr="00325B9D">
              <w:rPr>
                <w:rFonts w:ascii="Palatino Linotype" w:hAnsi="Palatino Linotype"/>
                <w:b/>
                <w:sz w:val="20"/>
                <w:szCs w:val="20"/>
              </w:rPr>
              <w:t>Totals</w:t>
            </w:r>
          </w:p>
        </w:tc>
        <w:tc>
          <w:tcPr>
            <w:tcW w:w="1347" w:type="dxa"/>
            <w:vAlign w:val="center"/>
          </w:tcPr>
          <w:p w14:paraId="0DB35781"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c>
          <w:tcPr>
            <w:tcW w:w="1472" w:type="dxa"/>
            <w:vAlign w:val="center"/>
          </w:tcPr>
          <w:p w14:paraId="34309B2C"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c>
          <w:tcPr>
            <w:tcW w:w="1228" w:type="dxa"/>
            <w:vAlign w:val="center"/>
          </w:tcPr>
          <w:p w14:paraId="47BDC060" w14:textId="77777777" w:rsidR="00406882" w:rsidRPr="00325B9D" w:rsidRDefault="00406882" w:rsidP="00F00968">
            <w:pPr>
              <w:rPr>
                <w:rFonts w:ascii="Palatino Linotype" w:hAnsi="Palatino Linotype"/>
                <w:b/>
                <w:sz w:val="20"/>
                <w:szCs w:val="20"/>
              </w:rPr>
            </w:pPr>
            <w:r w:rsidRPr="00325B9D">
              <w:rPr>
                <w:rFonts w:ascii="Palatino Linotype" w:hAnsi="Palatino Linotype"/>
                <w:b/>
                <w:sz w:val="20"/>
                <w:szCs w:val="20"/>
              </w:rPr>
              <w:t>$29 million</w:t>
            </w:r>
          </w:p>
        </w:tc>
        <w:tc>
          <w:tcPr>
            <w:tcW w:w="1116" w:type="dxa"/>
            <w:vAlign w:val="center"/>
          </w:tcPr>
          <w:p w14:paraId="5589F119" w14:textId="77777777" w:rsidR="00406882" w:rsidRPr="00325B9D" w:rsidRDefault="00406882" w:rsidP="00F00968">
            <w:pPr>
              <w:rPr>
                <w:rFonts w:ascii="Palatino Linotype" w:hAnsi="Palatino Linotype"/>
                <w:b/>
                <w:sz w:val="20"/>
                <w:szCs w:val="20"/>
              </w:rPr>
            </w:pPr>
            <w:r w:rsidRPr="00325B9D">
              <w:rPr>
                <w:rFonts w:ascii="Palatino Linotype" w:hAnsi="Palatino Linotype"/>
                <w:b/>
                <w:sz w:val="20"/>
                <w:szCs w:val="20"/>
              </w:rPr>
              <w:t>$28.1 million</w:t>
            </w:r>
          </w:p>
        </w:tc>
        <w:tc>
          <w:tcPr>
            <w:tcW w:w="1226" w:type="dxa"/>
            <w:vAlign w:val="center"/>
          </w:tcPr>
          <w:p w14:paraId="27F33E33" w14:textId="77777777" w:rsidR="00406882" w:rsidRPr="00325B9D" w:rsidRDefault="00406882" w:rsidP="00F00968">
            <w:pPr>
              <w:rPr>
                <w:rFonts w:ascii="Palatino Linotype" w:hAnsi="Palatino Linotype"/>
                <w:b/>
                <w:sz w:val="20"/>
                <w:szCs w:val="20"/>
              </w:rPr>
            </w:pPr>
            <w:r w:rsidRPr="00325B9D">
              <w:rPr>
                <w:rFonts w:ascii="Palatino Linotype" w:hAnsi="Palatino Linotype"/>
                <w:b/>
                <w:sz w:val="20"/>
                <w:szCs w:val="20"/>
              </w:rPr>
              <w:t>$X.X million</w:t>
            </w:r>
          </w:p>
        </w:tc>
        <w:tc>
          <w:tcPr>
            <w:tcW w:w="1063" w:type="dxa"/>
            <w:vAlign w:val="center"/>
          </w:tcPr>
          <w:p w14:paraId="39A5F681" w14:textId="77777777" w:rsidR="00406882" w:rsidRPr="00325B9D" w:rsidRDefault="00406882" w:rsidP="00F00968">
            <w:pPr>
              <w:rPr>
                <w:rFonts w:ascii="Palatino Linotype" w:hAnsi="Palatino Linotype"/>
                <w:b/>
                <w:sz w:val="20"/>
                <w:szCs w:val="20"/>
              </w:rPr>
            </w:pPr>
            <w:r w:rsidRPr="00325B9D">
              <w:rPr>
                <w:rFonts w:ascii="Palatino Linotype" w:hAnsi="Palatino Linotype"/>
                <w:b/>
                <w:sz w:val="20"/>
                <w:szCs w:val="20"/>
              </w:rPr>
              <w:t xml:space="preserve">$23.8 </w:t>
            </w:r>
            <w:r w:rsidRPr="00325B9D">
              <w:rPr>
                <w:rFonts w:ascii="Palatino Linotype" w:hAnsi="Palatino Linotype"/>
                <w:b/>
                <w:sz w:val="20"/>
                <w:szCs w:val="20"/>
              </w:rPr>
              <w:br/>
              <w:t xml:space="preserve">(all </w:t>
            </w:r>
            <w:r>
              <w:rPr>
                <w:rFonts w:ascii="Palatino Linotype" w:hAnsi="Palatino Linotype"/>
                <w:b/>
                <w:sz w:val="20"/>
                <w:szCs w:val="20"/>
              </w:rPr>
              <w:t>rate cases</w:t>
            </w:r>
            <w:r w:rsidRPr="00325B9D">
              <w:rPr>
                <w:rFonts w:ascii="Palatino Linotype" w:hAnsi="Palatino Linotype"/>
                <w:b/>
                <w:sz w:val="20"/>
                <w:szCs w:val="20"/>
              </w:rPr>
              <w:t>)</w:t>
            </w:r>
          </w:p>
        </w:tc>
        <w:tc>
          <w:tcPr>
            <w:tcW w:w="1305" w:type="dxa"/>
            <w:vAlign w:val="center"/>
          </w:tcPr>
          <w:p w14:paraId="2EEE93BF" w14:textId="77777777" w:rsidR="00406882" w:rsidRPr="00325B9D" w:rsidRDefault="00406882" w:rsidP="00F00968">
            <w:pPr>
              <w:rPr>
                <w:rFonts w:ascii="Palatino Linotype" w:hAnsi="Palatino Linotype"/>
                <w:b/>
                <w:sz w:val="20"/>
                <w:szCs w:val="20"/>
              </w:rPr>
            </w:pPr>
            <w:r w:rsidRPr="00325B9D">
              <w:rPr>
                <w:rFonts w:ascii="Palatino Linotype" w:hAnsi="Palatino Linotype"/>
                <w:b/>
                <w:sz w:val="20"/>
                <w:szCs w:val="20"/>
              </w:rPr>
              <w:t>0 of 245</w:t>
            </w:r>
          </w:p>
        </w:tc>
        <w:tc>
          <w:tcPr>
            <w:tcW w:w="1383" w:type="dxa"/>
            <w:vAlign w:val="center"/>
          </w:tcPr>
          <w:p w14:paraId="11A6DAE9"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c>
          <w:tcPr>
            <w:tcW w:w="1208" w:type="dxa"/>
            <w:vAlign w:val="center"/>
          </w:tcPr>
          <w:p w14:paraId="4928CBED" w14:textId="77777777" w:rsidR="00406882" w:rsidRPr="00325B9D" w:rsidRDefault="00406882" w:rsidP="00F00968">
            <w:pPr>
              <w:jc w:val="center"/>
              <w:rPr>
                <w:rFonts w:ascii="Palatino Linotype" w:hAnsi="Palatino Linotype"/>
                <w:sz w:val="20"/>
                <w:szCs w:val="20"/>
              </w:rPr>
            </w:pPr>
            <w:r w:rsidRPr="00325B9D">
              <w:rPr>
                <w:rFonts w:ascii="Palatino Linotype" w:hAnsi="Palatino Linotype"/>
                <w:sz w:val="20"/>
                <w:szCs w:val="20"/>
              </w:rPr>
              <w:t>—</w:t>
            </w:r>
          </w:p>
        </w:tc>
      </w:tr>
    </w:tbl>
    <w:p w14:paraId="2B40AE57" w14:textId="77777777" w:rsidR="00250C67" w:rsidRPr="00325B9D" w:rsidRDefault="00250C67" w:rsidP="00250C67">
      <w:pPr>
        <w:rPr>
          <w:rFonts w:ascii="Palatino Linotype" w:hAnsi="Palatino Linotype"/>
          <w:sz w:val="20"/>
        </w:rPr>
      </w:pPr>
      <w:r w:rsidRPr="00325B9D">
        <w:rPr>
          <w:rFonts w:ascii="Palatino Linotype" w:hAnsi="Palatino Linotype"/>
          <w:sz w:val="20"/>
        </w:rPr>
        <w:t>Note: List an estimate if unknown and indicate that it is an estimate.</w:t>
      </w:r>
    </w:p>
    <w:p w14:paraId="6B6CF8D9" w14:textId="0BD156F9" w:rsidR="00250C67" w:rsidRDefault="00250C67" w:rsidP="00250C67">
      <w:pPr>
        <w:rPr>
          <w:rFonts w:ascii="Palatino Linotype" w:hAnsi="Palatino Linotype"/>
          <w:sz w:val="20"/>
        </w:rPr>
      </w:pPr>
      <w:r w:rsidRPr="00325B9D">
        <w:rPr>
          <w:rFonts w:ascii="Palatino Linotype" w:hAnsi="Palatino Linotype"/>
          <w:sz w:val="20"/>
        </w:rPr>
        <w:t xml:space="preserve">Key: AL = Advice Letter, </w:t>
      </w:r>
      <w:r w:rsidR="007E66B9">
        <w:rPr>
          <w:rFonts w:eastAsiaTheme="minorHAnsi" w:cstheme="minorBidi"/>
          <w:sz w:val="22"/>
          <w:szCs w:val="22"/>
        </w:rPr>
        <w:t>CHSRA = California High-</w:t>
      </w:r>
      <w:r w:rsidR="007E66B9" w:rsidRPr="00EE00AB">
        <w:rPr>
          <w:rFonts w:eastAsiaTheme="minorHAnsi" w:cstheme="minorBidi"/>
          <w:sz w:val="22"/>
          <w:szCs w:val="22"/>
        </w:rPr>
        <w:t>Speed Rail Authority</w:t>
      </w:r>
      <w:r w:rsidR="007E66B9">
        <w:rPr>
          <w:rFonts w:ascii="Palatino Linotype" w:hAnsi="Palatino Linotype"/>
          <w:sz w:val="20"/>
        </w:rPr>
        <w:t xml:space="preserve">, </w:t>
      </w:r>
      <w:r>
        <w:rPr>
          <w:rFonts w:ascii="Palatino Linotype" w:hAnsi="Palatino Linotype"/>
          <w:sz w:val="20"/>
        </w:rPr>
        <w:t xml:space="preserve">CP = Construction Package, </w:t>
      </w:r>
      <w:r w:rsidR="000F7340">
        <w:rPr>
          <w:rFonts w:ascii="Palatino Linotype" w:hAnsi="Palatino Linotype"/>
          <w:sz w:val="20"/>
        </w:rPr>
        <w:t>HSR = High-</w:t>
      </w:r>
      <w:r w:rsidRPr="00325B9D">
        <w:rPr>
          <w:rFonts w:ascii="Palatino Linotype" w:hAnsi="Palatino Linotype"/>
          <w:sz w:val="20"/>
        </w:rPr>
        <w:t>Speed Rail, kV = kilovolt, TBD = to be determined</w:t>
      </w:r>
    </w:p>
    <w:p w14:paraId="4E939458" w14:textId="77777777" w:rsidR="00250C67" w:rsidRPr="00F200A4" w:rsidRDefault="00250C67" w:rsidP="00250C67">
      <w:pPr>
        <w:rPr>
          <w:b/>
          <w:szCs w:val="26"/>
        </w:rPr>
      </w:pPr>
    </w:p>
    <w:p w14:paraId="0EAEC305" w14:textId="77777777" w:rsidR="00250C67" w:rsidRDefault="00250C67" w:rsidP="00250C67">
      <w:pPr>
        <w:rPr>
          <w:b/>
          <w:szCs w:val="26"/>
        </w:rPr>
      </w:pPr>
      <w:r>
        <w:rPr>
          <w:b/>
          <w:szCs w:val="26"/>
        </w:rPr>
        <w:br w:type="page"/>
      </w:r>
    </w:p>
    <w:p w14:paraId="617C627E" w14:textId="77777777" w:rsidR="00250C67" w:rsidRDefault="00250C67" w:rsidP="00250C67">
      <w:pPr>
        <w:rPr>
          <w:b/>
          <w:szCs w:val="26"/>
        </w:rPr>
      </w:pPr>
    </w:p>
    <w:p w14:paraId="7BDB6724" w14:textId="6649BBC3" w:rsidR="00250C67" w:rsidRPr="00F200A4" w:rsidRDefault="00250C67" w:rsidP="00250C67">
      <w:pPr>
        <w:rPr>
          <w:b/>
          <w:szCs w:val="26"/>
        </w:rPr>
      </w:pPr>
      <w:proofErr w:type="gramStart"/>
      <w:r w:rsidRPr="00F200A4">
        <w:rPr>
          <w:b/>
          <w:szCs w:val="26"/>
        </w:rPr>
        <w:t>Table B-2.</w:t>
      </w:r>
      <w:proofErr w:type="gramEnd"/>
      <w:r w:rsidRPr="00F200A4">
        <w:rPr>
          <w:b/>
          <w:szCs w:val="26"/>
        </w:rPr>
        <w:t xml:space="preserve"> </w:t>
      </w:r>
      <w:r w:rsidR="002C2BB1">
        <w:rPr>
          <w:b/>
          <w:szCs w:val="26"/>
        </w:rPr>
        <w:t xml:space="preserve">Example </w:t>
      </w:r>
      <w:r w:rsidRPr="00F200A4">
        <w:rPr>
          <w:b/>
          <w:szCs w:val="26"/>
        </w:rPr>
        <w:t xml:space="preserve">Annual Report Table 2: Number and Types of </w:t>
      </w:r>
      <w:r w:rsidR="0085324E">
        <w:rPr>
          <w:b/>
          <w:szCs w:val="26"/>
        </w:rPr>
        <w:t>&lt;</w:t>
      </w:r>
      <w:r w:rsidR="007E66B9">
        <w:rPr>
          <w:b/>
          <w:szCs w:val="26"/>
        </w:rPr>
        <w:t>PG&amp;E</w:t>
      </w:r>
      <w:r w:rsidR="0085324E">
        <w:rPr>
          <w:b/>
          <w:szCs w:val="26"/>
        </w:rPr>
        <w:t xml:space="preserve">&gt; </w:t>
      </w:r>
      <w:r w:rsidRPr="00F200A4">
        <w:rPr>
          <w:b/>
          <w:szCs w:val="26"/>
        </w:rPr>
        <w:t>Utility Facilities Relocated to Date by Utility Agreement</w:t>
      </w:r>
      <w:r w:rsidR="000F7340">
        <w:rPr>
          <w:b/>
          <w:szCs w:val="26"/>
        </w:rPr>
        <w:t xml:space="preserve"> for the </w:t>
      </w:r>
      <w:r w:rsidR="007E66B9">
        <w:rPr>
          <w:b/>
          <w:szCs w:val="26"/>
        </w:rPr>
        <w:t>CHSRA</w:t>
      </w:r>
      <w:r w:rsidR="000F7340">
        <w:rPr>
          <w:b/>
          <w:szCs w:val="26"/>
        </w:rPr>
        <w:t xml:space="preserve"> Project</w:t>
      </w:r>
    </w:p>
    <w:tbl>
      <w:tblPr>
        <w:tblStyle w:val="TableGrid"/>
        <w:tblW w:w="13248" w:type="dxa"/>
        <w:tblLayout w:type="fixed"/>
        <w:tblLook w:val="04A0" w:firstRow="1" w:lastRow="0" w:firstColumn="1" w:lastColumn="0" w:noHBand="0" w:noVBand="1"/>
      </w:tblPr>
      <w:tblGrid>
        <w:gridCol w:w="648"/>
        <w:gridCol w:w="1260"/>
        <w:gridCol w:w="1269"/>
        <w:gridCol w:w="1365"/>
        <w:gridCol w:w="1457"/>
        <w:gridCol w:w="1524"/>
        <w:gridCol w:w="1360"/>
        <w:gridCol w:w="1461"/>
        <w:gridCol w:w="1194"/>
        <w:gridCol w:w="1710"/>
      </w:tblGrid>
      <w:tr w:rsidR="00250C67" w14:paraId="6FDFDE48" w14:textId="77777777" w:rsidTr="00DE4CBA">
        <w:tc>
          <w:tcPr>
            <w:tcW w:w="648" w:type="dxa"/>
          </w:tcPr>
          <w:p w14:paraId="2B10DB72"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Item</w:t>
            </w:r>
          </w:p>
        </w:tc>
        <w:tc>
          <w:tcPr>
            <w:tcW w:w="1260" w:type="dxa"/>
          </w:tcPr>
          <w:p w14:paraId="40BF788F"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 xml:space="preserve">Utility Agreement </w:t>
            </w:r>
          </w:p>
        </w:tc>
        <w:tc>
          <w:tcPr>
            <w:tcW w:w="1269" w:type="dxa"/>
          </w:tcPr>
          <w:p w14:paraId="0C80DF1E" w14:textId="77777777" w:rsidR="00250C67" w:rsidRPr="00F200A4" w:rsidRDefault="00250C67" w:rsidP="00F00968">
            <w:pPr>
              <w:ind w:right="-99"/>
              <w:rPr>
                <w:rFonts w:ascii="Palatino Linotype" w:hAnsi="Palatino Linotype"/>
                <w:b/>
                <w:sz w:val="20"/>
                <w:szCs w:val="20"/>
              </w:rPr>
            </w:pPr>
            <w:r w:rsidRPr="00F200A4">
              <w:rPr>
                <w:rFonts w:ascii="Palatino Linotype" w:hAnsi="Palatino Linotype"/>
                <w:b/>
                <w:sz w:val="20"/>
                <w:szCs w:val="20"/>
              </w:rPr>
              <w:t>Total Number  of Facilities Relocated</w:t>
            </w:r>
          </w:p>
        </w:tc>
        <w:tc>
          <w:tcPr>
            <w:tcW w:w="1365" w:type="dxa"/>
          </w:tcPr>
          <w:p w14:paraId="46FC3B38" w14:textId="77777777" w:rsidR="00250C67" w:rsidRPr="00F200A4" w:rsidRDefault="00250C67" w:rsidP="00F00968">
            <w:pPr>
              <w:ind w:right="-84"/>
              <w:rPr>
                <w:rFonts w:ascii="Palatino Linotype" w:hAnsi="Palatino Linotype"/>
                <w:b/>
                <w:sz w:val="20"/>
                <w:szCs w:val="20"/>
              </w:rPr>
            </w:pPr>
            <w:r w:rsidRPr="00F200A4">
              <w:rPr>
                <w:rFonts w:ascii="Palatino Linotype" w:hAnsi="Palatino Linotype"/>
                <w:b/>
                <w:sz w:val="20"/>
                <w:szCs w:val="20"/>
              </w:rPr>
              <w:t>Electric Distribution Lines (under 50 kV)</w:t>
            </w:r>
          </w:p>
        </w:tc>
        <w:tc>
          <w:tcPr>
            <w:tcW w:w="1457" w:type="dxa"/>
          </w:tcPr>
          <w:p w14:paraId="5578AB75"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Electric Power Lines (50 kV to less than 200kV)</w:t>
            </w:r>
          </w:p>
        </w:tc>
        <w:tc>
          <w:tcPr>
            <w:tcW w:w="1524" w:type="dxa"/>
          </w:tcPr>
          <w:p w14:paraId="115698B9"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Electric Transmission Lines (200 kV and above)</w:t>
            </w:r>
          </w:p>
        </w:tc>
        <w:tc>
          <w:tcPr>
            <w:tcW w:w="1360" w:type="dxa"/>
          </w:tcPr>
          <w:p w14:paraId="422DB64B"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Gas Distribution Lines</w:t>
            </w:r>
          </w:p>
        </w:tc>
        <w:tc>
          <w:tcPr>
            <w:tcW w:w="1461" w:type="dxa"/>
          </w:tcPr>
          <w:p w14:paraId="6EB720DA"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Gas Transmission Lines</w:t>
            </w:r>
          </w:p>
        </w:tc>
        <w:tc>
          <w:tcPr>
            <w:tcW w:w="1194" w:type="dxa"/>
          </w:tcPr>
          <w:p w14:paraId="02744196" w14:textId="77777777" w:rsidR="00250C67" w:rsidRPr="00F200A4" w:rsidRDefault="00250C67" w:rsidP="00F00968">
            <w:pPr>
              <w:rPr>
                <w:rFonts w:ascii="Palatino Linotype" w:hAnsi="Palatino Linotype"/>
                <w:b/>
                <w:sz w:val="20"/>
                <w:szCs w:val="20"/>
              </w:rPr>
            </w:pPr>
            <w:r>
              <w:rPr>
                <w:rFonts w:ascii="Palatino Linotype" w:hAnsi="Palatino Linotype"/>
                <w:b/>
                <w:sz w:val="20"/>
                <w:szCs w:val="20"/>
              </w:rPr>
              <w:t>Telecommunications Lines</w:t>
            </w:r>
          </w:p>
        </w:tc>
        <w:tc>
          <w:tcPr>
            <w:tcW w:w="1710" w:type="dxa"/>
          </w:tcPr>
          <w:p w14:paraId="4104CAAB" w14:textId="77777777" w:rsidR="00250C67" w:rsidRPr="00F200A4" w:rsidRDefault="00250C67" w:rsidP="00F00968">
            <w:pPr>
              <w:rPr>
                <w:rFonts w:ascii="Palatino Linotype" w:hAnsi="Palatino Linotype"/>
                <w:b/>
                <w:sz w:val="20"/>
                <w:szCs w:val="20"/>
              </w:rPr>
            </w:pPr>
            <w:r w:rsidRPr="00F200A4">
              <w:rPr>
                <w:rFonts w:ascii="Palatino Linotype" w:hAnsi="Palatino Linotype"/>
                <w:b/>
                <w:sz w:val="20"/>
                <w:szCs w:val="20"/>
              </w:rPr>
              <w:t>Notes</w:t>
            </w:r>
          </w:p>
        </w:tc>
      </w:tr>
      <w:tr w:rsidR="00250C67" w14:paraId="193ABB6D" w14:textId="77777777" w:rsidTr="00DE4CBA">
        <w:tc>
          <w:tcPr>
            <w:tcW w:w="648" w:type="dxa"/>
          </w:tcPr>
          <w:p w14:paraId="7A5F7108" w14:textId="77777777" w:rsidR="00250C67" w:rsidRPr="00F200A4" w:rsidRDefault="00250C67" w:rsidP="00250C67">
            <w:pPr>
              <w:pStyle w:val="ListParagraph"/>
              <w:numPr>
                <w:ilvl w:val="0"/>
                <w:numId w:val="44"/>
              </w:numPr>
              <w:ind w:left="270" w:hanging="180"/>
              <w:rPr>
                <w:rFonts w:ascii="Palatino Linotype" w:hAnsi="Palatino Linotype"/>
                <w:sz w:val="20"/>
                <w:szCs w:val="20"/>
              </w:rPr>
            </w:pPr>
          </w:p>
        </w:tc>
        <w:tc>
          <w:tcPr>
            <w:tcW w:w="1260" w:type="dxa"/>
          </w:tcPr>
          <w:p w14:paraId="3A8029EE"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HSR14-19</w:t>
            </w:r>
          </w:p>
        </w:tc>
        <w:tc>
          <w:tcPr>
            <w:tcW w:w="1269" w:type="dxa"/>
          </w:tcPr>
          <w:p w14:paraId="61D56A33"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365" w:type="dxa"/>
          </w:tcPr>
          <w:p w14:paraId="5357FF17"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457" w:type="dxa"/>
          </w:tcPr>
          <w:p w14:paraId="71E20A04"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524" w:type="dxa"/>
          </w:tcPr>
          <w:p w14:paraId="07A7348A"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360" w:type="dxa"/>
          </w:tcPr>
          <w:p w14:paraId="349759FD"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461" w:type="dxa"/>
          </w:tcPr>
          <w:p w14:paraId="2D64202B"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194" w:type="dxa"/>
          </w:tcPr>
          <w:p w14:paraId="7532E29E"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710" w:type="dxa"/>
          </w:tcPr>
          <w:p w14:paraId="3C2CAECD"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 xml:space="preserve">Planning work only </w:t>
            </w:r>
          </w:p>
        </w:tc>
      </w:tr>
      <w:tr w:rsidR="00250C67" w14:paraId="7B81A710" w14:textId="77777777" w:rsidTr="00DE4CBA">
        <w:tc>
          <w:tcPr>
            <w:tcW w:w="648" w:type="dxa"/>
          </w:tcPr>
          <w:p w14:paraId="7D350CFA" w14:textId="77777777" w:rsidR="00250C67" w:rsidRPr="00F200A4" w:rsidRDefault="00250C67" w:rsidP="00250C67">
            <w:pPr>
              <w:pStyle w:val="ListParagraph"/>
              <w:numPr>
                <w:ilvl w:val="0"/>
                <w:numId w:val="44"/>
              </w:numPr>
              <w:ind w:left="270" w:hanging="180"/>
              <w:rPr>
                <w:rFonts w:ascii="Palatino Linotype" w:hAnsi="Palatino Linotype"/>
                <w:sz w:val="20"/>
                <w:szCs w:val="20"/>
              </w:rPr>
            </w:pPr>
          </w:p>
        </w:tc>
        <w:tc>
          <w:tcPr>
            <w:tcW w:w="1260" w:type="dxa"/>
          </w:tcPr>
          <w:p w14:paraId="773FBE7D"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HSR14-19-1</w:t>
            </w:r>
          </w:p>
        </w:tc>
        <w:tc>
          <w:tcPr>
            <w:tcW w:w="1269" w:type="dxa"/>
          </w:tcPr>
          <w:p w14:paraId="637BC25C"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365" w:type="dxa"/>
          </w:tcPr>
          <w:p w14:paraId="1DDC347E"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457" w:type="dxa"/>
          </w:tcPr>
          <w:p w14:paraId="23D67CEC"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524" w:type="dxa"/>
          </w:tcPr>
          <w:p w14:paraId="76833795"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360" w:type="dxa"/>
          </w:tcPr>
          <w:p w14:paraId="22F844C5"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461" w:type="dxa"/>
          </w:tcPr>
          <w:p w14:paraId="2972F3CA"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194" w:type="dxa"/>
          </w:tcPr>
          <w:p w14:paraId="39FF4508"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None</w:t>
            </w:r>
          </w:p>
        </w:tc>
        <w:tc>
          <w:tcPr>
            <w:tcW w:w="1710" w:type="dxa"/>
          </w:tcPr>
          <w:p w14:paraId="110803AC" w14:textId="77777777" w:rsidR="00250C67" w:rsidRPr="00F200A4" w:rsidRDefault="00250C67" w:rsidP="00F00968">
            <w:pPr>
              <w:rPr>
                <w:rFonts w:ascii="Palatino Linotype" w:hAnsi="Palatino Linotype"/>
                <w:sz w:val="20"/>
                <w:szCs w:val="20"/>
              </w:rPr>
            </w:pPr>
            <w:r w:rsidRPr="00F200A4">
              <w:rPr>
                <w:rFonts w:ascii="Palatino Linotype" w:hAnsi="Palatino Linotype"/>
                <w:sz w:val="20"/>
                <w:szCs w:val="20"/>
              </w:rPr>
              <w:t xml:space="preserve">Planning work only </w:t>
            </w:r>
          </w:p>
        </w:tc>
      </w:tr>
      <w:tr w:rsidR="00250C67" w14:paraId="5421E9F9" w14:textId="77777777" w:rsidTr="00DE4CBA">
        <w:tc>
          <w:tcPr>
            <w:tcW w:w="648" w:type="dxa"/>
          </w:tcPr>
          <w:p w14:paraId="37F2F8E4" w14:textId="77777777" w:rsidR="00250C67" w:rsidRPr="00F200A4" w:rsidRDefault="00250C67" w:rsidP="00250C67">
            <w:pPr>
              <w:pStyle w:val="ListParagraph"/>
              <w:numPr>
                <w:ilvl w:val="0"/>
                <w:numId w:val="44"/>
              </w:numPr>
              <w:ind w:left="270" w:hanging="180"/>
              <w:rPr>
                <w:rFonts w:ascii="Palatino Linotype" w:hAnsi="Palatino Linotype"/>
                <w:sz w:val="20"/>
                <w:szCs w:val="20"/>
              </w:rPr>
            </w:pPr>
          </w:p>
        </w:tc>
        <w:tc>
          <w:tcPr>
            <w:tcW w:w="1260" w:type="dxa"/>
          </w:tcPr>
          <w:p w14:paraId="7F4301D7" w14:textId="77777777" w:rsidR="00250C67" w:rsidRPr="00BE63AA" w:rsidRDefault="00250C67" w:rsidP="00F00968">
            <w:pPr>
              <w:rPr>
                <w:rFonts w:ascii="Palatino Linotype" w:hAnsi="Palatino Linotype"/>
                <w:sz w:val="20"/>
                <w:szCs w:val="20"/>
              </w:rPr>
            </w:pPr>
            <w:r w:rsidRPr="00BE63AA">
              <w:rPr>
                <w:rFonts w:ascii="Palatino Linotype" w:hAnsi="Palatino Linotype"/>
                <w:sz w:val="20"/>
                <w:szCs w:val="20"/>
              </w:rPr>
              <w:t>HSR15-36</w:t>
            </w:r>
          </w:p>
        </w:tc>
        <w:tc>
          <w:tcPr>
            <w:tcW w:w="1269" w:type="dxa"/>
          </w:tcPr>
          <w:p w14:paraId="48AA8C17" w14:textId="77777777" w:rsidR="00250C67" w:rsidRPr="00BE63AA" w:rsidRDefault="00250C67" w:rsidP="00F00968">
            <w:pPr>
              <w:rPr>
                <w:rFonts w:ascii="Palatino Linotype" w:hAnsi="Palatino Linotype"/>
                <w:sz w:val="20"/>
                <w:szCs w:val="20"/>
              </w:rPr>
            </w:pPr>
            <w:r>
              <w:rPr>
                <w:rFonts w:ascii="Palatino Linotype" w:hAnsi="Palatino Linotype"/>
                <w:sz w:val="20"/>
                <w:szCs w:val="20"/>
              </w:rPr>
              <w:t>245</w:t>
            </w:r>
          </w:p>
        </w:tc>
        <w:tc>
          <w:tcPr>
            <w:tcW w:w="1365" w:type="dxa"/>
          </w:tcPr>
          <w:p w14:paraId="51CD3947" w14:textId="77777777" w:rsidR="00250C67" w:rsidRPr="00BE63AA" w:rsidRDefault="00250C67" w:rsidP="00F00968">
            <w:pPr>
              <w:rPr>
                <w:rFonts w:ascii="Palatino Linotype" w:hAnsi="Palatino Linotype"/>
                <w:sz w:val="20"/>
                <w:szCs w:val="20"/>
              </w:rPr>
            </w:pPr>
            <w:r>
              <w:rPr>
                <w:rFonts w:ascii="Palatino Linotype" w:hAnsi="Palatino Linotype"/>
                <w:sz w:val="20"/>
                <w:szCs w:val="20"/>
              </w:rPr>
              <w:t>148</w:t>
            </w:r>
          </w:p>
        </w:tc>
        <w:tc>
          <w:tcPr>
            <w:tcW w:w="1457" w:type="dxa"/>
          </w:tcPr>
          <w:p w14:paraId="491B3A59" w14:textId="77777777" w:rsidR="00250C67" w:rsidRPr="00BE63AA" w:rsidRDefault="00250C67" w:rsidP="00F00968">
            <w:pPr>
              <w:rPr>
                <w:rFonts w:ascii="Palatino Linotype" w:hAnsi="Palatino Linotype"/>
                <w:sz w:val="20"/>
                <w:szCs w:val="20"/>
              </w:rPr>
            </w:pPr>
            <w:r w:rsidRPr="00BE63AA">
              <w:rPr>
                <w:rFonts w:ascii="Palatino Linotype" w:hAnsi="Palatino Linotype"/>
                <w:sz w:val="20"/>
                <w:szCs w:val="20"/>
              </w:rPr>
              <w:t>0</w:t>
            </w:r>
          </w:p>
        </w:tc>
        <w:tc>
          <w:tcPr>
            <w:tcW w:w="1524" w:type="dxa"/>
          </w:tcPr>
          <w:p w14:paraId="349A5534" w14:textId="77777777" w:rsidR="00250C67" w:rsidRPr="00BE63AA" w:rsidRDefault="00250C67" w:rsidP="00F00968">
            <w:pPr>
              <w:rPr>
                <w:rFonts w:ascii="Palatino Linotype" w:hAnsi="Palatino Linotype"/>
                <w:sz w:val="20"/>
                <w:szCs w:val="20"/>
              </w:rPr>
            </w:pPr>
            <w:r w:rsidRPr="00BE63AA">
              <w:rPr>
                <w:rFonts w:ascii="Palatino Linotype" w:hAnsi="Palatino Linotype"/>
                <w:sz w:val="20"/>
                <w:szCs w:val="20"/>
              </w:rPr>
              <w:t>3</w:t>
            </w:r>
          </w:p>
        </w:tc>
        <w:tc>
          <w:tcPr>
            <w:tcW w:w="1360" w:type="dxa"/>
          </w:tcPr>
          <w:p w14:paraId="1FC382CF" w14:textId="77777777" w:rsidR="00250C67" w:rsidRPr="00BE63AA" w:rsidRDefault="00250C67" w:rsidP="00F00968">
            <w:pPr>
              <w:rPr>
                <w:rFonts w:ascii="Palatino Linotype" w:hAnsi="Palatino Linotype"/>
                <w:sz w:val="20"/>
                <w:szCs w:val="20"/>
              </w:rPr>
            </w:pPr>
            <w:r>
              <w:rPr>
                <w:rFonts w:ascii="Palatino Linotype" w:hAnsi="Palatino Linotype"/>
                <w:sz w:val="20"/>
                <w:szCs w:val="20"/>
              </w:rPr>
              <w:t>84</w:t>
            </w:r>
          </w:p>
        </w:tc>
        <w:tc>
          <w:tcPr>
            <w:tcW w:w="1461" w:type="dxa"/>
          </w:tcPr>
          <w:p w14:paraId="2A7E0DA7" w14:textId="77777777" w:rsidR="00250C67" w:rsidRPr="00BE63AA" w:rsidRDefault="00250C67" w:rsidP="00F00968">
            <w:pPr>
              <w:rPr>
                <w:rFonts w:ascii="Palatino Linotype" w:hAnsi="Palatino Linotype"/>
                <w:sz w:val="20"/>
                <w:szCs w:val="20"/>
              </w:rPr>
            </w:pPr>
            <w:r>
              <w:rPr>
                <w:rFonts w:ascii="Palatino Linotype" w:hAnsi="Palatino Linotype"/>
                <w:sz w:val="20"/>
                <w:szCs w:val="20"/>
              </w:rPr>
              <w:t>7</w:t>
            </w:r>
          </w:p>
        </w:tc>
        <w:tc>
          <w:tcPr>
            <w:tcW w:w="1194" w:type="dxa"/>
          </w:tcPr>
          <w:p w14:paraId="40DE79F6" w14:textId="77777777" w:rsidR="00250C67" w:rsidRPr="00BE63AA" w:rsidRDefault="00250C67" w:rsidP="00F00968">
            <w:pPr>
              <w:rPr>
                <w:rFonts w:ascii="Palatino Linotype" w:hAnsi="Palatino Linotype"/>
                <w:sz w:val="20"/>
                <w:szCs w:val="20"/>
              </w:rPr>
            </w:pPr>
            <w:r>
              <w:rPr>
                <w:rFonts w:ascii="Palatino Linotype" w:hAnsi="Palatino Linotype"/>
                <w:sz w:val="20"/>
                <w:szCs w:val="20"/>
              </w:rPr>
              <w:t>3</w:t>
            </w:r>
          </w:p>
        </w:tc>
        <w:tc>
          <w:tcPr>
            <w:tcW w:w="1710" w:type="dxa"/>
          </w:tcPr>
          <w:p w14:paraId="31F9B859" w14:textId="77777777" w:rsidR="00250C67" w:rsidRPr="00BE63AA" w:rsidRDefault="00250C67" w:rsidP="00F00968">
            <w:pPr>
              <w:jc w:val="center"/>
              <w:rPr>
                <w:rFonts w:ascii="Palatino Linotype" w:hAnsi="Palatino Linotype"/>
                <w:sz w:val="20"/>
                <w:szCs w:val="20"/>
              </w:rPr>
            </w:pPr>
            <w:r w:rsidRPr="00BE63AA">
              <w:rPr>
                <w:rFonts w:ascii="Palatino Linotype" w:hAnsi="Palatino Linotype"/>
                <w:sz w:val="20"/>
                <w:szCs w:val="20"/>
              </w:rPr>
              <w:t>—</w:t>
            </w:r>
          </w:p>
        </w:tc>
      </w:tr>
      <w:tr w:rsidR="002420EE" w14:paraId="4D35006A" w14:textId="77777777" w:rsidTr="00DE4CBA">
        <w:tc>
          <w:tcPr>
            <w:tcW w:w="648" w:type="dxa"/>
          </w:tcPr>
          <w:p w14:paraId="67B5615F" w14:textId="77777777" w:rsidR="002420EE" w:rsidRPr="00F200A4" w:rsidRDefault="002420EE" w:rsidP="00250C67">
            <w:pPr>
              <w:pStyle w:val="ListParagraph"/>
              <w:numPr>
                <w:ilvl w:val="0"/>
                <w:numId w:val="44"/>
              </w:numPr>
              <w:ind w:left="270" w:hanging="180"/>
              <w:rPr>
                <w:rFonts w:ascii="Palatino Linotype" w:hAnsi="Palatino Linotype"/>
                <w:sz w:val="20"/>
              </w:rPr>
            </w:pPr>
          </w:p>
        </w:tc>
        <w:tc>
          <w:tcPr>
            <w:tcW w:w="1260" w:type="dxa"/>
          </w:tcPr>
          <w:p w14:paraId="346579DD" w14:textId="7A6DF8B6" w:rsidR="002420EE" w:rsidRPr="00BE63AA" w:rsidRDefault="002420EE" w:rsidP="00F00968">
            <w:pPr>
              <w:rPr>
                <w:rFonts w:ascii="Palatino Linotype" w:hAnsi="Palatino Linotype"/>
                <w:sz w:val="20"/>
              </w:rPr>
            </w:pPr>
            <w:r w:rsidRPr="00325B9D">
              <w:rPr>
                <w:rFonts w:ascii="Palatino Linotype" w:hAnsi="Palatino Linotype"/>
                <w:sz w:val="20"/>
                <w:szCs w:val="20"/>
              </w:rPr>
              <w:t>HSRXX-XX</w:t>
            </w:r>
          </w:p>
        </w:tc>
        <w:tc>
          <w:tcPr>
            <w:tcW w:w="1269" w:type="dxa"/>
          </w:tcPr>
          <w:p w14:paraId="3400F2E5" w14:textId="3ED46537" w:rsidR="002420EE" w:rsidRDefault="002420EE" w:rsidP="00F00968">
            <w:pPr>
              <w:rPr>
                <w:rFonts w:ascii="Palatino Linotype" w:hAnsi="Palatino Linotype"/>
                <w:sz w:val="20"/>
              </w:rPr>
            </w:pPr>
            <w:r w:rsidRPr="00325B9D">
              <w:rPr>
                <w:rFonts w:ascii="Palatino Linotype" w:hAnsi="Palatino Linotype"/>
                <w:sz w:val="20"/>
                <w:szCs w:val="20"/>
              </w:rPr>
              <w:t>TBD</w:t>
            </w:r>
          </w:p>
        </w:tc>
        <w:tc>
          <w:tcPr>
            <w:tcW w:w="1365" w:type="dxa"/>
          </w:tcPr>
          <w:p w14:paraId="23730C57" w14:textId="7C69346A" w:rsidR="002420EE" w:rsidRDefault="002420EE" w:rsidP="00F00968">
            <w:pPr>
              <w:rPr>
                <w:rFonts w:ascii="Palatino Linotype" w:hAnsi="Palatino Linotype"/>
                <w:sz w:val="20"/>
              </w:rPr>
            </w:pPr>
            <w:r w:rsidRPr="002B3B6B">
              <w:rPr>
                <w:rFonts w:ascii="Palatino Linotype" w:hAnsi="Palatino Linotype"/>
                <w:sz w:val="20"/>
                <w:szCs w:val="20"/>
              </w:rPr>
              <w:t>TBD</w:t>
            </w:r>
          </w:p>
        </w:tc>
        <w:tc>
          <w:tcPr>
            <w:tcW w:w="1457" w:type="dxa"/>
          </w:tcPr>
          <w:p w14:paraId="0FAD3495" w14:textId="6B0CC19D" w:rsidR="002420EE" w:rsidRPr="00BE63AA" w:rsidRDefault="002420EE" w:rsidP="00F00968">
            <w:pPr>
              <w:rPr>
                <w:rFonts w:ascii="Palatino Linotype" w:hAnsi="Palatino Linotype"/>
                <w:sz w:val="20"/>
              </w:rPr>
            </w:pPr>
            <w:r w:rsidRPr="002B3B6B">
              <w:rPr>
                <w:rFonts w:ascii="Palatino Linotype" w:hAnsi="Palatino Linotype"/>
                <w:sz w:val="20"/>
                <w:szCs w:val="20"/>
              </w:rPr>
              <w:t>TBD</w:t>
            </w:r>
          </w:p>
        </w:tc>
        <w:tc>
          <w:tcPr>
            <w:tcW w:w="1524" w:type="dxa"/>
          </w:tcPr>
          <w:p w14:paraId="02C6FCD8" w14:textId="636C8EA8" w:rsidR="002420EE" w:rsidRPr="00BE63AA" w:rsidRDefault="002420EE" w:rsidP="00F00968">
            <w:pPr>
              <w:rPr>
                <w:rFonts w:ascii="Palatino Linotype" w:hAnsi="Palatino Linotype"/>
                <w:sz w:val="20"/>
              </w:rPr>
            </w:pPr>
            <w:r w:rsidRPr="002B3B6B">
              <w:rPr>
                <w:rFonts w:ascii="Palatino Linotype" w:hAnsi="Palatino Linotype"/>
                <w:sz w:val="20"/>
                <w:szCs w:val="20"/>
              </w:rPr>
              <w:t>TBD</w:t>
            </w:r>
          </w:p>
        </w:tc>
        <w:tc>
          <w:tcPr>
            <w:tcW w:w="1360" w:type="dxa"/>
          </w:tcPr>
          <w:p w14:paraId="26DE8D3D" w14:textId="56A9AF27" w:rsidR="002420EE" w:rsidRDefault="002420EE" w:rsidP="00F00968">
            <w:pPr>
              <w:rPr>
                <w:rFonts w:ascii="Palatino Linotype" w:hAnsi="Palatino Linotype"/>
                <w:sz w:val="20"/>
              </w:rPr>
            </w:pPr>
            <w:r w:rsidRPr="002B3B6B">
              <w:rPr>
                <w:rFonts w:ascii="Palatino Linotype" w:hAnsi="Palatino Linotype"/>
                <w:sz w:val="20"/>
                <w:szCs w:val="20"/>
              </w:rPr>
              <w:t>TBD</w:t>
            </w:r>
          </w:p>
        </w:tc>
        <w:tc>
          <w:tcPr>
            <w:tcW w:w="1461" w:type="dxa"/>
          </w:tcPr>
          <w:p w14:paraId="42DD1B6E" w14:textId="46B14921" w:rsidR="002420EE" w:rsidRDefault="002420EE" w:rsidP="00F00968">
            <w:pPr>
              <w:rPr>
                <w:rFonts w:ascii="Palatino Linotype" w:hAnsi="Palatino Linotype"/>
                <w:sz w:val="20"/>
              </w:rPr>
            </w:pPr>
            <w:r w:rsidRPr="002B3B6B">
              <w:rPr>
                <w:rFonts w:ascii="Palatino Linotype" w:hAnsi="Palatino Linotype"/>
                <w:sz w:val="20"/>
                <w:szCs w:val="20"/>
              </w:rPr>
              <w:t>TBD</w:t>
            </w:r>
          </w:p>
        </w:tc>
        <w:tc>
          <w:tcPr>
            <w:tcW w:w="1194" w:type="dxa"/>
          </w:tcPr>
          <w:p w14:paraId="37721345" w14:textId="1A4F484A" w:rsidR="002420EE" w:rsidRDefault="002420EE" w:rsidP="00F00968">
            <w:pPr>
              <w:rPr>
                <w:rFonts w:ascii="Palatino Linotype" w:hAnsi="Palatino Linotype"/>
                <w:sz w:val="20"/>
              </w:rPr>
            </w:pPr>
            <w:r w:rsidRPr="002B3B6B">
              <w:rPr>
                <w:rFonts w:ascii="Palatino Linotype" w:hAnsi="Palatino Linotype"/>
                <w:sz w:val="20"/>
                <w:szCs w:val="20"/>
              </w:rPr>
              <w:t>TBD</w:t>
            </w:r>
          </w:p>
        </w:tc>
        <w:tc>
          <w:tcPr>
            <w:tcW w:w="1710" w:type="dxa"/>
          </w:tcPr>
          <w:p w14:paraId="2E59FC68" w14:textId="730547E5" w:rsidR="002420EE" w:rsidRPr="00BE63AA" w:rsidRDefault="002420EE" w:rsidP="00F00968">
            <w:pPr>
              <w:jc w:val="center"/>
              <w:rPr>
                <w:rFonts w:ascii="Palatino Linotype" w:hAnsi="Palatino Linotype"/>
                <w:sz w:val="20"/>
              </w:rPr>
            </w:pPr>
            <w:r w:rsidRPr="00BE63AA">
              <w:rPr>
                <w:rFonts w:ascii="Palatino Linotype" w:hAnsi="Palatino Linotype"/>
                <w:sz w:val="20"/>
                <w:szCs w:val="20"/>
              </w:rPr>
              <w:t>—</w:t>
            </w:r>
          </w:p>
        </w:tc>
      </w:tr>
      <w:tr w:rsidR="00250C67" w14:paraId="44A54B69" w14:textId="77777777" w:rsidTr="00DE4CBA">
        <w:tc>
          <w:tcPr>
            <w:tcW w:w="1908" w:type="dxa"/>
            <w:gridSpan w:val="2"/>
          </w:tcPr>
          <w:p w14:paraId="3419E5C7" w14:textId="77777777" w:rsidR="00250C67" w:rsidRPr="00BE63AA" w:rsidRDefault="00250C67" w:rsidP="00F00968">
            <w:pPr>
              <w:jc w:val="center"/>
              <w:rPr>
                <w:rFonts w:ascii="Palatino Linotype" w:hAnsi="Palatino Linotype"/>
                <w:b/>
                <w:sz w:val="20"/>
                <w:szCs w:val="20"/>
              </w:rPr>
            </w:pPr>
            <w:r w:rsidRPr="00BE63AA">
              <w:rPr>
                <w:rFonts w:ascii="Palatino Linotype" w:hAnsi="Palatino Linotype"/>
                <w:b/>
                <w:sz w:val="20"/>
                <w:szCs w:val="20"/>
              </w:rPr>
              <w:t>Totals</w:t>
            </w:r>
          </w:p>
        </w:tc>
        <w:tc>
          <w:tcPr>
            <w:tcW w:w="1269" w:type="dxa"/>
          </w:tcPr>
          <w:p w14:paraId="6090C17B" w14:textId="77777777" w:rsidR="00250C67" w:rsidRPr="00BE63AA" w:rsidRDefault="00250C67" w:rsidP="00F00968">
            <w:pPr>
              <w:rPr>
                <w:rFonts w:ascii="Palatino Linotype" w:hAnsi="Palatino Linotype"/>
                <w:b/>
                <w:sz w:val="20"/>
                <w:szCs w:val="20"/>
              </w:rPr>
            </w:pPr>
            <w:r>
              <w:rPr>
                <w:rFonts w:ascii="Palatino Linotype" w:hAnsi="Palatino Linotype"/>
                <w:b/>
                <w:sz w:val="20"/>
                <w:szCs w:val="20"/>
              </w:rPr>
              <w:t>245</w:t>
            </w:r>
          </w:p>
        </w:tc>
        <w:tc>
          <w:tcPr>
            <w:tcW w:w="1365" w:type="dxa"/>
          </w:tcPr>
          <w:p w14:paraId="2C5B82BF" w14:textId="77777777" w:rsidR="00250C67" w:rsidRPr="00BE63AA" w:rsidRDefault="00250C67" w:rsidP="00F00968">
            <w:pPr>
              <w:rPr>
                <w:rFonts w:ascii="Palatino Linotype" w:hAnsi="Palatino Linotype"/>
                <w:b/>
                <w:sz w:val="20"/>
                <w:szCs w:val="20"/>
              </w:rPr>
            </w:pPr>
            <w:r>
              <w:rPr>
                <w:rFonts w:ascii="Palatino Linotype" w:hAnsi="Palatino Linotype"/>
                <w:b/>
                <w:sz w:val="20"/>
                <w:szCs w:val="20"/>
              </w:rPr>
              <w:t>148</w:t>
            </w:r>
          </w:p>
        </w:tc>
        <w:tc>
          <w:tcPr>
            <w:tcW w:w="1457" w:type="dxa"/>
          </w:tcPr>
          <w:p w14:paraId="4DB3A4EA" w14:textId="77777777" w:rsidR="00250C67" w:rsidRPr="00BE63AA" w:rsidRDefault="00250C67" w:rsidP="00F00968">
            <w:pPr>
              <w:rPr>
                <w:rFonts w:ascii="Palatino Linotype" w:hAnsi="Palatino Linotype"/>
                <w:b/>
                <w:sz w:val="20"/>
                <w:szCs w:val="20"/>
              </w:rPr>
            </w:pPr>
            <w:r w:rsidRPr="00BE63AA">
              <w:rPr>
                <w:rFonts w:ascii="Palatino Linotype" w:hAnsi="Palatino Linotype"/>
                <w:b/>
                <w:sz w:val="20"/>
                <w:szCs w:val="20"/>
              </w:rPr>
              <w:t>0</w:t>
            </w:r>
          </w:p>
        </w:tc>
        <w:tc>
          <w:tcPr>
            <w:tcW w:w="1524" w:type="dxa"/>
          </w:tcPr>
          <w:p w14:paraId="7FCA8271" w14:textId="77777777" w:rsidR="00250C67" w:rsidRPr="00BE63AA" w:rsidRDefault="00250C67" w:rsidP="00F00968">
            <w:pPr>
              <w:rPr>
                <w:rFonts w:ascii="Palatino Linotype" w:hAnsi="Palatino Linotype"/>
                <w:b/>
                <w:sz w:val="20"/>
                <w:szCs w:val="20"/>
              </w:rPr>
            </w:pPr>
            <w:r w:rsidRPr="00BE63AA">
              <w:rPr>
                <w:rFonts w:ascii="Palatino Linotype" w:hAnsi="Palatino Linotype"/>
                <w:b/>
                <w:sz w:val="20"/>
                <w:szCs w:val="20"/>
              </w:rPr>
              <w:t>3</w:t>
            </w:r>
          </w:p>
        </w:tc>
        <w:tc>
          <w:tcPr>
            <w:tcW w:w="1360" w:type="dxa"/>
          </w:tcPr>
          <w:p w14:paraId="16FB164D" w14:textId="77777777" w:rsidR="00250C67" w:rsidRPr="00BE63AA" w:rsidRDefault="00250C67" w:rsidP="00F00968">
            <w:pPr>
              <w:rPr>
                <w:rFonts w:ascii="Palatino Linotype" w:hAnsi="Palatino Linotype"/>
                <w:b/>
                <w:sz w:val="20"/>
                <w:szCs w:val="20"/>
              </w:rPr>
            </w:pPr>
            <w:r>
              <w:rPr>
                <w:rFonts w:ascii="Palatino Linotype" w:hAnsi="Palatino Linotype"/>
                <w:b/>
                <w:sz w:val="20"/>
                <w:szCs w:val="20"/>
              </w:rPr>
              <w:t>84</w:t>
            </w:r>
          </w:p>
        </w:tc>
        <w:tc>
          <w:tcPr>
            <w:tcW w:w="1461" w:type="dxa"/>
          </w:tcPr>
          <w:p w14:paraId="39933501" w14:textId="77777777" w:rsidR="00250C67" w:rsidRPr="00BE63AA" w:rsidRDefault="00250C67" w:rsidP="00F00968">
            <w:pPr>
              <w:rPr>
                <w:rFonts w:ascii="Palatino Linotype" w:hAnsi="Palatino Linotype"/>
                <w:b/>
                <w:sz w:val="20"/>
                <w:szCs w:val="20"/>
              </w:rPr>
            </w:pPr>
            <w:r w:rsidRPr="00BE63AA">
              <w:rPr>
                <w:rFonts w:ascii="Palatino Linotype" w:hAnsi="Palatino Linotype"/>
                <w:b/>
                <w:sz w:val="20"/>
                <w:szCs w:val="20"/>
              </w:rPr>
              <w:t>7</w:t>
            </w:r>
          </w:p>
        </w:tc>
        <w:tc>
          <w:tcPr>
            <w:tcW w:w="1194" w:type="dxa"/>
          </w:tcPr>
          <w:p w14:paraId="5F654792" w14:textId="77777777" w:rsidR="00250C67" w:rsidRPr="00BE63AA" w:rsidRDefault="00250C67" w:rsidP="00F00968">
            <w:pPr>
              <w:rPr>
                <w:rFonts w:ascii="Palatino Linotype" w:hAnsi="Palatino Linotype"/>
                <w:b/>
                <w:sz w:val="20"/>
                <w:szCs w:val="20"/>
              </w:rPr>
            </w:pPr>
            <w:r w:rsidRPr="00BE63AA">
              <w:rPr>
                <w:rFonts w:ascii="Palatino Linotype" w:hAnsi="Palatino Linotype"/>
                <w:b/>
                <w:sz w:val="20"/>
                <w:szCs w:val="20"/>
              </w:rPr>
              <w:t>3</w:t>
            </w:r>
          </w:p>
        </w:tc>
        <w:tc>
          <w:tcPr>
            <w:tcW w:w="1710" w:type="dxa"/>
            <w:vAlign w:val="center"/>
          </w:tcPr>
          <w:p w14:paraId="4B778E92" w14:textId="77777777" w:rsidR="00250C67" w:rsidRPr="00BE63AA" w:rsidRDefault="00250C67" w:rsidP="00F00968">
            <w:pPr>
              <w:jc w:val="center"/>
              <w:rPr>
                <w:rFonts w:ascii="Palatino Linotype" w:hAnsi="Palatino Linotype"/>
                <w:sz w:val="20"/>
                <w:szCs w:val="20"/>
              </w:rPr>
            </w:pPr>
            <w:r w:rsidRPr="00BE63AA">
              <w:rPr>
                <w:rFonts w:ascii="Palatino Linotype" w:hAnsi="Palatino Linotype"/>
                <w:sz w:val="20"/>
                <w:szCs w:val="20"/>
              </w:rPr>
              <w:t>—</w:t>
            </w:r>
          </w:p>
        </w:tc>
      </w:tr>
    </w:tbl>
    <w:p w14:paraId="144AC2DB" w14:textId="42C6543F" w:rsidR="00250C67" w:rsidRPr="00E85678" w:rsidRDefault="00250C67" w:rsidP="00250C67">
      <w:pPr>
        <w:rPr>
          <w:rFonts w:ascii="Palatino Linotype" w:hAnsi="Palatino Linotype"/>
          <w:sz w:val="20"/>
        </w:rPr>
      </w:pPr>
      <w:r w:rsidRPr="00E85678">
        <w:rPr>
          <w:rFonts w:ascii="Palatino Linotype" w:hAnsi="Palatino Linotype"/>
          <w:sz w:val="20"/>
        </w:rPr>
        <w:t>Note: List an estimate if unknown and indicate that it i</w:t>
      </w:r>
      <w:r w:rsidR="000F7340">
        <w:rPr>
          <w:rFonts w:ascii="Palatino Linotype" w:hAnsi="Palatino Linotype"/>
          <w:sz w:val="20"/>
        </w:rPr>
        <w:t>s an estimate.</w:t>
      </w:r>
      <w:r w:rsidR="000F7340">
        <w:rPr>
          <w:rFonts w:ascii="Palatino Linotype" w:hAnsi="Palatino Linotype"/>
          <w:sz w:val="20"/>
        </w:rPr>
        <w:br/>
        <w:t xml:space="preserve">Key:  </w:t>
      </w:r>
      <w:r w:rsidR="007E66B9">
        <w:rPr>
          <w:rFonts w:eastAsiaTheme="minorHAnsi" w:cstheme="minorBidi"/>
          <w:sz w:val="22"/>
          <w:szCs w:val="22"/>
        </w:rPr>
        <w:t>CHSRA = California High-</w:t>
      </w:r>
      <w:r w:rsidR="007E66B9" w:rsidRPr="00EE00AB">
        <w:rPr>
          <w:rFonts w:eastAsiaTheme="minorHAnsi" w:cstheme="minorBidi"/>
          <w:sz w:val="22"/>
          <w:szCs w:val="22"/>
        </w:rPr>
        <w:t>Speed Rail Authority</w:t>
      </w:r>
      <w:r w:rsidR="007E66B9">
        <w:rPr>
          <w:rFonts w:ascii="Palatino Linotype" w:hAnsi="Palatino Linotype"/>
          <w:sz w:val="20"/>
        </w:rPr>
        <w:t xml:space="preserve">, </w:t>
      </w:r>
      <w:r w:rsidR="000F7340">
        <w:rPr>
          <w:rFonts w:ascii="Palatino Linotype" w:hAnsi="Palatino Linotype"/>
          <w:sz w:val="20"/>
        </w:rPr>
        <w:t>HSR = High-</w:t>
      </w:r>
      <w:r w:rsidRPr="00E85678">
        <w:rPr>
          <w:rFonts w:ascii="Palatino Linotype" w:hAnsi="Palatino Linotype"/>
          <w:sz w:val="20"/>
        </w:rPr>
        <w:t>Speed Rail, kV = kilovolt</w:t>
      </w:r>
    </w:p>
    <w:p w14:paraId="1321F885" w14:textId="77777777" w:rsidR="00250C67" w:rsidRDefault="00250C67" w:rsidP="00250C67">
      <w:pPr>
        <w:pStyle w:val="titlebar"/>
        <w:jc w:val="left"/>
      </w:pPr>
    </w:p>
    <w:p w14:paraId="422340A5" w14:textId="77777777" w:rsidR="00250C67" w:rsidRDefault="00250C67"/>
    <w:sectPr w:rsidR="00250C67" w:rsidSect="00250C67">
      <w:headerReference w:type="default" r:id="rId13"/>
      <w:headerReference w:type="first" r:id="rId14"/>
      <w:pgSz w:w="15840" w:h="12240" w:orient="landscape" w:code="1"/>
      <w:pgMar w:top="1440" w:right="1440" w:bottom="1440" w:left="1440" w:header="720" w:footer="720" w:gutter="0"/>
      <w:cols w:space="720"/>
      <w:titlePg/>
      <w:docGrid w:linePitch="354"/>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F0F26D" w15:done="0"/>
  <w15:commentEx w15:paraId="0A2A8D8C" w15:done="0"/>
  <w15:commentEx w15:paraId="780302E8" w15:done="0"/>
  <w15:commentEx w15:paraId="0A2C8F24" w15:done="0"/>
  <w15:commentEx w15:paraId="7F42AF5B" w15:done="0"/>
  <w15:commentEx w15:paraId="21B21579" w15:done="0"/>
  <w15:commentEx w15:paraId="73EF1D09" w15:done="0"/>
  <w15:commentEx w15:paraId="4F1E4042" w15:done="0"/>
  <w15:commentEx w15:paraId="00CEB1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F0B99" w14:textId="77777777" w:rsidR="006739A1" w:rsidRDefault="006739A1">
      <w:r>
        <w:separator/>
      </w:r>
    </w:p>
  </w:endnote>
  <w:endnote w:type="continuationSeparator" w:id="0">
    <w:p w14:paraId="37E9E5A7" w14:textId="77777777" w:rsidR="006739A1" w:rsidRDefault="0067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02E43" w14:textId="77777777" w:rsidR="006E70C4" w:rsidRDefault="006E70C4">
    <w:pPr>
      <w:pStyle w:val="Footer"/>
    </w:pPr>
    <w:r>
      <w:rPr>
        <w:rStyle w:val="PageNumber"/>
      </w:rPr>
      <w:fldChar w:fldCharType="begin"/>
    </w:r>
    <w:r>
      <w:rPr>
        <w:rStyle w:val="PageNumber"/>
      </w:rPr>
      <w:instrText xml:space="preserve"> PAGE </w:instrText>
    </w:r>
    <w:r>
      <w:rPr>
        <w:rStyle w:val="PageNumber"/>
      </w:rPr>
      <w:fldChar w:fldCharType="separate"/>
    </w:r>
    <w:r w:rsidR="00A27FA1">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9A892" w14:textId="3AEDF6B5" w:rsidR="006E70C4" w:rsidRDefault="00CB33ED" w:rsidP="00CB33ED">
    <w:pPr>
      <w:pStyle w:val="Footer"/>
      <w:tabs>
        <w:tab w:val="clear" w:pos="4320"/>
        <w:tab w:val="center" w:pos="4680"/>
      </w:tabs>
      <w:jc w:val="left"/>
    </w:pPr>
    <w:r>
      <w:rPr>
        <w:rFonts w:ascii="Tahoma" w:hAnsi="Tahoma" w:cs="Tahoma"/>
        <w:sz w:val="17"/>
        <w:szCs w:val="17"/>
      </w:rPr>
      <w:t>165371638</w:t>
    </w:r>
    <w:r>
      <w:rPr>
        <w:rFonts w:ascii="Tahoma" w:hAnsi="Tahoma" w:cs="Tahoma"/>
        <w:sz w:val="17"/>
        <w:szCs w:val="17"/>
      </w:rPr>
      <w:tab/>
    </w:r>
    <w:r w:rsidR="006E70C4">
      <w:rPr>
        <w:rStyle w:val="PageNumber"/>
      </w:rPr>
      <w:fldChar w:fldCharType="begin"/>
    </w:r>
    <w:r w:rsidR="006E70C4">
      <w:rPr>
        <w:rStyle w:val="PageNumber"/>
      </w:rPr>
      <w:instrText xml:space="preserve"> PAGE </w:instrText>
    </w:r>
    <w:r w:rsidR="006E70C4">
      <w:rPr>
        <w:rStyle w:val="PageNumber"/>
      </w:rPr>
      <w:fldChar w:fldCharType="separate"/>
    </w:r>
    <w:r w:rsidR="00A27FA1">
      <w:rPr>
        <w:rStyle w:val="PageNumber"/>
        <w:noProof/>
      </w:rPr>
      <w:t>1</w:t>
    </w:r>
    <w:r w:rsidR="006E70C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23476" w14:textId="77777777" w:rsidR="006739A1" w:rsidRDefault="006739A1">
      <w:r>
        <w:separator/>
      </w:r>
    </w:p>
  </w:footnote>
  <w:footnote w:type="continuationSeparator" w:id="0">
    <w:p w14:paraId="36DA90DD" w14:textId="77777777" w:rsidR="006739A1" w:rsidRDefault="006739A1">
      <w:r>
        <w:continuationSeparator/>
      </w:r>
    </w:p>
  </w:footnote>
  <w:footnote w:type="continuationNotice" w:id="1">
    <w:p w14:paraId="282CEB94" w14:textId="77777777" w:rsidR="006739A1" w:rsidRDefault="006739A1">
      <w:pPr>
        <w:rPr>
          <w:sz w:val="22"/>
        </w:rPr>
      </w:pPr>
    </w:p>
    <w:p w14:paraId="5E565E5C" w14:textId="77777777" w:rsidR="006739A1" w:rsidRDefault="006739A1">
      <w:pPr>
        <w:jc w:val="right"/>
        <w:rPr>
          <w:sz w:val="22"/>
        </w:rPr>
      </w:pPr>
      <w:r>
        <w:rPr>
          <w:i/>
          <w:sz w:val="22"/>
        </w:rPr>
        <w:t>Footnote continued on next page</w:t>
      </w:r>
    </w:p>
  </w:footnote>
  <w:footnote w:id="2">
    <w:p w14:paraId="2568FB58" w14:textId="00C77442" w:rsidR="006E70C4" w:rsidRDefault="006E70C4" w:rsidP="006E70C4">
      <w:pPr>
        <w:pStyle w:val="FootnoteText"/>
        <w:numPr>
          <w:ilvl w:val="0"/>
          <w:numId w:val="0"/>
        </w:numPr>
        <w:spacing w:after="120"/>
      </w:pPr>
      <w:r>
        <w:rPr>
          <w:rStyle w:val="FootnoteReference"/>
        </w:rPr>
        <w:footnoteRef/>
      </w:r>
      <w:r>
        <w:t xml:space="preserve"> Section 851 requires that utilities regulated by the Commission seek approval for the disposal or encumbrance of utility property necessary or useful in the performance of the utility’s duties to the public. GO 173 defines Section 851 transactions eligible for advice letter treatment and establishes a filing process pursuant to GO 96-B. GO 96-B establishes rules for advice letter and information-only filings submitted to the Commission.</w:t>
      </w:r>
    </w:p>
  </w:footnote>
  <w:footnote w:id="3">
    <w:p w14:paraId="78AD5E3B" w14:textId="363D3FD7" w:rsidR="006E70C4" w:rsidRDefault="006E70C4" w:rsidP="006E70C4">
      <w:pPr>
        <w:pStyle w:val="FootnoteText"/>
        <w:numPr>
          <w:ilvl w:val="0"/>
          <w:numId w:val="0"/>
        </w:numPr>
        <w:spacing w:after="120"/>
      </w:pPr>
      <w:r>
        <w:rPr>
          <w:rStyle w:val="FootnoteReference"/>
        </w:rPr>
        <w:footnoteRef/>
      </w:r>
      <w:r>
        <w:t xml:space="preserve"> </w:t>
      </w:r>
      <w:r w:rsidRPr="004D41EB">
        <w:t xml:space="preserve">The 2016 Business Plan </w:t>
      </w:r>
      <w:r>
        <w:t xml:space="preserve">also </w:t>
      </w:r>
      <w:r w:rsidRPr="004D41EB">
        <w:t xml:space="preserve">evaluates a scenario under </w:t>
      </w:r>
      <w:r>
        <w:t>which</w:t>
      </w:r>
      <w:r w:rsidRPr="004D41EB">
        <w:t xml:space="preserve"> service is offered from the Caltrain station at 4th and King </w:t>
      </w:r>
      <w:proofErr w:type="gramStart"/>
      <w:r w:rsidRPr="004D41EB">
        <w:t>streets</w:t>
      </w:r>
      <w:proofErr w:type="gramEnd"/>
      <w:r w:rsidRPr="004D41EB">
        <w:t xml:space="preserve"> in downtown San Francisco to downtown Bakersfield (about 350 miles) </w:t>
      </w:r>
      <w:r>
        <w:t xml:space="preserve">that would be </w:t>
      </w:r>
      <w:r w:rsidRPr="004D41EB">
        <w:t>operational by 202</w:t>
      </w:r>
      <w:r>
        <w:t>4 and carry passengers by 202</w:t>
      </w:r>
      <w:r w:rsidRPr="004D41EB">
        <w:t>5</w:t>
      </w:r>
      <w:r>
        <w:t xml:space="preserve">. This scenario depends on completion of the Caltrain </w:t>
      </w:r>
      <w:r w:rsidRPr="004D41EB">
        <w:t xml:space="preserve">modernization/electrification project with the rail improvements required for high-speed rail trains to operate on </w:t>
      </w:r>
      <w:r>
        <w:t xml:space="preserve">the same </w:t>
      </w:r>
      <w:r w:rsidRPr="004D41EB">
        <w:t>tracks.</w:t>
      </w:r>
    </w:p>
  </w:footnote>
  <w:footnote w:id="4">
    <w:p w14:paraId="4AFBEEBA" w14:textId="78A185BD" w:rsidR="006E70C4" w:rsidRDefault="006E70C4" w:rsidP="006E70C4">
      <w:pPr>
        <w:pStyle w:val="FootnoteText"/>
        <w:numPr>
          <w:ilvl w:val="0"/>
          <w:numId w:val="0"/>
        </w:numPr>
        <w:spacing w:after="120"/>
      </w:pPr>
      <w:r>
        <w:rPr>
          <w:rStyle w:val="FootnoteReference"/>
        </w:rPr>
        <w:footnoteRef/>
      </w:r>
      <w:r>
        <w:t xml:space="preserve"> The Phase 1 Project alignment would also cross the service territories of Los Angeles Department of Water and Power, Burbank Water and Power, and Anaheim Public Utilities.</w:t>
      </w:r>
    </w:p>
  </w:footnote>
  <w:footnote w:id="5">
    <w:p w14:paraId="64999A72" w14:textId="274FDD73" w:rsidR="006E70C4" w:rsidRDefault="006E70C4" w:rsidP="006E70C4">
      <w:pPr>
        <w:pStyle w:val="FootnoteText"/>
        <w:numPr>
          <w:ilvl w:val="0"/>
          <w:numId w:val="0"/>
        </w:numPr>
        <w:spacing w:after="120"/>
      </w:pPr>
      <w:r>
        <w:rPr>
          <w:rStyle w:val="FootnoteReference"/>
        </w:rPr>
        <w:footnoteRef/>
      </w:r>
      <w:r>
        <w:t xml:space="preserve"> </w:t>
      </w:r>
      <w:r w:rsidRPr="00293B13">
        <w:t>Refer to PG&amp;E</w:t>
      </w:r>
      <w:r>
        <w:t xml:space="preserve"> and SCE e</w:t>
      </w:r>
      <w:r w:rsidRPr="00293B13">
        <w:t xml:space="preserve">lectric </w:t>
      </w:r>
      <w:r>
        <w:t>t</w:t>
      </w:r>
      <w:r w:rsidRPr="00293B13">
        <w:t xml:space="preserve">ariff </w:t>
      </w:r>
      <w:r>
        <w:t>r</w:t>
      </w:r>
      <w:r w:rsidRPr="00293B13">
        <w:t>ule</w:t>
      </w:r>
      <w:r>
        <w:t xml:space="preserve">s </w:t>
      </w:r>
      <w:r w:rsidRPr="00293B13">
        <w:t xml:space="preserve">15 (Section C.1, G.1.c, </w:t>
      </w:r>
      <w:r>
        <w:t xml:space="preserve">and </w:t>
      </w:r>
      <w:r w:rsidRPr="00293B13">
        <w:t>I.1</w:t>
      </w:r>
      <w:r>
        <w:t xml:space="preserve">) and </w:t>
      </w:r>
      <w:r>
        <w:br/>
        <w:t>16 (Section F.2.b). Refer to PG&amp;E gas tariff rules 1</w:t>
      </w:r>
      <w:r w:rsidRPr="00293B13">
        <w:t xml:space="preserve">5 (Section C.1, G.1.c, </w:t>
      </w:r>
      <w:r>
        <w:t>and H</w:t>
      </w:r>
      <w:r w:rsidRPr="00293B13">
        <w:t>.1</w:t>
      </w:r>
      <w:r>
        <w:t xml:space="preserve">) and </w:t>
      </w:r>
      <w:r>
        <w:br/>
        <w:t>16 (Section F.2.b). Refer to SoCalGas gas tariff rules 20</w:t>
      </w:r>
      <w:r w:rsidRPr="00293B13">
        <w:t xml:space="preserve"> (Section C.1, G.1.c, </w:t>
      </w:r>
      <w:r>
        <w:t>and H</w:t>
      </w:r>
      <w:r w:rsidRPr="00293B13">
        <w:t>.1</w:t>
      </w:r>
      <w:r>
        <w:t>) and 21 (Section F.2.b).</w:t>
      </w:r>
    </w:p>
  </w:footnote>
  <w:footnote w:id="6">
    <w:p w14:paraId="791D8B3A" w14:textId="1EC95637" w:rsidR="006E70C4" w:rsidRDefault="006E70C4" w:rsidP="006E70C4">
      <w:pPr>
        <w:pStyle w:val="FootnoteText"/>
        <w:numPr>
          <w:ilvl w:val="0"/>
          <w:numId w:val="0"/>
        </w:numPr>
        <w:spacing w:after="120"/>
      </w:pPr>
      <w:r>
        <w:rPr>
          <w:rStyle w:val="FootnoteReference"/>
        </w:rPr>
        <w:footnoteRef/>
      </w:r>
      <w:r w:rsidRPr="00177903">
        <w:t xml:space="preserve">A balancing account for PG&amp;E work on the CHSRA Project was included in the </w:t>
      </w:r>
      <w:r>
        <w:br/>
      </w:r>
      <w:r w:rsidRPr="00177903">
        <w:t>June</w:t>
      </w:r>
      <w:r>
        <w:t xml:space="preserve"> </w:t>
      </w:r>
      <w:r w:rsidRPr="00177903">
        <w:t>2016 Decision for their Gas Transmission and Storage Rate Case (D.16-06-056</w:t>
      </w:r>
      <w:r>
        <w:t>; issued July 1, 2016</w:t>
      </w:r>
      <w:r w:rsidRPr="00177903">
        <w:t xml:space="preserve">). The Decision reduced PG&amp;E’s cost forecast by </w:t>
      </w:r>
      <w:r>
        <w:t xml:space="preserve">about 30 </w:t>
      </w:r>
      <w:r w:rsidRPr="00177903">
        <w:t xml:space="preserve">percent for the Work Requested by </w:t>
      </w:r>
      <w:proofErr w:type="gramStart"/>
      <w:r w:rsidRPr="00177903">
        <w:t>Others</w:t>
      </w:r>
      <w:proofErr w:type="gramEnd"/>
      <w:r w:rsidRPr="00177903">
        <w:t xml:space="preserve"> category, which includes work for the CHSRA Project and other projects.</w:t>
      </w:r>
    </w:p>
  </w:footnote>
  <w:footnote w:id="7">
    <w:p w14:paraId="74A347A6" w14:textId="1BF331FE" w:rsidR="006E70C4" w:rsidRDefault="006E70C4" w:rsidP="006E70C4">
      <w:pPr>
        <w:pStyle w:val="FootnoteText"/>
        <w:numPr>
          <w:ilvl w:val="0"/>
          <w:numId w:val="0"/>
        </w:numPr>
        <w:spacing w:after="120"/>
      </w:pPr>
      <w:r>
        <w:rPr>
          <w:rStyle w:val="FootnoteReference"/>
        </w:rPr>
        <w:footnoteRef/>
      </w:r>
      <w:r>
        <w:t xml:space="preserve"> </w:t>
      </w:r>
      <w:r w:rsidRPr="0071738E">
        <w:t>Refer to Exhibit A, Section IV in PG&amp;E Utility Agreement HSR14-19 filed with Advice Letter 3484-G-A/4443-E-A on December 22, 2015.</w:t>
      </w:r>
    </w:p>
  </w:footnote>
  <w:footnote w:id="8">
    <w:p w14:paraId="5486B265" w14:textId="12DB99B7" w:rsidR="006E70C4" w:rsidRDefault="006E70C4" w:rsidP="006E70C4">
      <w:pPr>
        <w:pStyle w:val="FootnoteText"/>
        <w:numPr>
          <w:ilvl w:val="0"/>
          <w:numId w:val="0"/>
        </w:numPr>
        <w:spacing w:after="120"/>
      </w:pPr>
      <w:r>
        <w:rPr>
          <w:rStyle w:val="FootnoteReference"/>
        </w:rPr>
        <w:footnoteRef/>
      </w:r>
      <w:r>
        <w:t xml:space="preserve"> Refer to </w:t>
      </w:r>
      <w:r w:rsidRPr="00FF6323">
        <w:t xml:space="preserve">Exhibit D, Section 1 in PG&amp;E Utility Agreement </w:t>
      </w:r>
      <w:r>
        <w:t xml:space="preserve">HSR15-36 </w:t>
      </w:r>
      <w:r w:rsidRPr="00FF6323">
        <w:t xml:space="preserve">filed </w:t>
      </w:r>
      <w:r>
        <w:t>with</w:t>
      </w:r>
      <w:r w:rsidRPr="00FF6323">
        <w:t xml:space="preserve"> Advice Letter 3484-G-A/4443-E-A on December 22, 2015</w:t>
      </w:r>
      <w:r>
        <w:t>.</w:t>
      </w:r>
    </w:p>
  </w:footnote>
  <w:footnote w:id="9">
    <w:p w14:paraId="1E35476A" w14:textId="063444D9" w:rsidR="006E70C4" w:rsidRDefault="006E70C4" w:rsidP="006E70C4">
      <w:pPr>
        <w:pStyle w:val="FootnoteText"/>
        <w:numPr>
          <w:ilvl w:val="0"/>
          <w:numId w:val="0"/>
        </w:numPr>
        <w:spacing w:after="120"/>
      </w:pPr>
      <w:r>
        <w:rPr>
          <w:rStyle w:val="FootnoteReference"/>
        </w:rPr>
        <w:footnoteRef/>
      </w:r>
      <w:r>
        <w:t xml:space="preserve"> GO 176 adopts rules for overhead 25-kV AC railroad electrification systems used for high-speed rail trains. The rules establish uniform safety requirements governing the design, construction, installation, operation, and maintenance these systems.</w:t>
      </w:r>
    </w:p>
  </w:footnote>
  <w:footnote w:id="10">
    <w:p w14:paraId="06BCCFBA" w14:textId="6183AAD6" w:rsidR="006E70C4" w:rsidRDefault="006E70C4" w:rsidP="006E70C4">
      <w:pPr>
        <w:pStyle w:val="FootnoteText"/>
        <w:numPr>
          <w:ilvl w:val="0"/>
          <w:numId w:val="0"/>
        </w:numPr>
        <w:spacing w:after="120"/>
      </w:pPr>
      <w:r>
        <w:rPr>
          <w:rStyle w:val="FootnoteReference"/>
        </w:rPr>
        <w:footnoteRef/>
      </w:r>
      <w:r>
        <w:t xml:space="preserve"> The utility company would issue a quitclaim to memorialize that its facility no longer occupies a specific location.</w:t>
      </w:r>
    </w:p>
  </w:footnote>
  <w:footnote w:id="11">
    <w:p w14:paraId="1CC1D62B" w14:textId="436A1034" w:rsidR="006E70C4" w:rsidRDefault="006E70C4" w:rsidP="006E70C4">
      <w:pPr>
        <w:pStyle w:val="FootnoteText"/>
        <w:numPr>
          <w:ilvl w:val="0"/>
          <w:numId w:val="0"/>
        </w:numPr>
        <w:spacing w:after="120"/>
      </w:pPr>
      <w:r>
        <w:rPr>
          <w:rStyle w:val="FootnoteReference"/>
        </w:rPr>
        <w:footnoteRef/>
      </w:r>
      <w:r>
        <w:t xml:space="preserve"> GO 131-D adopts rules governing the planning and construction of electric generation, transmission line, power line, distribution line, and substation facilities. </w:t>
      </w:r>
      <w:r>
        <w:br/>
        <w:t xml:space="preserve">GO 131-D defines when an electric public utility company is required to file a Certificate of Public Convenience and Necessity application or Permit to </w:t>
      </w:r>
      <w:proofErr w:type="gramStart"/>
      <w:r>
        <w:t>Construct</w:t>
      </w:r>
      <w:proofErr w:type="gramEnd"/>
      <w:r>
        <w:t xml:space="preserve"> application. </w:t>
      </w:r>
    </w:p>
  </w:footnote>
  <w:footnote w:id="12">
    <w:p w14:paraId="0F935078" w14:textId="52A6ACD2" w:rsidR="006E70C4" w:rsidRDefault="006E70C4" w:rsidP="006E70C4">
      <w:pPr>
        <w:pStyle w:val="FootnoteText"/>
        <w:numPr>
          <w:ilvl w:val="0"/>
          <w:numId w:val="0"/>
        </w:numPr>
        <w:spacing w:after="120"/>
      </w:pPr>
      <w:r>
        <w:rPr>
          <w:rStyle w:val="FootnoteReference"/>
        </w:rPr>
        <w:footnoteRef/>
      </w:r>
      <w:r>
        <w:t xml:space="preserve"> </w:t>
      </w:r>
      <w:r w:rsidRPr="001D6B2F">
        <w:t>Advice Letter 4570-E</w:t>
      </w:r>
      <w:r>
        <w:t xml:space="preserve"> (Tier 3) filed on January 26, 2015 was superseded it is entirety by </w:t>
      </w:r>
      <w:r w:rsidRPr="00F35ED9">
        <w:t xml:space="preserve">Advice Letter </w:t>
      </w:r>
      <w:r>
        <w:t xml:space="preserve">4570-E-A filed on December 22, 2015. PG&amp;E indicated to Commission staff that another supplement to </w:t>
      </w:r>
      <w:r w:rsidRPr="001D6B2F">
        <w:t>Advice Letter 4570-E</w:t>
      </w:r>
      <w:r>
        <w:t xml:space="preserve"> will be filed in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9275C" w14:textId="2B9F6DBE" w:rsidR="006E70C4" w:rsidRDefault="006E70C4">
    <w:pPr>
      <w:pStyle w:val="Header"/>
      <w:tabs>
        <w:tab w:val="clear" w:pos="4320"/>
        <w:tab w:val="clear" w:pos="8640"/>
        <w:tab w:val="center" w:pos="4680"/>
        <w:tab w:val="right" w:pos="9180"/>
      </w:tabs>
    </w:pPr>
    <w:r>
      <w:t>Resolution G-3498</w:t>
    </w:r>
    <w:r>
      <w:tab/>
      <w:t>DRAFT</w:t>
    </w:r>
    <w:r>
      <w:tab/>
    </w:r>
    <w:r w:rsidRPr="00330E61">
      <w:t>September 15, 2016</w:t>
    </w:r>
  </w:p>
  <w:p w14:paraId="28379A43" w14:textId="07845C15" w:rsidR="006E70C4" w:rsidRDefault="006E70C4" w:rsidP="008B7397">
    <w:pPr>
      <w:pStyle w:val="Header"/>
      <w:tabs>
        <w:tab w:val="clear" w:pos="4320"/>
        <w:tab w:val="clear" w:pos="8640"/>
        <w:tab w:val="center" w:pos="4680"/>
        <w:tab w:val="right" w:pos="9180"/>
      </w:tabs>
    </w:pPr>
    <w:r w:rsidRPr="005116E7">
      <w:t>PG&amp;</w:t>
    </w:r>
    <w:r>
      <w:t>E AL 3484-G/</w:t>
    </w:r>
    <w:r w:rsidR="006C057A">
      <w:t xml:space="preserve">4443-E/-A/-B, </w:t>
    </w:r>
    <w:r>
      <w:t>SCE AL 3315-E</w:t>
    </w:r>
    <w:r w:rsidR="006C057A">
      <w:t xml:space="preserve">, </w:t>
    </w:r>
    <w:proofErr w:type="spellStart"/>
    <w:r>
      <w:t>SoCalGas</w:t>
    </w:r>
    <w:proofErr w:type="spellEnd"/>
    <w:r>
      <w:t xml:space="preserve"> AL 4946/</w:t>
    </w:r>
    <w:r w:rsidR="006C057A">
      <w:t>RP</w:t>
    </w:r>
    <w:r w:rsidRPr="005116E7">
      <w:t>3</w:t>
    </w:r>
  </w:p>
  <w:p w14:paraId="7825CBC3" w14:textId="77777777" w:rsidR="006E70C4" w:rsidRDefault="006E7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2600" w14:textId="77777777" w:rsidR="006E70C4" w:rsidRPr="008E6797" w:rsidRDefault="006E70C4" w:rsidP="003F6E5A">
    <w:pPr>
      <w:pStyle w:val="Header"/>
      <w:jc w:val="center"/>
      <w:rPr>
        <w:rFonts w:ascii="Helvetica" w:hAnsi="Helvetica"/>
        <w:sz w:val="28"/>
      </w:rPr>
    </w:pPr>
    <w:r w:rsidRPr="008E6797">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74038" w14:textId="77777777" w:rsidR="006E70C4" w:rsidRDefault="006E70C4" w:rsidP="007E5A8A">
    <w:pPr>
      <w:pStyle w:val="Header"/>
      <w:tabs>
        <w:tab w:val="clear" w:pos="4320"/>
        <w:tab w:val="clear" w:pos="8640"/>
        <w:tab w:val="center" w:pos="6480"/>
        <w:tab w:val="right" w:pos="12870"/>
      </w:tabs>
    </w:pPr>
    <w:r>
      <w:t>Resolution G-3498</w:t>
    </w:r>
    <w:r>
      <w:tab/>
      <w:t>DRAFT</w:t>
    </w:r>
    <w:r>
      <w:tab/>
    </w:r>
    <w:r w:rsidRPr="00330E61">
      <w:t>September 15, 2016</w:t>
    </w:r>
  </w:p>
  <w:p w14:paraId="76A16D3F" w14:textId="77777777" w:rsidR="006C057A" w:rsidRDefault="006C057A" w:rsidP="006C057A">
    <w:pPr>
      <w:pStyle w:val="Header"/>
      <w:tabs>
        <w:tab w:val="clear" w:pos="4320"/>
        <w:tab w:val="clear" w:pos="8640"/>
        <w:tab w:val="center" w:pos="4680"/>
        <w:tab w:val="right" w:pos="9180"/>
      </w:tabs>
    </w:pPr>
    <w:r w:rsidRPr="005116E7">
      <w:t>PG&amp;</w:t>
    </w:r>
    <w:r>
      <w:t xml:space="preserve">E AL 3484-G/4443-E/-A/-B, SCE AL 3315-E, </w:t>
    </w:r>
    <w:proofErr w:type="spellStart"/>
    <w:r>
      <w:t>SoCalGas</w:t>
    </w:r>
    <w:proofErr w:type="spellEnd"/>
    <w:r>
      <w:t xml:space="preserve"> AL 4946/RP</w:t>
    </w:r>
    <w:r w:rsidRPr="005116E7">
      <w:t>3</w:t>
    </w:r>
  </w:p>
  <w:p w14:paraId="68E3D5A6" w14:textId="77777777" w:rsidR="006E70C4" w:rsidRDefault="006E70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E5604" w14:textId="77777777" w:rsidR="006E70C4" w:rsidRDefault="006E70C4" w:rsidP="00250C67">
    <w:pPr>
      <w:pStyle w:val="Header"/>
      <w:tabs>
        <w:tab w:val="clear" w:pos="4320"/>
        <w:tab w:val="clear" w:pos="8640"/>
        <w:tab w:val="center" w:pos="6480"/>
        <w:tab w:val="right" w:pos="12870"/>
      </w:tabs>
    </w:pPr>
    <w:r>
      <w:t>Resolution G-3498</w:t>
    </w:r>
    <w:r>
      <w:tab/>
      <w:t>DRAFT</w:t>
    </w:r>
    <w:r>
      <w:tab/>
    </w:r>
    <w:r w:rsidRPr="00330E61">
      <w:t>September 15, 2016</w:t>
    </w:r>
  </w:p>
  <w:p w14:paraId="0E0FFCF0" w14:textId="77777777" w:rsidR="006C057A" w:rsidRDefault="006C057A" w:rsidP="006C057A">
    <w:pPr>
      <w:pStyle w:val="Header"/>
      <w:tabs>
        <w:tab w:val="clear" w:pos="4320"/>
        <w:tab w:val="clear" w:pos="8640"/>
        <w:tab w:val="center" w:pos="4680"/>
        <w:tab w:val="right" w:pos="9180"/>
      </w:tabs>
    </w:pPr>
    <w:r w:rsidRPr="005116E7">
      <w:t>PG&amp;</w:t>
    </w:r>
    <w:r>
      <w:t xml:space="preserve">E AL 3484-G/4443-E/-A/-B, SCE AL 3315-E, </w:t>
    </w:r>
    <w:proofErr w:type="spellStart"/>
    <w:r>
      <w:t>SoCalGas</w:t>
    </w:r>
    <w:proofErr w:type="spellEnd"/>
    <w:r>
      <w:t xml:space="preserve"> AL 4946/RP</w:t>
    </w:r>
    <w:r w:rsidRPr="005116E7">
      <w:t>3</w:t>
    </w:r>
  </w:p>
  <w:p w14:paraId="0D9ADDB8" w14:textId="10404E7E" w:rsidR="006E70C4" w:rsidRPr="00250C67" w:rsidRDefault="006E70C4" w:rsidP="006C057A">
    <w:pPr>
      <w:pStyle w:val="Header"/>
      <w:tabs>
        <w:tab w:val="clear" w:pos="4320"/>
        <w:tab w:val="clear" w:pos="8640"/>
        <w:tab w:val="center" w:pos="4680"/>
        <w:tab w:val="right" w:pos="9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15D835E5"/>
    <w:multiLevelType w:val="hybridMultilevel"/>
    <w:tmpl w:val="AA900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77821"/>
    <w:multiLevelType w:val="hybridMultilevel"/>
    <w:tmpl w:val="AA40D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B7ADF"/>
    <w:multiLevelType w:val="hybridMultilevel"/>
    <w:tmpl w:val="C194070E"/>
    <w:lvl w:ilvl="0" w:tplc="C280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nsid w:val="26F8414F"/>
    <w:multiLevelType w:val="hybridMultilevel"/>
    <w:tmpl w:val="19121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7D0804"/>
    <w:multiLevelType w:val="hybridMultilevel"/>
    <w:tmpl w:val="3B4C4A8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02C4D25"/>
    <w:multiLevelType w:val="hybridMultilevel"/>
    <w:tmpl w:val="6EDA31F0"/>
    <w:lvl w:ilvl="0" w:tplc="9FD2B1A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71DBD"/>
    <w:multiLevelType w:val="hybridMultilevel"/>
    <w:tmpl w:val="88E68556"/>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04832"/>
    <w:multiLevelType w:val="hybridMultilevel"/>
    <w:tmpl w:val="DE982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B16BD"/>
    <w:multiLevelType w:val="hybridMultilevel"/>
    <w:tmpl w:val="A2BE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E1704"/>
    <w:multiLevelType w:val="hybridMultilevel"/>
    <w:tmpl w:val="305E0ECE"/>
    <w:lvl w:ilvl="0" w:tplc="EFA6413C">
      <w:start w:val="15"/>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nsid w:val="5C6974B8"/>
    <w:multiLevelType w:val="hybridMultilevel"/>
    <w:tmpl w:val="F7B0BEE0"/>
    <w:lvl w:ilvl="0" w:tplc="DAA819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BC6CE6"/>
    <w:multiLevelType w:val="hybridMultilevel"/>
    <w:tmpl w:val="79CE4DC2"/>
    <w:lvl w:ilvl="0" w:tplc="F71A275C">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B91BF7"/>
    <w:multiLevelType w:val="hybridMultilevel"/>
    <w:tmpl w:val="C194070E"/>
    <w:lvl w:ilvl="0" w:tplc="C280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35D130F"/>
    <w:multiLevelType w:val="hybridMultilevel"/>
    <w:tmpl w:val="D25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6"/>
  </w:num>
  <w:num w:numId="4">
    <w:abstractNumId w:val="15"/>
  </w:num>
  <w:num w:numId="5">
    <w:abstractNumId w:val="1"/>
  </w:num>
  <w:num w:numId="6">
    <w:abstractNumId w:val="7"/>
  </w:num>
  <w:num w:numId="7">
    <w:abstractNumId w:val="19"/>
  </w:num>
  <w:num w:numId="8">
    <w:abstractNumId w:val="21"/>
  </w:num>
  <w:num w:numId="9">
    <w:abstractNumId w:val="3"/>
  </w:num>
  <w:num w:numId="10">
    <w:abstractNumId w:val="12"/>
  </w:num>
  <w:num w:numId="11">
    <w:abstractNumId w:val="11"/>
  </w:num>
  <w:num w:numId="12">
    <w:abstractNumId w:val="16"/>
  </w:num>
  <w:num w:numId="13">
    <w:abstractNumId w:val="6"/>
  </w:num>
  <w:num w:numId="14">
    <w:abstractNumId w:val="4"/>
  </w:num>
  <w:num w:numId="15">
    <w:abstractNumId w:val="8"/>
  </w:num>
  <w:num w:numId="16">
    <w:abstractNumId w:val="6"/>
  </w:num>
  <w:num w:numId="17">
    <w:abstractNumId w:val="6"/>
  </w:num>
  <w:num w:numId="18">
    <w:abstractNumId w:val="20"/>
  </w:num>
  <w:num w:numId="19">
    <w:abstractNumId w:val="9"/>
  </w:num>
  <w:num w:numId="20">
    <w:abstractNumId w:val="2"/>
  </w:num>
  <w:num w:numId="21">
    <w:abstractNumId w:val="10"/>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13"/>
  </w:num>
  <w:num w:numId="42">
    <w:abstractNumId w:val="17"/>
  </w:num>
  <w:num w:numId="43">
    <w:abstractNumId w:val="5"/>
  </w:num>
  <w:num w:numId="44">
    <w:abstractNumId w:val="18"/>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Peterson">
    <w15:presenceInfo w15:providerId="Windows Live" w15:userId="10cea962c47c2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10750"/>
    <w:rsid w:val="00010E48"/>
    <w:rsid w:val="00012C43"/>
    <w:rsid w:val="00014DA3"/>
    <w:rsid w:val="00016845"/>
    <w:rsid w:val="00022BC4"/>
    <w:rsid w:val="000235B5"/>
    <w:rsid w:val="00023873"/>
    <w:rsid w:val="00023AD9"/>
    <w:rsid w:val="00026A3C"/>
    <w:rsid w:val="000272DD"/>
    <w:rsid w:val="00032502"/>
    <w:rsid w:val="00033E39"/>
    <w:rsid w:val="0004085E"/>
    <w:rsid w:val="00043D59"/>
    <w:rsid w:val="00050ECB"/>
    <w:rsid w:val="000521C8"/>
    <w:rsid w:val="000538A2"/>
    <w:rsid w:val="0005790A"/>
    <w:rsid w:val="000602CB"/>
    <w:rsid w:val="00061909"/>
    <w:rsid w:val="00065388"/>
    <w:rsid w:val="00065A1A"/>
    <w:rsid w:val="00065EA6"/>
    <w:rsid w:val="00070130"/>
    <w:rsid w:val="00070D1F"/>
    <w:rsid w:val="00074D2D"/>
    <w:rsid w:val="00077E49"/>
    <w:rsid w:val="00084412"/>
    <w:rsid w:val="000928F6"/>
    <w:rsid w:val="00092F88"/>
    <w:rsid w:val="000965E8"/>
    <w:rsid w:val="000A36A6"/>
    <w:rsid w:val="000A4B74"/>
    <w:rsid w:val="000B2090"/>
    <w:rsid w:val="000B291B"/>
    <w:rsid w:val="000B3C71"/>
    <w:rsid w:val="000B5D11"/>
    <w:rsid w:val="000B78BC"/>
    <w:rsid w:val="000C4595"/>
    <w:rsid w:val="000C6082"/>
    <w:rsid w:val="000D3A75"/>
    <w:rsid w:val="000D4FEF"/>
    <w:rsid w:val="000E4142"/>
    <w:rsid w:val="000E6370"/>
    <w:rsid w:val="000F11DC"/>
    <w:rsid w:val="000F3231"/>
    <w:rsid w:val="000F5EFC"/>
    <w:rsid w:val="000F6228"/>
    <w:rsid w:val="000F7340"/>
    <w:rsid w:val="00105A97"/>
    <w:rsid w:val="001061E7"/>
    <w:rsid w:val="00107477"/>
    <w:rsid w:val="00107FA1"/>
    <w:rsid w:val="00110018"/>
    <w:rsid w:val="00113041"/>
    <w:rsid w:val="001174E1"/>
    <w:rsid w:val="00120D2B"/>
    <w:rsid w:val="001228FB"/>
    <w:rsid w:val="001242D0"/>
    <w:rsid w:val="001320DA"/>
    <w:rsid w:val="00134744"/>
    <w:rsid w:val="001403B2"/>
    <w:rsid w:val="00140E4D"/>
    <w:rsid w:val="00140FCF"/>
    <w:rsid w:val="00141059"/>
    <w:rsid w:val="00142FB8"/>
    <w:rsid w:val="00147117"/>
    <w:rsid w:val="00150986"/>
    <w:rsid w:val="00152D18"/>
    <w:rsid w:val="001532DD"/>
    <w:rsid w:val="0015373B"/>
    <w:rsid w:val="001553D7"/>
    <w:rsid w:val="00155E10"/>
    <w:rsid w:val="00163796"/>
    <w:rsid w:val="00163DCD"/>
    <w:rsid w:val="00165280"/>
    <w:rsid w:val="00171027"/>
    <w:rsid w:val="001720DA"/>
    <w:rsid w:val="001723A0"/>
    <w:rsid w:val="00177903"/>
    <w:rsid w:val="001801F9"/>
    <w:rsid w:val="001845D4"/>
    <w:rsid w:val="00193A50"/>
    <w:rsid w:val="00194FC3"/>
    <w:rsid w:val="001A59E8"/>
    <w:rsid w:val="001A6C6E"/>
    <w:rsid w:val="001B087B"/>
    <w:rsid w:val="001B2258"/>
    <w:rsid w:val="001B2E3B"/>
    <w:rsid w:val="001B5F24"/>
    <w:rsid w:val="001C0E05"/>
    <w:rsid w:val="001C1568"/>
    <w:rsid w:val="001C3CF2"/>
    <w:rsid w:val="001C3F20"/>
    <w:rsid w:val="001C51C5"/>
    <w:rsid w:val="001D03CA"/>
    <w:rsid w:val="001D1659"/>
    <w:rsid w:val="001D6B2F"/>
    <w:rsid w:val="001E5F99"/>
    <w:rsid w:val="002018AA"/>
    <w:rsid w:val="00203AB6"/>
    <w:rsid w:val="00204AFE"/>
    <w:rsid w:val="00206EDB"/>
    <w:rsid w:val="0020790E"/>
    <w:rsid w:val="00207A38"/>
    <w:rsid w:val="00213E6A"/>
    <w:rsid w:val="002172FF"/>
    <w:rsid w:val="00220DD9"/>
    <w:rsid w:val="00223F8E"/>
    <w:rsid w:val="002264B6"/>
    <w:rsid w:val="00226C00"/>
    <w:rsid w:val="00226D67"/>
    <w:rsid w:val="002273AA"/>
    <w:rsid w:val="002328BA"/>
    <w:rsid w:val="00236E0C"/>
    <w:rsid w:val="00237F31"/>
    <w:rsid w:val="00241EF9"/>
    <w:rsid w:val="002420EE"/>
    <w:rsid w:val="00243EFB"/>
    <w:rsid w:val="00245ADE"/>
    <w:rsid w:val="00247615"/>
    <w:rsid w:val="00250C67"/>
    <w:rsid w:val="00252D15"/>
    <w:rsid w:val="002549AD"/>
    <w:rsid w:val="00255958"/>
    <w:rsid w:val="0026008C"/>
    <w:rsid w:val="00267842"/>
    <w:rsid w:val="00267CF5"/>
    <w:rsid w:val="00270F4F"/>
    <w:rsid w:val="00272157"/>
    <w:rsid w:val="00282D87"/>
    <w:rsid w:val="00285B16"/>
    <w:rsid w:val="002924AE"/>
    <w:rsid w:val="00292DA2"/>
    <w:rsid w:val="00293B13"/>
    <w:rsid w:val="002949D0"/>
    <w:rsid w:val="002A0704"/>
    <w:rsid w:val="002A2F8E"/>
    <w:rsid w:val="002A34E4"/>
    <w:rsid w:val="002A6C4E"/>
    <w:rsid w:val="002B1B09"/>
    <w:rsid w:val="002B1E28"/>
    <w:rsid w:val="002B24F6"/>
    <w:rsid w:val="002C03FD"/>
    <w:rsid w:val="002C05CD"/>
    <w:rsid w:val="002C288F"/>
    <w:rsid w:val="002C2BB1"/>
    <w:rsid w:val="002D013B"/>
    <w:rsid w:val="002D2539"/>
    <w:rsid w:val="002D54DD"/>
    <w:rsid w:val="002E4B60"/>
    <w:rsid w:val="00311CDF"/>
    <w:rsid w:val="00313C19"/>
    <w:rsid w:val="003155A3"/>
    <w:rsid w:val="0032044A"/>
    <w:rsid w:val="00326A23"/>
    <w:rsid w:val="00330E61"/>
    <w:rsid w:val="0033113B"/>
    <w:rsid w:val="00332528"/>
    <w:rsid w:val="00334492"/>
    <w:rsid w:val="003506AD"/>
    <w:rsid w:val="00350E99"/>
    <w:rsid w:val="00352523"/>
    <w:rsid w:val="00353A5D"/>
    <w:rsid w:val="00355061"/>
    <w:rsid w:val="00356B29"/>
    <w:rsid w:val="00365AF2"/>
    <w:rsid w:val="003671FA"/>
    <w:rsid w:val="003766D7"/>
    <w:rsid w:val="0037794A"/>
    <w:rsid w:val="00380225"/>
    <w:rsid w:val="00382D47"/>
    <w:rsid w:val="003862DD"/>
    <w:rsid w:val="00387E73"/>
    <w:rsid w:val="003A4677"/>
    <w:rsid w:val="003A6BE0"/>
    <w:rsid w:val="003B1839"/>
    <w:rsid w:val="003C547D"/>
    <w:rsid w:val="003D4CA3"/>
    <w:rsid w:val="003E1F90"/>
    <w:rsid w:val="003E2278"/>
    <w:rsid w:val="003E2D5F"/>
    <w:rsid w:val="003F0DE6"/>
    <w:rsid w:val="003F3AE6"/>
    <w:rsid w:val="003F4CA9"/>
    <w:rsid w:val="003F4CDB"/>
    <w:rsid w:val="003F5BEC"/>
    <w:rsid w:val="003F609A"/>
    <w:rsid w:val="003F6E5A"/>
    <w:rsid w:val="00400F6B"/>
    <w:rsid w:val="004016A6"/>
    <w:rsid w:val="0040286A"/>
    <w:rsid w:val="00403ECF"/>
    <w:rsid w:val="00405332"/>
    <w:rsid w:val="00406882"/>
    <w:rsid w:val="00412217"/>
    <w:rsid w:val="004177A3"/>
    <w:rsid w:val="0042134D"/>
    <w:rsid w:val="00422F1A"/>
    <w:rsid w:val="00423548"/>
    <w:rsid w:val="00440AB7"/>
    <w:rsid w:val="004451CD"/>
    <w:rsid w:val="00445505"/>
    <w:rsid w:val="00450DDB"/>
    <w:rsid w:val="00451806"/>
    <w:rsid w:val="00453DAF"/>
    <w:rsid w:val="00456204"/>
    <w:rsid w:val="00456489"/>
    <w:rsid w:val="00465C06"/>
    <w:rsid w:val="00467956"/>
    <w:rsid w:val="00470B9B"/>
    <w:rsid w:val="0047520F"/>
    <w:rsid w:val="004776EA"/>
    <w:rsid w:val="00477AE3"/>
    <w:rsid w:val="004827B4"/>
    <w:rsid w:val="00483440"/>
    <w:rsid w:val="004905D3"/>
    <w:rsid w:val="0049077A"/>
    <w:rsid w:val="004939EE"/>
    <w:rsid w:val="00493FA3"/>
    <w:rsid w:val="00497E42"/>
    <w:rsid w:val="004A2A4D"/>
    <w:rsid w:val="004C0126"/>
    <w:rsid w:val="004C257E"/>
    <w:rsid w:val="004C74F6"/>
    <w:rsid w:val="004D3212"/>
    <w:rsid w:val="004D41EB"/>
    <w:rsid w:val="004D4573"/>
    <w:rsid w:val="004D6B57"/>
    <w:rsid w:val="004D7B62"/>
    <w:rsid w:val="00501187"/>
    <w:rsid w:val="005053F4"/>
    <w:rsid w:val="005102C5"/>
    <w:rsid w:val="00511177"/>
    <w:rsid w:val="005145A9"/>
    <w:rsid w:val="0052086C"/>
    <w:rsid w:val="005214FB"/>
    <w:rsid w:val="005265FA"/>
    <w:rsid w:val="00532784"/>
    <w:rsid w:val="00546692"/>
    <w:rsid w:val="00551C59"/>
    <w:rsid w:val="00556001"/>
    <w:rsid w:val="00560F03"/>
    <w:rsid w:val="00561129"/>
    <w:rsid w:val="005624F7"/>
    <w:rsid w:val="00564461"/>
    <w:rsid w:val="00565C1A"/>
    <w:rsid w:val="005678A7"/>
    <w:rsid w:val="00573CAF"/>
    <w:rsid w:val="00574556"/>
    <w:rsid w:val="00574DA0"/>
    <w:rsid w:val="00580E11"/>
    <w:rsid w:val="005838A0"/>
    <w:rsid w:val="00585063"/>
    <w:rsid w:val="00585711"/>
    <w:rsid w:val="00590F7B"/>
    <w:rsid w:val="00592CDC"/>
    <w:rsid w:val="005931FF"/>
    <w:rsid w:val="00593807"/>
    <w:rsid w:val="005A0268"/>
    <w:rsid w:val="005B25DA"/>
    <w:rsid w:val="005B527A"/>
    <w:rsid w:val="005B7334"/>
    <w:rsid w:val="005C6137"/>
    <w:rsid w:val="005D2347"/>
    <w:rsid w:val="005D50FF"/>
    <w:rsid w:val="005D721A"/>
    <w:rsid w:val="005E2D8F"/>
    <w:rsid w:val="005E4E7A"/>
    <w:rsid w:val="005F5A0C"/>
    <w:rsid w:val="005F6806"/>
    <w:rsid w:val="00603952"/>
    <w:rsid w:val="00603DB3"/>
    <w:rsid w:val="00610208"/>
    <w:rsid w:val="00616D75"/>
    <w:rsid w:val="00617586"/>
    <w:rsid w:val="00621B7A"/>
    <w:rsid w:val="0062260C"/>
    <w:rsid w:val="006257D4"/>
    <w:rsid w:val="00632DE7"/>
    <w:rsid w:val="00640AA0"/>
    <w:rsid w:val="00641857"/>
    <w:rsid w:val="006435AF"/>
    <w:rsid w:val="00650922"/>
    <w:rsid w:val="00654B12"/>
    <w:rsid w:val="00655E4C"/>
    <w:rsid w:val="0066002E"/>
    <w:rsid w:val="00660984"/>
    <w:rsid w:val="00661480"/>
    <w:rsid w:val="006651A7"/>
    <w:rsid w:val="00665354"/>
    <w:rsid w:val="006739A1"/>
    <w:rsid w:val="00677B97"/>
    <w:rsid w:val="00686998"/>
    <w:rsid w:val="00690B91"/>
    <w:rsid w:val="00695B31"/>
    <w:rsid w:val="0069631C"/>
    <w:rsid w:val="0069719F"/>
    <w:rsid w:val="006B05EE"/>
    <w:rsid w:val="006B29CC"/>
    <w:rsid w:val="006C057A"/>
    <w:rsid w:val="006C4F9E"/>
    <w:rsid w:val="006C5137"/>
    <w:rsid w:val="006C79DA"/>
    <w:rsid w:val="006D0218"/>
    <w:rsid w:val="006D5FF2"/>
    <w:rsid w:val="006D71C7"/>
    <w:rsid w:val="006E0302"/>
    <w:rsid w:val="006E70C4"/>
    <w:rsid w:val="006F074C"/>
    <w:rsid w:val="006F0769"/>
    <w:rsid w:val="00704F86"/>
    <w:rsid w:val="007064BF"/>
    <w:rsid w:val="0070716E"/>
    <w:rsid w:val="00712367"/>
    <w:rsid w:val="0071738E"/>
    <w:rsid w:val="00722822"/>
    <w:rsid w:val="00725008"/>
    <w:rsid w:val="00727A80"/>
    <w:rsid w:val="00736292"/>
    <w:rsid w:val="00740CF4"/>
    <w:rsid w:val="00742622"/>
    <w:rsid w:val="00742C0B"/>
    <w:rsid w:val="00745880"/>
    <w:rsid w:val="00747F8F"/>
    <w:rsid w:val="00752F7C"/>
    <w:rsid w:val="007540B6"/>
    <w:rsid w:val="0075486D"/>
    <w:rsid w:val="00757185"/>
    <w:rsid w:val="00757266"/>
    <w:rsid w:val="00764779"/>
    <w:rsid w:val="00765B2F"/>
    <w:rsid w:val="007661D7"/>
    <w:rsid w:val="007709DE"/>
    <w:rsid w:val="00785B86"/>
    <w:rsid w:val="007870F3"/>
    <w:rsid w:val="00787670"/>
    <w:rsid w:val="00787F6E"/>
    <w:rsid w:val="00790286"/>
    <w:rsid w:val="00794FB6"/>
    <w:rsid w:val="007A1B1E"/>
    <w:rsid w:val="007A2701"/>
    <w:rsid w:val="007A281A"/>
    <w:rsid w:val="007B051A"/>
    <w:rsid w:val="007B2248"/>
    <w:rsid w:val="007B630C"/>
    <w:rsid w:val="007C33B1"/>
    <w:rsid w:val="007C3F26"/>
    <w:rsid w:val="007C4AAE"/>
    <w:rsid w:val="007C58B1"/>
    <w:rsid w:val="007C6CDB"/>
    <w:rsid w:val="007C6E78"/>
    <w:rsid w:val="007D0D0A"/>
    <w:rsid w:val="007E08E3"/>
    <w:rsid w:val="007E27ED"/>
    <w:rsid w:val="007E5A8A"/>
    <w:rsid w:val="007E66B9"/>
    <w:rsid w:val="007F10DD"/>
    <w:rsid w:val="007F4E7C"/>
    <w:rsid w:val="007F5C03"/>
    <w:rsid w:val="007F689B"/>
    <w:rsid w:val="007F7161"/>
    <w:rsid w:val="007F7E8D"/>
    <w:rsid w:val="00801D70"/>
    <w:rsid w:val="008041DF"/>
    <w:rsid w:val="0080481C"/>
    <w:rsid w:val="008131AF"/>
    <w:rsid w:val="00814FB2"/>
    <w:rsid w:val="00823445"/>
    <w:rsid w:val="00823FCD"/>
    <w:rsid w:val="0082512E"/>
    <w:rsid w:val="008302E0"/>
    <w:rsid w:val="00835BAC"/>
    <w:rsid w:val="00836594"/>
    <w:rsid w:val="008412AC"/>
    <w:rsid w:val="008419D0"/>
    <w:rsid w:val="0085009E"/>
    <w:rsid w:val="0085324E"/>
    <w:rsid w:val="0085643D"/>
    <w:rsid w:val="00856B11"/>
    <w:rsid w:val="00861913"/>
    <w:rsid w:val="00862DA6"/>
    <w:rsid w:val="00876C1C"/>
    <w:rsid w:val="008834FB"/>
    <w:rsid w:val="0088618E"/>
    <w:rsid w:val="008928DF"/>
    <w:rsid w:val="00896676"/>
    <w:rsid w:val="00896E1F"/>
    <w:rsid w:val="008A1626"/>
    <w:rsid w:val="008A25C8"/>
    <w:rsid w:val="008A2B53"/>
    <w:rsid w:val="008B0A60"/>
    <w:rsid w:val="008B344C"/>
    <w:rsid w:val="008B727C"/>
    <w:rsid w:val="008B7397"/>
    <w:rsid w:val="008C34B3"/>
    <w:rsid w:val="008C5909"/>
    <w:rsid w:val="008C7462"/>
    <w:rsid w:val="008D3F77"/>
    <w:rsid w:val="008D7E5E"/>
    <w:rsid w:val="008E43C9"/>
    <w:rsid w:val="008E6797"/>
    <w:rsid w:val="009058DA"/>
    <w:rsid w:val="009065FF"/>
    <w:rsid w:val="009129DF"/>
    <w:rsid w:val="009143EF"/>
    <w:rsid w:val="0091492D"/>
    <w:rsid w:val="00914982"/>
    <w:rsid w:val="00916564"/>
    <w:rsid w:val="00927CCD"/>
    <w:rsid w:val="009301F7"/>
    <w:rsid w:val="009310BB"/>
    <w:rsid w:val="0094363D"/>
    <w:rsid w:val="009451D2"/>
    <w:rsid w:val="0095500D"/>
    <w:rsid w:val="009550F4"/>
    <w:rsid w:val="00960A24"/>
    <w:rsid w:val="0096151B"/>
    <w:rsid w:val="00966821"/>
    <w:rsid w:val="00967C77"/>
    <w:rsid w:val="00967F53"/>
    <w:rsid w:val="00977EF5"/>
    <w:rsid w:val="009809B1"/>
    <w:rsid w:val="00982A08"/>
    <w:rsid w:val="009922B3"/>
    <w:rsid w:val="00995CE7"/>
    <w:rsid w:val="00997D01"/>
    <w:rsid w:val="009A38C7"/>
    <w:rsid w:val="009A50E0"/>
    <w:rsid w:val="009B3A0F"/>
    <w:rsid w:val="009C20F7"/>
    <w:rsid w:val="009C76DA"/>
    <w:rsid w:val="009C7772"/>
    <w:rsid w:val="009D052F"/>
    <w:rsid w:val="009D7160"/>
    <w:rsid w:val="009F297F"/>
    <w:rsid w:val="009F77C9"/>
    <w:rsid w:val="00A109EA"/>
    <w:rsid w:val="00A12F1B"/>
    <w:rsid w:val="00A1526C"/>
    <w:rsid w:val="00A15B41"/>
    <w:rsid w:val="00A218B6"/>
    <w:rsid w:val="00A26B9F"/>
    <w:rsid w:val="00A27E3D"/>
    <w:rsid w:val="00A27FA1"/>
    <w:rsid w:val="00A322AF"/>
    <w:rsid w:val="00A32CBB"/>
    <w:rsid w:val="00A405A2"/>
    <w:rsid w:val="00A50071"/>
    <w:rsid w:val="00A540DA"/>
    <w:rsid w:val="00A545AA"/>
    <w:rsid w:val="00A57334"/>
    <w:rsid w:val="00A60201"/>
    <w:rsid w:val="00A651E0"/>
    <w:rsid w:val="00A6548A"/>
    <w:rsid w:val="00A678DF"/>
    <w:rsid w:val="00A707E0"/>
    <w:rsid w:val="00A7407D"/>
    <w:rsid w:val="00A77C9C"/>
    <w:rsid w:val="00A83FDE"/>
    <w:rsid w:val="00A858C9"/>
    <w:rsid w:val="00A86627"/>
    <w:rsid w:val="00A87079"/>
    <w:rsid w:val="00A92732"/>
    <w:rsid w:val="00A9291E"/>
    <w:rsid w:val="00A9376B"/>
    <w:rsid w:val="00A965C7"/>
    <w:rsid w:val="00A97442"/>
    <w:rsid w:val="00AA0869"/>
    <w:rsid w:val="00AA2E4F"/>
    <w:rsid w:val="00AA77E6"/>
    <w:rsid w:val="00AB0CD5"/>
    <w:rsid w:val="00AB1B1F"/>
    <w:rsid w:val="00AB1B59"/>
    <w:rsid w:val="00AB460F"/>
    <w:rsid w:val="00AC2078"/>
    <w:rsid w:val="00AC2900"/>
    <w:rsid w:val="00AC44DE"/>
    <w:rsid w:val="00AC5832"/>
    <w:rsid w:val="00AD2DDC"/>
    <w:rsid w:val="00AD4BCC"/>
    <w:rsid w:val="00AD5C61"/>
    <w:rsid w:val="00AD6F52"/>
    <w:rsid w:val="00AD78F4"/>
    <w:rsid w:val="00AE2419"/>
    <w:rsid w:val="00AE4FFD"/>
    <w:rsid w:val="00AE605C"/>
    <w:rsid w:val="00AF1DF6"/>
    <w:rsid w:val="00AF542F"/>
    <w:rsid w:val="00AF592B"/>
    <w:rsid w:val="00AF6002"/>
    <w:rsid w:val="00AF65E6"/>
    <w:rsid w:val="00B029D4"/>
    <w:rsid w:val="00B05613"/>
    <w:rsid w:val="00B0763C"/>
    <w:rsid w:val="00B126B0"/>
    <w:rsid w:val="00B1340A"/>
    <w:rsid w:val="00B169FE"/>
    <w:rsid w:val="00B20AB3"/>
    <w:rsid w:val="00B22749"/>
    <w:rsid w:val="00B32919"/>
    <w:rsid w:val="00B33BA7"/>
    <w:rsid w:val="00B46CEF"/>
    <w:rsid w:val="00B515F8"/>
    <w:rsid w:val="00B54F5C"/>
    <w:rsid w:val="00B570A1"/>
    <w:rsid w:val="00B63C04"/>
    <w:rsid w:val="00B66280"/>
    <w:rsid w:val="00B67271"/>
    <w:rsid w:val="00B700CC"/>
    <w:rsid w:val="00B73D25"/>
    <w:rsid w:val="00B74968"/>
    <w:rsid w:val="00B83F5E"/>
    <w:rsid w:val="00B863B7"/>
    <w:rsid w:val="00B914F7"/>
    <w:rsid w:val="00B927B5"/>
    <w:rsid w:val="00BA4A7A"/>
    <w:rsid w:val="00BA6B7D"/>
    <w:rsid w:val="00BB20B5"/>
    <w:rsid w:val="00BB3EE3"/>
    <w:rsid w:val="00BC0AC1"/>
    <w:rsid w:val="00BC40D1"/>
    <w:rsid w:val="00BC7DAD"/>
    <w:rsid w:val="00BD096E"/>
    <w:rsid w:val="00BD0AC0"/>
    <w:rsid w:val="00BD5985"/>
    <w:rsid w:val="00BE76C0"/>
    <w:rsid w:val="00BF019D"/>
    <w:rsid w:val="00BF0997"/>
    <w:rsid w:val="00BF12F1"/>
    <w:rsid w:val="00BF326B"/>
    <w:rsid w:val="00BF6127"/>
    <w:rsid w:val="00C034B7"/>
    <w:rsid w:val="00C052E1"/>
    <w:rsid w:val="00C13760"/>
    <w:rsid w:val="00C15F20"/>
    <w:rsid w:val="00C166C4"/>
    <w:rsid w:val="00C16F4F"/>
    <w:rsid w:val="00C17676"/>
    <w:rsid w:val="00C17B4F"/>
    <w:rsid w:val="00C17C07"/>
    <w:rsid w:val="00C20FFA"/>
    <w:rsid w:val="00C22C58"/>
    <w:rsid w:val="00C348FF"/>
    <w:rsid w:val="00C34925"/>
    <w:rsid w:val="00C378FE"/>
    <w:rsid w:val="00C45C38"/>
    <w:rsid w:val="00C52CEF"/>
    <w:rsid w:val="00C5364B"/>
    <w:rsid w:val="00C61844"/>
    <w:rsid w:val="00C661C1"/>
    <w:rsid w:val="00C667DE"/>
    <w:rsid w:val="00C67754"/>
    <w:rsid w:val="00C67811"/>
    <w:rsid w:val="00C73A35"/>
    <w:rsid w:val="00C81355"/>
    <w:rsid w:val="00C8657F"/>
    <w:rsid w:val="00C87036"/>
    <w:rsid w:val="00C968C4"/>
    <w:rsid w:val="00CA022F"/>
    <w:rsid w:val="00CA2940"/>
    <w:rsid w:val="00CA4A0A"/>
    <w:rsid w:val="00CA5B7B"/>
    <w:rsid w:val="00CA660F"/>
    <w:rsid w:val="00CB33ED"/>
    <w:rsid w:val="00CB6288"/>
    <w:rsid w:val="00CB664C"/>
    <w:rsid w:val="00CC1129"/>
    <w:rsid w:val="00CE3DD8"/>
    <w:rsid w:val="00CF1578"/>
    <w:rsid w:val="00CF17DE"/>
    <w:rsid w:val="00CF2AAB"/>
    <w:rsid w:val="00CF3E67"/>
    <w:rsid w:val="00D0013A"/>
    <w:rsid w:val="00D01EC7"/>
    <w:rsid w:val="00D02E15"/>
    <w:rsid w:val="00D0484A"/>
    <w:rsid w:val="00D05E3B"/>
    <w:rsid w:val="00D116B5"/>
    <w:rsid w:val="00D137B9"/>
    <w:rsid w:val="00D17659"/>
    <w:rsid w:val="00D20F6C"/>
    <w:rsid w:val="00D25274"/>
    <w:rsid w:val="00D25C64"/>
    <w:rsid w:val="00D32228"/>
    <w:rsid w:val="00D354CB"/>
    <w:rsid w:val="00D37FE6"/>
    <w:rsid w:val="00D42E3A"/>
    <w:rsid w:val="00D42F55"/>
    <w:rsid w:val="00D43E3E"/>
    <w:rsid w:val="00D52F2C"/>
    <w:rsid w:val="00D548AE"/>
    <w:rsid w:val="00D55EC1"/>
    <w:rsid w:val="00D56983"/>
    <w:rsid w:val="00D61CB0"/>
    <w:rsid w:val="00D62717"/>
    <w:rsid w:val="00D70428"/>
    <w:rsid w:val="00D74325"/>
    <w:rsid w:val="00D74A5E"/>
    <w:rsid w:val="00D7621E"/>
    <w:rsid w:val="00D83A82"/>
    <w:rsid w:val="00D940B4"/>
    <w:rsid w:val="00DA20E1"/>
    <w:rsid w:val="00DA59FA"/>
    <w:rsid w:val="00DB08CE"/>
    <w:rsid w:val="00DB21A4"/>
    <w:rsid w:val="00DB2E98"/>
    <w:rsid w:val="00DB6F2C"/>
    <w:rsid w:val="00DB7DED"/>
    <w:rsid w:val="00DC1618"/>
    <w:rsid w:val="00DC6D72"/>
    <w:rsid w:val="00DD5889"/>
    <w:rsid w:val="00DE03F8"/>
    <w:rsid w:val="00DE4CBA"/>
    <w:rsid w:val="00E00D38"/>
    <w:rsid w:val="00E02127"/>
    <w:rsid w:val="00E0254A"/>
    <w:rsid w:val="00E048B1"/>
    <w:rsid w:val="00E05023"/>
    <w:rsid w:val="00E111EA"/>
    <w:rsid w:val="00E15D49"/>
    <w:rsid w:val="00E201A2"/>
    <w:rsid w:val="00E209C0"/>
    <w:rsid w:val="00E24970"/>
    <w:rsid w:val="00E31D14"/>
    <w:rsid w:val="00E3491F"/>
    <w:rsid w:val="00E356B9"/>
    <w:rsid w:val="00E46E4B"/>
    <w:rsid w:val="00E47E22"/>
    <w:rsid w:val="00E54E68"/>
    <w:rsid w:val="00E55ED8"/>
    <w:rsid w:val="00E56EE2"/>
    <w:rsid w:val="00E574E1"/>
    <w:rsid w:val="00E6021F"/>
    <w:rsid w:val="00E63F02"/>
    <w:rsid w:val="00E70FEC"/>
    <w:rsid w:val="00E71AAE"/>
    <w:rsid w:val="00E749BD"/>
    <w:rsid w:val="00E74C5A"/>
    <w:rsid w:val="00E76589"/>
    <w:rsid w:val="00E81379"/>
    <w:rsid w:val="00E848BE"/>
    <w:rsid w:val="00E8545E"/>
    <w:rsid w:val="00E85776"/>
    <w:rsid w:val="00E9263E"/>
    <w:rsid w:val="00E928CF"/>
    <w:rsid w:val="00E978BC"/>
    <w:rsid w:val="00EA4536"/>
    <w:rsid w:val="00EA4CE2"/>
    <w:rsid w:val="00EB11CB"/>
    <w:rsid w:val="00EB4EC3"/>
    <w:rsid w:val="00EC3251"/>
    <w:rsid w:val="00EC3B99"/>
    <w:rsid w:val="00EC5600"/>
    <w:rsid w:val="00ED1B5F"/>
    <w:rsid w:val="00ED38ED"/>
    <w:rsid w:val="00EE5B89"/>
    <w:rsid w:val="00EF0415"/>
    <w:rsid w:val="00EF1981"/>
    <w:rsid w:val="00F00968"/>
    <w:rsid w:val="00F01335"/>
    <w:rsid w:val="00F03C81"/>
    <w:rsid w:val="00F0569F"/>
    <w:rsid w:val="00F0714E"/>
    <w:rsid w:val="00F1314A"/>
    <w:rsid w:val="00F201AE"/>
    <w:rsid w:val="00F21276"/>
    <w:rsid w:val="00F221A4"/>
    <w:rsid w:val="00F222BB"/>
    <w:rsid w:val="00F25A16"/>
    <w:rsid w:val="00F312D9"/>
    <w:rsid w:val="00F35ED9"/>
    <w:rsid w:val="00F35EE8"/>
    <w:rsid w:val="00F47113"/>
    <w:rsid w:val="00F5141B"/>
    <w:rsid w:val="00F51F8B"/>
    <w:rsid w:val="00F538A3"/>
    <w:rsid w:val="00F56815"/>
    <w:rsid w:val="00F62DC9"/>
    <w:rsid w:val="00F644DF"/>
    <w:rsid w:val="00F73DA1"/>
    <w:rsid w:val="00F75A4A"/>
    <w:rsid w:val="00F77B89"/>
    <w:rsid w:val="00F80662"/>
    <w:rsid w:val="00F823F7"/>
    <w:rsid w:val="00F8321D"/>
    <w:rsid w:val="00F83294"/>
    <w:rsid w:val="00F8465C"/>
    <w:rsid w:val="00F90461"/>
    <w:rsid w:val="00F951E7"/>
    <w:rsid w:val="00F96E88"/>
    <w:rsid w:val="00F97F19"/>
    <w:rsid w:val="00FA051A"/>
    <w:rsid w:val="00FA10CC"/>
    <w:rsid w:val="00FA4DA0"/>
    <w:rsid w:val="00FA55E5"/>
    <w:rsid w:val="00FA5D5C"/>
    <w:rsid w:val="00FA6817"/>
    <w:rsid w:val="00FB1BCD"/>
    <w:rsid w:val="00FB2253"/>
    <w:rsid w:val="00FB37E2"/>
    <w:rsid w:val="00FD1C09"/>
    <w:rsid w:val="00FD2ECD"/>
    <w:rsid w:val="00FE4E6B"/>
    <w:rsid w:val="00FE6CAC"/>
    <w:rsid w:val="00FF1253"/>
    <w:rsid w:val="00FF4AFC"/>
    <w:rsid w:val="00FF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D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1720DA"/>
    <w:rPr>
      <w:rFonts w:ascii="Tahoma" w:hAnsi="Tahoma" w:cs="Tahoma"/>
      <w:sz w:val="16"/>
      <w:szCs w:val="16"/>
    </w:rPr>
  </w:style>
  <w:style w:type="character" w:customStyle="1" w:styleId="BalloonTextChar">
    <w:name w:val="Balloon Text Char"/>
    <w:basedOn w:val="DefaultParagraphFont"/>
    <w:link w:val="BalloonText"/>
    <w:rsid w:val="001720DA"/>
    <w:rPr>
      <w:rFonts w:ascii="Tahoma" w:hAnsi="Tahoma" w:cs="Tahoma"/>
      <w:sz w:val="16"/>
      <w:szCs w:val="16"/>
    </w:rPr>
  </w:style>
  <w:style w:type="character" w:styleId="CommentReference">
    <w:name w:val="annotation reference"/>
    <w:basedOn w:val="DefaultParagraphFont"/>
    <w:rsid w:val="00DB21A4"/>
    <w:rPr>
      <w:sz w:val="16"/>
      <w:szCs w:val="16"/>
    </w:rPr>
  </w:style>
  <w:style w:type="paragraph" w:styleId="CommentText">
    <w:name w:val="annotation text"/>
    <w:basedOn w:val="Normal"/>
    <w:link w:val="CommentTextChar"/>
    <w:rsid w:val="00DB21A4"/>
    <w:rPr>
      <w:sz w:val="20"/>
    </w:rPr>
  </w:style>
  <w:style w:type="character" w:customStyle="1" w:styleId="CommentTextChar">
    <w:name w:val="Comment Text Char"/>
    <w:basedOn w:val="DefaultParagraphFont"/>
    <w:link w:val="CommentText"/>
    <w:rsid w:val="00DB21A4"/>
    <w:rPr>
      <w:rFonts w:ascii="Palatino" w:hAnsi="Palatino"/>
    </w:rPr>
  </w:style>
  <w:style w:type="paragraph" w:styleId="CommentSubject">
    <w:name w:val="annotation subject"/>
    <w:basedOn w:val="CommentText"/>
    <w:next w:val="CommentText"/>
    <w:link w:val="CommentSubjectChar"/>
    <w:rsid w:val="00DB21A4"/>
    <w:rPr>
      <w:b/>
      <w:bCs/>
    </w:rPr>
  </w:style>
  <w:style w:type="character" w:customStyle="1" w:styleId="CommentSubjectChar">
    <w:name w:val="Comment Subject Char"/>
    <w:basedOn w:val="CommentTextChar"/>
    <w:link w:val="CommentSubject"/>
    <w:rsid w:val="00DB21A4"/>
    <w:rPr>
      <w:rFonts w:ascii="Palatino" w:hAnsi="Palatino"/>
      <w:b/>
      <w:bCs/>
    </w:rPr>
  </w:style>
  <w:style w:type="paragraph" w:styleId="DocumentMap">
    <w:name w:val="Document Map"/>
    <w:basedOn w:val="Normal"/>
    <w:link w:val="DocumentMapChar"/>
    <w:semiHidden/>
    <w:unhideWhenUsed/>
    <w:rsid w:val="00236E0C"/>
    <w:rPr>
      <w:rFonts w:ascii="Times New Roman" w:hAnsi="Times New Roman"/>
      <w:sz w:val="24"/>
      <w:szCs w:val="24"/>
    </w:rPr>
  </w:style>
  <w:style w:type="character" w:customStyle="1" w:styleId="DocumentMapChar">
    <w:name w:val="Document Map Char"/>
    <w:basedOn w:val="DefaultParagraphFont"/>
    <w:link w:val="DocumentMap"/>
    <w:semiHidden/>
    <w:rsid w:val="00236E0C"/>
    <w:rPr>
      <w:sz w:val="24"/>
      <w:szCs w:val="24"/>
    </w:rPr>
  </w:style>
  <w:style w:type="character" w:styleId="Hyperlink">
    <w:name w:val="Hyperlink"/>
    <w:basedOn w:val="DefaultParagraphFont"/>
    <w:uiPriority w:val="99"/>
    <w:unhideWhenUsed/>
    <w:rsid w:val="00FB2253"/>
    <w:rPr>
      <w:color w:val="0000FF"/>
      <w:u w:val="single"/>
    </w:rPr>
  </w:style>
  <w:style w:type="character" w:styleId="FollowedHyperlink">
    <w:name w:val="FollowedHyperlink"/>
    <w:basedOn w:val="DefaultParagraphFont"/>
    <w:rsid w:val="0040286A"/>
    <w:rPr>
      <w:color w:val="800080" w:themeColor="followedHyperlink"/>
      <w:u w:val="single"/>
    </w:rPr>
  </w:style>
  <w:style w:type="paragraph" w:styleId="Revision">
    <w:name w:val="Revision"/>
    <w:hidden/>
    <w:uiPriority w:val="99"/>
    <w:semiHidden/>
    <w:rsid w:val="002924AE"/>
    <w:rPr>
      <w:rFonts w:ascii="Palatino" w:hAnsi="Palatino"/>
      <w:sz w:val="26"/>
    </w:rPr>
  </w:style>
  <w:style w:type="paragraph" w:customStyle="1" w:styleId="Default">
    <w:name w:val="Default"/>
    <w:rsid w:val="007F5C03"/>
    <w:pPr>
      <w:autoSpaceDE w:val="0"/>
      <w:autoSpaceDN w:val="0"/>
      <w:adjustRightInd w:val="0"/>
    </w:pPr>
    <w:rPr>
      <w:rFonts w:ascii="Book Antiqua" w:hAnsi="Book Antiqua" w:cs="Book Antiqua"/>
      <w:color w:val="000000"/>
      <w:sz w:val="24"/>
      <w:szCs w:val="24"/>
    </w:rPr>
  </w:style>
  <w:style w:type="table" w:styleId="TableGrid">
    <w:name w:val="Table Grid"/>
    <w:basedOn w:val="TableNormal"/>
    <w:uiPriority w:val="59"/>
    <w:rsid w:val="00250C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1720DA"/>
    <w:rPr>
      <w:rFonts w:ascii="Tahoma" w:hAnsi="Tahoma" w:cs="Tahoma"/>
      <w:sz w:val="16"/>
      <w:szCs w:val="16"/>
    </w:rPr>
  </w:style>
  <w:style w:type="character" w:customStyle="1" w:styleId="BalloonTextChar">
    <w:name w:val="Balloon Text Char"/>
    <w:basedOn w:val="DefaultParagraphFont"/>
    <w:link w:val="BalloonText"/>
    <w:rsid w:val="001720DA"/>
    <w:rPr>
      <w:rFonts w:ascii="Tahoma" w:hAnsi="Tahoma" w:cs="Tahoma"/>
      <w:sz w:val="16"/>
      <w:szCs w:val="16"/>
    </w:rPr>
  </w:style>
  <w:style w:type="character" w:styleId="CommentReference">
    <w:name w:val="annotation reference"/>
    <w:basedOn w:val="DefaultParagraphFont"/>
    <w:rsid w:val="00DB21A4"/>
    <w:rPr>
      <w:sz w:val="16"/>
      <w:szCs w:val="16"/>
    </w:rPr>
  </w:style>
  <w:style w:type="paragraph" w:styleId="CommentText">
    <w:name w:val="annotation text"/>
    <w:basedOn w:val="Normal"/>
    <w:link w:val="CommentTextChar"/>
    <w:rsid w:val="00DB21A4"/>
    <w:rPr>
      <w:sz w:val="20"/>
    </w:rPr>
  </w:style>
  <w:style w:type="character" w:customStyle="1" w:styleId="CommentTextChar">
    <w:name w:val="Comment Text Char"/>
    <w:basedOn w:val="DefaultParagraphFont"/>
    <w:link w:val="CommentText"/>
    <w:rsid w:val="00DB21A4"/>
    <w:rPr>
      <w:rFonts w:ascii="Palatino" w:hAnsi="Palatino"/>
    </w:rPr>
  </w:style>
  <w:style w:type="paragraph" w:styleId="CommentSubject">
    <w:name w:val="annotation subject"/>
    <w:basedOn w:val="CommentText"/>
    <w:next w:val="CommentText"/>
    <w:link w:val="CommentSubjectChar"/>
    <w:rsid w:val="00DB21A4"/>
    <w:rPr>
      <w:b/>
      <w:bCs/>
    </w:rPr>
  </w:style>
  <w:style w:type="character" w:customStyle="1" w:styleId="CommentSubjectChar">
    <w:name w:val="Comment Subject Char"/>
    <w:basedOn w:val="CommentTextChar"/>
    <w:link w:val="CommentSubject"/>
    <w:rsid w:val="00DB21A4"/>
    <w:rPr>
      <w:rFonts w:ascii="Palatino" w:hAnsi="Palatino"/>
      <w:b/>
      <w:bCs/>
    </w:rPr>
  </w:style>
  <w:style w:type="paragraph" w:styleId="DocumentMap">
    <w:name w:val="Document Map"/>
    <w:basedOn w:val="Normal"/>
    <w:link w:val="DocumentMapChar"/>
    <w:semiHidden/>
    <w:unhideWhenUsed/>
    <w:rsid w:val="00236E0C"/>
    <w:rPr>
      <w:rFonts w:ascii="Times New Roman" w:hAnsi="Times New Roman"/>
      <w:sz w:val="24"/>
      <w:szCs w:val="24"/>
    </w:rPr>
  </w:style>
  <w:style w:type="character" w:customStyle="1" w:styleId="DocumentMapChar">
    <w:name w:val="Document Map Char"/>
    <w:basedOn w:val="DefaultParagraphFont"/>
    <w:link w:val="DocumentMap"/>
    <w:semiHidden/>
    <w:rsid w:val="00236E0C"/>
    <w:rPr>
      <w:sz w:val="24"/>
      <w:szCs w:val="24"/>
    </w:rPr>
  </w:style>
  <w:style w:type="character" w:styleId="Hyperlink">
    <w:name w:val="Hyperlink"/>
    <w:basedOn w:val="DefaultParagraphFont"/>
    <w:uiPriority w:val="99"/>
    <w:unhideWhenUsed/>
    <w:rsid w:val="00FB2253"/>
    <w:rPr>
      <w:color w:val="0000FF"/>
      <w:u w:val="single"/>
    </w:rPr>
  </w:style>
  <w:style w:type="character" w:styleId="FollowedHyperlink">
    <w:name w:val="FollowedHyperlink"/>
    <w:basedOn w:val="DefaultParagraphFont"/>
    <w:rsid w:val="0040286A"/>
    <w:rPr>
      <w:color w:val="800080" w:themeColor="followedHyperlink"/>
      <w:u w:val="single"/>
    </w:rPr>
  </w:style>
  <w:style w:type="paragraph" w:styleId="Revision">
    <w:name w:val="Revision"/>
    <w:hidden/>
    <w:uiPriority w:val="99"/>
    <w:semiHidden/>
    <w:rsid w:val="002924AE"/>
    <w:rPr>
      <w:rFonts w:ascii="Palatino" w:hAnsi="Palatino"/>
      <w:sz w:val="26"/>
    </w:rPr>
  </w:style>
  <w:style w:type="paragraph" w:customStyle="1" w:styleId="Default">
    <w:name w:val="Default"/>
    <w:rsid w:val="007F5C03"/>
    <w:pPr>
      <w:autoSpaceDE w:val="0"/>
      <w:autoSpaceDN w:val="0"/>
      <w:adjustRightInd w:val="0"/>
    </w:pPr>
    <w:rPr>
      <w:rFonts w:ascii="Book Antiqua" w:hAnsi="Book Antiqua" w:cs="Book Antiqua"/>
      <w:color w:val="000000"/>
      <w:sz w:val="24"/>
      <w:szCs w:val="24"/>
    </w:rPr>
  </w:style>
  <w:style w:type="table" w:styleId="TableGrid">
    <w:name w:val="Table Grid"/>
    <w:basedOn w:val="TableNormal"/>
    <w:uiPriority w:val="59"/>
    <w:rsid w:val="00250C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9582">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8843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1F16-F3B9-4337-A8E6-4B3526F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Template>
  <TotalTime>1</TotalTime>
  <Pages>26</Pages>
  <Words>7316</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48926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Perrin, Sarah</cp:lastModifiedBy>
  <cp:revision>4</cp:revision>
  <cp:lastPrinted>2016-07-07T00:32:00Z</cp:lastPrinted>
  <dcterms:created xsi:type="dcterms:W3CDTF">2016-07-20T22:17:00Z</dcterms:created>
  <dcterms:modified xsi:type="dcterms:W3CDTF">2016-07-29T18:40:00Z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