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r>
        <w:rPr>
          <w:sz w:val="24"/>
        </w:rPr>
        <w:t>PUBLIC UTILITIES COMMISSION OF THE STATE OF CALIFORNIA</w:t>
      </w:r>
    </w:p>
    <w:p w:rsidR="00CF17DE" w:rsidRPr="009B479B" w:rsidRDefault="002E05B9">
      <w:pPr>
        <w:suppressAutoHyphens/>
        <w:rPr>
          <w:b/>
          <w:sz w:val="24"/>
          <w:szCs w:val="24"/>
        </w:rPr>
      </w:pPr>
      <w:r>
        <w:tab/>
      </w:r>
      <w:r>
        <w:tab/>
      </w:r>
      <w:r>
        <w:tab/>
      </w:r>
      <w:r>
        <w:tab/>
      </w:r>
      <w:r>
        <w:tab/>
      </w:r>
      <w:r>
        <w:tab/>
      </w:r>
      <w:r>
        <w:tab/>
      </w:r>
      <w:r>
        <w:tab/>
      </w:r>
      <w:r>
        <w:tab/>
      </w:r>
      <w:r w:rsidR="009B479B">
        <w:t xml:space="preserve">    </w:t>
      </w:r>
      <w:r w:rsidR="009B479B" w:rsidRPr="009B479B">
        <w:rPr>
          <w:b/>
          <w:sz w:val="24"/>
          <w:szCs w:val="24"/>
        </w:rPr>
        <w:t xml:space="preserve">AGENDA </w:t>
      </w:r>
      <w:r w:rsidRPr="009B479B">
        <w:rPr>
          <w:b/>
          <w:sz w:val="24"/>
          <w:szCs w:val="24"/>
        </w:rPr>
        <w:t xml:space="preserve">ID </w:t>
      </w:r>
      <w:r w:rsidR="00CC3FBA">
        <w:rPr>
          <w:b/>
          <w:sz w:val="24"/>
          <w:szCs w:val="24"/>
        </w:rPr>
        <w:t>15140</w:t>
      </w:r>
      <w:bookmarkStart w:id="0" w:name="_GoBack"/>
      <w:bookmarkEnd w:id="0"/>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2A47F7">
        <w:rPr>
          <w:b/>
          <w:sz w:val="24"/>
        </w:rPr>
        <w:tab/>
      </w:r>
      <w:r w:rsidR="00CF17DE">
        <w:rPr>
          <w:b/>
          <w:sz w:val="24"/>
        </w:rPr>
        <w:t xml:space="preserve">RESOLUTION </w:t>
      </w:r>
      <w:r w:rsidR="003059A1">
        <w:rPr>
          <w:b/>
          <w:sz w:val="24"/>
        </w:rPr>
        <w:t>E-4804</w:t>
      </w:r>
    </w:p>
    <w:p w:rsidR="00CF17DE" w:rsidRDefault="00CF17DE">
      <w:pPr>
        <w:tabs>
          <w:tab w:val="right" w:pos="8910"/>
        </w:tabs>
        <w:ind w:left="1440" w:firstLine="720"/>
        <w:rPr>
          <w:b/>
          <w:sz w:val="24"/>
        </w:rPr>
      </w:pPr>
      <w:r>
        <w:rPr>
          <w:b/>
          <w:sz w:val="24"/>
        </w:rPr>
        <w:tab/>
      </w:r>
      <w:r w:rsidR="001C6232">
        <w:rPr>
          <w:b/>
          <w:sz w:val="24"/>
        </w:rPr>
        <w:t>September 15</w:t>
      </w:r>
      <w:r w:rsidR="00C956F2">
        <w:rPr>
          <w:b/>
          <w:sz w:val="24"/>
        </w:rPr>
        <w:t>, 201</w:t>
      </w:r>
      <w:r w:rsidR="00AB751F">
        <w:rPr>
          <w:b/>
          <w:sz w:val="24"/>
        </w:rPr>
        <w:t>6</w:t>
      </w:r>
    </w:p>
    <w:p w:rsidR="002A47F7" w:rsidRDefault="002A47F7">
      <w:pPr>
        <w:tabs>
          <w:tab w:val="right" w:pos="8910"/>
        </w:tabs>
        <w:ind w:left="1440" w:firstLine="720"/>
        <w:rPr>
          <w:b/>
          <w:sz w:val="24"/>
        </w:rPr>
      </w:pPr>
    </w:p>
    <w:p w:rsidR="00CF17DE" w:rsidRDefault="00CF17DE">
      <w:pPr>
        <w:pStyle w:val="mainex"/>
        <w:rPr>
          <w:u w:val="single"/>
        </w:rPr>
      </w:pPr>
      <w:bookmarkStart w:id="1" w:name="_Ref404993683"/>
      <w:r>
        <w:rPr>
          <w:u w:val="single"/>
        </w:rPr>
        <w:t>RESOLUTION</w:t>
      </w:r>
    </w:p>
    <w:p w:rsidR="00CF17DE" w:rsidRDefault="00CF17DE"/>
    <w:p w:rsidR="00C57415" w:rsidRPr="003059A1" w:rsidRDefault="00B927B5" w:rsidP="003D0B49">
      <w:pPr>
        <w:pStyle w:val="Res-Caption"/>
        <w:rPr>
          <w:rFonts w:ascii="Palatino Linotype" w:hAnsi="Palatino Linotype"/>
          <w:szCs w:val="26"/>
        </w:rPr>
      </w:pPr>
      <w:r w:rsidRPr="003059A1">
        <w:rPr>
          <w:rFonts w:ascii="Palatino Linotype" w:hAnsi="Palatino Linotype"/>
          <w:szCs w:val="26"/>
        </w:rPr>
        <w:t xml:space="preserve">Resolution </w:t>
      </w:r>
      <w:r w:rsidR="00AB751F" w:rsidRPr="003059A1">
        <w:rPr>
          <w:rFonts w:ascii="Palatino Linotype" w:hAnsi="Palatino Linotype"/>
          <w:szCs w:val="26"/>
        </w:rPr>
        <w:t>E-</w:t>
      </w:r>
      <w:r w:rsidR="003059A1">
        <w:rPr>
          <w:rFonts w:ascii="Palatino Linotype" w:hAnsi="Palatino Linotype"/>
          <w:szCs w:val="26"/>
        </w:rPr>
        <w:t>4804</w:t>
      </w:r>
      <w:r w:rsidRPr="003059A1">
        <w:rPr>
          <w:rFonts w:ascii="Palatino Linotype" w:hAnsi="Palatino Linotype"/>
          <w:szCs w:val="26"/>
        </w:rPr>
        <w:t xml:space="preserve">.  </w:t>
      </w:r>
      <w:r w:rsidR="001C6232" w:rsidRPr="003059A1">
        <w:rPr>
          <w:rFonts w:ascii="Palatino Linotype" w:hAnsi="Palatino Linotype"/>
          <w:szCs w:val="26"/>
        </w:rPr>
        <w:t xml:space="preserve">Southern California Edison Company (SCE) requests approval of three resource adequacy only contracts with Western Grid Development, LLC, AltaGas Pomona Energy </w:t>
      </w:r>
      <w:r w:rsidR="00A25FF2">
        <w:rPr>
          <w:rFonts w:ascii="Palatino Linotype" w:hAnsi="Palatino Linotype"/>
          <w:szCs w:val="26"/>
        </w:rPr>
        <w:br/>
      </w:r>
      <w:r w:rsidR="001C6232" w:rsidRPr="003059A1">
        <w:rPr>
          <w:rFonts w:ascii="Palatino Linotype" w:hAnsi="Palatino Linotype"/>
          <w:szCs w:val="26"/>
        </w:rPr>
        <w:t>Storage Inc., and Grand Jo</w:t>
      </w:r>
      <w:r w:rsidR="008461F4">
        <w:rPr>
          <w:rFonts w:ascii="Palatino Linotype" w:hAnsi="Palatino Linotype"/>
          <w:szCs w:val="26"/>
        </w:rPr>
        <w:t>h</w:t>
      </w:r>
      <w:r w:rsidR="001C6232" w:rsidRPr="003059A1">
        <w:rPr>
          <w:rFonts w:ascii="Palatino Linotype" w:hAnsi="Palatino Linotype"/>
          <w:szCs w:val="26"/>
        </w:rPr>
        <w:t>anna LLC.</w:t>
      </w:r>
    </w:p>
    <w:p w:rsidR="00801D70" w:rsidRPr="003059A1" w:rsidRDefault="00801D70">
      <w:pPr>
        <w:pStyle w:val="Res-Caption"/>
        <w:rPr>
          <w:rFonts w:ascii="Palatino Linotype" w:hAnsi="Palatino Linotype"/>
          <w:szCs w:val="26"/>
        </w:rPr>
      </w:pPr>
    </w:p>
    <w:p w:rsidR="008715C0" w:rsidRPr="003059A1" w:rsidRDefault="00801D70" w:rsidP="008715C0">
      <w:pPr>
        <w:pStyle w:val="Res-Caption"/>
        <w:ind w:left="0" w:firstLine="720"/>
        <w:rPr>
          <w:rFonts w:ascii="Palatino Linotype" w:hAnsi="Palatino Linotype"/>
          <w:szCs w:val="26"/>
        </w:rPr>
      </w:pPr>
      <w:r w:rsidRPr="003059A1">
        <w:rPr>
          <w:rFonts w:ascii="Palatino Linotype" w:hAnsi="Palatino Linotype"/>
          <w:szCs w:val="26"/>
        </w:rPr>
        <w:t>PROPOSED OUTCOME:</w:t>
      </w:r>
      <w:r w:rsidR="003A6FA6" w:rsidRPr="003059A1">
        <w:rPr>
          <w:rFonts w:ascii="Palatino Linotype" w:hAnsi="Palatino Linotype"/>
          <w:szCs w:val="26"/>
        </w:rPr>
        <w:t xml:space="preserve">  </w:t>
      </w:r>
    </w:p>
    <w:p w:rsidR="001C6232" w:rsidRPr="003059A1" w:rsidRDefault="001C6232" w:rsidP="005E7305">
      <w:pPr>
        <w:pStyle w:val="Res-Caption"/>
        <w:numPr>
          <w:ilvl w:val="0"/>
          <w:numId w:val="42"/>
        </w:numPr>
        <w:rPr>
          <w:rFonts w:ascii="Palatino Linotype" w:hAnsi="Palatino Linotype"/>
          <w:szCs w:val="26"/>
        </w:rPr>
      </w:pPr>
      <w:r w:rsidRPr="003059A1">
        <w:rPr>
          <w:rFonts w:ascii="Palatino Linotype" w:hAnsi="Palatino Linotype"/>
          <w:szCs w:val="26"/>
        </w:rPr>
        <w:t>This Resolution approves SCE’s contracts with Western Grid Development, LLC, AltaGas Pomona Energy Storage Inc., and Grand Jo</w:t>
      </w:r>
      <w:r w:rsidR="008461F4">
        <w:rPr>
          <w:rFonts w:ascii="Palatino Linotype" w:hAnsi="Palatino Linotype"/>
          <w:szCs w:val="26"/>
        </w:rPr>
        <w:t>h</w:t>
      </w:r>
      <w:r w:rsidRPr="003059A1">
        <w:rPr>
          <w:rFonts w:ascii="Palatino Linotype" w:hAnsi="Palatino Linotype"/>
          <w:szCs w:val="26"/>
        </w:rPr>
        <w:t>anna LLC.</w:t>
      </w:r>
    </w:p>
    <w:p w:rsidR="009B27C1" w:rsidRPr="003059A1" w:rsidRDefault="009B27C1" w:rsidP="009B27C1">
      <w:pPr>
        <w:pStyle w:val="Res-Caption"/>
        <w:rPr>
          <w:rFonts w:ascii="Palatino Linotype" w:hAnsi="Palatino Linotype"/>
          <w:szCs w:val="26"/>
        </w:rPr>
      </w:pPr>
    </w:p>
    <w:p w:rsidR="008715C0" w:rsidRPr="003059A1" w:rsidRDefault="00F51F8B" w:rsidP="008715C0">
      <w:pPr>
        <w:pStyle w:val="Res-Caption"/>
        <w:ind w:left="0" w:firstLine="720"/>
        <w:rPr>
          <w:rFonts w:ascii="Palatino Linotype" w:hAnsi="Palatino Linotype"/>
          <w:szCs w:val="26"/>
        </w:rPr>
      </w:pPr>
      <w:r w:rsidRPr="003059A1">
        <w:rPr>
          <w:rFonts w:ascii="Palatino Linotype" w:hAnsi="Palatino Linotype"/>
          <w:szCs w:val="26"/>
        </w:rPr>
        <w:t>SAFETY CONSIDERATIONS:</w:t>
      </w:r>
      <w:r w:rsidR="003A6FA6" w:rsidRPr="003059A1">
        <w:rPr>
          <w:rFonts w:ascii="Palatino Linotype" w:hAnsi="Palatino Linotype"/>
          <w:szCs w:val="26"/>
        </w:rPr>
        <w:t xml:space="preserve">  </w:t>
      </w:r>
    </w:p>
    <w:p w:rsidR="001C6232" w:rsidRPr="003059A1" w:rsidRDefault="001C6232" w:rsidP="005E7305">
      <w:pPr>
        <w:pStyle w:val="Res-Caption"/>
        <w:numPr>
          <w:ilvl w:val="0"/>
          <w:numId w:val="41"/>
        </w:numPr>
        <w:rPr>
          <w:rFonts w:ascii="Palatino Linotype" w:hAnsi="Palatino Linotype"/>
          <w:szCs w:val="26"/>
        </w:rPr>
      </w:pPr>
      <w:r w:rsidRPr="003059A1">
        <w:rPr>
          <w:rFonts w:ascii="Palatino Linotype" w:hAnsi="Palatino Linotype"/>
          <w:szCs w:val="26"/>
        </w:rPr>
        <w:t>This Resolution supports the Governor’s Emergency Proclamation to protect public safety by ensuring the continued reliability of natural gas and electric supplies while there is a moratorium on gas injections at Aliso Canyon Natural Gas Storage Facility.</w:t>
      </w:r>
    </w:p>
    <w:p w:rsidR="005E7305" w:rsidRPr="003059A1" w:rsidRDefault="001C6232" w:rsidP="005E7305">
      <w:pPr>
        <w:pStyle w:val="Res-Caption"/>
        <w:numPr>
          <w:ilvl w:val="0"/>
          <w:numId w:val="41"/>
        </w:numPr>
        <w:rPr>
          <w:rFonts w:ascii="Palatino Linotype" w:hAnsi="Palatino Linotype"/>
          <w:szCs w:val="26"/>
        </w:rPr>
      </w:pPr>
      <w:r w:rsidRPr="003059A1">
        <w:rPr>
          <w:rFonts w:ascii="Palatino Linotype" w:hAnsi="Palatino Linotype"/>
          <w:szCs w:val="26"/>
        </w:rPr>
        <w:t>These contracts require the owners and operators of the energy storage facilities to operate in accordance with prudent and safe electrical practices.</w:t>
      </w:r>
    </w:p>
    <w:p w:rsidR="00FF2D46" w:rsidRPr="003059A1" w:rsidRDefault="00FF2D46" w:rsidP="00FF2D46">
      <w:pPr>
        <w:pStyle w:val="Res-Caption"/>
        <w:ind w:left="1440"/>
        <w:rPr>
          <w:rFonts w:ascii="Palatino Linotype" w:hAnsi="Palatino Linotype"/>
          <w:szCs w:val="26"/>
        </w:rPr>
      </w:pPr>
    </w:p>
    <w:p w:rsidR="008715C0" w:rsidRPr="003059A1" w:rsidRDefault="00801D70" w:rsidP="008715C0">
      <w:pPr>
        <w:pStyle w:val="Res-Caption"/>
        <w:ind w:left="0" w:firstLine="720"/>
        <w:rPr>
          <w:rFonts w:ascii="Palatino Linotype" w:hAnsi="Palatino Linotype"/>
          <w:szCs w:val="26"/>
        </w:rPr>
      </w:pPr>
      <w:r w:rsidRPr="003059A1">
        <w:rPr>
          <w:rFonts w:ascii="Palatino Linotype" w:hAnsi="Palatino Linotype"/>
          <w:szCs w:val="26"/>
        </w:rPr>
        <w:t xml:space="preserve">ESTIMATED COST:  </w:t>
      </w:r>
    </w:p>
    <w:p w:rsidR="00FF2D46" w:rsidRPr="003059A1" w:rsidRDefault="00FF2D46" w:rsidP="005E7305">
      <w:pPr>
        <w:pStyle w:val="Res-Caption"/>
        <w:numPr>
          <w:ilvl w:val="0"/>
          <w:numId w:val="43"/>
        </w:numPr>
        <w:rPr>
          <w:rFonts w:ascii="Palatino Linotype" w:hAnsi="Palatino Linotype"/>
          <w:szCs w:val="26"/>
        </w:rPr>
      </w:pPr>
      <w:r w:rsidRPr="003059A1">
        <w:rPr>
          <w:rFonts w:ascii="Palatino Linotype" w:hAnsi="Palatino Linotype"/>
          <w:szCs w:val="26"/>
        </w:rPr>
        <w:t>Actual costs of the contracts are confidential at this time.</w:t>
      </w:r>
    </w:p>
    <w:p w:rsidR="006C5D62" w:rsidRPr="003059A1" w:rsidRDefault="006C5D62" w:rsidP="006C5D62">
      <w:pPr>
        <w:pStyle w:val="Res-Caption"/>
        <w:rPr>
          <w:rFonts w:ascii="Palatino Linotype" w:hAnsi="Palatino Linotype"/>
          <w:color w:val="000000"/>
          <w:szCs w:val="26"/>
        </w:rPr>
      </w:pPr>
    </w:p>
    <w:p w:rsidR="00CF17DE" w:rsidRPr="003059A1" w:rsidRDefault="00E464E3" w:rsidP="006B40B5">
      <w:pPr>
        <w:pStyle w:val="Res-Caption"/>
        <w:rPr>
          <w:rFonts w:ascii="Palatino Linotype" w:hAnsi="Palatino Linotype"/>
          <w:color w:val="000000"/>
          <w:szCs w:val="26"/>
        </w:rPr>
      </w:pPr>
      <w:r w:rsidRPr="003059A1">
        <w:rPr>
          <w:rFonts w:ascii="Palatino Linotype" w:hAnsi="Palatino Linotype"/>
          <w:color w:val="000000"/>
          <w:szCs w:val="26"/>
        </w:rPr>
        <w:t>By Advice Letter</w:t>
      </w:r>
      <w:r w:rsidR="001C6232" w:rsidRPr="003059A1">
        <w:rPr>
          <w:rFonts w:ascii="Palatino Linotype" w:hAnsi="Palatino Linotype"/>
          <w:color w:val="000000"/>
          <w:szCs w:val="26"/>
        </w:rPr>
        <w:t>s</w:t>
      </w:r>
      <w:r w:rsidR="00AB751F" w:rsidRPr="003059A1">
        <w:rPr>
          <w:rFonts w:ascii="Palatino Linotype" w:hAnsi="Palatino Linotype"/>
          <w:color w:val="000000"/>
          <w:szCs w:val="26"/>
        </w:rPr>
        <w:t xml:space="preserve"> </w:t>
      </w:r>
      <w:r w:rsidR="001C6232" w:rsidRPr="003059A1">
        <w:rPr>
          <w:rFonts w:ascii="Palatino Linotype" w:hAnsi="Palatino Linotype"/>
          <w:color w:val="000000"/>
          <w:szCs w:val="26"/>
        </w:rPr>
        <w:t>3454</w:t>
      </w:r>
      <w:r w:rsidR="00C57415" w:rsidRPr="003059A1">
        <w:rPr>
          <w:rFonts w:ascii="Palatino Linotype" w:hAnsi="Palatino Linotype"/>
          <w:color w:val="000000"/>
          <w:szCs w:val="26"/>
        </w:rPr>
        <w:t>-E</w:t>
      </w:r>
      <w:r w:rsidR="001C6232" w:rsidRPr="003059A1">
        <w:rPr>
          <w:rFonts w:ascii="Palatino Linotype" w:hAnsi="Palatino Linotype"/>
          <w:color w:val="000000"/>
          <w:szCs w:val="26"/>
        </w:rPr>
        <w:t>, 3455-E, and 3456-E</w:t>
      </w:r>
      <w:r w:rsidR="00C57415" w:rsidRPr="003059A1">
        <w:rPr>
          <w:rFonts w:ascii="Palatino Linotype" w:hAnsi="Palatino Linotype"/>
          <w:color w:val="000000"/>
          <w:szCs w:val="26"/>
        </w:rPr>
        <w:t xml:space="preserve"> </w:t>
      </w:r>
      <w:r w:rsidR="00361D2C" w:rsidRPr="003059A1">
        <w:rPr>
          <w:rFonts w:ascii="Palatino Linotype" w:hAnsi="Palatino Linotype"/>
          <w:color w:val="000000"/>
          <w:szCs w:val="26"/>
        </w:rPr>
        <w:t>(</w:t>
      </w:r>
      <w:r w:rsidR="001C6232" w:rsidRPr="003059A1">
        <w:rPr>
          <w:rFonts w:ascii="Palatino Linotype" w:hAnsi="Palatino Linotype"/>
          <w:color w:val="000000"/>
          <w:szCs w:val="26"/>
        </w:rPr>
        <w:t>Southern California Edison Company), Filed on August 15</w:t>
      </w:r>
      <w:r w:rsidRPr="003059A1">
        <w:rPr>
          <w:rFonts w:ascii="Palatino Linotype" w:hAnsi="Palatino Linotype"/>
          <w:color w:val="000000"/>
          <w:szCs w:val="26"/>
        </w:rPr>
        <w:t>, 2016</w:t>
      </w:r>
      <w:r w:rsidR="00CF17DE" w:rsidRPr="003059A1">
        <w:rPr>
          <w:rFonts w:ascii="Palatino Linotype" w:hAnsi="Palatino Linotype"/>
          <w:color w:val="000000"/>
          <w:szCs w:val="26"/>
        </w:rPr>
        <w:t xml:space="preserve">. </w:t>
      </w:r>
    </w:p>
    <w:p w:rsidR="00CF17DE" w:rsidRPr="003059A1" w:rsidRDefault="00CF17DE" w:rsidP="002E05B9">
      <w:pPr>
        <w:spacing w:after="360"/>
        <w:jc w:val="center"/>
        <w:rPr>
          <w:rFonts w:ascii="Palatino Linotype" w:hAnsi="Palatino Linotype"/>
          <w:szCs w:val="26"/>
        </w:rPr>
      </w:pPr>
      <w:r w:rsidRPr="003059A1">
        <w:rPr>
          <w:rFonts w:ascii="Palatino Linotype" w:hAnsi="Palatino Linotype"/>
          <w:szCs w:val="26"/>
        </w:rPr>
        <w:t>__________________________________________________________</w:t>
      </w:r>
    </w:p>
    <w:p w:rsidR="00CF17DE" w:rsidRPr="00A25FF2" w:rsidRDefault="00CF17DE" w:rsidP="00304438">
      <w:pPr>
        <w:pStyle w:val="Heading1"/>
        <w:rPr>
          <w:rFonts w:cs="Helvetica"/>
          <w:szCs w:val="26"/>
        </w:rPr>
      </w:pPr>
      <w:r w:rsidRPr="00A25FF2">
        <w:rPr>
          <w:rFonts w:cs="Helvetica"/>
          <w:szCs w:val="26"/>
        </w:rPr>
        <w:t>Summary</w:t>
      </w:r>
      <w:bookmarkEnd w:id="1"/>
    </w:p>
    <w:p w:rsidR="001C6232" w:rsidRPr="003059A1" w:rsidRDefault="00FF2D46" w:rsidP="00E464E3">
      <w:pPr>
        <w:rPr>
          <w:rFonts w:ascii="Palatino Linotype" w:hAnsi="Palatino Linotype"/>
          <w:color w:val="000000"/>
          <w:szCs w:val="26"/>
        </w:rPr>
      </w:pPr>
      <w:r w:rsidRPr="003059A1">
        <w:rPr>
          <w:rFonts w:ascii="Palatino Linotype" w:hAnsi="Palatino Linotype"/>
          <w:color w:val="000000"/>
          <w:szCs w:val="26"/>
        </w:rPr>
        <w:t xml:space="preserve">This Resolution approves </w:t>
      </w:r>
      <w:r w:rsidR="001C6232" w:rsidRPr="003059A1">
        <w:rPr>
          <w:rFonts w:ascii="Palatino Linotype" w:hAnsi="Palatino Linotype"/>
          <w:color w:val="000000"/>
          <w:szCs w:val="26"/>
        </w:rPr>
        <w:t>SCE’s</w:t>
      </w:r>
      <w:r w:rsidR="00361D2C" w:rsidRPr="003059A1">
        <w:rPr>
          <w:rFonts w:ascii="Palatino Linotype" w:hAnsi="Palatino Linotype"/>
          <w:color w:val="000000"/>
          <w:szCs w:val="26"/>
        </w:rPr>
        <w:t xml:space="preserve"> contracts </w:t>
      </w:r>
      <w:r w:rsidR="001C6232" w:rsidRPr="003059A1">
        <w:rPr>
          <w:rFonts w:ascii="Palatino Linotype" w:hAnsi="Palatino Linotype"/>
          <w:color w:val="000000"/>
          <w:szCs w:val="26"/>
        </w:rPr>
        <w:t>for resource adequacy (RA) capacity only from three development companies for three energy storage projects, at varying capacities, as follows:</w:t>
      </w:r>
      <w:r w:rsidR="00A25FF2">
        <w:rPr>
          <w:rFonts w:ascii="Palatino Linotype" w:hAnsi="Palatino Linotype"/>
          <w:color w:val="000000"/>
          <w:szCs w:val="26"/>
        </w:rPr>
        <w:t xml:space="preserve"> </w:t>
      </w:r>
      <w:r w:rsidR="00A25FF2">
        <w:rPr>
          <w:rFonts w:ascii="Palatino Linotype" w:hAnsi="Palatino Linotype"/>
          <w:color w:val="000000"/>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60"/>
        <w:gridCol w:w="1710"/>
        <w:gridCol w:w="1612"/>
        <w:gridCol w:w="1916"/>
      </w:tblGrid>
      <w:tr w:rsidR="00FF2D46" w:rsidRPr="003059A1" w:rsidTr="006A2BE4">
        <w:trPr>
          <w:trHeight w:val="395"/>
        </w:trPr>
        <w:tc>
          <w:tcPr>
            <w:tcW w:w="2178" w:type="dxa"/>
            <w:shd w:val="clear" w:color="auto" w:fill="auto"/>
          </w:tcPr>
          <w:p w:rsidR="001C6232" w:rsidRPr="003059A1" w:rsidRDefault="001C6232" w:rsidP="006A2BE4">
            <w:pPr>
              <w:jc w:val="center"/>
              <w:rPr>
                <w:rFonts w:ascii="Palatino Linotype" w:hAnsi="Palatino Linotype"/>
                <w:b/>
                <w:szCs w:val="26"/>
              </w:rPr>
            </w:pPr>
            <w:r w:rsidRPr="003059A1">
              <w:rPr>
                <w:rFonts w:ascii="Palatino Linotype" w:hAnsi="Palatino Linotype"/>
                <w:b/>
                <w:szCs w:val="26"/>
              </w:rPr>
              <w:t>Developer</w:t>
            </w:r>
          </w:p>
        </w:tc>
        <w:tc>
          <w:tcPr>
            <w:tcW w:w="2160" w:type="dxa"/>
            <w:shd w:val="clear" w:color="auto" w:fill="auto"/>
          </w:tcPr>
          <w:p w:rsidR="001C6232" w:rsidRPr="003059A1" w:rsidRDefault="001C6232" w:rsidP="006A2BE4">
            <w:pPr>
              <w:jc w:val="center"/>
              <w:rPr>
                <w:rFonts w:ascii="Palatino Linotype" w:hAnsi="Palatino Linotype"/>
                <w:b/>
                <w:szCs w:val="26"/>
              </w:rPr>
            </w:pPr>
            <w:r w:rsidRPr="003059A1">
              <w:rPr>
                <w:rFonts w:ascii="Palatino Linotype" w:hAnsi="Palatino Linotype"/>
                <w:b/>
                <w:szCs w:val="26"/>
              </w:rPr>
              <w:t>Project Name</w:t>
            </w:r>
          </w:p>
        </w:tc>
        <w:tc>
          <w:tcPr>
            <w:tcW w:w="1710" w:type="dxa"/>
            <w:shd w:val="clear" w:color="auto" w:fill="auto"/>
          </w:tcPr>
          <w:p w:rsidR="001C6232" w:rsidRPr="003059A1" w:rsidRDefault="001C6232" w:rsidP="006A2BE4">
            <w:pPr>
              <w:jc w:val="center"/>
              <w:rPr>
                <w:rFonts w:ascii="Palatino Linotype" w:hAnsi="Palatino Linotype"/>
                <w:b/>
                <w:szCs w:val="26"/>
              </w:rPr>
            </w:pPr>
            <w:r w:rsidRPr="003059A1">
              <w:rPr>
                <w:rFonts w:ascii="Palatino Linotype" w:hAnsi="Palatino Linotype"/>
                <w:b/>
                <w:szCs w:val="26"/>
              </w:rPr>
              <w:t>Capacity</w:t>
            </w:r>
          </w:p>
        </w:tc>
        <w:tc>
          <w:tcPr>
            <w:tcW w:w="1612" w:type="dxa"/>
            <w:shd w:val="clear" w:color="auto" w:fill="auto"/>
          </w:tcPr>
          <w:p w:rsidR="001C6232" w:rsidRPr="003059A1" w:rsidRDefault="001C6232" w:rsidP="006A2BE4">
            <w:pPr>
              <w:jc w:val="center"/>
              <w:rPr>
                <w:rFonts w:ascii="Palatino Linotype" w:hAnsi="Palatino Linotype"/>
                <w:b/>
                <w:szCs w:val="26"/>
              </w:rPr>
            </w:pPr>
            <w:r w:rsidRPr="003059A1">
              <w:rPr>
                <w:rFonts w:ascii="Palatino Linotype" w:hAnsi="Palatino Linotype"/>
                <w:b/>
                <w:szCs w:val="26"/>
              </w:rPr>
              <w:t>Term</w:t>
            </w:r>
          </w:p>
        </w:tc>
        <w:tc>
          <w:tcPr>
            <w:tcW w:w="1916" w:type="dxa"/>
            <w:shd w:val="clear" w:color="auto" w:fill="auto"/>
          </w:tcPr>
          <w:p w:rsidR="001C6232" w:rsidRPr="003059A1" w:rsidRDefault="001C6232" w:rsidP="006A2BE4">
            <w:pPr>
              <w:jc w:val="center"/>
              <w:rPr>
                <w:rFonts w:ascii="Palatino Linotype" w:hAnsi="Palatino Linotype"/>
                <w:b/>
                <w:szCs w:val="26"/>
              </w:rPr>
            </w:pPr>
            <w:r w:rsidRPr="003059A1">
              <w:rPr>
                <w:rFonts w:ascii="Palatino Linotype" w:hAnsi="Palatino Linotype"/>
                <w:b/>
                <w:szCs w:val="26"/>
              </w:rPr>
              <w:t>Technology</w:t>
            </w:r>
          </w:p>
        </w:tc>
      </w:tr>
      <w:tr w:rsidR="00FF2D46" w:rsidRPr="003059A1" w:rsidTr="006A2BE4">
        <w:tc>
          <w:tcPr>
            <w:tcW w:w="2178" w:type="dxa"/>
            <w:shd w:val="clear" w:color="auto" w:fill="auto"/>
          </w:tcPr>
          <w:p w:rsidR="001C6232" w:rsidRPr="003059A1" w:rsidRDefault="001C6232" w:rsidP="006A2BE4">
            <w:pPr>
              <w:jc w:val="center"/>
              <w:rPr>
                <w:rFonts w:ascii="Palatino Linotype" w:hAnsi="Palatino Linotype"/>
                <w:szCs w:val="26"/>
              </w:rPr>
            </w:pPr>
            <w:r w:rsidRPr="003059A1">
              <w:rPr>
                <w:rFonts w:ascii="Palatino Linotype" w:hAnsi="Palatino Linotype"/>
                <w:szCs w:val="26"/>
              </w:rPr>
              <w:t>Western Grid Development, LLC</w:t>
            </w:r>
          </w:p>
        </w:tc>
        <w:tc>
          <w:tcPr>
            <w:tcW w:w="2160"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Santa Paula 1</w:t>
            </w:r>
          </w:p>
        </w:tc>
        <w:tc>
          <w:tcPr>
            <w:tcW w:w="1710"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5 MWs</w:t>
            </w:r>
          </w:p>
        </w:tc>
        <w:tc>
          <w:tcPr>
            <w:tcW w:w="1612"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3 years</w:t>
            </w:r>
          </w:p>
        </w:tc>
        <w:tc>
          <w:tcPr>
            <w:tcW w:w="1916" w:type="dxa"/>
            <w:shd w:val="clear" w:color="auto" w:fill="auto"/>
          </w:tcPr>
          <w:p w:rsidR="001C6232" w:rsidRPr="003059A1" w:rsidRDefault="001C6232" w:rsidP="006A2BE4">
            <w:pPr>
              <w:jc w:val="center"/>
              <w:rPr>
                <w:rFonts w:ascii="Palatino Linotype" w:hAnsi="Palatino Linotype"/>
                <w:szCs w:val="26"/>
              </w:rPr>
            </w:pPr>
            <w:r w:rsidRPr="003059A1">
              <w:rPr>
                <w:rFonts w:ascii="Palatino Linotype" w:hAnsi="Palatino Linotype"/>
                <w:szCs w:val="26"/>
              </w:rPr>
              <w:t>Lithium Ion Battery</w:t>
            </w:r>
          </w:p>
        </w:tc>
      </w:tr>
      <w:tr w:rsidR="00FF2D46" w:rsidRPr="003059A1" w:rsidTr="006A2BE4">
        <w:tc>
          <w:tcPr>
            <w:tcW w:w="2178" w:type="dxa"/>
            <w:shd w:val="clear" w:color="auto" w:fill="auto"/>
          </w:tcPr>
          <w:p w:rsidR="001C6232" w:rsidRPr="003059A1" w:rsidRDefault="001C6232" w:rsidP="006A2BE4">
            <w:pPr>
              <w:jc w:val="center"/>
              <w:rPr>
                <w:rFonts w:ascii="Palatino Linotype" w:hAnsi="Palatino Linotype"/>
                <w:szCs w:val="26"/>
              </w:rPr>
            </w:pPr>
            <w:r w:rsidRPr="003059A1">
              <w:rPr>
                <w:rFonts w:ascii="Palatino Linotype" w:hAnsi="Palatino Linotype"/>
                <w:szCs w:val="26"/>
              </w:rPr>
              <w:t>AltaGas Pomona Energy Storage Inc.</w:t>
            </w:r>
          </w:p>
        </w:tc>
        <w:tc>
          <w:tcPr>
            <w:tcW w:w="2160"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Pomona Battery Storage 1</w:t>
            </w:r>
          </w:p>
        </w:tc>
        <w:tc>
          <w:tcPr>
            <w:tcW w:w="1710"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20 MWs</w:t>
            </w:r>
          </w:p>
        </w:tc>
        <w:tc>
          <w:tcPr>
            <w:tcW w:w="1612"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10 years</w:t>
            </w:r>
          </w:p>
        </w:tc>
        <w:tc>
          <w:tcPr>
            <w:tcW w:w="1916" w:type="dxa"/>
            <w:shd w:val="clear" w:color="auto" w:fill="auto"/>
          </w:tcPr>
          <w:p w:rsidR="001C6232" w:rsidRPr="003059A1" w:rsidRDefault="001C6232" w:rsidP="006A2BE4">
            <w:pPr>
              <w:jc w:val="center"/>
              <w:rPr>
                <w:rFonts w:ascii="Palatino Linotype" w:hAnsi="Palatino Linotype"/>
                <w:szCs w:val="26"/>
              </w:rPr>
            </w:pPr>
            <w:r w:rsidRPr="003059A1">
              <w:rPr>
                <w:rFonts w:ascii="Palatino Linotype" w:hAnsi="Palatino Linotype"/>
                <w:szCs w:val="26"/>
              </w:rPr>
              <w:t>Lithium Ion Battery</w:t>
            </w:r>
          </w:p>
        </w:tc>
      </w:tr>
      <w:tr w:rsidR="00FF2D46" w:rsidRPr="003059A1" w:rsidTr="006A2BE4">
        <w:tc>
          <w:tcPr>
            <w:tcW w:w="2178" w:type="dxa"/>
            <w:shd w:val="clear" w:color="auto" w:fill="auto"/>
          </w:tcPr>
          <w:p w:rsidR="001C6232" w:rsidRPr="003059A1" w:rsidRDefault="001C6232" w:rsidP="006A2BE4">
            <w:pPr>
              <w:jc w:val="center"/>
              <w:rPr>
                <w:rFonts w:ascii="Palatino Linotype" w:hAnsi="Palatino Linotype"/>
                <w:szCs w:val="26"/>
              </w:rPr>
            </w:pPr>
            <w:r w:rsidRPr="003059A1">
              <w:rPr>
                <w:rFonts w:ascii="Palatino Linotype" w:hAnsi="Palatino Linotype"/>
                <w:szCs w:val="26"/>
              </w:rPr>
              <w:t>Grand Jo</w:t>
            </w:r>
            <w:r w:rsidR="00E849A4">
              <w:rPr>
                <w:rFonts w:ascii="Palatino Linotype" w:hAnsi="Palatino Linotype"/>
                <w:szCs w:val="26"/>
              </w:rPr>
              <w:t>h</w:t>
            </w:r>
            <w:r w:rsidRPr="003059A1">
              <w:rPr>
                <w:rFonts w:ascii="Palatino Linotype" w:hAnsi="Palatino Linotype"/>
                <w:szCs w:val="26"/>
              </w:rPr>
              <w:t>anna LLC.</w:t>
            </w:r>
          </w:p>
        </w:tc>
        <w:tc>
          <w:tcPr>
            <w:tcW w:w="2160"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Grand Johanna</w:t>
            </w:r>
          </w:p>
        </w:tc>
        <w:tc>
          <w:tcPr>
            <w:tcW w:w="1710"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2 MWs</w:t>
            </w:r>
          </w:p>
        </w:tc>
        <w:tc>
          <w:tcPr>
            <w:tcW w:w="1612" w:type="dxa"/>
            <w:shd w:val="clear" w:color="auto" w:fill="auto"/>
          </w:tcPr>
          <w:p w:rsidR="001C6232" w:rsidRPr="003059A1" w:rsidRDefault="00FF2D46" w:rsidP="006A2BE4">
            <w:pPr>
              <w:jc w:val="center"/>
              <w:rPr>
                <w:rFonts w:ascii="Palatino Linotype" w:hAnsi="Palatino Linotype"/>
                <w:szCs w:val="26"/>
              </w:rPr>
            </w:pPr>
            <w:r w:rsidRPr="003059A1">
              <w:rPr>
                <w:rFonts w:ascii="Palatino Linotype" w:hAnsi="Palatino Linotype"/>
                <w:szCs w:val="26"/>
              </w:rPr>
              <w:t>10 years</w:t>
            </w:r>
          </w:p>
        </w:tc>
        <w:tc>
          <w:tcPr>
            <w:tcW w:w="1916" w:type="dxa"/>
            <w:shd w:val="clear" w:color="auto" w:fill="auto"/>
          </w:tcPr>
          <w:p w:rsidR="001C6232" w:rsidRPr="003059A1" w:rsidRDefault="001C6232" w:rsidP="006A2BE4">
            <w:pPr>
              <w:jc w:val="center"/>
              <w:rPr>
                <w:rFonts w:ascii="Palatino Linotype" w:hAnsi="Palatino Linotype"/>
                <w:szCs w:val="26"/>
              </w:rPr>
            </w:pPr>
            <w:r w:rsidRPr="003059A1">
              <w:rPr>
                <w:rFonts w:ascii="Palatino Linotype" w:hAnsi="Palatino Linotype"/>
                <w:szCs w:val="26"/>
              </w:rPr>
              <w:t>Lithium Ion Battery</w:t>
            </w:r>
          </w:p>
        </w:tc>
      </w:tr>
    </w:tbl>
    <w:p w:rsidR="001C6232" w:rsidRPr="003059A1" w:rsidRDefault="001C6232" w:rsidP="00E464E3">
      <w:pPr>
        <w:rPr>
          <w:rFonts w:ascii="Palatino Linotype" w:hAnsi="Palatino Linotype"/>
          <w:szCs w:val="26"/>
        </w:rPr>
      </w:pPr>
    </w:p>
    <w:p w:rsidR="00270D58" w:rsidRDefault="00FF2D46">
      <w:pPr>
        <w:rPr>
          <w:rFonts w:ascii="Palatino Linotype" w:hAnsi="Palatino Linotype"/>
          <w:szCs w:val="26"/>
        </w:rPr>
      </w:pPr>
      <w:r w:rsidRPr="003059A1">
        <w:rPr>
          <w:rFonts w:ascii="Palatino Linotype" w:hAnsi="Palatino Linotype"/>
          <w:szCs w:val="26"/>
        </w:rPr>
        <w:t>Each project has an initial on-line date of December 31, 2016, and varying dates in 2017 that represent the pr</w:t>
      </w:r>
      <w:r w:rsidR="001A5372" w:rsidRPr="003059A1">
        <w:rPr>
          <w:rFonts w:ascii="Palatino Linotype" w:hAnsi="Palatino Linotype"/>
          <w:szCs w:val="26"/>
        </w:rPr>
        <w:t>ojects’ deadline to complete all steps necessary to achieve full</w:t>
      </w:r>
      <w:r w:rsidRPr="003059A1">
        <w:rPr>
          <w:rFonts w:ascii="Palatino Linotype" w:hAnsi="Palatino Linotype"/>
          <w:szCs w:val="26"/>
        </w:rPr>
        <w:t xml:space="preserve"> resource adequacy capacity.  </w:t>
      </w:r>
      <w:r w:rsidR="003059A1">
        <w:rPr>
          <w:rFonts w:ascii="Palatino Linotype" w:hAnsi="Palatino Linotype"/>
          <w:szCs w:val="26"/>
        </w:rPr>
        <w:t>This Resolution also requires SCE to report regularly to the Energy Division on the status and schedule of each project.</w:t>
      </w:r>
    </w:p>
    <w:p w:rsidR="003059A1" w:rsidRPr="003059A1" w:rsidRDefault="003059A1">
      <w:pPr>
        <w:rPr>
          <w:rFonts w:ascii="Palatino Linotype" w:hAnsi="Palatino Linotype"/>
          <w:szCs w:val="26"/>
        </w:rPr>
      </w:pPr>
    </w:p>
    <w:p w:rsidR="00270D58" w:rsidRPr="003059A1" w:rsidRDefault="00CF17DE" w:rsidP="001C6232">
      <w:pPr>
        <w:pStyle w:val="Heading1"/>
        <w:rPr>
          <w:rFonts w:ascii="Palatino Linotype" w:hAnsi="Palatino Linotype"/>
          <w:szCs w:val="26"/>
        </w:rPr>
      </w:pPr>
      <w:r w:rsidRPr="00A25FF2">
        <w:rPr>
          <w:rFonts w:cs="Helvetica"/>
          <w:szCs w:val="26"/>
        </w:rPr>
        <w:t>Background</w:t>
      </w:r>
    </w:p>
    <w:p w:rsidR="001A5372" w:rsidRPr="003059A1" w:rsidRDefault="001A5372" w:rsidP="001A5372">
      <w:pPr>
        <w:widowControl w:val="0"/>
        <w:autoSpaceDE w:val="0"/>
        <w:autoSpaceDN w:val="0"/>
        <w:adjustRightInd w:val="0"/>
        <w:spacing w:after="240"/>
        <w:rPr>
          <w:rFonts w:ascii="Palatino Linotype" w:hAnsi="Palatino Linotype" w:cs="Times"/>
          <w:szCs w:val="26"/>
        </w:rPr>
      </w:pPr>
      <w:r w:rsidRPr="003059A1">
        <w:rPr>
          <w:rFonts w:ascii="Palatino Linotype" w:hAnsi="Palatino Linotype" w:cs="Times"/>
          <w:szCs w:val="26"/>
        </w:rPr>
        <w:t>On January 6, 2016, Governor Brown declared a state of emergency in</w:t>
      </w:r>
      <w:r w:rsidRPr="003059A1">
        <w:rPr>
          <w:rFonts w:ascii="MS Mincho" w:eastAsia="MS Mincho" w:hAnsi="MS Mincho" w:cs="MS Mincho" w:hint="eastAsia"/>
          <w:szCs w:val="26"/>
        </w:rPr>
        <w:t> </w:t>
      </w:r>
      <w:r w:rsidR="00A25FF2">
        <w:rPr>
          <w:rFonts w:ascii="MS Mincho" w:eastAsia="MS Mincho" w:hAnsi="MS Mincho" w:cs="MS Mincho"/>
          <w:szCs w:val="26"/>
        </w:rPr>
        <w:br/>
      </w:r>
      <w:r w:rsidRPr="003059A1">
        <w:rPr>
          <w:rFonts w:ascii="Palatino Linotype" w:hAnsi="Palatino Linotype" w:cs="Times"/>
          <w:szCs w:val="26"/>
        </w:rPr>
        <w:t xml:space="preserve">Los Angeles County due to the duration of the natural gas leak and well failure at Aliso Canyon. As Aliso Canyon’s natural gas storage capacity has been critical to help meet peak electrical demands during the summer months and peak gas usage demands in winter months, the Commission is pursing activities that could be quickly implemented to alleviate these electric reliability and natural gas supply risks. </w:t>
      </w:r>
    </w:p>
    <w:p w:rsidR="001A5372" w:rsidRPr="003059A1" w:rsidRDefault="00A25FF2" w:rsidP="001A5372">
      <w:pPr>
        <w:widowControl w:val="0"/>
        <w:autoSpaceDE w:val="0"/>
        <w:autoSpaceDN w:val="0"/>
        <w:adjustRightInd w:val="0"/>
        <w:spacing w:after="240"/>
        <w:rPr>
          <w:rFonts w:ascii="Palatino Linotype" w:hAnsi="Palatino Linotype" w:cs="Times"/>
          <w:szCs w:val="26"/>
          <w:u w:val="single"/>
        </w:rPr>
      </w:pPr>
      <w:r>
        <w:rPr>
          <w:rFonts w:ascii="Palatino Linotype" w:hAnsi="Palatino Linotype" w:cs="Times"/>
          <w:szCs w:val="26"/>
          <w:u w:val="single"/>
        </w:rPr>
        <w:t>Resolution E-4791</w:t>
      </w:r>
    </w:p>
    <w:p w:rsidR="001A5372" w:rsidRPr="003059A1" w:rsidRDefault="001A5372" w:rsidP="001A5372">
      <w:pPr>
        <w:widowControl w:val="0"/>
        <w:autoSpaceDE w:val="0"/>
        <w:autoSpaceDN w:val="0"/>
        <w:adjustRightInd w:val="0"/>
        <w:spacing w:after="240"/>
        <w:rPr>
          <w:rFonts w:ascii="Palatino Linotype" w:hAnsi="Palatino Linotype" w:cs="Times"/>
          <w:szCs w:val="26"/>
        </w:rPr>
      </w:pPr>
      <w:r w:rsidRPr="003059A1">
        <w:rPr>
          <w:rFonts w:ascii="Palatino Linotype" w:hAnsi="Palatino Linotype" w:cs="Times"/>
          <w:szCs w:val="26"/>
        </w:rPr>
        <w:t xml:space="preserve">Resolution E-4791, approved by the Commission on May 26, 2016, ordered SCE to hold an expedited energy storage procurement solicitation to mitigate potential Aliso Canyon-related reliability problems. The Resolution required that storage resources solicited in the expedited storage procurement must: </w:t>
      </w:r>
    </w:p>
    <w:p w:rsidR="001A5372" w:rsidRPr="003059A1" w:rsidRDefault="001A5372" w:rsidP="005E7305">
      <w:pPr>
        <w:widowControl w:val="0"/>
        <w:numPr>
          <w:ilvl w:val="0"/>
          <w:numId w:val="40"/>
        </w:numPr>
        <w:tabs>
          <w:tab w:val="left" w:pos="220"/>
          <w:tab w:val="left" w:pos="720"/>
        </w:tabs>
        <w:autoSpaceDE w:val="0"/>
        <w:autoSpaceDN w:val="0"/>
        <w:adjustRightInd w:val="0"/>
        <w:rPr>
          <w:rFonts w:ascii="Palatino Linotype" w:hAnsi="Palatino Linotype" w:cs="Times"/>
          <w:szCs w:val="26"/>
        </w:rPr>
      </w:pPr>
      <w:r w:rsidRPr="003059A1">
        <w:rPr>
          <w:rFonts w:ascii="Palatino Linotype" w:hAnsi="Palatino Linotype" w:cs="Times"/>
          <w:szCs w:val="26"/>
        </w:rPr>
        <w:t>Be located in front of the meter</w:t>
      </w:r>
      <w:r w:rsidR="00E849A4">
        <w:rPr>
          <w:rFonts w:ascii="Palatino Linotype" w:hAnsi="Palatino Linotype" w:cs="Times"/>
          <w:szCs w:val="26"/>
        </w:rPr>
        <w:t>;</w:t>
      </w:r>
    </w:p>
    <w:p w:rsidR="001A5372" w:rsidRPr="003059A1" w:rsidRDefault="001A5372" w:rsidP="005E7305">
      <w:pPr>
        <w:widowControl w:val="0"/>
        <w:numPr>
          <w:ilvl w:val="0"/>
          <w:numId w:val="40"/>
        </w:numPr>
        <w:tabs>
          <w:tab w:val="left" w:pos="220"/>
          <w:tab w:val="left" w:pos="720"/>
        </w:tabs>
        <w:autoSpaceDE w:val="0"/>
        <w:autoSpaceDN w:val="0"/>
        <w:adjustRightInd w:val="0"/>
        <w:rPr>
          <w:rFonts w:ascii="Palatino Linotype" w:hAnsi="Palatino Linotype" w:cs="Times"/>
          <w:szCs w:val="26"/>
        </w:rPr>
      </w:pPr>
      <w:r w:rsidRPr="003059A1">
        <w:rPr>
          <w:rFonts w:ascii="Palatino Linotype" w:hAnsi="Palatino Linotype" w:cs="Times"/>
          <w:szCs w:val="26"/>
        </w:rPr>
        <w:t xml:space="preserve">Be operational by December 31, 2016; </w:t>
      </w:r>
      <w:r w:rsidRPr="003059A1">
        <w:rPr>
          <w:rFonts w:ascii="MS Mincho" w:eastAsia="MS Mincho" w:hAnsi="MS Mincho" w:cs="MS Mincho" w:hint="eastAsia"/>
          <w:szCs w:val="26"/>
        </w:rPr>
        <w:t> </w:t>
      </w:r>
    </w:p>
    <w:p w:rsidR="001A5372" w:rsidRPr="003059A1" w:rsidRDefault="001A5372" w:rsidP="005E7305">
      <w:pPr>
        <w:widowControl w:val="0"/>
        <w:numPr>
          <w:ilvl w:val="0"/>
          <w:numId w:val="40"/>
        </w:numPr>
        <w:tabs>
          <w:tab w:val="left" w:pos="220"/>
          <w:tab w:val="left" w:pos="720"/>
        </w:tabs>
        <w:autoSpaceDE w:val="0"/>
        <w:autoSpaceDN w:val="0"/>
        <w:adjustRightInd w:val="0"/>
        <w:rPr>
          <w:rFonts w:ascii="Palatino Linotype" w:hAnsi="Palatino Linotype" w:cs="Times"/>
          <w:szCs w:val="26"/>
        </w:rPr>
      </w:pPr>
      <w:r w:rsidRPr="003059A1">
        <w:rPr>
          <w:rFonts w:ascii="Palatino Linotype" w:hAnsi="Palatino Linotype" w:cs="Times"/>
          <w:szCs w:val="26"/>
        </w:rPr>
        <w:t xml:space="preserve">Interconnect in a location that helps to alleviate electric reliability concerns associated with Aliso Canyon; </w:t>
      </w:r>
      <w:r w:rsidRPr="003059A1">
        <w:rPr>
          <w:rFonts w:ascii="MS Mincho" w:eastAsia="MS Mincho" w:hAnsi="MS Mincho" w:cs="MS Mincho" w:hint="eastAsia"/>
          <w:szCs w:val="26"/>
        </w:rPr>
        <w:t> </w:t>
      </w:r>
    </w:p>
    <w:p w:rsidR="001A5372" w:rsidRPr="003059A1" w:rsidRDefault="001A5372" w:rsidP="005E7305">
      <w:pPr>
        <w:widowControl w:val="0"/>
        <w:numPr>
          <w:ilvl w:val="0"/>
          <w:numId w:val="40"/>
        </w:numPr>
        <w:tabs>
          <w:tab w:val="left" w:pos="220"/>
          <w:tab w:val="left" w:pos="720"/>
        </w:tabs>
        <w:autoSpaceDE w:val="0"/>
        <w:autoSpaceDN w:val="0"/>
        <w:adjustRightInd w:val="0"/>
        <w:rPr>
          <w:rFonts w:ascii="Palatino Linotype" w:hAnsi="Palatino Linotype" w:cs="Times"/>
          <w:szCs w:val="26"/>
        </w:rPr>
      </w:pPr>
      <w:r w:rsidRPr="003059A1">
        <w:rPr>
          <w:rFonts w:ascii="Palatino Linotype" w:hAnsi="Palatino Linotype" w:cs="Times"/>
          <w:szCs w:val="26"/>
        </w:rPr>
        <w:lastRenderedPageBreak/>
        <w:t>Qualify for Resource Adequacy credit;</w:t>
      </w:r>
      <w:r w:rsidRPr="003059A1">
        <w:rPr>
          <w:rFonts w:ascii="Palatino Linotype" w:hAnsi="Palatino Linotype" w:cs="Times"/>
          <w:position w:val="8"/>
          <w:szCs w:val="26"/>
        </w:rPr>
        <w:t xml:space="preserve"> </w:t>
      </w:r>
      <w:r w:rsidRPr="003059A1">
        <w:rPr>
          <w:rFonts w:ascii="MS Mincho" w:eastAsia="MS Mincho" w:hAnsi="MS Mincho" w:cs="MS Mincho" w:hint="eastAsia"/>
          <w:szCs w:val="26"/>
        </w:rPr>
        <w:t> </w:t>
      </w:r>
    </w:p>
    <w:p w:rsidR="001A5372" w:rsidRPr="003059A1" w:rsidRDefault="001A5372" w:rsidP="005E7305">
      <w:pPr>
        <w:widowControl w:val="0"/>
        <w:numPr>
          <w:ilvl w:val="0"/>
          <w:numId w:val="40"/>
        </w:numPr>
        <w:tabs>
          <w:tab w:val="left" w:pos="220"/>
          <w:tab w:val="left" w:pos="720"/>
        </w:tabs>
        <w:autoSpaceDE w:val="0"/>
        <w:autoSpaceDN w:val="0"/>
        <w:adjustRightInd w:val="0"/>
        <w:rPr>
          <w:rFonts w:ascii="Palatino Linotype" w:hAnsi="Palatino Linotype" w:cs="Times"/>
          <w:szCs w:val="26"/>
        </w:rPr>
      </w:pPr>
      <w:r w:rsidRPr="003059A1">
        <w:rPr>
          <w:rFonts w:ascii="Palatino Linotype" w:hAnsi="Palatino Linotype" w:cs="Times"/>
          <w:szCs w:val="26"/>
        </w:rPr>
        <w:t xml:space="preserve">Be price competitive with previous solicitations; and </w:t>
      </w:r>
      <w:r w:rsidRPr="003059A1">
        <w:rPr>
          <w:rFonts w:ascii="MS Mincho" w:eastAsia="MS Mincho" w:hAnsi="MS Mincho" w:cs="MS Mincho" w:hint="eastAsia"/>
          <w:szCs w:val="26"/>
        </w:rPr>
        <w:t> </w:t>
      </w:r>
    </w:p>
    <w:p w:rsidR="00933A58" w:rsidRPr="00933A58" w:rsidRDefault="001A5372" w:rsidP="005E7305">
      <w:pPr>
        <w:widowControl w:val="0"/>
        <w:numPr>
          <w:ilvl w:val="0"/>
          <w:numId w:val="40"/>
        </w:numPr>
        <w:tabs>
          <w:tab w:val="left" w:pos="220"/>
          <w:tab w:val="left" w:pos="720"/>
        </w:tabs>
        <w:autoSpaceDE w:val="0"/>
        <w:autoSpaceDN w:val="0"/>
        <w:adjustRightInd w:val="0"/>
        <w:rPr>
          <w:rFonts w:ascii="Palatino Linotype" w:hAnsi="Palatino Linotype" w:cs="Times"/>
          <w:szCs w:val="26"/>
        </w:rPr>
      </w:pPr>
      <w:r w:rsidRPr="003059A1">
        <w:rPr>
          <w:rFonts w:ascii="Palatino Linotype" w:hAnsi="Palatino Linotype" w:cs="Times"/>
          <w:szCs w:val="26"/>
        </w:rPr>
        <w:t xml:space="preserve">Have a contract term of 10 years or less. </w:t>
      </w:r>
      <w:r w:rsidRPr="003059A1">
        <w:rPr>
          <w:rFonts w:ascii="MS Mincho" w:eastAsia="MS Mincho" w:hAnsi="MS Mincho" w:cs="MS Mincho" w:hint="eastAsia"/>
          <w:szCs w:val="26"/>
        </w:rPr>
        <w:t> </w:t>
      </w:r>
    </w:p>
    <w:p w:rsidR="00933A58" w:rsidRDefault="00933A58" w:rsidP="00933A58">
      <w:pPr>
        <w:widowControl w:val="0"/>
        <w:tabs>
          <w:tab w:val="left" w:pos="220"/>
          <w:tab w:val="left" w:pos="720"/>
        </w:tabs>
        <w:autoSpaceDE w:val="0"/>
        <w:autoSpaceDN w:val="0"/>
        <w:adjustRightInd w:val="0"/>
        <w:rPr>
          <w:rFonts w:ascii="Palatino Linotype" w:hAnsi="Palatino Linotype" w:cs="Times"/>
          <w:szCs w:val="26"/>
        </w:rPr>
      </w:pPr>
    </w:p>
    <w:p w:rsidR="00933A58" w:rsidRDefault="001A5372" w:rsidP="0069098F">
      <w:pPr>
        <w:widowControl w:val="0"/>
        <w:tabs>
          <w:tab w:val="left" w:pos="220"/>
          <w:tab w:val="left" w:pos="720"/>
        </w:tabs>
        <w:autoSpaceDE w:val="0"/>
        <w:autoSpaceDN w:val="0"/>
        <w:adjustRightInd w:val="0"/>
        <w:rPr>
          <w:rFonts w:ascii="Palatino Linotype" w:hAnsi="Palatino Linotype" w:cs="Times"/>
          <w:szCs w:val="26"/>
        </w:rPr>
      </w:pPr>
      <w:r w:rsidRPr="00933A58">
        <w:rPr>
          <w:rFonts w:ascii="Palatino Linotype" w:hAnsi="Palatino Linotype" w:cs="Times"/>
          <w:szCs w:val="26"/>
        </w:rPr>
        <w:t xml:space="preserve">Resolution E-4791 found that all procurement to alleviate reliability risks associated with the partial shutdown of Aliso Canyon will benefit all customers connected to the grid and therefore would be eligible for Cost Allocation Mechanism ("CAM") treatment. </w:t>
      </w:r>
    </w:p>
    <w:p w:rsidR="00933A58" w:rsidRPr="00933A58" w:rsidRDefault="00933A58" w:rsidP="0069098F">
      <w:pPr>
        <w:widowControl w:val="0"/>
        <w:tabs>
          <w:tab w:val="left" w:pos="220"/>
          <w:tab w:val="left" w:pos="720"/>
        </w:tabs>
        <w:autoSpaceDE w:val="0"/>
        <w:autoSpaceDN w:val="0"/>
        <w:adjustRightInd w:val="0"/>
        <w:rPr>
          <w:rFonts w:ascii="Palatino Linotype" w:hAnsi="Palatino Linotype" w:cs="Times"/>
          <w:szCs w:val="26"/>
        </w:rPr>
      </w:pPr>
    </w:p>
    <w:p w:rsidR="00BD653B" w:rsidRPr="003059A1" w:rsidRDefault="00BD653B" w:rsidP="00A25FF2">
      <w:pPr>
        <w:pStyle w:val="Heading1"/>
        <w:spacing w:before="0" w:after="120"/>
        <w:rPr>
          <w:rFonts w:ascii="Palatino Linotype" w:hAnsi="Palatino Linotype" w:cs="Helvetica"/>
          <w:b w:val="0"/>
          <w:caps w:val="0"/>
          <w:szCs w:val="26"/>
          <w:u w:val="none"/>
        </w:rPr>
      </w:pPr>
      <w:r w:rsidRPr="003059A1">
        <w:rPr>
          <w:rFonts w:ascii="Palatino Linotype" w:hAnsi="Palatino Linotype" w:cs="Helvetica"/>
          <w:b w:val="0"/>
          <w:caps w:val="0"/>
          <w:szCs w:val="26"/>
          <w:u w:val="none"/>
        </w:rPr>
        <w:t>With ALs 3454-E, 3455-E, and 3456-E, SCE requests:</w:t>
      </w:r>
    </w:p>
    <w:p w:rsidR="00BD653B" w:rsidRPr="003059A1" w:rsidRDefault="00BD653B" w:rsidP="00A25FF2">
      <w:pPr>
        <w:numPr>
          <w:ilvl w:val="0"/>
          <w:numId w:val="45"/>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Approval of the Santa Paula 1, Pomona Battery Storage 1</w:t>
      </w:r>
      <w:r w:rsidR="00D245C8" w:rsidRPr="003059A1">
        <w:rPr>
          <w:rFonts w:ascii="Palatino Linotype" w:hAnsi="Palatino Linotype" w:cs="Arial"/>
          <w:szCs w:val="26"/>
        </w:rPr>
        <w:t>, and Grand Johanna Contracts</w:t>
      </w:r>
      <w:r w:rsidRPr="003059A1">
        <w:rPr>
          <w:rFonts w:ascii="Palatino Linotype" w:hAnsi="Palatino Linotype" w:cs="Arial"/>
          <w:szCs w:val="26"/>
        </w:rPr>
        <w:t xml:space="preserve"> in </w:t>
      </w:r>
      <w:r w:rsidR="00D245C8" w:rsidRPr="003059A1">
        <w:rPr>
          <w:rFonts w:ascii="Palatino Linotype" w:hAnsi="Palatino Linotype" w:cs="Arial"/>
          <w:szCs w:val="26"/>
        </w:rPr>
        <w:t xml:space="preserve">their </w:t>
      </w:r>
      <w:r w:rsidRPr="003059A1">
        <w:rPr>
          <w:rFonts w:ascii="Palatino Linotype" w:hAnsi="Palatino Linotype" w:cs="Arial"/>
          <w:szCs w:val="26"/>
        </w:rPr>
        <w:t>entirety;</w:t>
      </w:r>
    </w:p>
    <w:p w:rsidR="00BD653B" w:rsidRPr="003059A1" w:rsidRDefault="00BD653B" w:rsidP="00A25FF2">
      <w:pPr>
        <w:numPr>
          <w:ilvl w:val="0"/>
          <w:numId w:val="45"/>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A finding that the Santa Paula 1</w:t>
      </w:r>
      <w:r w:rsidR="00D245C8" w:rsidRPr="003059A1">
        <w:rPr>
          <w:rFonts w:ascii="Palatino Linotype" w:hAnsi="Palatino Linotype" w:cs="Arial"/>
          <w:szCs w:val="26"/>
        </w:rPr>
        <w:t>, Pomona Battery Storage 1, and</w:t>
      </w:r>
      <w:r w:rsidRPr="003059A1">
        <w:rPr>
          <w:rFonts w:ascii="Palatino Linotype" w:hAnsi="Palatino Linotype" w:cs="Arial"/>
          <w:szCs w:val="26"/>
        </w:rPr>
        <w:t xml:space="preserve"> </w:t>
      </w:r>
      <w:r w:rsidR="00D245C8" w:rsidRPr="003059A1">
        <w:rPr>
          <w:rFonts w:ascii="Palatino Linotype" w:hAnsi="Palatino Linotype" w:cs="Arial"/>
          <w:szCs w:val="26"/>
        </w:rPr>
        <w:t>Grand Johanna Contracts are</w:t>
      </w:r>
      <w:r w:rsidRPr="003059A1">
        <w:rPr>
          <w:rFonts w:ascii="Palatino Linotype" w:hAnsi="Palatino Linotype" w:cs="Arial"/>
          <w:szCs w:val="26"/>
        </w:rPr>
        <w:t xml:space="preserve"> consistent with Resolution E-4791 and D.13-10-040</w:t>
      </w:r>
      <w:r w:rsidR="00933A58">
        <w:rPr>
          <w:rStyle w:val="FootnoteReference"/>
          <w:rFonts w:ascii="Palatino Linotype" w:hAnsi="Palatino Linotype" w:cs="Arial"/>
          <w:szCs w:val="26"/>
        </w:rPr>
        <w:footnoteReference w:id="2"/>
      </w:r>
      <w:r w:rsidRPr="003059A1">
        <w:rPr>
          <w:rFonts w:ascii="Palatino Linotype" w:hAnsi="Palatino Linotype" w:cs="Arial"/>
          <w:szCs w:val="26"/>
        </w:rPr>
        <w:t>;</w:t>
      </w:r>
    </w:p>
    <w:p w:rsidR="00BD653B" w:rsidRPr="003059A1" w:rsidRDefault="00BD653B" w:rsidP="00A25FF2">
      <w:pPr>
        <w:numPr>
          <w:ilvl w:val="0"/>
          <w:numId w:val="45"/>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 xml:space="preserve">A finding that the Santa Paula 1, Pomona Battery Storage 1, </w:t>
      </w:r>
      <w:r w:rsidR="00D245C8" w:rsidRPr="003059A1">
        <w:rPr>
          <w:rFonts w:ascii="Palatino Linotype" w:hAnsi="Palatino Linotype" w:cs="Arial"/>
          <w:szCs w:val="26"/>
        </w:rPr>
        <w:t xml:space="preserve">and Grand Johanna Contracts, </w:t>
      </w:r>
      <w:r w:rsidRPr="003059A1">
        <w:rPr>
          <w:rFonts w:ascii="Palatino Linotype" w:hAnsi="Palatino Linotype" w:cs="Arial"/>
          <w:szCs w:val="26"/>
        </w:rPr>
        <w:t>totaling 2</w:t>
      </w:r>
      <w:r w:rsidR="00D245C8" w:rsidRPr="003059A1">
        <w:rPr>
          <w:rFonts w:ascii="Palatino Linotype" w:hAnsi="Palatino Linotype" w:cs="Arial"/>
          <w:szCs w:val="26"/>
        </w:rPr>
        <w:t>7</w:t>
      </w:r>
      <w:r w:rsidRPr="003059A1">
        <w:rPr>
          <w:rFonts w:ascii="Palatino Linotype" w:hAnsi="Palatino Linotype" w:cs="Arial"/>
          <w:szCs w:val="26"/>
        </w:rPr>
        <w:t xml:space="preserve"> MW</w:t>
      </w:r>
      <w:r w:rsidR="00D245C8" w:rsidRPr="003059A1">
        <w:rPr>
          <w:rFonts w:ascii="Palatino Linotype" w:hAnsi="Palatino Linotype" w:cs="Arial"/>
          <w:szCs w:val="26"/>
        </w:rPr>
        <w:t>s, count</w:t>
      </w:r>
      <w:r w:rsidRPr="003059A1">
        <w:rPr>
          <w:rFonts w:ascii="Palatino Linotype" w:hAnsi="Palatino Linotype" w:cs="Arial"/>
          <w:szCs w:val="26"/>
        </w:rPr>
        <w:t xml:space="preserve"> towards</w:t>
      </w:r>
      <w:r w:rsidR="00D245C8" w:rsidRPr="003059A1">
        <w:rPr>
          <w:rFonts w:ascii="Palatino Linotype" w:hAnsi="Palatino Linotype" w:cs="Arial"/>
          <w:szCs w:val="26"/>
        </w:rPr>
        <w:t xml:space="preserve"> </w:t>
      </w:r>
      <w:r w:rsidRPr="003059A1">
        <w:rPr>
          <w:rFonts w:ascii="Palatino Linotype" w:hAnsi="Palatino Linotype" w:cs="Arial"/>
          <w:szCs w:val="26"/>
        </w:rPr>
        <w:t>satisfying the outstanding portion of SCE’s Energy Storage Procurement</w:t>
      </w:r>
      <w:r w:rsidR="00D245C8" w:rsidRPr="003059A1">
        <w:rPr>
          <w:rFonts w:ascii="Palatino Linotype" w:hAnsi="Palatino Linotype" w:cs="Arial"/>
          <w:szCs w:val="26"/>
        </w:rPr>
        <w:t xml:space="preserve"> </w:t>
      </w:r>
      <w:r w:rsidRPr="003059A1">
        <w:rPr>
          <w:rFonts w:ascii="Palatino Linotype" w:hAnsi="Palatino Linotype" w:cs="Arial"/>
          <w:szCs w:val="26"/>
        </w:rPr>
        <w:t>Target established in D.13-10-040;</w:t>
      </w:r>
    </w:p>
    <w:p w:rsidR="00BD653B" w:rsidRPr="003059A1" w:rsidRDefault="00BD653B" w:rsidP="00A25FF2">
      <w:pPr>
        <w:numPr>
          <w:ilvl w:val="0"/>
          <w:numId w:val="45"/>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 xml:space="preserve">A finding that the Santa Paula 1, </w:t>
      </w:r>
      <w:r w:rsidR="00D245C8" w:rsidRPr="003059A1">
        <w:rPr>
          <w:rFonts w:ascii="Palatino Linotype" w:hAnsi="Palatino Linotype" w:cs="Arial"/>
          <w:szCs w:val="26"/>
        </w:rPr>
        <w:t xml:space="preserve">Pomona Battery Storage 1, </w:t>
      </w:r>
      <w:r w:rsidRPr="003059A1">
        <w:rPr>
          <w:rFonts w:ascii="Palatino Linotype" w:hAnsi="Palatino Linotype" w:cs="Arial"/>
          <w:szCs w:val="26"/>
        </w:rPr>
        <w:t xml:space="preserve">and </w:t>
      </w:r>
      <w:r w:rsidR="00D245C8" w:rsidRPr="003059A1">
        <w:rPr>
          <w:rFonts w:ascii="Palatino Linotype" w:hAnsi="Palatino Linotype" w:cs="Arial"/>
          <w:szCs w:val="26"/>
        </w:rPr>
        <w:t>Grand Johanna Contracts</w:t>
      </w:r>
      <w:r w:rsidR="00EA08F7">
        <w:rPr>
          <w:rFonts w:ascii="Palatino Linotype" w:hAnsi="Palatino Linotype" w:cs="Arial"/>
          <w:szCs w:val="26"/>
        </w:rPr>
        <w:t xml:space="preserve"> with SCE</w:t>
      </w:r>
      <w:r w:rsidRPr="003059A1">
        <w:rPr>
          <w:rFonts w:ascii="Palatino Linotype" w:hAnsi="Palatino Linotype" w:cs="Arial"/>
          <w:szCs w:val="26"/>
        </w:rPr>
        <w:t xml:space="preserve"> </w:t>
      </w:r>
      <w:r w:rsidR="00D245C8" w:rsidRPr="003059A1">
        <w:rPr>
          <w:rFonts w:ascii="Palatino Linotype" w:hAnsi="Palatino Linotype" w:cs="Arial"/>
          <w:szCs w:val="26"/>
        </w:rPr>
        <w:t xml:space="preserve">are </w:t>
      </w:r>
      <w:r w:rsidRPr="003059A1">
        <w:rPr>
          <w:rFonts w:ascii="Palatino Linotype" w:hAnsi="Palatino Linotype" w:cs="Arial"/>
          <w:szCs w:val="26"/>
        </w:rPr>
        <w:t>reasonable and prudent for all purposes, and that any payments to be</w:t>
      </w:r>
      <w:r w:rsidR="00D245C8" w:rsidRPr="003059A1">
        <w:rPr>
          <w:rFonts w:ascii="Palatino Linotype" w:hAnsi="Palatino Linotype" w:cs="Arial"/>
          <w:szCs w:val="26"/>
        </w:rPr>
        <w:t xml:space="preserve"> </w:t>
      </w:r>
      <w:r w:rsidRPr="003059A1">
        <w:rPr>
          <w:rFonts w:ascii="Palatino Linotype" w:hAnsi="Palatino Linotype" w:cs="Arial"/>
          <w:szCs w:val="26"/>
        </w:rPr>
        <w:t>made by SCE pursuant to the Santa Paula 1</w:t>
      </w:r>
      <w:r w:rsidR="00D245C8" w:rsidRPr="003059A1">
        <w:rPr>
          <w:rFonts w:ascii="Palatino Linotype" w:hAnsi="Palatino Linotype" w:cs="Arial"/>
          <w:szCs w:val="26"/>
        </w:rPr>
        <w:t>,</w:t>
      </w:r>
      <w:r w:rsidRPr="003059A1">
        <w:rPr>
          <w:rFonts w:ascii="Palatino Linotype" w:hAnsi="Palatino Linotype" w:cs="Arial"/>
          <w:szCs w:val="26"/>
        </w:rPr>
        <w:t xml:space="preserve"> </w:t>
      </w:r>
      <w:r w:rsidR="00D245C8" w:rsidRPr="003059A1">
        <w:rPr>
          <w:rFonts w:ascii="Palatino Linotype" w:hAnsi="Palatino Linotype" w:cs="Arial"/>
          <w:szCs w:val="26"/>
        </w:rPr>
        <w:t xml:space="preserve">Pomona Battery Storage 1, and Grand Johanna Contracts, </w:t>
      </w:r>
      <w:r w:rsidRPr="003059A1">
        <w:rPr>
          <w:rFonts w:ascii="Palatino Linotype" w:hAnsi="Palatino Linotype" w:cs="Arial"/>
          <w:szCs w:val="26"/>
        </w:rPr>
        <w:t>are recoverable in</w:t>
      </w:r>
      <w:r w:rsidR="00D245C8" w:rsidRPr="003059A1">
        <w:rPr>
          <w:rFonts w:ascii="Palatino Linotype" w:hAnsi="Palatino Linotype" w:cs="Arial"/>
          <w:szCs w:val="26"/>
        </w:rPr>
        <w:t xml:space="preserve"> </w:t>
      </w:r>
      <w:r w:rsidRPr="003059A1">
        <w:rPr>
          <w:rFonts w:ascii="Palatino Linotype" w:hAnsi="Palatino Linotype" w:cs="Arial"/>
          <w:szCs w:val="26"/>
        </w:rPr>
        <w:t>full by SCE through its Energy Resource Recovery Account (ERRA)</w:t>
      </w:r>
      <w:r w:rsidR="00D245C8" w:rsidRPr="003059A1">
        <w:rPr>
          <w:rFonts w:ascii="Palatino Linotype" w:hAnsi="Palatino Linotype" w:cs="Arial"/>
          <w:szCs w:val="26"/>
        </w:rPr>
        <w:t xml:space="preserve"> </w:t>
      </w:r>
      <w:r w:rsidRPr="003059A1">
        <w:rPr>
          <w:rFonts w:ascii="Palatino Linotype" w:hAnsi="Palatino Linotype" w:cs="Arial"/>
          <w:szCs w:val="26"/>
        </w:rPr>
        <w:t>Review proceeding, subject to SCE's prudent administration of the</w:t>
      </w:r>
      <w:r w:rsidR="00D245C8" w:rsidRPr="003059A1">
        <w:rPr>
          <w:rFonts w:ascii="Palatino Linotype" w:hAnsi="Palatino Linotype" w:cs="Arial"/>
          <w:szCs w:val="26"/>
        </w:rPr>
        <w:t xml:space="preserve"> </w:t>
      </w:r>
      <w:r w:rsidRPr="003059A1">
        <w:rPr>
          <w:rFonts w:ascii="Palatino Linotype" w:hAnsi="Palatino Linotype" w:cs="Arial"/>
          <w:szCs w:val="26"/>
        </w:rPr>
        <w:t>Santa Paula 1</w:t>
      </w:r>
      <w:r w:rsidR="00D245C8" w:rsidRPr="003059A1">
        <w:rPr>
          <w:rFonts w:ascii="Palatino Linotype" w:hAnsi="Palatino Linotype" w:cs="Arial"/>
          <w:szCs w:val="26"/>
        </w:rPr>
        <w:t>, Pomona Battery Storage 1, and Grand Johanna Contracts</w:t>
      </w:r>
      <w:r w:rsidRPr="003059A1">
        <w:rPr>
          <w:rFonts w:ascii="Palatino Linotype" w:hAnsi="Palatino Linotype" w:cs="Arial"/>
          <w:szCs w:val="26"/>
        </w:rPr>
        <w:t>;</w:t>
      </w:r>
    </w:p>
    <w:p w:rsidR="00BD653B" w:rsidRPr="003059A1" w:rsidRDefault="00EA08F7" w:rsidP="00A25FF2">
      <w:pPr>
        <w:numPr>
          <w:ilvl w:val="0"/>
          <w:numId w:val="45"/>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A</w:t>
      </w:r>
      <w:r>
        <w:rPr>
          <w:rFonts w:ascii="Palatino Linotype" w:hAnsi="Palatino Linotype" w:cs="Arial"/>
          <w:szCs w:val="26"/>
        </w:rPr>
        <w:t>pproval for</w:t>
      </w:r>
      <w:r w:rsidRPr="003059A1">
        <w:rPr>
          <w:rFonts w:ascii="Palatino Linotype" w:hAnsi="Palatino Linotype" w:cs="Arial"/>
          <w:szCs w:val="26"/>
        </w:rPr>
        <w:t xml:space="preserve"> </w:t>
      </w:r>
      <w:r w:rsidR="00BD653B" w:rsidRPr="003059A1">
        <w:rPr>
          <w:rFonts w:ascii="Palatino Linotype" w:hAnsi="Palatino Linotype" w:cs="Arial"/>
          <w:szCs w:val="26"/>
        </w:rPr>
        <w:t>SCE to allocate the benefits and costs of the Santa Paula 1</w:t>
      </w:r>
      <w:r w:rsidR="00D245C8" w:rsidRPr="003059A1">
        <w:rPr>
          <w:rFonts w:ascii="Palatino Linotype" w:hAnsi="Palatino Linotype" w:cs="Arial"/>
          <w:szCs w:val="26"/>
        </w:rPr>
        <w:t>, Pomona Battery Storage 1</w:t>
      </w:r>
      <w:r w:rsidR="00BD653B" w:rsidRPr="003059A1">
        <w:rPr>
          <w:rFonts w:ascii="Palatino Linotype" w:hAnsi="Palatino Linotype" w:cs="Arial"/>
          <w:szCs w:val="26"/>
        </w:rPr>
        <w:t xml:space="preserve"> </w:t>
      </w:r>
      <w:r w:rsidR="00D245C8" w:rsidRPr="003059A1">
        <w:rPr>
          <w:rFonts w:ascii="Palatino Linotype" w:hAnsi="Palatino Linotype" w:cs="Arial"/>
          <w:szCs w:val="26"/>
        </w:rPr>
        <w:t xml:space="preserve">and Grand Johanna Contracts </w:t>
      </w:r>
      <w:r w:rsidR="00BD653B" w:rsidRPr="003059A1">
        <w:rPr>
          <w:rFonts w:ascii="Palatino Linotype" w:hAnsi="Palatino Linotype" w:cs="Arial"/>
          <w:szCs w:val="26"/>
        </w:rPr>
        <w:t>to all benefitting customers in accordance with Resolution E-4791, and specifically, a finding that the Cost Allocation Mechanism, as</w:t>
      </w:r>
      <w:r w:rsidR="00D245C8" w:rsidRPr="003059A1">
        <w:rPr>
          <w:rFonts w:ascii="Palatino Linotype" w:hAnsi="Palatino Linotype" w:cs="Arial"/>
          <w:szCs w:val="26"/>
        </w:rPr>
        <w:t xml:space="preserve"> </w:t>
      </w:r>
      <w:r w:rsidR="00BD653B" w:rsidRPr="003059A1">
        <w:rPr>
          <w:rFonts w:ascii="Palatino Linotype" w:hAnsi="Palatino Linotype" w:cs="Arial"/>
          <w:szCs w:val="26"/>
        </w:rPr>
        <w:t>adopted by the Commission in D.15-11-041 and applicable to “In Front of</w:t>
      </w:r>
      <w:r w:rsidR="00D245C8" w:rsidRPr="003059A1">
        <w:rPr>
          <w:rFonts w:ascii="Palatino Linotype" w:hAnsi="Palatino Linotype" w:cs="Arial"/>
          <w:szCs w:val="26"/>
        </w:rPr>
        <w:t xml:space="preserve"> </w:t>
      </w:r>
      <w:r w:rsidR="00BD653B" w:rsidRPr="003059A1">
        <w:rPr>
          <w:rFonts w:ascii="Palatino Linotype" w:hAnsi="Palatino Linotype" w:cs="Arial"/>
          <w:szCs w:val="26"/>
        </w:rPr>
        <w:t xml:space="preserve">the Meter” energy storage, shall </w:t>
      </w:r>
      <w:r w:rsidR="00BD653B" w:rsidRPr="003059A1">
        <w:rPr>
          <w:rFonts w:ascii="Palatino Linotype" w:hAnsi="Palatino Linotype" w:cs="Arial"/>
          <w:szCs w:val="26"/>
        </w:rPr>
        <w:lastRenderedPageBreak/>
        <w:t>apply to the Santa Paula 1</w:t>
      </w:r>
      <w:r w:rsidR="00D245C8" w:rsidRPr="003059A1">
        <w:rPr>
          <w:rFonts w:ascii="Palatino Linotype" w:hAnsi="Palatino Linotype" w:cs="Arial"/>
          <w:szCs w:val="26"/>
        </w:rPr>
        <w:t>, Pomona Battery Storage 1, and Grand Johanna Contracts</w:t>
      </w:r>
      <w:r w:rsidR="00BD653B" w:rsidRPr="003059A1">
        <w:rPr>
          <w:rFonts w:ascii="Palatino Linotype" w:hAnsi="Palatino Linotype" w:cs="Arial"/>
          <w:szCs w:val="26"/>
        </w:rPr>
        <w:t>;</w:t>
      </w:r>
      <w:r>
        <w:rPr>
          <w:rFonts w:ascii="Palatino Linotype" w:hAnsi="Palatino Linotype" w:cs="Arial"/>
          <w:szCs w:val="26"/>
        </w:rPr>
        <w:t xml:space="preserve"> and</w:t>
      </w:r>
    </w:p>
    <w:p w:rsidR="0069098F" w:rsidRPr="0069098F" w:rsidRDefault="00BD653B" w:rsidP="00A25FF2">
      <w:pPr>
        <w:pStyle w:val="standard"/>
        <w:numPr>
          <w:ilvl w:val="0"/>
          <w:numId w:val="45"/>
        </w:numPr>
        <w:spacing w:after="240"/>
        <w:rPr>
          <w:rFonts w:ascii="Palatino Linotype" w:hAnsi="Palatino Linotype"/>
          <w:szCs w:val="26"/>
        </w:rPr>
      </w:pPr>
      <w:r w:rsidRPr="003059A1">
        <w:rPr>
          <w:rFonts w:ascii="Palatino Linotype" w:hAnsi="Palatino Linotype" w:cs="Arial"/>
          <w:szCs w:val="26"/>
        </w:rPr>
        <w:t>Any other and further relief as the Commi</w:t>
      </w:r>
      <w:r w:rsidR="0069098F">
        <w:rPr>
          <w:rFonts w:ascii="Palatino Linotype" w:hAnsi="Palatino Linotype" w:cs="Arial"/>
          <w:szCs w:val="26"/>
        </w:rPr>
        <w:t>ssion finds just and reasonable.</w:t>
      </w:r>
    </w:p>
    <w:p w:rsidR="00270D58" w:rsidRPr="0069098F" w:rsidRDefault="0069098F" w:rsidP="00A25FF2">
      <w:pPr>
        <w:pStyle w:val="Heading1"/>
        <w:rPr>
          <w:rFonts w:ascii="Palatino Linotype" w:hAnsi="Palatino Linotype"/>
          <w:b w:val="0"/>
          <w:szCs w:val="26"/>
        </w:rPr>
      </w:pPr>
      <w:r w:rsidRPr="00A25FF2">
        <w:rPr>
          <w:rFonts w:cs="Helvetica"/>
          <w:szCs w:val="26"/>
        </w:rPr>
        <w:t>NOTICE</w:t>
      </w:r>
    </w:p>
    <w:p w:rsidR="00CF17DE" w:rsidRPr="003059A1" w:rsidRDefault="00CF17DE" w:rsidP="006F0FC0">
      <w:pPr>
        <w:rPr>
          <w:rFonts w:ascii="Palatino Linotype" w:hAnsi="Palatino Linotype"/>
          <w:color w:val="000000"/>
          <w:szCs w:val="26"/>
        </w:rPr>
      </w:pPr>
      <w:r w:rsidRPr="003059A1">
        <w:rPr>
          <w:rFonts w:ascii="Palatino Linotype" w:hAnsi="Palatino Linotype"/>
          <w:color w:val="000000"/>
          <w:szCs w:val="26"/>
        </w:rPr>
        <w:t>Notice of A</w:t>
      </w:r>
      <w:r w:rsidR="005E2643" w:rsidRPr="003059A1">
        <w:rPr>
          <w:rFonts w:ascii="Palatino Linotype" w:hAnsi="Palatino Linotype"/>
          <w:color w:val="000000"/>
          <w:szCs w:val="26"/>
        </w:rPr>
        <w:t xml:space="preserve">dvice </w:t>
      </w:r>
      <w:r w:rsidRPr="003059A1">
        <w:rPr>
          <w:rFonts w:ascii="Palatino Linotype" w:hAnsi="Palatino Linotype"/>
          <w:color w:val="000000"/>
          <w:szCs w:val="26"/>
        </w:rPr>
        <w:t>L</w:t>
      </w:r>
      <w:r w:rsidR="00E464E3" w:rsidRPr="003059A1">
        <w:rPr>
          <w:rFonts w:ascii="Palatino Linotype" w:hAnsi="Palatino Linotype"/>
          <w:color w:val="000000"/>
          <w:szCs w:val="26"/>
        </w:rPr>
        <w:t>etter</w:t>
      </w:r>
      <w:r w:rsidR="00FF2D46" w:rsidRPr="003059A1">
        <w:rPr>
          <w:rFonts w:ascii="Palatino Linotype" w:hAnsi="Palatino Linotype"/>
          <w:color w:val="000000"/>
          <w:szCs w:val="26"/>
        </w:rPr>
        <w:t>s</w:t>
      </w:r>
      <w:r w:rsidR="007905EC" w:rsidRPr="003059A1">
        <w:rPr>
          <w:rFonts w:ascii="Palatino Linotype" w:hAnsi="Palatino Linotype"/>
          <w:color w:val="000000"/>
          <w:szCs w:val="26"/>
        </w:rPr>
        <w:t xml:space="preserve"> </w:t>
      </w:r>
      <w:r w:rsidR="00FF2D46" w:rsidRPr="003059A1">
        <w:rPr>
          <w:rFonts w:ascii="Palatino Linotype" w:hAnsi="Palatino Linotype"/>
          <w:color w:val="000000"/>
          <w:szCs w:val="26"/>
        </w:rPr>
        <w:t>3454</w:t>
      </w:r>
      <w:r w:rsidR="00E80B2A" w:rsidRPr="003059A1">
        <w:rPr>
          <w:rFonts w:ascii="Palatino Linotype" w:hAnsi="Palatino Linotype"/>
          <w:color w:val="000000"/>
          <w:szCs w:val="26"/>
        </w:rPr>
        <w:t>-E</w:t>
      </w:r>
      <w:r w:rsidR="00FF2D46" w:rsidRPr="003059A1">
        <w:rPr>
          <w:rFonts w:ascii="Palatino Linotype" w:hAnsi="Palatino Linotype"/>
          <w:color w:val="000000"/>
          <w:szCs w:val="26"/>
        </w:rPr>
        <w:t>, 3455-E and 3456-E</w:t>
      </w:r>
      <w:r w:rsidR="00E80B2A" w:rsidRPr="003059A1">
        <w:rPr>
          <w:rFonts w:ascii="Palatino Linotype" w:hAnsi="Palatino Linotype"/>
          <w:color w:val="000000"/>
          <w:szCs w:val="26"/>
        </w:rPr>
        <w:t xml:space="preserve"> </w:t>
      </w:r>
      <w:r w:rsidR="00FF2D46" w:rsidRPr="003059A1">
        <w:rPr>
          <w:rFonts w:ascii="Palatino Linotype" w:hAnsi="Palatino Linotype"/>
          <w:color w:val="000000"/>
          <w:szCs w:val="26"/>
        </w:rPr>
        <w:t>were</w:t>
      </w:r>
      <w:r w:rsidRPr="003059A1">
        <w:rPr>
          <w:rFonts w:ascii="Palatino Linotype" w:hAnsi="Palatino Linotype"/>
          <w:color w:val="000000"/>
          <w:szCs w:val="26"/>
        </w:rPr>
        <w:t xml:space="preserve"> made by publication in the Commission’s Daily Calendar.  </w:t>
      </w:r>
      <w:r w:rsidR="00FF2D46" w:rsidRPr="003059A1">
        <w:rPr>
          <w:rFonts w:ascii="Palatino Linotype" w:hAnsi="Palatino Linotype"/>
          <w:color w:val="000000"/>
          <w:szCs w:val="26"/>
        </w:rPr>
        <w:t>SCE</w:t>
      </w:r>
      <w:r w:rsidR="005E2643" w:rsidRPr="003059A1">
        <w:rPr>
          <w:rFonts w:ascii="Palatino Linotype" w:hAnsi="Palatino Linotype"/>
          <w:color w:val="000000"/>
          <w:szCs w:val="26"/>
        </w:rPr>
        <w:t xml:space="preserve"> state</w:t>
      </w:r>
      <w:r w:rsidR="00E80B2A" w:rsidRPr="003059A1">
        <w:rPr>
          <w:rFonts w:ascii="Palatino Linotype" w:hAnsi="Palatino Linotype"/>
          <w:color w:val="000000"/>
          <w:szCs w:val="26"/>
        </w:rPr>
        <w:t>s</w:t>
      </w:r>
      <w:r w:rsidRPr="003059A1">
        <w:rPr>
          <w:rFonts w:ascii="Palatino Linotype" w:hAnsi="Palatino Linotype"/>
          <w:color w:val="000000"/>
          <w:szCs w:val="26"/>
        </w:rPr>
        <w:t xml:space="preserve"> that a copy of the Advice Letter</w:t>
      </w:r>
      <w:r w:rsidR="00FF2D46" w:rsidRPr="003059A1">
        <w:rPr>
          <w:rFonts w:ascii="Palatino Linotype" w:hAnsi="Palatino Linotype"/>
          <w:color w:val="000000"/>
          <w:szCs w:val="26"/>
        </w:rPr>
        <w:t>s</w:t>
      </w:r>
      <w:r w:rsidRPr="003059A1">
        <w:rPr>
          <w:rFonts w:ascii="Palatino Linotype" w:hAnsi="Palatino Linotype"/>
          <w:color w:val="000000"/>
          <w:szCs w:val="26"/>
        </w:rPr>
        <w:t xml:space="preserve"> was mailed and distributed in accordance with Sec</w:t>
      </w:r>
      <w:r w:rsidR="00A1526C" w:rsidRPr="003059A1">
        <w:rPr>
          <w:rFonts w:ascii="Palatino Linotype" w:hAnsi="Palatino Linotype"/>
          <w:color w:val="000000"/>
          <w:szCs w:val="26"/>
        </w:rPr>
        <w:t xml:space="preserve">tion </w:t>
      </w:r>
      <w:r w:rsidR="0069631C" w:rsidRPr="003059A1">
        <w:rPr>
          <w:rFonts w:ascii="Palatino Linotype" w:hAnsi="Palatino Linotype"/>
          <w:color w:val="000000"/>
          <w:szCs w:val="26"/>
        </w:rPr>
        <w:t>4</w:t>
      </w:r>
      <w:r w:rsidR="00E928CF" w:rsidRPr="003059A1">
        <w:rPr>
          <w:rFonts w:ascii="Palatino Linotype" w:hAnsi="Palatino Linotype"/>
          <w:color w:val="000000"/>
          <w:szCs w:val="26"/>
        </w:rPr>
        <w:t xml:space="preserve"> of General Order 96-B</w:t>
      </w:r>
      <w:r w:rsidRPr="003059A1">
        <w:rPr>
          <w:rFonts w:ascii="Palatino Linotype" w:hAnsi="Palatino Linotype"/>
          <w:color w:val="000000"/>
          <w:szCs w:val="26"/>
        </w:rPr>
        <w:t xml:space="preserve">. </w:t>
      </w:r>
      <w:r w:rsidR="00A70D89" w:rsidRPr="003059A1">
        <w:rPr>
          <w:rFonts w:ascii="Palatino Linotype" w:hAnsi="Palatino Linotype"/>
          <w:color w:val="000000"/>
          <w:szCs w:val="26"/>
        </w:rPr>
        <w:t xml:space="preserve"> </w:t>
      </w:r>
    </w:p>
    <w:p w:rsidR="002E05B9" w:rsidRPr="003059A1" w:rsidRDefault="002E05B9" w:rsidP="006F0FC0">
      <w:pPr>
        <w:rPr>
          <w:rFonts w:ascii="Palatino Linotype" w:hAnsi="Palatino Linotype"/>
          <w:szCs w:val="26"/>
        </w:rPr>
      </w:pPr>
    </w:p>
    <w:p w:rsidR="00CF17DE" w:rsidRPr="003059A1" w:rsidRDefault="00CF17DE" w:rsidP="00A25FF2">
      <w:pPr>
        <w:pStyle w:val="Heading1"/>
        <w:spacing w:after="0"/>
        <w:rPr>
          <w:rFonts w:ascii="Palatino Linotype" w:hAnsi="Palatino Linotype"/>
          <w:szCs w:val="26"/>
        </w:rPr>
      </w:pPr>
      <w:r w:rsidRPr="00A25FF2">
        <w:rPr>
          <w:rFonts w:cs="Helvetica"/>
          <w:szCs w:val="26"/>
        </w:rPr>
        <w:t>Protests</w:t>
      </w:r>
    </w:p>
    <w:p w:rsidR="00270D58" w:rsidRPr="003059A1" w:rsidRDefault="00270D58" w:rsidP="00270D58">
      <w:pPr>
        <w:rPr>
          <w:rFonts w:ascii="Palatino Linotype" w:hAnsi="Palatino Linotype"/>
          <w:szCs w:val="26"/>
        </w:rPr>
      </w:pPr>
    </w:p>
    <w:p w:rsidR="00CF17DE" w:rsidRPr="003059A1" w:rsidRDefault="00E80B2A" w:rsidP="00270D58">
      <w:pPr>
        <w:rPr>
          <w:rFonts w:ascii="Palatino Linotype" w:hAnsi="Palatino Linotype"/>
          <w:szCs w:val="26"/>
        </w:rPr>
      </w:pPr>
      <w:r w:rsidRPr="003059A1">
        <w:rPr>
          <w:rFonts w:ascii="Palatino Linotype" w:hAnsi="Palatino Linotype"/>
          <w:szCs w:val="26"/>
        </w:rPr>
        <w:t>Advice Letter</w:t>
      </w:r>
      <w:r w:rsidR="001C6232" w:rsidRPr="003059A1">
        <w:rPr>
          <w:rFonts w:ascii="Palatino Linotype" w:hAnsi="Palatino Linotype"/>
          <w:szCs w:val="26"/>
        </w:rPr>
        <w:t>s</w:t>
      </w:r>
      <w:r w:rsidRPr="003059A1">
        <w:rPr>
          <w:rFonts w:ascii="Palatino Linotype" w:hAnsi="Palatino Linotype"/>
          <w:szCs w:val="26"/>
        </w:rPr>
        <w:t xml:space="preserve"> (AL</w:t>
      </w:r>
      <w:r w:rsidR="005E7305" w:rsidRPr="003059A1">
        <w:rPr>
          <w:rFonts w:ascii="Palatino Linotype" w:hAnsi="Palatino Linotype"/>
          <w:szCs w:val="26"/>
        </w:rPr>
        <w:t>s</w:t>
      </w:r>
      <w:r w:rsidRPr="003059A1">
        <w:rPr>
          <w:rFonts w:ascii="Palatino Linotype" w:hAnsi="Palatino Linotype"/>
          <w:szCs w:val="26"/>
        </w:rPr>
        <w:t xml:space="preserve">) </w:t>
      </w:r>
      <w:r w:rsidR="001C6232" w:rsidRPr="003059A1">
        <w:rPr>
          <w:rFonts w:ascii="Palatino Linotype" w:hAnsi="Palatino Linotype"/>
          <w:szCs w:val="26"/>
        </w:rPr>
        <w:t>3454</w:t>
      </w:r>
      <w:r w:rsidRPr="003059A1">
        <w:rPr>
          <w:rFonts w:ascii="Palatino Linotype" w:hAnsi="Palatino Linotype"/>
          <w:szCs w:val="26"/>
        </w:rPr>
        <w:t>-E</w:t>
      </w:r>
      <w:r w:rsidR="001C6232" w:rsidRPr="003059A1">
        <w:rPr>
          <w:rFonts w:ascii="Palatino Linotype" w:hAnsi="Palatino Linotype"/>
          <w:szCs w:val="26"/>
        </w:rPr>
        <w:t>, 3455-E, and 3456-E were</w:t>
      </w:r>
      <w:r w:rsidR="006B40B5" w:rsidRPr="003059A1">
        <w:rPr>
          <w:rFonts w:ascii="Palatino Linotype" w:hAnsi="Palatino Linotype"/>
          <w:szCs w:val="26"/>
        </w:rPr>
        <w:t xml:space="preserve"> </w:t>
      </w:r>
      <w:r w:rsidR="001C6232" w:rsidRPr="003059A1">
        <w:rPr>
          <w:rFonts w:ascii="Palatino Linotype" w:hAnsi="Palatino Linotype"/>
          <w:szCs w:val="26"/>
        </w:rPr>
        <w:t xml:space="preserve">not </w:t>
      </w:r>
      <w:r w:rsidR="00CF17DE" w:rsidRPr="003059A1">
        <w:rPr>
          <w:rFonts w:ascii="Palatino Linotype" w:hAnsi="Palatino Linotype"/>
          <w:szCs w:val="26"/>
        </w:rPr>
        <w:t xml:space="preserve">protested.  </w:t>
      </w:r>
    </w:p>
    <w:p w:rsidR="00CF17DE" w:rsidRPr="003059A1" w:rsidRDefault="00CF17DE">
      <w:pPr>
        <w:rPr>
          <w:rFonts w:ascii="Palatino Linotype" w:hAnsi="Palatino Linotype"/>
          <w:szCs w:val="26"/>
        </w:rPr>
      </w:pPr>
    </w:p>
    <w:p w:rsidR="000F7272" w:rsidRPr="003059A1" w:rsidRDefault="000F7272" w:rsidP="000F7272">
      <w:pPr>
        <w:pStyle w:val="Heading1"/>
        <w:rPr>
          <w:rFonts w:ascii="Palatino Linotype" w:hAnsi="Palatino Linotype"/>
          <w:szCs w:val="26"/>
        </w:rPr>
      </w:pPr>
      <w:r w:rsidRPr="00A25FF2">
        <w:rPr>
          <w:rFonts w:cs="Helvetica"/>
          <w:szCs w:val="26"/>
        </w:rPr>
        <w:t>Discussion</w:t>
      </w:r>
    </w:p>
    <w:p w:rsidR="00BD653B" w:rsidRPr="003059A1" w:rsidRDefault="005E7305" w:rsidP="00456179">
      <w:pPr>
        <w:autoSpaceDE w:val="0"/>
        <w:autoSpaceDN w:val="0"/>
        <w:adjustRightInd w:val="0"/>
        <w:rPr>
          <w:rFonts w:ascii="Palatino Linotype" w:hAnsi="Palatino Linotype" w:cs="TimesNewRoman"/>
          <w:szCs w:val="26"/>
        </w:rPr>
      </w:pPr>
      <w:r w:rsidRPr="003059A1">
        <w:rPr>
          <w:rFonts w:ascii="Palatino Linotype" w:hAnsi="Palatino Linotype" w:cs="TimesNewRoman"/>
          <w:szCs w:val="26"/>
        </w:rPr>
        <w:t>We have reviewed ALs 3454-E, 3455-E, and 3456-E</w:t>
      </w:r>
      <w:r w:rsidR="00E849A4">
        <w:rPr>
          <w:rFonts w:ascii="Palatino Linotype" w:hAnsi="Palatino Linotype" w:cs="TimesNewRoman"/>
          <w:szCs w:val="26"/>
        </w:rPr>
        <w:t>,</w:t>
      </w:r>
      <w:r w:rsidRPr="003059A1">
        <w:rPr>
          <w:rFonts w:ascii="Palatino Linotype" w:hAnsi="Palatino Linotype" w:cs="TimesNewRoman"/>
          <w:szCs w:val="26"/>
        </w:rPr>
        <w:t xml:space="preserve"> find them to be reasonable</w:t>
      </w:r>
      <w:r w:rsidR="00594C73" w:rsidRPr="003059A1">
        <w:rPr>
          <w:rFonts w:ascii="Palatino Linotype" w:hAnsi="Palatino Linotype" w:cs="TimesNewRoman"/>
          <w:szCs w:val="26"/>
        </w:rPr>
        <w:t>, and approve both the contracts and the full relief requested by SCE, as reflected in the findings in this Resolution</w:t>
      </w:r>
      <w:r w:rsidRPr="003059A1">
        <w:rPr>
          <w:rFonts w:ascii="Palatino Linotype" w:hAnsi="Palatino Linotype" w:cs="TimesNewRoman"/>
          <w:szCs w:val="26"/>
        </w:rPr>
        <w:t>.  SCE conducted its procurement and contract selection in full compliance with Resolution E-4791</w:t>
      </w:r>
      <w:r w:rsidR="00BD653B" w:rsidRPr="003059A1">
        <w:rPr>
          <w:rFonts w:ascii="Palatino Linotype" w:hAnsi="Palatino Linotype" w:cs="TimesNewRoman"/>
          <w:szCs w:val="26"/>
        </w:rPr>
        <w:t>:</w:t>
      </w:r>
      <w:r w:rsidRPr="003059A1">
        <w:rPr>
          <w:rFonts w:ascii="Palatino Linotype" w:hAnsi="Palatino Linotype" w:cs="TimesNewRoman"/>
          <w:szCs w:val="26"/>
        </w:rPr>
        <w:t xml:space="preserve">  </w:t>
      </w:r>
    </w:p>
    <w:p w:rsidR="00BD653B" w:rsidRPr="003059A1" w:rsidRDefault="00BD653B" w:rsidP="00456179">
      <w:pPr>
        <w:autoSpaceDE w:val="0"/>
        <w:autoSpaceDN w:val="0"/>
        <w:adjustRightInd w:val="0"/>
        <w:rPr>
          <w:rFonts w:ascii="Palatino Linotype" w:hAnsi="Palatino Linotype" w:cs="TimesNewRoman"/>
          <w:szCs w:val="26"/>
        </w:rPr>
      </w:pPr>
    </w:p>
    <w:p w:rsidR="00BD653B" w:rsidRPr="003059A1" w:rsidRDefault="00BD653B" w:rsidP="00BD653B">
      <w:pPr>
        <w:numPr>
          <w:ilvl w:val="0"/>
          <w:numId w:val="44"/>
        </w:numPr>
        <w:autoSpaceDE w:val="0"/>
        <w:autoSpaceDN w:val="0"/>
        <w:adjustRightInd w:val="0"/>
        <w:rPr>
          <w:rFonts w:ascii="Palatino Linotype" w:hAnsi="Palatino Linotype" w:cs="TimesNewRoman"/>
          <w:szCs w:val="26"/>
        </w:rPr>
      </w:pPr>
      <w:r w:rsidRPr="003059A1">
        <w:rPr>
          <w:rFonts w:ascii="Palatino Linotype" w:hAnsi="Palatino Linotype" w:cs="TimesNewRoman"/>
          <w:szCs w:val="26"/>
        </w:rPr>
        <w:t xml:space="preserve">The prices for all offers are below the price competitiveness benchmark established for the request for offer (RFO), per Resolution E-4791.  </w:t>
      </w:r>
    </w:p>
    <w:p w:rsidR="00BD653B" w:rsidRPr="003059A1" w:rsidRDefault="00BD653B" w:rsidP="00BD653B">
      <w:pPr>
        <w:numPr>
          <w:ilvl w:val="0"/>
          <w:numId w:val="44"/>
        </w:numPr>
        <w:autoSpaceDE w:val="0"/>
        <w:autoSpaceDN w:val="0"/>
        <w:adjustRightInd w:val="0"/>
        <w:rPr>
          <w:rFonts w:ascii="Palatino Linotype" w:hAnsi="Palatino Linotype" w:cs="TimesNewRoman"/>
          <w:szCs w:val="26"/>
        </w:rPr>
      </w:pPr>
      <w:r w:rsidRPr="003059A1">
        <w:rPr>
          <w:rFonts w:ascii="Palatino Linotype" w:hAnsi="Palatino Linotype" w:cs="TimesNewRoman"/>
          <w:szCs w:val="26"/>
        </w:rPr>
        <w:t xml:space="preserve">All three offers selected were the best offers available to SCE from the solicitation.  </w:t>
      </w:r>
    </w:p>
    <w:p w:rsidR="00BD653B" w:rsidRPr="003059A1" w:rsidRDefault="00BD653B" w:rsidP="00BD653B">
      <w:pPr>
        <w:numPr>
          <w:ilvl w:val="0"/>
          <w:numId w:val="44"/>
        </w:numPr>
        <w:autoSpaceDE w:val="0"/>
        <w:autoSpaceDN w:val="0"/>
        <w:adjustRightInd w:val="0"/>
        <w:rPr>
          <w:rFonts w:ascii="Palatino Linotype" w:hAnsi="Palatino Linotype" w:cs="TimesNewRoman"/>
          <w:szCs w:val="26"/>
        </w:rPr>
      </w:pPr>
      <w:r w:rsidRPr="003059A1">
        <w:rPr>
          <w:rFonts w:ascii="Palatino Linotype" w:hAnsi="Palatino Linotype" w:cs="TimesNewRoman"/>
          <w:szCs w:val="26"/>
        </w:rPr>
        <w:t xml:space="preserve">All three projects that are the subject of these contracts are located in local capacity areas and South of Path 26. </w:t>
      </w:r>
    </w:p>
    <w:p w:rsidR="00BD653B" w:rsidRPr="003059A1" w:rsidRDefault="00BD653B" w:rsidP="00BD653B">
      <w:pPr>
        <w:widowControl w:val="0"/>
        <w:numPr>
          <w:ilvl w:val="0"/>
          <w:numId w:val="44"/>
        </w:numPr>
        <w:tabs>
          <w:tab w:val="left" w:pos="220"/>
          <w:tab w:val="left" w:pos="720"/>
        </w:tabs>
        <w:autoSpaceDE w:val="0"/>
        <w:autoSpaceDN w:val="0"/>
        <w:adjustRightInd w:val="0"/>
        <w:rPr>
          <w:rFonts w:ascii="Palatino Linotype" w:hAnsi="Palatino Linotype" w:cs="Times"/>
          <w:szCs w:val="26"/>
        </w:rPr>
      </w:pPr>
      <w:r w:rsidRPr="003059A1">
        <w:rPr>
          <w:rFonts w:ascii="Palatino Linotype" w:hAnsi="Palatino Linotype" w:cs="Times"/>
          <w:szCs w:val="26"/>
        </w:rPr>
        <w:t>All projects are locate</w:t>
      </w:r>
      <w:r w:rsidR="00E849A4">
        <w:rPr>
          <w:rFonts w:ascii="Palatino Linotype" w:hAnsi="Palatino Linotype" w:cs="Times"/>
          <w:szCs w:val="26"/>
        </w:rPr>
        <w:t>d in front of the utility meter.</w:t>
      </w:r>
    </w:p>
    <w:p w:rsidR="00BD653B" w:rsidRPr="003059A1" w:rsidRDefault="00BD653B" w:rsidP="00BD653B">
      <w:pPr>
        <w:widowControl w:val="0"/>
        <w:numPr>
          <w:ilvl w:val="0"/>
          <w:numId w:val="44"/>
        </w:numPr>
        <w:tabs>
          <w:tab w:val="left" w:pos="220"/>
          <w:tab w:val="left" w:pos="720"/>
        </w:tabs>
        <w:autoSpaceDE w:val="0"/>
        <w:autoSpaceDN w:val="0"/>
        <w:adjustRightInd w:val="0"/>
        <w:rPr>
          <w:rFonts w:ascii="Palatino Linotype" w:hAnsi="Palatino Linotype" w:cs="Times"/>
          <w:szCs w:val="26"/>
        </w:rPr>
      </w:pPr>
      <w:r w:rsidRPr="003059A1">
        <w:rPr>
          <w:rFonts w:ascii="Palatino Linotype" w:hAnsi="Palatino Linotype" w:cs="Times"/>
          <w:szCs w:val="26"/>
        </w:rPr>
        <w:t>All cont</w:t>
      </w:r>
      <w:r w:rsidR="0069098F">
        <w:rPr>
          <w:rFonts w:ascii="Palatino Linotype" w:hAnsi="Palatino Linotype" w:cs="Times"/>
          <w:szCs w:val="26"/>
        </w:rPr>
        <w:t>r</w:t>
      </w:r>
      <w:r w:rsidRPr="003059A1">
        <w:rPr>
          <w:rFonts w:ascii="Palatino Linotype" w:hAnsi="Palatino Linotype" w:cs="Times"/>
          <w:szCs w:val="26"/>
        </w:rPr>
        <w:t>acts contain an initial on-line date of December 31, 2016.</w:t>
      </w:r>
    </w:p>
    <w:p w:rsidR="00BD653B" w:rsidRPr="003059A1" w:rsidRDefault="00BD653B" w:rsidP="00456179">
      <w:pPr>
        <w:autoSpaceDE w:val="0"/>
        <w:autoSpaceDN w:val="0"/>
        <w:adjustRightInd w:val="0"/>
        <w:rPr>
          <w:rFonts w:ascii="Palatino Linotype" w:hAnsi="Palatino Linotype" w:cs="TimesNewRoman"/>
          <w:szCs w:val="26"/>
        </w:rPr>
      </w:pPr>
    </w:p>
    <w:p w:rsidR="00561C40" w:rsidRDefault="00BD653B" w:rsidP="00A25FF2">
      <w:pPr>
        <w:autoSpaceDE w:val="0"/>
        <w:autoSpaceDN w:val="0"/>
        <w:adjustRightInd w:val="0"/>
        <w:rPr>
          <w:rFonts w:ascii="Palatino Linotype" w:hAnsi="Palatino Linotype" w:cs="Helvetica"/>
          <w:b/>
          <w:szCs w:val="26"/>
          <w:u w:val="single"/>
        </w:rPr>
      </w:pPr>
      <w:r w:rsidRPr="003059A1">
        <w:rPr>
          <w:rFonts w:ascii="Palatino Linotype" w:hAnsi="Palatino Linotype" w:cs="TimesNewRoman"/>
          <w:szCs w:val="26"/>
        </w:rPr>
        <w:t xml:space="preserve">Given the urgent need for these facilities, and on-line date of December 31, 2016, we do find it worthwhile to establish a regular reporting structure, wherein the utility will keep Energy Division apprised of the interconnection status </w:t>
      </w:r>
      <w:r w:rsidR="00594C73" w:rsidRPr="003059A1">
        <w:rPr>
          <w:rFonts w:ascii="Palatino Linotype" w:hAnsi="Palatino Linotype" w:cs="TimesNewRoman"/>
          <w:szCs w:val="26"/>
        </w:rPr>
        <w:t xml:space="preserve">and timing </w:t>
      </w:r>
      <w:r w:rsidRPr="003059A1">
        <w:rPr>
          <w:rFonts w:ascii="Palatino Linotype" w:hAnsi="Palatino Linotype" w:cs="TimesNewRoman"/>
          <w:szCs w:val="26"/>
        </w:rPr>
        <w:t xml:space="preserve">of each project. </w:t>
      </w:r>
      <w:r w:rsidR="00EA08F7">
        <w:rPr>
          <w:rFonts w:ascii="Palatino Linotype" w:hAnsi="Palatino Linotype" w:cs="TimesNewRoman"/>
          <w:szCs w:val="26"/>
        </w:rPr>
        <w:t xml:space="preserve"> W</w:t>
      </w:r>
      <w:r w:rsidR="00D245C8" w:rsidRPr="003059A1">
        <w:rPr>
          <w:rFonts w:ascii="Palatino Linotype" w:hAnsi="Palatino Linotype" w:cs="TimesNewRoman"/>
          <w:szCs w:val="26"/>
        </w:rPr>
        <w:t>e require SCE to report every two weeks on the status of each project, with a focus on the interconnection status of the project, and include any and all other information regarding project delays including the exercise of any delays allowed for in the contract.</w:t>
      </w:r>
      <w:r w:rsidR="00A25FF2">
        <w:rPr>
          <w:rFonts w:ascii="Palatino Linotype" w:hAnsi="Palatino Linotype" w:cs="TimesNewRoman"/>
          <w:szCs w:val="26"/>
        </w:rPr>
        <w:t xml:space="preserve"> </w:t>
      </w:r>
      <w:r w:rsidR="00A25FF2">
        <w:rPr>
          <w:rFonts w:ascii="Palatino Linotype" w:hAnsi="Palatino Linotype" w:cs="TimesNewRoman"/>
          <w:szCs w:val="26"/>
        </w:rPr>
        <w:br w:type="page"/>
      </w:r>
      <w:r w:rsidR="00561C40" w:rsidRPr="00A25FF2">
        <w:rPr>
          <w:rFonts w:ascii="Helvetica" w:hAnsi="Helvetica" w:cs="Helvetica"/>
          <w:b/>
          <w:szCs w:val="26"/>
          <w:u w:val="single"/>
        </w:rPr>
        <w:lastRenderedPageBreak/>
        <w:t>COMMENTS</w:t>
      </w:r>
    </w:p>
    <w:p w:rsidR="0069098F" w:rsidRPr="003059A1" w:rsidRDefault="0069098F" w:rsidP="00386ACD">
      <w:pPr>
        <w:rPr>
          <w:rFonts w:ascii="Palatino Linotype" w:hAnsi="Palatino Linotype" w:cs="Helvetica"/>
          <w:b/>
          <w:szCs w:val="26"/>
          <w:u w:val="single"/>
        </w:rPr>
      </w:pPr>
    </w:p>
    <w:p w:rsidR="005E7305" w:rsidRPr="003059A1" w:rsidRDefault="005E7305" w:rsidP="005E7305">
      <w:pPr>
        <w:pStyle w:val="Default"/>
        <w:rPr>
          <w:rFonts w:ascii="Palatino Linotype" w:hAnsi="Palatino Linotype" w:cs="Palatino Linotype"/>
          <w:sz w:val="26"/>
          <w:szCs w:val="26"/>
        </w:rPr>
      </w:pPr>
      <w:r w:rsidRPr="003059A1">
        <w:rPr>
          <w:rFonts w:ascii="Palatino Linotype" w:hAnsi="Palatino Linotype" w:cs="Palatino Linotype"/>
          <w:sz w:val="26"/>
          <w:szCs w:val="26"/>
        </w:rPr>
        <w:t>Public Utilities Code section 311(g)(1) provides that this Resolution must be served on all parties and subject to at least 30 days public review and comment prior to a vote of the Commission. Section 311(g)(2) provides that this 30-day period may be reduced or waived ”in an unforeseen emergency…” The Commission’s Rules of Practice and Procedure also provides that public review and comment may be waived or reduced in an “unforeseen emergency situation” s</w:t>
      </w:r>
      <w:r w:rsidR="003059A1" w:rsidRPr="003059A1">
        <w:rPr>
          <w:rFonts w:ascii="Palatino Linotype" w:hAnsi="Palatino Linotype" w:cs="Palatino Linotype"/>
          <w:sz w:val="26"/>
          <w:szCs w:val="26"/>
        </w:rPr>
        <w:t>pecifically where there are “a</w:t>
      </w:r>
      <w:r w:rsidRPr="003059A1">
        <w:rPr>
          <w:rFonts w:ascii="Palatino Linotype" w:hAnsi="Palatino Linotype" w:cs="Palatino Linotype"/>
          <w:sz w:val="26"/>
          <w:szCs w:val="26"/>
        </w:rPr>
        <w:t>ctivities that severely impair or threaten to severely impair public health or safety…” (Rule 14.6(a)(1)</w:t>
      </w:r>
      <w:r w:rsidR="00E849A4">
        <w:rPr>
          <w:rFonts w:ascii="Palatino Linotype" w:hAnsi="Palatino Linotype" w:cs="Palatino Linotype"/>
          <w:sz w:val="26"/>
          <w:szCs w:val="26"/>
        </w:rPr>
        <w:t>)</w:t>
      </w:r>
      <w:r w:rsidRPr="003059A1">
        <w:rPr>
          <w:rFonts w:ascii="Palatino Linotype" w:hAnsi="Palatino Linotype" w:cs="Palatino Linotype"/>
          <w:sz w:val="26"/>
          <w:szCs w:val="26"/>
        </w:rPr>
        <w:t xml:space="preserve"> and/or where there are “crippling disasters that severely impair public health or safety.” (Rule 14.6(a)(2)). </w:t>
      </w:r>
    </w:p>
    <w:p w:rsidR="005E7305" w:rsidRPr="003059A1" w:rsidRDefault="005E7305" w:rsidP="005E7305">
      <w:pPr>
        <w:pStyle w:val="Default"/>
        <w:rPr>
          <w:rFonts w:ascii="Palatino Linotype" w:hAnsi="Palatino Linotype" w:cs="Palatino Linotype"/>
          <w:sz w:val="26"/>
          <w:szCs w:val="26"/>
        </w:rPr>
      </w:pPr>
    </w:p>
    <w:p w:rsidR="005E7305" w:rsidRPr="003059A1" w:rsidRDefault="005E7305" w:rsidP="005E7305">
      <w:pPr>
        <w:rPr>
          <w:rFonts w:ascii="Palatino Linotype" w:hAnsi="Palatino Linotype"/>
          <w:szCs w:val="26"/>
        </w:rPr>
      </w:pPr>
      <w:r w:rsidRPr="003059A1">
        <w:rPr>
          <w:rFonts w:ascii="Palatino Linotype" w:hAnsi="Palatino Linotype" w:cs="Palatino Linotype"/>
          <w:szCs w:val="26"/>
        </w:rPr>
        <w:t>The 30-day comment period was reduced pursuant to these authorities and notification of the shortened comment period was included with the cover letter that was circulated with the Draft Resolution.</w:t>
      </w:r>
    </w:p>
    <w:p w:rsidR="00FF2D46" w:rsidRPr="003059A1" w:rsidRDefault="00FF2D46" w:rsidP="00EF41E1">
      <w:pPr>
        <w:rPr>
          <w:rFonts w:ascii="Palatino Linotype" w:hAnsi="Palatino Linotype"/>
          <w:szCs w:val="26"/>
        </w:rPr>
      </w:pPr>
    </w:p>
    <w:p w:rsidR="00781DAD" w:rsidRPr="003059A1" w:rsidRDefault="00781DAD" w:rsidP="002A47F7">
      <w:pPr>
        <w:pStyle w:val="Heading1"/>
        <w:rPr>
          <w:rFonts w:ascii="Palatino Linotype" w:hAnsi="Palatino Linotype"/>
          <w:b w:val="0"/>
          <w:caps w:val="0"/>
          <w:szCs w:val="26"/>
        </w:rPr>
      </w:pPr>
      <w:r w:rsidRPr="00A25FF2">
        <w:rPr>
          <w:rFonts w:cs="Helvetica"/>
          <w:szCs w:val="26"/>
        </w:rPr>
        <w:t>Findings</w:t>
      </w:r>
    </w:p>
    <w:p w:rsidR="00614604" w:rsidRPr="003059A1" w:rsidRDefault="00C46B29" w:rsidP="00A25FF2">
      <w:pPr>
        <w:numPr>
          <w:ilvl w:val="0"/>
          <w:numId w:val="36"/>
        </w:numPr>
        <w:spacing w:after="120"/>
        <w:rPr>
          <w:rFonts w:ascii="Palatino Linotype" w:hAnsi="Palatino Linotype"/>
          <w:color w:val="000000"/>
          <w:szCs w:val="26"/>
        </w:rPr>
      </w:pPr>
      <w:r w:rsidRPr="003059A1">
        <w:rPr>
          <w:rFonts w:ascii="Palatino Linotype" w:hAnsi="Palatino Linotype"/>
          <w:color w:val="000000"/>
          <w:szCs w:val="26"/>
        </w:rPr>
        <w:t xml:space="preserve">Resolution E-4791, adopted by the Commission on May 26, 2016, </w:t>
      </w:r>
      <w:r w:rsidR="00653678" w:rsidRPr="003059A1">
        <w:rPr>
          <w:rFonts w:ascii="Palatino Linotype" w:hAnsi="Palatino Linotype"/>
          <w:color w:val="000000"/>
          <w:szCs w:val="26"/>
        </w:rPr>
        <w:t xml:space="preserve">required SCE to </w:t>
      </w:r>
      <w:r w:rsidR="00355252" w:rsidRPr="003059A1">
        <w:rPr>
          <w:rFonts w:ascii="Palatino Linotype" w:hAnsi="Palatino Linotype"/>
          <w:color w:val="000000"/>
          <w:szCs w:val="26"/>
        </w:rPr>
        <w:t xml:space="preserve">hold a competitive solicitation for energy storage to alleviate </w:t>
      </w:r>
      <w:r w:rsidR="00B714A3" w:rsidRPr="003059A1">
        <w:rPr>
          <w:rFonts w:ascii="Palatino Linotype" w:hAnsi="Palatino Linotype"/>
          <w:color w:val="000000"/>
          <w:szCs w:val="26"/>
        </w:rPr>
        <w:t xml:space="preserve">generation outage risk resulting from a gas leak at Aliso Canyon storage facilities, file Tier 3 Advice Letters seeking expedited approval of the contracts resulting from that solicitation, and take reasonable steps to expedite the interconnection process.  Resolution E-4791 also required </w:t>
      </w:r>
      <w:r w:rsidR="00A25FF2">
        <w:rPr>
          <w:rFonts w:ascii="Palatino Linotype" w:hAnsi="Palatino Linotype"/>
          <w:color w:val="000000"/>
          <w:szCs w:val="26"/>
        </w:rPr>
        <w:br/>
      </w:r>
      <w:r w:rsidR="00B714A3" w:rsidRPr="003059A1">
        <w:rPr>
          <w:rFonts w:ascii="Palatino Linotype" w:hAnsi="Palatino Linotype"/>
          <w:color w:val="000000"/>
          <w:szCs w:val="26"/>
        </w:rPr>
        <w:t>SCE to record all procurement costs in its Cost Allocation Mechanism (CAM) account.</w:t>
      </w:r>
    </w:p>
    <w:p w:rsidR="00C46B29" w:rsidRPr="003059A1" w:rsidRDefault="00C46B29" w:rsidP="00A25FF2">
      <w:pPr>
        <w:numPr>
          <w:ilvl w:val="0"/>
          <w:numId w:val="36"/>
        </w:numPr>
        <w:spacing w:after="120"/>
        <w:rPr>
          <w:rFonts w:ascii="Palatino Linotype" w:hAnsi="Palatino Linotype"/>
          <w:szCs w:val="26"/>
        </w:rPr>
      </w:pPr>
      <w:r w:rsidRPr="003059A1">
        <w:rPr>
          <w:rFonts w:ascii="Palatino Linotype" w:hAnsi="Palatino Linotype"/>
          <w:szCs w:val="26"/>
        </w:rPr>
        <w:t>SCE filed Advice Letters (ALs) 3454-E, 3455-E, and 3456-E on August 15</w:t>
      </w:r>
      <w:r w:rsidRPr="003059A1">
        <w:rPr>
          <w:rFonts w:ascii="Palatino Linotype" w:hAnsi="Palatino Linotype"/>
          <w:szCs w:val="26"/>
          <w:vertAlign w:val="superscript"/>
        </w:rPr>
        <w:t>th</w:t>
      </w:r>
      <w:r w:rsidRPr="003059A1">
        <w:rPr>
          <w:rFonts w:ascii="Palatino Linotype" w:hAnsi="Palatino Linotype"/>
          <w:szCs w:val="26"/>
        </w:rPr>
        <w:t xml:space="preserve"> requesting approval of three contracts for resource adequacy capacity only with Western Grid Development, LLC, AltaGas Pomona Energy Storage Inc., and Grand Jo</w:t>
      </w:r>
      <w:r w:rsidR="00E849A4">
        <w:rPr>
          <w:rFonts w:ascii="Palatino Linotype" w:hAnsi="Palatino Linotype"/>
          <w:szCs w:val="26"/>
        </w:rPr>
        <w:t>h</w:t>
      </w:r>
      <w:r w:rsidRPr="003059A1">
        <w:rPr>
          <w:rFonts w:ascii="Palatino Linotype" w:hAnsi="Palatino Linotype"/>
          <w:szCs w:val="26"/>
        </w:rPr>
        <w:t>anna LLC., with a total capacity of 27 megawatts (MW).</w:t>
      </w:r>
    </w:p>
    <w:p w:rsidR="00C46B29" w:rsidRPr="003059A1" w:rsidRDefault="00C46B29" w:rsidP="00A25FF2">
      <w:pPr>
        <w:numPr>
          <w:ilvl w:val="0"/>
          <w:numId w:val="36"/>
        </w:numPr>
        <w:spacing w:after="120"/>
        <w:rPr>
          <w:rFonts w:ascii="Palatino Linotype" w:hAnsi="Palatino Linotype"/>
          <w:szCs w:val="26"/>
        </w:rPr>
      </w:pPr>
      <w:r w:rsidRPr="003059A1">
        <w:rPr>
          <w:rFonts w:ascii="Palatino Linotype" w:hAnsi="Palatino Linotype"/>
          <w:szCs w:val="26"/>
        </w:rPr>
        <w:t>ALs 3454-E, 3455-E, and 3456-E were not protested.</w:t>
      </w:r>
    </w:p>
    <w:p w:rsidR="00653678" w:rsidRPr="003059A1" w:rsidRDefault="00E213D8" w:rsidP="00A25FF2">
      <w:pPr>
        <w:numPr>
          <w:ilvl w:val="0"/>
          <w:numId w:val="36"/>
        </w:numPr>
        <w:spacing w:after="120"/>
        <w:rPr>
          <w:rFonts w:ascii="Palatino Linotype" w:hAnsi="Palatino Linotype"/>
          <w:szCs w:val="26"/>
        </w:rPr>
      </w:pPr>
      <w:r>
        <w:rPr>
          <w:rFonts w:ascii="Palatino Linotype" w:hAnsi="Palatino Linotype"/>
          <w:szCs w:val="26"/>
        </w:rPr>
        <w:t>The</w:t>
      </w:r>
      <w:r w:rsidRPr="003059A1">
        <w:rPr>
          <w:rFonts w:ascii="Palatino Linotype" w:hAnsi="Palatino Linotype"/>
          <w:szCs w:val="26"/>
        </w:rPr>
        <w:t xml:space="preserve"> </w:t>
      </w:r>
      <w:r w:rsidR="00C46B29" w:rsidRPr="003059A1">
        <w:rPr>
          <w:rFonts w:ascii="Palatino Linotype" w:hAnsi="Palatino Linotype"/>
          <w:szCs w:val="26"/>
        </w:rPr>
        <w:t>facilit</w:t>
      </w:r>
      <w:r>
        <w:rPr>
          <w:rFonts w:ascii="Palatino Linotype" w:hAnsi="Palatino Linotype"/>
          <w:szCs w:val="26"/>
        </w:rPr>
        <w:t>ies</w:t>
      </w:r>
      <w:r w:rsidR="00C46B29" w:rsidRPr="003059A1">
        <w:rPr>
          <w:rFonts w:ascii="Palatino Linotype" w:hAnsi="Palatino Linotype"/>
          <w:szCs w:val="26"/>
        </w:rPr>
        <w:t xml:space="preserve"> </w:t>
      </w:r>
      <w:r>
        <w:rPr>
          <w:rFonts w:ascii="Palatino Linotype" w:hAnsi="Palatino Linotype"/>
          <w:szCs w:val="26"/>
        </w:rPr>
        <w:t>associated with all</w:t>
      </w:r>
      <w:r w:rsidR="00C46B29" w:rsidRPr="003059A1">
        <w:rPr>
          <w:rFonts w:ascii="Palatino Linotype" w:hAnsi="Palatino Linotype"/>
          <w:szCs w:val="26"/>
        </w:rPr>
        <w:t xml:space="preserve"> three contracts </w:t>
      </w:r>
      <w:r>
        <w:rPr>
          <w:rFonts w:ascii="Palatino Linotype" w:hAnsi="Palatino Linotype"/>
          <w:szCs w:val="26"/>
        </w:rPr>
        <w:t>are</w:t>
      </w:r>
      <w:r w:rsidRPr="003059A1">
        <w:rPr>
          <w:rFonts w:ascii="Palatino Linotype" w:hAnsi="Palatino Linotype"/>
          <w:szCs w:val="26"/>
        </w:rPr>
        <w:t xml:space="preserve"> </w:t>
      </w:r>
      <w:r w:rsidR="00C46B29" w:rsidRPr="003059A1">
        <w:rPr>
          <w:rFonts w:ascii="Palatino Linotype" w:hAnsi="Palatino Linotype"/>
          <w:szCs w:val="26"/>
        </w:rPr>
        <w:t>located south of Path 26 and could be effective in alleviating electric reliability issue</w:t>
      </w:r>
      <w:r w:rsidR="00653678" w:rsidRPr="003059A1">
        <w:rPr>
          <w:rFonts w:ascii="Palatino Linotype" w:hAnsi="Palatino Linotype"/>
          <w:szCs w:val="26"/>
        </w:rPr>
        <w:t xml:space="preserve">s associated with Aliso Canyon, consistent with Findings </w:t>
      </w:r>
      <w:r w:rsidR="00614604" w:rsidRPr="003059A1">
        <w:rPr>
          <w:rFonts w:ascii="Palatino Linotype" w:hAnsi="Palatino Linotype"/>
          <w:szCs w:val="26"/>
        </w:rPr>
        <w:t xml:space="preserve">29 and 30 of Resolution </w:t>
      </w:r>
      <w:r w:rsidR="00A25FF2">
        <w:rPr>
          <w:rFonts w:ascii="Palatino Linotype" w:hAnsi="Palatino Linotype"/>
          <w:szCs w:val="26"/>
        </w:rPr>
        <w:br/>
      </w:r>
      <w:r w:rsidR="00614604" w:rsidRPr="003059A1">
        <w:rPr>
          <w:rFonts w:ascii="Palatino Linotype" w:hAnsi="Palatino Linotype"/>
          <w:szCs w:val="26"/>
        </w:rPr>
        <w:t>E-4791.</w:t>
      </w:r>
    </w:p>
    <w:p w:rsidR="00C46B29" w:rsidRPr="003059A1" w:rsidRDefault="00614604" w:rsidP="00A25FF2">
      <w:pPr>
        <w:numPr>
          <w:ilvl w:val="0"/>
          <w:numId w:val="36"/>
        </w:numPr>
        <w:spacing w:after="120"/>
        <w:rPr>
          <w:rFonts w:ascii="Palatino Linotype" w:hAnsi="Palatino Linotype"/>
          <w:szCs w:val="26"/>
        </w:rPr>
      </w:pPr>
      <w:r w:rsidRPr="003059A1">
        <w:rPr>
          <w:rFonts w:ascii="Palatino Linotype" w:hAnsi="Palatino Linotype"/>
          <w:szCs w:val="26"/>
        </w:rPr>
        <w:lastRenderedPageBreak/>
        <w:t xml:space="preserve">Each facility is also in a </w:t>
      </w:r>
      <w:r w:rsidR="00BC26B5">
        <w:rPr>
          <w:rFonts w:ascii="Palatino Linotype" w:hAnsi="Palatino Linotype"/>
          <w:szCs w:val="26"/>
        </w:rPr>
        <w:t>Local Capacity Area (LCA</w:t>
      </w:r>
      <w:r w:rsidR="00653678" w:rsidRPr="003059A1">
        <w:rPr>
          <w:rFonts w:ascii="Palatino Linotype" w:hAnsi="Palatino Linotype"/>
          <w:szCs w:val="26"/>
        </w:rPr>
        <w:t xml:space="preserve">), </w:t>
      </w:r>
      <w:r w:rsidR="00C46B29" w:rsidRPr="003059A1">
        <w:rPr>
          <w:rFonts w:ascii="Palatino Linotype" w:hAnsi="Palatino Linotype"/>
          <w:szCs w:val="26"/>
        </w:rPr>
        <w:t xml:space="preserve">and </w:t>
      </w:r>
      <w:r w:rsidRPr="003059A1">
        <w:rPr>
          <w:rFonts w:ascii="Palatino Linotype" w:hAnsi="Palatino Linotype"/>
          <w:szCs w:val="26"/>
        </w:rPr>
        <w:t xml:space="preserve">thus </w:t>
      </w:r>
      <w:r w:rsidR="00C46B29" w:rsidRPr="003059A1">
        <w:rPr>
          <w:rFonts w:ascii="Palatino Linotype" w:hAnsi="Palatino Linotype"/>
          <w:szCs w:val="26"/>
        </w:rPr>
        <w:t>will be eligible for local resource adequacy (RA) capacity</w:t>
      </w:r>
      <w:r w:rsidR="00B714A3" w:rsidRPr="003059A1">
        <w:rPr>
          <w:rFonts w:ascii="Palatino Linotype" w:hAnsi="Palatino Linotype"/>
          <w:szCs w:val="26"/>
        </w:rPr>
        <w:t xml:space="preserve"> to meet SCE’s local reliability needs</w:t>
      </w:r>
      <w:r w:rsidR="00C46B29" w:rsidRPr="003059A1">
        <w:rPr>
          <w:rFonts w:ascii="Palatino Linotype" w:hAnsi="Palatino Linotype"/>
          <w:szCs w:val="26"/>
        </w:rPr>
        <w:t>.</w:t>
      </w:r>
      <w:r w:rsidR="00653678" w:rsidRPr="003059A1">
        <w:rPr>
          <w:rFonts w:ascii="Palatino Linotype" w:hAnsi="Palatino Linotype"/>
          <w:szCs w:val="26"/>
        </w:rPr>
        <w:t xml:space="preserve">  </w:t>
      </w:r>
    </w:p>
    <w:p w:rsidR="00C46B29" w:rsidRPr="003059A1" w:rsidRDefault="00C46B29" w:rsidP="00A25FF2">
      <w:pPr>
        <w:numPr>
          <w:ilvl w:val="0"/>
          <w:numId w:val="36"/>
        </w:numPr>
        <w:spacing w:after="120"/>
        <w:rPr>
          <w:rFonts w:ascii="Palatino Linotype" w:hAnsi="Palatino Linotype"/>
          <w:szCs w:val="26"/>
        </w:rPr>
      </w:pPr>
      <w:r w:rsidRPr="003059A1">
        <w:rPr>
          <w:rFonts w:ascii="Palatino Linotype" w:hAnsi="Palatino Linotype"/>
          <w:szCs w:val="26"/>
        </w:rPr>
        <w:t>Two contracts are for 10 years in duration, and one is for 3 years in duration, consistent with the</w:t>
      </w:r>
      <w:r w:rsidR="00614604" w:rsidRPr="003059A1">
        <w:rPr>
          <w:rFonts w:ascii="Palatino Linotype" w:hAnsi="Palatino Linotype"/>
          <w:szCs w:val="26"/>
        </w:rPr>
        <w:t xml:space="preserve"> Findings</w:t>
      </w:r>
      <w:r w:rsidRPr="003059A1">
        <w:rPr>
          <w:rFonts w:ascii="Palatino Linotype" w:hAnsi="Palatino Linotype"/>
          <w:szCs w:val="26"/>
        </w:rPr>
        <w:t xml:space="preserve"> </w:t>
      </w:r>
      <w:r w:rsidR="00614604" w:rsidRPr="003059A1">
        <w:rPr>
          <w:rFonts w:ascii="Palatino Linotype" w:hAnsi="Palatino Linotype"/>
          <w:szCs w:val="26"/>
        </w:rPr>
        <w:t>17</w:t>
      </w:r>
      <w:r w:rsidRPr="003059A1">
        <w:rPr>
          <w:rFonts w:ascii="Palatino Linotype" w:hAnsi="Palatino Linotype"/>
          <w:szCs w:val="26"/>
        </w:rPr>
        <w:t xml:space="preserve"> of Resolution E-4791, which </w:t>
      </w:r>
      <w:r w:rsidR="00B714A3" w:rsidRPr="003059A1">
        <w:rPr>
          <w:rFonts w:ascii="Palatino Linotype" w:hAnsi="Palatino Linotype"/>
          <w:szCs w:val="26"/>
        </w:rPr>
        <w:t>prescribed a maximum contract length of 10 years.</w:t>
      </w:r>
    </w:p>
    <w:p w:rsidR="00C46B29" w:rsidRPr="003059A1" w:rsidRDefault="00C46B29" w:rsidP="00A25FF2">
      <w:pPr>
        <w:numPr>
          <w:ilvl w:val="0"/>
          <w:numId w:val="36"/>
        </w:numPr>
        <w:spacing w:after="120"/>
        <w:rPr>
          <w:rFonts w:ascii="Palatino Linotype" w:hAnsi="Palatino Linotype"/>
          <w:szCs w:val="26"/>
        </w:rPr>
      </w:pPr>
      <w:r w:rsidRPr="003059A1">
        <w:rPr>
          <w:rFonts w:ascii="Palatino Linotype" w:hAnsi="Palatino Linotype"/>
          <w:szCs w:val="26"/>
        </w:rPr>
        <w:t>All three contracts are price competitive with other storage contracts from</w:t>
      </w:r>
      <w:r w:rsidR="00614604" w:rsidRPr="003059A1">
        <w:rPr>
          <w:rFonts w:ascii="Palatino Linotype" w:hAnsi="Palatino Linotype"/>
          <w:szCs w:val="26"/>
        </w:rPr>
        <w:t xml:space="preserve"> two prior recent solicitations, consistent with Finding 51 of Resolution </w:t>
      </w:r>
      <w:r w:rsidR="00A25FF2">
        <w:rPr>
          <w:rFonts w:ascii="Palatino Linotype" w:hAnsi="Palatino Linotype"/>
          <w:szCs w:val="26"/>
        </w:rPr>
        <w:br/>
      </w:r>
      <w:r w:rsidR="00614604" w:rsidRPr="003059A1">
        <w:rPr>
          <w:rFonts w:ascii="Palatino Linotype" w:hAnsi="Palatino Linotype"/>
          <w:szCs w:val="26"/>
        </w:rPr>
        <w:t>E-4791.</w:t>
      </w:r>
    </w:p>
    <w:p w:rsidR="00C46B29" w:rsidRPr="003059A1" w:rsidRDefault="00653678" w:rsidP="00A25FF2">
      <w:pPr>
        <w:numPr>
          <w:ilvl w:val="0"/>
          <w:numId w:val="36"/>
        </w:numPr>
        <w:spacing w:after="120"/>
        <w:rPr>
          <w:rFonts w:ascii="Palatino Linotype" w:hAnsi="Palatino Linotype"/>
          <w:szCs w:val="26"/>
        </w:rPr>
      </w:pPr>
      <w:r w:rsidRPr="003059A1">
        <w:rPr>
          <w:rFonts w:ascii="Palatino Linotype" w:hAnsi="Palatino Linotype"/>
          <w:szCs w:val="26"/>
        </w:rPr>
        <w:t xml:space="preserve">All three contracts </w:t>
      </w:r>
      <w:r w:rsidR="00614604" w:rsidRPr="003059A1">
        <w:rPr>
          <w:rFonts w:ascii="Palatino Linotype" w:hAnsi="Palatino Linotype"/>
          <w:szCs w:val="26"/>
        </w:rPr>
        <w:t>are for storage resources located in front of the</w:t>
      </w:r>
      <w:r w:rsidR="00E849A4">
        <w:rPr>
          <w:rFonts w:ascii="Palatino Linotype" w:hAnsi="Palatino Linotype"/>
          <w:szCs w:val="26"/>
        </w:rPr>
        <w:t xml:space="preserve"> meter</w:t>
      </w:r>
      <w:r w:rsidR="00614604" w:rsidRPr="003059A1">
        <w:rPr>
          <w:rFonts w:ascii="Palatino Linotype" w:hAnsi="Palatino Linotype"/>
          <w:szCs w:val="26"/>
        </w:rPr>
        <w:t xml:space="preserve">, and </w:t>
      </w:r>
      <w:r w:rsidRPr="003059A1">
        <w:rPr>
          <w:rFonts w:ascii="Palatino Linotype" w:hAnsi="Palatino Linotype"/>
          <w:szCs w:val="26"/>
        </w:rPr>
        <w:t xml:space="preserve">contain an initial operation date of December 31, 2016, </w:t>
      </w:r>
      <w:r w:rsidR="00B714A3" w:rsidRPr="003059A1">
        <w:rPr>
          <w:rFonts w:ascii="Palatino Linotype" w:hAnsi="Palatino Linotype"/>
          <w:szCs w:val="26"/>
        </w:rPr>
        <w:t xml:space="preserve">which is both reasonable and </w:t>
      </w:r>
      <w:r w:rsidRPr="003059A1">
        <w:rPr>
          <w:rFonts w:ascii="Palatino Linotype" w:hAnsi="Palatino Linotype"/>
          <w:szCs w:val="26"/>
        </w:rPr>
        <w:t>consistent with Finding</w:t>
      </w:r>
      <w:r w:rsidR="00614604" w:rsidRPr="003059A1">
        <w:rPr>
          <w:rFonts w:ascii="Palatino Linotype" w:hAnsi="Palatino Linotype"/>
          <w:szCs w:val="26"/>
        </w:rPr>
        <w:t>s 15 and</w:t>
      </w:r>
      <w:r w:rsidRPr="003059A1">
        <w:rPr>
          <w:rFonts w:ascii="Palatino Linotype" w:hAnsi="Palatino Linotype"/>
          <w:szCs w:val="26"/>
        </w:rPr>
        <w:t xml:space="preserve"> 31 of Resolution E-4791.</w:t>
      </w:r>
    </w:p>
    <w:p w:rsidR="00594C73" w:rsidRPr="003059A1" w:rsidRDefault="00594C73" w:rsidP="00A25FF2">
      <w:pPr>
        <w:numPr>
          <w:ilvl w:val="0"/>
          <w:numId w:val="36"/>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 xml:space="preserve">The Santa Paula 1, Pomona Battery Storage 1, and Grand Johanna Contracts, totaling 27 MWs, count towards satisfying the outstanding portion of SCE’s Energy Storage Procurement Target established in </w:t>
      </w:r>
      <w:r w:rsidR="00A25FF2">
        <w:rPr>
          <w:rFonts w:ascii="Palatino Linotype" w:hAnsi="Palatino Linotype" w:cs="Arial"/>
          <w:szCs w:val="26"/>
        </w:rPr>
        <w:br/>
      </w:r>
      <w:r w:rsidRPr="003059A1">
        <w:rPr>
          <w:rFonts w:ascii="Palatino Linotype" w:hAnsi="Palatino Linotype" w:cs="Arial"/>
          <w:szCs w:val="26"/>
        </w:rPr>
        <w:t>D.13-10-040</w:t>
      </w:r>
      <w:r w:rsidR="00E213D8">
        <w:rPr>
          <w:rFonts w:ascii="Palatino Linotype" w:hAnsi="Palatino Linotype" w:cs="Arial"/>
          <w:szCs w:val="26"/>
        </w:rPr>
        <w:t>.</w:t>
      </w:r>
    </w:p>
    <w:p w:rsidR="00594C73" w:rsidRPr="003059A1" w:rsidRDefault="00594C73" w:rsidP="00A25FF2">
      <w:pPr>
        <w:numPr>
          <w:ilvl w:val="0"/>
          <w:numId w:val="36"/>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 xml:space="preserve"> The Santa Paula 1, Pomona Battery Storage 1, and Grand Johanna Contracts</w:t>
      </w:r>
      <w:r w:rsidR="00E213D8">
        <w:rPr>
          <w:rFonts w:ascii="Palatino Linotype" w:hAnsi="Palatino Linotype" w:cs="Arial"/>
          <w:szCs w:val="26"/>
        </w:rPr>
        <w:t xml:space="preserve"> with SCE </w:t>
      </w:r>
      <w:r w:rsidRPr="003059A1">
        <w:rPr>
          <w:rFonts w:ascii="Palatino Linotype" w:hAnsi="Palatino Linotype" w:cs="Arial"/>
          <w:szCs w:val="26"/>
        </w:rPr>
        <w:t>are reasonable and prudent</w:t>
      </w:r>
      <w:r w:rsidR="00E213D8">
        <w:rPr>
          <w:rFonts w:ascii="Palatino Linotype" w:hAnsi="Palatino Linotype" w:cs="Arial"/>
          <w:szCs w:val="26"/>
        </w:rPr>
        <w:t>.</w:t>
      </w:r>
    </w:p>
    <w:p w:rsidR="00594C73" w:rsidRPr="003059A1" w:rsidRDefault="00594C73" w:rsidP="00A25FF2">
      <w:pPr>
        <w:numPr>
          <w:ilvl w:val="0"/>
          <w:numId w:val="36"/>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Any payments to be made by SCE pursuant to the Santa Paula 1, Pomona Battery Storage 1, and Grand Johanna Contracts, are recoverable in full by SCE through its Energy Resource Recovery Account (ERRA) Review proceeding, subject</w:t>
      </w:r>
      <w:r w:rsidR="00E213D8">
        <w:rPr>
          <w:rFonts w:ascii="Palatino Linotype" w:hAnsi="Palatino Linotype" w:cs="Arial"/>
          <w:szCs w:val="26"/>
        </w:rPr>
        <w:t xml:space="preserve"> </w:t>
      </w:r>
      <w:r w:rsidRPr="003059A1">
        <w:rPr>
          <w:rFonts w:ascii="Palatino Linotype" w:hAnsi="Palatino Linotype" w:cs="Arial"/>
          <w:szCs w:val="26"/>
        </w:rPr>
        <w:t>to SCE's prudent administration of the Santa Paula 1, Pomona Battery Storage 1, and Grand Johanna Contracts</w:t>
      </w:r>
      <w:r w:rsidR="00E213D8">
        <w:rPr>
          <w:rFonts w:ascii="Palatino Linotype" w:hAnsi="Palatino Linotype" w:cs="Arial"/>
          <w:szCs w:val="26"/>
        </w:rPr>
        <w:t>.</w:t>
      </w:r>
    </w:p>
    <w:p w:rsidR="00594C73" w:rsidRPr="003059A1" w:rsidRDefault="00594C73" w:rsidP="00A25FF2">
      <w:pPr>
        <w:numPr>
          <w:ilvl w:val="0"/>
          <w:numId w:val="36"/>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SCE is authorized to allocate the benefits and costs of the Santa Paula 1, Pomona Battery Storage 1 and Grand Johanna Contracts to all benefitting customers in accordance with Resolution E-4791</w:t>
      </w:r>
      <w:r w:rsidR="00E213D8">
        <w:rPr>
          <w:rFonts w:ascii="Palatino Linotype" w:hAnsi="Palatino Linotype" w:cs="Arial"/>
          <w:szCs w:val="26"/>
        </w:rPr>
        <w:t>.</w:t>
      </w:r>
    </w:p>
    <w:p w:rsidR="00A57E23" w:rsidRDefault="00594C73" w:rsidP="00A25FF2">
      <w:pPr>
        <w:numPr>
          <w:ilvl w:val="0"/>
          <w:numId w:val="36"/>
        </w:numPr>
        <w:autoSpaceDE w:val="0"/>
        <w:autoSpaceDN w:val="0"/>
        <w:adjustRightInd w:val="0"/>
        <w:spacing w:after="120"/>
        <w:rPr>
          <w:rFonts w:ascii="Palatino Linotype" w:hAnsi="Palatino Linotype" w:cs="Arial"/>
          <w:szCs w:val="26"/>
        </w:rPr>
      </w:pPr>
      <w:r w:rsidRPr="003059A1">
        <w:rPr>
          <w:rFonts w:ascii="Palatino Linotype" w:hAnsi="Palatino Linotype" w:cs="Arial"/>
          <w:szCs w:val="26"/>
        </w:rPr>
        <w:t>The Cost Allocation Mechanism shall apply to the Santa Paula 1, Pomona Battery Storage 1, and Grand Johanna Contracts</w:t>
      </w:r>
      <w:r w:rsidR="00A57E23">
        <w:rPr>
          <w:rFonts w:ascii="Palatino Linotype" w:hAnsi="Palatino Linotype" w:cs="Arial"/>
          <w:szCs w:val="26"/>
        </w:rPr>
        <w:t>.</w:t>
      </w:r>
    </w:p>
    <w:p w:rsidR="00C745B2" w:rsidRPr="003059A1" w:rsidRDefault="00C745B2" w:rsidP="00A25FF2">
      <w:pPr>
        <w:numPr>
          <w:ilvl w:val="0"/>
          <w:numId w:val="36"/>
        </w:numPr>
        <w:spacing w:after="120"/>
        <w:rPr>
          <w:rFonts w:ascii="Palatino Linotype" w:hAnsi="Palatino Linotype"/>
          <w:szCs w:val="26"/>
        </w:rPr>
      </w:pPr>
      <w:r w:rsidRPr="003059A1">
        <w:rPr>
          <w:rFonts w:ascii="Palatino Linotype" w:hAnsi="Palatino Linotype"/>
          <w:szCs w:val="26"/>
        </w:rPr>
        <w:t xml:space="preserve">It is reasonable to require SCE to report to the Energy Division on a periodic basis regarding the </w:t>
      </w:r>
      <w:r w:rsidR="00594C73" w:rsidRPr="003059A1">
        <w:rPr>
          <w:rFonts w:ascii="Palatino Linotype" w:hAnsi="Palatino Linotype"/>
          <w:szCs w:val="26"/>
        </w:rPr>
        <w:t xml:space="preserve">interconnection </w:t>
      </w:r>
      <w:r w:rsidRPr="003059A1">
        <w:rPr>
          <w:rFonts w:ascii="Palatino Linotype" w:hAnsi="Palatino Linotype"/>
          <w:szCs w:val="26"/>
        </w:rPr>
        <w:t>status and schedules of the projects.</w:t>
      </w:r>
    </w:p>
    <w:p w:rsidR="00FF2D46" w:rsidRPr="003059A1" w:rsidRDefault="00FF2D46" w:rsidP="001A5372">
      <w:pPr>
        <w:spacing w:after="120"/>
        <w:rPr>
          <w:rFonts w:ascii="Palatino Linotype" w:hAnsi="Palatino Linotype"/>
          <w:szCs w:val="26"/>
        </w:rPr>
      </w:pPr>
    </w:p>
    <w:p w:rsidR="00781DAD" w:rsidRPr="00A25FF2" w:rsidRDefault="00781DAD" w:rsidP="00A25FF2">
      <w:pPr>
        <w:pStyle w:val="Heading1"/>
        <w:rPr>
          <w:rFonts w:cs="Helvetica"/>
          <w:szCs w:val="26"/>
        </w:rPr>
      </w:pPr>
      <w:r w:rsidRPr="00A25FF2">
        <w:rPr>
          <w:rFonts w:cs="Helvetica"/>
          <w:szCs w:val="26"/>
        </w:rPr>
        <w:lastRenderedPageBreak/>
        <w:t>Therefore it is ordered that:</w:t>
      </w:r>
    </w:p>
    <w:p w:rsidR="00622ABF" w:rsidRPr="003059A1" w:rsidRDefault="00BC26B5" w:rsidP="00A25FF2">
      <w:pPr>
        <w:widowControl w:val="0"/>
        <w:numPr>
          <w:ilvl w:val="0"/>
          <w:numId w:val="38"/>
        </w:numPr>
        <w:autoSpaceDE w:val="0"/>
        <w:autoSpaceDN w:val="0"/>
        <w:adjustRightInd w:val="0"/>
        <w:spacing w:after="120"/>
        <w:rPr>
          <w:rFonts w:ascii="Palatino Linotype" w:hAnsi="Palatino Linotype" w:cs="Times"/>
          <w:szCs w:val="26"/>
        </w:rPr>
      </w:pPr>
      <w:r w:rsidRPr="003059A1">
        <w:rPr>
          <w:rFonts w:ascii="Palatino Linotype" w:hAnsi="Palatino Linotype" w:cs="Times"/>
          <w:szCs w:val="26"/>
        </w:rPr>
        <w:t>Advice Letters (AL) 3454-E, 3455-E, and 3456-E</w:t>
      </w:r>
      <w:r>
        <w:rPr>
          <w:rFonts w:ascii="Palatino Linotype" w:hAnsi="Palatino Linotype" w:cs="Times"/>
          <w:szCs w:val="26"/>
        </w:rPr>
        <w:t xml:space="preserve"> and the </w:t>
      </w:r>
      <w:r w:rsidR="00B714A3" w:rsidRPr="003059A1">
        <w:rPr>
          <w:rFonts w:ascii="Palatino Linotype" w:hAnsi="Palatino Linotype" w:cs="Times"/>
          <w:szCs w:val="26"/>
        </w:rPr>
        <w:t xml:space="preserve">resource adequacy only contracts with third party developers </w:t>
      </w:r>
      <w:r w:rsidR="00BE13E1" w:rsidRPr="003059A1">
        <w:rPr>
          <w:rFonts w:ascii="Palatino Linotype" w:hAnsi="Palatino Linotype"/>
          <w:szCs w:val="26"/>
        </w:rPr>
        <w:t>Western Grid Development, LLC, AltaGas Pomona Energy Storage Inc., and Grand Jo</w:t>
      </w:r>
      <w:r w:rsidR="00E849A4">
        <w:rPr>
          <w:rFonts w:ascii="Palatino Linotype" w:hAnsi="Palatino Linotype"/>
          <w:szCs w:val="26"/>
        </w:rPr>
        <w:t>h</w:t>
      </w:r>
      <w:r w:rsidR="00BE13E1" w:rsidRPr="003059A1">
        <w:rPr>
          <w:rFonts w:ascii="Palatino Linotype" w:hAnsi="Palatino Linotype"/>
          <w:szCs w:val="26"/>
        </w:rPr>
        <w:t xml:space="preserve">anna LLC, </w:t>
      </w:r>
      <w:r w:rsidR="00B714A3" w:rsidRPr="003059A1">
        <w:rPr>
          <w:rFonts w:ascii="Palatino Linotype" w:hAnsi="Palatino Linotype" w:cs="Times"/>
          <w:szCs w:val="26"/>
        </w:rPr>
        <w:t xml:space="preserve">as requested </w:t>
      </w:r>
      <w:r w:rsidR="00E849A4">
        <w:rPr>
          <w:rFonts w:ascii="Palatino Linotype" w:hAnsi="Palatino Linotype" w:cs="Times"/>
          <w:szCs w:val="26"/>
        </w:rPr>
        <w:t>there</w:t>
      </w:r>
      <w:r w:rsidR="00B714A3" w:rsidRPr="003059A1">
        <w:rPr>
          <w:rFonts w:ascii="Palatino Linotype" w:hAnsi="Palatino Linotype" w:cs="Times"/>
          <w:szCs w:val="26"/>
        </w:rPr>
        <w:t xml:space="preserve">in, respectively, </w:t>
      </w:r>
      <w:r>
        <w:rPr>
          <w:rFonts w:ascii="Palatino Linotype" w:hAnsi="Palatino Linotype" w:cs="Times"/>
          <w:szCs w:val="26"/>
        </w:rPr>
        <w:t>are</w:t>
      </w:r>
      <w:r w:rsidR="00B714A3" w:rsidRPr="003059A1">
        <w:rPr>
          <w:rFonts w:ascii="Palatino Linotype" w:hAnsi="Palatino Linotype" w:cs="Times"/>
          <w:szCs w:val="26"/>
        </w:rPr>
        <w:t xml:space="preserve"> approved</w:t>
      </w:r>
      <w:r>
        <w:rPr>
          <w:rFonts w:ascii="Palatino Linotype" w:hAnsi="Palatino Linotype" w:cs="Times"/>
          <w:szCs w:val="26"/>
        </w:rPr>
        <w:t xml:space="preserve"> in their entirety</w:t>
      </w:r>
      <w:r w:rsidR="00B714A3" w:rsidRPr="003059A1">
        <w:rPr>
          <w:rFonts w:ascii="Palatino Linotype" w:hAnsi="Palatino Linotype" w:cs="Times"/>
          <w:szCs w:val="26"/>
        </w:rPr>
        <w:t xml:space="preserve">. </w:t>
      </w:r>
    </w:p>
    <w:p w:rsidR="00A57E23" w:rsidRDefault="001A5372" w:rsidP="00A25FF2">
      <w:pPr>
        <w:widowControl w:val="0"/>
        <w:numPr>
          <w:ilvl w:val="0"/>
          <w:numId w:val="38"/>
        </w:numPr>
        <w:autoSpaceDE w:val="0"/>
        <w:autoSpaceDN w:val="0"/>
        <w:adjustRightInd w:val="0"/>
        <w:spacing w:after="120"/>
        <w:rPr>
          <w:rFonts w:ascii="Palatino Linotype" w:hAnsi="Palatino Linotype" w:cs="Times"/>
          <w:szCs w:val="26"/>
        </w:rPr>
      </w:pPr>
      <w:r w:rsidRPr="003059A1">
        <w:rPr>
          <w:rFonts w:ascii="Palatino Linotype" w:hAnsi="Palatino Linotype" w:cs="Times"/>
          <w:szCs w:val="26"/>
        </w:rPr>
        <w:t>SCE is required to establish</w:t>
      </w:r>
      <w:r w:rsidR="003059A1" w:rsidRPr="003059A1">
        <w:rPr>
          <w:rFonts w:ascii="Palatino Linotype" w:hAnsi="Palatino Linotype" w:cs="Times"/>
          <w:szCs w:val="26"/>
        </w:rPr>
        <w:t>, in collaboration with Energy Division,</w:t>
      </w:r>
      <w:r w:rsidRPr="003059A1">
        <w:rPr>
          <w:rFonts w:ascii="Palatino Linotype" w:hAnsi="Palatino Linotype" w:cs="Times"/>
          <w:szCs w:val="26"/>
        </w:rPr>
        <w:t xml:space="preserve"> a regular reporting schedule</w:t>
      </w:r>
      <w:r w:rsidR="003059A1" w:rsidRPr="003059A1">
        <w:rPr>
          <w:rFonts w:ascii="Palatino Linotype" w:hAnsi="Palatino Linotype" w:cs="Times"/>
          <w:szCs w:val="26"/>
        </w:rPr>
        <w:t xml:space="preserve">, </w:t>
      </w:r>
      <w:r w:rsidRPr="003059A1">
        <w:rPr>
          <w:rFonts w:ascii="Palatino Linotype" w:hAnsi="Palatino Linotype" w:cs="Times"/>
          <w:szCs w:val="26"/>
        </w:rPr>
        <w:t>to report</w:t>
      </w:r>
      <w:r w:rsidR="0069098F">
        <w:rPr>
          <w:rFonts w:ascii="Palatino Linotype" w:hAnsi="Palatino Linotype" w:cs="Times"/>
          <w:szCs w:val="26"/>
        </w:rPr>
        <w:t xml:space="preserve"> to Energy Division</w:t>
      </w:r>
      <w:r w:rsidRPr="003059A1">
        <w:rPr>
          <w:rFonts w:ascii="Palatino Linotype" w:hAnsi="Palatino Linotype" w:cs="Times"/>
          <w:szCs w:val="26"/>
        </w:rPr>
        <w:t xml:space="preserve"> on the projects’ milestones, </w:t>
      </w:r>
      <w:r w:rsidR="003059A1" w:rsidRPr="003059A1">
        <w:rPr>
          <w:rFonts w:ascii="Palatino Linotype" w:hAnsi="Palatino Linotype" w:cs="Times"/>
          <w:szCs w:val="26"/>
        </w:rPr>
        <w:t>at least every two weeks,</w:t>
      </w:r>
      <w:r w:rsidRPr="003059A1">
        <w:rPr>
          <w:rFonts w:ascii="Palatino Linotype" w:hAnsi="Palatino Linotype" w:cs="Times"/>
          <w:szCs w:val="26"/>
        </w:rPr>
        <w:t xml:space="preserve"> between the date of this Resolution and the projects’ achievement of full, qualified resource adequacy capacity.  This regular reporting shall include, at a minimum, the status of the interconnection of the projects to the</w:t>
      </w:r>
      <w:r w:rsidR="00C745B2" w:rsidRPr="003059A1">
        <w:rPr>
          <w:rFonts w:ascii="Palatino Linotype" w:hAnsi="Palatino Linotype" w:cs="Times"/>
          <w:szCs w:val="26"/>
        </w:rPr>
        <w:t xml:space="preserve"> gr</w:t>
      </w:r>
      <w:r w:rsidR="003059A1" w:rsidRPr="003059A1">
        <w:rPr>
          <w:rFonts w:ascii="Palatino Linotype" w:hAnsi="Palatino Linotype" w:cs="Times"/>
          <w:szCs w:val="26"/>
        </w:rPr>
        <w:t xml:space="preserve">id, as well as any equipment, </w:t>
      </w:r>
      <w:r w:rsidR="00C745B2" w:rsidRPr="003059A1">
        <w:rPr>
          <w:rFonts w:ascii="Palatino Linotype" w:hAnsi="Palatino Linotype" w:cs="Times"/>
          <w:szCs w:val="26"/>
        </w:rPr>
        <w:t>construction</w:t>
      </w:r>
      <w:r w:rsidR="003059A1" w:rsidRPr="003059A1">
        <w:rPr>
          <w:rFonts w:ascii="Palatino Linotype" w:hAnsi="Palatino Linotype" w:cs="Times"/>
          <w:szCs w:val="26"/>
        </w:rPr>
        <w:t>, or other</w:t>
      </w:r>
      <w:r w:rsidR="00C745B2" w:rsidRPr="003059A1">
        <w:rPr>
          <w:rFonts w:ascii="Palatino Linotype" w:hAnsi="Palatino Linotype" w:cs="Times"/>
          <w:szCs w:val="26"/>
        </w:rPr>
        <w:t xml:space="preserve"> delays.</w:t>
      </w:r>
    </w:p>
    <w:p w:rsidR="00A25FF2" w:rsidRPr="00C427DE" w:rsidRDefault="00A25FF2" w:rsidP="00A25FF2">
      <w:pPr>
        <w:widowControl w:val="0"/>
        <w:autoSpaceDE w:val="0"/>
        <w:autoSpaceDN w:val="0"/>
        <w:adjustRightInd w:val="0"/>
        <w:rPr>
          <w:rFonts w:ascii="Palatino Linotype" w:hAnsi="Palatino Linotype" w:cs="Times"/>
          <w:szCs w:val="26"/>
        </w:rPr>
      </w:pPr>
    </w:p>
    <w:p w:rsidR="00CF17DE" w:rsidRPr="003059A1" w:rsidRDefault="00CF17DE">
      <w:pPr>
        <w:tabs>
          <w:tab w:val="left" w:pos="720"/>
          <w:tab w:val="left" w:pos="1296"/>
          <w:tab w:val="left" w:pos="2016"/>
          <w:tab w:val="left" w:pos="2736"/>
          <w:tab w:val="left" w:pos="3456"/>
          <w:tab w:val="left" w:pos="4176"/>
          <w:tab w:val="left" w:pos="5760"/>
        </w:tabs>
        <w:rPr>
          <w:rFonts w:ascii="Palatino Linotype" w:hAnsi="Palatino Linotype"/>
          <w:szCs w:val="26"/>
        </w:rPr>
      </w:pPr>
      <w:r w:rsidRPr="003059A1">
        <w:rPr>
          <w:rFonts w:ascii="Palatino Linotype" w:hAnsi="Palatino Linotype"/>
          <w:szCs w:val="26"/>
        </w:rPr>
        <w:t>This Resolution is effective today.</w:t>
      </w:r>
    </w:p>
    <w:p w:rsidR="00CF17DE" w:rsidRPr="003059A1" w:rsidRDefault="00CF17DE">
      <w:pPr>
        <w:tabs>
          <w:tab w:val="left" w:pos="720"/>
          <w:tab w:val="left" w:pos="1296"/>
          <w:tab w:val="left" w:pos="2016"/>
          <w:tab w:val="left" w:pos="2736"/>
          <w:tab w:val="left" w:pos="3456"/>
          <w:tab w:val="left" w:pos="4176"/>
          <w:tab w:val="left" w:pos="5760"/>
        </w:tabs>
        <w:rPr>
          <w:rFonts w:ascii="Palatino Linotype" w:hAnsi="Palatino Linotype"/>
          <w:szCs w:val="26"/>
        </w:rPr>
      </w:pPr>
    </w:p>
    <w:p w:rsidR="00CF17DE" w:rsidRPr="003059A1" w:rsidRDefault="00CF17DE">
      <w:pPr>
        <w:rPr>
          <w:rFonts w:ascii="Palatino Linotype" w:hAnsi="Palatino Linotype"/>
          <w:snapToGrid w:val="0"/>
          <w:szCs w:val="26"/>
        </w:rPr>
      </w:pPr>
      <w:r w:rsidRPr="003059A1">
        <w:rPr>
          <w:rFonts w:ascii="Palatino Linotype" w:hAnsi="Palatino Linotype"/>
          <w:snapToGrid w:val="0"/>
          <w:szCs w:val="26"/>
        </w:rPr>
        <w:t xml:space="preserve">I certify that the foregoing resolution was duly introduced, passed and adopted at a conference of the Public Utilities Commission of the State of California held on </w:t>
      </w:r>
      <w:r w:rsidR="001C6232" w:rsidRPr="003059A1">
        <w:rPr>
          <w:rFonts w:ascii="Palatino Linotype" w:hAnsi="Palatino Linotype"/>
          <w:snapToGrid w:val="0"/>
          <w:szCs w:val="26"/>
        </w:rPr>
        <w:t>September 15</w:t>
      </w:r>
      <w:r w:rsidR="00622ABF" w:rsidRPr="003059A1">
        <w:rPr>
          <w:rFonts w:ascii="Palatino Linotype" w:hAnsi="Palatino Linotype"/>
          <w:snapToGrid w:val="0"/>
          <w:szCs w:val="26"/>
        </w:rPr>
        <w:t>, 2016,</w:t>
      </w:r>
      <w:r w:rsidRPr="003059A1">
        <w:rPr>
          <w:rFonts w:ascii="Palatino Linotype" w:hAnsi="Palatino Linotype"/>
          <w:snapToGrid w:val="0"/>
          <w:szCs w:val="26"/>
        </w:rPr>
        <w:t xml:space="preserve"> the following Commissioners voting favorably thereon:</w:t>
      </w:r>
    </w:p>
    <w:p w:rsidR="00CF17DE" w:rsidRDefault="00CF17DE">
      <w:pPr>
        <w:tabs>
          <w:tab w:val="left" w:pos="720"/>
          <w:tab w:val="left" w:pos="1152"/>
          <w:tab w:val="left" w:pos="1728"/>
          <w:tab w:val="left" w:pos="3168"/>
          <w:tab w:val="left" w:pos="5040"/>
        </w:tabs>
        <w:ind w:right="144"/>
        <w:rPr>
          <w:rFonts w:ascii="Palatino Linotype" w:hAnsi="Palatino Linotype"/>
          <w:szCs w:val="26"/>
        </w:rPr>
      </w:pPr>
    </w:p>
    <w:p w:rsidR="002A47F7" w:rsidRDefault="002A47F7">
      <w:pPr>
        <w:tabs>
          <w:tab w:val="left" w:pos="720"/>
          <w:tab w:val="left" w:pos="1152"/>
          <w:tab w:val="left" w:pos="1728"/>
          <w:tab w:val="left" w:pos="3168"/>
          <w:tab w:val="left" w:pos="5040"/>
        </w:tabs>
        <w:ind w:right="144"/>
        <w:rPr>
          <w:rFonts w:ascii="Palatino Linotype" w:hAnsi="Palatino Linotype"/>
          <w:szCs w:val="26"/>
        </w:rPr>
      </w:pPr>
    </w:p>
    <w:p w:rsidR="002A47F7" w:rsidRPr="003E06BA" w:rsidRDefault="002A47F7">
      <w:pPr>
        <w:tabs>
          <w:tab w:val="left" w:pos="720"/>
          <w:tab w:val="left" w:pos="1152"/>
          <w:tab w:val="left" w:pos="1728"/>
          <w:tab w:val="left" w:pos="3168"/>
          <w:tab w:val="left" w:pos="5040"/>
        </w:tabs>
        <w:ind w:right="144"/>
        <w:rPr>
          <w:rFonts w:ascii="Palatino Linotype" w:hAnsi="Palatino Linotype"/>
          <w:szCs w:val="26"/>
        </w:rPr>
      </w:pPr>
    </w:p>
    <w:p w:rsidR="00CF17DE" w:rsidRPr="003E06BA" w:rsidRDefault="00CF17DE">
      <w:pPr>
        <w:tabs>
          <w:tab w:val="left" w:pos="720"/>
          <w:tab w:val="left" w:pos="1152"/>
          <w:tab w:val="left" w:pos="1728"/>
          <w:tab w:val="left" w:pos="3168"/>
          <w:tab w:val="left" w:pos="5040"/>
        </w:tabs>
        <w:ind w:right="144"/>
        <w:rPr>
          <w:rFonts w:ascii="Palatino Linotype" w:hAnsi="Palatino Linotype"/>
          <w:szCs w:val="26"/>
        </w:rPr>
      </w:pPr>
    </w:p>
    <w:p w:rsidR="00CF17DE" w:rsidRPr="003E06BA" w:rsidRDefault="00CF17DE">
      <w:pPr>
        <w:tabs>
          <w:tab w:val="left" w:pos="720"/>
          <w:tab w:val="left" w:pos="1152"/>
          <w:tab w:val="left" w:pos="1728"/>
          <w:tab w:val="left" w:pos="3168"/>
          <w:tab w:val="left" w:pos="5040"/>
        </w:tabs>
        <w:ind w:right="144"/>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_______________</w:t>
      </w:r>
      <w:r w:rsidR="008E6797" w:rsidRPr="003E06BA">
        <w:rPr>
          <w:rFonts w:ascii="Palatino Linotype" w:hAnsi="Palatino Linotype"/>
          <w:szCs w:val="26"/>
        </w:rPr>
        <w:t>______</w:t>
      </w:r>
    </w:p>
    <w:p w:rsidR="00CF17DE" w:rsidRPr="003E06BA" w:rsidRDefault="00CF17DE">
      <w:pPr>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w:t>
      </w:r>
      <w:r w:rsidR="002A47F7">
        <w:rPr>
          <w:rFonts w:ascii="Palatino Linotype" w:hAnsi="Palatino Linotype"/>
          <w:szCs w:val="26"/>
        </w:rPr>
        <w:t>TIMOTHY J. SULLIVAN</w:t>
      </w:r>
    </w:p>
    <w:p w:rsidR="00CF17DE" w:rsidRPr="003E06BA" w:rsidRDefault="00CF17DE">
      <w:pPr>
        <w:rPr>
          <w:rFonts w:ascii="Palatino Linotype" w:hAnsi="Palatino Linotype"/>
          <w:szCs w:val="26"/>
        </w:rPr>
      </w:pP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r>
      <w:r w:rsidRPr="003E06BA">
        <w:rPr>
          <w:rFonts w:ascii="Palatino Linotype" w:hAnsi="Palatino Linotype"/>
          <w:szCs w:val="26"/>
        </w:rPr>
        <w:tab/>
        <w:t xml:space="preserve"> </w:t>
      </w:r>
      <w:r w:rsidRPr="003E06BA">
        <w:rPr>
          <w:rFonts w:ascii="Palatino Linotype" w:hAnsi="Palatino Linotype"/>
          <w:szCs w:val="26"/>
        </w:rPr>
        <w:tab/>
      </w:r>
      <w:r w:rsidRPr="003E06BA">
        <w:rPr>
          <w:rFonts w:ascii="Palatino Linotype" w:hAnsi="Palatino Linotype"/>
          <w:szCs w:val="26"/>
        </w:rPr>
        <w:tab/>
        <w:t xml:space="preserve"> Executive Director</w:t>
      </w:r>
    </w:p>
    <w:sectPr w:rsidR="00CF17DE" w:rsidRPr="003E06BA" w:rsidSect="00E5191B">
      <w:headerReference w:type="default" r:id="rId9"/>
      <w:footerReference w:type="default" r:id="rId10"/>
      <w:headerReference w:type="first" r:id="rId11"/>
      <w:footerReference w:type="first" r:id="rId12"/>
      <w:type w:val="continuous"/>
      <w:pgSz w:w="12240" w:h="15840" w:code="1"/>
      <w:pgMar w:top="1530" w:right="1440" w:bottom="720" w:left="1440"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AE" w:rsidRDefault="00A06CAE">
      <w:r>
        <w:separator/>
      </w:r>
    </w:p>
  </w:endnote>
  <w:endnote w:type="continuationSeparator" w:id="0">
    <w:p w:rsidR="00A06CAE" w:rsidRDefault="00A06CAE">
      <w:r>
        <w:continuationSeparator/>
      </w:r>
    </w:p>
  </w:endnote>
  <w:endnote w:type="continuationNotice" w:id="1">
    <w:p w:rsidR="00A06CAE" w:rsidRDefault="00A06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F7" w:rsidRDefault="00EA08F7">
    <w:pPr>
      <w:pStyle w:val="Footer"/>
    </w:pPr>
    <w:r>
      <w:rPr>
        <w:rStyle w:val="PageNumber"/>
      </w:rPr>
      <w:fldChar w:fldCharType="begin"/>
    </w:r>
    <w:r>
      <w:rPr>
        <w:rStyle w:val="PageNumber"/>
      </w:rPr>
      <w:instrText xml:space="preserve"> PAGE </w:instrText>
    </w:r>
    <w:r>
      <w:rPr>
        <w:rStyle w:val="PageNumber"/>
      </w:rPr>
      <w:fldChar w:fldCharType="separate"/>
    </w:r>
    <w:r w:rsidR="00CC3FBA">
      <w:rPr>
        <w:rStyle w:val="PageNumber"/>
        <w:noProof/>
      </w:rPr>
      <w:t>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F7" w:rsidRDefault="001262E8" w:rsidP="005F6611">
    <w:pPr>
      <w:pStyle w:val="Footer"/>
      <w:tabs>
        <w:tab w:val="clear" w:pos="4320"/>
        <w:tab w:val="center" w:pos="4680"/>
      </w:tabs>
      <w:jc w:val="left"/>
    </w:pPr>
    <w:r>
      <w:rPr>
        <w:rFonts w:ascii="Tahoma" w:hAnsi="Tahoma" w:cs="Tahoma"/>
        <w:sz w:val="17"/>
        <w:szCs w:val="17"/>
      </w:rPr>
      <w:t>166619190</w:t>
    </w:r>
    <w:r w:rsidR="00EA08F7">
      <w:rPr>
        <w:rFonts w:ascii="Tahoma" w:hAnsi="Tahoma" w:cs="Tahoma"/>
        <w:sz w:val="17"/>
        <w:szCs w:val="17"/>
      </w:rPr>
      <w:tab/>
    </w:r>
    <w:r w:rsidR="00EA08F7">
      <w:rPr>
        <w:rStyle w:val="PageNumber"/>
      </w:rPr>
      <w:fldChar w:fldCharType="begin"/>
    </w:r>
    <w:r w:rsidR="00EA08F7">
      <w:rPr>
        <w:rStyle w:val="PageNumber"/>
      </w:rPr>
      <w:instrText xml:space="preserve"> PAGE </w:instrText>
    </w:r>
    <w:r w:rsidR="00EA08F7">
      <w:rPr>
        <w:rStyle w:val="PageNumber"/>
      </w:rPr>
      <w:fldChar w:fldCharType="separate"/>
    </w:r>
    <w:r w:rsidR="00CC3FBA">
      <w:rPr>
        <w:rStyle w:val="PageNumber"/>
        <w:noProof/>
      </w:rPr>
      <w:t>1</w:t>
    </w:r>
    <w:r w:rsidR="00EA08F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AE" w:rsidRDefault="00A06CAE">
      <w:r>
        <w:separator/>
      </w:r>
    </w:p>
  </w:footnote>
  <w:footnote w:type="continuationSeparator" w:id="0">
    <w:p w:rsidR="00A06CAE" w:rsidRDefault="00A06CAE">
      <w:r>
        <w:continuationSeparator/>
      </w:r>
    </w:p>
  </w:footnote>
  <w:footnote w:type="continuationNotice" w:id="1">
    <w:p w:rsidR="00A06CAE" w:rsidRDefault="00A06CAE">
      <w:pPr>
        <w:rPr>
          <w:sz w:val="22"/>
        </w:rPr>
      </w:pPr>
    </w:p>
    <w:p w:rsidR="00A06CAE" w:rsidRDefault="00A06CAE">
      <w:pPr>
        <w:jc w:val="right"/>
        <w:rPr>
          <w:sz w:val="22"/>
        </w:rPr>
      </w:pPr>
      <w:r>
        <w:rPr>
          <w:i/>
          <w:sz w:val="22"/>
        </w:rPr>
        <w:t>Footnote continued on next page</w:t>
      </w:r>
    </w:p>
  </w:footnote>
  <w:footnote w:id="2">
    <w:p w:rsidR="00933A58" w:rsidRPr="00A25FF2" w:rsidRDefault="00933A58" w:rsidP="00A25FF2">
      <w:pPr>
        <w:pStyle w:val="Default"/>
        <w:spacing w:after="120"/>
        <w:rPr>
          <w:rFonts w:ascii="Palatino Linotype" w:hAnsi="Palatino Linotype"/>
        </w:rPr>
      </w:pPr>
      <w:r w:rsidRPr="00A25FF2">
        <w:rPr>
          <w:rStyle w:val="FootnoteReference"/>
          <w:rFonts w:ascii="Palatino Linotype" w:hAnsi="Palatino Linotype"/>
        </w:rPr>
        <w:footnoteRef/>
      </w:r>
      <w:r w:rsidRPr="00A25FF2">
        <w:rPr>
          <w:rFonts w:ascii="Palatino Linotype" w:hAnsi="Palatino Linotype"/>
        </w:rPr>
        <w:t xml:space="preserve"> </w:t>
      </w:r>
      <w:r w:rsidRPr="00A25FF2">
        <w:rPr>
          <w:rFonts w:ascii="Palatino Linotype" w:hAnsi="Palatino Linotype"/>
          <w:bCs/>
        </w:rPr>
        <w:t>Decision Adopting Energy</w:t>
      </w:r>
      <w:r w:rsidR="00A57E23" w:rsidRPr="00A25FF2">
        <w:rPr>
          <w:rFonts w:ascii="Palatino Linotype" w:hAnsi="Palatino Linotype"/>
          <w:bCs/>
        </w:rPr>
        <w:t xml:space="preserve"> Storage Procurement Framework a</w:t>
      </w:r>
      <w:r w:rsidRPr="00A25FF2">
        <w:rPr>
          <w:rFonts w:ascii="Palatino Linotype" w:hAnsi="Palatino Linotype"/>
          <w:bCs/>
        </w:rPr>
        <w:t>nd Design Program, in Rulemaking (R.) 10-12-047, October 21,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F7" w:rsidRDefault="00EA08F7">
    <w:pPr>
      <w:pStyle w:val="Header"/>
      <w:tabs>
        <w:tab w:val="clear" w:pos="4320"/>
        <w:tab w:val="clear" w:pos="8640"/>
        <w:tab w:val="center" w:pos="4680"/>
        <w:tab w:val="right" w:pos="9180"/>
      </w:tabs>
    </w:pPr>
    <w:r>
      <w:t>Resolution E-4804</w:t>
    </w:r>
    <w:r>
      <w:tab/>
      <w:t>DRAFT</w:t>
    </w:r>
    <w:r>
      <w:tab/>
      <w:t>September 15, 2016</w:t>
    </w:r>
  </w:p>
  <w:p w:rsidR="00EA08F7" w:rsidRDefault="00EA08F7">
    <w:pPr>
      <w:pStyle w:val="Header"/>
      <w:tabs>
        <w:tab w:val="clear" w:pos="4320"/>
        <w:tab w:val="clear" w:pos="8640"/>
        <w:tab w:val="center" w:pos="4680"/>
        <w:tab w:val="right" w:pos="9180"/>
      </w:tabs>
    </w:pPr>
    <w:r>
      <w:t>SCE AL 3454-E, 3455-E, and 3456-E/RCL</w:t>
    </w:r>
  </w:p>
  <w:p w:rsidR="00EA08F7" w:rsidRDefault="00EA08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F7" w:rsidRPr="008E6797" w:rsidRDefault="00EA08F7" w:rsidP="002A47F7">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ACC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431FF5"/>
    <w:multiLevelType w:val="hybridMultilevel"/>
    <w:tmpl w:val="AA621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nsid w:val="0BDB7819"/>
    <w:multiLevelType w:val="singleLevel"/>
    <w:tmpl w:val="0409000F"/>
    <w:lvl w:ilvl="0">
      <w:start w:val="1"/>
      <w:numFmt w:val="decimal"/>
      <w:lvlText w:val="%1."/>
      <w:lvlJc w:val="left"/>
      <w:pPr>
        <w:ind w:left="360" w:hanging="360"/>
      </w:pPr>
    </w:lvl>
  </w:abstractNum>
  <w:abstractNum w:abstractNumId="5">
    <w:nsid w:val="0C292415"/>
    <w:multiLevelType w:val="hybridMultilevel"/>
    <w:tmpl w:val="F07EC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C602F"/>
    <w:multiLevelType w:val="hybridMultilevel"/>
    <w:tmpl w:val="879A8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3E7FE3"/>
    <w:multiLevelType w:val="hybridMultilevel"/>
    <w:tmpl w:val="F2A6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005C7"/>
    <w:multiLevelType w:val="hybridMultilevel"/>
    <w:tmpl w:val="CC2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B2D66"/>
    <w:multiLevelType w:val="hybridMultilevel"/>
    <w:tmpl w:val="1E24B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B0F7F"/>
    <w:multiLevelType w:val="hybridMultilevel"/>
    <w:tmpl w:val="7F927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CF6991"/>
    <w:multiLevelType w:val="hybridMultilevel"/>
    <w:tmpl w:val="B2B0A83C"/>
    <w:lvl w:ilvl="0" w:tplc="4372C0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6206AF"/>
    <w:multiLevelType w:val="hybridMultilevel"/>
    <w:tmpl w:val="ACAA7898"/>
    <w:lvl w:ilvl="0" w:tplc="C7FEDD9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nsid w:val="22D468C7"/>
    <w:multiLevelType w:val="hybridMultilevel"/>
    <w:tmpl w:val="D7CAFC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83730A"/>
    <w:multiLevelType w:val="hybridMultilevel"/>
    <w:tmpl w:val="21B2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954853"/>
    <w:multiLevelType w:val="hybridMultilevel"/>
    <w:tmpl w:val="9D14B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828DE"/>
    <w:multiLevelType w:val="hybridMultilevel"/>
    <w:tmpl w:val="ED963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2F013E"/>
    <w:multiLevelType w:val="hybridMultilevel"/>
    <w:tmpl w:val="9BA6A598"/>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6A0275"/>
    <w:multiLevelType w:val="hybridMultilevel"/>
    <w:tmpl w:val="8EE8E87C"/>
    <w:lvl w:ilvl="0" w:tplc="E886EE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FD64226"/>
    <w:multiLevelType w:val="hybridMultilevel"/>
    <w:tmpl w:val="2D3CC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F7D3B"/>
    <w:multiLevelType w:val="hybridMultilevel"/>
    <w:tmpl w:val="0C7C6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45725787"/>
    <w:multiLevelType w:val="hybridMultilevel"/>
    <w:tmpl w:val="C67C3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7F3FBB"/>
    <w:multiLevelType w:val="hybridMultilevel"/>
    <w:tmpl w:val="38EC4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AAD1B8D"/>
    <w:multiLevelType w:val="hybridMultilevel"/>
    <w:tmpl w:val="43F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71FEA"/>
    <w:multiLevelType w:val="hybridMultilevel"/>
    <w:tmpl w:val="8AC4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37B2C"/>
    <w:multiLevelType w:val="hybridMultilevel"/>
    <w:tmpl w:val="59966AB8"/>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3DF59E4"/>
    <w:multiLevelType w:val="hybridMultilevel"/>
    <w:tmpl w:val="3350F18A"/>
    <w:lvl w:ilvl="0" w:tplc="74AC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30940"/>
    <w:multiLevelType w:val="hybridMultilevel"/>
    <w:tmpl w:val="9B825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32">
    <w:nsid w:val="5BA1009C"/>
    <w:multiLevelType w:val="hybridMultilevel"/>
    <w:tmpl w:val="01C2DC5C"/>
    <w:lvl w:ilvl="0" w:tplc="6A9E95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83FF9"/>
    <w:multiLevelType w:val="hybridMultilevel"/>
    <w:tmpl w:val="E4563A98"/>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FDA76DE"/>
    <w:multiLevelType w:val="hybridMultilevel"/>
    <w:tmpl w:val="D2A833B4"/>
    <w:lvl w:ilvl="0" w:tplc="95AC89E6">
      <w:start w:val="1"/>
      <w:numFmt w:val="decimal"/>
      <w:lvlText w:val="%1)"/>
      <w:lvlJc w:val="left"/>
      <w:pPr>
        <w:ind w:left="720" w:hanging="36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B03F7A"/>
    <w:multiLevelType w:val="hybridMultilevel"/>
    <w:tmpl w:val="6AF006BA"/>
    <w:lvl w:ilvl="0" w:tplc="5A76B7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071CA8"/>
    <w:multiLevelType w:val="hybridMultilevel"/>
    <w:tmpl w:val="3CF61628"/>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2B0358"/>
    <w:multiLevelType w:val="hybridMultilevel"/>
    <w:tmpl w:val="13982638"/>
    <w:lvl w:ilvl="0" w:tplc="AEA45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C874AA"/>
    <w:multiLevelType w:val="hybridMultilevel"/>
    <w:tmpl w:val="24E4C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7668E"/>
    <w:multiLevelType w:val="hybridMultilevel"/>
    <w:tmpl w:val="21B6BC32"/>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77B94"/>
    <w:multiLevelType w:val="hybridMultilevel"/>
    <w:tmpl w:val="553A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3C300E"/>
    <w:multiLevelType w:val="hybridMultilevel"/>
    <w:tmpl w:val="D3C4C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56713E"/>
    <w:multiLevelType w:val="hybridMultilevel"/>
    <w:tmpl w:val="A46EA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3"/>
  </w:num>
  <w:num w:numId="3">
    <w:abstractNumId w:val="13"/>
  </w:num>
  <w:num w:numId="4">
    <w:abstractNumId w:val="31"/>
  </w:num>
  <w:num w:numId="5">
    <w:abstractNumId w:val="4"/>
  </w:num>
  <w:num w:numId="6">
    <w:abstractNumId w:val="15"/>
  </w:num>
  <w:num w:numId="7">
    <w:abstractNumId w:val="38"/>
  </w:num>
  <w:num w:numId="8">
    <w:abstractNumId w:val="43"/>
  </w:num>
  <w:num w:numId="9">
    <w:abstractNumId w:val="32"/>
  </w:num>
  <w:num w:numId="10">
    <w:abstractNumId w:val="29"/>
  </w:num>
  <w:num w:numId="11">
    <w:abstractNumId w:val="16"/>
  </w:num>
  <w:num w:numId="12">
    <w:abstractNumId w:val="9"/>
  </w:num>
  <w:num w:numId="13">
    <w:abstractNumId w:val="6"/>
  </w:num>
  <w:num w:numId="14">
    <w:abstractNumId w:val="24"/>
  </w:num>
  <w:num w:numId="15">
    <w:abstractNumId w:val="30"/>
  </w:num>
  <w:num w:numId="16">
    <w:abstractNumId w:val="5"/>
  </w:num>
  <w:num w:numId="17">
    <w:abstractNumId w:val="35"/>
  </w:num>
  <w:num w:numId="18">
    <w:abstractNumId w:val="11"/>
  </w:num>
  <w:num w:numId="19">
    <w:abstractNumId w:val="26"/>
  </w:num>
  <w:num w:numId="20">
    <w:abstractNumId w:val="37"/>
  </w:num>
  <w:num w:numId="21">
    <w:abstractNumId w:val="20"/>
  </w:num>
  <w:num w:numId="22">
    <w:abstractNumId w:val="7"/>
  </w:num>
  <w:num w:numId="23">
    <w:abstractNumId w:val="27"/>
  </w:num>
  <w:num w:numId="24">
    <w:abstractNumId w:val="41"/>
  </w:num>
  <w:num w:numId="25">
    <w:abstractNumId w:val="0"/>
  </w:num>
  <w:num w:numId="26">
    <w:abstractNumId w:val="1"/>
  </w:num>
  <w:num w:numId="27">
    <w:abstractNumId w:val="1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4"/>
  </w:num>
  <w:num w:numId="31">
    <w:abstractNumId w:val="22"/>
  </w:num>
  <w:num w:numId="32">
    <w:abstractNumId w:val="25"/>
  </w:num>
  <w:num w:numId="33">
    <w:abstractNumId w:val="21"/>
  </w:num>
  <w:num w:numId="34">
    <w:abstractNumId w:val="42"/>
  </w:num>
  <w:num w:numId="35">
    <w:abstractNumId w:val="10"/>
  </w:num>
  <w:num w:numId="36">
    <w:abstractNumId w:val="2"/>
  </w:num>
  <w:num w:numId="37">
    <w:abstractNumId w:val="34"/>
  </w:num>
  <w:num w:numId="38">
    <w:abstractNumId w:val="39"/>
  </w:num>
  <w:num w:numId="39">
    <w:abstractNumId w:val="8"/>
  </w:num>
  <w:num w:numId="40">
    <w:abstractNumId w:val="36"/>
  </w:num>
  <w:num w:numId="41">
    <w:abstractNumId w:val="33"/>
  </w:num>
  <w:num w:numId="42">
    <w:abstractNumId w:val="19"/>
  </w:num>
  <w:num w:numId="43">
    <w:abstractNumId w:val="28"/>
  </w:num>
  <w:num w:numId="44">
    <w:abstractNumId w:val="40"/>
  </w:num>
  <w:num w:numId="4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D70"/>
    <w:rsid w:val="000034E7"/>
    <w:rsid w:val="0000478A"/>
    <w:rsid w:val="00007734"/>
    <w:rsid w:val="000217A4"/>
    <w:rsid w:val="00025791"/>
    <w:rsid w:val="00026EA9"/>
    <w:rsid w:val="000301AA"/>
    <w:rsid w:val="00033942"/>
    <w:rsid w:val="00036D8D"/>
    <w:rsid w:val="0004439A"/>
    <w:rsid w:val="00046867"/>
    <w:rsid w:val="000516B0"/>
    <w:rsid w:val="00062E1F"/>
    <w:rsid w:val="0006447E"/>
    <w:rsid w:val="00066D06"/>
    <w:rsid w:val="000676B5"/>
    <w:rsid w:val="00070F30"/>
    <w:rsid w:val="0008190D"/>
    <w:rsid w:val="00081E4E"/>
    <w:rsid w:val="00084747"/>
    <w:rsid w:val="000A1CB1"/>
    <w:rsid w:val="000A3553"/>
    <w:rsid w:val="000B4693"/>
    <w:rsid w:val="000B5D11"/>
    <w:rsid w:val="000C0B61"/>
    <w:rsid w:val="000C5435"/>
    <w:rsid w:val="000C6236"/>
    <w:rsid w:val="000D22FD"/>
    <w:rsid w:val="000E4855"/>
    <w:rsid w:val="000E5057"/>
    <w:rsid w:val="000F252A"/>
    <w:rsid w:val="000F4985"/>
    <w:rsid w:val="000F5FA2"/>
    <w:rsid w:val="000F7272"/>
    <w:rsid w:val="00100F02"/>
    <w:rsid w:val="001045E3"/>
    <w:rsid w:val="00113A82"/>
    <w:rsid w:val="00113F43"/>
    <w:rsid w:val="001146E6"/>
    <w:rsid w:val="00117118"/>
    <w:rsid w:val="00120616"/>
    <w:rsid w:val="0012162D"/>
    <w:rsid w:val="00124AF1"/>
    <w:rsid w:val="00126083"/>
    <w:rsid w:val="001262E8"/>
    <w:rsid w:val="00127970"/>
    <w:rsid w:val="0013253F"/>
    <w:rsid w:val="001373A0"/>
    <w:rsid w:val="00137710"/>
    <w:rsid w:val="00140198"/>
    <w:rsid w:val="00140D73"/>
    <w:rsid w:val="0014140E"/>
    <w:rsid w:val="00142FB8"/>
    <w:rsid w:val="00151953"/>
    <w:rsid w:val="00156A5E"/>
    <w:rsid w:val="00157A5A"/>
    <w:rsid w:val="00157BC8"/>
    <w:rsid w:val="00157E96"/>
    <w:rsid w:val="00160A3D"/>
    <w:rsid w:val="0016389B"/>
    <w:rsid w:val="00165280"/>
    <w:rsid w:val="00166DB9"/>
    <w:rsid w:val="00170114"/>
    <w:rsid w:val="0017418B"/>
    <w:rsid w:val="001773E9"/>
    <w:rsid w:val="00180C1A"/>
    <w:rsid w:val="00195B04"/>
    <w:rsid w:val="001A018C"/>
    <w:rsid w:val="001A5372"/>
    <w:rsid w:val="001A5A39"/>
    <w:rsid w:val="001A5F28"/>
    <w:rsid w:val="001B2E0E"/>
    <w:rsid w:val="001B628A"/>
    <w:rsid w:val="001B7D3F"/>
    <w:rsid w:val="001B7D41"/>
    <w:rsid w:val="001C6232"/>
    <w:rsid w:val="001D00EE"/>
    <w:rsid w:val="001D4EC5"/>
    <w:rsid w:val="001D6CAD"/>
    <w:rsid w:val="001E07E8"/>
    <w:rsid w:val="001E202B"/>
    <w:rsid w:val="001F0D35"/>
    <w:rsid w:val="001F1571"/>
    <w:rsid w:val="001F6E62"/>
    <w:rsid w:val="00200EA2"/>
    <w:rsid w:val="00201410"/>
    <w:rsid w:val="002034DC"/>
    <w:rsid w:val="002052FA"/>
    <w:rsid w:val="0021099B"/>
    <w:rsid w:val="0021385A"/>
    <w:rsid w:val="00221E33"/>
    <w:rsid w:val="002316FD"/>
    <w:rsid w:val="0023386F"/>
    <w:rsid w:val="00233877"/>
    <w:rsid w:val="00234DDD"/>
    <w:rsid w:val="002369A9"/>
    <w:rsid w:val="00246F99"/>
    <w:rsid w:val="0025175B"/>
    <w:rsid w:val="002560CE"/>
    <w:rsid w:val="00267B99"/>
    <w:rsid w:val="00270D58"/>
    <w:rsid w:val="00271E5F"/>
    <w:rsid w:val="00272285"/>
    <w:rsid w:val="00273461"/>
    <w:rsid w:val="00280D8A"/>
    <w:rsid w:val="002851EB"/>
    <w:rsid w:val="00296F6F"/>
    <w:rsid w:val="002A2B41"/>
    <w:rsid w:val="002A39B4"/>
    <w:rsid w:val="002A47F7"/>
    <w:rsid w:val="002A5076"/>
    <w:rsid w:val="002B2F74"/>
    <w:rsid w:val="002B4BE0"/>
    <w:rsid w:val="002C5E08"/>
    <w:rsid w:val="002C6EFA"/>
    <w:rsid w:val="002D0883"/>
    <w:rsid w:val="002D1B1E"/>
    <w:rsid w:val="002D2BA4"/>
    <w:rsid w:val="002D2D6A"/>
    <w:rsid w:val="002D3114"/>
    <w:rsid w:val="002D4C84"/>
    <w:rsid w:val="002E05B9"/>
    <w:rsid w:val="002E2B0E"/>
    <w:rsid w:val="002E2BF5"/>
    <w:rsid w:val="002E3429"/>
    <w:rsid w:val="002E567B"/>
    <w:rsid w:val="002E5E79"/>
    <w:rsid w:val="00304438"/>
    <w:rsid w:val="00304C69"/>
    <w:rsid w:val="003059A1"/>
    <w:rsid w:val="00312CCD"/>
    <w:rsid w:val="00314811"/>
    <w:rsid w:val="00317C51"/>
    <w:rsid w:val="00322197"/>
    <w:rsid w:val="003254FE"/>
    <w:rsid w:val="0033137E"/>
    <w:rsid w:val="00332991"/>
    <w:rsid w:val="00342F6C"/>
    <w:rsid w:val="003443BD"/>
    <w:rsid w:val="00346BC9"/>
    <w:rsid w:val="00347212"/>
    <w:rsid w:val="00351BC2"/>
    <w:rsid w:val="003548FB"/>
    <w:rsid w:val="00355252"/>
    <w:rsid w:val="003579D2"/>
    <w:rsid w:val="00361D2C"/>
    <w:rsid w:val="00366F99"/>
    <w:rsid w:val="00386ACD"/>
    <w:rsid w:val="00397BF8"/>
    <w:rsid w:val="00397C74"/>
    <w:rsid w:val="003A31C8"/>
    <w:rsid w:val="003A6FA6"/>
    <w:rsid w:val="003B1839"/>
    <w:rsid w:val="003B4D19"/>
    <w:rsid w:val="003C6B18"/>
    <w:rsid w:val="003D0B49"/>
    <w:rsid w:val="003D1C45"/>
    <w:rsid w:val="003D2933"/>
    <w:rsid w:val="003E06BA"/>
    <w:rsid w:val="003E1FBC"/>
    <w:rsid w:val="003E4EA2"/>
    <w:rsid w:val="003F335D"/>
    <w:rsid w:val="003F52BD"/>
    <w:rsid w:val="003F575A"/>
    <w:rsid w:val="00400F6B"/>
    <w:rsid w:val="00401A6C"/>
    <w:rsid w:val="0040380A"/>
    <w:rsid w:val="00416E01"/>
    <w:rsid w:val="00420A81"/>
    <w:rsid w:val="004216CD"/>
    <w:rsid w:val="00423748"/>
    <w:rsid w:val="0042732A"/>
    <w:rsid w:val="00430983"/>
    <w:rsid w:val="00431B54"/>
    <w:rsid w:val="00433AF6"/>
    <w:rsid w:val="00435FF9"/>
    <w:rsid w:val="0044051C"/>
    <w:rsid w:val="00440AB7"/>
    <w:rsid w:val="00440C15"/>
    <w:rsid w:val="00447DFA"/>
    <w:rsid w:val="004508F5"/>
    <w:rsid w:val="004543A5"/>
    <w:rsid w:val="0045500C"/>
    <w:rsid w:val="00455035"/>
    <w:rsid w:val="00456179"/>
    <w:rsid w:val="004607C2"/>
    <w:rsid w:val="004621FF"/>
    <w:rsid w:val="0046715D"/>
    <w:rsid w:val="00470B9B"/>
    <w:rsid w:val="00471A72"/>
    <w:rsid w:val="00483559"/>
    <w:rsid w:val="00484517"/>
    <w:rsid w:val="00484948"/>
    <w:rsid w:val="004859A2"/>
    <w:rsid w:val="00486740"/>
    <w:rsid w:val="00486C79"/>
    <w:rsid w:val="004905D3"/>
    <w:rsid w:val="004911E3"/>
    <w:rsid w:val="00495036"/>
    <w:rsid w:val="004956A0"/>
    <w:rsid w:val="004A0501"/>
    <w:rsid w:val="004A0E46"/>
    <w:rsid w:val="004C0825"/>
    <w:rsid w:val="004C28EB"/>
    <w:rsid w:val="004C308C"/>
    <w:rsid w:val="004C7367"/>
    <w:rsid w:val="004D09F5"/>
    <w:rsid w:val="004D7384"/>
    <w:rsid w:val="004E08F9"/>
    <w:rsid w:val="004E394B"/>
    <w:rsid w:val="004E75B9"/>
    <w:rsid w:val="004E7B99"/>
    <w:rsid w:val="004F570D"/>
    <w:rsid w:val="004F7470"/>
    <w:rsid w:val="005072EB"/>
    <w:rsid w:val="0051742C"/>
    <w:rsid w:val="0052012E"/>
    <w:rsid w:val="00520E7F"/>
    <w:rsid w:val="00522230"/>
    <w:rsid w:val="0052381A"/>
    <w:rsid w:val="005306ED"/>
    <w:rsid w:val="005373B0"/>
    <w:rsid w:val="00541832"/>
    <w:rsid w:val="0054286C"/>
    <w:rsid w:val="005506AE"/>
    <w:rsid w:val="00551C99"/>
    <w:rsid w:val="0055508C"/>
    <w:rsid w:val="0056077B"/>
    <w:rsid w:val="00561C40"/>
    <w:rsid w:val="00566B5C"/>
    <w:rsid w:val="005716AA"/>
    <w:rsid w:val="00572A48"/>
    <w:rsid w:val="00581AB7"/>
    <w:rsid w:val="00593807"/>
    <w:rsid w:val="00594A70"/>
    <w:rsid w:val="00594C73"/>
    <w:rsid w:val="00596DD3"/>
    <w:rsid w:val="005A0021"/>
    <w:rsid w:val="005A0853"/>
    <w:rsid w:val="005A19DB"/>
    <w:rsid w:val="005B0D8B"/>
    <w:rsid w:val="005B0DA3"/>
    <w:rsid w:val="005B1A28"/>
    <w:rsid w:val="005B220F"/>
    <w:rsid w:val="005B4B54"/>
    <w:rsid w:val="005B77AB"/>
    <w:rsid w:val="005D62D0"/>
    <w:rsid w:val="005E2643"/>
    <w:rsid w:val="005E3EBA"/>
    <w:rsid w:val="005E6834"/>
    <w:rsid w:val="005E7305"/>
    <w:rsid w:val="005F4BE4"/>
    <w:rsid w:val="005F4CE1"/>
    <w:rsid w:val="005F597C"/>
    <w:rsid w:val="005F6611"/>
    <w:rsid w:val="005F798E"/>
    <w:rsid w:val="00600659"/>
    <w:rsid w:val="00614604"/>
    <w:rsid w:val="006158A0"/>
    <w:rsid w:val="00615AD2"/>
    <w:rsid w:val="00617254"/>
    <w:rsid w:val="00622ABF"/>
    <w:rsid w:val="0062546B"/>
    <w:rsid w:val="00632CF3"/>
    <w:rsid w:val="0063511B"/>
    <w:rsid w:val="00635F08"/>
    <w:rsid w:val="006457F7"/>
    <w:rsid w:val="0065175A"/>
    <w:rsid w:val="006526E4"/>
    <w:rsid w:val="00653678"/>
    <w:rsid w:val="00661459"/>
    <w:rsid w:val="00666416"/>
    <w:rsid w:val="0068443F"/>
    <w:rsid w:val="0069098F"/>
    <w:rsid w:val="00693192"/>
    <w:rsid w:val="00695977"/>
    <w:rsid w:val="00695FFB"/>
    <w:rsid w:val="0069631C"/>
    <w:rsid w:val="006A1E60"/>
    <w:rsid w:val="006A2BE4"/>
    <w:rsid w:val="006A67D7"/>
    <w:rsid w:val="006B05EE"/>
    <w:rsid w:val="006B1BC9"/>
    <w:rsid w:val="006B40B5"/>
    <w:rsid w:val="006B7024"/>
    <w:rsid w:val="006C12FB"/>
    <w:rsid w:val="006C1C5D"/>
    <w:rsid w:val="006C4558"/>
    <w:rsid w:val="006C5D62"/>
    <w:rsid w:val="006C6623"/>
    <w:rsid w:val="006C7DCC"/>
    <w:rsid w:val="006D42B4"/>
    <w:rsid w:val="006E0F7E"/>
    <w:rsid w:val="006E1D4F"/>
    <w:rsid w:val="006E3E22"/>
    <w:rsid w:val="006E5A42"/>
    <w:rsid w:val="006F09C6"/>
    <w:rsid w:val="006F0FC0"/>
    <w:rsid w:val="00700568"/>
    <w:rsid w:val="007020D2"/>
    <w:rsid w:val="00703EB1"/>
    <w:rsid w:val="00710A91"/>
    <w:rsid w:val="00712513"/>
    <w:rsid w:val="00714405"/>
    <w:rsid w:val="00717427"/>
    <w:rsid w:val="00730955"/>
    <w:rsid w:val="00730956"/>
    <w:rsid w:val="007318D8"/>
    <w:rsid w:val="007417F4"/>
    <w:rsid w:val="00742859"/>
    <w:rsid w:val="00747DBA"/>
    <w:rsid w:val="00751C9D"/>
    <w:rsid w:val="007529CE"/>
    <w:rsid w:val="007539A1"/>
    <w:rsid w:val="0075445E"/>
    <w:rsid w:val="00757354"/>
    <w:rsid w:val="0075737F"/>
    <w:rsid w:val="00760FC8"/>
    <w:rsid w:val="00763939"/>
    <w:rsid w:val="00772C09"/>
    <w:rsid w:val="007765C6"/>
    <w:rsid w:val="00781DAD"/>
    <w:rsid w:val="007905EC"/>
    <w:rsid w:val="007908AC"/>
    <w:rsid w:val="007A007D"/>
    <w:rsid w:val="007A281A"/>
    <w:rsid w:val="007A6C41"/>
    <w:rsid w:val="007B170C"/>
    <w:rsid w:val="007B2686"/>
    <w:rsid w:val="007B5B10"/>
    <w:rsid w:val="007B63CB"/>
    <w:rsid w:val="007C0798"/>
    <w:rsid w:val="007C1703"/>
    <w:rsid w:val="007C186D"/>
    <w:rsid w:val="007C35C4"/>
    <w:rsid w:val="007C6FC1"/>
    <w:rsid w:val="007D0232"/>
    <w:rsid w:val="007D1555"/>
    <w:rsid w:val="007D6E02"/>
    <w:rsid w:val="007D7176"/>
    <w:rsid w:val="007E16F2"/>
    <w:rsid w:val="007E1ED0"/>
    <w:rsid w:val="007E42B5"/>
    <w:rsid w:val="007E540E"/>
    <w:rsid w:val="007F5E7A"/>
    <w:rsid w:val="007F66D2"/>
    <w:rsid w:val="00801D70"/>
    <w:rsid w:val="008031C3"/>
    <w:rsid w:val="00807761"/>
    <w:rsid w:val="00810A76"/>
    <w:rsid w:val="0081116D"/>
    <w:rsid w:val="00812ECC"/>
    <w:rsid w:val="008152A8"/>
    <w:rsid w:val="00822461"/>
    <w:rsid w:val="0082574E"/>
    <w:rsid w:val="008257E2"/>
    <w:rsid w:val="00826F85"/>
    <w:rsid w:val="00830407"/>
    <w:rsid w:val="00843271"/>
    <w:rsid w:val="00843BF1"/>
    <w:rsid w:val="008461F4"/>
    <w:rsid w:val="008520BE"/>
    <w:rsid w:val="00852A83"/>
    <w:rsid w:val="0085366A"/>
    <w:rsid w:val="00856FB3"/>
    <w:rsid w:val="008572A8"/>
    <w:rsid w:val="00867DE6"/>
    <w:rsid w:val="008715C0"/>
    <w:rsid w:val="008735D8"/>
    <w:rsid w:val="0088384A"/>
    <w:rsid w:val="008949FF"/>
    <w:rsid w:val="00897784"/>
    <w:rsid w:val="008A5788"/>
    <w:rsid w:val="008B5D1C"/>
    <w:rsid w:val="008C1699"/>
    <w:rsid w:val="008C36D2"/>
    <w:rsid w:val="008C4EB0"/>
    <w:rsid w:val="008D1761"/>
    <w:rsid w:val="008D31BC"/>
    <w:rsid w:val="008D554B"/>
    <w:rsid w:val="008E1D0D"/>
    <w:rsid w:val="008E6797"/>
    <w:rsid w:val="008F1B2D"/>
    <w:rsid w:val="008F5A2C"/>
    <w:rsid w:val="008F732A"/>
    <w:rsid w:val="00901237"/>
    <w:rsid w:val="00905941"/>
    <w:rsid w:val="00914E83"/>
    <w:rsid w:val="00916BB8"/>
    <w:rsid w:val="00920748"/>
    <w:rsid w:val="00922DBD"/>
    <w:rsid w:val="00927DB9"/>
    <w:rsid w:val="00930C39"/>
    <w:rsid w:val="009326E0"/>
    <w:rsid w:val="00933A58"/>
    <w:rsid w:val="009525B2"/>
    <w:rsid w:val="00953321"/>
    <w:rsid w:val="009560DE"/>
    <w:rsid w:val="00956258"/>
    <w:rsid w:val="00956734"/>
    <w:rsid w:val="00956F78"/>
    <w:rsid w:val="0096179A"/>
    <w:rsid w:val="00962122"/>
    <w:rsid w:val="00963BD9"/>
    <w:rsid w:val="00966821"/>
    <w:rsid w:val="00970BFE"/>
    <w:rsid w:val="00972574"/>
    <w:rsid w:val="00972ECF"/>
    <w:rsid w:val="0097495B"/>
    <w:rsid w:val="009759FF"/>
    <w:rsid w:val="00976D94"/>
    <w:rsid w:val="009809B1"/>
    <w:rsid w:val="00986ACC"/>
    <w:rsid w:val="0099650D"/>
    <w:rsid w:val="009A0816"/>
    <w:rsid w:val="009A424B"/>
    <w:rsid w:val="009A4EB1"/>
    <w:rsid w:val="009A7EAA"/>
    <w:rsid w:val="009B11A8"/>
    <w:rsid w:val="009B27C1"/>
    <w:rsid w:val="009B2CC2"/>
    <w:rsid w:val="009B479B"/>
    <w:rsid w:val="009B4C53"/>
    <w:rsid w:val="009C1E75"/>
    <w:rsid w:val="009C4598"/>
    <w:rsid w:val="009C7A33"/>
    <w:rsid w:val="009D2442"/>
    <w:rsid w:val="009D7160"/>
    <w:rsid w:val="009F08B3"/>
    <w:rsid w:val="009F38CE"/>
    <w:rsid w:val="009F3DF3"/>
    <w:rsid w:val="009F635F"/>
    <w:rsid w:val="00A03818"/>
    <w:rsid w:val="00A04B8E"/>
    <w:rsid w:val="00A04D67"/>
    <w:rsid w:val="00A06CAE"/>
    <w:rsid w:val="00A07AA3"/>
    <w:rsid w:val="00A1526C"/>
    <w:rsid w:val="00A17788"/>
    <w:rsid w:val="00A218B6"/>
    <w:rsid w:val="00A23FF1"/>
    <w:rsid w:val="00A2544C"/>
    <w:rsid w:val="00A25FF2"/>
    <w:rsid w:val="00A341DA"/>
    <w:rsid w:val="00A3441E"/>
    <w:rsid w:val="00A40DBD"/>
    <w:rsid w:val="00A43CC4"/>
    <w:rsid w:val="00A469BB"/>
    <w:rsid w:val="00A57C3D"/>
    <w:rsid w:val="00A57E23"/>
    <w:rsid w:val="00A60201"/>
    <w:rsid w:val="00A60E68"/>
    <w:rsid w:val="00A70D89"/>
    <w:rsid w:val="00A7491F"/>
    <w:rsid w:val="00A75F46"/>
    <w:rsid w:val="00A7745D"/>
    <w:rsid w:val="00A8158E"/>
    <w:rsid w:val="00A81A16"/>
    <w:rsid w:val="00A835FF"/>
    <w:rsid w:val="00A848C7"/>
    <w:rsid w:val="00AA53C7"/>
    <w:rsid w:val="00AB2A2F"/>
    <w:rsid w:val="00AB7258"/>
    <w:rsid w:val="00AB751F"/>
    <w:rsid w:val="00AC3097"/>
    <w:rsid w:val="00AC32B0"/>
    <w:rsid w:val="00AC3FE4"/>
    <w:rsid w:val="00AD2B84"/>
    <w:rsid w:val="00AD4428"/>
    <w:rsid w:val="00AD649F"/>
    <w:rsid w:val="00AF0589"/>
    <w:rsid w:val="00AF1DF6"/>
    <w:rsid w:val="00AF2249"/>
    <w:rsid w:val="00AF5C60"/>
    <w:rsid w:val="00B019AF"/>
    <w:rsid w:val="00B07CC5"/>
    <w:rsid w:val="00B07E8E"/>
    <w:rsid w:val="00B20AB3"/>
    <w:rsid w:val="00B20C01"/>
    <w:rsid w:val="00B21052"/>
    <w:rsid w:val="00B235EE"/>
    <w:rsid w:val="00B266FE"/>
    <w:rsid w:val="00B32F5C"/>
    <w:rsid w:val="00B3640F"/>
    <w:rsid w:val="00B4717F"/>
    <w:rsid w:val="00B5008B"/>
    <w:rsid w:val="00B57CAE"/>
    <w:rsid w:val="00B66BED"/>
    <w:rsid w:val="00B714A3"/>
    <w:rsid w:val="00B7349A"/>
    <w:rsid w:val="00B73AC7"/>
    <w:rsid w:val="00B7657F"/>
    <w:rsid w:val="00B76C0C"/>
    <w:rsid w:val="00B857E2"/>
    <w:rsid w:val="00B86B82"/>
    <w:rsid w:val="00B927B5"/>
    <w:rsid w:val="00BA29BF"/>
    <w:rsid w:val="00BA4115"/>
    <w:rsid w:val="00BA6980"/>
    <w:rsid w:val="00BA72DE"/>
    <w:rsid w:val="00BC26B5"/>
    <w:rsid w:val="00BC285C"/>
    <w:rsid w:val="00BC28CE"/>
    <w:rsid w:val="00BC633F"/>
    <w:rsid w:val="00BD48D7"/>
    <w:rsid w:val="00BD653B"/>
    <w:rsid w:val="00BE13E1"/>
    <w:rsid w:val="00BE1F4B"/>
    <w:rsid w:val="00BE36F0"/>
    <w:rsid w:val="00BE48B1"/>
    <w:rsid w:val="00BE7B31"/>
    <w:rsid w:val="00BF080A"/>
    <w:rsid w:val="00BF21A6"/>
    <w:rsid w:val="00BF2464"/>
    <w:rsid w:val="00BF2638"/>
    <w:rsid w:val="00BF53E3"/>
    <w:rsid w:val="00BF5EFB"/>
    <w:rsid w:val="00C01466"/>
    <w:rsid w:val="00C02CC3"/>
    <w:rsid w:val="00C03E5D"/>
    <w:rsid w:val="00C05CBC"/>
    <w:rsid w:val="00C11CC1"/>
    <w:rsid w:val="00C12BF7"/>
    <w:rsid w:val="00C14557"/>
    <w:rsid w:val="00C17F0F"/>
    <w:rsid w:val="00C224CF"/>
    <w:rsid w:val="00C2740C"/>
    <w:rsid w:val="00C35F48"/>
    <w:rsid w:val="00C3678B"/>
    <w:rsid w:val="00C37EF9"/>
    <w:rsid w:val="00C427DE"/>
    <w:rsid w:val="00C42CF7"/>
    <w:rsid w:val="00C46B29"/>
    <w:rsid w:val="00C50A7A"/>
    <w:rsid w:val="00C57415"/>
    <w:rsid w:val="00C60E25"/>
    <w:rsid w:val="00C62494"/>
    <w:rsid w:val="00C62EE1"/>
    <w:rsid w:val="00C6552B"/>
    <w:rsid w:val="00C72714"/>
    <w:rsid w:val="00C745B2"/>
    <w:rsid w:val="00C75714"/>
    <w:rsid w:val="00C80B5E"/>
    <w:rsid w:val="00C82C67"/>
    <w:rsid w:val="00C90DF6"/>
    <w:rsid w:val="00C949AA"/>
    <w:rsid w:val="00C956F2"/>
    <w:rsid w:val="00CA1559"/>
    <w:rsid w:val="00CA339C"/>
    <w:rsid w:val="00CA422E"/>
    <w:rsid w:val="00CA550F"/>
    <w:rsid w:val="00CA5917"/>
    <w:rsid w:val="00CB2F7E"/>
    <w:rsid w:val="00CB3060"/>
    <w:rsid w:val="00CB3F4B"/>
    <w:rsid w:val="00CC1128"/>
    <w:rsid w:val="00CC170E"/>
    <w:rsid w:val="00CC176B"/>
    <w:rsid w:val="00CC3FBA"/>
    <w:rsid w:val="00CD3021"/>
    <w:rsid w:val="00CD39E4"/>
    <w:rsid w:val="00CD6672"/>
    <w:rsid w:val="00CD6BAF"/>
    <w:rsid w:val="00CE12D8"/>
    <w:rsid w:val="00CE252C"/>
    <w:rsid w:val="00CE2711"/>
    <w:rsid w:val="00CE2C31"/>
    <w:rsid w:val="00CF0BE5"/>
    <w:rsid w:val="00CF17DE"/>
    <w:rsid w:val="00CF4E2A"/>
    <w:rsid w:val="00CF5CB6"/>
    <w:rsid w:val="00D040B5"/>
    <w:rsid w:val="00D0484A"/>
    <w:rsid w:val="00D06041"/>
    <w:rsid w:val="00D17E42"/>
    <w:rsid w:val="00D20F6C"/>
    <w:rsid w:val="00D22475"/>
    <w:rsid w:val="00D245C8"/>
    <w:rsid w:val="00D245CC"/>
    <w:rsid w:val="00D32D02"/>
    <w:rsid w:val="00D32D5A"/>
    <w:rsid w:val="00D33C7C"/>
    <w:rsid w:val="00D457E6"/>
    <w:rsid w:val="00D50635"/>
    <w:rsid w:val="00D511B4"/>
    <w:rsid w:val="00D522A3"/>
    <w:rsid w:val="00D52F2C"/>
    <w:rsid w:val="00D55EEE"/>
    <w:rsid w:val="00D56728"/>
    <w:rsid w:val="00D62BE3"/>
    <w:rsid w:val="00D70F7A"/>
    <w:rsid w:val="00D83159"/>
    <w:rsid w:val="00D84A33"/>
    <w:rsid w:val="00D91EF8"/>
    <w:rsid w:val="00D966C3"/>
    <w:rsid w:val="00DA78CE"/>
    <w:rsid w:val="00DB08CE"/>
    <w:rsid w:val="00DB18CB"/>
    <w:rsid w:val="00DB60A7"/>
    <w:rsid w:val="00DB6F2C"/>
    <w:rsid w:val="00DD131B"/>
    <w:rsid w:val="00DD7D03"/>
    <w:rsid w:val="00DE0049"/>
    <w:rsid w:val="00DF02C7"/>
    <w:rsid w:val="00DF0950"/>
    <w:rsid w:val="00DF58C4"/>
    <w:rsid w:val="00DF763F"/>
    <w:rsid w:val="00DF78DE"/>
    <w:rsid w:val="00E02127"/>
    <w:rsid w:val="00E11AD4"/>
    <w:rsid w:val="00E16F89"/>
    <w:rsid w:val="00E20163"/>
    <w:rsid w:val="00E208D5"/>
    <w:rsid w:val="00E213D8"/>
    <w:rsid w:val="00E24C5A"/>
    <w:rsid w:val="00E30F95"/>
    <w:rsid w:val="00E33C16"/>
    <w:rsid w:val="00E344DA"/>
    <w:rsid w:val="00E439E6"/>
    <w:rsid w:val="00E44308"/>
    <w:rsid w:val="00E464E3"/>
    <w:rsid w:val="00E47396"/>
    <w:rsid w:val="00E5191B"/>
    <w:rsid w:val="00E51CEF"/>
    <w:rsid w:val="00E55F2C"/>
    <w:rsid w:val="00E62B2B"/>
    <w:rsid w:val="00E635B2"/>
    <w:rsid w:val="00E66FFC"/>
    <w:rsid w:val="00E71B16"/>
    <w:rsid w:val="00E7498B"/>
    <w:rsid w:val="00E74A4A"/>
    <w:rsid w:val="00E80301"/>
    <w:rsid w:val="00E80B2A"/>
    <w:rsid w:val="00E80FE5"/>
    <w:rsid w:val="00E849A4"/>
    <w:rsid w:val="00E8746C"/>
    <w:rsid w:val="00E928CF"/>
    <w:rsid w:val="00EA08F7"/>
    <w:rsid w:val="00EA286A"/>
    <w:rsid w:val="00EB2D45"/>
    <w:rsid w:val="00EB41A0"/>
    <w:rsid w:val="00EB64A1"/>
    <w:rsid w:val="00EC4002"/>
    <w:rsid w:val="00EC6D35"/>
    <w:rsid w:val="00ED3D31"/>
    <w:rsid w:val="00ED5D38"/>
    <w:rsid w:val="00EE06E0"/>
    <w:rsid w:val="00EE5BEE"/>
    <w:rsid w:val="00EF2A00"/>
    <w:rsid w:val="00EF41E1"/>
    <w:rsid w:val="00EF463E"/>
    <w:rsid w:val="00F00667"/>
    <w:rsid w:val="00F04FCF"/>
    <w:rsid w:val="00F073D1"/>
    <w:rsid w:val="00F1017D"/>
    <w:rsid w:val="00F106EF"/>
    <w:rsid w:val="00F22248"/>
    <w:rsid w:val="00F257BC"/>
    <w:rsid w:val="00F2738F"/>
    <w:rsid w:val="00F31828"/>
    <w:rsid w:val="00F36A64"/>
    <w:rsid w:val="00F40C95"/>
    <w:rsid w:val="00F51F8B"/>
    <w:rsid w:val="00F553E5"/>
    <w:rsid w:val="00F5596D"/>
    <w:rsid w:val="00F57325"/>
    <w:rsid w:val="00F602F1"/>
    <w:rsid w:val="00F61848"/>
    <w:rsid w:val="00F663C1"/>
    <w:rsid w:val="00F675BB"/>
    <w:rsid w:val="00F7024D"/>
    <w:rsid w:val="00F71C5A"/>
    <w:rsid w:val="00F73CEF"/>
    <w:rsid w:val="00F76763"/>
    <w:rsid w:val="00F81110"/>
    <w:rsid w:val="00F812E9"/>
    <w:rsid w:val="00F81FE1"/>
    <w:rsid w:val="00F82CAB"/>
    <w:rsid w:val="00F9619F"/>
    <w:rsid w:val="00FA34A1"/>
    <w:rsid w:val="00FA4356"/>
    <w:rsid w:val="00FB0DFE"/>
    <w:rsid w:val="00FB51FE"/>
    <w:rsid w:val="00FB525F"/>
    <w:rsid w:val="00FB638E"/>
    <w:rsid w:val="00FB6746"/>
    <w:rsid w:val="00FC234E"/>
    <w:rsid w:val="00FD6869"/>
    <w:rsid w:val="00FD6A0D"/>
    <w:rsid w:val="00FD7D76"/>
    <w:rsid w:val="00FE183C"/>
    <w:rsid w:val="00FE2363"/>
    <w:rsid w:val="00FE355F"/>
    <w:rsid w:val="00FE38CF"/>
    <w:rsid w:val="00FE6CAC"/>
    <w:rsid w:val="00FF048B"/>
    <w:rsid w:val="00FF2D46"/>
    <w:rsid w:val="00FF4AFC"/>
    <w:rsid w:val="00FF5BE8"/>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372"/>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uiPriority w:val="9"/>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CommentReference">
    <w:name w:val="annotation reference"/>
    <w:rsid w:val="00170114"/>
    <w:rPr>
      <w:sz w:val="16"/>
      <w:szCs w:val="16"/>
    </w:rPr>
  </w:style>
  <w:style w:type="paragraph" w:styleId="CommentText">
    <w:name w:val="annotation text"/>
    <w:basedOn w:val="Normal"/>
    <w:link w:val="CommentTextChar"/>
    <w:rsid w:val="00170114"/>
    <w:rPr>
      <w:sz w:val="20"/>
    </w:rPr>
  </w:style>
  <w:style w:type="character" w:customStyle="1" w:styleId="CommentTextChar">
    <w:name w:val="Comment Text Char"/>
    <w:link w:val="CommentText"/>
    <w:rsid w:val="00170114"/>
    <w:rPr>
      <w:rFonts w:ascii="Palatino" w:hAnsi="Palatino"/>
    </w:rPr>
  </w:style>
  <w:style w:type="paragraph" w:styleId="CommentSubject">
    <w:name w:val="annotation subject"/>
    <w:basedOn w:val="CommentText"/>
    <w:next w:val="CommentText"/>
    <w:link w:val="CommentSubjectChar"/>
    <w:rsid w:val="00170114"/>
    <w:rPr>
      <w:b/>
      <w:bCs/>
    </w:rPr>
  </w:style>
  <w:style w:type="character" w:customStyle="1" w:styleId="CommentSubjectChar">
    <w:name w:val="Comment Subject Char"/>
    <w:link w:val="CommentSubject"/>
    <w:rsid w:val="00170114"/>
    <w:rPr>
      <w:rFonts w:ascii="Palatino" w:hAnsi="Palatino"/>
      <w:b/>
      <w:bCs/>
    </w:rPr>
  </w:style>
  <w:style w:type="paragraph" w:styleId="BalloonText">
    <w:name w:val="Balloon Text"/>
    <w:basedOn w:val="Normal"/>
    <w:link w:val="BalloonTextChar"/>
    <w:rsid w:val="00170114"/>
    <w:rPr>
      <w:rFonts w:ascii="Tahoma" w:hAnsi="Tahoma" w:cs="Tahoma"/>
      <w:sz w:val="16"/>
      <w:szCs w:val="16"/>
    </w:rPr>
  </w:style>
  <w:style w:type="character" w:customStyle="1" w:styleId="BalloonTextChar">
    <w:name w:val="Balloon Text Char"/>
    <w:link w:val="BalloonText"/>
    <w:rsid w:val="00170114"/>
    <w:rPr>
      <w:rFonts w:ascii="Tahoma" w:hAnsi="Tahoma" w:cs="Tahoma"/>
      <w:sz w:val="16"/>
      <w:szCs w:val="16"/>
    </w:rPr>
  </w:style>
  <w:style w:type="character" w:styleId="Hyperlink">
    <w:name w:val="Hyperlink"/>
    <w:rsid w:val="00CC170E"/>
    <w:rPr>
      <w:color w:val="0000FF"/>
      <w:u w:val="single"/>
    </w:rPr>
  </w:style>
  <w:style w:type="paragraph" w:customStyle="1" w:styleId="Default">
    <w:name w:val="Default"/>
    <w:rsid w:val="00D84A33"/>
    <w:pPr>
      <w:autoSpaceDE w:val="0"/>
      <w:autoSpaceDN w:val="0"/>
      <w:adjustRightInd w:val="0"/>
    </w:pPr>
    <w:rPr>
      <w:rFonts w:ascii="Arial" w:hAnsi="Arial" w:cs="Arial"/>
      <w:color w:val="000000"/>
      <w:sz w:val="24"/>
      <w:szCs w:val="24"/>
    </w:rPr>
  </w:style>
  <w:style w:type="paragraph" w:customStyle="1" w:styleId="MediumList1-Accent41">
    <w:name w:val="Medium List 1 - Accent 41"/>
    <w:hidden/>
    <w:uiPriority w:val="99"/>
    <w:semiHidden/>
    <w:rsid w:val="006A1E60"/>
    <w:rPr>
      <w:rFonts w:ascii="Palatino" w:hAnsi="Palatino"/>
      <w:sz w:val="26"/>
    </w:rPr>
  </w:style>
  <w:style w:type="paragraph" w:customStyle="1" w:styleId="ColorfulList-Accent21">
    <w:name w:val="Colorful List - Accent 21"/>
    <w:uiPriority w:val="1"/>
    <w:qFormat/>
    <w:rsid w:val="00233877"/>
    <w:rPr>
      <w:rFonts w:ascii="Calibri" w:eastAsia="Calibri" w:hAnsi="Calibri"/>
      <w:sz w:val="22"/>
      <w:szCs w:val="22"/>
    </w:rPr>
  </w:style>
  <w:style w:type="character" w:customStyle="1" w:styleId="FootnoteTextChar">
    <w:name w:val="Footnote Text Char"/>
    <w:link w:val="FootnoteText"/>
    <w:uiPriority w:val="99"/>
    <w:rsid w:val="005072EB"/>
    <w:rPr>
      <w:rFonts w:ascii="Palatino" w:hAnsi="Palatino"/>
      <w:sz w:val="24"/>
    </w:rPr>
  </w:style>
  <w:style w:type="table" w:styleId="TableGrid">
    <w:name w:val="Table Grid"/>
    <w:basedOn w:val="TableNormal"/>
    <w:rsid w:val="001C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6051">
      <w:bodyDiv w:val="1"/>
      <w:marLeft w:val="0"/>
      <w:marRight w:val="0"/>
      <w:marTop w:val="0"/>
      <w:marBottom w:val="0"/>
      <w:divBdr>
        <w:top w:val="none" w:sz="0" w:space="0" w:color="auto"/>
        <w:left w:val="none" w:sz="0" w:space="0" w:color="auto"/>
        <w:bottom w:val="none" w:sz="0" w:space="0" w:color="auto"/>
        <w:right w:val="none" w:sz="0" w:space="0" w:color="auto"/>
      </w:divBdr>
    </w:div>
    <w:div w:id="536429943">
      <w:bodyDiv w:val="1"/>
      <w:marLeft w:val="0"/>
      <w:marRight w:val="0"/>
      <w:marTop w:val="0"/>
      <w:marBottom w:val="0"/>
      <w:divBdr>
        <w:top w:val="none" w:sz="0" w:space="0" w:color="auto"/>
        <w:left w:val="none" w:sz="0" w:space="0" w:color="auto"/>
        <w:bottom w:val="none" w:sz="0" w:space="0" w:color="auto"/>
        <w:right w:val="none" w:sz="0" w:space="0" w:color="auto"/>
      </w:divBdr>
    </w:div>
    <w:div w:id="685325407">
      <w:bodyDiv w:val="1"/>
      <w:marLeft w:val="0"/>
      <w:marRight w:val="0"/>
      <w:marTop w:val="0"/>
      <w:marBottom w:val="0"/>
      <w:divBdr>
        <w:top w:val="none" w:sz="0" w:space="0" w:color="auto"/>
        <w:left w:val="none" w:sz="0" w:space="0" w:color="auto"/>
        <w:bottom w:val="none" w:sz="0" w:space="0" w:color="auto"/>
        <w:right w:val="none" w:sz="0" w:space="0" w:color="auto"/>
      </w:divBdr>
    </w:div>
    <w:div w:id="1220091790">
      <w:bodyDiv w:val="1"/>
      <w:marLeft w:val="0"/>
      <w:marRight w:val="0"/>
      <w:marTop w:val="0"/>
      <w:marBottom w:val="0"/>
      <w:divBdr>
        <w:top w:val="none" w:sz="0" w:space="0" w:color="auto"/>
        <w:left w:val="none" w:sz="0" w:space="0" w:color="auto"/>
        <w:bottom w:val="none" w:sz="0" w:space="0" w:color="auto"/>
        <w:right w:val="none" w:sz="0" w:space="0" w:color="auto"/>
      </w:divBdr>
    </w:div>
    <w:div w:id="1698658693">
      <w:bodyDiv w:val="1"/>
      <w:marLeft w:val="0"/>
      <w:marRight w:val="0"/>
      <w:marTop w:val="0"/>
      <w:marBottom w:val="0"/>
      <w:divBdr>
        <w:top w:val="none" w:sz="0" w:space="0" w:color="auto"/>
        <w:left w:val="none" w:sz="0" w:space="0" w:color="auto"/>
        <w:bottom w:val="none" w:sz="0" w:space="0" w:color="auto"/>
        <w:right w:val="none" w:sz="0" w:space="0" w:color="auto"/>
      </w:divBdr>
    </w:div>
    <w:div w:id="17032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D55A-E3A1-426F-A017-E703785E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3</TotalTime>
  <Pages>7</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dc:subject>
  <dc:creator>Jennie Lee</dc:creator>
  <cp:keywords/>
  <cp:lastModifiedBy>Perrin, Sarah</cp:lastModifiedBy>
  <cp:revision>5</cp:revision>
  <cp:lastPrinted>2016-08-26T18:33:00Z</cp:lastPrinted>
  <dcterms:created xsi:type="dcterms:W3CDTF">2016-09-01T16:35:00Z</dcterms:created>
  <dcterms:modified xsi:type="dcterms:W3CDTF">2016-09-01T17:24:00Z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