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67" w:rsidRDefault="008B7F67" w:rsidP="006B6AD9">
      <w:pPr>
        <w:pStyle w:val="Header"/>
        <w:ind w:left="-180"/>
      </w:pPr>
      <w:r>
        <w:t>ALJ/JSW/RL8/ge1</w:t>
      </w:r>
      <w:r>
        <w:tab/>
      </w:r>
      <w:r w:rsidRPr="008B7F67">
        <w:rPr>
          <w:b/>
        </w:rPr>
        <w:t>PROPOSED DECISION</w:t>
      </w:r>
      <w:r>
        <w:tab/>
        <w:t xml:space="preserve">Agenda ID # </w:t>
      </w:r>
      <w:r w:rsidR="007B72E3">
        <w:t>15216</w:t>
      </w:r>
      <w:r>
        <w:tab/>
      </w:r>
    </w:p>
    <w:p w:rsidR="008B7F67" w:rsidRDefault="008B7F67" w:rsidP="007B72E3">
      <w:pPr>
        <w:tabs>
          <w:tab w:val="left" w:pos="7380"/>
        </w:tabs>
        <w:suppressAutoHyphens/>
        <w:jc w:val="center"/>
        <w:rPr>
          <w:color w:val="000000"/>
          <w:sz w:val="22"/>
          <w:szCs w:val="22"/>
        </w:rPr>
      </w:pPr>
      <w:r>
        <w:rPr>
          <w:color w:val="000000"/>
          <w:sz w:val="22"/>
          <w:szCs w:val="22"/>
        </w:rPr>
        <w:tab/>
      </w:r>
      <w:bookmarkStart w:id="0" w:name="_GoBack"/>
      <w:bookmarkEnd w:id="0"/>
      <w:proofErr w:type="spellStart"/>
      <w:r>
        <w:rPr>
          <w:color w:val="000000"/>
          <w:sz w:val="22"/>
          <w:szCs w:val="22"/>
        </w:rPr>
        <w:t>Ratesetting</w:t>
      </w:r>
      <w:proofErr w:type="spellEnd"/>
    </w:p>
    <w:p w:rsidR="00F65EC2" w:rsidRDefault="00F65EC2" w:rsidP="00F65EC2">
      <w:pPr>
        <w:tabs>
          <w:tab w:val="left" w:pos="7560"/>
        </w:tabs>
        <w:suppressAutoHyphens/>
        <w:rPr>
          <w:color w:val="000000"/>
          <w:sz w:val="22"/>
          <w:szCs w:val="22"/>
        </w:rPr>
      </w:pPr>
    </w:p>
    <w:p w:rsidR="008B7F67" w:rsidRDefault="008B7F67">
      <w:pPr>
        <w:suppressAutoHyphens/>
        <w:rPr>
          <w:color w:val="000000"/>
          <w:sz w:val="22"/>
          <w:szCs w:val="22"/>
        </w:rPr>
      </w:pPr>
    </w:p>
    <w:p w:rsidR="00A92D0B" w:rsidRPr="00261D8E" w:rsidRDefault="00A92D0B">
      <w:pPr>
        <w:suppressAutoHyphens/>
        <w:rPr>
          <w:color w:val="000000"/>
          <w:sz w:val="22"/>
          <w:szCs w:val="22"/>
        </w:rPr>
      </w:pPr>
      <w:r w:rsidRPr="00261D8E">
        <w:rPr>
          <w:color w:val="000000"/>
          <w:sz w:val="22"/>
          <w:szCs w:val="22"/>
        </w:rPr>
        <w:t xml:space="preserve">Decision </w:t>
      </w:r>
      <w:r w:rsidRPr="00261D8E">
        <w:rPr>
          <w:color w:val="000000"/>
          <w:sz w:val="22"/>
          <w:szCs w:val="22"/>
          <w:u w:val="single"/>
        </w:rPr>
        <w:tab/>
      </w:r>
      <w:r w:rsidRPr="00261D8E">
        <w:rPr>
          <w:color w:val="000000"/>
          <w:sz w:val="22"/>
          <w:szCs w:val="22"/>
          <w:u w:val="single"/>
        </w:rPr>
        <w:tab/>
      </w:r>
      <w:r w:rsidRPr="00261D8E">
        <w:rPr>
          <w:color w:val="000000"/>
          <w:sz w:val="22"/>
          <w:szCs w:val="22"/>
          <w:u w:val="single"/>
        </w:rPr>
        <w:tab/>
      </w:r>
    </w:p>
    <w:p w:rsidR="00A92D0B" w:rsidRPr="00261D8E" w:rsidRDefault="00A92D0B">
      <w:pPr>
        <w:pStyle w:val="titlebar"/>
        <w:rPr>
          <w:rFonts w:ascii="Times New Roman" w:hAnsi="Times New Roman"/>
          <w:color w:val="000000"/>
          <w:sz w:val="22"/>
          <w:szCs w:val="22"/>
        </w:rPr>
      </w:pPr>
    </w:p>
    <w:p w:rsidR="00A92D0B" w:rsidRPr="00261D8E" w:rsidRDefault="00A92D0B">
      <w:pPr>
        <w:pStyle w:val="titlebar"/>
        <w:rPr>
          <w:rFonts w:ascii="Times New Roman" w:hAnsi="Times New Roman"/>
          <w:color w:val="000000"/>
          <w:sz w:val="22"/>
          <w:szCs w:val="22"/>
        </w:rPr>
      </w:pPr>
      <w:r w:rsidRPr="00261D8E">
        <w:rPr>
          <w:rFonts w:ascii="Times New Roman" w:hAnsi="Times New Roman"/>
          <w:color w:val="000000"/>
          <w:sz w:val="22"/>
          <w:szCs w:val="22"/>
        </w:rPr>
        <w:t>BEFORE THE PUBLIC UTILITIES COMMISSION OF THE STATE OF CALIFORNIA</w:t>
      </w:r>
    </w:p>
    <w:p w:rsidR="00A92D0B" w:rsidRPr="00261D8E" w:rsidRDefault="00A92D0B">
      <w:pPr>
        <w:suppressAutoHyphens/>
        <w:rPr>
          <w:color w:val="000000"/>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958"/>
        <w:gridCol w:w="3870"/>
      </w:tblGrid>
      <w:tr w:rsidR="00A92D0B" w:rsidRPr="00261D8E" w:rsidTr="008B7F67">
        <w:tc>
          <w:tcPr>
            <w:tcW w:w="5958" w:type="dxa"/>
            <w:shd w:val="clear" w:color="auto" w:fill="FFFFFF"/>
          </w:tcPr>
          <w:p w:rsidR="00A92D0B" w:rsidRPr="00261D8E" w:rsidRDefault="008B7F67" w:rsidP="008B7F67">
            <w:pPr>
              <w:spacing w:before="120" w:after="120"/>
              <w:rPr>
                <w:color w:val="000000"/>
                <w:sz w:val="22"/>
                <w:szCs w:val="22"/>
              </w:rPr>
            </w:pPr>
            <w:r w:rsidRPr="008B7F67">
              <w:rPr>
                <w:sz w:val="22"/>
                <w:szCs w:val="22"/>
              </w:rPr>
              <w:t>Application of San Diego Gas &amp; Electric Company (U902M) for Authority, Among Other Things, to Increase Rates and Charges for Electric and Gas Service Effective on January 1, 2016</w:t>
            </w:r>
            <w:proofErr w:type="gramStart"/>
            <w:r w:rsidRPr="008B7F67">
              <w:rPr>
                <w:sz w:val="22"/>
                <w:szCs w:val="22"/>
              </w:rPr>
              <w:t>.</w:t>
            </w:r>
            <w:r w:rsidR="00F020D3" w:rsidRPr="00261D8E">
              <w:rPr>
                <w:sz w:val="22"/>
                <w:szCs w:val="22"/>
              </w:rPr>
              <w:t>.</w:t>
            </w:r>
            <w:proofErr w:type="gramEnd"/>
          </w:p>
        </w:tc>
        <w:tc>
          <w:tcPr>
            <w:tcW w:w="3870" w:type="dxa"/>
            <w:shd w:val="clear" w:color="auto" w:fill="FFFFFF"/>
            <w:vAlign w:val="center"/>
          </w:tcPr>
          <w:p w:rsidR="00F020D3" w:rsidRPr="00261D8E" w:rsidRDefault="006A083C" w:rsidP="008B7F67">
            <w:pPr>
              <w:jc w:val="center"/>
              <w:rPr>
                <w:sz w:val="22"/>
                <w:szCs w:val="22"/>
              </w:rPr>
            </w:pPr>
            <w:r>
              <w:rPr>
                <w:sz w:val="22"/>
                <w:szCs w:val="22"/>
              </w:rPr>
              <w:t xml:space="preserve">Application </w:t>
            </w:r>
            <w:r w:rsidR="00F020D3" w:rsidRPr="00261D8E">
              <w:rPr>
                <w:sz w:val="22"/>
                <w:szCs w:val="22"/>
              </w:rPr>
              <w:t>14-11-003</w:t>
            </w:r>
          </w:p>
          <w:p w:rsidR="00A92D0B" w:rsidRPr="00261D8E" w:rsidRDefault="00F020D3" w:rsidP="008B7F67">
            <w:pPr>
              <w:jc w:val="center"/>
              <w:rPr>
                <w:color w:val="000000"/>
                <w:sz w:val="22"/>
                <w:szCs w:val="22"/>
              </w:rPr>
            </w:pPr>
            <w:r w:rsidRPr="00261D8E">
              <w:rPr>
                <w:sz w:val="22"/>
                <w:szCs w:val="22"/>
              </w:rPr>
              <w:t>(Filed November 14, 2014)</w:t>
            </w:r>
          </w:p>
        </w:tc>
      </w:tr>
      <w:tr w:rsidR="00F020D3" w:rsidRPr="00261D8E" w:rsidTr="008B7F67">
        <w:tc>
          <w:tcPr>
            <w:tcW w:w="5958" w:type="dxa"/>
            <w:shd w:val="clear" w:color="auto" w:fill="FFFFFF"/>
          </w:tcPr>
          <w:p w:rsidR="00F020D3" w:rsidRPr="00261D8E" w:rsidRDefault="008B7F67" w:rsidP="008B7F67">
            <w:pPr>
              <w:widowControl w:val="0"/>
              <w:tabs>
                <w:tab w:val="left" w:pos="1650"/>
              </w:tabs>
              <w:autoSpaceDE w:val="0"/>
              <w:autoSpaceDN w:val="0"/>
              <w:adjustRightInd w:val="0"/>
              <w:spacing w:before="240" w:after="240"/>
              <w:rPr>
                <w:sz w:val="22"/>
                <w:szCs w:val="22"/>
              </w:rPr>
            </w:pPr>
            <w:r>
              <w:rPr>
                <w:sz w:val="22"/>
                <w:szCs w:val="22"/>
              </w:rPr>
              <w:t>And Related Matter.</w:t>
            </w:r>
          </w:p>
        </w:tc>
        <w:tc>
          <w:tcPr>
            <w:tcW w:w="3870" w:type="dxa"/>
            <w:shd w:val="clear" w:color="auto" w:fill="FFFFFF"/>
            <w:vAlign w:val="center"/>
          </w:tcPr>
          <w:p w:rsidR="00F020D3" w:rsidRPr="00261D8E" w:rsidRDefault="006A083C" w:rsidP="008B7F67">
            <w:pPr>
              <w:jc w:val="center"/>
              <w:rPr>
                <w:sz w:val="22"/>
                <w:szCs w:val="22"/>
              </w:rPr>
            </w:pPr>
            <w:r>
              <w:rPr>
                <w:color w:val="141413"/>
                <w:sz w:val="22"/>
                <w:szCs w:val="22"/>
              </w:rPr>
              <w:t xml:space="preserve">Application </w:t>
            </w:r>
            <w:r w:rsidR="00F020D3" w:rsidRPr="00261D8E">
              <w:rPr>
                <w:color w:val="141413"/>
                <w:sz w:val="22"/>
                <w:szCs w:val="22"/>
              </w:rPr>
              <w:t>14-11-004</w:t>
            </w:r>
          </w:p>
        </w:tc>
      </w:tr>
    </w:tbl>
    <w:p w:rsidR="00C742D7" w:rsidRPr="00261D8E" w:rsidRDefault="00C742D7">
      <w:pPr>
        <w:jc w:val="center"/>
        <w:rPr>
          <w:b/>
          <w:color w:val="000000"/>
          <w:sz w:val="22"/>
          <w:szCs w:val="22"/>
        </w:rPr>
      </w:pPr>
    </w:p>
    <w:p w:rsidR="00AD027E" w:rsidRPr="00261D8E" w:rsidRDefault="00AD027E">
      <w:pPr>
        <w:jc w:val="center"/>
        <w:rPr>
          <w:b/>
          <w:color w:val="000000"/>
          <w:sz w:val="22"/>
          <w:szCs w:val="22"/>
        </w:rPr>
      </w:pPr>
      <w:r w:rsidRPr="00261D8E">
        <w:rPr>
          <w:b/>
          <w:color w:val="000000"/>
          <w:sz w:val="22"/>
          <w:szCs w:val="22"/>
        </w:rPr>
        <w:t xml:space="preserve">DECISION AWARDING INTERVENOR COMPENSATION TO UTILITIES CONSUMERS’ ACTION NETWORK FOR SUBSTANTIAL CONTRIBUTION </w:t>
      </w:r>
      <w:r w:rsidR="00550773">
        <w:rPr>
          <w:b/>
          <w:color w:val="000000"/>
          <w:sz w:val="22"/>
          <w:szCs w:val="22"/>
        </w:rPr>
        <w:br/>
      </w:r>
      <w:r w:rsidRPr="00261D8E">
        <w:rPr>
          <w:b/>
          <w:color w:val="000000"/>
          <w:sz w:val="22"/>
          <w:szCs w:val="22"/>
        </w:rPr>
        <w:t>TO DECISION 16-06-054</w:t>
      </w:r>
    </w:p>
    <w:p w:rsidR="00A92D0B" w:rsidRPr="00261D8E" w:rsidRDefault="00A92D0B">
      <w:pPr>
        <w:suppressAutoHyphens/>
        <w:rPr>
          <w:color w:val="000000"/>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116"/>
        <w:gridCol w:w="5712"/>
      </w:tblGrid>
      <w:tr w:rsidR="00A92D0B" w:rsidRPr="00261D8E" w:rsidTr="00BE188B">
        <w:tc>
          <w:tcPr>
            <w:tcW w:w="4116" w:type="dxa"/>
            <w:shd w:val="clear" w:color="auto" w:fill="FFFFFF"/>
          </w:tcPr>
          <w:p w:rsidR="00A92D0B" w:rsidRPr="00261D8E" w:rsidRDefault="005A63D4" w:rsidP="008B7F67">
            <w:pPr>
              <w:tabs>
                <w:tab w:val="right" w:pos="4500"/>
              </w:tabs>
              <w:spacing w:before="120"/>
              <w:ind w:left="1170" w:hanging="1170"/>
              <w:rPr>
                <w:b/>
                <w:color w:val="000000"/>
                <w:sz w:val="22"/>
                <w:szCs w:val="22"/>
              </w:rPr>
            </w:pPr>
            <w:r w:rsidRPr="00261D8E">
              <w:rPr>
                <w:b/>
                <w:color w:val="000000"/>
                <w:sz w:val="22"/>
                <w:szCs w:val="22"/>
              </w:rPr>
              <w:t>Intervenor</w:t>
            </w:r>
            <w:r w:rsidR="00F020D3" w:rsidRPr="00261D8E">
              <w:rPr>
                <w:b/>
                <w:color w:val="000000"/>
                <w:sz w:val="22"/>
                <w:szCs w:val="22"/>
              </w:rPr>
              <w:t xml:space="preserve">: </w:t>
            </w:r>
            <w:r w:rsidR="008B7F67">
              <w:rPr>
                <w:b/>
                <w:color w:val="000000"/>
                <w:sz w:val="22"/>
                <w:szCs w:val="22"/>
              </w:rPr>
              <w:t xml:space="preserve"> </w:t>
            </w:r>
            <w:r w:rsidR="00F020D3" w:rsidRPr="00261D8E">
              <w:rPr>
                <w:b/>
                <w:color w:val="000000"/>
                <w:sz w:val="22"/>
                <w:szCs w:val="22"/>
              </w:rPr>
              <w:t>Utility Consumers’ Action Network</w:t>
            </w:r>
          </w:p>
        </w:tc>
        <w:tc>
          <w:tcPr>
            <w:tcW w:w="5712" w:type="dxa"/>
            <w:shd w:val="clear" w:color="auto" w:fill="FFFFFF"/>
          </w:tcPr>
          <w:p w:rsidR="00A92D0B" w:rsidRPr="00261D8E" w:rsidRDefault="00A92D0B" w:rsidP="00DE3A5D">
            <w:pPr>
              <w:tabs>
                <w:tab w:val="left" w:pos="1872"/>
                <w:tab w:val="right" w:pos="3672"/>
              </w:tabs>
              <w:spacing w:before="120"/>
              <w:rPr>
                <w:b/>
                <w:color w:val="000000"/>
                <w:sz w:val="22"/>
                <w:szCs w:val="22"/>
              </w:rPr>
            </w:pPr>
            <w:r w:rsidRPr="00261D8E">
              <w:rPr>
                <w:b/>
                <w:color w:val="000000"/>
                <w:sz w:val="22"/>
                <w:szCs w:val="22"/>
              </w:rPr>
              <w:t>For contribution to D</w:t>
            </w:r>
            <w:r w:rsidR="00DE3A5D" w:rsidRPr="00261D8E">
              <w:rPr>
                <w:b/>
                <w:color w:val="000000"/>
                <w:sz w:val="22"/>
                <w:szCs w:val="22"/>
              </w:rPr>
              <w:t xml:space="preserve">ecision (D.) </w:t>
            </w:r>
            <w:r w:rsidR="00F020D3" w:rsidRPr="00261D8E">
              <w:rPr>
                <w:b/>
                <w:color w:val="000000"/>
                <w:sz w:val="22"/>
                <w:szCs w:val="22"/>
              </w:rPr>
              <w:t>16-06-054</w:t>
            </w:r>
          </w:p>
        </w:tc>
      </w:tr>
      <w:tr w:rsidR="00A92D0B" w:rsidRPr="00261D8E" w:rsidTr="00BE188B">
        <w:tc>
          <w:tcPr>
            <w:tcW w:w="4116" w:type="dxa"/>
            <w:shd w:val="clear" w:color="auto" w:fill="FFFFFF"/>
          </w:tcPr>
          <w:p w:rsidR="00A92D0B" w:rsidRPr="00261D8E" w:rsidRDefault="00A92D0B" w:rsidP="008B7F67">
            <w:pPr>
              <w:tabs>
                <w:tab w:val="left" w:pos="1620"/>
                <w:tab w:val="right" w:pos="4500"/>
              </w:tabs>
              <w:spacing w:before="120" w:after="120"/>
              <w:rPr>
                <w:b/>
                <w:color w:val="000000"/>
                <w:sz w:val="22"/>
                <w:szCs w:val="22"/>
                <w:u w:val="single"/>
              </w:rPr>
            </w:pPr>
            <w:r w:rsidRPr="00261D8E">
              <w:rPr>
                <w:b/>
                <w:color w:val="000000"/>
                <w:sz w:val="22"/>
                <w:szCs w:val="22"/>
              </w:rPr>
              <w:t>Claimed:</w:t>
            </w:r>
            <w:r w:rsidR="00FC72B7" w:rsidRPr="00261D8E">
              <w:rPr>
                <w:b/>
                <w:color w:val="000000"/>
                <w:sz w:val="22"/>
                <w:szCs w:val="22"/>
              </w:rPr>
              <w:t xml:space="preserve"> </w:t>
            </w:r>
            <w:r w:rsidR="008B7F67">
              <w:rPr>
                <w:b/>
                <w:color w:val="000000"/>
                <w:sz w:val="22"/>
                <w:szCs w:val="22"/>
              </w:rPr>
              <w:t xml:space="preserve"> </w:t>
            </w:r>
            <w:r w:rsidR="00FC72B7" w:rsidRPr="00261D8E">
              <w:rPr>
                <w:b/>
                <w:color w:val="000000"/>
                <w:sz w:val="22"/>
                <w:szCs w:val="22"/>
              </w:rPr>
              <w:t>$</w:t>
            </w:r>
            <w:r w:rsidR="00E430A3" w:rsidRPr="00261D8E">
              <w:rPr>
                <w:b/>
                <w:color w:val="000000"/>
                <w:sz w:val="22"/>
                <w:szCs w:val="22"/>
              </w:rPr>
              <w:t xml:space="preserve"> 264,011.57</w:t>
            </w:r>
          </w:p>
        </w:tc>
        <w:tc>
          <w:tcPr>
            <w:tcW w:w="5712" w:type="dxa"/>
            <w:shd w:val="clear" w:color="auto" w:fill="FFFFFF"/>
          </w:tcPr>
          <w:p w:rsidR="00A92D0B" w:rsidRPr="00261D8E" w:rsidRDefault="00A92D0B" w:rsidP="00FC72B7">
            <w:pPr>
              <w:tabs>
                <w:tab w:val="left" w:pos="1872"/>
                <w:tab w:val="right" w:pos="3672"/>
              </w:tabs>
              <w:spacing w:before="120"/>
              <w:rPr>
                <w:b/>
                <w:color w:val="000000"/>
                <w:sz w:val="22"/>
                <w:szCs w:val="22"/>
                <w:u w:val="single"/>
              </w:rPr>
            </w:pPr>
            <w:r w:rsidRPr="00261D8E">
              <w:rPr>
                <w:b/>
                <w:color w:val="000000"/>
                <w:sz w:val="22"/>
                <w:szCs w:val="22"/>
              </w:rPr>
              <w:t>Awarded:</w:t>
            </w:r>
            <w:r w:rsidR="00D1402A">
              <w:rPr>
                <w:b/>
                <w:color w:val="000000"/>
                <w:sz w:val="22"/>
                <w:szCs w:val="22"/>
              </w:rPr>
              <w:t xml:space="preserve">  </w:t>
            </w:r>
            <w:r w:rsidR="00D1402A" w:rsidRPr="00D1402A">
              <w:rPr>
                <w:b/>
                <w:color w:val="000000"/>
                <w:sz w:val="22"/>
                <w:szCs w:val="22"/>
              </w:rPr>
              <w:t>$267,534.08</w:t>
            </w:r>
            <w:r w:rsidRPr="00261D8E">
              <w:rPr>
                <w:b/>
                <w:color w:val="000000"/>
                <w:sz w:val="22"/>
                <w:szCs w:val="22"/>
              </w:rPr>
              <w:tab/>
            </w:r>
          </w:p>
        </w:tc>
      </w:tr>
      <w:tr w:rsidR="00A92D0B" w:rsidRPr="00261D8E" w:rsidTr="00BE188B">
        <w:tc>
          <w:tcPr>
            <w:tcW w:w="4116" w:type="dxa"/>
            <w:shd w:val="clear" w:color="auto" w:fill="FFFFFF"/>
          </w:tcPr>
          <w:p w:rsidR="00A92D0B" w:rsidRPr="00261D8E" w:rsidRDefault="00A92D0B" w:rsidP="008B7F67">
            <w:pPr>
              <w:tabs>
                <w:tab w:val="left" w:pos="3060"/>
                <w:tab w:val="right" w:pos="4500"/>
              </w:tabs>
              <w:spacing w:before="120" w:after="120"/>
              <w:rPr>
                <w:b/>
                <w:color w:val="000000"/>
                <w:sz w:val="22"/>
                <w:szCs w:val="22"/>
                <w:u w:val="single"/>
              </w:rPr>
            </w:pPr>
            <w:r w:rsidRPr="00261D8E">
              <w:rPr>
                <w:b/>
                <w:color w:val="000000"/>
                <w:sz w:val="22"/>
                <w:szCs w:val="22"/>
              </w:rPr>
              <w:t xml:space="preserve">Assigned Commissioner:  </w:t>
            </w:r>
            <w:r w:rsidR="00F020D3" w:rsidRPr="00261D8E">
              <w:rPr>
                <w:b/>
                <w:color w:val="000000"/>
                <w:sz w:val="22"/>
                <w:szCs w:val="22"/>
              </w:rPr>
              <w:t>Michael Picker</w:t>
            </w:r>
          </w:p>
        </w:tc>
        <w:tc>
          <w:tcPr>
            <w:tcW w:w="5712" w:type="dxa"/>
            <w:shd w:val="clear" w:color="auto" w:fill="FFFFFF"/>
          </w:tcPr>
          <w:p w:rsidR="00A92D0B" w:rsidRPr="00261D8E" w:rsidRDefault="008B7F67" w:rsidP="008B7F67">
            <w:pPr>
              <w:tabs>
                <w:tab w:val="left" w:pos="1872"/>
                <w:tab w:val="right" w:pos="3672"/>
              </w:tabs>
              <w:spacing w:before="120" w:after="120"/>
              <w:rPr>
                <w:b/>
                <w:color w:val="000000"/>
                <w:sz w:val="22"/>
                <w:szCs w:val="22"/>
                <w:u w:val="single"/>
              </w:rPr>
            </w:pPr>
            <w:r>
              <w:rPr>
                <w:b/>
                <w:color w:val="000000"/>
                <w:sz w:val="22"/>
                <w:szCs w:val="22"/>
              </w:rPr>
              <w:t xml:space="preserve">Assigned ALJ:  </w:t>
            </w:r>
            <w:r w:rsidR="00F020D3" w:rsidRPr="00261D8E">
              <w:rPr>
                <w:b/>
                <w:color w:val="000000"/>
                <w:sz w:val="22"/>
                <w:szCs w:val="22"/>
              </w:rPr>
              <w:t xml:space="preserve">John </w:t>
            </w:r>
            <w:r w:rsidR="00E52D92">
              <w:rPr>
                <w:b/>
                <w:color w:val="000000"/>
                <w:sz w:val="22"/>
                <w:szCs w:val="22"/>
              </w:rPr>
              <w:t xml:space="preserve">S. </w:t>
            </w:r>
            <w:r w:rsidR="00F020D3" w:rsidRPr="00261D8E">
              <w:rPr>
                <w:b/>
                <w:color w:val="000000"/>
                <w:sz w:val="22"/>
                <w:szCs w:val="22"/>
              </w:rPr>
              <w:t xml:space="preserve">Wong and Rafael </w:t>
            </w:r>
            <w:r w:rsidR="00E52D92">
              <w:rPr>
                <w:b/>
                <w:color w:val="000000"/>
                <w:sz w:val="22"/>
                <w:szCs w:val="22"/>
              </w:rPr>
              <w:t xml:space="preserve">L. </w:t>
            </w:r>
            <w:r w:rsidR="00F020D3" w:rsidRPr="00261D8E">
              <w:rPr>
                <w:b/>
                <w:color w:val="000000"/>
                <w:sz w:val="22"/>
                <w:szCs w:val="22"/>
              </w:rPr>
              <w:t>Lirag</w:t>
            </w:r>
          </w:p>
        </w:tc>
      </w:tr>
    </w:tbl>
    <w:p w:rsidR="00A92D0B" w:rsidRPr="00261D8E" w:rsidRDefault="00A92D0B" w:rsidP="00E501D7">
      <w:pPr>
        <w:spacing w:before="120" w:after="120"/>
        <w:rPr>
          <w:color w:val="000000"/>
          <w:sz w:val="22"/>
          <w:szCs w:val="22"/>
        </w:rPr>
      </w:pPr>
      <w:r w:rsidRPr="00261D8E">
        <w:rPr>
          <w:b/>
          <w:color w:val="000000"/>
          <w:sz w:val="22"/>
          <w:szCs w:val="22"/>
        </w:rPr>
        <w:t xml:space="preserve">PART I:  PROCEDURAL ISSUES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08"/>
        <w:gridCol w:w="6120"/>
      </w:tblGrid>
      <w:tr w:rsidR="00A92D0B" w:rsidRPr="00261D8E" w:rsidTr="00DE0DDE">
        <w:tc>
          <w:tcPr>
            <w:tcW w:w="3708" w:type="dxa"/>
            <w:shd w:val="clear" w:color="auto" w:fill="FFFFFF"/>
            <w:vAlign w:val="center"/>
          </w:tcPr>
          <w:p w:rsidR="00A92D0B" w:rsidRPr="00261D8E" w:rsidRDefault="00A92D0B" w:rsidP="00DE0DDE">
            <w:pPr>
              <w:rPr>
                <w:b/>
                <w:color w:val="000000"/>
                <w:sz w:val="22"/>
                <w:szCs w:val="22"/>
              </w:rPr>
            </w:pPr>
            <w:r w:rsidRPr="00261D8E">
              <w:rPr>
                <w:b/>
                <w:color w:val="000000"/>
                <w:sz w:val="22"/>
                <w:szCs w:val="22"/>
              </w:rPr>
              <w:t xml:space="preserve">A.  Brief </w:t>
            </w:r>
            <w:r w:rsidR="00A319DE" w:rsidRPr="00261D8E">
              <w:rPr>
                <w:b/>
                <w:color w:val="000000"/>
                <w:sz w:val="22"/>
                <w:szCs w:val="22"/>
              </w:rPr>
              <w:t>d</w:t>
            </w:r>
            <w:r w:rsidRPr="00261D8E">
              <w:rPr>
                <w:b/>
                <w:color w:val="000000"/>
                <w:sz w:val="22"/>
                <w:szCs w:val="22"/>
              </w:rPr>
              <w:t xml:space="preserve">escription of Decision: </w:t>
            </w:r>
          </w:p>
        </w:tc>
        <w:tc>
          <w:tcPr>
            <w:tcW w:w="6120" w:type="dxa"/>
            <w:shd w:val="clear" w:color="auto" w:fill="FFFFFF"/>
          </w:tcPr>
          <w:p w:rsidR="00A92D0B" w:rsidRPr="00261D8E" w:rsidRDefault="00F020D3" w:rsidP="008B7F67">
            <w:pPr>
              <w:spacing w:before="60" w:after="60"/>
              <w:rPr>
                <w:color w:val="000000"/>
                <w:sz w:val="22"/>
                <w:szCs w:val="22"/>
              </w:rPr>
            </w:pPr>
            <w:r w:rsidRPr="00261D8E">
              <w:rPr>
                <w:sz w:val="22"/>
                <w:szCs w:val="22"/>
              </w:rPr>
              <w:t xml:space="preserve">As noted in the summary this decision addresses the test year (TY) 2016 general rate case (GRC) applications of San Diego Gas &amp; Electric Company (SDG&amp;E), and Southern </w:t>
            </w:r>
            <w:r w:rsidR="001A6766" w:rsidRPr="00261D8E">
              <w:rPr>
                <w:sz w:val="22"/>
                <w:szCs w:val="22"/>
              </w:rPr>
              <w:t>California Gas Company (</w:t>
            </w:r>
            <w:proofErr w:type="spellStart"/>
            <w:r w:rsidR="001A6766" w:rsidRPr="00261D8E">
              <w:rPr>
                <w:sz w:val="22"/>
                <w:szCs w:val="22"/>
              </w:rPr>
              <w:t>SoCalGas</w:t>
            </w:r>
            <w:proofErr w:type="spellEnd"/>
            <w:r w:rsidR="001A6766" w:rsidRPr="00261D8E">
              <w:rPr>
                <w:sz w:val="22"/>
                <w:szCs w:val="22"/>
              </w:rPr>
              <w:t xml:space="preserve">). SDG&amp;E requested a TY 2016 revenue requirement of $1,895,437,000 ($324,188,000 for gas operations, and $1,571,249,000 for electric operations), and </w:t>
            </w:r>
            <w:proofErr w:type="spellStart"/>
            <w:r w:rsidR="001A6766" w:rsidRPr="00261D8E">
              <w:rPr>
                <w:sz w:val="22"/>
                <w:szCs w:val="22"/>
              </w:rPr>
              <w:t>SoCalGas</w:t>
            </w:r>
            <w:proofErr w:type="spellEnd"/>
            <w:r w:rsidR="001A6766" w:rsidRPr="00261D8E">
              <w:rPr>
                <w:sz w:val="22"/>
                <w:szCs w:val="22"/>
              </w:rPr>
              <w:t xml:space="preserve"> requested a TY 2016 revenue requirement of $2,331,187,000. Prior to the settlement negotiations in these proceedings, the Office of Ratepayer Advocates (ORA), UCAN, and other parties, recommended that adjustments be made to the GRC requests of both SDG&amp;E and </w:t>
            </w:r>
            <w:proofErr w:type="spellStart"/>
            <w:r w:rsidR="001A6766" w:rsidRPr="00261D8E">
              <w:rPr>
                <w:sz w:val="22"/>
                <w:szCs w:val="22"/>
              </w:rPr>
              <w:t>SoCalGas</w:t>
            </w:r>
            <w:proofErr w:type="spellEnd"/>
            <w:r w:rsidR="001A6766" w:rsidRPr="00261D8E">
              <w:rPr>
                <w:sz w:val="22"/>
                <w:szCs w:val="22"/>
              </w:rPr>
              <w:t xml:space="preserve">. The positions of SDG&amp;E, </w:t>
            </w:r>
            <w:proofErr w:type="spellStart"/>
            <w:r w:rsidR="001A6766" w:rsidRPr="00261D8E">
              <w:rPr>
                <w:sz w:val="22"/>
                <w:szCs w:val="22"/>
              </w:rPr>
              <w:t>SoCalGas</w:t>
            </w:r>
            <w:proofErr w:type="spellEnd"/>
            <w:r w:rsidR="001A6766" w:rsidRPr="00261D8E">
              <w:rPr>
                <w:sz w:val="22"/>
                <w:szCs w:val="22"/>
              </w:rPr>
              <w:t xml:space="preserve">, and the other parties were fully litigated in evidentiary hearings held in June and July of 2015. Following the evidentiary hearings, SDG&amp;E, </w:t>
            </w:r>
            <w:proofErr w:type="spellStart"/>
            <w:r w:rsidR="001A6766" w:rsidRPr="00261D8E">
              <w:rPr>
                <w:sz w:val="22"/>
                <w:szCs w:val="22"/>
              </w:rPr>
              <w:t>SoCalGas</w:t>
            </w:r>
            <w:proofErr w:type="spellEnd"/>
            <w:r w:rsidR="001A6766" w:rsidRPr="00261D8E">
              <w:rPr>
                <w:sz w:val="22"/>
                <w:szCs w:val="22"/>
              </w:rPr>
              <w:t xml:space="preserve">, and various other parties held settlement discussions. These discussions resulted in the filing of motions to adopt proposed settlements to resolve almost all of the issues in the GRC applications of SDG&amp;E and </w:t>
            </w:r>
            <w:proofErr w:type="spellStart"/>
            <w:r w:rsidR="001A6766" w:rsidRPr="00261D8E">
              <w:rPr>
                <w:sz w:val="22"/>
                <w:szCs w:val="22"/>
              </w:rPr>
              <w:t>SoCalGas</w:t>
            </w:r>
            <w:proofErr w:type="spellEnd"/>
            <w:r w:rsidR="001A6766" w:rsidRPr="00261D8E">
              <w:rPr>
                <w:sz w:val="22"/>
                <w:szCs w:val="22"/>
              </w:rPr>
              <w:t xml:space="preserve">.  The decision adopts all of the proposed settlements contained in the separate motions to adopt the proposed settlements in SDG&amp;E’s GRC application, and in </w:t>
            </w:r>
            <w:proofErr w:type="spellStart"/>
            <w:r w:rsidR="001A6766" w:rsidRPr="00261D8E">
              <w:rPr>
                <w:sz w:val="22"/>
                <w:szCs w:val="22"/>
              </w:rPr>
              <w:t>SoCalGas’s</w:t>
            </w:r>
            <w:proofErr w:type="spellEnd"/>
            <w:r w:rsidR="001A6766" w:rsidRPr="00261D8E">
              <w:rPr>
                <w:sz w:val="22"/>
                <w:szCs w:val="22"/>
              </w:rPr>
              <w:t xml:space="preserve"> GRC application, with three adjustments to the revenue requirements.</w:t>
            </w:r>
          </w:p>
        </w:tc>
      </w:tr>
    </w:tbl>
    <w:p w:rsidR="00A92D0B" w:rsidRPr="00261D8E" w:rsidRDefault="00A92D0B">
      <w:pPr>
        <w:rPr>
          <w:color w:val="000000"/>
          <w:sz w:val="22"/>
          <w:szCs w:val="22"/>
        </w:rPr>
      </w:pPr>
    </w:p>
    <w:p w:rsidR="00A92D0B" w:rsidRPr="00261D8E" w:rsidRDefault="005A63D4">
      <w:pPr>
        <w:numPr>
          <w:ilvl w:val="0"/>
          <w:numId w:val="5"/>
        </w:numPr>
        <w:rPr>
          <w:b/>
          <w:color w:val="000000"/>
          <w:sz w:val="22"/>
          <w:szCs w:val="22"/>
        </w:rPr>
      </w:pPr>
      <w:r w:rsidRPr="00261D8E">
        <w:rPr>
          <w:b/>
          <w:color w:val="000000"/>
          <w:sz w:val="22"/>
          <w:szCs w:val="22"/>
        </w:rPr>
        <w:lastRenderedPageBreak/>
        <w:t xml:space="preserve">Intervenor </w:t>
      </w:r>
      <w:r w:rsidR="00A92D0B" w:rsidRPr="00261D8E">
        <w:rPr>
          <w:b/>
          <w:color w:val="000000"/>
          <w:sz w:val="22"/>
          <w:szCs w:val="22"/>
        </w:rPr>
        <w:t xml:space="preserve">must satisfy intervenor compensation </w:t>
      </w:r>
      <w:r w:rsidR="00DE3A5D" w:rsidRPr="00261D8E">
        <w:rPr>
          <w:b/>
          <w:color w:val="000000"/>
          <w:sz w:val="22"/>
          <w:szCs w:val="22"/>
        </w:rPr>
        <w:t>requirements set forth in Pub. Util.</w:t>
      </w:r>
      <w:r w:rsidR="00A92D0B" w:rsidRPr="00261D8E">
        <w:rPr>
          <w:b/>
          <w:color w:val="000000"/>
          <w:sz w:val="22"/>
          <w:szCs w:val="22"/>
        </w:rPr>
        <w:t xml:space="preserve"> Code §§ 1801-1812:</w:t>
      </w:r>
    </w:p>
    <w:p w:rsidR="00A92D0B" w:rsidRPr="00261D8E" w:rsidRDefault="00A92D0B">
      <w:pPr>
        <w:tabs>
          <w:tab w:val="left" w:pos="360"/>
        </w:tabs>
        <w:rPr>
          <w:color w:val="000000"/>
          <w:sz w:val="22"/>
          <w:szCs w:val="22"/>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2340"/>
      </w:tblGrid>
      <w:tr w:rsidR="00A92D0B" w:rsidRPr="00261D8E" w:rsidTr="00DE0DDE">
        <w:tc>
          <w:tcPr>
            <w:tcW w:w="5040" w:type="dxa"/>
            <w:tcBorders>
              <w:bottom w:val="single" w:sz="4" w:space="0" w:color="auto"/>
            </w:tcBorders>
            <w:shd w:val="clear" w:color="auto" w:fill="FFFFFF"/>
          </w:tcPr>
          <w:p w:rsidR="00A92D0B" w:rsidRPr="00261D8E" w:rsidRDefault="00A92D0B" w:rsidP="00A92D0B">
            <w:pPr>
              <w:tabs>
                <w:tab w:val="left" w:pos="360"/>
              </w:tabs>
              <w:spacing w:before="120"/>
              <w:jc w:val="center"/>
              <w:rPr>
                <w:color w:val="000000"/>
                <w:sz w:val="22"/>
                <w:szCs w:val="22"/>
              </w:rPr>
            </w:pPr>
          </w:p>
        </w:tc>
        <w:tc>
          <w:tcPr>
            <w:tcW w:w="2340" w:type="dxa"/>
            <w:tcBorders>
              <w:bottom w:val="single" w:sz="4" w:space="0" w:color="auto"/>
            </w:tcBorders>
            <w:shd w:val="clear" w:color="auto" w:fill="FFFFFF"/>
            <w:vAlign w:val="center"/>
          </w:tcPr>
          <w:p w:rsidR="00A92D0B" w:rsidRPr="00261D8E" w:rsidRDefault="005A63D4" w:rsidP="00DE0DDE">
            <w:pPr>
              <w:tabs>
                <w:tab w:val="left" w:pos="360"/>
              </w:tabs>
              <w:spacing w:before="120" w:after="120"/>
              <w:jc w:val="center"/>
              <w:rPr>
                <w:b/>
                <w:color w:val="000000"/>
                <w:sz w:val="22"/>
                <w:szCs w:val="22"/>
              </w:rPr>
            </w:pPr>
            <w:r w:rsidRPr="00261D8E">
              <w:rPr>
                <w:b/>
                <w:color w:val="000000"/>
                <w:sz w:val="22"/>
                <w:szCs w:val="22"/>
              </w:rPr>
              <w:t>Intervenor</w:t>
            </w:r>
          </w:p>
        </w:tc>
        <w:tc>
          <w:tcPr>
            <w:tcW w:w="2340" w:type="dxa"/>
            <w:tcBorders>
              <w:bottom w:val="single" w:sz="4" w:space="0" w:color="auto"/>
            </w:tcBorders>
            <w:shd w:val="clear" w:color="auto" w:fill="FFFFFF"/>
            <w:vAlign w:val="center"/>
          </w:tcPr>
          <w:p w:rsidR="00A92D0B" w:rsidRPr="00261D8E" w:rsidRDefault="00A92D0B" w:rsidP="00DE0DDE">
            <w:pPr>
              <w:tabs>
                <w:tab w:val="left" w:pos="360"/>
              </w:tabs>
              <w:spacing w:before="120" w:after="120"/>
              <w:jc w:val="center"/>
              <w:rPr>
                <w:b/>
                <w:color w:val="000000"/>
                <w:sz w:val="22"/>
                <w:szCs w:val="22"/>
              </w:rPr>
            </w:pPr>
            <w:r w:rsidRPr="00261D8E">
              <w:rPr>
                <w:b/>
                <w:color w:val="000000"/>
                <w:sz w:val="22"/>
                <w:szCs w:val="22"/>
              </w:rPr>
              <w:t>CPUC Verified</w:t>
            </w:r>
          </w:p>
        </w:tc>
      </w:tr>
      <w:tr w:rsidR="00A92D0B" w:rsidRPr="00261D8E" w:rsidTr="00BE188B">
        <w:tc>
          <w:tcPr>
            <w:tcW w:w="9720" w:type="dxa"/>
            <w:gridSpan w:val="3"/>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DE0DDE">
            <w:pPr>
              <w:tabs>
                <w:tab w:val="left" w:pos="360"/>
              </w:tabs>
              <w:spacing w:before="60" w:after="60"/>
              <w:jc w:val="center"/>
              <w:rPr>
                <w:b/>
                <w:sz w:val="22"/>
                <w:szCs w:val="22"/>
              </w:rPr>
            </w:pPr>
            <w:r w:rsidRPr="00261D8E">
              <w:rPr>
                <w:b/>
                <w:sz w:val="22"/>
                <w:szCs w:val="22"/>
              </w:rPr>
              <w:t>Timely filing of notice of intent to claim compensation (NOI) (§ 1804(a)):</w:t>
            </w:r>
          </w:p>
        </w:tc>
      </w:tr>
      <w:tr w:rsidR="00A92D0B" w:rsidRPr="00261D8E" w:rsidTr="00BE188B">
        <w:tc>
          <w:tcPr>
            <w:tcW w:w="5040" w:type="dxa"/>
            <w:tcBorders>
              <w:top w:val="single" w:sz="4" w:space="0" w:color="auto"/>
            </w:tcBorders>
            <w:shd w:val="clear" w:color="auto" w:fill="FFFFFF"/>
          </w:tcPr>
          <w:p w:rsidR="00A92D0B" w:rsidRPr="00261D8E" w:rsidRDefault="00FC72B7" w:rsidP="00DE0DDE">
            <w:pPr>
              <w:tabs>
                <w:tab w:val="left" w:pos="360"/>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1.  Date of Prehearing Conference</w:t>
            </w:r>
            <w:r w:rsidR="00A319DE" w:rsidRPr="00261D8E">
              <w:rPr>
                <w:color w:val="000000"/>
                <w:sz w:val="22"/>
                <w:szCs w:val="22"/>
              </w:rPr>
              <w:t xml:space="preserve"> (PHC)</w:t>
            </w:r>
            <w:r w:rsidR="00A92D0B" w:rsidRPr="00261D8E">
              <w:rPr>
                <w:color w:val="000000"/>
                <w:sz w:val="22"/>
                <w:szCs w:val="22"/>
              </w:rPr>
              <w:t>:</w:t>
            </w:r>
          </w:p>
        </w:tc>
        <w:tc>
          <w:tcPr>
            <w:tcW w:w="2340" w:type="dxa"/>
            <w:tcBorders>
              <w:top w:val="single" w:sz="4" w:space="0" w:color="auto"/>
            </w:tcBorders>
            <w:shd w:val="clear" w:color="auto" w:fill="FFFFFF"/>
          </w:tcPr>
          <w:p w:rsidR="00A92D0B" w:rsidRPr="00261D8E" w:rsidRDefault="00434B63" w:rsidP="00DE0DDE">
            <w:pPr>
              <w:tabs>
                <w:tab w:val="left" w:pos="360"/>
              </w:tabs>
              <w:spacing w:before="60" w:after="60"/>
              <w:ind w:left="612"/>
              <w:rPr>
                <w:color w:val="000000"/>
                <w:sz w:val="22"/>
                <w:szCs w:val="22"/>
              </w:rPr>
            </w:pPr>
            <w:r w:rsidRPr="00261D8E">
              <w:rPr>
                <w:color w:val="000000"/>
                <w:sz w:val="22"/>
                <w:szCs w:val="22"/>
              </w:rPr>
              <w:t>1/8/15</w:t>
            </w:r>
          </w:p>
        </w:tc>
        <w:tc>
          <w:tcPr>
            <w:tcW w:w="2340" w:type="dxa"/>
            <w:tcBorders>
              <w:top w:val="single" w:sz="4" w:space="0" w:color="auto"/>
            </w:tcBorders>
            <w:shd w:val="clear" w:color="auto" w:fill="FFFFFF"/>
          </w:tcPr>
          <w:p w:rsidR="00A92D0B" w:rsidRPr="00261D8E" w:rsidRDefault="00AD027E" w:rsidP="00DE0DDE">
            <w:pPr>
              <w:tabs>
                <w:tab w:val="left" w:pos="360"/>
              </w:tabs>
              <w:spacing w:before="60" w:after="60"/>
              <w:rPr>
                <w:color w:val="000000"/>
                <w:sz w:val="22"/>
                <w:szCs w:val="22"/>
              </w:rPr>
            </w:pPr>
            <w:r w:rsidRPr="00261D8E">
              <w:rPr>
                <w:color w:val="000000"/>
                <w:sz w:val="22"/>
                <w:szCs w:val="22"/>
              </w:rPr>
              <w:t>Verified.</w:t>
            </w:r>
          </w:p>
        </w:tc>
      </w:tr>
      <w:tr w:rsidR="00A92D0B" w:rsidRPr="00261D8E" w:rsidTr="00BE188B">
        <w:tc>
          <w:tcPr>
            <w:tcW w:w="5040" w:type="dxa"/>
            <w:shd w:val="clear" w:color="auto" w:fill="FFFFFF"/>
          </w:tcPr>
          <w:p w:rsidR="00A92D0B" w:rsidRPr="00261D8E" w:rsidRDefault="00FC72B7" w:rsidP="00DE0DDE">
            <w:pPr>
              <w:tabs>
                <w:tab w:val="left" w:pos="360"/>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 xml:space="preserve">2.  Other </w:t>
            </w:r>
            <w:r w:rsidR="00A319DE" w:rsidRPr="00261D8E">
              <w:rPr>
                <w:color w:val="000000"/>
                <w:sz w:val="22"/>
                <w:szCs w:val="22"/>
              </w:rPr>
              <w:t>s</w:t>
            </w:r>
            <w:r w:rsidR="00A92D0B" w:rsidRPr="00261D8E">
              <w:rPr>
                <w:color w:val="000000"/>
                <w:sz w:val="22"/>
                <w:szCs w:val="22"/>
              </w:rPr>
              <w:t xml:space="preserve">pecified </w:t>
            </w:r>
            <w:r w:rsidR="00A319DE" w:rsidRPr="00261D8E">
              <w:rPr>
                <w:color w:val="000000"/>
                <w:sz w:val="22"/>
                <w:szCs w:val="22"/>
              </w:rPr>
              <w:t>d</w:t>
            </w:r>
            <w:r w:rsidR="00A92D0B" w:rsidRPr="00261D8E">
              <w:rPr>
                <w:color w:val="000000"/>
                <w:sz w:val="22"/>
                <w:szCs w:val="22"/>
              </w:rPr>
              <w:t>ate for NOI:</w:t>
            </w:r>
          </w:p>
        </w:tc>
        <w:tc>
          <w:tcPr>
            <w:tcW w:w="2340" w:type="dxa"/>
            <w:shd w:val="clear" w:color="auto" w:fill="FFFFFF"/>
          </w:tcPr>
          <w:p w:rsidR="00A92D0B" w:rsidRPr="00261D8E" w:rsidRDefault="00A92D0B" w:rsidP="00DE0DDE">
            <w:pPr>
              <w:tabs>
                <w:tab w:val="left" w:pos="360"/>
              </w:tabs>
              <w:spacing w:before="60" w:after="60"/>
              <w:ind w:left="612"/>
              <w:rPr>
                <w:color w:val="000000"/>
                <w:sz w:val="22"/>
                <w:szCs w:val="22"/>
              </w:rPr>
            </w:pPr>
          </w:p>
        </w:tc>
        <w:tc>
          <w:tcPr>
            <w:tcW w:w="2340" w:type="dxa"/>
            <w:shd w:val="clear" w:color="auto" w:fill="FFFFFF"/>
          </w:tcPr>
          <w:p w:rsidR="00A92D0B" w:rsidRPr="00261D8E" w:rsidRDefault="00A92D0B" w:rsidP="00DE0DDE">
            <w:pPr>
              <w:tabs>
                <w:tab w:val="left" w:pos="360"/>
              </w:tabs>
              <w:spacing w:before="60" w:after="60"/>
              <w:rPr>
                <w:color w:val="000000"/>
                <w:sz w:val="22"/>
                <w:szCs w:val="22"/>
              </w:rPr>
            </w:pPr>
          </w:p>
        </w:tc>
      </w:tr>
      <w:tr w:rsidR="00A92D0B" w:rsidRPr="00261D8E" w:rsidTr="00BE188B">
        <w:tc>
          <w:tcPr>
            <w:tcW w:w="5040" w:type="dxa"/>
            <w:shd w:val="clear" w:color="auto" w:fill="FFFFFF"/>
          </w:tcPr>
          <w:p w:rsidR="00A92D0B" w:rsidRPr="00261D8E" w:rsidRDefault="00FC72B7" w:rsidP="00DE0DDE">
            <w:pPr>
              <w:tabs>
                <w:tab w:val="left" w:pos="360"/>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 xml:space="preserve">3.  Date NOI </w:t>
            </w:r>
            <w:r w:rsidR="00A319DE" w:rsidRPr="00261D8E">
              <w:rPr>
                <w:color w:val="000000"/>
                <w:sz w:val="22"/>
                <w:szCs w:val="22"/>
              </w:rPr>
              <w:t>f</w:t>
            </w:r>
            <w:r w:rsidR="00A92D0B" w:rsidRPr="00261D8E">
              <w:rPr>
                <w:color w:val="000000"/>
                <w:sz w:val="22"/>
                <w:szCs w:val="22"/>
              </w:rPr>
              <w:t>iled:</w:t>
            </w:r>
          </w:p>
        </w:tc>
        <w:tc>
          <w:tcPr>
            <w:tcW w:w="2340" w:type="dxa"/>
            <w:tcBorders>
              <w:bottom w:val="single" w:sz="4" w:space="0" w:color="auto"/>
            </w:tcBorders>
            <w:shd w:val="clear" w:color="auto" w:fill="FFFFFF"/>
          </w:tcPr>
          <w:p w:rsidR="00A92D0B" w:rsidRPr="00261D8E" w:rsidRDefault="00434B63" w:rsidP="00DE0DDE">
            <w:pPr>
              <w:tabs>
                <w:tab w:val="left" w:pos="360"/>
              </w:tabs>
              <w:spacing w:before="60" w:after="60"/>
              <w:ind w:left="612"/>
              <w:rPr>
                <w:color w:val="000000"/>
                <w:sz w:val="22"/>
                <w:szCs w:val="22"/>
              </w:rPr>
            </w:pPr>
            <w:r w:rsidRPr="00261D8E">
              <w:rPr>
                <w:color w:val="000000"/>
                <w:sz w:val="22"/>
                <w:szCs w:val="22"/>
              </w:rPr>
              <w:t>2/6/15</w:t>
            </w:r>
          </w:p>
        </w:tc>
        <w:tc>
          <w:tcPr>
            <w:tcW w:w="2340" w:type="dxa"/>
            <w:tcBorders>
              <w:bottom w:val="single" w:sz="4" w:space="0" w:color="auto"/>
            </w:tcBorders>
            <w:shd w:val="clear" w:color="auto" w:fill="FFFFFF"/>
          </w:tcPr>
          <w:p w:rsidR="00A92D0B" w:rsidRPr="00261D8E" w:rsidRDefault="00AD027E" w:rsidP="00DE0DDE">
            <w:pPr>
              <w:tabs>
                <w:tab w:val="left" w:pos="360"/>
              </w:tabs>
              <w:spacing w:before="60" w:after="60"/>
              <w:rPr>
                <w:color w:val="000000"/>
                <w:sz w:val="22"/>
                <w:szCs w:val="22"/>
              </w:rPr>
            </w:pPr>
            <w:r w:rsidRPr="00261D8E">
              <w:rPr>
                <w:color w:val="000000"/>
                <w:sz w:val="22"/>
                <w:szCs w:val="22"/>
              </w:rPr>
              <w:t>Verified.</w:t>
            </w:r>
          </w:p>
        </w:tc>
      </w:tr>
      <w:tr w:rsidR="00A92D0B" w:rsidRPr="00261D8E" w:rsidTr="00550773">
        <w:tc>
          <w:tcPr>
            <w:tcW w:w="7380" w:type="dxa"/>
            <w:gridSpan w:val="2"/>
            <w:tcBorders>
              <w:bottom w:val="single" w:sz="4" w:space="0" w:color="auto"/>
            </w:tcBorders>
            <w:shd w:val="clear" w:color="auto" w:fill="FFFFFF"/>
            <w:vAlign w:val="center"/>
          </w:tcPr>
          <w:p w:rsidR="00A92D0B" w:rsidRPr="00261D8E" w:rsidRDefault="00FC72B7" w:rsidP="00550773">
            <w:pPr>
              <w:tabs>
                <w:tab w:val="left" w:pos="360"/>
              </w:tabs>
              <w:spacing w:before="120" w:after="120"/>
              <w:ind w:left="360" w:hanging="360"/>
              <w:rPr>
                <w:color w:val="000000"/>
                <w:sz w:val="22"/>
                <w:szCs w:val="22"/>
              </w:rPr>
            </w:pPr>
            <w:r w:rsidRPr="00261D8E">
              <w:rPr>
                <w:color w:val="000000"/>
                <w:sz w:val="22"/>
                <w:szCs w:val="22"/>
              </w:rPr>
              <w:t xml:space="preserve"> </w:t>
            </w:r>
            <w:r w:rsidR="00A92D0B" w:rsidRPr="00261D8E">
              <w:rPr>
                <w:color w:val="000000"/>
                <w:sz w:val="22"/>
                <w:szCs w:val="22"/>
              </w:rPr>
              <w:t xml:space="preserve">4. </w:t>
            </w:r>
            <w:r w:rsidRPr="00261D8E">
              <w:rPr>
                <w:color w:val="000000"/>
                <w:sz w:val="22"/>
                <w:szCs w:val="22"/>
              </w:rPr>
              <w:t xml:space="preserve"> </w:t>
            </w:r>
            <w:r w:rsidR="00A92D0B" w:rsidRPr="00261D8E">
              <w:rPr>
                <w:color w:val="000000"/>
                <w:sz w:val="22"/>
                <w:szCs w:val="22"/>
              </w:rPr>
              <w:t>Was the NOI timely filed?</w:t>
            </w:r>
          </w:p>
        </w:tc>
        <w:tc>
          <w:tcPr>
            <w:tcW w:w="2340" w:type="dxa"/>
            <w:tcBorders>
              <w:bottom w:val="single" w:sz="4" w:space="0" w:color="auto"/>
            </w:tcBorders>
            <w:shd w:val="clear" w:color="auto" w:fill="FFFFFF"/>
          </w:tcPr>
          <w:p w:rsidR="00A92D0B" w:rsidRPr="00261D8E" w:rsidRDefault="00AD027E" w:rsidP="00550773">
            <w:pPr>
              <w:tabs>
                <w:tab w:val="left" w:pos="360"/>
              </w:tabs>
              <w:spacing w:before="60" w:after="60"/>
              <w:rPr>
                <w:color w:val="000000"/>
                <w:sz w:val="22"/>
                <w:szCs w:val="22"/>
              </w:rPr>
            </w:pPr>
            <w:r w:rsidRPr="00261D8E">
              <w:rPr>
                <w:color w:val="000000"/>
                <w:sz w:val="22"/>
                <w:szCs w:val="22"/>
              </w:rPr>
              <w:t>Yes, Utility Consumers’ Action Network (UCAN) timely filed the notice of intent to claim intervenor compensation.</w:t>
            </w:r>
          </w:p>
        </w:tc>
      </w:tr>
      <w:tr w:rsidR="00A92D0B" w:rsidRPr="00261D8E" w:rsidTr="00396048">
        <w:tc>
          <w:tcPr>
            <w:tcW w:w="9720" w:type="dxa"/>
            <w:gridSpan w:val="3"/>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550773">
            <w:pPr>
              <w:tabs>
                <w:tab w:val="left" w:pos="360"/>
              </w:tabs>
              <w:spacing w:before="60" w:after="60"/>
              <w:jc w:val="center"/>
              <w:rPr>
                <w:b/>
                <w:color w:val="000000"/>
                <w:sz w:val="22"/>
                <w:szCs w:val="22"/>
              </w:rPr>
            </w:pPr>
            <w:r w:rsidRPr="00261D8E">
              <w:rPr>
                <w:b/>
                <w:color w:val="000000"/>
                <w:sz w:val="22"/>
                <w:szCs w:val="22"/>
              </w:rPr>
              <w:t>Showing of customer or customer-related status (§ 1802(b)):</w:t>
            </w:r>
          </w:p>
        </w:tc>
      </w:tr>
      <w:tr w:rsidR="00A92D0B" w:rsidRPr="00261D8E" w:rsidTr="00396048">
        <w:tc>
          <w:tcPr>
            <w:tcW w:w="5040" w:type="dxa"/>
            <w:tcBorders>
              <w:top w:val="single" w:sz="4" w:space="0" w:color="auto"/>
            </w:tcBorders>
            <w:shd w:val="clear" w:color="auto" w:fill="FFFFFF"/>
          </w:tcPr>
          <w:p w:rsidR="00A92D0B" w:rsidRPr="00261D8E" w:rsidRDefault="00FC72B7" w:rsidP="00550773">
            <w:pPr>
              <w:spacing w:before="120"/>
              <w:ind w:left="360" w:hanging="360"/>
              <w:rPr>
                <w:color w:val="000000"/>
                <w:sz w:val="22"/>
                <w:szCs w:val="22"/>
              </w:rPr>
            </w:pPr>
            <w:r w:rsidRPr="00261D8E">
              <w:rPr>
                <w:color w:val="000000"/>
                <w:sz w:val="22"/>
                <w:szCs w:val="22"/>
              </w:rPr>
              <w:t xml:space="preserve"> </w:t>
            </w:r>
            <w:r w:rsidR="00A92D0B" w:rsidRPr="00261D8E">
              <w:rPr>
                <w:color w:val="000000"/>
                <w:sz w:val="22"/>
                <w:szCs w:val="22"/>
              </w:rPr>
              <w:t xml:space="preserve">5.  Based on ALJ ruling issued in proceeding </w:t>
            </w:r>
            <w:r w:rsidR="00E3786F" w:rsidRPr="00261D8E">
              <w:rPr>
                <w:color w:val="000000"/>
                <w:sz w:val="22"/>
                <w:szCs w:val="22"/>
              </w:rPr>
              <w:t xml:space="preserve">  </w:t>
            </w:r>
            <w:r w:rsidR="00A92D0B" w:rsidRPr="00261D8E">
              <w:rPr>
                <w:color w:val="000000"/>
                <w:sz w:val="22"/>
                <w:szCs w:val="22"/>
              </w:rPr>
              <w:t>number:</w:t>
            </w:r>
          </w:p>
        </w:tc>
        <w:tc>
          <w:tcPr>
            <w:tcW w:w="2340" w:type="dxa"/>
            <w:tcBorders>
              <w:top w:val="single" w:sz="4" w:space="0" w:color="auto"/>
            </w:tcBorders>
            <w:shd w:val="clear" w:color="auto" w:fill="FFFFFF"/>
          </w:tcPr>
          <w:p w:rsidR="00A92D0B" w:rsidRPr="00261D8E" w:rsidRDefault="00434B63" w:rsidP="00550773">
            <w:pPr>
              <w:tabs>
                <w:tab w:val="left" w:pos="360"/>
              </w:tabs>
              <w:spacing w:before="120"/>
              <w:ind w:left="360" w:hanging="360"/>
              <w:jc w:val="center"/>
              <w:rPr>
                <w:color w:val="000000"/>
                <w:sz w:val="22"/>
                <w:szCs w:val="22"/>
              </w:rPr>
            </w:pPr>
            <w:r w:rsidRPr="00261D8E">
              <w:rPr>
                <w:color w:val="000000"/>
                <w:sz w:val="22"/>
                <w:szCs w:val="22"/>
              </w:rPr>
              <w:t>A.14-11-003</w:t>
            </w:r>
          </w:p>
        </w:tc>
        <w:tc>
          <w:tcPr>
            <w:tcW w:w="2340" w:type="dxa"/>
            <w:tcBorders>
              <w:top w:val="single" w:sz="4" w:space="0" w:color="auto"/>
            </w:tcBorders>
            <w:shd w:val="clear" w:color="auto" w:fill="FFFFFF"/>
          </w:tcPr>
          <w:p w:rsidR="00A92D0B" w:rsidRPr="00261D8E" w:rsidRDefault="009248F0" w:rsidP="007E71C3">
            <w:pPr>
              <w:keepNext/>
              <w:keepLines/>
              <w:tabs>
                <w:tab w:val="left" w:pos="360"/>
              </w:tabs>
              <w:spacing w:before="120"/>
              <w:rPr>
                <w:color w:val="000000"/>
                <w:sz w:val="22"/>
                <w:szCs w:val="22"/>
              </w:rPr>
            </w:pPr>
            <w:r>
              <w:rPr>
                <w:color w:val="000000"/>
                <w:sz w:val="22"/>
                <w:szCs w:val="22"/>
              </w:rPr>
              <w:t>Verified.</w:t>
            </w:r>
          </w:p>
        </w:tc>
      </w:tr>
      <w:tr w:rsidR="00A92D0B" w:rsidRPr="00261D8E" w:rsidTr="00396048">
        <w:tc>
          <w:tcPr>
            <w:tcW w:w="5040" w:type="dxa"/>
            <w:shd w:val="clear" w:color="auto" w:fill="FFFFFF"/>
          </w:tcPr>
          <w:p w:rsidR="00A92D0B" w:rsidRPr="00261D8E" w:rsidRDefault="00FC72B7" w:rsidP="00DE0DDE">
            <w:pPr>
              <w:tabs>
                <w:tab w:val="left" w:pos="360"/>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6.  Date of ALJ ruling:</w:t>
            </w:r>
          </w:p>
        </w:tc>
        <w:tc>
          <w:tcPr>
            <w:tcW w:w="2340" w:type="dxa"/>
            <w:shd w:val="clear" w:color="auto" w:fill="FFFFFF"/>
          </w:tcPr>
          <w:p w:rsidR="00A92D0B" w:rsidRPr="00261D8E" w:rsidRDefault="00434B63" w:rsidP="00DE0DDE">
            <w:pPr>
              <w:tabs>
                <w:tab w:val="left" w:pos="360"/>
              </w:tabs>
              <w:spacing w:before="60" w:after="60"/>
              <w:ind w:left="360" w:hanging="360"/>
              <w:jc w:val="center"/>
              <w:rPr>
                <w:color w:val="000000"/>
                <w:sz w:val="22"/>
                <w:szCs w:val="22"/>
              </w:rPr>
            </w:pPr>
            <w:r w:rsidRPr="00261D8E">
              <w:rPr>
                <w:color w:val="000000"/>
                <w:sz w:val="22"/>
                <w:szCs w:val="22"/>
              </w:rPr>
              <w:t>3/2/15</w:t>
            </w:r>
          </w:p>
        </w:tc>
        <w:tc>
          <w:tcPr>
            <w:tcW w:w="2340" w:type="dxa"/>
            <w:shd w:val="clear" w:color="auto" w:fill="FFFFFF"/>
          </w:tcPr>
          <w:p w:rsidR="00A92D0B" w:rsidRPr="00261D8E" w:rsidRDefault="009248F0" w:rsidP="00DE0DDE">
            <w:pPr>
              <w:tabs>
                <w:tab w:val="left" w:pos="360"/>
              </w:tabs>
              <w:spacing w:before="60" w:after="60"/>
              <w:rPr>
                <w:color w:val="000000"/>
                <w:sz w:val="22"/>
                <w:szCs w:val="22"/>
              </w:rPr>
            </w:pPr>
            <w:r>
              <w:rPr>
                <w:color w:val="000000"/>
                <w:sz w:val="22"/>
                <w:szCs w:val="22"/>
              </w:rPr>
              <w:t>Verified.</w:t>
            </w:r>
          </w:p>
        </w:tc>
      </w:tr>
      <w:tr w:rsidR="00A92D0B" w:rsidRPr="00261D8E" w:rsidTr="00396048">
        <w:tc>
          <w:tcPr>
            <w:tcW w:w="5040" w:type="dxa"/>
            <w:shd w:val="clear" w:color="auto" w:fill="FFFFFF"/>
          </w:tcPr>
          <w:p w:rsidR="00A92D0B" w:rsidRPr="00261D8E" w:rsidRDefault="00FC72B7" w:rsidP="00DE0DDE">
            <w:pPr>
              <w:tabs>
                <w:tab w:val="left" w:pos="360"/>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7.  Based on another CPUC determination (specify):</w:t>
            </w:r>
          </w:p>
        </w:tc>
        <w:tc>
          <w:tcPr>
            <w:tcW w:w="2340" w:type="dxa"/>
            <w:tcBorders>
              <w:bottom w:val="single" w:sz="4" w:space="0" w:color="auto"/>
            </w:tcBorders>
            <w:shd w:val="clear" w:color="auto" w:fill="FFFFFF"/>
          </w:tcPr>
          <w:p w:rsidR="00A92D0B" w:rsidRPr="00261D8E" w:rsidRDefault="00A92D0B" w:rsidP="00A92D0B">
            <w:pPr>
              <w:tabs>
                <w:tab w:val="left" w:pos="360"/>
              </w:tabs>
              <w:spacing w:before="120"/>
              <w:ind w:left="360" w:hanging="360"/>
              <w:rPr>
                <w:color w:val="000000"/>
                <w:sz w:val="22"/>
                <w:szCs w:val="22"/>
              </w:rPr>
            </w:pPr>
          </w:p>
        </w:tc>
        <w:tc>
          <w:tcPr>
            <w:tcW w:w="2340" w:type="dxa"/>
            <w:tcBorders>
              <w:bottom w:val="single" w:sz="4" w:space="0" w:color="auto"/>
            </w:tcBorders>
            <w:shd w:val="clear" w:color="auto" w:fill="FFFFFF"/>
          </w:tcPr>
          <w:p w:rsidR="00A92D0B" w:rsidRPr="00261D8E" w:rsidRDefault="00A92D0B" w:rsidP="00A92D0B">
            <w:pPr>
              <w:tabs>
                <w:tab w:val="left" w:pos="360"/>
              </w:tabs>
              <w:spacing w:before="120"/>
              <w:rPr>
                <w:color w:val="000000"/>
                <w:sz w:val="22"/>
                <w:szCs w:val="22"/>
              </w:rPr>
            </w:pPr>
          </w:p>
        </w:tc>
      </w:tr>
      <w:tr w:rsidR="00A92D0B" w:rsidRPr="00261D8E" w:rsidTr="00DE0DDE">
        <w:tc>
          <w:tcPr>
            <w:tcW w:w="7380" w:type="dxa"/>
            <w:gridSpan w:val="2"/>
            <w:tcBorders>
              <w:bottom w:val="single" w:sz="4" w:space="0" w:color="auto"/>
            </w:tcBorders>
            <w:shd w:val="clear" w:color="auto" w:fill="FFFFFF"/>
            <w:vAlign w:val="center"/>
          </w:tcPr>
          <w:p w:rsidR="00A92D0B" w:rsidRPr="00261D8E" w:rsidRDefault="00FC72B7" w:rsidP="00DE0DDE">
            <w:pPr>
              <w:tabs>
                <w:tab w:val="left" w:pos="360"/>
              </w:tabs>
              <w:spacing w:before="120" w:after="120"/>
              <w:ind w:left="360" w:hanging="360"/>
              <w:rPr>
                <w:color w:val="000000"/>
                <w:sz w:val="22"/>
                <w:szCs w:val="22"/>
              </w:rPr>
            </w:pPr>
            <w:r w:rsidRPr="00261D8E">
              <w:rPr>
                <w:color w:val="000000"/>
                <w:sz w:val="22"/>
                <w:szCs w:val="22"/>
              </w:rPr>
              <w:t xml:space="preserve"> </w:t>
            </w:r>
            <w:r w:rsidR="00A92D0B" w:rsidRPr="00261D8E">
              <w:rPr>
                <w:color w:val="000000"/>
                <w:sz w:val="22"/>
                <w:szCs w:val="22"/>
              </w:rPr>
              <w:t xml:space="preserve">8. </w:t>
            </w:r>
            <w:r w:rsidRPr="00261D8E">
              <w:rPr>
                <w:color w:val="000000"/>
                <w:sz w:val="22"/>
                <w:szCs w:val="22"/>
              </w:rPr>
              <w:t xml:space="preserve"> </w:t>
            </w:r>
            <w:r w:rsidR="00A92D0B" w:rsidRPr="00261D8E">
              <w:rPr>
                <w:color w:val="000000"/>
                <w:sz w:val="22"/>
                <w:szCs w:val="22"/>
              </w:rPr>
              <w:t xml:space="preserve">Has the </w:t>
            </w:r>
            <w:r w:rsidR="005A63D4" w:rsidRPr="00261D8E">
              <w:rPr>
                <w:color w:val="000000"/>
                <w:sz w:val="22"/>
                <w:szCs w:val="22"/>
              </w:rPr>
              <w:t xml:space="preserve">Intervenor </w:t>
            </w:r>
            <w:r w:rsidR="00A92D0B" w:rsidRPr="00261D8E">
              <w:rPr>
                <w:color w:val="000000"/>
                <w:sz w:val="22"/>
                <w:szCs w:val="22"/>
              </w:rPr>
              <w:t>demonstrated customer or customer-related status?</w:t>
            </w:r>
          </w:p>
        </w:tc>
        <w:tc>
          <w:tcPr>
            <w:tcW w:w="2340" w:type="dxa"/>
            <w:tcBorders>
              <w:bottom w:val="single" w:sz="4" w:space="0" w:color="auto"/>
            </w:tcBorders>
            <w:shd w:val="clear" w:color="auto" w:fill="FFFFFF"/>
          </w:tcPr>
          <w:p w:rsidR="00A92D0B" w:rsidRPr="00261D8E" w:rsidRDefault="009248F0" w:rsidP="00DE0DDE">
            <w:pPr>
              <w:tabs>
                <w:tab w:val="left" w:pos="360"/>
              </w:tabs>
              <w:spacing w:before="60" w:after="60"/>
              <w:rPr>
                <w:color w:val="000000"/>
                <w:sz w:val="22"/>
                <w:szCs w:val="22"/>
              </w:rPr>
            </w:pPr>
            <w:r>
              <w:rPr>
                <w:color w:val="000000"/>
                <w:sz w:val="22"/>
                <w:szCs w:val="22"/>
              </w:rPr>
              <w:t>Yes, UCAN demonstrated appropriate status.</w:t>
            </w:r>
          </w:p>
        </w:tc>
      </w:tr>
      <w:tr w:rsidR="00A92D0B" w:rsidRPr="00261D8E" w:rsidTr="00396048">
        <w:tc>
          <w:tcPr>
            <w:tcW w:w="9720" w:type="dxa"/>
            <w:gridSpan w:val="3"/>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DE0DDE">
            <w:pPr>
              <w:tabs>
                <w:tab w:val="left" w:pos="360"/>
              </w:tabs>
              <w:spacing w:before="60" w:after="60"/>
              <w:jc w:val="center"/>
              <w:rPr>
                <w:color w:val="000000"/>
                <w:sz w:val="22"/>
                <w:szCs w:val="22"/>
              </w:rPr>
            </w:pPr>
            <w:r w:rsidRPr="00261D8E">
              <w:rPr>
                <w:b/>
                <w:color w:val="000000"/>
                <w:sz w:val="22"/>
                <w:szCs w:val="22"/>
              </w:rPr>
              <w:t>Showing of “significant financial hardship” (§ 1802(g)):</w:t>
            </w:r>
          </w:p>
        </w:tc>
      </w:tr>
      <w:tr w:rsidR="00A92D0B" w:rsidRPr="00261D8E" w:rsidTr="00396048">
        <w:tc>
          <w:tcPr>
            <w:tcW w:w="5040" w:type="dxa"/>
            <w:tcBorders>
              <w:top w:val="single" w:sz="4" w:space="0" w:color="auto"/>
            </w:tcBorders>
            <w:shd w:val="clear" w:color="auto" w:fill="FFFFFF"/>
          </w:tcPr>
          <w:p w:rsidR="00A92D0B" w:rsidRPr="00261D8E" w:rsidRDefault="00FC72B7" w:rsidP="00DE0DDE">
            <w:pPr>
              <w:tabs>
                <w:tab w:val="left" w:pos="315"/>
              </w:tabs>
              <w:spacing w:before="60" w:after="60"/>
              <w:ind w:left="360" w:hanging="360"/>
              <w:rPr>
                <w:color w:val="000000"/>
                <w:sz w:val="22"/>
                <w:szCs w:val="22"/>
              </w:rPr>
            </w:pPr>
            <w:r w:rsidRPr="00261D8E">
              <w:rPr>
                <w:color w:val="000000"/>
                <w:sz w:val="22"/>
                <w:szCs w:val="22"/>
              </w:rPr>
              <w:t xml:space="preserve"> </w:t>
            </w:r>
            <w:r w:rsidR="00A92D0B" w:rsidRPr="00261D8E">
              <w:rPr>
                <w:color w:val="000000"/>
                <w:sz w:val="22"/>
                <w:szCs w:val="22"/>
              </w:rPr>
              <w:t>9.  Based on ALJ ruling issued in proceeding number:</w:t>
            </w:r>
          </w:p>
        </w:tc>
        <w:tc>
          <w:tcPr>
            <w:tcW w:w="2340" w:type="dxa"/>
            <w:tcBorders>
              <w:top w:val="single" w:sz="4" w:space="0" w:color="auto"/>
            </w:tcBorders>
            <w:shd w:val="clear" w:color="auto" w:fill="FFFFFF"/>
          </w:tcPr>
          <w:p w:rsidR="00A92D0B" w:rsidRPr="00261D8E" w:rsidRDefault="00434B63" w:rsidP="00DE0DDE">
            <w:pPr>
              <w:tabs>
                <w:tab w:val="left" w:pos="360"/>
              </w:tabs>
              <w:spacing w:before="60" w:after="60"/>
              <w:ind w:hanging="360"/>
              <w:jc w:val="center"/>
              <w:rPr>
                <w:color w:val="000000"/>
                <w:sz w:val="22"/>
                <w:szCs w:val="22"/>
              </w:rPr>
            </w:pPr>
            <w:r w:rsidRPr="00261D8E">
              <w:rPr>
                <w:color w:val="000000"/>
                <w:sz w:val="22"/>
                <w:szCs w:val="22"/>
              </w:rPr>
              <w:t>A.14-11-003</w:t>
            </w:r>
          </w:p>
        </w:tc>
        <w:tc>
          <w:tcPr>
            <w:tcW w:w="2340" w:type="dxa"/>
            <w:tcBorders>
              <w:top w:val="single" w:sz="4" w:space="0" w:color="auto"/>
            </w:tcBorders>
            <w:shd w:val="clear" w:color="auto" w:fill="FFFFFF"/>
          </w:tcPr>
          <w:p w:rsidR="00A92D0B" w:rsidRPr="00261D8E" w:rsidRDefault="009248F0" w:rsidP="00DE0DDE">
            <w:pPr>
              <w:tabs>
                <w:tab w:val="left" w:pos="360"/>
              </w:tabs>
              <w:spacing w:before="60" w:after="60"/>
              <w:rPr>
                <w:color w:val="000000"/>
                <w:sz w:val="22"/>
                <w:szCs w:val="22"/>
              </w:rPr>
            </w:pPr>
            <w:r>
              <w:rPr>
                <w:color w:val="000000"/>
                <w:sz w:val="22"/>
                <w:szCs w:val="22"/>
              </w:rPr>
              <w:t>Verified.</w:t>
            </w:r>
          </w:p>
        </w:tc>
      </w:tr>
      <w:tr w:rsidR="00A92D0B" w:rsidRPr="00261D8E" w:rsidTr="00396048">
        <w:tc>
          <w:tcPr>
            <w:tcW w:w="5040" w:type="dxa"/>
            <w:shd w:val="clear" w:color="auto" w:fill="FFFFFF"/>
          </w:tcPr>
          <w:p w:rsidR="00A92D0B" w:rsidRPr="00261D8E" w:rsidRDefault="00A92D0B" w:rsidP="00DE0DDE">
            <w:pPr>
              <w:tabs>
                <w:tab w:val="left" w:pos="315"/>
              </w:tabs>
              <w:spacing w:before="60" w:after="60"/>
              <w:ind w:left="360" w:hanging="360"/>
              <w:rPr>
                <w:color w:val="000000"/>
                <w:sz w:val="22"/>
                <w:szCs w:val="22"/>
              </w:rPr>
            </w:pPr>
            <w:r w:rsidRPr="00261D8E">
              <w:rPr>
                <w:color w:val="000000"/>
                <w:sz w:val="22"/>
                <w:szCs w:val="22"/>
              </w:rPr>
              <w:t>10.</w:t>
            </w:r>
            <w:r w:rsidRPr="00261D8E">
              <w:rPr>
                <w:color w:val="000000"/>
                <w:sz w:val="22"/>
                <w:szCs w:val="22"/>
              </w:rPr>
              <w:tab/>
            </w:r>
            <w:r w:rsidR="00FC72B7" w:rsidRPr="00261D8E">
              <w:rPr>
                <w:color w:val="000000"/>
                <w:sz w:val="22"/>
                <w:szCs w:val="22"/>
              </w:rPr>
              <w:t xml:space="preserve"> </w:t>
            </w:r>
            <w:r w:rsidRPr="00261D8E">
              <w:rPr>
                <w:color w:val="000000"/>
                <w:sz w:val="22"/>
                <w:szCs w:val="22"/>
              </w:rPr>
              <w:t>Date of ALJ ruling:</w:t>
            </w:r>
          </w:p>
        </w:tc>
        <w:tc>
          <w:tcPr>
            <w:tcW w:w="2340" w:type="dxa"/>
            <w:shd w:val="clear" w:color="auto" w:fill="FFFFFF"/>
          </w:tcPr>
          <w:p w:rsidR="00A92D0B" w:rsidRPr="00261D8E" w:rsidRDefault="00434B63" w:rsidP="00DE0DDE">
            <w:pPr>
              <w:tabs>
                <w:tab w:val="left" w:pos="360"/>
              </w:tabs>
              <w:spacing w:before="60" w:after="60"/>
              <w:ind w:hanging="360"/>
              <w:jc w:val="center"/>
              <w:rPr>
                <w:color w:val="000000"/>
                <w:sz w:val="22"/>
                <w:szCs w:val="22"/>
              </w:rPr>
            </w:pPr>
            <w:r w:rsidRPr="00261D8E">
              <w:rPr>
                <w:color w:val="000000"/>
                <w:sz w:val="22"/>
                <w:szCs w:val="22"/>
              </w:rPr>
              <w:t>3/2/15</w:t>
            </w:r>
          </w:p>
        </w:tc>
        <w:tc>
          <w:tcPr>
            <w:tcW w:w="2340" w:type="dxa"/>
            <w:shd w:val="clear" w:color="auto" w:fill="FFFFFF"/>
          </w:tcPr>
          <w:p w:rsidR="00A92D0B" w:rsidRPr="00261D8E" w:rsidRDefault="009248F0" w:rsidP="00DE0DDE">
            <w:pPr>
              <w:tabs>
                <w:tab w:val="left" w:pos="360"/>
              </w:tabs>
              <w:spacing w:before="60" w:after="60"/>
              <w:rPr>
                <w:color w:val="000000"/>
                <w:sz w:val="22"/>
                <w:szCs w:val="22"/>
              </w:rPr>
            </w:pPr>
            <w:r>
              <w:rPr>
                <w:color w:val="000000"/>
                <w:sz w:val="22"/>
                <w:szCs w:val="22"/>
              </w:rPr>
              <w:t>Verified.</w:t>
            </w:r>
          </w:p>
        </w:tc>
      </w:tr>
      <w:tr w:rsidR="00357F1A" w:rsidRPr="00261D8E" w:rsidTr="00396048">
        <w:tc>
          <w:tcPr>
            <w:tcW w:w="5040" w:type="dxa"/>
            <w:shd w:val="clear" w:color="auto" w:fill="FFFFFF"/>
          </w:tcPr>
          <w:p w:rsidR="00357F1A" w:rsidRPr="00261D8E" w:rsidRDefault="00357F1A" w:rsidP="00DE0DDE">
            <w:pPr>
              <w:tabs>
                <w:tab w:val="left" w:pos="315"/>
              </w:tabs>
              <w:spacing w:before="60" w:after="60"/>
              <w:ind w:left="360" w:hanging="360"/>
              <w:rPr>
                <w:color w:val="000000"/>
                <w:sz w:val="22"/>
                <w:szCs w:val="22"/>
              </w:rPr>
            </w:pPr>
            <w:r w:rsidRPr="00261D8E">
              <w:rPr>
                <w:color w:val="000000"/>
                <w:sz w:val="22"/>
                <w:szCs w:val="22"/>
              </w:rPr>
              <w:t>11. Based on another CPUC determination (specify):</w:t>
            </w:r>
          </w:p>
        </w:tc>
        <w:tc>
          <w:tcPr>
            <w:tcW w:w="2340" w:type="dxa"/>
            <w:shd w:val="clear" w:color="auto" w:fill="FFFFFF"/>
          </w:tcPr>
          <w:p w:rsidR="00357F1A" w:rsidRPr="00261D8E" w:rsidRDefault="00357F1A" w:rsidP="00DE0DDE">
            <w:pPr>
              <w:tabs>
                <w:tab w:val="left" w:pos="360"/>
              </w:tabs>
              <w:spacing w:before="60" w:after="60"/>
              <w:ind w:hanging="360"/>
              <w:rPr>
                <w:color w:val="000000"/>
                <w:sz w:val="22"/>
                <w:szCs w:val="22"/>
              </w:rPr>
            </w:pPr>
          </w:p>
        </w:tc>
        <w:tc>
          <w:tcPr>
            <w:tcW w:w="2340" w:type="dxa"/>
            <w:shd w:val="clear" w:color="auto" w:fill="FFFFFF"/>
          </w:tcPr>
          <w:p w:rsidR="00357F1A" w:rsidRPr="00261D8E" w:rsidRDefault="00357F1A" w:rsidP="00DE0DDE">
            <w:pPr>
              <w:tabs>
                <w:tab w:val="left" w:pos="360"/>
              </w:tabs>
              <w:spacing w:before="60" w:after="60"/>
              <w:rPr>
                <w:color w:val="000000"/>
                <w:sz w:val="22"/>
                <w:szCs w:val="22"/>
              </w:rPr>
            </w:pPr>
          </w:p>
        </w:tc>
      </w:tr>
      <w:tr w:rsidR="00A92D0B" w:rsidRPr="00261D8E" w:rsidTr="00DE0DDE">
        <w:tc>
          <w:tcPr>
            <w:tcW w:w="7380" w:type="dxa"/>
            <w:gridSpan w:val="2"/>
            <w:tcBorders>
              <w:bottom w:val="single" w:sz="4" w:space="0" w:color="auto"/>
            </w:tcBorders>
            <w:shd w:val="clear" w:color="auto" w:fill="FFFFFF"/>
            <w:vAlign w:val="center"/>
          </w:tcPr>
          <w:p w:rsidR="00A92D0B" w:rsidRPr="00261D8E" w:rsidRDefault="00A92D0B" w:rsidP="00DE0DDE">
            <w:pPr>
              <w:tabs>
                <w:tab w:val="left" w:pos="360"/>
              </w:tabs>
              <w:spacing w:before="120" w:after="120"/>
              <w:ind w:hanging="360"/>
              <w:rPr>
                <w:color w:val="000000"/>
                <w:sz w:val="22"/>
                <w:szCs w:val="22"/>
              </w:rPr>
            </w:pPr>
            <w:r w:rsidRPr="00261D8E">
              <w:rPr>
                <w:color w:val="000000"/>
                <w:sz w:val="22"/>
                <w:szCs w:val="22"/>
              </w:rPr>
              <w:t xml:space="preserve">12. 12. </w:t>
            </w:r>
            <w:r w:rsidR="00FC72B7" w:rsidRPr="00261D8E">
              <w:rPr>
                <w:color w:val="000000"/>
                <w:sz w:val="22"/>
                <w:szCs w:val="22"/>
              </w:rPr>
              <w:t xml:space="preserve"> </w:t>
            </w:r>
            <w:r w:rsidRPr="00261D8E">
              <w:rPr>
                <w:color w:val="000000"/>
                <w:sz w:val="22"/>
                <w:szCs w:val="22"/>
              </w:rPr>
              <w:t>Has the</w:t>
            </w:r>
            <w:r w:rsidR="00A319DE" w:rsidRPr="00261D8E">
              <w:rPr>
                <w:color w:val="000000"/>
                <w:sz w:val="22"/>
                <w:szCs w:val="22"/>
              </w:rPr>
              <w:t xml:space="preserve"> </w:t>
            </w:r>
            <w:r w:rsidR="005A63D4" w:rsidRPr="00261D8E">
              <w:rPr>
                <w:color w:val="000000"/>
                <w:sz w:val="22"/>
                <w:szCs w:val="22"/>
              </w:rPr>
              <w:t>Intervenor</w:t>
            </w:r>
            <w:r w:rsidRPr="00261D8E">
              <w:rPr>
                <w:color w:val="000000"/>
                <w:sz w:val="22"/>
                <w:szCs w:val="22"/>
              </w:rPr>
              <w:t xml:space="preserve"> demonstrated significant financial hardship?</w:t>
            </w:r>
          </w:p>
        </w:tc>
        <w:tc>
          <w:tcPr>
            <w:tcW w:w="2340" w:type="dxa"/>
            <w:tcBorders>
              <w:bottom w:val="single" w:sz="4" w:space="0" w:color="auto"/>
            </w:tcBorders>
            <w:shd w:val="clear" w:color="auto" w:fill="FFFFFF"/>
          </w:tcPr>
          <w:p w:rsidR="00A92D0B" w:rsidRPr="00261D8E" w:rsidRDefault="009248F0" w:rsidP="00DE0DDE">
            <w:pPr>
              <w:tabs>
                <w:tab w:val="left" w:pos="360"/>
              </w:tabs>
              <w:spacing w:before="60" w:after="60"/>
              <w:rPr>
                <w:color w:val="000000"/>
                <w:sz w:val="22"/>
                <w:szCs w:val="22"/>
              </w:rPr>
            </w:pPr>
            <w:r>
              <w:rPr>
                <w:color w:val="000000"/>
                <w:sz w:val="22"/>
                <w:szCs w:val="22"/>
              </w:rPr>
              <w:t>Yes, UCAN demonstrated significant financial hardship.</w:t>
            </w:r>
          </w:p>
        </w:tc>
      </w:tr>
      <w:tr w:rsidR="00A92D0B" w:rsidRPr="00261D8E" w:rsidTr="00BE188B">
        <w:tc>
          <w:tcPr>
            <w:tcW w:w="9720" w:type="dxa"/>
            <w:gridSpan w:val="3"/>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383CA0">
            <w:pPr>
              <w:tabs>
                <w:tab w:val="left" w:pos="360"/>
              </w:tabs>
              <w:spacing w:before="60" w:after="60"/>
              <w:jc w:val="center"/>
              <w:rPr>
                <w:color w:val="000000"/>
                <w:sz w:val="22"/>
                <w:szCs w:val="22"/>
              </w:rPr>
            </w:pPr>
            <w:r w:rsidRPr="00261D8E">
              <w:rPr>
                <w:b/>
                <w:color w:val="000000"/>
                <w:sz w:val="22"/>
                <w:szCs w:val="22"/>
              </w:rPr>
              <w:t>Timely request for compensation (§ 1804(c)):</w:t>
            </w:r>
          </w:p>
        </w:tc>
      </w:tr>
      <w:tr w:rsidR="00A92D0B" w:rsidRPr="00261D8E" w:rsidTr="00BE188B">
        <w:tc>
          <w:tcPr>
            <w:tcW w:w="5040" w:type="dxa"/>
            <w:tcBorders>
              <w:top w:val="single" w:sz="4" w:space="0" w:color="auto"/>
            </w:tcBorders>
            <w:shd w:val="clear" w:color="auto" w:fill="FFFFFF"/>
          </w:tcPr>
          <w:p w:rsidR="00A92D0B" w:rsidRPr="00261D8E" w:rsidRDefault="00A92D0B" w:rsidP="00550773">
            <w:pPr>
              <w:tabs>
                <w:tab w:val="left" w:pos="612"/>
              </w:tabs>
              <w:spacing w:before="60" w:after="60"/>
              <w:ind w:left="360" w:hanging="360"/>
              <w:rPr>
                <w:color w:val="000000"/>
                <w:sz w:val="22"/>
                <w:szCs w:val="22"/>
              </w:rPr>
            </w:pPr>
            <w:r w:rsidRPr="00261D8E">
              <w:rPr>
                <w:color w:val="000000"/>
                <w:sz w:val="22"/>
                <w:szCs w:val="22"/>
              </w:rPr>
              <w:t>13.  Identify Final Decision:</w:t>
            </w:r>
          </w:p>
        </w:tc>
        <w:tc>
          <w:tcPr>
            <w:tcW w:w="2340" w:type="dxa"/>
            <w:tcBorders>
              <w:top w:val="single" w:sz="4" w:space="0" w:color="auto"/>
            </w:tcBorders>
            <w:shd w:val="clear" w:color="auto" w:fill="FFFFFF"/>
          </w:tcPr>
          <w:p w:rsidR="00A92D0B" w:rsidRPr="00261D8E" w:rsidRDefault="00434B63" w:rsidP="00550773">
            <w:pPr>
              <w:tabs>
                <w:tab w:val="left" w:pos="360"/>
              </w:tabs>
              <w:spacing w:before="60" w:after="60"/>
              <w:jc w:val="center"/>
              <w:rPr>
                <w:color w:val="000000"/>
                <w:sz w:val="22"/>
                <w:szCs w:val="22"/>
              </w:rPr>
            </w:pPr>
            <w:r w:rsidRPr="00261D8E">
              <w:rPr>
                <w:color w:val="000000"/>
                <w:sz w:val="22"/>
                <w:szCs w:val="22"/>
              </w:rPr>
              <w:t>D.16-06-054</w:t>
            </w:r>
          </w:p>
        </w:tc>
        <w:tc>
          <w:tcPr>
            <w:tcW w:w="2340" w:type="dxa"/>
            <w:tcBorders>
              <w:top w:val="single" w:sz="4" w:space="0" w:color="auto"/>
            </w:tcBorders>
            <w:shd w:val="clear" w:color="auto" w:fill="FFFFFF"/>
          </w:tcPr>
          <w:p w:rsidR="00A92D0B" w:rsidRPr="00261D8E" w:rsidRDefault="00AD027E" w:rsidP="00550773">
            <w:pPr>
              <w:tabs>
                <w:tab w:val="left" w:pos="360"/>
              </w:tabs>
              <w:spacing w:before="60" w:after="60"/>
              <w:rPr>
                <w:color w:val="000000"/>
                <w:sz w:val="22"/>
                <w:szCs w:val="22"/>
              </w:rPr>
            </w:pPr>
            <w:r w:rsidRPr="00261D8E">
              <w:rPr>
                <w:color w:val="000000"/>
                <w:sz w:val="22"/>
                <w:szCs w:val="22"/>
              </w:rPr>
              <w:t>Verified.</w:t>
            </w:r>
          </w:p>
        </w:tc>
      </w:tr>
      <w:tr w:rsidR="00A92D0B" w:rsidRPr="00261D8E" w:rsidTr="00BE188B">
        <w:tc>
          <w:tcPr>
            <w:tcW w:w="5040" w:type="dxa"/>
            <w:shd w:val="clear" w:color="auto" w:fill="FFFFFF"/>
          </w:tcPr>
          <w:p w:rsidR="00A92D0B" w:rsidRPr="00261D8E" w:rsidRDefault="00A92D0B" w:rsidP="00550773">
            <w:pPr>
              <w:tabs>
                <w:tab w:val="left" w:pos="612"/>
              </w:tabs>
              <w:spacing w:before="60" w:after="60"/>
              <w:ind w:left="360" w:hanging="360"/>
              <w:rPr>
                <w:color w:val="000000"/>
                <w:sz w:val="22"/>
                <w:szCs w:val="22"/>
              </w:rPr>
            </w:pPr>
            <w:r w:rsidRPr="00261D8E">
              <w:rPr>
                <w:color w:val="000000"/>
                <w:sz w:val="22"/>
                <w:szCs w:val="22"/>
              </w:rPr>
              <w:t xml:space="preserve">14. </w:t>
            </w:r>
            <w:r w:rsidR="00FC72B7" w:rsidRPr="00261D8E">
              <w:rPr>
                <w:color w:val="000000"/>
                <w:sz w:val="22"/>
                <w:szCs w:val="22"/>
              </w:rPr>
              <w:t xml:space="preserve"> </w:t>
            </w:r>
            <w:r w:rsidRPr="00261D8E">
              <w:rPr>
                <w:color w:val="000000"/>
                <w:sz w:val="22"/>
                <w:szCs w:val="22"/>
              </w:rPr>
              <w:t xml:space="preserve">Date of </w:t>
            </w:r>
            <w:r w:rsidR="00A319DE" w:rsidRPr="00261D8E">
              <w:rPr>
                <w:color w:val="000000"/>
                <w:sz w:val="22"/>
                <w:szCs w:val="22"/>
              </w:rPr>
              <w:t>i</w:t>
            </w:r>
            <w:r w:rsidRPr="00261D8E">
              <w:rPr>
                <w:color w:val="000000"/>
                <w:sz w:val="22"/>
                <w:szCs w:val="22"/>
              </w:rPr>
              <w:t xml:space="preserve">ssuance of Final Order or Decision:    </w:t>
            </w:r>
          </w:p>
        </w:tc>
        <w:tc>
          <w:tcPr>
            <w:tcW w:w="2340" w:type="dxa"/>
            <w:shd w:val="clear" w:color="auto" w:fill="FFFFFF"/>
          </w:tcPr>
          <w:p w:rsidR="00A92D0B" w:rsidRPr="00261D8E" w:rsidRDefault="00434B63" w:rsidP="00550773">
            <w:pPr>
              <w:tabs>
                <w:tab w:val="left" w:pos="360"/>
              </w:tabs>
              <w:spacing w:before="60" w:after="60"/>
              <w:jc w:val="center"/>
              <w:rPr>
                <w:sz w:val="22"/>
                <w:szCs w:val="22"/>
              </w:rPr>
            </w:pPr>
            <w:r w:rsidRPr="00261D8E">
              <w:rPr>
                <w:rStyle w:val="PlaceholderText"/>
                <w:color w:val="auto"/>
                <w:sz w:val="22"/>
                <w:szCs w:val="22"/>
              </w:rPr>
              <w:t>7/1/16</w:t>
            </w:r>
          </w:p>
        </w:tc>
        <w:tc>
          <w:tcPr>
            <w:tcW w:w="2340" w:type="dxa"/>
            <w:shd w:val="clear" w:color="auto" w:fill="FFFFFF"/>
          </w:tcPr>
          <w:p w:rsidR="00A92D0B" w:rsidRPr="00261D8E" w:rsidRDefault="00AD027E" w:rsidP="00550773">
            <w:pPr>
              <w:tabs>
                <w:tab w:val="left" w:pos="360"/>
              </w:tabs>
              <w:spacing w:before="60" w:after="60"/>
              <w:rPr>
                <w:color w:val="000000"/>
                <w:sz w:val="22"/>
                <w:szCs w:val="22"/>
              </w:rPr>
            </w:pPr>
            <w:r w:rsidRPr="00261D8E">
              <w:rPr>
                <w:color w:val="000000"/>
                <w:sz w:val="22"/>
                <w:szCs w:val="22"/>
              </w:rPr>
              <w:t>Verified.</w:t>
            </w:r>
          </w:p>
        </w:tc>
      </w:tr>
      <w:tr w:rsidR="00A92D0B" w:rsidRPr="00261D8E" w:rsidTr="00BE188B">
        <w:tc>
          <w:tcPr>
            <w:tcW w:w="5040" w:type="dxa"/>
            <w:shd w:val="clear" w:color="auto" w:fill="FFFFFF"/>
          </w:tcPr>
          <w:p w:rsidR="00A92D0B" w:rsidRPr="00261D8E" w:rsidRDefault="00A92D0B" w:rsidP="00550773">
            <w:pPr>
              <w:tabs>
                <w:tab w:val="left" w:pos="612"/>
              </w:tabs>
              <w:spacing w:before="60" w:after="60"/>
              <w:ind w:left="360" w:hanging="360"/>
              <w:rPr>
                <w:color w:val="000000"/>
                <w:sz w:val="22"/>
                <w:szCs w:val="22"/>
              </w:rPr>
            </w:pPr>
            <w:r w:rsidRPr="00261D8E">
              <w:rPr>
                <w:color w:val="000000"/>
                <w:sz w:val="22"/>
                <w:szCs w:val="22"/>
              </w:rPr>
              <w:t xml:space="preserve">15. </w:t>
            </w:r>
            <w:r w:rsidR="00FC72B7" w:rsidRPr="00261D8E">
              <w:rPr>
                <w:color w:val="000000"/>
                <w:sz w:val="22"/>
                <w:szCs w:val="22"/>
              </w:rPr>
              <w:t xml:space="preserve"> </w:t>
            </w:r>
            <w:r w:rsidRPr="00261D8E">
              <w:rPr>
                <w:color w:val="000000"/>
                <w:sz w:val="22"/>
                <w:szCs w:val="22"/>
              </w:rPr>
              <w:t>File date of compensation request:</w:t>
            </w:r>
          </w:p>
        </w:tc>
        <w:tc>
          <w:tcPr>
            <w:tcW w:w="2340" w:type="dxa"/>
            <w:shd w:val="clear" w:color="auto" w:fill="FFFFFF"/>
          </w:tcPr>
          <w:p w:rsidR="00A92D0B" w:rsidRPr="00261D8E" w:rsidRDefault="00434B63" w:rsidP="00550773">
            <w:pPr>
              <w:tabs>
                <w:tab w:val="left" w:pos="360"/>
              </w:tabs>
              <w:spacing w:before="60" w:after="60"/>
              <w:jc w:val="center"/>
              <w:rPr>
                <w:sz w:val="22"/>
                <w:szCs w:val="22"/>
              </w:rPr>
            </w:pPr>
            <w:r w:rsidRPr="00261D8E">
              <w:rPr>
                <w:rStyle w:val="PlaceholderText"/>
                <w:color w:val="auto"/>
                <w:sz w:val="22"/>
                <w:szCs w:val="22"/>
              </w:rPr>
              <w:t>8/30/16</w:t>
            </w:r>
          </w:p>
        </w:tc>
        <w:tc>
          <w:tcPr>
            <w:tcW w:w="2340" w:type="dxa"/>
            <w:shd w:val="clear" w:color="auto" w:fill="FFFFFF"/>
          </w:tcPr>
          <w:p w:rsidR="00A92D0B" w:rsidRPr="00261D8E" w:rsidRDefault="00AD027E" w:rsidP="00550773">
            <w:pPr>
              <w:tabs>
                <w:tab w:val="left" w:pos="360"/>
              </w:tabs>
              <w:spacing w:before="60" w:after="60"/>
              <w:rPr>
                <w:color w:val="000000"/>
                <w:sz w:val="22"/>
                <w:szCs w:val="22"/>
              </w:rPr>
            </w:pPr>
            <w:r w:rsidRPr="00261D8E">
              <w:rPr>
                <w:color w:val="000000"/>
                <w:sz w:val="22"/>
                <w:szCs w:val="22"/>
              </w:rPr>
              <w:t>Verified.</w:t>
            </w:r>
          </w:p>
        </w:tc>
      </w:tr>
      <w:tr w:rsidR="00A92D0B" w:rsidRPr="00261D8E" w:rsidTr="00DE0DDE">
        <w:tc>
          <w:tcPr>
            <w:tcW w:w="7380" w:type="dxa"/>
            <w:gridSpan w:val="2"/>
            <w:shd w:val="clear" w:color="auto" w:fill="FFFFFF"/>
            <w:vAlign w:val="center"/>
          </w:tcPr>
          <w:p w:rsidR="00A92D0B" w:rsidRPr="00261D8E" w:rsidRDefault="00A92D0B" w:rsidP="00DE0DDE">
            <w:pPr>
              <w:tabs>
                <w:tab w:val="left" w:pos="360"/>
              </w:tabs>
              <w:spacing w:before="120" w:after="120"/>
              <w:ind w:left="360" w:hanging="360"/>
              <w:rPr>
                <w:color w:val="000000"/>
                <w:sz w:val="22"/>
                <w:szCs w:val="22"/>
              </w:rPr>
            </w:pPr>
            <w:r w:rsidRPr="00261D8E">
              <w:rPr>
                <w:color w:val="000000"/>
                <w:sz w:val="22"/>
                <w:szCs w:val="22"/>
              </w:rPr>
              <w:t>16. Was the request for compensation timely?</w:t>
            </w:r>
          </w:p>
        </w:tc>
        <w:tc>
          <w:tcPr>
            <w:tcW w:w="2340" w:type="dxa"/>
            <w:shd w:val="clear" w:color="auto" w:fill="FFFFFF"/>
          </w:tcPr>
          <w:p w:rsidR="00A92D0B" w:rsidRPr="00261D8E" w:rsidRDefault="00AD027E" w:rsidP="00DE0DDE">
            <w:pPr>
              <w:tabs>
                <w:tab w:val="left" w:pos="360"/>
              </w:tabs>
              <w:spacing w:before="60" w:after="60"/>
              <w:rPr>
                <w:color w:val="000000"/>
                <w:sz w:val="22"/>
                <w:szCs w:val="22"/>
              </w:rPr>
            </w:pPr>
            <w:r w:rsidRPr="00261D8E">
              <w:rPr>
                <w:color w:val="000000"/>
                <w:sz w:val="22"/>
                <w:szCs w:val="22"/>
              </w:rPr>
              <w:t>Yes, UCAN timely filed the notice of intent to claim intervenor compensation.</w:t>
            </w:r>
          </w:p>
        </w:tc>
      </w:tr>
    </w:tbl>
    <w:p w:rsidR="00A92D0B" w:rsidRPr="00261D8E" w:rsidRDefault="00A92D0B">
      <w:pPr>
        <w:rPr>
          <w:color w:val="000000"/>
          <w:sz w:val="22"/>
          <w:szCs w:val="22"/>
        </w:rPr>
      </w:pPr>
      <w:r w:rsidRPr="00261D8E">
        <w:rPr>
          <w:b/>
          <w:color w:val="000000"/>
          <w:sz w:val="22"/>
          <w:szCs w:val="22"/>
        </w:rPr>
        <w:lastRenderedPageBreak/>
        <w:t xml:space="preserve">PART II:  SUBSTANTIAL CONTRIBUTION </w:t>
      </w:r>
    </w:p>
    <w:p w:rsidR="00A92D0B" w:rsidRPr="00261D8E" w:rsidRDefault="00D075B1" w:rsidP="00D03F56">
      <w:pPr>
        <w:numPr>
          <w:ilvl w:val="0"/>
          <w:numId w:val="1"/>
        </w:numPr>
        <w:tabs>
          <w:tab w:val="clear" w:pos="900"/>
          <w:tab w:val="num" w:pos="360"/>
        </w:tabs>
        <w:spacing w:before="120" w:after="120"/>
        <w:ind w:left="360"/>
        <w:rPr>
          <w:b/>
          <w:color w:val="000000"/>
          <w:sz w:val="22"/>
          <w:szCs w:val="22"/>
        </w:rPr>
      </w:pPr>
      <w:r w:rsidRPr="00261D8E">
        <w:rPr>
          <w:b/>
          <w:color w:val="000000"/>
          <w:sz w:val="22"/>
          <w:szCs w:val="22"/>
        </w:rPr>
        <w:t xml:space="preserve">Did the </w:t>
      </w:r>
      <w:r w:rsidR="005A63D4" w:rsidRPr="00261D8E">
        <w:rPr>
          <w:b/>
          <w:color w:val="000000"/>
          <w:sz w:val="22"/>
          <w:szCs w:val="22"/>
        </w:rPr>
        <w:t>Intervenor</w:t>
      </w:r>
      <w:r w:rsidRPr="00261D8E">
        <w:rPr>
          <w:b/>
          <w:color w:val="000000"/>
          <w:sz w:val="22"/>
          <w:szCs w:val="22"/>
        </w:rPr>
        <w:t xml:space="preserve"> substantially contribute to the final decision</w:t>
      </w:r>
      <w:r w:rsidR="00A92D0B" w:rsidRPr="00261D8E">
        <w:rPr>
          <w:b/>
          <w:color w:val="000000"/>
          <w:sz w:val="22"/>
          <w:szCs w:val="22"/>
        </w:rPr>
        <w:t xml:space="preserve"> (</w:t>
      </w:r>
      <w:r w:rsidR="00A92D0B" w:rsidRPr="00261D8E">
        <w:rPr>
          <w:b/>
          <w:i/>
          <w:color w:val="000000"/>
          <w:sz w:val="22"/>
          <w:szCs w:val="22"/>
        </w:rPr>
        <w:t>see</w:t>
      </w:r>
      <w:r w:rsidR="00A92D0B" w:rsidRPr="00261D8E">
        <w:rPr>
          <w:b/>
          <w:color w:val="000000"/>
          <w:sz w:val="22"/>
          <w:szCs w:val="22"/>
        </w:rPr>
        <w:t xml:space="preserve"> § 1802(i), § 1803(a)</w:t>
      </w:r>
      <w:r w:rsidR="00F30DA8" w:rsidRPr="00261D8E">
        <w:rPr>
          <w:b/>
          <w:color w:val="000000"/>
          <w:sz w:val="22"/>
          <w:szCs w:val="22"/>
        </w:rPr>
        <w:t>,</w:t>
      </w:r>
      <w:r w:rsidR="00A92D0B" w:rsidRPr="00261D8E">
        <w:rPr>
          <w:b/>
          <w:color w:val="000000"/>
          <w:sz w:val="22"/>
          <w:szCs w:val="22"/>
        </w:rPr>
        <w:t xml:space="preserve"> </w:t>
      </w:r>
      <w:r w:rsidR="00F30DA8" w:rsidRPr="00261D8E">
        <w:rPr>
          <w:b/>
          <w:color w:val="000000"/>
          <w:sz w:val="22"/>
          <w:szCs w:val="22"/>
        </w:rPr>
        <w:t>and</w:t>
      </w:r>
      <w:r w:rsidR="00A92D0B" w:rsidRPr="00261D8E">
        <w:rPr>
          <w:b/>
          <w:color w:val="000000"/>
          <w:sz w:val="22"/>
          <w:szCs w:val="22"/>
        </w:rPr>
        <w:t xml:space="preserve"> D.98-04-059).  (For each contribution, support with specific reference to the record.)</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3420"/>
        <w:gridCol w:w="2340"/>
      </w:tblGrid>
      <w:tr w:rsidR="00A92D0B" w:rsidRPr="00261D8E" w:rsidTr="00DE0DDE">
        <w:tc>
          <w:tcPr>
            <w:tcW w:w="3978" w:type="dxa"/>
            <w:tcBorders>
              <w:bottom w:val="single" w:sz="4" w:space="0" w:color="auto"/>
            </w:tcBorders>
            <w:shd w:val="clear" w:color="auto" w:fill="FFFFFF"/>
            <w:vAlign w:val="center"/>
          </w:tcPr>
          <w:p w:rsidR="00A92D0B" w:rsidRPr="00261D8E" w:rsidRDefault="00D075B1" w:rsidP="00DE0DDE">
            <w:pPr>
              <w:spacing w:before="120" w:after="120"/>
              <w:rPr>
                <w:b/>
                <w:color w:val="000000"/>
                <w:sz w:val="22"/>
                <w:szCs w:val="22"/>
              </w:rPr>
            </w:pPr>
            <w:r w:rsidRPr="00261D8E">
              <w:rPr>
                <w:b/>
                <w:color w:val="000000"/>
                <w:sz w:val="22"/>
                <w:szCs w:val="22"/>
              </w:rPr>
              <w:t>Intervenor’s Claimed Contribution(s)</w:t>
            </w:r>
          </w:p>
        </w:tc>
        <w:tc>
          <w:tcPr>
            <w:tcW w:w="3420" w:type="dxa"/>
            <w:tcBorders>
              <w:bottom w:val="single" w:sz="4" w:space="0" w:color="auto"/>
            </w:tcBorders>
            <w:shd w:val="clear" w:color="auto" w:fill="FFFFFF"/>
          </w:tcPr>
          <w:p w:rsidR="00A92D0B" w:rsidRPr="00261D8E" w:rsidRDefault="00A92D0B" w:rsidP="00DE0DDE">
            <w:pPr>
              <w:spacing w:before="60" w:after="60"/>
              <w:jc w:val="center"/>
              <w:rPr>
                <w:b/>
                <w:color w:val="000000"/>
                <w:sz w:val="22"/>
                <w:szCs w:val="22"/>
              </w:rPr>
            </w:pPr>
            <w:r w:rsidRPr="00261D8E">
              <w:rPr>
                <w:b/>
                <w:color w:val="000000"/>
                <w:sz w:val="22"/>
                <w:szCs w:val="22"/>
              </w:rPr>
              <w:t xml:space="preserve">Specific References to </w:t>
            </w:r>
            <w:r w:rsidR="00D075B1" w:rsidRPr="00261D8E">
              <w:rPr>
                <w:b/>
                <w:color w:val="000000"/>
                <w:sz w:val="22"/>
                <w:szCs w:val="22"/>
              </w:rPr>
              <w:t>Intervenor’s Claimed Contribution(s)</w:t>
            </w:r>
          </w:p>
        </w:tc>
        <w:tc>
          <w:tcPr>
            <w:tcW w:w="2340" w:type="dxa"/>
            <w:shd w:val="clear" w:color="auto" w:fill="FFFFFF"/>
            <w:vAlign w:val="center"/>
          </w:tcPr>
          <w:p w:rsidR="00A92D0B" w:rsidRPr="00261D8E" w:rsidRDefault="00D075B1" w:rsidP="00DE0DDE">
            <w:pPr>
              <w:spacing w:before="120" w:after="120"/>
              <w:jc w:val="center"/>
              <w:rPr>
                <w:b/>
                <w:color w:val="000000"/>
                <w:sz w:val="22"/>
                <w:szCs w:val="22"/>
              </w:rPr>
            </w:pPr>
            <w:r w:rsidRPr="00261D8E">
              <w:rPr>
                <w:b/>
                <w:color w:val="000000"/>
                <w:sz w:val="22"/>
                <w:szCs w:val="22"/>
              </w:rPr>
              <w:t>CPUC Discussion</w:t>
            </w:r>
          </w:p>
        </w:tc>
      </w:tr>
      <w:tr w:rsidR="001A6766" w:rsidRPr="00261D8E" w:rsidTr="00396048">
        <w:tc>
          <w:tcPr>
            <w:tcW w:w="3978" w:type="dxa"/>
            <w:tcBorders>
              <w:bottom w:val="single" w:sz="4" w:space="0" w:color="auto"/>
            </w:tcBorders>
            <w:shd w:val="clear" w:color="auto" w:fill="FFFFFF"/>
          </w:tcPr>
          <w:p w:rsidR="001A6766" w:rsidRPr="00261D8E" w:rsidRDefault="001A6766" w:rsidP="005533C9">
            <w:pPr>
              <w:spacing w:before="60"/>
              <w:rPr>
                <w:b/>
                <w:color w:val="000000"/>
                <w:sz w:val="22"/>
                <w:szCs w:val="22"/>
              </w:rPr>
            </w:pPr>
            <w:r w:rsidRPr="00261D8E">
              <w:rPr>
                <w:b/>
                <w:color w:val="000000"/>
                <w:sz w:val="22"/>
                <w:szCs w:val="22"/>
              </w:rPr>
              <w:t>Summary:</w:t>
            </w:r>
          </w:p>
          <w:p w:rsidR="001A6766" w:rsidRPr="00261D8E" w:rsidRDefault="001A6766" w:rsidP="005533C9">
            <w:pPr>
              <w:spacing w:before="60"/>
              <w:rPr>
                <w:b/>
                <w:color w:val="000000"/>
                <w:sz w:val="22"/>
                <w:szCs w:val="22"/>
              </w:rPr>
            </w:pPr>
            <w:r w:rsidRPr="00261D8E">
              <w:rPr>
                <w:color w:val="000000"/>
                <w:sz w:val="22"/>
                <w:szCs w:val="22"/>
              </w:rPr>
              <w:t xml:space="preserve">In these consolidated proceedings both SDG&amp;E and </w:t>
            </w:r>
            <w:proofErr w:type="spellStart"/>
            <w:r w:rsidRPr="00261D8E">
              <w:rPr>
                <w:color w:val="000000"/>
                <w:sz w:val="22"/>
                <w:szCs w:val="22"/>
              </w:rPr>
              <w:t>SoCalGas</w:t>
            </w:r>
            <w:proofErr w:type="spellEnd"/>
            <w:r w:rsidRPr="00261D8E">
              <w:rPr>
                <w:color w:val="000000"/>
                <w:sz w:val="22"/>
                <w:szCs w:val="22"/>
              </w:rPr>
              <w:t xml:space="preserve"> submitted their General Rate Case filings.  SDG&amp;E requested a total revenue requirement </w:t>
            </w:r>
            <w:proofErr w:type="gramStart"/>
            <w:r w:rsidRPr="00261D8E">
              <w:rPr>
                <w:color w:val="000000"/>
                <w:sz w:val="22"/>
                <w:szCs w:val="22"/>
              </w:rPr>
              <w:t xml:space="preserve">of  </w:t>
            </w:r>
            <w:r w:rsidRPr="00261D8E">
              <w:rPr>
                <w:sz w:val="22"/>
                <w:szCs w:val="22"/>
              </w:rPr>
              <w:t>$</w:t>
            </w:r>
            <w:proofErr w:type="gramEnd"/>
            <w:r w:rsidRPr="00261D8E">
              <w:rPr>
                <w:sz w:val="22"/>
                <w:szCs w:val="22"/>
              </w:rPr>
              <w:t xml:space="preserve">1,895,437,000 and </w:t>
            </w:r>
            <w:proofErr w:type="spellStart"/>
            <w:r w:rsidRPr="00261D8E">
              <w:rPr>
                <w:sz w:val="22"/>
                <w:szCs w:val="22"/>
              </w:rPr>
              <w:t>SoCalGas</w:t>
            </w:r>
            <w:proofErr w:type="spellEnd"/>
            <w:r w:rsidRPr="00261D8E">
              <w:rPr>
                <w:sz w:val="22"/>
                <w:szCs w:val="22"/>
              </w:rPr>
              <w:t xml:space="preserve"> requested $2,331,187,000.  These cases were extensively litigated, and after almost a month of hearings the Sempra utilities, UCAN and several other parties negotiated settlements for both the revenue requirement issues and the non-revenue requirement issues.  Through a series of interlocking </w:t>
            </w:r>
            <w:r w:rsidR="00E430A3" w:rsidRPr="00261D8E">
              <w:rPr>
                <w:sz w:val="22"/>
                <w:szCs w:val="22"/>
              </w:rPr>
              <w:t>agreements,</w:t>
            </w:r>
            <w:r w:rsidRPr="00261D8E">
              <w:rPr>
                <w:sz w:val="22"/>
                <w:szCs w:val="22"/>
              </w:rPr>
              <w:t xml:space="preserve"> the parties settled all issues (with the exception of one tax issue that was carved out).</w:t>
            </w:r>
          </w:p>
          <w:p w:rsidR="001A6766" w:rsidRPr="00261D8E" w:rsidRDefault="001A6766" w:rsidP="005533C9">
            <w:pPr>
              <w:spacing w:before="60"/>
              <w:rPr>
                <w:color w:val="000000"/>
                <w:sz w:val="22"/>
                <w:szCs w:val="22"/>
              </w:rPr>
            </w:pPr>
            <w:r w:rsidRPr="00261D8E">
              <w:rPr>
                <w:color w:val="000000"/>
                <w:sz w:val="22"/>
                <w:szCs w:val="22"/>
              </w:rPr>
              <w:t xml:space="preserve">The Commission’s decision in </w:t>
            </w:r>
            <w:r w:rsidR="005533C9">
              <w:rPr>
                <w:color w:val="000000"/>
                <w:sz w:val="22"/>
                <w:szCs w:val="22"/>
              </w:rPr>
              <w:br/>
            </w:r>
            <w:r w:rsidRPr="00261D8E">
              <w:rPr>
                <w:color w:val="000000"/>
                <w:sz w:val="22"/>
                <w:szCs w:val="22"/>
              </w:rPr>
              <w:t>D.16-06-054 adopted those settlement agreements.</w:t>
            </w:r>
          </w:p>
          <w:p w:rsidR="001A6766" w:rsidRPr="00261D8E" w:rsidRDefault="001A6766" w:rsidP="005533C9">
            <w:pPr>
              <w:spacing w:before="60"/>
              <w:rPr>
                <w:color w:val="000000"/>
                <w:sz w:val="22"/>
                <w:szCs w:val="22"/>
              </w:rPr>
            </w:pPr>
            <w:r w:rsidRPr="00261D8E">
              <w:rPr>
                <w:sz w:val="22"/>
                <w:szCs w:val="22"/>
              </w:rPr>
              <w:t xml:space="preserve">In UCAN’s presentation we produced testimony from four witnesses: Laura </w:t>
            </w:r>
            <w:proofErr w:type="spellStart"/>
            <w:r w:rsidRPr="00261D8E">
              <w:rPr>
                <w:sz w:val="22"/>
                <w:szCs w:val="22"/>
              </w:rPr>
              <w:t>Norin</w:t>
            </w:r>
            <w:proofErr w:type="spellEnd"/>
            <w:r w:rsidRPr="00261D8E">
              <w:rPr>
                <w:sz w:val="22"/>
                <w:szCs w:val="22"/>
              </w:rPr>
              <w:t xml:space="preserve">, Mark Fulmer, Briana </w:t>
            </w:r>
            <w:proofErr w:type="spellStart"/>
            <w:r w:rsidRPr="00261D8E">
              <w:rPr>
                <w:sz w:val="22"/>
                <w:szCs w:val="22"/>
              </w:rPr>
              <w:t>Kobor</w:t>
            </w:r>
            <w:proofErr w:type="spellEnd"/>
            <w:r w:rsidRPr="00261D8E">
              <w:rPr>
                <w:sz w:val="22"/>
                <w:szCs w:val="22"/>
              </w:rPr>
              <w:t xml:space="preserve"> and Robert </w:t>
            </w:r>
            <w:proofErr w:type="spellStart"/>
            <w:r w:rsidRPr="00261D8E">
              <w:rPr>
                <w:sz w:val="22"/>
                <w:szCs w:val="22"/>
              </w:rPr>
              <w:t>Sulpizio</w:t>
            </w:r>
            <w:proofErr w:type="spellEnd"/>
            <w:r w:rsidRPr="00261D8E">
              <w:rPr>
                <w:sz w:val="22"/>
                <w:szCs w:val="22"/>
              </w:rPr>
              <w:t xml:space="preserve">.  While described in more detail below, these witnesses’ testimonies covered several revenue requirement issues common to both utilities, and several non-revenue requirement issues raised by UCAN that the Commission accepted. </w:t>
            </w:r>
          </w:p>
          <w:p w:rsidR="001A6766" w:rsidRPr="00261D8E" w:rsidRDefault="001A6766" w:rsidP="005533C9">
            <w:pPr>
              <w:spacing w:before="60"/>
              <w:rPr>
                <w:color w:val="000000"/>
                <w:sz w:val="22"/>
                <w:szCs w:val="22"/>
              </w:rPr>
            </w:pPr>
            <w:r w:rsidRPr="00261D8E">
              <w:rPr>
                <w:color w:val="000000"/>
                <w:sz w:val="22"/>
                <w:szCs w:val="22"/>
              </w:rPr>
              <w:t xml:space="preserve">In presenting our substantial contributions below, where the language of the decision discusses UCAN’s contributions directly, we will point to that language.  There are however instances where the decision, particularly on revenue requirement issues, fails to note party presentation except for the utilities and ORA.  For those issues UCAN will be noting the record that was produced, the testimony submitted and the effect our presentation </w:t>
            </w:r>
            <w:r w:rsidRPr="00261D8E">
              <w:rPr>
                <w:color w:val="000000"/>
                <w:sz w:val="22"/>
                <w:szCs w:val="22"/>
              </w:rPr>
              <w:lastRenderedPageBreak/>
              <w:t xml:space="preserve">in testimony and hearings had on particular issues.  </w:t>
            </w:r>
          </w:p>
          <w:p w:rsidR="001A6766" w:rsidRPr="00261D8E" w:rsidRDefault="001A6766" w:rsidP="005533C9">
            <w:pPr>
              <w:spacing w:before="60" w:after="120"/>
              <w:rPr>
                <w:color w:val="000000"/>
                <w:sz w:val="22"/>
                <w:szCs w:val="22"/>
              </w:rPr>
            </w:pPr>
            <w:r w:rsidRPr="00261D8E">
              <w:rPr>
                <w:color w:val="000000"/>
                <w:sz w:val="22"/>
                <w:szCs w:val="22"/>
              </w:rPr>
              <w:t>Given the quality of UCAN’s participation throughout the proceedings and UCAN’s active participation in negotiating the agreements that were adopted in this decision, UCAN asks that the substantial contributions to the issues we cite below be accepted. UCAN further notes that settlements necessarily reflect compromises, that no parties’ positions were adopted across-the-board, and that the UCAN proposals that were not adopted provided leverage to support other proposals that were adopted. UCAN’s contribution to this proceeding should therefore be measured holistically, rather than on an issue-by-issue basis.</w:t>
            </w:r>
          </w:p>
        </w:tc>
        <w:tc>
          <w:tcPr>
            <w:tcW w:w="3420" w:type="dxa"/>
            <w:tcBorders>
              <w:bottom w:val="single" w:sz="4" w:space="0" w:color="auto"/>
            </w:tcBorders>
            <w:shd w:val="clear" w:color="auto" w:fill="FFFFFF"/>
          </w:tcPr>
          <w:p w:rsidR="001A6766" w:rsidRPr="00261D8E" w:rsidRDefault="001A6766" w:rsidP="005533C9">
            <w:pPr>
              <w:spacing w:before="60"/>
              <w:rPr>
                <w:sz w:val="22"/>
                <w:szCs w:val="22"/>
              </w:rPr>
            </w:pPr>
            <w:r w:rsidRPr="00261D8E">
              <w:rPr>
                <w:sz w:val="22"/>
                <w:szCs w:val="22"/>
              </w:rPr>
              <w:lastRenderedPageBreak/>
              <w:t>The settlement agreement’s (Exhibit A) attachment 1 is titled:</w:t>
            </w:r>
          </w:p>
          <w:p w:rsidR="001A6766" w:rsidRPr="00261D8E" w:rsidRDefault="001A6766" w:rsidP="005533C9">
            <w:pPr>
              <w:spacing w:before="60"/>
              <w:rPr>
                <w:sz w:val="22"/>
                <w:szCs w:val="22"/>
              </w:rPr>
            </w:pPr>
            <w:r w:rsidRPr="00261D8E">
              <w:rPr>
                <w:sz w:val="22"/>
                <w:szCs w:val="22"/>
              </w:rPr>
              <w:t xml:space="preserve"> SETTLEMENT AGREEMENT TERMS BETWEEN SAN DIEGO GAS &amp; ELECTRIC COMPANY AND OFFICE OF RATEPAYER ADVOCATES</w:t>
            </w:r>
          </w:p>
          <w:p w:rsidR="001A6766" w:rsidRPr="00261D8E" w:rsidRDefault="001A6766" w:rsidP="005533C9">
            <w:pPr>
              <w:spacing w:before="60"/>
              <w:rPr>
                <w:sz w:val="22"/>
                <w:szCs w:val="22"/>
              </w:rPr>
            </w:pPr>
            <w:r w:rsidRPr="00261D8E">
              <w:rPr>
                <w:sz w:val="22"/>
                <w:szCs w:val="22"/>
              </w:rPr>
              <w:t xml:space="preserve">This section of the settlement covers all revenue requirement issues and provides the Commission the factual record to examine the reasonableness of the revenue requirement settlement by putting forward the Sempra Utilities and ORA’s litigation positions.  Unfortunately, UCAN and other party presentations on specific revenue requirement issues have not been identified in this section of the settlement. </w:t>
            </w:r>
          </w:p>
          <w:p w:rsidR="001A6766" w:rsidRPr="00261D8E" w:rsidRDefault="001A6766" w:rsidP="005533C9">
            <w:pPr>
              <w:spacing w:before="60"/>
              <w:rPr>
                <w:sz w:val="22"/>
                <w:szCs w:val="22"/>
              </w:rPr>
            </w:pPr>
            <w:r w:rsidRPr="00261D8E">
              <w:rPr>
                <w:sz w:val="22"/>
                <w:szCs w:val="22"/>
              </w:rPr>
              <w:t>Attachment 5 of the Joint Motion for Adoption of Settlement Agreements is titled:</w:t>
            </w:r>
          </w:p>
          <w:p w:rsidR="001A6766" w:rsidRPr="00261D8E" w:rsidRDefault="001A6766" w:rsidP="005533C9">
            <w:pPr>
              <w:spacing w:before="60"/>
              <w:rPr>
                <w:sz w:val="22"/>
                <w:szCs w:val="22"/>
              </w:rPr>
            </w:pPr>
            <w:r w:rsidRPr="00261D8E">
              <w:rPr>
                <w:sz w:val="22"/>
                <w:szCs w:val="22"/>
              </w:rPr>
              <w:t>SETTLEMENT AGREEMENT AMONG SAN DIEGO GAS &amp; ELECTRIC COMPANY (SDG&amp;E), SOUTHERN CALIFORNIA GAS COMPANY (SOCALGAS), THE UTILITY REFORM NETWORK (TURN), AND UTILITY CONSUMERS’ ACTION NETWORK (UCAN)</w:t>
            </w:r>
          </w:p>
          <w:p w:rsidR="001A6766" w:rsidRPr="00261D8E" w:rsidRDefault="001A6766" w:rsidP="005533C9">
            <w:pPr>
              <w:spacing w:before="60"/>
              <w:rPr>
                <w:sz w:val="22"/>
                <w:szCs w:val="22"/>
              </w:rPr>
            </w:pPr>
            <w:r w:rsidRPr="00261D8E">
              <w:rPr>
                <w:sz w:val="22"/>
                <w:szCs w:val="22"/>
              </w:rPr>
              <w:t>Section I.A of this agreement states that for Test Year 2016 revenue requirement and 2017-18 Post Test Year issues:</w:t>
            </w:r>
          </w:p>
          <w:p w:rsidR="001A6766" w:rsidRPr="00261D8E" w:rsidRDefault="001A6766" w:rsidP="005533C9">
            <w:pPr>
              <w:spacing w:before="60"/>
              <w:rPr>
                <w:sz w:val="22"/>
                <w:szCs w:val="22"/>
              </w:rPr>
            </w:pPr>
            <w:r w:rsidRPr="00261D8E">
              <w:rPr>
                <w:sz w:val="22"/>
                <w:szCs w:val="22"/>
              </w:rPr>
              <w:t xml:space="preserve">“SDG&amp;E, </w:t>
            </w:r>
            <w:proofErr w:type="spellStart"/>
            <w:r w:rsidRPr="00261D8E">
              <w:rPr>
                <w:sz w:val="22"/>
                <w:szCs w:val="22"/>
              </w:rPr>
              <w:t>SoCalGas</w:t>
            </w:r>
            <w:proofErr w:type="spellEnd"/>
            <w:r w:rsidRPr="00261D8E">
              <w:rPr>
                <w:sz w:val="22"/>
                <w:szCs w:val="22"/>
              </w:rPr>
              <w:t xml:space="preserve"> and ORA have each represented that in reaching these proposed terms, they considered and incorporated the </w:t>
            </w:r>
            <w:r w:rsidRPr="00261D8E">
              <w:rPr>
                <w:sz w:val="22"/>
                <w:szCs w:val="22"/>
              </w:rPr>
              <w:lastRenderedPageBreak/>
              <w:t>positions taken in testimony sponsored by TURN and UCAN to the extent those positions were different from and additive to those put forward in ORA’s testimony.”</w:t>
            </w:r>
          </w:p>
          <w:p w:rsidR="001A6766" w:rsidRPr="00261D8E" w:rsidRDefault="001A6766" w:rsidP="005533C9">
            <w:pPr>
              <w:spacing w:before="60"/>
              <w:rPr>
                <w:sz w:val="22"/>
                <w:szCs w:val="22"/>
              </w:rPr>
            </w:pPr>
            <w:r w:rsidRPr="00261D8E">
              <w:rPr>
                <w:sz w:val="22"/>
                <w:szCs w:val="22"/>
              </w:rPr>
              <w:t xml:space="preserve">This language affirms UCAN’s role in shaping the revenue requirement agreement that was adopted in this decision, even though the Commission decision does not specify UCAN’s contributions in each instance. </w:t>
            </w:r>
          </w:p>
          <w:p w:rsidR="001A6766" w:rsidRPr="00261D8E" w:rsidRDefault="001A6766" w:rsidP="005533C9">
            <w:pPr>
              <w:spacing w:before="60"/>
              <w:rPr>
                <w:sz w:val="22"/>
                <w:szCs w:val="22"/>
              </w:rPr>
            </w:pPr>
            <w:r w:rsidRPr="00261D8E">
              <w:rPr>
                <w:sz w:val="22"/>
                <w:szCs w:val="22"/>
              </w:rPr>
              <w:t>For the non-revenue requirement issues where the Commission notes UCAN’s contributions we will cite to that language in D.16-06-054.</w:t>
            </w:r>
          </w:p>
        </w:tc>
        <w:tc>
          <w:tcPr>
            <w:tcW w:w="2340" w:type="dxa"/>
            <w:tcBorders>
              <w:bottom w:val="single" w:sz="4" w:space="0" w:color="auto"/>
            </w:tcBorders>
            <w:shd w:val="clear" w:color="auto" w:fill="auto"/>
          </w:tcPr>
          <w:p w:rsidR="008A2090" w:rsidRPr="005533C9" w:rsidRDefault="008A2090" w:rsidP="005533C9">
            <w:pPr>
              <w:spacing w:before="60"/>
              <w:rPr>
                <w:sz w:val="22"/>
                <w:szCs w:val="22"/>
              </w:rPr>
            </w:pPr>
            <w:r w:rsidRPr="005533C9">
              <w:rPr>
                <w:sz w:val="22"/>
                <w:szCs w:val="22"/>
              </w:rPr>
              <w:lastRenderedPageBreak/>
              <w:t>Verified.</w:t>
            </w:r>
          </w:p>
          <w:p w:rsidR="008A2090" w:rsidRPr="005533C9" w:rsidRDefault="008A2090" w:rsidP="005533C9">
            <w:pPr>
              <w:spacing w:before="60"/>
              <w:rPr>
                <w:sz w:val="22"/>
                <w:szCs w:val="22"/>
              </w:rPr>
            </w:pPr>
          </w:p>
          <w:p w:rsidR="008A2090" w:rsidRPr="005533C9" w:rsidRDefault="008A2090" w:rsidP="005533C9">
            <w:pPr>
              <w:spacing w:before="60"/>
              <w:rPr>
                <w:sz w:val="22"/>
                <w:szCs w:val="22"/>
              </w:rPr>
            </w:pPr>
            <w:r w:rsidRPr="005533C9">
              <w:rPr>
                <w:sz w:val="22"/>
                <w:szCs w:val="22"/>
              </w:rPr>
              <w:t xml:space="preserve">UCAN’s representations of the terms of the settlements approved in this consolidated proceeding, as discussed here and below, are accurate and its description of its prior litigation positions is also accurate.  </w:t>
            </w:r>
          </w:p>
          <w:p w:rsidR="008A2090" w:rsidRPr="005533C9" w:rsidRDefault="008A2090" w:rsidP="005533C9">
            <w:pPr>
              <w:spacing w:before="60"/>
              <w:rPr>
                <w:sz w:val="22"/>
                <w:szCs w:val="22"/>
              </w:rPr>
            </w:pPr>
          </w:p>
          <w:p w:rsidR="001A6766" w:rsidRPr="00261D8E" w:rsidRDefault="008A2090" w:rsidP="005533C9">
            <w:pPr>
              <w:spacing w:before="60"/>
              <w:rPr>
                <w:color w:val="000000"/>
                <w:sz w:val="22"/>
                <w:szCs w:val="22"/>
              </w:rPr>
            </w:pPr>
            <w:r w:rsidRPr="005533C9">
              <w:rPr>
                <w:sz w:val="22"/>
                <w:szCs w:val="22"/>
              </w:rPr>
              <w:t xml:space="preserve">Pursuant to </w:t>
            </w:r>
            <w:r w:rsidR="005533C9" w:rsidRPr="005533C9">
              <w:rPr>
                <w:sz w:val="22"/>
                <w:szCs w:val="22"/>
              </w:rPr>
              <w:br/>
            </w:r>
            <w:r w:rsidRPr="005533C9">
              <w:rPr>
                <w:sz w:val="22"/>
                <w:szCs w:val="22"/>
              </w:rPr>
              <w:t>(D.) 94-10-029, the Commission has discretion to award compensation to parties who participated in settlement agreements, when there is a finding that they made a substantial contribution to a decision.  We find that UCAN’s participation in the settlement made a substantial contribution to D.16-06-054.</w:t>
            </w:r>
          </w:p>
        </w:tc>
      </w:tr>
      <w:tr w:rsidR="001A6766" w:rsidRPr="00261D8E" w:rsidTr="00396048">
        <w:tc>
          <w:tcPr>
            <w:tcW w:w="3978" w:type="dxa"/>
            <w:shd w:val="clear" w:color="auto" w:fill="FFFFFF"/>
          </w:tcPr>
          <w:p w:rsidR="001A6766" w:rsidRPr="00261D8E" w:rsidRDefault="001A6766" w:rsidP="005533C9">
            <w:pPr>
              <w:spacing w:before="60"/>
              <w:rPr>
                <w:b/>
                <w:color w:val="000000"/>
                <w:sz w:val="22"/>
                <w:szCs w:val="22"/>
              </w:rPr>
            </w:pPr>
            <w:r w:rsidRPr="00261D8E">
              <w:rPr>
                <w:b/>
                <w:color w:val="000000"/>
                <w:sz w:val="22"/>
                <w:szCs w:val="22"/>
              </w:rPr>
              <w:lastRenderedPageBreak/>
              <w:t>Overall Outcome</w:t>
            </w:r>
          </w:p>
          <w:p w:rsidR="001A6766" w:rsidRPr="00261D8E" w:rsidRDefault="001A6766" w:rsidP="005533C9">
            <w:pPr>
              <w:spacing w:before="60"/>
              <w:rPr>
                <w:color w:val="000000"/>
                <w:sz w:val="22"/>
                <w:szCs w:val="22"/>
              </w:rPr>
            </w:pPr>
            <w:r w:rsidRPr="00261D8E">
              <w:rPr>
                <w:color w:val="000000"/>
                <w:sz w:val="22"/>
                <w:szCs w:val="22"/>
              </w:rPr>
              <w:t xml:space="preserve">In these GRC proceedings the Commission adopted (with 2 limited tax issue exceptions) the SDG&amp;E and </w:t>
            </w:r>
            <w:proofErr w:type="spellStart"/>
            <w:r w:rsidRPr="00261D8E">
              <w:rPr>
                <w:color w:val="000000"/>
                <w:sz w:val="22"/>
                <w:szCs w:val="22"/>
              </w:rPr>
              <w:t>SoCalGas</w:t>
            </w:r>
            <w:proofErr w:type="spellEnd"/>
            <w:r w:rsidRPr="00261D8E">
              <w:rPr>
                <w:color w:val="000000"/>
                <w:sz w:val="22"/>
                <w:szCs w:val="22"/>
              </w:rPr>
              <w:t xml:space="preserve"> settlement agreements to which UCAN was a party. </w:t>
            </w:r>
          </w:p>
          <w:p w:rsidR="001A6766" w:rsidRPr="00261D8E" w:rsidRDefault="001A6766" w:rsidP="005533C9">
            <w:pPr>
              <w:spacing w:before="60"/>
              <w:rPr>
                <w:color w:val="000000"/>
                <w:sz w:val="22"/>
                <w:szCs w:val="22"/>
              </w:rPr>
            </w:pPr>
            <w:r w:rsidRPr="00261D8E">
              <w:rPr>
                <w:color w:val="000000"/>
                <w:sz w:val="22"/>
                <w:szCs w:val="22"/>
              </w:rPr>
              <w:t xml:space="preserve">In addition, the Commission decided on the merits, based on TURN’s testimony, a tax repairs deduction issue that was carved out of the TURN/UCAN settlement.  </w:t>
            </w:r>
          </w:p>
          <w:p w:rsidR="001A6766" w:rsidRPr="00261D8E" w:rsidRDefault="001A6766" w:rsidP="005533C9">
            <w:pPr>
              <w:spacing w:before="60" w:after="60"/>
              <w:rPr>
                <w:color w:val="000000"/>
                <w:sz w:val="22"/>
                <w:szCs w:val="22"/>
              </w:rPr>
            </w:pPr>
            <w:r w:rsidRPr="00261D8E">
              <w:rPr>
                <w:color w:val="000000"/>
                <w:sz w:val="22"/>
                <w:szCs w:val="22"/>
              </w:rPr>
              <w:t xml:space="preserve">In addition to a reduction in the requested revenue requirement of $104 million for SDG&amp;E and $127 million for </w:t>
            </w:r>
            <w:proofErr w:type="spellStart"/>
            <w:r w:rsidRPr="00261D8E">
              <w:rPr>
                <w:color w:val="000000"/>
                <w:sz w:val="22"/>
                <w:szCs w:val="22"/>
              </w:rPr>
              <w:t>SoCalGas</w:t>
            </w:r>
            <w:proofErr w:type="spellEnd"/>
            <w:r w:rsidRPr="00261D8E">
              <w:rPr>
                <w:color w:val="000000"/>
                <w:sz w:val="22"/>
                <w:szCs w:val="22"/>
              </w:rPr>
              <w:t xml:space="preserve">, the Commission also accepted UCAN’s testimony and the TURN/UCAN settlement positions on not closing 3 SDG&amp;E branch offices through SDG&amp;E’s GRC application, limiting the use of </w:t>
            </w:r>
            <w:r w:rsidR="005533C9">
              <w:rPr>
                <w:color w:val="000000"/>
                <w:sz w:val="22"/>
                <w:szCs w:val="22"/>
              </w:rPr>
              <w:br/>
            </w:r>
            <w:r w:rsidRPr="00261D8E">
              <w:rPr>
                <w:color w:val="000000"/>
                <w:sz w:val="22"/>
                <w:szCs w:val="22"/>
              </w:rPr>
              <w:t>two-way balancing accounts, establishing a service establishment fee for new customers of $5.85 in place of a split fee of $5.00 for some customers and $25.00 for others, and, as UCAN and TURN jointly advocated, denying a wholly separate settlement between ORA and the Sempra utilities for a 4 year GRC cycle by adding an additional attrition year (2019) to the 2016 GRC cycle.</w:t>
            </w:r>
          </w:p>
        </w:tc>
        <w:tc>
          <w:tcPr>
            <w:tcW w:w="3420" w:type="dxa"/>
            <w:shd w:val="clear" w:color="auto" w:fill="FFFFFF"/>
          </w:tcPr>
          <w:p w:rsidR="001A6766" w:rsidRPr="00261D8E" w:rsidRDefault="001A6766" w:rsidP="005533C9">
            <w:pPr>
              <w:spacing w:before="60"/>
              <w:rPr>
                <w:sz w:val="22"/>
                <w:szCs w:val="22"/>
              </w:rPr>
            </w:pPr>
            <w:r w:rsidRPr="00261D8E">
              <w:rPr>
                <w:sz w:val="22"/>
                <w:szCs w:val="22"/>
              </w:rPr>
              <w:t xml:space="preserve">“Today’s decision adopts all of the proposed settlements contained in the separate motions to adopt the proposed settlements in SDG&amp;E’s GRC application, and in </w:t>
            </w:r>
            <w:proofErr w:type="spellStart"/>
            <w:r w:rsidRPr="00261D8E">
              <w:rPr>
                <w:sz w:val="22"/>
                <w:szCs w:val="22"/>
              </w:rPr>
              <w:t>SoCalGas’s</w:t>
            </w:r>
            <w:proofErr w:type="spellEnd"/>
            <w:r w:rsidRPr="00261D8E">
              <w:rPr>
                <w:sz w:val="22"/>
                <w:szCs w:val="22"/>
              </w:rPr>
              <w:t xml:space="preserve"> GRC application.”</w:t>
            </w:r>
          </w:p>
          <w:p w:rsidR="001A6766" w:rsidRPr="00261D8E" w:rsidRDefault="001A6766" w:rsidP="005533C9">
            <w:pPr>
              <w:spacing w:before="60"/>
              <w:rPr>
                <w:sz w:val="22"/>
                <w:szCs w:val="22"/>
              </w:rPr>
            </w:pPr>
            <w:r w:rsidRPr="00261D8E">
              <w:rPr>
                <w:sz w:val="22"/>
                <w:szCs w:val="22"/>
              </w:rPr>
              <w:t>“The adopted revenue requirement for SDG&amp;E is $104 million lower than what SDG&amp;E had requested ($1.895 billion) in its update testimony.”</w:t>
            </w:r>
          </w:p>
          <w:p w:rsidR="001A6766" w:rsidRPr="00261D8E" w:rsidRDefault="001A6766" w:rsidP="005533C9">
            <w:pPr>
              <w:spacing w:before="60"/>
              <w:rPr>
                <w:sz w:val="22"/>
                <w:szCs w:val="22"/>
              </w:rPr>
            </w:pPr>
            <w:r w:rsidRPr="00261D8E">
              <w:rPr>
                <w:sz w:val="22"/>
                <w:szCs w:val="22"/>
              </w:rPr>
              <w:t xml:space="preserve">For </w:t>
            </w:r>
            <w:proofErr w:type="spellStart"/>
            <w:r w:rsidRPr="00261D8E">
              <w:rPr>
                <w:sz w:val="22"/>
                <w:szCs w:val="22"/>
              </w:rPr>
              <w:t>SoCalGas</w:t>
            </w:r>
            <w:proofErr w:type="spellEnd"/>
            <w:r w:rsidRPr="00261D8E">
              <w:rPr>
                <w:sz w:val="22"/>
                <w:szCs w:val="22"/>
              </w:rPr>
              <w:t xml:space="preserve">, “Today’s adopted 2016 revenue requirement is $127 million lower than what </w:t>
            </w:r>
            <w:proofErr w:type="spellStart"/>
            <w:r w:rsidRPr="00261D8E">
              <w:rPr>
                <w:sz w:val="22"/>
                <w:szCs w:val="22"/>
              </w:rPr>
              <w:t>SoCalGas</w:t>
            </w:r>
            <w:proofErr w:type="spellEnd"/>
            <w:r w:rsidRPr="00261D8E">
              <w:rPr>
                <w:sz w:val="22"/>
                <w:szCs w:val="22"/>
              </w:rPr>
              <w:t xml:space="preserve"> had requested ($2.331 billion) in its update testimony”.</w:t>
            </w:r>
          </w:p>
          <w:p w:rsidR="001A6766" w:rsidRPr="00261D8E" w:rsidRDefault="001A6766" w:rsidP="005533C9">
            <w:pPr>
              <w:spacing w:before="60"/>
              <w:rPr>
                <w:sz w:val="22"/>
                <w:szCs w:val="22"/>
              </w:rPr>
            </w:pPr>
            <w:r w:rsidRPr="00261D8E">
              <w:rPr>
                <w:sz w:val="22"/>
                <w:szCs w:val="22"/>
              </w:rPr>
              <w:t xml:space="preserve">“The motion filed by ORA, SDG&amp;E and </w:t>
            </w:r>
            <w:proofErr w:type="spellStart"/>
            <w:r w:rsidRPr="00261D8E">
              <w:rPr>
                <w:sz w:val="22"/>
                <w:szCs w:val="22"/>
              </w:rPr>
              <w:t>SoCalGas</w:t>
            </w:r>
            <w:proofErr w:type="spellEnd"/>
            <w:r w:rsidRPr="00261D8E">
              <w:rPr>
                <w:sz w:val="22"/>
                <w:szCs w:val="22"/>
              </w:rPr>
              <w:t xml:space="preserve"> to adopt the proposed settlement to add an additional attrition year (2019) to the test year 2016 GRC cycle of SDG&amp;E and </w:t>
            </w:r>
            <w:proofErr w:type="spellStart"/>
            <w:r w:rsidRPr="00261D8E">
              <w:rPr>
                <w:sz w:val="22"/>
                <w:szCs w:val="22"/>
              </w:rPr>
              <w:t>SoCalGas</w:t>
            </w:r>
            <w:proofErr w:type="spellEnd"/>
            <w:r w:rsidRPr="00261D8E">
              <w:rPr>
                <w:sz w:val="22"/>
                <w:szCs w:val="22"/>
              </w:rPr>
              <w:t xml:space="preserve"> is denied.”</w:t>
            </w:r>
          </w:p>
          <w:p w:rsidR="001A6766" w:rsidRPr="00261D8E" w:rsidRDefault="001A6766" w:rsidP="005533C9">
            <w:pPr>
              <w:spacing w:before="60"/>
              <w:rPr>
                <w:sz w:val="22"/>
                <w:szCs w:val="22"/>
              </w:rPr>
            </w:pPr>
            <w:r w:rsidRPr="00261D8E">
              <w:rPr>
                <w:b/>
                <w:sz w:val="22"/>
                <w:szCs w:val="22"/>
              </w:rPr>
              <w:t>D.16-06-054 at pp. 3-4</w:t>
            </w:r>
          </w:p>
        </w:tc>
        <w:tc>
          <w:tcPr>
            <w:tcW w:w="2340" w:type="dxa"/>
            <w:shd w:val="clear" w:color="auto" w:fill="FFFFFF"/>
          </w:tcPr>
          <w:p w:rsidR="001A6766" w:rsidRPr="00261D8E" w:rsidRDefault="008A2090" w:rsidP="005533C9">
            <w:pPr>
              <w:spacing w:before="60"/>
              <w:rPr>
                <w:color w:val="000000"/>
                <w:sz w:val="22"/>
                <w:szCs w:val="22"/>
              </w:rPr>
            </w:pPr>
            <w:r>
              <w:rPr>
                <w:color w:val="000000"/>
                <w:sz w:val="22"/>
                <w:szCs w:val="22"/>
              </w:rPr>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383CA0">
            <w:pPr>
              <w:spacing w:before="120" w:after="120"/>
              <w:rPr>
                <w:b/>
                <w:color w:val="000000"/>
                <w:sz w:val="22"/>
                <w:szCs w:val="22"/>
              </w:rPr>
            </w:pPr>
            <w:r w:rsidRPr="00261D8E">
              <w:rPr>
                <w:b/>
                <w:color w:val="000000"/>
                <w:sz w:val="22"/>
                <w:szCs w:val="22"/>
              </w:rPr>
              <w:lastRenderedPageBreak/>
              <w:t>Revenue Requirement Issues</w:t>
            </w:r>
          </w:p>
        </w:tc>
        <w:tc>
          <w:tcPr>
            <w:tcW w:w="3420" w:type="dxa"/>
            <w:tcBorders>
              <w:bottom w:val="single" w:sz="4" w:space="0" w:color="auto"/>
            </w:tcBorders>
            <w:shd w:val="clear" w:color="auto" w:fill="FFFFFF"/>
          </w:tcPr>
          <w:p w:rsidR="001A6766" w:rsidRPr="00261D8E" w:rsidRDefault="001A6766" w:rsidP="001A6766">
            <w:pPr>
              <w:spacing w:before="120"/>
              <w:rPr>
                <w:sz w:val="22"/>
                <w:szCs w:val="22"/>
              </w:rPr>
            </w:pPr>
          </w:p>
        </w:tc>
        <w:tc>
          <w:tcPr>
            <w:tcW w:w="2340" w:type="dxa"/>
            <w:shd w:val="clear" w:color="auto" w:fill="FFFFFF"/>
          </w:tcPr>
          <w:p w:rsidR="001A6766" w:rsidRPr="00261D8E" w:rsidRDefault="001A6766" w:rsidP="001A6766">
            <w:pPr>
              <w:spacing w:before="120"/>
              <w:rPr>
                <w:color w:val="000000"/>
                <w:sz w:val="22"/>
                <w:szCs w:val="22"/>
              </w:rPr>
            </w:pPr>
          </w:p>
        </w:tc>
      </w:tr>
      <w:tr w:rsidR="001A6766" w:rsidRPr="00261D8E" w:rsidTr="00396048">
        <w:tc>
          <w:tcPr>
            <w:tcW w:w="3978" w:type="dxa"/>
            <w:tcBorders>
              <w:bottom w:val="single" w:sz="4" w:space="0" w:color="auto"/>
            </w:tcBorders>
            <w:shd w:val="clear" w:color="auto" w:fill="FFFFFF"/>
          </w:tcPr>
          <w:p w:rsidR="001A6766" w:rsidRPr="00261D8E" w:rsidRDefault="001A6766" w:rsidP="001A6766">
            <w:pPr>
              <w:spacing w:before="120"/>
              <w:rPr>
                <w:sz w:val="22"/>
                <w:szCs w:val="22"/>
              </w:rPr>
            </w:pPr>
            <w:r w:rsidRPr="00261D8E">
              <w:rPr>
                <w:color w:val="000000"/>
                <w:sz w:val="22"/>
                <w:szCs w:val="22"/>
              </w:rPr>
              <w:t xml:space="preserve">1 </w:t>
            </w:r>
            <w:r w:rsidRPr="00261D8E">
              <w:rPr>
                <w:b/>
                <w:color w:val="000000"/>
                <w:sz w:val="22"/>
                <w:szCs w:val="22"/>
              </w:rPr>
              <w:t>New Business</w:t>
            </w:r>
            <w:r w:rsidRPr="00261D8E">
              <w:rPr>
                <w:color w:val="000000"/>
                <w:sz w:val="22"/>
                <w:szCs w:val="22"/>
              </w:rPr>
              <w:t xml:space="preserve"> </w:t>
            </w:r>
          </w:p>
          <w:p w:rsidR="001A6766" w:rsidRPr="00261D8E" w:rsidRDefault="001A6766" w:rsidP="001A6766">
            <w:pPr>
              <w:spacing w:before="120"/>
              <w:rPr>
                <w:color w:val="000000"/>
                <w:sz w:val="22"/>
                <w:szCs w:val="22"/>
              </w:rPr>
            </w:pPr>
            <w:r w:rsidRPr="00261D8E">
              <w:rPr>
                <w:sz w:val="22"/>
                <w:szCs w:val="22"/>
              </w:rPr>
              <w:t>Electric Distribution Capital,</w:t>
            </w:r>
            <w:r w:rsidRPr="00261D8E">
              <w:rPr>
                <w:color w:val="000000"/>
                <w:sz w:val="22"/>
                <w:szCs w:val="22"/>
              </w:rPr>
              <w:t xml:space="preserve"> section 6.2.2.1.3</w:t>
            </w:r>
          </w:p>
          <w:p w:rsidR="001A6766" w:rsidRPr="00261D8E" w:rsidRDefault="001A6766" w:rsidP="001A6766">
            <w:pPr>
              <w:spacing w:before="120"/>
              <w:rPr>
                <w:sz w:val="22"/>
                <w:szCs w:val="22"/>
              </w:rPr>
            </w:pPr>
            <w:r w:rsidRPr="00261D8E">
              <w:rPr>
                <w:sz w:val="22"/>
                <w:szCs w:val="22"/>
              </w:rPr>
              <w:t>UCAN recommended that SDG&amp;E’s requested amounts for new business be reduced by $31.5 million over 3 years. UCAN argued that SDG&amp;E’s projections of new customer growth were inflated and that the Commission should examine funding for new business using 2014 recorded data and not 2014 forecasted data.</w:t>
            </w:r>
          </w:p>
          <w:p w:rsidR="001A6766" w:rsidRPr="00261D8E" w:rsidRDefault="001A6766" w:rsidP="001A6766">
            <w:pPr>
              <w:spacing w:before="120"/>
              <w:rPr>
                <w:sz w:val="22"/>
                <w:szCs w:val="22"/>
              </w:rPr>
            </w:pPr>
            <w:r w:rsidRPr="00261D8E">
              <w:rPr>
                <w:sz w:val="22"/>
                <w:szCs w:val="22"/>
              </w:rPr>
              <w:t xml:space="preserve"> The settlement and D.16-06-054 adopted a total </w:t>
            </w:r>
            <w:r w:rsidR="00E430A3" w:rsidRPr="00261D8E">
              <w:rPr>
                <w:sz w:val="22"/>
                <w:szCs w:val="22"/>
              </w:rPr>
              <w:t>3-year</w:t>
            </w:r>
            <w:r w:rsidRPr="00261D8E">
              <w:rPr>
                <w:sz w:val="22"/>
                <w:szCs w:val="22"/>
              </w:rPr>
              <w:t xml:space="preserve"> revenue requirement for new business of $170.638 million, which is closely aligned with UCAN’s position of $179.678 million. The adopted amount is $40.569 million below SDG&amp;E’s request of $211.207 million and is a compromise between the SDG&amp;E, UCAN, and ORA positions</w:t>
            </w:r>
          </w:p>
          <w:p w:rsidR="001A6766" w:rsidRPr="00261D8E" w:rsidRDefault="001A6766" w:rsidP="001A6766">
            <w:pPr>
              <w:spacing w:before="120"/>
              <w:rPr>
                <w:sz w:val="22"/>
                <w:szCs w:val="22"/>
              </w:rPr>
            </w:pPr>
          </w:p>
          <w:p w:rsidR="001A6766" w:rsidRPr="00261D8E" w:rsidRDefault="001A6766" w:rsidP="001A6766">
            <w:pPr>
              <w:spacing w:before="120"/>
              <w:rPr>
                <w:color w:val="000000"/>
                <w:sz w:val="22"/>
                <w:szCs w:val="22"/>
              </w:rPr>
            </w:pPr>
          </w:p>
        </w:tc>
        <w:tc>
          <w:tcPr>
            <w:tcW w:w="3420" w:type="dxa"/>
            <w:tcBorders>
              <w:bottom w:val="single" w:sz="4" w:space="0" w:color="auto"/>
            </w:tcBorders>
            <w:shd w:val="clear" w:color="auto" w:fill="FFFFFF"/>
          </w:tcPr>
          <w:p w:rsidR="001A6766" w:rsidRPr="00261D8E" w:rsidRDefault="001A6766" w:rsidP="001A6766">
            <w:pPr>
              <w:autoSpaceDE w:val="0"/>
              <w:autoSpaceDN w:val="0"/>
              <w:adjustRightInd w:val="0"/>
              <w:rPr>
                <w:bCs/>
                <w:sz w:val="22"/>
                <w:szCs w:val="22"/>
              </w:rPr>
            </w:pPr>
            <w:r w:rsidRPr="00261D8E">
              <w:rPr>
                <w:bCs/>
                <w:sz w:val="22"/>
                <w:szCs w:val="22"/>
              </w:rPr>
              <w:t xml:space="preserve">The SDG&amp;E and </w:t>
            </w:r>
            <w:proofErr w:type="spellStart"/>
            <w:r w:rsidRPr="00261D8E">
              <w:rPr>
                <w:bCs/>
                <w:sz w:val="22"/>
                <w:szCs w:val="22"/>
              </w:rPr>
              <w:t>SoCalGas</w:t>
            </w:r>
            <w:proofErr w:type="spellEnd"/>
            <w:r w:rsidRPr="00261D8E">
              <w:rPr>
                <w:bCs/>
                <w:sz w:val="22"/>
                <w:szCs w:val="22"/>
              </w:rPr>
              <w:t xml:space="preserve"> Residential Customer</w:t>
            </w:r>
          </w:p>
          <w:p w:rsidR="001A6766" w:rsidRPr="00261D8E" w:rsidRDefault="001A6766" w:rsidP="001A6766">
            <w:pPr>
              <w:autoSpaceDE w:val="0"/>
              <w:autoSpaceDN w:val="0"/>
              <w:adjustRightInd w:val="0"/>
              <w:rPr>
                <w:bCs/>
                <w:sz w:val="22"/>
                <w:szCs w:val="22"/>
              </w:rPr>
            </w:pPr>
            <w:r w:rsidRPr="00261D8E">
              <w:rPr>
                <w:bCs/>
                <w:sz w:val="22"/>
                <w:szCs w:val="22"/>
              </w:rPr>
              <w:t>Forecasts are inflated, and the revenue requested for New Business should be reduced.</w:t>
            </w:r>
          </w:p>
          <w:p w:rsidR="001A6766" w:rsidRPr="00261D8E" w:rsidRDefault="001A6766" w:rsidP="005533C9">
            <w:pPr>
              <w:autoSpaceDE w:val="0"/>
              <w:autoSpaceDN w:val="0"/>
              <w:adjustRightInd w:val="0"/>
              <w:spacing w:before="120" w:after="120"/>
              <w:rPr>
                <w:b/>
                <w:bCs/>
                <w:sz w:val="22"/>
                <w:szCs w:val="22"/>
              </w:rPr>
            </w:pPr>
            <w:r w:rsidRPr="00261D8E">
              <w:rPr>
                <w:b/>
                <w:bCs/>
                <w:sz w:val="22"/>
                <w:szCs w:val="22"/>
              </w:rPr>
              <w:t>Exhibit 347, pp. 6-15</w:t>
            </w:r>
          </w:p>
          <w:p w:rsidR="001A6766" w:rsidRPr="00261D8E" w:rsidRDefault="001A6766" w:rsidP="001A6766">
            <w:pPr>
              <w:rPr>
                <w:sz w:val="22"/>
                <w:szCs w:val="22"/>
              </w:rPr>
            </w:pPr>
            <w:r w:rsidRPr="00261D8E">
              <w:rPr>
                <w:sz w:val="22"/>
                <w:szCs w:val="22"/>
              </w:rPr>
              <w:t xml:space="preserve">“UCAN recommends that SDG&amp;E’s residential electric customer forecast use the February 2015 housing starts forecast developed by IHS Global Insight, instead of the IHS Global Insight forecast of February 2014 for construction starts. UCAN contends that the construction boom that was anticipated in the February 2014 forecast did not materialize, which resulted in the number of housing starts being too high. UCAN contends that the 2015 IHS Global Insight forecast is more reliable than the 2014 forecast. UCAN points out that the use of the updated forecast has a direct impact on the New Business capital expenditures. UCAN recommends the following amounts for the New Business capital expenditures: 2014 - $51.724 million; 2015 - $56.197 million; and 2016 - $71.757 million. UCAN’s recommended amounts are lower than SDG&amp;E’s amounts by $31.5 million over the </w:t>
            </w:r>
            <w:r w:rsidR="00E430A3" w:rsidRPr="00261D8E">
              <w:rPr>
                <w:sz w:val="22"/>
                <w:szCs w:val="22"/>
              </w:rPr>
              <w:t>three-year</w:t>
            </w:r>
            <w:r w:rsidRPr="00261D8E">
              <w:rPr>
                <w:sz w:val="22"/>
                <w:szCs w:val="22"/>
              </w:rPr>
              <w:t xml:space="preserve"> period.”</w:t>
            </w:r>
          </w:p>
          <w:p w:rsidR="001A6766" w:rsidRPr="00261D8E" w:rsidRDefault="001A6766" w:rsidP="001A6766">
            <w:pPr>
              <w:spacing w:before="120"/>
              <w:rPr>
                <w:b/>
                <w:sz w:val="22"/>
                <w:szCs w:val="22"/>
              </w:rPr>
            </w:pPr>
            <w:r w:rsidRPr="00261D8E">
              <w:rPr>
                <w:b/>
                <w:sz w:val="22"/>
                <w:szCs w:val="22"/>
              </w:rPr>
              <w:t>D.16-06-054, p. 74</w:t>
            </w:r>
          </w:p>
          <w:p w:rsidR="001A6766" w:rsidRPr="00261D8E" w:rsidRDefault="001A6766" w:rsidP="00383CA0">
            <w:pPr>
              <w:spacing w:before="120" w:after="60"/>
              <w:rPr>
                <w:color w:val="000000"/>
                <w:sz w:val="22"/>
                <w:szCs w:val="22"/>
              </w:rPr>
            </w:pPr>
            <w:r w:rsidRPr="00261D8E">
              <w:rPr>
                <w:sz w:val="22"/>
                <w:szCs w:val="22"/>
              </w:rPr>
              <w:t xml:space="preserve">“Based on the testimony of SDG&amp;E, ORA, and UCAN, and the agreements reached in Attachment 1 of the SDG&amp;E Settlement Motion concerning the New Business Projects, the agreed upon amounts are reasonable and should be adopted. The amounts are reasonable because it reflects the actual recorded 2014 expenses, and the agreed upon amounts for 2015 </w:t>
            </w:r>
            <w:r w:rsidRPr="00261D8E">
              <w:rPr>
                <w:sz w:val="22"/>
                <w:szCs w:val="22"/>
              </w:rPr>
              <w:lastRenderedPageBreak/>
              <w:t>and 2016 reflect a compromise between the methodologies used by SDG&amp;E, and the methodologies advocated for by ORA and others.”</w:t>
            </w:r>
            <w:r w:rsidRPr="00261D8E">
              <w:rPr>
                <w:b/>
                <w:sz w:val="22"/>
                <w:szCs w:val="22"/>
              </w:rPr>
              <w:t xml:space="preserve"> D.16-06-054, p. 75</w:t>
            </w:r>
          </w:p>
        </w:tc>
        <w:tc>
          <w:tcPr>
            <w:tcW w:w="2340" w:type="dxa"/>
            <w:tcBorders>
              <w:bottom w:val="single" w:sz="4" w:space="0" w:color="auto"/>
            </w:tcBorders>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383CA0">
            <w:pPr>
              <w:spacing w:before="60" w:after="60"/>
              <w:rPr>
                <w:b/>
                <w:color w:val="000000"/>
                <w:sz w:val="22"/>
                <w:szCs w:val="22"/>
              </w:rPr>
            </w:pPr>
            <w:r w:rsidRPr="00261D8E">
              <w:rPr>
                <w:b/>
                <w:color w:val="000000"/>
                <w:sz w:val="22"/>
                <w:szCs w:val="22"/>
              </w:rPr>
              <w:lastRenderedPageBreak/>
              <w:t xml:space="preserve">Post Test Year Ratemaking </w:t>
            </w:r>
            <w:r w:rsidR="00383CA0">
              <w:rPr>
                <w:b/>
                <w:color w:val="000000"/>
                <w:sz w:val="22"/>
                <w:szCs w:val="22"/>
              </w:rPr>
              <w:br/>
            </w:r>
            <w:r w:rsidRPr="00261D8E">
              <w:rPr>
                <w:b/>
                <w:color w:val="000000"/>
                <w:sz w:val="22"/>
                <w:szCs w:val="22"/>
              </w:rPr>
              <w:t>(Attrition Years)</w:t>
            </w:r>
          </w:p>
          <w:p w:rsidR="001A6766" w:rsidRPr="00261D8E" w:rsidRDefault="001A6766" w:rsidP="00383CA0">
            <w:pPr>
              <w:autoSpaceDE w:val="0"/>
              <w:autoSpaceDN w:val="0"/>
              <w:adjustRightInd w:val="0"/>
              <w:spacing w:before="60" w:after="60"/>
              <w:rPr>
                <w:color w:val="000000"/>
                <w:sz w:val="22"/>
                <w:szCs w:val="22"/>
              </w:rPr>
            </w:pPr>
            <w:r w:rsidRPr="00261D8E">
              <w:rPr>
                <w:sz w:val="22"/>
                <w:szCs w:val="22"/>
              </w:rPr>
              <w:t xml:space="preserve">UCAN's testimony maintained that </w:t>
            </w:r>
            <w:r w:rsidRPr="00261D8E">
              <w:rPr>
                <w:color w:val="000000"/>
                <w:sz w:val="22"/>
                <w:szCs w:val="22"/>
              </w:rPr>
              <w:t>the current Sempra post-test year (PTY) ratemaking proposal would result in unreasonable revenue increases.</w:t>
            </w:r>
          </w:p>
          <w:p w:rsidR="001A6766" w:rsidRPr="00261D8E" w:rsidRDefault="001A6766" w:rsidP="005533C9">
            <w:pPr>
              <w:autoSpaceDE w:val="0"/>
              <w:autoSpaceDN w:val="0"/>
              <w:adjustRightInd w:val="0"/>
              <w:spacing w:before="120"/>
              <w:rPr>
                <w:sz w:val="22"/>
                <w:szCs w:val="22"/>
              </w:rPr>
            </w:pPr>
            <w:r w:rsidRPr="00261D8E">
              <w:rPr>
                <w:color w:val="000000"/>
                <w:sz w:val="22"/>
                <w:szCs w:val="22"/>
              </w:rPr>
              <w:t xml:space="preserve">Through 41 pages of detailed testimony UCAN advocated that the Commission reject the Sempra utilities’ methodology for post-test year ratemaking that would result in attrition year increases of 4-5% per year.  We pointed out </w:t>
            </w:r>
            <w:r w:rsidRPr="00261D8E">
              <w:rPr>
                <w:sz w:val="22"/>
                <w:szCs w:val="22"/>
              </w:rPr>
              <w:t xml:space="preserve">that Sempra’s proposal is likely to overestimate the utilities’ actual revenue needs, and </w:t>
            </w:r>
            <w:r w:rsidRPr="00261D8E">
              <w:rPr>
                <w:color w:val="000000"/>
                <w:sz w:val="22"/>
                <w:szCs w:val="22"/>
              </w:rPr>
              <w:t xml:space="preserve">that the Sempra utilities have been able to recover substantial profit from the PTY attrition formula adopted in the Sempra utilities’ 2012 GRC decision, </w:t>
            </w:r>
            <w:r w:rsidRPr="00261D8E">
              <w:rPr>
                <w:sz w:val="22"/>
                <w:szCs w:val="22"/>
              </w:rPr>
              <w:t>which resulted in total increases of 2.65% in 2013 and</w:t>
            </w:r>
            <w:r w:rsidR="005533C9">
              <w:rPr>
                <w:sz w:val="22"/>
                <w:szCs w:val="22"/>
              </w:rPr>
              <w:t xml:space="preserve"> 2.75% for both 2014 and 2015.</w:t>
            </w:r>
          </w:p>
          <w:p w:rsidR="001A6766" w:rsidRPr="00261D8E" w:rsidRDefault="001A6766" w:rsidP="001A6766">
            <w:pPr>
              <w:spacing w:before="120"/>
              <w:rPr>
                <w:sz w:val="22"/>
                <w:szCs w:val="22"/>
              </w:rPr>
            </w:pPr>
            <w:r w:rsidRPr="00261D8E">
              <w:rPr>
                <w:color w:val="000000"/>
                <w:sz w:val="22"/>
                <w:szCs w:val="22"/>
              </w:rPr>
              <w:t xml:space="preserve">UCAN advocated that the Commission adopt a formula using the All-Urban Consumer Price Index plus 75 basis points as was adopted in the 2012 GRC decision, which would result in annual increases of 2.6%-2.7%. </w:t>
            </w:r>
            <w:r w:rsidRPr="00261D8E">
              <w:rPr>
                <w:sz w:val="22"/>
                <w:szCs w:val="22"/>
              </w:rPr>
              <w:t xml:space="preserve">UCAN additionally noted that while ORA’s proposal for a 3.5% post-test year attrition rate provides for a higher level of revenue than UCAN proposes, it is not as high as the 4%-5% increases requested by Sempra, and UCAN’s testimony directly supported ORA’s 3.5% attrition proposal as an alternate proposal. </w:t>
            </w:r>
          </w:p>
          <w:p w:rsidR="001A6766" w:rsidRPr="00261D8E" w:rsidRDefault="001A6766" w:rsidP="001A6766">
            <w:pPr>
              <w:spacing w:before="120"/>
              <w:rPr>
                <w:color w:val="000000"/>
                <w:sz w:val="22"/>
                <w:szCs w:val="22"/>
              </w:rPr>
            </w:pPr>
            <w:r w:rsidRPr="00261D8E">
              <w:rPr>
                <w:sz w:val="22"/>
                <w:szCs w:val="22"/>
              </w:rPr>
              <w:t xml:space="preserve">The Settling Parties agreed to adopt a 3.5% attrition rate as a compromise between the ORA, UCAN, and Sempra proposals. </w:t>
            </w:r>
            <w:r w:rsidRPr="00261D8E">
              <w:rPr>
                <w:color w:val="000000"/>
                <w:sz w:val="22"/>
                <w:szCs w:val="22"/>
              </w:rPr>
              <w:t xml:space="preserve">In D.16-06-054 the Commission adopted a 3.5% attrition rate for 2017 and 2018. </w:t>
            </w:r>
          </w:p>
          <w:p w:rsidR="001A6766" w:rsidRPr="00261D8E" w:rsidRDefault="001A6766" w:rsidP="001A6766">
            <w:pPr>
              <w:spacing w:before="120"/>
              <w:rPr>
                <w:color w:val="000000"/>
                <w:sz w:val="22"/>
                <w:szCs w:val="22"/>
              </w:rPr>
            </w:pPr>
          </w:p>
          <w:p w:rsidR="001A6766" w:rsidRPr="00261D8E" w:rsidRDefault="001A6766" w:rsidP="001A6766">
            <w:pPr>
              <w:spacing w:before="120"/>
              <w:rPr>
                <w:color w:val="000000"/>
                <w:sz w:val="22"/>
                <w:szCs w:val="22"/>
              </w:rPr>
            </w:pPr>
          </w:p>
        </w:tc>
        <w:tc>
          <w:tcPr>
            <w:tcW w:w="3420" w:type="dxa"/>
            <w:tcBorders>
              <w:bottom w:val="single" w:sz="4" w:space="0" w:color="auto"/>
            </w:tcBorders>
            <w:shd w:val="clear" w:color="auto" w:fill="FFFFFF"/>
          </w:tcPr>
          <w:p w:rsidR="001A6766" w:rsidRPr="00261D8E" w:rsidRDefault="001A6766" w:rsidP="00383CA0">
            <w:pPr>
              <w:autoSpaceDE w:val="0"/>
              <w:autoSpaceDN w:val="0"/>
              <w:adjustRightInd w:val="0"/>
              <w:spacing w:before="60" w:after="60"/>
              <w:rPr>
                <w:sz w:val="22"/>
                <w:szCs w:val="22"/>
              </w:rPr>
            </w:pPr>
            <w:r w:rsidRPr="00261D8E">
              <w:rPr>
                <w:sz w:val="22"/>
                <w:szCs w:val="22"/>
              </w:rPr>
              <w:t xml:space="preserve">“UCAN proposes that the current methodology of escalating post-test year capital additions based on </w:t>
            </w:r>
            <w:r w:rsidR="005533C9">
              <w:rPr>
                <w:sz w:val="22"/>
                <w:szCs w:val="22"/>
              </w:rPr>
              <w:br/>
            </w:r>
            <w:r w:rsidRPr="00261D8E">
              <w:rPr>
                <w:sz w:val="22"/>
                <w:szCs w:val="22"/>
              </w:rPr>
              <w:t>CPI-Urban plus 75 basis points be continued. If this proposal is not adopted, ORA’s proposal for 3.5% annual increases should be adopted instead. If Sempra’s proposal is to be utilized, it must, at minimum, be corrected to exclude non-GRC spending, to use 2014 recorded data in place of forecast data, and to exclude 2015-2016 forecast data.”</w:t>
            </w:r>
          </w:p>
          <w:p w:rsidR="001A6766" w:rsidRPr="00261D8E" w:rsidRDefault="001A6766" w:rsidP="00383CA0">
            <w:pPr>
              <w:autoSpaceDE w:val="0"/>
              <w:autoSpaceDN w:val="0"/>
              <w:adjustRightInd w:val="0"/>
              <w:spacing w:after="60"/>
              <w:rPr>
                <w:sz w:val="22"/>
                <w:szCs w:val="22"/>
              </w:rPr>
            </w:pPr>
            <w:r w:rsidRPr="00261D8E">
              <w:rPr>
                <w:b/>
                <w:sz w:val="22"/>
                <w:szCs w:val="22"/>
              </w:rPr>
              <w:t xml:space="preserve">Exhibit 347, p. 56 </w:t>
            </w:r>
          </w:p>
          <w:p w:rsidR="001A6766" w:rsidRPr="00261D8E" w:rsidRDefault="001A6766" w:rsidP="001A6766">
            <w:pPr>
              <w:autoSpaceDE w:val="0"/>
              <w:autoSpaceDN w:val="0"/>
              <w:adjustRightInd w:val="0"/>
              <w:rPr>
                <w:sz w:val="22"/>
                <w:szCs w:val="22"/>
              </w:rPr>
            </w:pPr>
            <w:r w:rsidRPr="00261D8E">
              <w:rPr>
                <w:sz w:val="22"/>
                <w:szCs w:val="22"/>
              </w:rPr>
              <w:t>“UCAN presented testimony in opposition to the Applicants’ PTY ratemaking adjustment. UCAN’s testimony stated that the Applicants’ approach would result in increases of about four to five percent in each of the attrition years. UCAN recommended that the Commission continue using the methodology of escalating PTY capital additions based on the All-Urban Consumer Pri</w:t>
            </w:r>
            <w:r w:rsidR="005533C9">
              <w:rPr>
                <w:sz w:val="22"/>
                <w:szCs w:val="22"/>
              </w:rPr>
              <w:t xml:space="preserve">ce Index, plus 75 basis points.  </w:t>
            </w:r>
            <w:r w:rsidRPr="00261D8E">
              <w:rPr>
                <w:sz w:val="22"/>
                <w:szCs w:val="22"/>
              </w:rPr>
              <w:t xml:space="preserve">If UCAN’s proposal is not adopted, UCAN recommended that ORA’s proposal for 3.5% annual increases be adopted. In the SDG&amp;E Settlement Comparison Exhibit at 13, the settling parties have agreed to ORA’s PTY ratemaking recommendation of a 3.5% increase in 2017, and a </w:t>
            </w:r>
            <w:r w:rsidR="005533C9">
              <w:rPr>
                <w:sz w:val="22"/>
                <w:szCs w:val="22"/>
              </w:rPr>
              <w:t>3.5% in 2018.</w:t>
            </w:r>
          </w:p>
          <w:p w:rsidR="001A6766" w:rsidRPr="00261D8E" w:rsidRDefault="001A6766" w:rsidP="003D7F07">
            <w:pPr>
              <w:autoSpaceDE w:val="0"/>
              <w:autoSpaceDN w:val="0"/>
              <w:adjustRightInd w:val="0"/>
              <w:spacing w:before="120" w:after="120"/>
              <w:rPr>
                <w:b/>
                <w:sz w:val="22"/>
                <w:szCs w:val="22"/>
              </w:rPr>
            </w:pPr>
            <w:r w:rsidRPr="00261D8E">
              <w:rPr>
                <w:b/>
                <w:sz w:val="22"/>
                <w:szCs w:val="22"/>
              </w:rPr>
              <w:t>D.16-06-054, p. 226-227</w:t>
            </w:r>
          </w:p>
          <w:p w:rsidR="001A6766" w:rsidRPr="00261D8E" w:rsidRDefault="001A6766" w:rsidP="00383CA0">
            <w:pPr>
              <w:keepNext/>
              <w:keepLines/>
              <w:autoSpaceDE w:val="0"/>
              <w:autoSpaceDN w:val="0"/>
              <w:adjustRightInd w:val="0"/>
              <w:rPr>
                <w:sz w:val="22"/>
                <w:szCs w:val="22"/>
              </w:rPr>
            </w:pPr>
            <w:r w:rsidRPr="00261D8E">
              <w:rPr>
                <w:sz w:val="22"/>
                <w:szCs w:val="22"/>
              </w:rPr>
              <w:t>“The settling parties have vigorously negotiated toward a PTY period and escalation rate th</w:t>
            </w:r>
            <w:r w:rsidR="005533C9">
              <w:rPr>
                <w:sz w:val="22"/>
                <w:szCs w:val="22"/>
              </w:rPr>
              <w:t xml:space="preserve">at reflects compromises on both </w:t>
            </w:r>
            <w:r w:rsidRPr="00261D8E">
              <w:rPr>
                <w:sz w:val="22"/>
                <w:szCs w:val="22"/>
              </w:rPr>
              <w:t>sides.”</w:t>
            </w:r>
          </w:p>
          <w:p w:rsidR="001A6766" w:rsidRPr="00261D8E" w:rsidRDefault="001A6766" w:rsidP="003D7F07">
            <w:pPr>
              <w:keepNext/>
              <w:keepLines/>
              <w:autoSpaceDE w:val="0"/>
              <w:autoSpaceDN w:val="0"/>
              <w:adjustRightInd w:val="0"/>
              <w:spacing w:after="60"/>
              <w:rPr>
                <w:b/>
                <w:bCs/>
                <w:sz w:val="22"/>
                <w:szCs w:val="22"/>
              </w:rPr>
            </w:pPr>
            <w:r w:rsidRPr="00261D8E">
              <w:rPr>
                <w:b/>
                <w:sz w:val="22"/>
                <w:szCs w:val="22"/>
              </w:rPr>
              <w:t>D.16-06-054, p. 34</w:t>
            </w:r>
          </w:p>
        </w:tc>
        <w:tc>
          <w:tcPr>
            <w:tcW w:w="2340" w:type="dxa"/>
            <w:shd w:val="clear" w:color="auto" w:fill="FFFFFF"/>
          </w:tcPr>
          <w:p w:rsidR="001A6766" w:rsidRPr="00261D8E" w:rsidRDefault="00C36A15" w:rsidP="001A6766">
            <w:pPr>
              <w:spacing w:before="120"/>
              <w:rPr>
                <w:color w:val="000000"/>
                <w:sz w:val="22"/>
                <w:szCs w:val="22"/>
              </w:rPr>
            </w:pPr>
            <w:r>
              <w:rPr>
                <w:color w:val="000000"/>
                <w:sz w:val="22"/>
                <w:szCs w:val="22"/>
              </w:rPr>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1A6766">
            <w:pPr>
              <w:spacing w:before="120"/>
              <w:rPr>
                <w:b/>
                <w:color w:val="000000"/>
                <w:sz w:val="22"/>
                <w:szCs w:val="22"/>
              </w:rPr>
            </w:pPr>
            <w:r w:rsidRPr="00261D8E">
              <w:rPr>
                <w:b/>
                <w:color w:val="000000"/>
                <w:sz w:val="22"/>
                <w:szCs w:val="22"/>
              </w:rPr>
              <w:lastRenderedPageBreak/>
              <w:t xml:space="preserve">Insurance for SDG&amp;E and </w:t>
            </w:r>
            <w:proofErr w:type="spellStart"/>
            <w:r w:rsidRPr="00261D8E">
              <w:rPr>
                <w:b/>
                <w:color w:val="000000"/>
                <w:sz w:val="22"/>
                <w:szCs w:val="22"/>
              </w:rPr>
              <w:t>SoCalGas</w:t>
            </w:r>
            <w:proofErr w:type="spellEnd"/>
          </w:p>
          <w:p w:rsidR="001A6766" w:rsidRPr="00261D8E" w:rsidRDefault="001A6766" w:rsidP="001A6766">
            <w:pPr>
              <w:spacing w:before="120"/>
              <w:rPr>
                <w:color w:val="000000"/>
                <w:sz w:val="22"/>
                <w:szCs w:val="22"/>
              </w:rPr>
            </w:pPr>
            <w:r w:rsidRPr="00261D8E">
              <w:rPr>
                <w:color w:val="000000"/>
                <w:sz w:val="22"/>
                <w:szCs w:val="22"/>
              </w:rPr>
              <w:t xml:space="preserve">Through testimony UCAN analyzed the Sempra utilities’ structure of insurance purchases and found that their total requested revenue increases of $8.2 million should be denied.  For different reasons, ORA asked that the Sempra utilities, and specifically SDG&amp;E, face a reduction of $7.422 million.  In D.16-06-054 the Commission adopted the settlement amount of $110 million for insurance, a reduction of $1.5 million.  </w:t>
            </w:r>
          </w:p>
          <w:p w:rsidR="001A6766" w:rsidRPr="00261D8E" w:rsidRDefault="001A6766" w:rsidP="001A6766">
            <w:pPr>
              <w:spacing w:before="120"/>
              <w:rPr>
                <w:color w:val="000000"/>
                <w:sz w:val="22"/>
                <w:szCs w:val="22"/>
              </w:rPr>
            </w:pPr>
            <w:r w:rsidRPr="00261D8E">
              <w:rPr>
                <w:color w:val="000000"/>
                <w:sz w:val="22"/>
                <w:szCs w:val="22"/>
              </w:rPr>
              <w:t>The amount agreed to for insurance was a compromise between the litigation positions of ORA, UCAN, and the Sempra Utilities. UCAN’s testimony was different from and additive to ORA’s revenue requirement proposals, and was considered by the settling parties when negotiating the settlement terms</w:t>
            </w:r>
            <w:proofErr w:type="gramStart"/>
            <w:r w:rsidRPr="00261D8E">
              <w:rPr>
                <w:color w:val="000000"/>
                <w:sz w:val="22"/>
                <w:szCs w:val="22"/>
              </w:rPr>
              <w:t>..</w:t>
            </w:r>
            <w:proofErr w:type="gramEnd"/>
          </w:p>
        </w:tc>
        <w:tc>
          <w:tcPr>
            <w:tcW w:w="3420" w:type="dxa"/>
            <w:tcBorders>
              <w:bottom w:val="single" w:sz="4" w:space="0" w:color="auto"/>
            </w:tcBorders>
            <w:shd w:val="clear" w:color="auto" w:fill="FFFFFF"/>
          </w:tcPr>
          <w:p w:rsidR="001A6766" w:rsidRPr="00261D8E" w:rsidRDefault="001A6766" w:rsidP="001A6766">
            <w:pPr>
              <w:spacing w:before="120"/>
              <w:rPr>
                <w:sz w:val="22"/>
                <w:szCs w:val="22"/>
              </w:rPr>
            </w:pPr>
            <w:r w:rsidRPr="00261D8E">
              <w:rPr>
                <w:sz w:val="22"/>
                <w:szCs w:val="22"/>
              </w:rPr>
              <w:t>“For the reasons cited above, I have concluded that the utilities’ forecasted additional expense of $8.2 million for General and Wildfire Liabili</w:t>
            </w:r>
            <w:r w:rsidRPr="00261D8E">
              <w:rPr>
                <w:b/>
                <w:bCs/>
                <w:sz w:val="22"/>
                <w:szCs w:val="22"/>
              </w:rPr>
              <w:t xml:space="preserve">ty </w:t>
            </w:r>
            <w:r w:rsidRPr="00261D8E">
              <w:rPr>
                <w:sz w:val="22"/>
                <w:szCs w:val="22"/>
              </w:rPr>
              <w:t>and Property Damage Reinsurance cannot be justified inasmuch as these programs fail to comply with the Company’s stated objective of purchasing ‘…broad coverage against catastrophic loss at the most economic cost feasible.’”</w:t>
            </w:r>
          </w:p>
          <w:p w:rsidR="001A6766" w:rsidRPr="00261D8E" w:rsidRDefault="001A6766" w:rsidP="001A6766">
            <w:pPr>
              <w:spacing w:before="120"/>
              <w:rPr>
                <w:color w:val="000000"/>
                <w:sz w:val="22"/>
                <w:szCs w:val="22"/>
              </w:rPr>
            </w:pPr>
            <w:r w:rsidRPr="00261D8E">
              <w:rPr>
                <w:b/>
                <w:color w:val="000000"/>
                <w:sz w:val="22"/>
                <w:szCs w:val="22"/>
              </w:rPr>
              <w:t>Exhibit 346, p.14</w:t>
            </w:r>
          </w:p>
          <w:p w:rsidR="001A6766" w:rsidRPr="00261D8E" w:rsidRDefault="001A6766" w:rsidP="001A6766">
            <w:pPr>
              <w:spacing w:before="120"/>
              <w:rPr>
                <w:sz w:val="22"/>
                <w:szCs w:val="22"/>
              </w:rPr>
            </w:pPr>
            <w:r w:rsidRPr="00261D8E">
              <w:rPr>
                <w:sz w:val="22"/>
                <w:szCs w:val="22"/>
              </w:rPr>
              <w:t>“The cost elements which make up the agreed upon A&amp;G settlement amount of $388.342 million include...$110 million for corporate center-insurance… The settlement amounts for the A&amp;G costs, as reflected at various pages in the SDG&amp;E Settlement Comparison Exhibit, were found to be reasonable and adopted.”</w:t>
            </w:r>
          </w:p>
          <w:p w:rsidR="001A6766" w:rsidRPr="00261D8E" w:rsidRDefault="001A6766" w:rsidP="001A6766">
            <w:pPr>
              <w:spacing w:before="120"/>
              <w:rPr>
                <w:b/>
                <w:color w:val="000000"/>
                <w:sz w:val="22"/>
                <w:szCs w:val="22"/>
              </w:rPr>
            </w:pPr>
            <w:r w:rsidRPr="00261D8E">
              <w:rPr>
                <w:b/>
                <w:sz w:val="22"/>
                <w:szCs w:val="22"/>
              </w:rPr>
              <w:t>D.16-06-054, p. 144-145</w:t>
            </w:r>
          </w:p>
          <w:p w:rsidR="001A6766" w:rsidRPr="00261D8E" w:rsidRDefault="001A6766" w:rsidP="001A6766">
            <w:pPr>
              <w:spacing w:before="120"/>
              <w:rPr>
                <w:sz w:val="22"/>
                <w:szCs w:val="22"/>
              </w:rPr>
            </w:pPr>
            <w:r w:rsidRPr="00261D8E">
              <w:rPr>
                <w:color w:val="000000"/>
                <w:sz w:val="22"/>
                <w:szCs w:val="22"/>
              </w:rPr>
              <w:t xml:space="preserve">The adopted insurance revenue requirement is below Sempra’s request, as recommended by UCAN and ORA. As is noted in the Attachment 5 settlement agreement, </w:t>
            </w:r>
            <w:r w:rsidRPr="00261D8E">
              <w:rPr>
                <w:sz w:val="22"/>
                <w:szCs w:val="22"/>
              </w:rPr>
              <w:t xml:space="preserve">the revenue requirement </w:t>
            </w:r>
            <w:proofErr w:type="gramStart"/>
            <w:r w:rsidRPr="00261D8E">
              <w:rPr>
                <w:sz w:val="22"/>
                <w:szCs w:val="22"/>
              </w:rPr>
              <w:t>agreement  “</w:t>
            </w:r>
            <w:proofErr w:type="gramEnd"/>
            <w:r w:rsidRPr="00261D8E">
              <w:rPr>
                <w:sz w:val="22"/>
                <w:szCs w:val="22"/>
              </w:rPr>
              <w:t>incorporated the positions taken in testimony sponsored by TURN and UCAN to the extent those positions were different from and additive to those p</w:t>
            </w:r>
            <w:r w:rsidR="005533C9">
              <w:rPr>
                <w:sz w:val="22"/>
                <w:szCs w:val="22"/>
              </w:rPr>
              <w:t xml:space="preserve">ut forward in ORA’s testimony.”  </w:t>
            </w:r>
            <w:r w:rsidRPr="00261D8E">
              <w:rPr>
                <w:sz w:val="22"/>
                <w:szCs w:val="22"/>
              </w:rPr>
              <w:t>As UCAN’s analysis of the insurance revenue requirement differed materially from ORA’s, UCAN’s analysis and testimony should be recognized as having contributed to the adopted insurance r</w:t>
            </w:r>
            <w:r w:rsidR="005533C9">
              <w:rPr>
                <w:sz w:val="22"/>
                <w:szCs w:val="22"/>
              </w:rPr>
              <w:t xml:space="preserve">evenue requirement reduction. </w:t>
            </w:r>
          </w:p>
          <w:p w:rsidR="001A6766" w:rsidRPr="00261D8E" w:rsidRDefault="001A6766" w:rsidP="003D7F07">
            <w:pPr>
              <w:spacing w:before="120" w:after="120"/>
              <w:rPr>
                <w:sz w:val="22"/>
                <w:szCs w:val="22"/>
              </w:rPr>
            </w:pPr>
            <w:r w:rsidRPr="00261D8E">
              <w:rPr>
                <w:b/>
                <w:sz w:val="22"/>
                <w:szCs w:val="22"/>
              </w:rPr>
              <w:t>Attachment 5 of the Joint Motion for Adoption of Settlement Agreements section I. A. adopted in D.16-06-054.</w:t>
            </w:r>
          </w:p>
        </w:tc>
        <w:tc>
          <w:tcPr>
            <w:tcW w:w="2340" w:type="dxa"/>
            <w:tcBorders>
              <w:bottom w:val="single" w:sz="4" w:space="0" w:color="auto"/>
            </w:tcBorders>
            <w:shd w:val="clear" w:color="auto" w:fill="auto"/>
          </w:tcPr>
          <w:p w:rsidR="001A6766" w:rsidRPr="00261D8E" w:rsidRDefault="00C36A15" w:rsidP="001A6766">
            <w:pPr>
              <w:spacing w:before="120"/>
              <w:rPr>
                <w:color w:val="000000"/>
                <w:sz w:val="22"/>
                <w:szCs w:val="22"/>
              </w:rPr>
            </w:pPr>
            <w:r>
              <w:rPr>
                <w:color w:val="000000"/>
                <w:sz w:val="22"/>
                <w:szCs w:val="22"/>
              </w:rPr>
              <w:t>Verified.</w:t>
            </w:r>
          </w:p>
        </w:tc>
      </w:tr>
      <w:tr w:rsidR="001A6766" w:rsidRPr="00261D8E" w:rsidTr="00396048">
        <w:tc>
          <w:tcPr>
            <w:tcW w:w="3978" w:type="dxa"/>
            <w:shd w:val="clear" w:color="auto" w:fill="FFFFFF"/>
          </w:tcPr>
          <w:p w:rsidR="001A6766" w:rsidRPr="00261D8E" w:rsidRDefault="001A6766" w:rsidP="003D7F07">
            <w:pPr>
              <w:keepNext/>
              <w:keepLines/>
              <w:spacing w:before="120"/>
              <w:rPr>
                <w:b/>
                <w:color w:val="000000"/>
                <w:sz w:val="22"/>
                <w:szCs w:val="22"/>
              </w:rPr>
            </w:pPr>
            <w:r w:rsidRPr="00261D8E">
              <w:rPr>
                <w:b/>
                <w:color w:val="000000"/>
                <w:sz w:val="22"/>
                <w:szCs w:val="22"/>
              </w:rPr>
              <w:lastRenderedPageBreak/>
              <w:t xml:space="preserve">SDG&amp;E Bill Redesign </w:t>
            </w:r>
          </w:p>
          <w:p w:rsidR="001A6766" w:rsidRPr="00261D8E" w:rsidRDefault="001A6766" w:rsidP="003D7F07">
            <w:pPr>
              <w:keepNext/>
              <w:keepLines/>
              <w:spacing w:before="120"/>
              <w:rPr>
                <w:color w:val="000000"/>
                <w:sz w:val="22"/>
                <w:szCs w:val="22"/>
              </w:rPr>
            </w:pPr>
            <w:r w:rsidRPr="00261D8E">
              <w:rPr>
                <w:color w:val="000000"/>
                <w:sz w:val="22"/>
                <w:szCs w:val="22"/>
              </w:rPr>
              <w:t>In testimony UCAN opposed SDG&amp;E’s IT funding requests of $1.9 million in 2015 and $1.4 million in 2016 for redesigning their customer’s bills.  While we support the idea, SDG&amp;E failed to give a detailed cost breakdown for the project.  Without knowing how $3.3 million will be spent (other than in very broad terms), UCAN requested that the Commission deny the request.</w:t>
            </w:r>
          </w:p>
          <w:p w:rsidR="001A6766" w:rsidRPr="00261D8E" w:rsidRDefault="001A6766" w:rsidP="003D7F07">
            <w:pPr>
              <w:keepNext/>
              <w:keepLines/>
              <w:spacing w:before="120"/>
              <w:rPr>
                <w:color w:val="000000"/>
                <w:sz w:val="22"/>
                <w:szCs w:val="22"/>
              </w:rPr>
            </w:pPr>
            <w:r w:rsidRPr="00261D8E">
              <w:rPr>
                <w:color w:val="000000"/>
                <w:sz w:val="22"/>
                <w:szCs w:val="22"/>
              </w:rPr>
              <w:t xml:space="preserve">The Commission approved a settlement that included SDG&amp;E’s requested amounts for 2015 and 2016 IT proposals (including for the bill redesign). </w:t>
            </w:r>
            <w:r w:rsidR="00D03F56">
              <w:rPr>
                <w:color w:val="000000"/>
                <w:sz w:val="22"/>
                <w:szCs w:val="22"/>
              </w:rPr>
              <w:t xml:space="preserve"> </w:t>
            </w:r>
            <w:r w:rsidRPr="00261D8E">
              <w:rPr>
                <w:color w:val="000000"/>
                <w:sz w:val="22"/>
                <w:szCs w:val="22"/>
              </w:rPr>
              <w:t xml:space="preserve">While UCAN’s proposal for a $3.3 million reduction was not adopted in this instance, UCAN’s testimony provided support for other revenue requirement reductions that were agreed to by the Settling Parties and the Commission. </w:t>
            </w:r>
            <w:r w:rsidR="00D03F56">
              <w:rPr>
                <w:color w:val="000000"/>
                <w:sz w:val="22"/>
                <w:szCs w:val="22"/>
              </w:rPr>
              <w:t xml:space="preserve"> </w:t>
            </w:r>
            <w:r w:rsidRPr="00261D8E">
              <w:rPr>
                <w:color w:val="000000"/>
                <w:sz w:val="22"/>
                <w:szCs w:val="22"/>
              </w:rPr>
              <w:t>As noted in the Attachment 5 settlement, UCAN position that were different from and additive to ORA’s testimony, such as UCAN’s position on bill redesign, were considered by the Sempra utilities and ORA prior to settling the overall revenue requirement amount..</w:t>
            </w:r>
          </w:p>
        </w:tc>
        <w:tc>
          <w:tcPr>
            <w:tcW w:w="3420" w:type="dxa"/>
            <w:shd w:val="clear" w:color="auto" w:fill="FFFFFF"/>
          </w:tcPr>
          <w:p w:rsidR="001A6766" w:rsidRPr="00261D8E" w:rsidRDefault="001A6766" w:rsidP="003D7F07">
            <w:pPr>
              <w:keepNext/>
              <w:keepLines/>
              <w:autoSpaceDE w:val="0"/>
              <w:autoSpaceDN w:val="0"/>
              <w:adjustRightInd w:val="0"/>
              <w:spacing w:before="120"/>
              <w:rPr>
                <w:sz w:val="22"/>
                <w:szCs w:val="22"/>
              </w:rPr>
            </w:pPr>
            <w:r w:rsidRPr="00261D8E">
              <w:rPr>
                <w:sz w:val="22"/>
                <w:szCs w:val="22"/>
              </w:rPr>
              <w:t>“UCAN is supportive of the goal of redesigning bills in order to help customers better understand their energy usage and their bills. However, UCAN is troubled by the lack of information provided on the proposed budget and SDG&amp;E’s inability to provide more a detailed breakdown of costs by activity. Without a more detailed forecast of bill redesign costs that justifies the need for $3.3 million to complete this project, UCAN requests that funding be denied.”</w:t>
            </w:r>
          </w:p>
          <w:p w:rsidR="001A6766" w:rsidRPr="003D7F07" w:rsidRDefault="001A6766" w:rsidP="003D7F07">
            <w:pPr>
              <w:spacing w:before="120" w:after="120"/>
              <w:rPr>
                <w:b/>
                <w:color w:val="000000"/>
                <w:sz w:val="22"/>
                <w:szCs w:val="22"/>
              </w:rPr>
            </w:pPr>
            <w:r w:rsidRPr="003D7F07">
              <w:rPr>
                <w:b/>
                <w:color w:val="000000"/>
                <w:sz w:val="22"/>
                <w:szCs w:val="22"/>
              </w:rPr>
              <w:t xml:space="preserve">Exhibit 347, p. 84. </w:t>
            </w:r>
          </w:p>
          <w:p w:rsidR="001A6766" w:rsidRPr="00261D8E" w:rsidRDefault="001A6766" w:rsidP="003D7F07">
            <w:pPr>
              <w:keepNext/>
              <w:keepLines/>
              <w:autoSpaceDE w:val="0"/>
              <w:autoSpaceDN w:val="0"/>
              <w:adjustRightInd w:val="0"/>
              <w:rPr>
                <w:sz w:val="22"/>
                <w:szCs w:val="22"/>
              </w:rPr>
            </w:pPr>
            <w:r w:rsidRPr="00261D8E">
              <w:rPr>
                <w:sz w:val="22"/>
                <w:szCs w:val="22"/>
              </w:rPr>
              <w:t>“ORA did not oppose SDG&amp;E’s forecast of capital expenditures for 2015 and 2016.”</w:t>
            </w:r>
          </w:p>
          <w:p w:rsidR="001A6766" w:rsidRPr="00261D8E" w:rsidRDefault="001A6766" w:rsidP="003D7F07">
            <w:pPr>
              <w:keepNext/>
              <w:keepLines/>
              <w:autoSpaceDE w:val="0"/>
              <w:autoSpaceDN w:val="0"/>
              <w:adjustRightInd w:val="0"/>
              <w:rPr>
                <w:sz w:val="22"/>
                <w:szCs w:val="22"/>
              </w:rPr>
            </w:pPr>
          </w:p>
          <w:p w:rsidR="001A6766" w:rsidRPr="00261D8E" w:rsidRDefault="001A6766" w:rsidP="003D7F07">
            <w:pPr>
              <w:keepNext/>
              <w:keepLines/>
              <w:autoSpaceDE w:val="0"/>
              <w:autoSpaceDN w:val="0"/>
              <w:adjustRightInd w:val="0"/>
              <w:rPr>
                <w:b/>
                <w:sz w:val="22"/>
                <w:szCs w:val="22"/>
              </w:rPr>
            </w:pPr>
            <w:r w:rsidRPr="00261D8E">
              <w:rPr>
                <w:sz w:val="22"/>
                <w:szCs w:val="22"/>
              </w:rPr>
              <w:t>“UCAN objected to the IT capital funding request for the Bill Redesign Project due to insufficient details regarding the breakdown of costs by activity.”</w:t>
            </w:r>
          </w:p>
          <w:p w:rsidR="001A6766" w:rsidRPr="00261D8E" w:rsidRDefault="001A6766" w:rsidP="003D7F07">
            <w:pPr>
              <w:keepNext/>
              <w:keepLines/>
              <w:autoSpaceDE w:val="0"/>
              <w:autoSpaceDN w:val="0"/>
              <w:adjustRightInd w:val="0"/>
              <w:rPr>
                <w:sz w:val="22"/>
                <w:szCs w:val="22"/>
              </w:rPr>
            </w:pPr>
          </w:p>
          <w:p w:rsidR="001A6766" w:rsidRPr="00261D8E" w:rsidRDefault="001A6766" w:rsidP="003D7F07">
            <w:pPr>
              <w:keepNext/>
              <w:keepLines/>
              <w:autoSpaceDE w:val="0"/>
              <w:autoSpaceDN w:val="0"/>
              <w:adjustRightInd w:val="0"/>
              <w:rPr>
                <w:sz w:val="22"/>
                <w:szCs w:val="22"/>
              </w:rPr>
            </w:pPr>
            <w:r w:rsidRPr="00261D8E">
              <w:rPr>
                <w:sz w:val="22"/>
                <w:szCs w:val="22"/>
              </w:rPr>
              <w:t>The Commission adopted SDG&amp;E’s forecast of capital expenditures for 2015 and 2016.</w:t>
            </w:r>
          </w:p>
          <w:p w:rsidR="001A6766" w:rsidRPr="00261D8E" w:rsidRDefault="001A6766" w:rsidP="003D7F07">
            <w:pPr>
              <w:keepNext/>
              <w:keepLines/>
              <w:autoSpaceDE w:val="0"/>
              <w:autoSpaceDN w:val="0"/>
              <w:adjustRightInd w:val="0"/>
              <w:rPr>
                <w:sz w:val="22"/>
                <w:szCs w:val="22"/>
              </w:rPr>
            </w:pPr>
          </w:p>
          <w:p w:rsidR="001A6766" w:rsidRPr="00261D8E" w:rsidRDefault="001A6766" w:rsidP="003D7F07">
            <w:pPr>
              <w:keepNext/>
              <w:keepLines/>
              <w:autoSpaceDE w:val="0"/>
              <w:autoSpaceDN w:val="0"/>
              <w:adjustRightInd w:val="0"/>
              <w:spacing w:after="120"/>
              <w:rPr>
                <w:b/>
                <w:sz w:val="22"/>
                <w:szCs w:val="22"/>
              </w:rPr>
            </w:pPr>
            <w:r w:rsidRPr="00261D8E">
              <w:rPr>
                <w:b/>
                <w:sz w:val="22"/>
                <w:szCs w:val="22"/>
              </w:rPr>
              <w:t>D.16-06-054, p. 136</w:t>
            </w:r>
          </w:p>
        </w:tc>
        <w:tc>
          <w:tcPr>
            <w:tcW w:w="2340" w:type="dxa"/>
            <w:shd w:val="clear" w:color="auto" w:fill="FFFFFF"/>
          </w:tcPr>
          <w:p w:rsidR="001A6766" w:rsidRPr="00261D8E" w:rsidRDefault="00C36A15" w:rsidP="003D7F07">
            <w:pPr>
              <w:keepNext/>
              <w:keepLines/>
              <w:spacing w:before="120"/>
              <w:rPr>
                <w:color w:val="000000"/>
                <w:sz w:val="22"/>
                <w:szCs w:val="22"/>
              </w:rPr>
            </w:pPr>
            <w:r>
              <w:rPr>
                <w:color w:val="000000"/>
                <w:sz w:val="22"/>
                <w:szCs w:val="22"/>
              </w:rPr>
              <w:t>Verified.</w:t>
            </w:r>
          </w:p>
        </w:tc>
      </w:tr>
      <w:tr w:rsidR="001A6766" w:rsidRPr="00261D8E" w:rsidTr="00396048">
        <w:tc>
          <w:tcPr>
            <w:tcW w:w="3978" w:type="dxa"/>
            <w:shd w:val="clear" w:color="auto" w:fill="FFFFFF"/>
          </w:tcPr>
          <w:p w:rsidR="001A6766" w:rsidRPr="00261D8E" w:rsidRDefault="001A6766" w:rsidP="003D7F07">
            <w:pPr>
              <w:spacing w:before="60" w:after="60"/>
              <w:contextualSpacing/>
              <w:rPr>
                <w:b/>
                <w:color w:val="000000"/>
                <w:sz w:val="22"/>
                <w:szCs w:val="22"/>
              </w:rPr>
            </w:pPr>
            <w:r w:rsidRPr="00261D8E">
              <w:rPr>
                <w:b/>
                <w:color w:val="000000"/>
                <w:sz w:val="22"/>
                <w:szCs w:val="22"/>
              </w:rPr>
              <w:t>Non-revenue Requirement Issues</w:t>
            </w:r>
          </w:p>
        </w:tc>
        <w:tc>
          <w:tcPr>
            <w:tcW w:w="3420" w:type="dxa"/>
            <w:shd w:val="clear" w:color="auto" w:fill="FFFFFF"/>
          </w:tcPr>
          <w:p w:rsidR="001A6766" w:rsidRPr="00261D8E" w:rsidRDefault="001A6766" w:rsidP="001A6766">
            <w:pPr>
              <w:spacing w:before="120"/>
              <w:rPr>
                <w:sz w:val="22"/>
                <w:szCs w:val="22"/>
              </w:rPr>
            </w:pPr>
          </w:p>
        </w:tc>
        <w:tc>
          <w:tcPr>
            <w:tcW w:w="2340" w:type="dxa"/>
            <w:shd w:val="clear" w:color="auto" w:fill="FFFFFF"/>
          </w:tcPr>
          <w:p w:rsidR="001A6766" w:rsidRPr="00261D8E" w:rsidRDefault="001A6766" w:rsidP="001A6766">
            <w:pPr>
              <w:spacing w:before="120"/>
              <w:rPr>
                <w:color w:val="000000"/>
                <w:sz w:val="22"/>
                <w:szCs w:val="22"/>
              </w:rPr>
            </w:pPr>
          </w:p>
        </w:tc>
      </w:tr>
      <w:tr w:rsidR="001A6766" w:rsidRPr="00261D8E" w:rsidTr="00396048">
        <w:tc>
          <w:tcPr>
            <w:tcW w:w="3978" w:type="dxa"/>
            <w:tcBorders>
              <w:bottom w:val="single" w:sz="4" w:space="0" w:color="auto"/>
            </w:tcBorders>
            <w:shd w:val="clear" w:color="auto" w:fill="FFFFFF"/>
          </w:tcPr>
          <w:p w:rsidR="001A6766" w:rsidRPr="00261D8E" w:rsidRDefault="001A6766" w:rsidP="003D7F07">
            <w:pPr>
              <w:spacing w:before="60" w:after="60"/>
              <w:contextualSpacing/>
              <w:rPr>
                <w:b/>
                <w:color w:val="000000"/>
                <w:sz w:val="22"/>
                <w:szCs w:val="22"/>
              </w:rPr>
            </w:pPr>
            <w:r w:rsidRPr="00261D8E">
              <w:rPr>
                <w:b/>
                <w:color w:val="000000"/>
                <w:sz w:val="22"/>
                <w:szCs w:val="22"/>
              </w:rPr>
              <w:t>Sempra’s Shareholder to Ratepayer Risk Shifting Proposals</w:t>
            </w:r>
          </w:p>
        </w:tc>
        <w:tc>
          <w:tcPr>
            <w:tcW w:w="3420" w:type="dxa"/>
            <w:tcBorders>
              <w:bottom w:val="single" w:sz="4" w:space="0" w:color="auto"/>
            </w:tcBorders>
            <w:shd w:val="clear" w:color="auto" w:fill="FFFFFF"/>
          </w:tcPr>
          <w:p w:rsidR="001A6766" w:rsidRPr="00261D8E" w:rsidRDefault="001A6766" w:rsidP="001A6766">
            <w:pPr>
              <w:spacing w:before="120"/>
              <w:rPr>
                <w:sz w:val="22"/>
                <w:szCs w:val="22"/>
              </w:rPr>
            </w:pPr>
          </w:p>
        </w:tc>
        <w:tc>
          <w:tcPr>
            <w:tcW w:w="2340" w:type="dxa"/>
            <w:shd w:val="clear" w:color="auto" w:fill="FFFFFF"/>
          </w:tcPr>
          <w:p w:rsidR="001A6766" w:rsidRPr="00261D8E" w:rsidRDefault="001A6766" w:rsidP="001A6766">
            <w:pPr>
              <w:spacing w:before="120"/>
              <w:rPr>
                <w:color w:val="000000"/>
                <w:sz w:val="22"/>
                <w:szCs w:val="22"/>
              </w:rPr>
            </w:pPr>
          </w:p>
        </w:tc>
      </w:tr>
      <w:tr w:rsidR="001A6766" w:rsidRPr="00261D8E" w:rsidTr="00396048">
        <w:tc>
          <w:tcPr>
            <w:tcW w:w="3978" w:type="dxa"/>
            <w:tcBorders>
              <w:bottom w:val="single" w:sz="4" w:space="0" w:color="auto"/>
            </w:tcBorders>
            <w:shd w:val="clear" w:color="auto" w:fill="FFFFFF"/>
          </w:tcPr>
          <w:p w:rsidR="001A6766" w:rsidRPr="00261D8E" w:rsidRDefault="001A6766" w:rsidP="003D7F07">
            <w:pPr>
              <w:spacing w:before="120"/>
              <w:rPr>
                <w:b/>
                <w:color w:val="000000"/>
                <w:sz w:val="22"/>
                <w:szCs w:val="22"/>
              </w:rPr>
            </w:pPr>
            <w:r w:rsidRPr="00261D8E">
              <w:rPr>
                <w:b/>
                <w:color w:val="000000"/>
                <w:sz w:val="22"/>
                <w:szCs w:val="22"/>
              </w:rPr>
              <w:t>Sempra proposals for Two Way Balancing Accounts for TIMP and DIMP</w:t>
            </w:r>
          </w:p>
          <w:p w:rsidR="001A6766" w:rsidRPr="00261D8E" w:rsidRDefault="001A6766" w:rsidP="003D7F07">
            <w:pPr>
              <w:spacing w:before="120"/>
              <w:rPr>
                <w:color w:val="000000"/>
                <w:sz w:val="22"/>
                <w:szCs w:val="22"/>
              </w:rPr>
            </w:pPr>
            <w:r w:rsidRPr="00261D8E">
              <w:rPr>
                <w:color w:val="000000"/>
                <w:sz w:val="22"/>
                <w:szCs w:val="22"/>
              </w:rPr>
              <w:t>UCAN opposed the Sempra utilities’ attempt to have the costs for the gas transmission integrity management program (TIMP) and the distribution integrity management program (DIMP) subject to a two-way balancing account with a Tier 2 advice letter process.</w:t>
            </w:r>
          </w:p>
          <w:p w:rsidR="003D7F07" w:rsidRDefault="001A6766" w:rsidP="003D7F07">
            <w:pPr>
              <w:spacing w:before="120"/>
              <w:rPr>
                <w:color w:val="000000"/>
                <w:sz w:val="22"/>
                <w:szCs w:val="22"/>
              </w:rPr>
            </w:pPr>
            <w:r w:rsidRPr="00261D8E">
              <w:rPr>
                <w:color w:val="000000"/>
                <w:sz w:val="22"/>
                <w:szCs w:val="22"/>
              </w:rPr>
              <w:t xml:space="preserve">In testimony UCAN supported making TIMP and DIMP spending subject to a one-way balancing account and a Tier 2 </w:t>
            </w:r>
          </w:p>
          <w:p w:rsidR="001A6766" w:rsidRPr="00261D8E" w:rsidRDefault="001A6766" w:rsidP="003D7F07">
            <w:pPr>
              <w:spacing w:before="120"/>
              <w:rPr>
                <w:color w:val="000000"/>
                <w:sz w:val="22"/>
                <w:szCs w:val="22"/>
              </w:rPr>
            </w:pPr>
            <w:proofErr w:type="gramStart"/>
            <w:r w:rsidRPr="00261D8E">
              <w:rPr>
                <w:color w:val="000000"/>
                <w:sz w:val="22"/>
                <w:szCs w:val="22"/>
              </w:rPr>
              <w:lastRenderedPageBreak/>
              <w:t>advice</w:t>
            </w:r>
            <w:proofErr w:type="gramEnd"/>
            <w:r w:rsidRPr="00261D8E">
              <w:rPr>
                <w:color w:val="000000"/>
                <w:sz w:val="22"/>
                <w:szCs w:val="22"/>
              </w:rPr>
              <w:t xml:space="preserve"> letter process and requested, at minimum, that any two-way balancing accounts for TIMP/DIMP remain subject to a Tier 3 advice letter process.</w:t>
            </w:r>
          </w:p>
          <w:p w:rsidR="001A6766" w:rsidRPr="00261D8E" w:rsidRDefault="001A6766" w:rsidP="00A2487D">
            <w:pPr>
              <w:spacing w:before="120" w:after="60"/>
              <w:rPr>
                <w:color w:val="000000"/>
                <w:sz w:val="22"/>
                <w:szCs w:val="22"/>
              </w:rPr>
            </w:pPr>
            <w:r w:rsidRPr="00261D8E">
              <w:rPr>
                <w:color w:val="000000"/>
                <w:sz w:val="22"/>
                <w:szCs w:val="22"/>
              </w:rPr>
              <w:t xml:space="preserve">In the Attachment 5 settlement agreement, the Commission adopted UCAN’s request that the TIMP and DIMP two-way balancing accounts be subject to a Tier 3 advice letter process. </w:t>
            </w:r>
            <w:r w:rsidR="00D03F56">
              <w:rPr>
                <w:color w:val="000000"/>
                <w:sz w:val="22"/>
                <w:szCs w:val="22"/>
              </w:rPr>
              <w:t xml:space="preserve"> </w:t>
            </w:r>
            <w:r w:rsidRPr="00261D8E">
              <w:rPr>
                <w:color w:val="000000"/>
                <w:sz w:val="22"/>
                <w:szCs w:val="22"/>
              </w:rPr>
              <w:t xml:space="preserve">The Commission further adopted additional ratepayer protections for TIMP and DIMP spending that UCAN advocated for, namely that there would be a cap on the amount of </w:t>
            </w:r>
            <w:proofErr w:type="spellStart"/>
            <w:r w:rsidRPr="00261D8E">
              <w:rPr>
                <w:color w:val="000000"/>
                <w:sz w:val="22"/>
                <w:szCs w:val="22"/>
              </w:rPr>
              <w:t>undercollections</w:t>
            </w:r>
            <w:proofErr w:type="spellEnd"/>
            <w:r w:rsidRPr="00261D8E">
              <w:rPr>
                <w:color w:val="000000"/>
                <w:sz w:val="22"/>
                <w:szCs w:val="22"/>
              </w:rPr>
              <w:t xml:space="preserve"> that could be recovered through the Tier 3 advice letter process of no more than 35% of the 2016 GRC revenue requirement for these programs</w:t>
            </w:r>
          </w:p>
        </w:tc>
        <w:tc>
          <w:tcPr>
            <w:tcW w:w="3420" w:type="dxa"/>
            <w:tcBorders>
              <w:bottom w:val="single" w:sz="4" w:space="0" w:color="auto"/>
            </w:tcBorders>
            <w:shd w:val="clear" w:color="auto" w:fill="FFFFFF"/>
          </w:tcPr>
          <w:p w:rsidR="001A6766" w:rsidRPr="00261D8E" w:rsidRDefault="001A6766" w:rsidP="003D7F07">
            <w:pPr>
              <w:autoSpaceDE w:val="0"/>
              <w:autoSpaceDN w:val="0"/>
              <w:adjustRightInd w:val="0"/>
              <w:spacing w:before="120"/>
              <w:rPr>
                <w:sz w:val="22"/>
                <w:szCs w:val="22"/>
              </w:rPr>
            </w:pPr>
            <w:r w:rsidRPr="00261D8E">
              <w:rPr>
                <w:sz w:val="22"/>
                <w:szCs w:val="22"/>
              </w:rPr>
              <w:lastRenderedPageBreak/>
              <w:t xml:space="preserve">“The SDG&amp;E and </w:t>
            </w:r>
            <w:proofErr w:type="spellStart"/>
            <w:r w:rsidRPr="00261D8E">
              <w:rPr>
                <w:sz w:val="22"/>
                <w:szCs w:val="22"/>
              </w:rPr>
              <w:t>SoCalGas</w:t>
            </w:r>
            <w:proofErr w:type="spellEnd"/>
            <w:r w:rsidRPr="00261D8E">
              <w:rPr>
                <w:sz w:val="22"/>
                <w:szCs w:val="22"/>
              </w:rPr>
              <w:t xml:space="preserve"> TIMP and post-2011 DIMP balancing accounts should be converted to one-way balancing accounts, which may be reviewed using Tier 2 advice letters. If two-way balancing accounts are used for any part of TIMP or DIMP spending, a Tier 3 advice letter process should continue to be used to review requests for </w:t>
            </w:r>
            <w:proofErr w:type="spellStart"/>
            <w:r w:rsidRPr="00261D8E">
              <w:rPr>
                <w:sz w:val="22"/>
                <w:szCs w:val="22"/>
              </w:rPr>
              <w:t>undercollection</w:t>
            </w:r>
            <w:proofErr w:type="spellEnd"/>
            <w:r w:rsidRPr="00261D8E">
              <w:rPr>
                <w:sz w:val="22"/>
                <w:szCs w:val="22"/>
              </w:rPr>
              <w:t xml:space="preserve"> recovery.”</w:t>
            </w:r>
          </w:p>
          <w:p w:rsidR="001A6766" w:rsidRPr="00261D8E" w:rsidRDefault="001A6766" w:rsidP="00A2487D">
            <w:pPr>
              <w:spacing w:before="120" w:after="60"/>
              <w:rPr>
                <w:b/>
                <w:sz w:val="22"/>
                <w:szCs w:val="22"/>
              </w:rPr>
            </w:pPr>
            <w:r w:rsidRPr="00261D8E">
              <w:rPr>
                <w:b/>
                <w:sz w:val="22"/>
                <w:szCs w:val="22"/>
              </w:rPr>
              <w:t>Exhibit 347, p. 69</w:t>
            </w:r>
          </w:p>
          <w:p w:rsidR="001A6766" w:rsidRPr="00261D8E" w:rsidRDefault="001A6766" w:rsidP="003D7F07">
            <w:pPr>
              <w:spacing w:before="120"/>
              <w:rPr>
                <w:sz w:val="22"/>
                <w:szCs w:val="22"/>
              </w:rPr>
            </w:pPr>
            <w:r w:rsidRPr="00261D8E">
              <w:rPr>
                <w:sz w:val="22"/>
                <w:szCs w:val="22"/>
              </w:rPr>
              <w:lastRenderedPageBreak/>
              <w:t>“</w:t>
            </w:r>
            <w:proofErr w:type="gramStart"/>
            <w:r w:rsidRPr="00261D8E">
              <w:rPr>
                <w:sz w:val="22"/>
                <w:szCs w:val="22"/>
              </w:rPr>
              <w:t>each</w:t>
            </w:r>
            <w:proofErr w:type="gramEnd"/>
            <w:r w:rsidRPr="00261D8E">
              <w:rPr>
                <w:sz w:val="22"/>
                <w:szCs w:val="22"/>
              </w:rPr>
              <w:t xml:space="preserve"> utility will continue to maintain separate two-way balancing accounts for their Transmission Integrity Management Program (TIMP) and Distribution Integrity Manageme</w:t>
            </w:r>
            <w:r w:rsidR="00A2487D">
              <w:rPr>
                <w:sz w:val="22"/>
                <w:szCs w:val="22"/>
              </w:rPr>
              <w:t xml:space="preserve">nt Program (DIMP) expenditures.  </w:t>
            </w:r>
            <w:r w:rsidRPr="00261D8E">
              <w:rPr>
                <w:sz w:val="22"/>
                <w:szCs w:val="22"/>
              </w:rPr>
              <w:t xml:space="preserve">The advice letter process for recovery of any TIMP or DIMP </w:t>
            </w:r>
            <w:proofErr w:type="spellStart"/>
            <w:r w:rsidRPr="00261D8E">
              <w:rPr>
                <w:sz w:val="22"/>
                <w:szCs w:val="22"/>
              </w:rPr>
              <w:t>undercollections</w:t>
            </w:r>
            <w:proofErr w:type="spellEnd"/>
            <w:r w:rsidRPr="00261D8E">
              <w:rPr>
                <w:sz w:val="22"/>
                <w:szCs w:val="22"/>
              </w:rPr>
              <w:t xml:space="preserve"> will be limited to </w:t>
            </w:r>
            <w:proofErr w:type="spellStart"/>
            <w:r w:rsidRPr="00261D8E">
              <w:rPr>
                <w:sz w:val="22"/>
                <w:szCs w:val="22"/>
              </w:rPr>
              <w:t>undercollection</w:t>
            </w:r>
            <w:proofErr w:type="spellEnd"/>
            <w:r w:rsidRPr="00261D8E">
              <w:rPr>
                <w:sz w:val="22"/>
                <w:szCs w:val="22"/>
              </w:rPr>
              <w:t xml:space="preserve"> amounts up to 35% of the 2016 GRC cycle total revenue requirement for that program and will require a Tier 3 advice letter. Any amounts above the 35% will be subject to a separate application procedure.”</w:t>
            </w:r>
          </w:p>
          <w:p w:rsidR="001A6766" w:rsidRPr="003D7F07" w:rsidRDefault="001A6766" w:rsidP="003D7F07">
            <w:pPr>
              <w:spacing w:before="120" w:after="60"/>
              <w:rPr>
                <w:b/>
                <w:sz w:val="22"/>
                <w:szCs w:val="22"/>
              </w:rPr>
            </w:pPr>
            <w:r w:rsidRPr="00261D8E">
              <w:rPr>
                <w:b/>
                <w:sz w:val="22"/>
                <w:szCs w:val="22"/>
              </w:rPr>
              <w:t>D.16-06-054, p. 27</w:t>
            </w:r>
          </w:p>
        </w:tc>
        <w:tc>
          <w:tcPr>
            <w:tcW w:w="2340" w:type="dxa"/>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rPr>
          <w:trHeight w:val="7730"/>
        </w:trPr>
        <w:tc>
          <w:tcPr>
            <w:tcW w:w="3978" w:type="dxa"/>
            <w:tcBorders>
              <w:bottom w:val="single" w:sz="4" w:space="0" w:color="auto"/>
            </w:tcBorders>
            <w:shd w:val="clear" w:color="auto" w:fill="FFFFFF"/>
          </w:tcPr>
          <w:p w:rsidR="001A6766" w:rsidRPr="00261D8E" w:rsidRDefault="001A6766" w:rsidP="00A2487D">
            <w:pPr>
              <w:spacing w:before="60"/>
              <w:rPr>
                <w:b/>
                <w:color w:val="000000"/>
                <w:sz w:val="22"/>
                <w:szCs w:val="22"/>
              </w:rPr>
            </w:pPr>
            <w:proofErr w:type="spellStart"/>
            <w:r w:rsidRPr="00261D8E">
              <w:rPr>
                <w:b/>
                <w:color w:val="000000"/>
                <w:sz w:val="22"/>
                <w:szCs w:val="22"/>
              </w:rPr>
              <w:lastRenderedPageBreak/>
              <w:t>SoCalGas</w:t>
            </w:r>
            <w:proofErr w:type="spellEnd"/>
            <w:r w:rsidRPr="00261D8E">
              <w:rPr>
                <w:b/>
                <w:color w:val="000000"/>
                <w:sz w:val="22"/>
                <w:szCs w:val="22"/>
              </w:rPr>
              <w:t>’ Two Way Balancing Account proposal for SIMP</w:t>
            </w:r>
          </w:p>
          <w:p w:rsidR="001A6766" w:rsidRPr="00261D8E" w:rsidRDefault="001A6766" w:rsidP="001A6766">
            <w:pPr>
              <w:spacing w:before="120"/>
              <w:rPr>
                <w:color w:val="000000"/>
                <w:sz w:val="22"/>
                <w:szCs w:val="22"/>
              </w:rPr>
            </w:pPr>
            <w:r w:rsidRPr="00261D8E">
              <w:rPr>
                <w:color w:val="000000"/>
                <w:sz w:val="22"/>
                <w:szCs w:val="22"/>
              </w:rPr>
              <w:t xml:space="preserve">In testimony </w:t>
            </w:r>
            <w:proofErr w:type="spellStart"/>
            <w:r w:rsidRPr="00261D8E">
              <w:rPr>
                <w:color w:val="000000"/>
                <w:sz w:val="22"/>
                <w:szCs w:val="22"/>
              </w:rPr>
              <w:t>SoCalGas</w:t>
            </w:r>
            <w:proofErr w:type="spellEnd"/>
            <w:r w:rsidRPr="00261D8E">
              <w:rPr>
                <w:color w:val="000000"/>
                <w:sz w:val="22"/>
                <w:szCs w:val="22"/>
              </w:rPr>
              <w:t xml:space="preserve"> proposed a storage integrity management program (SIMP) to fund gas well inspection and remediation.  In cross examination </w:t>
            </w:r>
            <w:proofErr w:type="spellStart"/>
            <w:r w:rsidRPr="00261D8E">
              <w:rPr>
                <w:color w:val="000000"/>
                <w:sz w:val="22"/>
                <w:szCs w:val="22"/>
              </w:rPr>
              <w:t>SoCalGas</w:t>
            </w:r>
            <w:proofErr w:type="spellEnd"/>
            <w:r w:rsidRPr="00261D8E">
              <w:rPr>
                <w:color w:val="000000"/>
                <w:sz w:val="22"/>
                <w:szCs w:val="22"/>
              </w:rPr>
              <w:t xml:space="preserve"> witnesses described the costs of potential remediation as unknown and unknowable until an inspection had been </w:t>
            </w:r>
            <w:r w:rsidR="00E430A3" w:rsidRPr="00261D8E">
              <w:rPr>
                <w:color w:val="000000"/>
                <w:sz w:val="22"/>
                <w:szCs w:val="22"/>
              </w:rPr>
              <w:t>performed</w:t>
            </w:r>
            <w:r w:rsidRPr="00261D8E">
              <w:rPr>
                <w:color w:val="000000"/>
                <w:sz w:val="22"/>
                <w:szCs w:val="22"/>
              </w:rPr>
              <w:t xml:space="preserve">.  </w:t>
            </w:r>
            <w:proofErr w:type="spellStart"/>
            <w:r w:rsidRPr="00261D8E">
              <w:rPr>
                <w:color w:val="000000"/>
                <w:sz w:val="22"/>
                <w:szCs w:val="22"/>
              </w:rPr>
              <w:t>SoCalGas</w:t>
            </w:r>
            <w:proofErr w:type="spellEnd"/>
            <w:r w:rsidRPr="00261D8E">
              <w:rPr>
                <w:color w:val="000000"/>
                <w:sz w:val="22"/>
                <w:szCs w:val="22"/>
              </w:rPr>
              <w:t xml:space="preserve"> proposed that SIMP be subject to a two-way balancing account using a Tier 2 advice letter process.  UCAN opposed a two-way balancing account and instead preferred that costs for remediation be submitted in the normal GRC process.  Should the Commission establish a two-way balancing account then UCAN advocated the Commission require a Tier 3 advice letter process.</w:t>
            </w:r>
          </w:p>
          <w:p w:rsidR="001A6766" w:rsidRPr="00261D8E" w:rsidRDefault="001A6766" w:rsidP="001A6766">
            <w:pPr>
              <w:spacing w:before="120"/>
              <w:rPr>
                <w:color w:val="000000"/>
                <w:sz w:val="22"/>
                <w:szCs w:val="22"/>
              </w:rPr>
            </w:pPr>
            <w:r w:rsidRPr="00261D8E">
              <w:rPr>
                <w:color w:val="000000"/>
                <w:sz w:val="22"/>
                <w:szCs w:val="22"/>
              </w:rPr>
              <w:t xml:space="preserve">Through negotiations UCAN and the Sempra utilities agreed in the Attachment 5 settlement agreement to a 2 way balancing account using a Tier 3 advice letter process and to limit advice letter recovery of any </w:t>
            </w:r>
            <w:proofErr w:type="spellStart"/>
            <w:r w:rsidRPr="00261D8E">
              <w:rPr>
                <w:color w:val="000000"/>
                <w:sz w:val="22"/>
                <w:szCs w:val="22"/>
              </w:rPr>
              <w:t>undercollections</w:t>
            </w:r>
            <w:proofErr w:type="spellEnd"/>
            <w:r w:rsidRPr="00261D8E">
              <w:rPr>
                <w:color w:val="000000"/>
                <w:sz w:val="22"/>
                <w:szCs w:val="22"/>
              </w:rPr>
              <w:t xml:space="preserve"> to amounts up to 35% of the 2016 GRC cycle total SIMP revenue requirement.  Any amount above the 35% will be subject to a separate application procedure.</w:t>
            </w:r>
          </w:p>
          <w:p w:rsidR="001A6766" w:rsidRPr="00261D8E" w:rsidRDefault="001A6766" w:rsidP="001A6766">
            <w:pPr>
              <w:spacing w:before="120"/>
              <w:rPr>
                <w:color w:val="000000"/>
                <w:sz w:val="22"/>
                <w:szCs w:val="22"/>
              </w:rPr>
            </w:pPr>
            <w:r w:rsidRPr="00261D8E">
              <w:rPr>
                <w:color w:val="000000"/>
                <w:sz w:val="22"/>
                <w:szCs w:val="22"/>
              </w:rPr>
              <w:lastRenderedPageBreak/>
              <w:t xml:space="preserve">The Commission adopted the Attachment 5 settlement </w:t>
            </w:r>
            <w:r w:rsidR="00C36A15">
              <w:rPr>
                <w:color w:val="000000"/>
                <w:sz w:val="22"/>
                <w:szCs w:val="22"/>
              </w:rPr>
              <w:t>terms including this provision.</w:t>
            </w:r>
          </w:p>
        </w:tc>
        <w:tc>
          <w:tcPr>
            <w:tcW w:w="3420" w:type="dxa"/>
            <w:tcBorders>
              <w:bottom w:val="single" w:sz="4" w:space="0" w:color="auto"/>
            </w:tcBorders>
            <w:shd w:val="clear" w:color="auto" w:fill="FFFFFF"/>
          </w:tcPr>
          <w:p w:rsidR="001A6766" w:rsidRPr="00261D8E" w:rsidRDefault="001A6766" w:rsidP="00A2487D">
            <w:pPr>
              <w:autoSpaceDE w:val="0"/>
              <w:autoSpaceDN w:val="0"/>
              <w:adjustRightInd w:val="0"/>
              <w:spacing w:before="60"/>
              <w:rPr>
                <w:sz w:val="22"/>
                <w:szCs w:val="22"/>
              </w:rPr>
            </w:pPr>
            <w:r w:rsidRPr="00261D8E">
              <w:rPr>
                <w:bCs/>
                <w:sz w:val="22"/>
                <w:szCs w:val="22"/>
              </w:rPr>
              <w:lastRenderedPageBreak/>
              <w:t>“UCAN [is] opposed to a two-way balancing account for SIMP….if a two-way balancing account is established, cost recovery must be via a Tier 3 advice letter.</w:t>
            </w:r>
            <w:r w:rsidRPr="00261D8E">
              <w:rPr>
                <w:sz w:val="22"/>
                <w:szCs w:val="22"/>
              </w:rPr>
              <w:t xml:space="preserve"> </w:t>
            </w:r>
          </w:p>
          <w:p w:rsidR="001A6766" w:rsidRPr="00261D8E" w:rsidRDefault="001A6766" w:rsidP="001A6766">
            <w:pPr>
              <w:spacing w:before="120"/>
              <w:rPr>
                <w:sz w:val="22"/>
                <w:szCs w:val="22"/>
              </w:rPr>
            </w:pPr>
            <w:r w:rsidRPr="00261D8E">
              <w:rPr>
                <w:b/>
                <w:sz w:val="22"/>
                <w:szCs w:val="22"/>
              </w:rPr>
              <w:t>Exhibit 347, pp. 71-72</w:t>
            </w:r>
          </w:p>
          <w:p w:rsidR="001A6766" w:rsidRPr="00261D8E" w:rsidRDefault="001A6766" w:rsidP="001A6766">
            <w:pPr>
              <w:spacing w:before="120"/>
              <w:rPr>
                <w:sz w:val="22"/>
                <w:szCs w:val="22"/>
              </w:rPr>
            </w:pPr>
            <w:r w:rsidRPr="00261D8E">
              <w:rPr>
                <w:sz w:val="22"/>
                <w:szCs w:val="22"/>
              </w:rPr>
              <w:t xml:space="preserve">“In Exhibit 347, UCAN opposed </w:t>
            </w:r>
            <w:proofErr w:type="spellStart"/>
            <w:r w:rsidRPr="00261D8E">
              <w:rPr>
                <w:sz w:val="22"/>
                <w:szCs w:val="22"/>
              </w:rPr>
              <w:t>SoCalGas</w:t>
            </w:r>
            <w:proofErr w:type="spellEnd"/>
            <w:r w:rsidRPr="00261D8E">
              <w:rPr>
                <w:sz w:val="22"/>
                <w:szCs w:val="22"/>
              </w:rPr>
              <w:t xml:space="preserve">’ request for a two-way balancing account for the SIMP costs due to the concern that </w:t>
            </w:r>
            <w:proofErr w:type="spellStart"/>
            <w:r w:rsidRPr="00261D8E">
              <w:rPr>
                <w:sz w:val="22"/>
                <w:szCs w:val="22"/>
              </w:rPr>
              <w:t>SoCalGas</w:t>
            </w:r>
            <w:proofErr w:type="spellEnd"/>
            <w:r w:rsidRPr="00261D8E">
              <w:rPr>
                <w:sz w:val="22"/>
                <w:szCs w:val="22"/>
              </w:rPr>
              <w:t xml:space="preserve"> would be allowed </w:t>
            </w:r>
            <w:r w:rsidR="00A2487D">
              <w:rPr>
                <w:sz w:val="22"/>
                <w:szCs w:val="22"/>
              </w:rPr>
              <w:br/>
            </w:r>
            <w:r w:rsidRPr="00261D8E">
              <w:rPr>
                <w:sz w:val="22"/>
                <w:szCs w:val="22"/>
              </w:rPr>
              <w:t>to recover funds in excess of the amount authorized.</w:t>
            </w:r>
          </w:p>
          <w:p w:rsidR="001A6766" w:rsidRPr="00261D8E" w:rsidRDefault="001A6766" w:rsidP="001A6766">
            <w:pPr>
              <w:spacing w:before="120"/>
              <w:rPr>
                <w:sz w:val="22"/>
                <w:szCs w:val="22"/>
              </w:rPr>
            </w:pPr>
            <w:r w:rsidRPr="00261D8E">
              <w:rPr>
                <w:sz w:val="22"/>
                <w:szCs w:val="22"/>
              </w:rPr>
              <w:t xml:space="preserve">After hearings concluded, TURN and UCAN agreed with </w:t>
            </w:r>
            <w:proofErr w:type="spellStart"/>
            <w:r w:rsidRPr="00261D8E">
              <w:rPr>
                <w:sz w:val="22"/>
                <w:szCs w:val="22"/>
              </w:rPr>
              <w:t>SoCalGas</w:t>
            </w:r>
            <w:proofErr w:type="spellEnd"/>
            <w:r w:rsidRPr="00261D8E">
              <w:rPr>
                <w:sz w:val="22"/>
                <w:szCs w:val="22"/>
              </w:rPr>
              <w:t xml:space="preserve"> to establish a two-way balancing account for the SIMP expenditures with recovery procedures similar to the TIMP and DIMP. This is reflected in the Attachment 5 settlement agreement that is appended to the </w:t>
            </w:r>
            <w:proofErr w:type="spellStart"/>
            <w:r w:rsidRPr="00261D8E">
              <w:rPr>
                <w:sz w:val="22"/>
                <w:szCs w:val="22"/>
              </w:rPr>
              <w:t>SoCalGas</w:t>
            </w:r>
            <w:proofErr w:type="spellEnd"/>
            <w:r w:rsidRPr="00261D8E">
              <w:rPr>
                <w:sz w:val="22"/>
                <w:szCs w:val="22"/>
              </w:rPr>
              <w:t xml:space="preserve"> Settlement Motion. That provision of the Attachment 5 settlement agreement provides as follows: </w:t>
            </w:r>
          </w:p>
          <w:p w:rsidR="001A6766" w:rsidRPr="00261D8E" w:rsidRDefault="00A2487D" w:rsidP="00A2487D">
            <w:pPr>
              <w:spacing w:before="120"/>
              <w:rPr>
                <w:sz w:val="22"/>
                <w:szCs w:val="22"/>
              </w:rPr>
            </w:pPr>
            <w:r>
              <w:rPr>
                <w:sz w:val="22"/>
                <w:szCs w:val="22"/>
              </w:rPr>
              <w:t>“</w:t>
            </w:r>
            <w:proofErr w:type="spellStart"/>
            <w:r w:rsidR="001A6766" w:rsidRPr="00261D8E">
              <w:rPr>
                <w:sz w:val="22"/>
                <w:szCs w:val="22"/>
              </w:rPr>
              <w:t>SoCalGas</w:t>
            </w:r>
            <w:proofErr w:type="spellEnd"/>
            <w:r w:rsidR="001A6766" w:rsidRPr="00261D8E">
              <w:rPr>
                <w:sz w:val="22"/>
                <w:szCs w:val="22"/>
              </w:rPr>
              <w:t xml:space="preserve"> will establish a </w:t>
            </w:r>
            <w:r w:rsidR="00E333CA">
              <w:rPr>
                <w:sz w:val="22"/>
                <w:szCs w:val="22"/>
              </w:rPr>
              <w:br/>
            </w:r>
            <w:r w:rsidR="001A6766" w:rsidRPr="00261D8E">
              <w:rPr>
                <w:sz w:val="22"/>
                <w:szCs w:val="22"/>
              </w:rPr>
              <w:t xml:space="preserve">two-way balancing account for SIMP expenditures. </w:t>
            </w:r>
            <w:r>
              <w:rPr>
                <w:sz w:val="22"/>
                <w:szCs w:val="22"/>
              </w:rPr>
              <w:t xml:space="preserve"> </w:t>
            </w:r>
            <w:r w:rsidR="001A6766" w:rsidRPr="00261D8E">
              <w:rPr>
                <w:sz w:val="22"/>
                <w:szCs w:val="22"/>
              </w:rPr>
              <w:t xml:space="preserve">The advice letter process for recovery of any </w:t>
            </w:r>
            <w:proofErr w:type="spellStart"/>
            <w:r w:rsidR="001A6766" w:rsidRPr="00261D8E">
              <w:rPr>
                <w:sz w:val="22"/>
                <w:szCs w:val="22"/>
              </w:rPr>
              <w:lastRenderedPageBreak/>
              <w:t>undercollections</w:t>
            </w:r>
            <w:proofErr w:type="spellEnd"/>
            <w:r w:rsidR="001A6766" w:rsidRPr="00261D8E">
              <w:rPr>
                <w:sz w:val="22"/>
                <w:szCs w:val="22"/>
              </w:rPr>
              <w:t xml:space="preserve"> will be limited to </w:t>
            </w:r>
            <w:proofErr w:type="spellStart"/>
            <w:r w:rsidR="001A6766" w:rsidRPr="00261D8E">
              <w:rPr>
                <w:sz w:val="22"/>
                <w:szCs w:val="22"/>
              </w:rPr>
              <w:t>undercollection</w:t>
            </w:r>
            <w:proofErr w:type="spellEnd"/>
            <w:r w:rsidR="001A6766" w:rsidRPr="00261D8E">
              <w:rPr>
                <w:sz w:val="22"/>
                <w:szCs w:val="22"/>
              </w:rPr>
              <w:t xml:space="preserve"> amounts up to 35% of the 2016 GRC cycle total SIMP revenue requirement and will require a Tier 3 advice letter.</w:t>
            </w:r>
            <w:r w:rsidR="00D03F56">
              <w:rPr>
                <w:sz w:val="22"/>
                <w:szCs w:val="22"/>
              </w:rPr>
              <w:t xml:space="preserve"> </w:t>
            </w:r>
            <w:r w:rsidR="001A6766" w:rsidRPr="00261D8E">
              <w:rPr>
                <w:sz w:val="22"/>
                <w:szCs w:val="22"/>
              </w:rPr>
              <w:t xml:space="preserve"> Any amounts above the 35% will be subject to a separate application procedure.”</w:t>
            </w:r>
          </w:p>
          <w:p w:rsidR="001A6766" w:rsidRPr="00261D8E" w:rsidRDefault="001A6766" w:rsidP="001A6766">
            <w:pPr>
              <w:spacing w:before="120"/>
              <w:rPr>
                <w:b/>
                <w:sz w:val="22"/>
                <w:szCs w:val="22"/>
              </w:rPr>
            </w:pPr>
            <w:r w:rsidRPr="00261D8E">
              <w:rPr>
                <w:b/>
                <w:sz w:val="22"/>
                <w:szCs w:val="22"/>
              </w:rPr>
              <w:t>D.16-06-054, pp. 246-247</w:t>
            </w:r>
          </w:p>
          <w:p w:rsidR="001A6766" w:rsidRPr="00261D8E" w:rsidRDefault="001A6766" w:rsidP="001A6766">
            <w:pPr>
              <w:spacing w:before="120"/>
              <w:rPr>
                <w:b/>
                <w:sz w:val="22"/>
                <w:szCs w:val="22"/>
              </w:rPr>
            </w:pPr>
            <w:r w:rsidRPr="00261D8E">
              <w:rPr>
                <w:b/>
                <w:sz w:val="22"/>
                <w:szCs w:val="22"/>
              </w:rPr>
              <w:t>Finding-of-Fact</w:t>
            </w:r>
          </w:p>
          <w:p w:rsidR="001A6766" w:rsidRPr="00261D8E" w:rsidRDefault="00A2487D" w:rsidP="001A6766">
            <w:pPr>
              <w:spacing w:before="120"/>
              <w:rPr>
                <w:sz w:val="22"/>
                <w:szCs w:val="22"/>
              </w:rPr>
            </w:pPr>
            <w:r>
              <w:rPr>
                <w:sz w:val="22"/>
                <w:szCs w:val="22"/>
              </w:rPr>
              <w:t xml:space="preserve">189.  </w:t>
            </w:r>
            <w:r w:rsidR="001A6766" w:rsidRPr="00261D8E">
              <w:rPr>
                <w:sz w:val="22"/>
                <w:szCs w:val="22"/>
              </w:rPr>
              <w:t xml:space="preserve">The provision in the Attachment 5 settlement agreement wherein SIMP </w:t>
            </w:r>
            <w:proofErr w:type="spellStart"/>
            <w:r w:rsidR="001A6766" w:rsidRPr="00261D8E">
              <w:rPr>
                <w:sz w:val="22"/>
                <w:szCs w:val="22"/>
              </w:rPr>
              <w:t>undercollections</w:t>
            </w:r>
            <w:proofErr w:type="spellEnd"/>
            <w:r w:rsidR="001A6766" w:rsidRPr="00261D8E">
              <w:rPr>
                <w:sz w:val="22"/>
                <w:szCs w:val="22"/>
              </w:rPr>
              <w:t xml:space="preserve"> of up to 35% </w:t>
            </w:r>
            <w:proofErr w:type="gramStart"/>
            <w:r w:rsidR="001A6766" w:rsidRPr="00261D8E">
              <w:rPr>
                <w:sz w:val="22"/>
                <w:szCs w:val="22"/>
              </w:rPr>
              <w:t>be</w:t>
            </w:r>
            <w:proofErr w:type="gramEnd"/>
            <w:r w:rsidR="001A6766" w:rsidRPr="00261D8E">
              <w:rPr>
                <w:sz w:val="22"/>
                <w:szCs w:val="22"/>
              </w:rPr>
              <w:t xml:space="preserve"> recovered through the advice letter process, and </w:t>
            </w:r>
            <w:proofErr w:type="spellStart"/>
            <w:r w:rsidR="001A6766" w:rsidRPr="00261D8E">
              <w:rPr>
                <w:sz w:val="22"/>
                <w:szCs w:val="22"/>
              </w:rPr>
              <w:t>undercollections</w:t>
            </w:r>
            <w:proofErr w:type="spellEnd"/>
            <w:r w:rsidR="001A6766" w:rsidRPr="00261D8E">
              <w:rPr>
                <w:sz w:val="22"/>
                <w:szCs w:val="22"/>
              </w:rPr>
              <w:t xml:space="preserve"> above 35% be recovered through a separate proceeding, is reasonable.</w:t>
            </w:r>
          </w:p>
          <w:p w:rsidR="001A6766" w:rsidRPr="00261D8E" w:rsidRDefault="001A6766" w:rsidP="001A6766">
            <w:pPr>
              <w:spacing w:before="120"/>
              <w:rPr>
                <w:b/>
                <w:sz w:val="22"/>
                <w:szCs w:val="22"/>
              </w:rPr>
            </w:pPr>
            <w:r w:rsidRPr="00261D8E">
              <w:rPr>
                <w:b/>
                <w:sz w:val="22"/>
                <w:szCs w:val="22"/>
              </w:rPr>
              <w:t>D.16-06-054, p. 310</w:t>
            </w:r>
          </w:p>
          <w:p w:rsidR="001A6766" w:rsidRPr="00261D8E" w:rsidRDefault="001A6766" w:rsidP="001A6766">
            <w:pPr>
              <w:spacing w:before="120"/>
              <w:rPr>
                <w:b/>
                <w:sz w:val="22"/>
                <w:szCs w:val="22"/>
              </w:rPr>
            </w:pPr>
            <w:r w:rsidRPr="00261D8E">
              <w:rPr>
                <w:b/>
                <w:sz w:val="22"/>
                <w:szCs w:val="22"/>
              </w:rPr>
              <w:t>Conclusions-of-Law</w:t>
            </w:r>
          </w:p>
          <w:p w:rsidR="001A6766" w:rsidRPr="00261D8E" w:rsidRDefault="001A6766" w:rsidP="001A6766">
            <w:pPr>
              <w:spacing w:before="120"/>
              <w:rPr>
                <w:b/>
                <w:sz w:val="22"/>
                <w:szCs w:val="22"/>
              </w:rPr>
            </w:pPr>
            <w:r w:rsidRPr="00261D8E">
              <w:rPr>
                <w:sz w:val="22"/>
                <w:szCs w:val="22"/>
              </w:rPr>
              <w:t xml:space="preserve">69. The agreement in the Attachment 5 settlement agreement wherein SIMP </w:t>
            </w:r>
            <w:proofErr w:type="spellStart"/>
            <w:r w:rsidRPr="00261D8E">
              <w:rPr>
                <w:sz w:val="22"/>
                <w:szCs w:val="22"/>
              </w:rPr>
              <w:t>undercollections</w:t>
            </w:r>
            <w:proofErr w:type="spellEnd"/>
            <w:r w:rsidRPr="00261D8E">
              <w:rPr>
                <w:sz w:val="22"/>
                <w:szCs w:val="22"/>
              </w:rPr>
              <w:t xml:space="preserve"> of up to 35% </w:t>
            </w:r>
            <w:proofErr w:type="gramStart"/>
            <w:r w:rsidRPr="00261D8E">
              <w:rPr>
                <w:sz w:val="22"/>
                <w:szCs w:val="22"/>
              </w:rPr>
              <w:t>be</w:t>
            </w:r>
            <w:proofErr w:type="gramEnd"/>
            <w:r w:rsidRPr="00261D8E">
              <w:rPr>
                <w:sz w:val="22"/>
                <w:szCs w:val="22"/>
              </w:rPr>
              <w:t xml:space="preserve"> recovered through the advice letter process, and </w:t>
            </w:r>
            <w:proofErr w:type="spellStart"/>
            <w:r w:rsidRPr="00261D8E">
              <w:rPr>
                <w:sz w:val="22"/>
                <w:szCs w:val="22"/>
              </w:rPr>
              <w:t>undercollections</w:t>
            </w:r>
            <w:proofErr w:type="spellEnd"/>
            <w:r w:rsidRPr="00261D8E">
              <w:rPr>
                <w:sz w:val="22"/>
                <w:szCs w:val="22"/>
              </w:rPr>
              <w:t xml:space="preserve"> above 35% be recovered through a separate proceeding, should be adopted.</w:t>
            </w:r>
          </w:p>
          <w:p w:rsidR="001A6766" w:rsidRPr="00261D8E" w:rsidRDefault="001A6766" w:rsidP="00A2487D">
            <w:pPr>
              <w:spacing w:before="60" w:after="60"/>
              <w:rPr>
                <w:b/>
                <w:sz w:val="22"/>
                <w:szCs w:val="22"/>
              </w:rPr>
            </w:pPr>
            <w:r w:rsidRPr="00261D8E">
              <w:rPr>
                <w:b/>
                <w:sz w:val="22"/>
                <w:szCs w:val="22"/>
              </w:rPr>
              <w:t>D.16-06-054, p. 323</w:t>
            </w:r>
          </w:p>
        </w:tc>
        <w:tc>
          <w:tcPr>
            <w:tcW w:w="2340" w:type="dxa"/>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c>
          <w:tcPr>
            <w:tcW w:w="3978" w:type="dxa"/>
            <w:shd w:val="clear" w:color="auto" w:fill="FFFFFF"/>
          </w:tcPr>
          <w:p w:rsidR="001A6766" w:rsidRPr="00261D8E" w:rsidRDefault="001A6766" w:rsidP="00E333CA">
            <w:pPr>
              <w:spacing w:before="60"/>
              <w:rPr>
                <w:b/>
                <w:color w:val="000000"/>
                <w:sz w:val="22"/>
                <w:szCs w:val="22"/>
              </w:rPr>
            </w:pPr>
            <w:r w:rsidRPr="00261D8E">
              <w:rPr>
                <w:b/>
                <w:color w:val="000000"/>
                <w:sz w:val="22"/>
                <w:szCs w:val="22"/>
              </w:rPr>
              <w:lastRenderedPageBreak/>
              <w:t>SDG&amp;E’s Proposal for a Two-Way Tree Trimming Balancing Account</w:t>
            </w:r>
          </w:p>
          <w:p w:rsidR="001A6766" w:rsidRPr="00261D8E" w:rsidRDefault="001A6766" w:rsidP="00E333CA">
            <w:pPr>
              <w:spacing w:before="60"/>
              <w:rPr>
                <w:color w:val="000000"/>
                <w:sz w:val="22"/>
                <w:szCs w:val="22"/>
              </w:rPr>
            </w:pPr>
            <w:r w:rsidRPr="00261D8E">
              <w:rPr>
                <w:color w:val="000000"/>
                <w:sz w:val="22"/>
                <w:szCs w:val="22"/>
              </w:rPr>
              <w:t xml:space="preserve">In testimony UCAN opposed SDG&amp;E’s request to shift their Tree Trimming Balancing Account (TTBA) from </w:t>
            </w:r>
            <w:r w:rsidR="00A2487D">
              <w:rPr>
                <w:color w:val="000000"/>
                <w:sz w:val="22"/>
                <w:szCs w:val="22"/>
              </w:rPr>
              <w:br/>
            </w:r>
            <w:r w:rsidRPr="00261D8E">
              <w:rPr>
                <w:color w:val="000000"/>
                <w:sz w:val="22"/>
                <w:szCs w:val="22"/>
              </w:rPr>
              <w:t xml:space="preserve">one-way balancing account to a two-way account. </w:t>
            </w:r>
            <w:r w:rsidR="00D03F56">
              <w:rPr>
                <w:color w:val="000000"/>
                <w:sz w:val="22"/>
                <w:szCs w:val="22"/>
              </w:rPr>
              <w:t xml:space="preserve"> </w:t>
            </w:r>
            <w:r w:rsidRPr="00261D8E">
              <w:rPr>
                <w:color w:val="000000"/>
                <w:sz w:val="22"/>
                <w:szCs w:val="22"/>
              </w:rPr>
              <w:t>UCAN noted that SDG&amp;E made the same request in its 2012 GRC filing, that the Commission denied that request, and that SDG&amp;E had presented no evidence that would warrant</w:t>
            </w:r>
            <w:r w:rsidR="00D03F56">
              <w:rPr>
                <w:color w:val="000000"/>
                <w:sz w:val="22"/>
                <w:szCs w:val="22"/>
              </w:rPr>
              <w:t xml:space="preserve"> reconsideration at this time.</w:t>
            </w:r>
          </w:p>
        </w:tc>
        <w:tc>
          <w:tcPr>
            <w:tcW w:w="3420" w:type="dxa"/>
            <w:shd w:val="clear" w:color="auto" w:fill="FFFFFF"/>
          </w:tcPr>
          <w:p w:rsidR="001A6766" w:rsidRPr="00261D8E" w:rsidRDefault="001A6766" w:rsidP="003D7F07">
            <w:pPr>
              <w:autoSpaceDE w:val="0"/>
              <w:autoSpaceDN w:val="0"/>
              <w:adjustRightInd w:val="0"/>
              <w:spacing w:before="60"/>
              <w:rPr>
                <w:sz w:val="22"/>
                <w:szCs w:val="22"/>
              </w:rPr>
            </w:pPr>
            <w:r w:rsidRPr="00261D8E">
              <w:rPr>
                <w:sz w:val="22"/>
                <w:szCs w:val="22"/>
              </w:rPr>
              <w:t xml:space="preserve">“UCAN recommends that SDG&amp;E’s proposal to convert the TTBA from a one-way balancing account to a two-way balancing account be denied. </w:t>
            </w:r>
            <w:r w:rsidR="00D03F56">
              <w:rPr>
                <w:sz w:val="22"/>
                <w:szCs w:val="22"/>
              </w:rPr>
              <w:t xml:space="preserve"> </w:t>
            </w:r>
            <w:r w:rsidRPr="00261D8E">
              <w:rPr>
                <w:sz w:val="22"/>
                <w:szCs w:val="22"/>
              </w:rPr>
              <w:t>As described above in relation to the TIMP and DIMP accounts, one-way balancing accounts are appropriate to ensure that SDG&amp;E bears the responsibility of producing reasonable forecasts and exercising good management practices to avoid cost overruns.”</w:t>
            </w:r>
          </w:p>
          <w:p w:rsidR="00E333CA" w:rsidRPr="00A2487D" w:rsidRDefault="001A6766" w:rsidP="001A6766">
            <w:pPr>
              <w:spacing w:before="120"/>
              <w:rPr>
                <w:b/>
                <w:sz w:val="22"/>
                <w:szCs w:val="22"/>
              </w:rPr>
            </w:pPr>
            <w:r w:rsidRPr="00261D8E">
              <w:rPr>
                <w:b/>
                <w:sz w:val="22"/>
                <w:szCs w:val="22"/>
              </w:rPr>
              <w:t>Exhibit 347, p. 77</w:t>
            </w:r>
          </w:p>
          <w:p w:rsidR="001A6766" w:rsidRPr="00261D8E" w:rsidRDefault="001A6766" w:rsidP="00E333CA">
            <w:pPr>
              <w:spacing w:before="60"/>
              <w:rPr>
                <w:sz w:val="22"/>
                <w:szCs w:val="22"/>
              </w:rPr>
            </w:pPr>
            <w:r w:rsidRPr="00261D8E">
              <w:rPr>
                <w:sz w:val="22"/>
                <w:szCs w:val="22"/>
              </w:rPr>
              <w:t>“SDG&amp;E’s expenses for this program currently utilize a one-way balancing account.</w:t>
            </w:r>
            <w:r w:rsidR="00D03F56">
              <w:rPr>
                <w:sz w:val="22"/>
                <w:szCs w:val="22"/>
              </w:rPr>
              <w:t xml:space="preserve"> </w:t>
            </w:r>
            <w:r w:rsidRPr="00261D8E">
              <w:rPr>
                <w:sz w:val="22"/>
                <w:szCs w:val="22"/>
              </w:rPr>
              <w:t xml:space="preserve"> For this GRC </w:t>
            </w:r>
            <w:r w:rsidRPr="00261D8E">
              <w:rPr>
                <w:sz w:val="22"/>
                <w:szCs w:val="22"/>
              </w:rPr>
              <w:lastRenderedPageBreak/>
              <w:t xml:space="preserve">cycle, SDG&amp;E is requesting a </w:t>
            </w:r>
            <w:r w:rsidR="00E333CA">
              <w:rPr>
                <w:sz w:val="22"/>
                <w:szCs w:val="22"/>
              </w:rPr>
              <w:br/>
            </w:r>
            <w:r w:rsidRPr="00261D8E">
              <w:rPr>
                <w:sz w:val="22"/>
                <w:szCs w:val="22"/>
              </w:rPr>
              <w:t>two-way balancing account.”</w:t>
            </w:r>
          </w:p>
          <w:p w:rsidR="001A6766" w:rsidRPr="00261D8E" w:rsidRDefault="001A6766" w:rsidP="001A6766">
            <w:pPr>
              <w:spacing w:before="120"/>
              <w:rPr>
                <w:b/>
                <w:sz w:val="22"/>
                <w:szCs w:val="22"/>
              </w:rPr>
            </w:pPr>
            <w:r w:rsidRPr="00261D8E">
              <w:rPr>
                <w:b/>
                <w:sz w:val="22"/>
                <w:szCs w:val="22"/>
              </w:rPr>
              <w:t>D.16-06-054, p. 57</w:t>
            </w:r>
          </w:p>
          <w:p w:rsidR="001A6766" w:rsidRPr="00261D8E" w:rsidRDefault="001A6766" w:rsidP="001A6766">
            <w:pPr>
              <w:spacing w:before="120"/>
              <w:rPr>
                <w:sz w:val="22"/>
                <w:szCs w:val="22"/>
              </w:rPr>
            </w:pPr>
            <w:r w:rsidRPr="00261D8E">
              <w:rPr>
                <w:sz w:val="22"/>
                <w:szCs w:val="22"/>
              </w:rPr>
              <w:t>“ORA and FEA contend that a</w:t>
            </w:r>
            <w:r w:rsidR="00A2487D">
              <w:rPr>
                <w:sz w:val="22"/>
                <w:szCs w:val="22"/>
              </w:rPr>
              <w:br/>
            </w:r>
            <w:r w:rsidRPr="00261D8E">
              <w:rPr>
                <w:sz w:val="22"/>
                <w:szCs w:val="22"/>
              </w:rPr>
              <w:t xml:space="preserve"> two-way balancing account will allow SDG&amp;E to spend without restriction, and that a one-way balancing account will result in less variability as to costs and encourage cost efficiency.</w:t>
            </w:r>
            <w:r w:rsidR="00D03F56">
              <w:rPr>
                <w:sz w:val="22"/>
                <w:szCs w:val="22"/>
              </w:rPr>
              <w:t xml:space="preserve"> </w:t>
            </w:r>
            <w:r w:rsidRPr="00261D8E">
              <w:rPr>
                <w:sz w:val="22"/>
                <w:szCs w:val="22"/>
              </w:rPr>
              <w:t xml:space="preserve"> UCAN also objects to SDG&amp;E’s request for a two-way balancing account for the same reasons that ORA and FEA have provided.”</w:t>
            </w:r>
          </w:p>
          <w:p w:rsidR="001A6766" w:rsidRPr="00261D8E" w:rsidRDefault="001A6766" w:rsidP="00A2487D">
            <w:pPr>
              <w:spacing w:before="60"/>
              <w:rPr>
                <w:b/>
                <w:sz w:val="22"/>
                <w:szCs w:val="22"/>
              </w:rPr>
            </w:pPr>
            <w:r w:rsidRPr="00261D8E">
              <w:rPr>
                <w:b/>
                <w:sz w:val="22"/>
                <w:szCs w:val="22"/>
              </w:rPr>
              <w:t>D.16-06-054, p. 58</w:t>
            </w:r>
          </w:p>
          <w:p w:rsidR="001A6766" w:rsidRPr="00261D8E" w:rsidRDefault="001A6766" w:rsidP="001A6766">
            <w:pPr>
              <w:spacing w:before="120"/>
              <w:rPr>
                <w:sz w:val="22"/>
                <w:szCs w:val="22"/>
              </w:rPr>
            </w:pPr>
            <w:r w:rsidRPr="00261D8E">
              <w:rPr>
                <w:sz w:val="22"/>
                <w:szCs w:val="22"/>
              </w:rPr>
              <w:t xml:space="preserve">“With regard to the treatment of the Vegetation Management costs, the settling </w:t>
            </w:r>
            <w:proofErr w:type="gramStart"/>
            <w:r w:rsidRPr="00261D8E">
              <w:rPr>
                <w:sz w:val="22"/>
                <w:szCs w:val="22"/>
              </w:rPr>
              <w:t>parties</w:t>
            </w:r>
            <w:proofErr w:type="gramEnd"/>
            <w:r w:rsidRPr="00261D8E">
              <w:rPr>
                <w:sz w:val="22"/>
                <w:szCs w:val="22"/>
              </w:rPr>
              <w:t xml:space="preserve"> agreement to continue the one-way balancing account treatment of these costs is reasonable and should be adopted. The one-way balancing account encourages SDG&amp;E to perform the necessary activities related to tree trimming, and at the same time minimize costs for such activities.”</w:t>
            </w:r>
          </w:p>
          <w:p w:rsidR="001A6766" w:rsidRPr="00261D8E" w:rsidRDefault="001A6766" w:rsidP="00E333CA">
            <w:pPr>
              <w:spacing w:before="120" w:after="60"/>
              <w:rPr>
                <w:sz w:val="22"/>
                <w:szCs w:val="22"/>
              </w:rPr>
            </w:pPr>
            <w:r w:rsidRPr="00261D8E">
              <w:rPr>
                <w:b/>
                <w:sz w:val="22"/>
                <w:szCs w:val="22"/>
              </w:rPr>
              <w:t>D.16-06-054, p. 58-59</w:t>
            </w:r>
          </w:p>
        </w:tc>
        <w:tc>
          <w:tcPr>
            <w:tcW w:w="2340" w:type="dxa"/>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E333CA">
            <w:pPr>
              <w:spacing w:before="60" w:after="60"/>
              <w:rPr>
                <w:b/>
                <w:color w:val="000000"/>
                <w:sz w:val="22"/>
                <w:szCs w:val="22"/>
              </w:rPr>
            </w:pPr>
            <w:r w:rsidRPr="00261D8E">
              <w:rPr>
                <w:b/>
                <w:color w:val="000000"/>
                <w:sz w:val="22"/>
                <w:szCs w:val="22"/>
              </w:rPr>
              <w:lastRenderedPageBreak/>
              <w:t>Customer Care Issues</w:t>
            </w:r>
          </w:p>
        </w:tc>
        <w:tc>
          <w:tcPr>
            <w:tcW w:w="3420" w:type="dxa"/>
            <w:tcBorders>
              <w:bottom w:val="single" w:sz="4" w:space="0" w:color="auto"/>
            </w:tcBorders>
            <w:shd w:val="clear" w:color="auto" w:fill="FFFFFF"/>
          </w:tcPr>
          <w:p w:rsidR="001A6766" w:rsidRPr="00261D8E" w:rsidRDefault="001A6766" w:rsidP="001A6766">
            <w:pPr>
              <w:autoSpaceDE w:val="0"/>
              <w:autoSpaceDN w:val="0"/>
              <w:adjustRightInd w:val="0"/>
              <w:rPr>
                <w:sz w:val="22"/>
                <w:szCs w:val="22"/>
              </w:rPr>
            </w:pPr>
          </w:p>
        </w:tc>
        <w:tc>
          <w:tcPr>
            <w:tcW w:w="2340" w:type="dxa"/>
            <w:shd w:val="clear" w:color="auto" w:fill="auto"/>
          </w:tcPr>
          <w:p w:rsidR="001A6766" w:rsidRPr="00261D8E" w:rsidRDefault="001A6766" w:rsidP="001A6766">
            <w:pPr>
              <w:spacing w:before="120"/>
              <w:rPr>
                <w:color w:val="000000"/>
                <w:sz w:val="22"/>
                <w:szCs w:val="22"/>
              </w:rPr>
            </w:pPr>
          </w:p>
        </w:tc>
      </w:tr>
      <w:tr w:rsidR="001A6766" w:rsidRPr="00261D8E" w:rsidTr="00396048">
        <w:tc>
          <w:tcPr>
            <w:tcW w:w="3978" w:type="dxa"/>
            <w:tcBorders>
              <w:bottom w:val="single" w:sz="4" w:space="0" w:color="auto"/>
            </w:tcBorders>
            <w:shd w:val="clear" w:color="auto" w:fill="FFFFFF"/>
          </w:tcPr>
          <w:p w:rsidR="001A6766" w:rsidRPr="00261D8E" w:rsidRDefault="001A6766" w:rsidP="00E333CA">
            <w:pPr>
              <w:spacing w:before="60" w:after="60"/>
              <w:rPr>
                <w:b/>
                <w:color w:val="000000"/>
                <w:sz w:val="22"/>
                <w:szCs w:val="22"/>
              </w:rPr>
            </w:pPr>
            <w:r w:rsidRPr="00261D8E">
              <w:rPr>
                <w:b/>
                <w:color w:val="000000"/>
                <w:sz w:val="22"/>
                <w:szCs w:val="22"/>
              </w:rPr>
              <w:t>SDG&amp;E Branch Closure Proposals</w:t>
            </w:r>
          </w:p>
          <w:p w:rsidR="001A6766" w:rsidRPr="00261D8E" w:rsidRDefault="001A6766" w:rsidP="00E333CA">
            <w:pPr>
              <w:spacing w:before="60" w:after="60"/>
              <w:rPr>
                <w:color w:val="000000"/>
                <w:sz w:val="22"/>
                <w:szCs w:val="22"/>
              </w:rPr>
            </w:pPr>
            <w:r w:rsidRPr="00261D8E">
              <w:rPr>
                <w:color w:val="000000"/>
                <w:sz w:val="22"/>
                <w:szCs w:val="22"/>
              </w:rPr>
              <w:t xml:space="preserve">In testimony UCAN opposed SDG&amp;E’s attempt to close/downgrade 3 branch offices as it would diminish customer service and would not save very much money.  The adopted Attachment 5 settlement incorporates UCAN’s proposal, denying SDG&amp;E’s requests to close the downtown and National City branch offices and to downgrade the Oceanside branch office to an authorized payment location at this time.  </w:t>
            </w:r>
          </w:p>
        </w:tc>
        <w:tc>
          <w:tcPr>
            <w:tcW w:w="3420" w:type="dxa"/>
            <w:tcBorders>
              <w:bottom w:val="single" w:sz="4" w:space="0" w:color="auto"/>
            </w:tcBorders>
            <w:shd w:val="clear" w:color="auto" w:fill="FFFFFF"/>
          </w:tcPr>
          <w:p w:rsidR="001A6766" w:rsidRPr="00261D8E" w:rsidRDefault="001A6766" w:rsidP="00E333CA">
            <w:pPr>
              <w:autoSpaceDE w:val="0"/>
              <w:autoSpaceDN w:val="0"/>
              <w:adjustRightInd w:val="0"/>
              <w:spacing w:before="60" w:after="60"/>
              <w:rPr>
                <w:sz w:val="22"/>
                <w:szCs w:val="22"/>
              </w:rPr>
            </w:pPr>
            <w:r w:rsidRPr="00261D8E">
              <w:rPr>
                <w:sz w:val="22"/>
                <w:szCs w:val="22"/>
              </w:rPr>
              <w:t xml:space="preserve">“In Exhibit 347, UCAN objects to the proposed closure of SDG&amp;E’s two branch offices and the conversion of one branch office to an authorized payment location. UCAN contends that ‘It is essential to provide opportunities for cash payment transactions and non-payment services throughout SDG&amp;E’s service territory for all customers and especially for </w:t>
            </w:r>
            <w:r w:rsidR="00A2487D">
              <w:rPr>
                <w:sz w:val="22"/>
                <w:szCs w:val="22"/>
              </w:rPr>
              <w:br/>
            </w:r>
            <w:r w:rsidRPr="00261D8E">
              <w:rPr>
                <w:sz w:val="22"/>
                <w:szCs w:val="22"/>
              </w:rPr>
              <w:t xml:space="preserve">low-income customers who may have reduced access to Internet and mobile payment methods and reduced mobility to </w:t>
            </w:r>
            <w:r w:rsidR="00D03F56">
              <w:rPr>
                <w:sz w:val="22"/>
                <w:szCs w:val="22"/>
              </w:rPr>
              <w:t xml:space="preserve">travel to alternate locations.’  </w:t>
            </w:r>
            <w:r w:rsidRPr="00261D8E">
              <w:rPr>
                <w:sz w:val="22"/>
                <w:szCs w:val="22"/>
              </w:rPr>
              <w:t xml:space="preserve">(Exhibit 347 </w:t>
            </w:r>
            <w:r w:rsidR="00E333CA">
              <w:rPr>
                <w:sz w:val="22"/>
                <w:szCs w:val="22"/>
              </w:rPr>
              <w:br/>
            </w:r>
            <w:r w:rsidRPr="00261D8E">
              <w:rPr>
                <w:sz w:val="22"/>
                <w:szCs w:val="22"/>
              </w:rPr>
              <w:t xml:space="preserve">at 86.) UCAN points out that the authorized payment locations do not provide the same level of service as </w:t>
            </w:r>
            <w:r w:rsidRPr="00261D8E">
              <w:rPr>
                <w:sz w:val="22"/>
                <w:szCs w:val="22"/>
              </w:rPr>
              <w:lastRenderedPageBreak/>
              <w:t>branch offices.”</w:t>
            </w:r>
          </w:p>
          <w:p w:rsidR="001A6766" w:rsidRPr="00261D8E" w:rsidRDefault="001A6766" w:rsidP="00E333CA">
            <w:pPr>
              <w:autoSpaceDE w:val="0"/>
              <w:autoSpaceDN w:val="0"/>
              <w:adjustRightInd w:val="0"/>
              <w:spacing w:before="60" w:after="60"/>
              <w:rPr>
                <w:b/>
                <w:sz w:val="22"/>
                <w:szCs w:val="22"/>
              </w:rPr>
            </w:pPr>
            <w:r w:rsidRPr="00261D8E">
              <w:rPr>
                <w:b/>
                <w:sz w:val="22"/>
                <w:szCs w:val="22"/>
              </w:rPr>
              <w:t>D.16-06-054, p. 124</w:t>
            </w:r>
          </w:p>
          <w:p w:rsidR="001A6766" w:rsidRPr="00261D8E" w:rsidRDefault="001A6766" w:rsidP="00E333CA">
            <w:pPr>
              <w:autoSpaceDE w:val="0"/>
              <w:autoSpaceDN w:val="0"/>
              <w:adjustRightInd w:val="0"/>
              <w:spacing w:before="60" w:after="60"/>
              <w:rPr>
                <w:sz w:val="22"/>
                <w:szCs w:val="22"/>
              </w:rPr>
            </w:pPr>
            <w:r w:rsidRPr="00261D8E">
              <w:rPr>
                <w:sz w:val="22"/>
                <w:szCs w:val="22"/>
              </w:rPr>
              <w:t xml:space="preserve">“Regarding SDG&amp;E’s proposal to close two branch offices and convert a third into an authorized payment location, that issue is addressed as part of the Attachment 5 settlement agreement between </w:t>
            </w:r>
            <w:r w:rsidR="00A2487D">
              <w:rPr>
                <w:sz w:val="22"/>
                <w:szCs w:val="22"/>
              </w:rPr>
              <w:t xml:space="preserve">SDG&amp;E, </w:t>
            </w:r>
            <w:proofErr w:type="spellStart"/>
            <w:r w:rsidR="00A2487D">
              <w:rPr>
                <w:sz w:val="22"/>
                <w:szCs w:val="22"/>
              </w:rPr>
              <w:t>SoCalGas</w:t>
            </w:r>
            <w:proofErr w:type="spellEnd"/>
            <w:r w:rsidR="00A2487D">
              <w:rPr>
                <w:sz w:val="22"/>
                <w:szCs w:val="22"/>
              </w:rPr>
              <w:t xml:space="preserve">, TURN and UCAN.  </w:t>
            </w:r>
            <w:r w:rsidRPr="00261D8E">
              <w:rPr>
                <w:sz w:val="22"/>
                <w:szCs w:val="22"/>
              </w:rPr>
              <w:t>Those settling parties have agreed that SDG&amp;E can file a separate application to seek the closure of any existing branch offices du</w:t>
            </w:r>
            <w:r w:rsidR="00D03F56">
              <w:rPr>
                <w:sz w:val="22"/>
                <w:szCs w:val="22"/>
              </w:rPr>
              <w:t xml:space="preserve">ring SDG&amp;E’s TY 2016 GRC cycle.  </w:t>
            </w:r>
            <w:r w:rsidRPr="00261D8E">
              <w:rPr>
                <w:sz w:val="22"/>
                <w:szCs w:val="22"/>
              </w:rPr>
              <w:t xml:space="preserve">That portion of the Attachment 5 settlement agreement to SDG&amp;E’s settlement </w:t>
            </w:r>
            <w:proofErr w:type="gramStart"/>
            <w:r w:rsidRPr="00261D8E">
              <w:rPr>
                <w:sz w:val="22"/>
                <w:szCs w:val="22"/>
              </w:rPr>
              <w:t>motion,</w:t>
            </w:r>
            <w:proofErr w:type="gramEnd"/>
            <w:r w:rsidRPr="00261D8E">
              <w:rPr>
                <w:sz w:val="22"/>
                <w:szCs w:val="22"/>
              </w:rPr>
              <w:t xml:space="preserve"> is reasonable and should be adopted.”</w:t>
            </w:r>
          </w:p>
          <w:p w:rsidR="001A6766" w:rsidRPr="00261D8E" w:rsidRDefault="001A6766" w:rsidP="00E333CA">
            <w:pPr>
              <w:autoSpaceDE w:val="0"/>
              <w:autoSpaceDN w:val="0"/>
              <w:adjustRightInd w:val="0"/>
              <w:spacing w:before="60" w:after="60"/>
              <w:rPr>
                <w:b/>
                <w:sz w:val="22"/>
                <w:szCs w:val="22"/>
              </w:rPr>
            </w:pPr>
            <w:r w:rsidRPr="00261D8E">
              <w:rPr>
                <w:b/>
                <w:sz w:val="22"/>
                <w:szCs w:val="22"/>
              </w:rPr>
              <w:t>D.16-06-054, pp. 131-132</w:t>
            </w:r>
          </w:p>
        </w:tc>
        <w:tc>
          <w:tcPr>
            <w:tcW w:w="2340" w:type="dxa"/>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A2487D">
            <w:pPr>
              <w:spacing w:before="60"/>
              <w:rPr>
                <w:b/>
                <w:color w:val="000000"/>
                <w:sz w:val="22"/>
                <w:szCs w:val="22"/>
              </w:rPr>
            </w:pPr>
            <w:r w:rsidRPr="00261D8E">
              <w:rPr>
                <w:b/>
                <w:color w:val="000000"/>
                <w:sz w:val="22"/>
                <w:szCs w:val="22"/>
              </w:rPr>
              <w:lastRenderedPageBreak/>
              <w:t>Service Establishment Charge</w:t>
            </w:r>
          </w:p>
          <w:p w:rsidR="001A6766" w:rsidRPr="00261D8E" w:rsidRDefault="001A6766" w:rsidP="00A2487D">
            <w:pPr>
              <w:spacing w:before="60"/>
              <w:rPr>
                <w:color w:val="000000"/>
                <w:sz w:val="22"/>
                <w:szCs w:val="22"/>
              </w:rPr>
            </w:pPr>
            <w:r w:rsidRPr="00261D8E">
              <w:rPr>
                <w:color w:val="000000"/>
                <w:sz w:val="22"/>
                <w:szCs w:val="22"/>
              </w:rPr>
              <w:t xml:space="preserve">In testimony SDG&amp;E proposed charging customers one of two different amounts to establish electric service. </w:t>
            </w:r>
            <w:r w:rsidR="00D03F56">
              <w:rPr>
                <w:color w:val="000000"/>
                <w:sz w:val="22"/>
                <w:szCs w:val="22"/>
              </w:rPr>
              <w:t xml:space="preserve"> </w:t>
            </w:r>
            <w:r w:rsidRPr="00261D8E">
              <w:rPr>
                <w:color w:val="000000"/>
                <w:sz w:val="22"/>
                <w:szCs w:val="22"/>
              </w:rPr>
              <w:t xml:space="preserve">For those customers who require a field visit, SDG&amp;E proposed a </w:t>
            </w:r>
            <w:r w:rsidR="00E430A3" w:rsidRPr="00261D8E">
              <w:rPr>
                <w:color w:val="000000"/>
                <w:sz w:val="22"/>
                <w:szCs w:val="22"/>
              </w:rPr>
              <w:t>$25-dollar</w:t>
            </w:r>
            <w:r w:rsidRPr="00261D8E">
              <w:rPr>
                <w:color w:val="000000"/>
                <w:sz w:val="22"/>
                <w:szCs w:val="22"/>
              </w:rPr>
              <w:t xml:space="preserve"> charge.  For those customers whose service could be established remotely, SDG&amp;E proposed a $5.00 charge.</w:t>
            </w:r>
          </w:p>
          <w:p w:rsidR="001A6766" w:rsidRPr="00261D8E" w:rsidRDefault="001A6766" w:rsidP="00A2487D">
            <w:pPr>
              <w:spacing w:before="60"/>
              <w:rPr>
                <w:color w:val="000000"/>
                <w:sz w:val="22"/>
                <w:szCs w:val="22"/>
              </w:rPr>
            </w:pPr>
            <w:r w:rsidRPr="00261D8E">
              <w:rPr>
                <w:color w:val="000000"/>
                <w:sz w:val="22"/>
                <w:szCs w:val="22"/>
              </w:rPr>
              <w:t xml:space="preserve">UCAN objected to the bifurcated fee structure noting that often </w:t>
            </w:r>
            <w:proofErr w:type="gramStart"/>
            <w:r w:rsidRPr="00261D8E">
              <w:rPr>
                <w:color w:val="000000"/>
                <w:sz w:val="22"/>
                <w:szCs w:val="22"/>
              </w:rPr>
              <w:t>times</w:t>
            </w:r>
            <w:proofErr w:type="gramEnd"/>
            <w:r w:rsidRPr="00261D8E">
              <w:rPr>
                <w:color w:val="000000"/>
                <w:sz w:val="22"/>
                <w:szCs w:val="22"/>
              </w:rPr>
              <w:t xml:space="preserve"> customers require a field visit to establish service through no fault of their own.</w:t>
            </w:r>
            <w:r w:rsidR="00D03F56">
              <w:rPr>
                <w:color w:val="000000"/>
                <w:sz w:val="22"/>
                <w:szCs w:val="22"/>
              </w:rPr>
              <w:t xml:space="preserve"> </w:t>
            </w:r>
            <w:r w:rsidRPr="00261D8E">
              <w:rPr>
                <w:color w:val="000000"/>
                <w:sz w:val="22"/>
                <w:szCs w:val="22"/>
              </w:rPr>
              <w:t xml:space="preserve"> UCAN proposed a single fee of $5.85 for all service connections.</w:t>
            </w:r>
          </w:p>
          <w:p w:rsidR="001A6766" w:rsidRPr="00261D8E" w:rsidRDefault="001A6766" w:rsidP="00A2487D">
            <w:pPr>
              <w:spacing w:before="60"/>
              <w:rPr>
                <w:color w:val="000000"/>
                <w:sz w:val="22"/>
                <w:szCs w:val="22"/>
              </w:rPr>
            </w:pPr>
            <w:r w:rsidRPr="00261D8E">
              <w:rPr>
                <w:color w:val="000000"/>
                <w:sz w:val="22"/>
                <w:szCs w:val="22"/>
              </w:rPr>
              <w:t xml:space="preserve">The adopted Attachment 5 settlement incorporates UCAN’s proposal for </w:t>
            </w:r>
            <w:r w:rsidR="00E430A3" w:rsidRPr="00261D8E">
              <w:rPr>
                <w:color w:val="000000"/>
                <w:sz w:val="22"/>
                <w:szCs w:val="22"/>
              </w:rPr>
              <w:t>a service</w:t>
            </w:r>
            <w:r w:rsidRPr="00261D8E">
              <w:rPr>
                <w:color w:val="000000"/>
                <w:sz w:val="22"/>
                <w:szCs w:val="22"/>
              </w:rPr>
              <w:t xml:space="preserve"> connection fee of $5.85 for all customers.</w:t>
            </w:r>
          </w:p>
          <w:p w:rsidR="001A6766" w:rsidRPr="00261D8E" w:rsidRDefault="001A6766" w:rsidP="001A6766">
            <w:pPr>
              <w:spacing w:before="120"/>
              <w:rPr>
                <w:color w:val="000000"/>
                <w:sz w:val="22"/>
                <w:szCs w:val="22"/>
              </w:rPr>
            </w:pPr>
          </w:p>
        </w:tc>
        <w:tc>
          <w:tcPr>
            <w:tcW w:w="3420" w:type="dxa"/>
            <w:tcBorders>
              <w:bottom w:val="single" w:sz="4" w:space="0" w:color="auto"/>
            </w:tcBorders>
            <w:shd w:val="clear" w:color="auto" w:fill="FFFFFF"/>
          </w:tcPr>
          <w:p w:rsidR="001A6766" w:rsidRPr="00261D8E" w:rsidRDefault="001A6766" w:rsidP="00A2487D">
            <w:pPr>
              <w:autoSpaceDE w:val="0"/>
              <w:autoSpaceDN w:val="0"/>
              <w:adjustRightInd w:val="0"/>
              <w:spacing w:before="60"/>
              <w:rPr>
                <w:sz w:val="22"/>
                <w:szCs w:val="22"/>
              </w:rPr>
            </w:pPr>
            <w:r w:rsidRPr="00261D8E">
              <w:rPr>
                <w:sz w:val="22"/>
                <w:szCs w:val="22"/>
              </w:rPr>
              <w:t>"UCAN opposes the bifurcated fee structure that charges more for a fielded visit than for a non-fielded visit because many fielded visits are the result of circumstances or actions outside of the customer’s control or are a consequence of the customer’s Medical Baseline or Life Support condition.”</w:t>
            </w:r>
          </w:p>
          <w:p w:rsidR="001A6766" w:rsidRPr="00261D8E" w:rsidRDefault="001A6766" w:rsidP="001A6766">
            <w:pPr>
              <w:autoSpaceDE w:val="0"/>
              <w:autoSpaceDN w:val="0"/>
              <w:adjustRightInd w:val="0"/>
              <w:rPr>
                <w:sz w:val="22"/>
                <w:szCs w:val="22"/>
              </w:rPr>
            </w:pPr>
          </w:p>
          <w:p w:rsidR="001A6766" w:rsidRPr="00261D8E" w:rsidRDefault="001A6766" w:rsidP="001A6766">
            <w:pPr>
              <w:autoSpaceDE w:val="0"/>
              <w:autoSpaceDN w:val="0"/>
              <w:adjustRightInd w:val="0"/>
              <w:rPr>
                <w:b/>
                <w:sz w:val="22"/>
                <w:szCs w:val="22"/>
              </w:rPr>
            </w:pPr>
            <w:r w:rsidRPr="00261D8E">
              <w:rPr>
                <w:b/>
                <w:sz w:val="22"/>
                <w:szCs w:val="22"/>
              </w:rPr>
              <w:t>Exhibit 347, p. 96</w:t>
            </w:r>
          </w:p>
          <w:p w:rsidR="001A6766" w:rsidRPr="00261D8E" w:rsidRDefault="001A6766" w:rsidP="001A6766">
            <w:pPr>
              <w:autoSpaceDE w:val="0"/>
              <w:autoSpaceDN w:val="0"/>
              <w:adjustRightInd w:val="0"/>
              <w:rPr>
                <w:sz w:val="22"/>
                <w:szCs w:val="22"/>
              </w:rPr>
            </w:pPr>
          </w:p>
          <w:p w:rsidR="00730A5E" w:rsidRPr="00261D8E" w:rsidRDefault="001A6766" w:rsidP="00E333CA">
            <w:pPr>
              <w:autoSpaceDE w:val="0"/>
              <w:autoSpaceDN w:val="0"/>
              <w:adjustRightInd w:val="0"/>
              <w:spacing w:after="60"/>
              <w:rPr>
                <w:sz w:val="22"/>
                <w:szCs w:val="22"/>
              </w:rPr>
            </w:pPr>
            <w:r w:rsidRPr="00261D8E">
              <w:rPr>
                <w:sz w:val="22"/>
                <w:szCs w:val="22"/>
              </w:rPr>
              <w:t xml:space="preserve">“To prevent charging customers higher fees for circumstances beyond their control, UCAN recommends setting a single Service Establishment Charge for all gas and electric customers. This fee should be set to recover the </w:t>
            </w:r>
            <w:r w:rsidR="00D03F56">
              <w:rPr>
                <w:sz w:val="22"/>
                <w:szCs w:val="22"/>
              </w:rPr>
              <w:br/>
            </w:r>
            <w:r w:rsidRPr="00261D8E">
              <w:rPr>
                <w:sz w:val="22"/>
                <w:szCs w:val="22"/>
              </w:rPr>
              <w:t xml:space="preserve">$3.9 million revenue requirement that SDG&amp;E has forecast.  Given SDG&amp;E’s forecast of 669,000 service establishment orders (gas and electric combined), </w:t>
            </w:r>
            <w:proofErr w:type="gramStart"/>
            <w:r w:rsidRPr="00261D8E">
              <w:rPr>
                <w:sz w:val="22"/>
                <w:szCs w:val="22"/>
              </w:rPr>
              <w:t>this results</w:t>
            </w:r>
            <w:proofErr w:type="gramEnd"/>
            <w:r w:rsidRPr="00261D8E">
              <w:rPr>
                <w:sz w:val="22"/>
                <w:szCs w:val="22"/>
              </w:rPr>
              <w:t xml:space="preserve"> in a charge of $5.85 per order.”</w:t>
            </w:r>
          </w:p>
          <w:p w:rsidR="001A6766" w:rsidRPr="00261D8E" w:rsidRDefault="001A6766" w:rsidP="00730A5E">
            <w:pPr>
              <w:autoSpaceDE w:val="0"/>
              <w:autoSpaceDN w:val="0"/>
              <w:adjustRightInd w:val="0"/>
              <w:spacing w:before="240" w:after="240"/>
              <w:rPr>
                <w:b/>
                <w:sz w:val="22"/>
                <w:szCs w:val="22"/>
              </w:rPr>
            </w:pPr>
            <w:r w:rsidRPr="00261D8E">
              <w:rPr>
                <w:b/>
                <w:sz w:val="22"/>
                <w:szCs w:val="22"/>
              </w:rPr>
              <w:t>Exhibit 347, p. 98</w:t>
            </w:r>
          </w:p>
          <w:p w:rsidR="001A6766" w:rsidRPr="00261D8E" w:rsidRDefault="001A6766" w:rsidP="00E333CA">
            <w:pPr>
              <w:autoSpaceDE w:val="0"/>
              <w:autoSpaceDN w:val="0"/>
              <w:adjustRightInd w:val="0"/>
              <w:spacing w:before="60"/>
              <w:rPr>
                <w:sz w:val="22"/>
                <w:szCs w:val="22"/>
              </w:rPr>
            </w:pPr>
            <w:r w:rsidRPr="00261D8E">
              <w:rPr>
                <w:sz w:val="22"/>
                <w:szCs w:val="22"/>
              </w:rPr>
              <w:t xml:space="preserve">“In the Attachment 5 Settlement Agreement to the SDG&amp;E </w:t>
            </w:r>
            <w:r w:rsidRPr="00261D8E">
              <w:rPr>
                <w:sz w:val="22"/>
                <w:szCs w:val="22"/>
              </w:rPr>
              <w:lastRenderedPageBreak/>
              <w:t>Settlement Motion, the settling parties agree that SDG&amp;E’s service establishment charge will be set at $5.85 for all customers.</w:t>
            </w:r>
            <w:r w:rsidR="00730A5E">
              <w:rPr>
                <w:sz w:val="22"/>
                <w:szCs w:val="22"/>
              </w:rPr>
              <w:t xml:space="preserve"> </w:t>
            </w:r>
            <w:r w:rsidRPr="00261D8E">
              <w:rPr>
                <w:sz w:val="22"/>
                <w:szCs w:val="22"/>
              </w:rPr>
              <w:t xml:space="preserve"> None of the parties have objected to this part of the Attachment 5 Settlement Agreement… </w:t>
            </w:r>
          </w:p>
          <w:p w:rsidR="001A6766" w:rsidRPr="00261D8E" w:rsidRDefault="001A6766" w:rsidP="00E333CA">
            <w:pPr>
              <w:autoSpaceDE w:val="0"/>
              <w:autoSpaceDN w:val="0"/>
              <w:adjustRightInd w:val="0"/>
              <w:spacing w:before="60"/>
              <w:rPr>
                <w:sz w:val="22"/>
                <w:szCs w:val="22"/>
              </w:rPr>
            </w:pPr>
          </w:p>
          <w:p w:rsidR="001A6766" w:rsidRPr="00261D8E" w:rsidRDefault="001A6766" w:rsidP="001A6766">
            <w:pPr>
              <w:autoSpaceDE w:val="0"/>
              <w:autoSpaceDN w:val="0"/>
              <w:adjustRightInd w:val="0"/>
              <w:rPr>
                <w:sz w:val="22"/>
                <w:szCs w:val="22"/>
              </w:rPr>
            </w:pPr>
            <w:r w:rsidRPr="00261D8E">
              <w:rPr>
                <w:sz w:val="22"/>
                <w:szCs w:val="22"/>
              </w:rPr>
              <w:t>It is also reasonable to adopt the agreement in the Attachment 5 Settlement Agreement to set SDG&amp;E’s service establishment charge for all customers at $5.85. Setting this charge at $5.85 will avoid having separate fee structures for service establishment activities that involve a field visit and those that do not require a field visit.”</w:t>
            </w:r>
          </w:p>
          <w:p w:rsidR="001A6766" w:rsidRPr="00261D8E" w:rsidRDefault="001A6766" w:rsidP="001A6766">
            <w:pPr>
              <w:autoSpaceDE w:val="0"/>
              <w:autoSpaceDN w:val="0"/>
              <w:adjustRightInd w:val="0"/>
              <w:rPr>
                <w:b/>
                <w:sz w:val="22"/>
                <w:szCs w:val="22"/>
              </w:rPr>
            </w:pPr>
            <w:r w:rsidRPr="00261D8E">
              <w:rPr>
                <w:b/>
                <w:sz w:val="22"/>
                <w:szCs w:val="22"/>
              </w:rPr>
              <w:t>D.16-06-054, pp. 222-223</w:t>
            </w:r>
          </w:p>
          <w:p w:rsidR="001A6766" w:rsidRPr="00261D8E" w:rsidRDefault="001A6766" w:rsidP="001A6766">
            <w:pPr>
              <w:autoSpaceDE w:val="0"/>
              <w:autoSpaceDN w:val="0"/>
              <w:adjustRightInd w:val="0"/>
              <w:rPr>
                <w:b/>
                <w:sz w:val="22"/>
                <w:szCs w:val="22"/>
              </w:rPr>
            </w:pPr>
          </w:p>
          <w:p w:rsidR="001A6766" w:rsidRPr="00261D8E" w:rsidRDefault="001A6766" w:rsidP="001A6766">
            <w:pPr>
              <w:autoSpaceDE w:val="0"/>
              <w:autoSpaceDN w:val="0"/>
              <w:adjustRightInd w:val="0"/>
              <w:rPr>
                <w:b/>
                <w:sz w:val="22"/>
                <w:szCs w:val="22"/>
              </w:rPr>
            </w:pPr>
            <w:r w:rsidRPr="00261D8E">
              <w:rPr>
                <w:b/>
                <w:sz w:val="22"/>
                <w:szCs w:val="22"/>
              </w:rPr>
              <w:t>Findings-of-Fact</w:t>
            </w:r>
          </w:p>
          <w:p w:rsidR="001A6766" w:rsidRPr="00261D8E" w:rsidRDefault="001A6766" w:rsidP="001A6766">
            <w:pPr>
              <w:autoSpaceDE w:val="0"/>
              <w:autoSpaceDN w:val="0"/>
              <w:adjustRightInd w:val="0"/>
              <w:rPr>
                <w:b/>
                <w:sz w:val="22"/>
                <w:szCs w:val="22"/>
              </w:rPr>
            </w:pPr>
            <w:r w:rsidRPr="00261D8E">
              <w:rPr>
                <w:sz w:val="22"/>
                <w:szCs w:val="22"/>
              </w:rPr>
              <w:t>158. The provision to set the service establishment charge at $5.85 for all customers is reasonable.</w:t>
            </w:r>
            <w:r w:rsidRPr="00261D8E">
              <w:rPr>
                <w:b/>
                <w:sz w:val="22"/>
                <w:szCs w:val="22"/>
              </w:rPr>
              <w:t xml:space="preserve"> </w:t>
            </w:r>
          </w:p>
          <w:p w:rsidR="001A6766" w:rsidRPr="00261D8E" w:rsidRDefault="001A6766" w:rsidP="001A6766">
            <w:pPr>
              <w:autoSpaceDE w:val="0"/>
              <w:autoSpaceDN w:val="0"/>
              <w:adjustRightInd w:val="0"/>
              <w:rPr>
                <w:b/>
                <w:sz w:val="22"/>
                <w:szCs w:val="22"/>
              </w:rPr>
            </w:pPr>
            <w:r w:rsidRPr="00261D8E">
              <w:rPr>
                <w:b/>
                <w:sz w:val="22"/>
                <w:szCs w:val="22"/>
              </w:rPr>
              <w:t>D.16-06-054, p. 305</w:t>
            </w:r>
          </w:p>
          <w:p w:rsidR="001A6766" w:rsidRPr="00261D8E" w:rsidRDefault="001A6766" w:rsidP="001A6766">
            <w:pPr>
              <w:autoSpaceDE w:val="0"/>
              <w:autoSpaceDN w:val="0"/>
              <w:adjustRightInd w:val="0"/>
              <w:rPr>
                <w:b/>
                <w:sz w:val="22"/>
                <w:szCs w:val="22"/>
              </w:rPr>
            </w:pPr>
          </w:p>
          <w:p w:rsidR="001A6766" w:rsidRPr="00261D8E" w:rsidRDefault="001A6766" w:rsidP="001A6766">
            <w:pPr>
              <w:autoSpaceDE w:val="0"/>
              <w:autoSpaceDN w:val="0"/>
              <w:adjustRightInd w:val="0"/>
              <w:rPr>
                <w:b/>
                <w:sz w:val="22"/>
                <w:szCs w:val="22"/>
              </w:rPr>
            </w:pPr>
            <w:r w:rsidRPr="00261D8E">
              <w:rPr>
                <w:sz w:val="22"/>
                <w:szCs w:val="22"/>
              </w:rPr>
              <w:t xml:space="preserve">58. </w:t>
            </w:r>
            <w:r w:rsidR="00D03F56">
              <w:rPr>
                <w:sz w:val="22"/>
                <w:szCs w:val="22"/>
              </w:rPr>
              <w:t xml:space="preserve"> </w:t>
            </w:r>
            <w:r w:rsidRPr="00261D8E">
              <w:rPr>
                <w:sz w:val="22"/>
                <w:szCs w:val="22"/>
              </w:rPr>
              <w:t>The provision in the Attachment 5 Settlement Agreement to set SDG&amp;E’s service establishment charge for all customers at $5.85 should be adopted.</w:t>
            </w:r>
          </w:p>
          <w:p w:rsidR="001A6766" w:rsidRPr="00261D8E" w:rsidRDefault="001A6766" w:rsidP="00730A5E">
            <w:pPr>
              <w:autoSpaceDE w:val="0"/>
              <w:autoSpaceDN w:val="0"/>
              <w:adjustRightInd w:val="0"/>
              <w:spacing w:after="60"/>
              <w:rPr>
                <w:b/>
                <w:sz w:val="22"/>
                <w:szCs w:val="22"/>
              </w:rPr>
            </w:pPr>
            <w:r w:rsidRPr="00261D8E">
              <w:rPr>
                <w:b/>
                <w:sz w:val="22"/>
                <w:szCs w:val="22"/>
              </w:rPr>
              <w:t>D.16-06-054, p. 321</w:t>
            </w:r>
          </w:p>
        </w:tc>
        <w:tc>
          <w:tcPr>
            <w:tcW w:w="2340" w:type="dxa"/>
            <w:shd w:val="clear" w:color="auto" w:fill="auto"/>
          </w:tcPr>
          <w:p w:rsidR="001A6766" w:rsidRPr="00261D8E" w:rsidRDefault="00C36A15" w:rsidP="001A6766">
            <w:pPr>
              <w:spacing w:before="120"/>
              <w:rPr>
                <w:color w:val="000000"/>
                <w:sz w:val="22"/>
                <w:szCs w:val="22"/>
              </w:rPr>
            </w:pPr>
            <w:r>
              <w:rPr>
                <w:color w:val="000000"/>
                <w:sz w:val="22"/>
                <w:szCs w:val="22"/>
              </w:rPr>
              <w:lastRenderedPageBreak/>
              <w:t>Verified.</w:t>
            </w:r>
          </w:p>
        </w:tc>
      </w:tr>
      <w:tr w:rsidR="001A6766" w:rsidRPr="00261D8E" w:rsidTr="00396048">
        <w:tc>
          <w:tcPr>
            <w:tcW w:w="3978" w:type="dxa"/>
            <w:tcBorders>
              <w:bottom w:val="single" w:sz="4" w:space="0" w:color="auto"/>
            </w:tcBorders>
            <w:shd w:val="clear" w:color="auto" w:fill="FFFFFF"/>
          </w:tcPr>
          <w:p w:rsidR="001A6766" w:rsidRPr="00261D8E" w:rsidRDefault="001A6766" w:rsidP="00E333CA">
            <w:pPr>
              <w:spacing w:before="60" w:after="60"/>
              <w:rPr>
                <w:b/>
                <w:color w:val="000000"/>
                <w:sz w:val="22"/>
                <w:szCs w:val="22"/>
              </w:rPr>
            </w:pPr>
            <w:r w:rsidRPr="00261D8E">
              <w:rPr>
                <w:b/>
                <w:color w:val="000000"/>
                <w:sz w:val="22"/>
                <w:szCs w:val="22"/>
              </w:rPr>
              <w:lastRenderedPageBreak/>
              <w:t>Rate Stabilization Proposal</w:t>
            </w:r>
          </w:p>
          <w:p w:rsidR="001A6766" w:rsidRPr="00261D8E" w:rsidRDefault="001A6766" w:rsidP="00E333CA">
            <w:pPr>
              <w:spacing w:before="60" w:after="60"/>
              <w:rPr>
                <w:sz w:val="22"/>
                <w:szCs w:val="22"/>
              </w:rPr>
            </w:pPr>
            <w:r w:rsidRPr="00261D8E">
              <w:rPr>
                <w:sz w:val="22"/>
                <w:szCs w:val="22"/>
              </w:rPr>
              <w:t xml:space="preserve">In testimony SDG&amp;E proposed </w:t>
            </w:r>
            <w:r w:rsidR="00E430A3" w:rsidRPr="00261D8E">
              <w:rPr>
                <w:sz w:val="22"/>
                <w:szCs w:val="22"/>
              </w:rPr>
              <w:t>a “</w:t>
            </w:r>
            <w:r w:rsidRPr="00261D8E">
              <w:rPr>
                <w:sz w:val="22"/>
                <w:szCs w:val="22"/>
              </w:rPr>
              <w:t xml:space="preserve">rate stabilization” plan, which provided that in the event that SDG&amp;E does not receive a decision in time to implement rates effective January 1, 2016, SDG&amp;E would not adjust rates for the roll-off GRC Memorandum Account balances associated with its 2012 GRC Phase 1 until such time as the 2016 GRC is implemented. UCAN opposed this plan, because it would unnecessarily continue the charge associated with the 2012 GRC for an indefinite period of time in exchange for moderating a future rate increase that may or may not materialize. </w:t>
            </w:r>
          </w:p>
          <w:p w:rsidR="001A6766" w:rsidRPr="00261D8E" w:rsidRDefault="001A6766" w:rsidP="00D03F56">
            <w:pPr>
              <w:spacing w:before="120" w:after="60"/>
              <w:rPr>
                <w:b/>
                <w:color w:val="000000"/>
                <w:sz w:val="22"/>
                <w:szCs w:val="22"/>
              </w:rPr>
            </w:pPr>
            <w:r w:rsidRPr="00261D8E">
              <w:rPr>
                <w:sz w:val="22"/>
                <w:szCs w:val="22"/>
              </w:rPr>
              <w:lastRenderedPageBreak/>
              <w:t>The adopted Attachment 5 settlement accepts UCAN’s position and agrees that SDG&amp;E’s rate stabilization proposal will not be implemented.</w:t>
            </w:r>
          </w:p>
          <w:p w:rsidR="001A6766" w:rsidRPr="00261D8E" w:rsidRDefault="001A6766" w:rsidP="00E333CA">
            <w:pPr>
              <w:spacing w:before="60" w:after="60"/>
              <w:rPr>
                <w:b/>
                <w:color w:val="000000"/>
                <w:sz w:val="22"/>
                <w:szCs w:val="22"/>
              </w:rPr>
            </w:pPr>
          </w:p>
          <w:p w:rsidR="001A6766" w:rsidRPr="00261D8E" w:rsidRDefault="001A6766" w:rsidP="00E333CA">
            <w:pPr>
              <w:spacing w:before="60" w:after="60"/>
              <w:rPr>
                <w:b/>
                <w:color w:val="000000"/>
                <w:sz w:val="22"/>
                <w:szCs w:val="22"/>
              </w:rPr>
            </w:pPr>
          </w:p>
          <w:p w:rsidR="001A6766" w:rsidRPr="00261D8E" w:rsidRDefault="001A6766" w:rsidP="00E333CA">
            <w:pPr>
              <w:spacing w:before="60" w:after="60"/>
              <w:rPr>
                <w:b/>
                <w:color w:val="000000"/>
                <w:sz w:val="22"/>
                <w:szCs w:val="22"/>
              </w:rPr>
            </w:pPr>
          </w:p>
        </w:tc>
        <w:tc>
          <w:tcPr>
            <w:tcW w:w="3420" w:type="dxa"/>
            <w:tcBorders>
              <w:bottom w:val="single" w:sz="4" w:space="0" w:color="auto"/>
            </w:tcBorders>
            <w:shd w:val="clear" w:color="auto" w:fill="FFFFFF"/>
          </w:tcPr>
          <w:p w:rsidR="00D03F56" w:rsidRDefault="001A6766" w:rsidP="00D03F56">
            <w:pPr>
              <w:autoSpaceDE w:val="0"/>
              <w:autoSpaceDN w:val="0"/>
              <w:adjustRightInd w:val="0"/>
              <w:spacing w:before="120" w:after="120"/>
              <w:rPr>
                <w:sz w:val="22"/>
                <w:szCs w:val="22"/>
              </w:rPr>
            </w:pPr>
            <w:r w:rsidRPr="00261D8E">
              <w:rPr>
                <w:sz w:val="22"/>
                <w:szCs w:val="22"/>
              </w:rPr>
              <w:lastRenderedPageBreak/>
              <w:t xml:space="preserve">“The rate stabilization proposal imposes a cost on customers in that it overcharges customers for a period of time in exchange for moderating rate increases later on. This pre-charging of customers may present a hardship to customers who are of limited means. </w:t>
            </w:r>
            <w:r w:rsidR="00730A5E">
              <w:rPr>
                <w:sz w:val="22"/>
                <w:szCs w:val="22"/>
              </w:rPr>
              <w:t xml:space="preserve"> </w:t>
            </w:r>
            <w:r w:rsidRPr="00261D8E">
              <w:rPr>
                <w:sz w:val="22"/>
                <w:szCs w:val="22"/>
              </w:rPr>
              <w:t xml:space="preserve">In addition, there is an equity concern whenever costs are shifted across time periods in that some of the customers paying the overcharges are likely to move out of SDG&amp;E’s service area or close their businesses prior to reaping the benefits of the reduced </w:t>
            </w:r>
            <w:r w:rsidRPr="00261D8E">
              <w:rPr>
                <w:sz w:val="22"/>
                <w:szCs w:val="22"/>
              </w:rPr>
              <w:lastRenderedPageBreak/>
              <w:t>increases…The proposal would only reduce notable rate volatility in the event of a sizable GRC electric rate increase, which may or may not materialize, and would maintain this overcharge for a potentially significant stretch of time.”</w:t>
            </w:r>
          </w:p>
          <w:p w:rsidR="001A6766" w:rsidRPr="00261D8E" w:rsidRDefault="001A6766" w:rsidP="00D03F56">
            <w:pPr>
              <w:autoSpaceDE w:val="0"/>
              <w:autoSpaceDN w:val="0"/>
              <w:adjustRightInd w:val="0"/>
              <w:spacing w:before="120" w:after="120"/>
              <w:rPr>
                <w:b/>
                <w:sz w:val="22"/>
                <w:szCs w:val="22"/>
              </w:rPr>
            </w:pPr>
            <w:r w:rsidRPr="00261D8E">
              <w:rPr>
                <w:b/>
                <w:sz w:val="22"/>
                <w:szCs w:val="22"/>
              </w:rPr>
              <w:t>Exhibit 347, pp. 104-105</w:t>
            </w:r>
          </w:p>
          <w:p w:rsidR="001A6766" w:rsidRPr="00261D8E" w:rsidRDefault="001A6766" w:rsidP="00E333CA">
            <w:pPr>
              <w:autoSpaceDE w:val="0"/>
              <w:autoSpaceDN w:val="0"/>
              <w:adjustRightInd w:val="0"/>
              <w:spacing w:before="60" w:after="60"/>
              <w:rPr>
                <w:b/>
                <w:sz w:val="22"/>
                <w:szCs w:val="22"/>
              </w:rPr>
            </w:pPr>
            <w:r w:rsidRPr="00261D8E">
              <w:rPr>
                <w:sz w:val="22"/>
                <w:szCs w:val="22"/>
              </w:rPr>
              <w:t>“In the Attachment 5 Settlement Agreement of the SDG&amp;E Settlement Motion, TURN and UCAN agree with SDG&amp;E that the rates for SDG&amp;E’s customers will be adjusted on January 1, 2016 to reflect the roll-off of the GRC memorandum account balances associated with SDG&amp;E’s 2012 GRC, irrespective of the timing of a final decision in SDG&amp;E’s TY 2016 GRC….</w:t>
            </w:r>
          </w:p>
          <w:p w:rsidR="001A6766" w:rsidRPr="00261D8E" w:rsidRDefault="001A6766" w:rsidP="00E333CA">
            <w:pPr>
              <w:autoSpaceDE w:val="0"/>
              <w:autoSpaceDN w:val="0"/>
              <w:adjustRightInd w:val="0"/>
              <w:spacing w:before="60" w:after="60"/>
              <w:rPr>
                <w:b/>
                <w:sz w:val="22"/>
                <w:szCs w:val="22"/>
              </w:rPr>
            </w:pPr>
          </w:p>
          <w:p w:rsidR="001A6766" w:rsidRPr="00261D8E" w:rsidRDefault="001A6766" w:rsidP="00E333CA">
            <w:pPr>
              <w:autoSpaceDE w:val="0"/>
              <w:autoSpaceDN w:val="0"/>
              <w:adjustRightInd w:val="0"/>
              <w:spacing w:before="60" w:after="60"/>
              <w:rPr>
                <w:b/>
                <w:sz w:val="22"/>
                <w:szCs w:val="22"/>
              </w:rPr>
            </w:pPr>
            <w:r w:rsidRPr="00261D8E">
              <w:rPr>
                <w:sz w:val="22"/>
                <w:szCs w:val="22"/>
              </w:rPr>
              <w:t>This provision of the Attachment 5 Settlement Agreement to the SDG&amp;E Settlement Motion is reasonable, and should be adopted.”</w:t>
            </w:r>
            <w:r w:rsidRPr="00261D8E">
              <w:rPr>
                <w:b/>
                <w:sz w:val="22"/>
                <w:szCs w:val="22"/>
              </w:rPr>
              <w:t xml:space="preserve"> D.16-06-054, p. 220</w:t>
            </w:r>
          </w:p>
        </w:tc>
        <w:tc>
          <w:tcPr>
            <w:tcW w:w="2340" w:type="dxa"/>
            <w:tcBorders>
              <w:bottom w:val="single" w:sz="4" w:space="0" w:color="auto"/>
            </w:tcBorders>
            <w:shd w:val="clear" w:color="auto" w:fill="auto"/>
          </w:tcPr>
          <w:p w:rsidR="001A6766" w:rsidRPr="00261D8E" w:rsidRDefault="00C36A15" w:rsidP="00730A5E">
            <w:pPr>
              <w:spacing w:before="60"/>
              <w:rPr>
                <w:color w:val="000000"/>
                <w:sz w:val="22"/>
                <w:szCs w:val="22"/>
              </w:rPr>
            </w:pPr>
            <w:r>
              <w:rPr>
                <w:color w:val="000000"/>
                <w:sz w:val="22"/>
                <w:szCs w:val="22"/>
              </w:rPr>
              <w:lastRenderedPageBreak/>
              <w:t>Verified.</w:t>
            </w:r>
          </w:p>
        </w:tc>
      </w:tr>
      <w:tr w:rsidR="001A6766" w:rsidRPr="00261D8E" w:rsidTr="00396048">
        <w:tc>
          <w:tcPr>
            <w:tcW w:w="3978" w:type="dxa"/>
            <w:shd w:val="clear" w:color="auto" w:fill="FFFFFF"/>
          </w:tcPr>
          <w:p w:rsidR="001A6766" w:rsidRPr="00261D8E" w:rsidRDefault="001A6766" w:rsidP="001A6766">
            <w:pPr>
              <w:spacing w:before="120"/>
              <w:rPr>
                <w:b/>
                <w:color w:val="000000"/>
                <w:sz w:val="22"/>
                <w:szCs w:val="22"/>
              </w:rPr>
            </w:pPr>
            <w:r w:rsidRPr="00261D8E">
              <w:rPr>
                <w:b/>
                <w:color w:val="000000"/>
                <w:sz w:val="22"/>
                <w:szCs w:val="22"/>
              </w:rPr>
              <w:lastRenderedPageBreak/>
              <w:t>ORA/Sempra PTY settlement calling for a 4 year GRC cycle.</w:t>
            </w:r>
          </w:p>
          <w:p w:rsidR="001A6766" w:rsidRPr="00261D8E" w:rsidRDefault="001A6766" w:rsidP="001A6766">
            <w:pPr>
              <w:spacing w:before="120"/>
              <w:rPr>
                <w:color w:val="000000"/>
                <w:sz w:val="22"/>
                <w:szCs w:val="22"/>
              </w:rPr>
            </w:pPr>
            <w:r w:rsidRPr="00261D8E">
              <w:rPr>
                <w:color w:val="000000"/>
                <w:sz w:val="22"/>
                <w:szCs w:val="22"/>
              </w:rPr>
              <w:t>In comments UCAN opposed the Sempra/ORA Post Test Year settlement where they asked the Commission to adopt a 4 year GRC cycle.  The Commission considered the responses by UCAN and others in opposition to this settlement and denied the Sempra Utilities/ORA proposal.</w:t>
            </w:r>
          </w:p>
        </w:tc>
        <w:tc>
          <w:tcPr>
            <w:tcW w:w="3420" w:type="dxa"/>
            <w:shd w:val="clear" w:color="auto" w:fill="FFFFFF"/>
          </w:tcPr>
          <w:p w:rsidR="001A6766" w:rsidRPr="00261D8E" w:rsidRDefault="001A6766" w:rsidP="001A6766">
            <w:pPr>
              <w:spacing w:before="120"/>
              <w:rPr>
                <w:sz w:val="22"/>
                <w:szCs w:val="22"/>
              </w:rPr>
            </w:pPr>
            <w:r w:rsidRPr="00261D8E">
              <w:rPr>
                <w:color w:val="000000"/>
                <w:sz w:val="22"/>
                <w:szCs w:val="22"/>
              </w:rPr>
              <w:t xml:space="preserve">“TURN and UCAN urge the Commission to reject any attempt to modify the recently adopted </w:t>
            </w:r>
            <w:r w:rsidR="00730A5E">
              <w:rPr>
                <w:color w:val="000000"/>
                <w:sz w:val="22"/>
                <w:szCs w:val="22"/>
              </w:rPr>
              <w:br/>
            </w:r>
            <w:r w:rsidRPr="00261D8E">
              <w:rPr>
                <w:color w:val="000000"/>
                <w:sz w:val="22"/>
                <w:szCs w:val="22"/>
              </w:rPr>
              <w:t>three-year GRC cycle for all the major IOUs through this settlement.”</w:t>
            </w:r>
            <w:r w:rsidRPr="00261D8E">
              <w:rPr>
                <w:sz w:val="22"/>
                <w:szCs w:val="22"/>
              </w:rPr>
              <w:t xml:space="preserve"> </w:t>
            </w:r>
          </w:p>
          <w:p w:rsidR="001A6766" w:rsidRPr="00261D8E" w:rsidRDefault="001A6766" w:rsidP="001A6766">
            <w:pPr>
              <w:autoSpaceDE w:val="0"/>
              <w:autoSpaceDN w:val="0"/>
              <w:adjustRightInd w:val="0"/>
              <w:rPr>
                <w:sz w:val="22"/>
                <w:szCs w:val="22"/>
              </w:rPr>
            </w:pPr>
          </w:p>
          <w:p w:rsidR="001A6766" w:rsidRPr="00261D8E" w:rsidRDefault="001A6766" w:rsidP="001A6766">
            <w:pPr>
              <w:autoSpaceDE w:val="0"/>
              <w:autoSpaceDN w:val="0"/>
              <w:adjustRightInd w:val="0"/>
              <w:rPr>
                <w:b/>
                <w:sz w:val="22"/>
                <w:szCs w:val="22"/>
              </w:rPr>
            </w:pPr>
            <w:r w:rsidRPr="00261D8E">
              <w:rPr>
                <w:b/>
                <w:sz w:val="22"/>
                <w:szCs w:val="22"/>
              </w:rPr>
              <w:t xml:space="preserve">Joint Comments Of The Utility Reform Network (TURN) And The Utility Consumers’ Action Network (UCAN) Regarding The Settlement Agreement Of </w:t>
            </w:r>
            <w:r w:rsidR="00730A5E">
              <w:rPr>
                <w:b/>
                <w:sz w:val="22"/>
                <w:szCs w:val="22"/>
              </w:rPr>
              <w:br/>
            </w:r>
            <w:r w:rsidRPr="00261D8E">
              <w:rPr>
                <w:b/>
                <w:sz w:val="22"/>
                <w:szCs w:val="22"/>
              </w:rPr>
              <w:t>San Diego Gas &amp; Electric Company, Southern California Gas Company And Office Of Ratepayer Advocates Regarding The Post-Test Year Period</w:t>
            </w:r>
            <w:r w:rsidRPr="00261D8E">
              <w:rPr>
                <w:sz w:val="22"/>
                <w:szCs w:val="22"/>
              </w:rPr>
              <w:t xml:space="preserve">, </w:t>
            </w:r>
            <w:r w:rsidRPr="00261D8E">
              <w:rPr>
                <w:b/>
                <w:sz w:val="22"/>
                <w:szCs w:val="22"/>
              </w:rPr>
              <w:t>filed October 12, 2015</w:t>
            </w:r>
            <w:r w:rsidR="00E333CA">
              <w:rPr>
                <w:b/>
                <w:sz w:val="22"/>
                <w:szCs w:val="22"/>
              </w:rPr>
              <w:t>.</w:t>
            </w:r>
          </w:p>
          <w:p w:rsidR="001A6766" w:rsidRPr="00261D8E" w:rsidRDefault="001A6766" w:rsidP="001A6766">
            <w:pPr>
              <w:autoSpaceDE w:val="0"/>
              <w:autoSpaceDN w:val="0"/>
              <w:adjustRightInd w:val="0"/>
              <w:rPr>
                <w:sz w:val="22"/>
                <w:szCs w:val="22"/>
              </w:rPr>
            </w:pPr>
          </w:p>
          <w:p w:rsidR="001A6766" w:rsidRPr="00261D8E" w:rsidRDefault="001A6766" w:rsidP="001A6766">
            <w:pPr>
              <w:autoSpaceDE w:val="0"/>
              <w:autoSpaceDN w:val="0"/>
              <w:adjustRightInd w:val="0"/>
              <w:rPr>
                <w:sz w:val="22"/>
                <w:szCs w:val="22"/>
              </w:rPr>
            </w:pPr>
            <w:r w:rsidRPr="00261D8E">
              <w:rPr>
                <w:sz w:val="22"/>
                <w:szCs w:val="22"/>
              </w:rPr>
              <w:t xml:space="preserve">“With respect to the PTY Settlement Motion, several parties filed responses in opposition to the </w:t>
            </w:r>
            <w:r w:rsidRPr="00261D8E">
              <w:rPr>
                <w:sz w:val="22"/>
                <w:szCs w:val="22"/>
              </w:rPr>
              <w:lastRenderedPageBreak/>
              <w:t xml:space="preserve">adoption of the PTY Settlement Agreement. A joint reply to </w:t>
            </w:r>
            <w:r w:rsidR="00D8683C">
              <w:rPr>
                <w:sz w:val="22"/>
                <w:szCs w:val="22"/>
              </w:rPr>
              <w:t xml:space="preserve">those responses was also filed.  </w:t>
            </w:r>
            <w:r w:rsidRPr="00261D8E">
              <w:rPr>
                <w:sz w:val="22"/>
                <w:szCs w:val="22"/>
              </w:rPr>
              <w:t xml:space="preserve">Those responses and reply have been reviewed and considered.” </w:t>
            </w:r>
          </w:p>
          <w:p w:rsidR="001A6766" w:rsidRPr="00261D8E" w:rsidRDefault="001A6766" w:rsidP="001A6766">
            <w:pPr>
              <w:autoSpaceDE w:val="0"/>
              <w:autoSpaceDN w:val="0"/>
              <w:adjustRightInd w:val="0"/>
              <w:rPr>
                <w:sz w:val="22"/>
                <w:szCs w:val="22"/>
              </w:rPr>
            </w:pPr>
          </w:p>
          <w:p w:rsidR="001A6766" w:rsidRPr="00261D8E" w:rsidRDefault="001A6766" w:rsidP="001A6766">
            <w:pPr>
              <w:autoSpaceDE w:val="0"/>
              <w:autoSpaceDN w:val="0"/>
              <w:adjustRightInd w:val="0"/>
              <w:rPr>
                <w:b/>
                <w:sz w:val="22"/>
                <w:szCs w:val="22"/>
              </w:rPr>
            </w:pPr>
            <w:r w:rsidRPr="00261D8E">
              <w:rPr>
                <w:b/>
                <w:sz w:val="22"/>
                <w:szCs w:val="22"/>
              </w:rPr>
              <w:t>D.16-06-054, p. 227</w:t>
            </w:r>
          </w:p>
          <w:p w:rsidR="001A6766" w:rsidRPr="005577F4" w:rsidRDefault="001A6766" w:rsidP="001A6766">
            <w:pPr>
              <w:autoSpaceDE w:val="0"/>
              <w:autoSpaceDN w:val="0"/>
              <w:adjustRightInd w:val="0"/>
              <w:rPr>
                <w:sz w:val="22"/>
                <w:szCs w:val="22"/>
              </w:rPr>
            </w:pPr>
          </w:p>
          <w:p w:rsidR="001A6766" w:rsidRPr="00261D8E" w:rsidRDefault="001A6766" w:rsidP="001A6766">
            <w:pPr>
              <w:autoSpaceDE w:val="0"/>
              <w:autoSpaceDN w:val="0"/>
              <w:adjustRightInd w:val="0"/>
              <w:rPr>
                <w:sz w:val="22"/>
                <w:szCs w:val="22"/>
              </w:rPr>
            </w:pPr>
            <w:r w:rsidRPr="00261D8E">
              <w:rPr>
                <w:sz w:val="22"/>
                <w:szCs w:val="22"/>
              </w:rPr>
              <w:t>“Since D.16-06-005 denied the petition to modify D.14-12-025 to change the GRC cycle from three to four years, the PTY Settlement Agreement in the PTY Settlement Motion is rendered null and void. Accordingly, this decision denies the PTY Settlement Motion to adopt the PTY Settlement Agreement, and there is no need to address a PTY attrition adjustment for 2019.”</w:t>
            </w:r>
          </w:p>
          <w:p w:rsidR="001A6766" w:rsidRPr="00261D8E" w:rsidRDefault="001A6766" w:rsidP="00D8683C">
            <w:pPr>
              <w:autoSpaceDE w:val="0"/>
              <w:autoSpaceDN w:val="0"/>
              <w:adjustRightInd w:val="0"/>
              <w:spacing w:before="240" w:after="120"/>
              <w:rPr>
                <w:b/>
                <w:sz w:val="22"/>
                <w:szCs w:val="22"/>
              </w:rPr>
            </w:pPr>
            <w:r w:rsidRPr="00261D8E">
              <w:rPr>
                <w:b/>
                <w:sz w:val="22"/>
                <w:szCs w:val="22"/>
              </w:rPr>
              <w:t>D.16-06-054, p. 228</w:t>
            </w:r>
          </w:p>
        </w:tc>
        <w:tc>
          <w:tcPr>
            <w:tcW w:w="2340" w:type="dxa"/>
            <w:shd w:val="clear" w:color="auto" w:fill="FFFFFF"/>
          </w:tcPr>
          <w:p w:rsidR="001A6766" w:rsidRPr="00261D8E" w:rsidRDefault="00C36A15" w:rsidP="001A6766">
            <w:pPr>
              <w:spacing w:before="120"/>
              <w:rPr>
                <w:color w:val="000000"/>
                <w:sz w:val="22"/>
                <w:szCs w:val="22"/>
              </w:rPr>
            </w:pPr>
            <w:r>
              <w:rPr>
                <w:color w:val="000000"/>
                <w:sz w:val="22"/>
                <w:szCs w:val="22"/>
              </w:rPr>
              <w:lastRenderedPageBreak/>
              <w:t>Verified.</w:t>
            </w:r>
          </w:p>
        </w:tc>
      </w:tr>
    </w:tbl>
    <w:p w:rsidR="00A92D0B" w:rsidRPr="00261D8E" w:rsidRDefault="00A92D0B" w:rsidP="005577F4">
      <w:pPr>
        <w:keepNext/>
        <w:keepLines/>
        <w:numPr>
          <w:ilvl w:val="0"/>
          <w:numId w:val="1"/>
        </w:numPr>
        <w:tabs>
          <w:tab w:val="clear" w:pos="900"/>
          <w:tab w:val="num" w:pos="360"/>
        </w:tabs>
        <w:spacing w:before="120" w:after="120"/>
        <w:ind w:left="360"/>
        <w:rPr>
          <w:b/>
          <w:color w:val="000000"/>
          <w:sz w:val="22"/>
          <w:szCs w:val="22"/>
        </w:rPr>
      </w:pPr>
      <w:r w:rsidRPr="00261D8E">
        <w:rPr>
          <w:b/>
          <w:color w:val="000000"/>
          <w:sz w:val="22"/>
          <w:szCs w:val="22"/>
        </w:rPr>
        <w:lastRenderedPageBreak/>
        <w:t xml:space="preserve">Duplication of Effort (§ 1801.3(f) </w:t>
      </w:r>
      <w:r w:rsidR="00F30DA8" w:rsidRPr="00261D8E">
        <w:rPr>
          <w:b/>
          <w:color w:val="000000"/>
          <w:sz w:val="22"/>
          <w:szCs w:val="22"/>
        </w:rPr>
        <w:t xml:space="preserve">and § </w:t>
      </w:r>
      <w:r w:rsidRPr="00261D8E">
        <w:rPr>
          <w:b/>
          <w:color w:val="000000"/>
          <w:sz w:val="22"/>
          <w:szCs w:val="22"/>
        </w:rPr>
        <w:t>1802.5):</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710"/>
        <w:gridCol w:w="1980"/>
      </w:tblGrid>
      <w:tr w:rsidR="00A92D0B" w:rsidRPr="00261D8E" w:rsidTr="005577F4">
        <w:tc>
          <w:tcPr>
            <w:tcW w:w="6048" w:type="dxa"/>
            <w:shd w:val="clear" w:color="auto" w:fill="FFFFFF"/>
          </w:tcPr>
          <w:p w:rsidR="00A92D0B" w:rsidRPr="00261D8E" w:rsidRDefault="00A92D0B" w:rsidP="00DE3A5D">
            <w:pPr>
              <w:keepNext/>
              <w:keepLines/>
              <w:spacing w:before="120"/>
              <w:rPr>
                <w:color w:val="000000"/>
                <w:sz w:val="22"/>
                <w:szCs w:val="22"/>
              </w:rPr>
            </w:pPr>
          </w:p>
        </w:tc>
        <w:tc>
          <w:tcPr>
            <w:tcW w:w="1710" w:type="dxa"/>
            <w:tcBorders>
              <w:bottom w:val="single" w:sz="4" w:space="0" w:color="auto"/>
            </w:tcBorders>
            <w:shd w:val="clear" w:color="auto" w:fill="FFFFFF"/>
          </w:tcPr>
          <w:p w:rsidR="00A92D0B" w:rsidRPr="00261D8E" w:rsidRDefault="005A63D4" w:rsidP="00E333CA">
            <w:pPr>
              <w:keepNext/>
              <w:keepLines/>
              <w:spacing w:before="60" w:after="60"/>
              <w:jc w:val="center"/>
              <w:rPr>
                <w:b/>
                <w:color w:val="000000"/>
                <w:sz w:val="22"/>
                <w:szCs w:val="22"/>
              </w:rPr>
            </w:pPr>
            <w:r w:rsidRPr="00261D8E">
              <w:rPr>
                <w:b/>
                <w:color w:val="000000"/>
                <w:sz w:val="22"/>
                <w:szCs w:val="22"/>
              </w:rPr>
              <w:t>Interveno</w:t>
            </w:r>
            <w:r w:rsidR="00204E3A" w:rsidRPr="00261D8E">
              <w:rPr>
                <w:b/>
                <w:color w:val="000000"/>
                <w:sz w:val="22"/>
                <w:szCs w:val="22"/>
              </w:rPr>
              <w:t>r</w:t>
            </w:r>
            <w:r w:rsidRPr="00261D8E">
              <w:rPr>
                <w:b/>
                <w:color w:val="000000"/>
                <w:sz w:val="22"/>
                <w:szCs w:val="22"/>
              </w:rPr>
              <w:t xml:space="preserve">’s </w:t>
            </w:r>
            <w:r w:rsidR="00D075B1" w:rsidRPr="00261D8E">
              <w:rPr>
                <w:b/>
                <w:color w:val="000000"/>
                <w:sz w:val="22"/>
                <w:szCs w:val="22"/>
              </w:rPr>
              <w:t>Assertion</w:t>
            </w:r>
          </w:p>
        </w:tc>
        <w:tc>
          <w:tcPr>
            <w:tcW w:w="1980" w:type="dxa"/>
            <w:shd w:val="clear" w:color="auto" w:fill="auto"/>
            <w:vAlign w:val="center"/>
          </w:tcPr>
          <w:p w:rsidR="00A92D0B" w:rsidRPr="00261D8E" w:rsidRDefault="00A92D0B" w:rsidP="005577F4">
            <w:pPr>
              <w:keepNext/>
              <w:keepLines/>
              <w:spacing w:before="120" w:after="120"/>
              <w:rPr>
                <w:b/>
                <w:color w:val="000000"/>
                <w:sz w:val="22"/>
                <w:szCs w:val="22"/>
              </w:rPr>
            </w:pPr>
            <w:r w:rsidRPr="00261D8E">
              <w:rPr>
                <w:b/>
                <w:color w:val="000000"/>
                <w:sz w:val="22"/>
                <w:szCs w:val="22"/>
              </w:rPr>
              <w:t xml:space="preserve">CPUC </w:t>
            </w:r>
            <w:r w:rsidR="00D075B1" w:rsidRPr="00261D8E">
              <w:rPr>
                <w:b/>
                <w:color w:val="000000"/>
                <w:sz w:val="22"/>
                <w:szCs w:val="22"/>
              </w:rPr>
              <w:t>Discussion</w:t>
            </w:r>
          </w:p>
        </w:tc>
      </w:tr>
      <w:tr w:rsidR="00A92D0B" w:rsidRPr="00261D8E" w:rsidTr="005577F4">
        <w:tc>
          <w:tcPr>
            <w:tcW w:w="6048" w:type="dxa"/>
            <w:shd w:val="clear" w:color="auto" w:fill="FFFFFF"/>
          </w:tcPr>
          <w:p w:rsidR="00A92D0B" w:rsidRPr="00261D8E" w:rsidRDefault="00A92D0B" w:rsidP="005577F4">
            <w:pPr>
              <w:keepNext/>
              <w:keepLines/>
              <w:spacing w:before="60" w:after="60"/>
              <w:ind w:left="360" w:hanging="360"/>
              <w:rPr>
                <w:b/>
                <w:color w:val="000000"/>
                <w:sz w:val="22"/>
                <w:szCs w:val="22"/>
              </w:rPr>
            </w:pPr>
            <w:r w:rsidRPr="00261D8E">
              <w:rPr>
                <w:b/>
                <w:color w:val="000000"/>
                <w:sz w:val="22"/>
                <w:szCs w:val="22"/>
              </w:rPr>
              <w:t>a.</w:t>
            </w:r>
            <w:r w:rsidRPr="00261D8E">
              <w:rPr>
                <w:b/>
                <w:color w:val="000000"/>
                <w:sz w:val="22"/>
                <w:szCs w:val="22"/>
              </w:rPr>
              <w:tab/>
            </w:r>
            <w:r w:rsidRPr="00261D8E">
              <w:rPr>
                <w:b/>
                <w:sz w:val="22"/>
                <w:szCs w:val="22"/>
              </w:rPr>
              <w:t xml:space="preserve">Was the </w:t>
            </w:r>
            <w:r w:rsidR="00B55CCD" w:rsidRPr="00261D8E">
              <w:rPr>
                <w:b/>
                <w:sz w:val="22"/>
                <w:szCs w:val="22"/>
              </w:rPr>
              <w:t xml:space="preserve">Office </w:t>
            </w:r>
            <w:r w:rsidRPr="00261D8E">
              <w:rPr>
                <w:b/>
                <w:sz w:val="22"/>
                <w:szCs w:val="22"/>
              </w:rPr>
              <w:t>of Ratepayer Advocates (</w:t>
            </w:r>
            <w:r w:rsidR="00003A49" w:rsidRPr="00261D8E">
              <w:rPr>
                <w:b/>
                <w:sz w:val="22"/>
                <w:szCs w:val="22"/>
              </w:rPr>
              <w:t>ORA</w:t>
            </w:r>
            <w:r w:rsidRPr="00261D8E">
              <w:rPr>
                <w:b/>
                <w:sz w:val="22"/>
                <w:szCs w:val="22"/>
              </w:rPr>
              <w:t>) a party to the proceeding</w:t>
            </w:r>
            <w:r w:rsidRPr="00261D8E">
              <w:rPr>
                <w:b/>
                <w:color w:val="000000"/>
                <w:sz w:val="22"/>
                <w:szCs w:val="22"/>
              </w:rPr>
              <w:t>?</w:t>
            </w:r>
          </w:p>
        </w:tc>
        <w:tc>
          <w:tcPr>
            <w:tcW w:w="1710" w:type="dxa"/>
            <w:shd w:val="clear" w:color="auto" w:fill="FFFFFF"/>
            <w:vAlign w:val="center"/>
          </w:tcPr>
          <w:p w:rsidR="00A92D0B" w:rsidRPr="00261D8E" w:rsidRDefault="00221132" w:rsidP="005577F4">
            <w:pPr>
              <w:keepNext/>
              <w:keepLines/>
              <w:spacing w:before="60" w:after="60"/>
              <w:jc w:val="center"/>
              <w:rPr>
                <w:b/>
                <w:color w:val="000000"/>
                <w:sz w:val="22"/>
                <w:szCs w:val="22"/>
              </w:rPr>
            </w:pPr>
            <w:r w:rsidRPr="00261D8E">
              <w:rPr>
                <w:b/>
                <w:color w:val="000000"/>
                <w:sz w:val="22"/>
                <w:szCs w:val="22"/>
              </w:rPr>
              <w:t>Yes</w:t>
            </w:r>
          </w:p>
        </w:tc>
        <w:tc>
          <w:tcPr>
            <w:tcW w:w="1980" w:type="dxa"/>
            <w:shd w:val="clear" w:color="auto" w:fill="auto"/>
          </w:tcPr>
          <w:p w:rsidR="00A92D0B" w:rsidRPr="00261D8E" w:rsidRDefault="00261D8E" w:rsidP="00DE3A5D">
            <w:pPr>
              <w:keepNext/>
              <w:keepLines/>
              <w:spacing w:before="120"/>
              <w:rPr>
                <w:color w:val="000000"/>
                <w:sz w:val="22"/>
                <w:szCs w:val="22"/>
              </w:rPr>
            </w:pPr>
            <w:r w:rsidRPr="00261D8E">
              <w:rPr>
                <w:color w:val="000000"/>
                <w:sz w:val="22"/>
                <w:szCs w:val="22"/>
              </w:rPr>
              <w:t>Verified.</w:t>
            </w:r>
          </w:p>
        </w:tc>
      </w:tr>
      <w:tr w:rsidR="00A92D0B" w:rsidRPr="00261D8E" w:rsidTr="005577F4">
        <w:tc>
          <w:tcPr>
            <w:tcW w:w="6048" w:type="dxa"/>
            <w:shd w:val="clear" w:color="auto" w:fill="FFFFFF"/>
          </w:tcPr>
          <w:p w:rsidR="00A92D0B" w:rsidRPr="00261D8E" w:rsidRDefault="00A92D0B" w:rsidP="005577F4">
            <w:pPr>
              <w:tabs>
                <w:tab w:val="left" w:pos="360"/>
              </w:tabs>
              <w:spacing w:before="60" w:after="60"/>
              <w:ind w:left="360" w:hanging="360"/>
              <w:rPr>
                <w:b/>
                <w:color w:val="000000"/>
                <w:sz w:val="22"/>
                <w:szCs w:val="22"/>
              </w:rPr>
            </w:pPr>
            <w:r w:rsidRPr="00261D8E">
              <w:rPr>
                <w:b/>
                <w:color w:val="000000"/>
                <w:sz w:val="22"/>
                <w:szCs w:val="22"/>
              </w:rPr>
              <w:t>b.</w:t>
            </w:r>
            <w:r w:rsidRPr="00261D8E">
              <w:rPr>
                <w:b/>
                <w:color w:val="000000"/>
                <w:sz w:val="22"/>
                <w:szCs w:val="22"/>
              </w:rPr>
              <w:tab/>
              <w:t xml:space="preserve">Were there other parties to the proceeding with positions similar to yours? </w:t>
            </w:r>
          </w:p>
        </w:tc>
        <w:tc>
          <w:tcPr>
            <w:tcW w:w="1710" w:type="dxa"/>
            <w:shd w:val="clear" w:color="auto" w:fill="FFFFFF"/>
            <w:vAlign w:val="center"/>
          </w:tcPr>
          <w:p w:rsidR="00A92D0B" w:rsidRPr="00261D8E" w:rsidRDefault="00221132" w:rsidP="005577F4">
            <w:pPr>
              <w:spacing w:before="60" w:after="60"/>
              <w:jc w:val="center"/>
              <w:rPr>
                <w:b/>
                <w:color w:val="000000"/>
                <w:sz w:val="22"/>
                <w:szCs w:val="22"/>
              </w:rPr>
            </w:pPr>
            <w:r w:rsidRPr="00261D8E">
              <w:rPr>
                <w:b/>
                <w:color w:val="000000"/>
                <w:sz w:val="22"/>
                <w:szCs w:val="22"/>
              </w:rPr>
              <w:t>Yes</w:t>
            </w:r>
          </w:p>
        </w:tc>
        <w:tc>
          <w:tcPr>
            <w:tcW w:w="1980" w:type="dxa"/>
            <w:shd w:val="clear" w:color="auto" w:fill="auto"/>
          </w:tcPr>
          <w:p w:rsidR="00A92D0B" w:rsidRPr="00261D8E" w:rsidRDefault="00261D8E" w:rsidP="00A92D0B">
            <w:pPr>
              <w:spacing w:before="120"/>
              <w:rPr>
                <w:color w:val="000000"/>
                <w:sz w:val="22"/>
                <w:szCs w:val="22"/>
              </w:rPr>
            </w:pPr>
            <w:r w:rsidRPr="00261D8E">
              <w:rPr>
                <w:color w:val="000000"/>
                <w:sz w:val="22"/>
                <w:szCs w:val="22"/>
              </w:rPr>
              <w:t>Verified.</w:t>
            </w:r>
          </w:p>
        </w:tc>
      </w:tr>
      <w:tr w:rsidR="00A92D0B" w:rsidRPr="00261D8E" w:rsidTr="005577F4">
        <w:tc>
          <w:tcPr>
            <w:tcW w:w="7758" w:type="dxa"/>
            <w:gridSpan w:val="2"/>
            <w:shd w:val="clear" w:color="auto" w:fill="FFFFFF"/>
            <w:vAlign w:val="center"/>
          </w:tcPr>
          <w:p w:rsidR="009B3B16" w:rsidRPr="00261D8E" w:rsidRDefault="00A92D0B" w:rsidP="005577F4">
            <w:pPr>
              <w:spacing w:before="120" w:after="120"/>
              <w:ind w:left="360" w:hanging="360"/>
              <w:rPr>
                <w:b/>
                <w:color w:val="000000"/>
                <w:sz w:val="22"/>
                <w:szCs w:val="22"/>
              </w:rPr>
            </w:pPr>
            <w:r w:rsidRPr="00261D8E">
              <w:rPr>
                <w:b/>
                <w:color w:val="000000"/>
                <w:sz w:val="22"/>
                <w:szCs w:val="22"/>
              </w:rPr>
              <w:t>c.</w:t>
            </w:r>
            <w:r w:rsidRPr="00261D8E">
              <w:rPr>
                <w:b/>
                <w:color w:val="000000"/>
                <w:sz w:val="22"/>
                <w:szCs w:val="22"/>
              </w:rPr>
              <w:tab/>
              <w:t>If so, provide name of other parties:</w:t>
            </w:r>
            <w:r w:rsidR="00221132" w:rsidRPr="00261D8E">
              <w:rPr>
                <w:b/>
                <w:color w:val="000000"/>
                <w:sz w:val="22"/>
                <w:szCs w:val="22"/>
              </w:rPr>
              <w:t xml:space="preserve"> ORA, TURN, FEA, SDCAN</w:t>
            </w:r>
          </w:p>
        </w:tc>
        <w:tc>
          <w:tcPr>
            <w:tcW w:w="1980" w:type="dxa"/>
            <w:shd w:val="clear" w:color="auto" w:fill="auto"/>
          </w:tcPr>
          <w:p w:rsidR="00A92D0B" w:rsidRPr="00261D8E" w:rsidRDefault="00261D8E" w:rsidP="005577F4">
            <w:pPr>
              <w:spacing w:before="120" w:after="120"/>
              <w:rPr>
                <w:b/>
                <w:color w:val="000000"/>
                <w:sz w:val="22"/>
                <w:szCs w:val="22"/>
              </w:rPr>
            </w:pPr>
            <w:r w:rsidRPr="00261D8E">
              <w:rPr>
                <w:color w:val="000000"/>
                <w:sz w:val="22"/>
                <w:szCs w:val="22"/>
              </w:rPr>
              <w:t>Agreed.</w:t>
            </w:r>
          </w:p>
        </w:tc>
      </w:tr>
      <w:tr w:rsidR="00A92D0B" w:rsidRPr="00261D8E" w:rsidTr="00332D38">
        <w:tc>
          <w:tcPr>
            <w:tcW w:w="7758" w:type="dxa"/>
            <w:gridSpan w:val="2"/>
            <w:shd w:val="clear" w:color="auto" w:fill="FFFFFF"/>
          </w:tcPr>
          <w:p w:rsidR="00376899" w:rsidRPr="00261D8E" w:rsidRDefault="00A92D0B" w:rsidP="005577F4">
            <w:pPr>
              <w:tabs>
                <w:tab w:val="left" w:pos="360"/>
              </w:tabs>
              <w:spacing w:before="60" w:after="60"/>
              <w:ind w:left="360" w:hanging="360"/>
              <w:rPr>
                <w:b/>
                <w:color w:val="000000"/>
                <w:sz w:val="22"/>
                <w:szCs w:val="22"/>
              </w:rPr>
            </w:pPr>
            <w:r w:rsidRPr="00261D8E">
              <w:rPr>
                <w:b/>
                <w:color w:val="000000"/>
                <w:sz w:val="22"/>
                <w:szCs w:val="22"/>
              </w:rPr>
              <w:t>d.</w:t>
            </w:r>
            <w:r w:rsidRPr="00261D8E">
              <w:rPr>
                <w:b/>
                <w:color w:val="000000"/>
                <w:sz w:val="22"/>
                <w:szCs w:val="22"/>
              </w:rPr>
              <w:tab/>
            </w:r>
            <w:r w:rsidR="00D075B1" w:rsidRPr="00261D8E">
              <w:rPr>
                <w:b/>
                <w:color w:val="000000"/>
                <w:sz w:val="22"/>
                <w:szCs w:val="22"/>
              </w:rPr>
              <w:t xml:space="preserve">Intervenor’s </w:t>
            </w:r>
            <w:r w:rsidR="00A319DE" w:rsidRPr="00261D8E">
              <w:rPr>
                <w:b/>
                <w:color w:val="000000"/>
                <w:sz w:val="22"/>
                <w:szCs w:val="22"/>
              </w:rPr>
              <w:t>c</w:t>
            </w:r>
            <w:r w:rsidR="00D075B1" w:rsidRPr="00261D8E">
              <w:rPr>
                <w:b/>
                <w:color w:val="000000"/>
                <w:sz w:val="22"/>
                <w:szCs w:val="22"/>
              </w:rPr>
              <w:t xml:space="preserve">laim of </w:t>
            </w:r>
            <w:r w:rsidR="00A319DE" w:rsidRPr="00261D8E">
              <w:rPr>
                <w:b/>
                <w:color w:val="000000"/>
                <w:sz w:val="22"/>
                <w:szCs w:val="22"/>
              </w:rPr>
              <w:t>n</w:t>
            </w:r>
            <w:r w:rsidR="00D075B1" w:rsidRPr="00261D8E">
              <w:rPr>
                <w:b/>
                <w:color w:val="000000"/>
                <w:sz w:val="22"/>
                <w:szCs w:val="22"/>
              </w:rPr>
              <w:t>on-</w:t>
            </w:r>
            <w:r w:rsidR="00A319DE" w:rsidRPr="00261D8E">
              <w:rPr>
                <w:b/>
                <w:color w:val="000000"/>
                <w:sz w:val="22"/>
                <w:szCs w:val="22"/>
              </w:rPr>
              <w:t>d</w:t>
            </w:r>
            <w:r w:rsidR="00D075B1" w:rsidRPr="00261D8E">
              <w:rPr>
                <w:b/>
                <w:color w:val="000000"/>
                <w:sz w:val="22"/>
                <w:szCs w:val="22"/>
              </w:rPr>
              <w:t>uplication:</w:t>
            </w:r>
          </w:p>
          <w:p w:rsidR="009B3B16" w:rsidRPr="00261D8E" w:rsidRDefault="009B3B16" w:rsidP="005577F4">
            <w:pPr>
              <w:spacing w:before="60" w:after="60"/>
              <w:ind w:left="360"/>
              <w:rPr>
                <w:sz w:val="22"/>
                <w:szCs w:val="22"/>
              </w:rPr>
            </w:pPr>
            <w:r w:rsidRPr="00261D8E">
              <w:rPr>
                <w:sz w:val="22"/>
                <w:szCs w:val="22"/>
              </w:rPr>
              <w:t xml:space="preserve">As is noted in UCAN’s timesheets, UCAN spent several hours in coordination meetings with other parties – either individually with specific intervenors or collectively with the other parties in conference calls and/or meetings. </w:t>
            </w:r>
            <w:r w:rsidR="00D8683C">
              <w:rPr>
                <w:sz w:val="22"/>
                <w:szCs w:val="22"/>
              </w:rPr>
              <w:t xml:space="preserve"> </w:t>
            </w:r>
            <w:r w:rsidRPr="00261D8E">
              <w:rPr>
                <w:sz w:val="22"/>
                <w:szCs w:val="22"/>
              </w:rPr>
              <w:t>This coordination minimized duplication b</w:t>
            </w:r>
            <w:r w:rsidR="00D8683C">
              <w:rPr>
                <w:sz w:val="22"/>
                <w:szCs w:val="22"/>
              </w:rPr>
              <w:t>etween UCAN and other parties.</w:t>
            </w:r>
          </w:p>
          <w:p w:rsidR="009B3B16" w:rsidRPr="00261D8E" w:rsidRDefault="009B3B16" w:rsidP="005577F4">
            <w:pPr>
              <w:tabs>
                <w:tab w:val="left" w:pos="360"/>
              </w:tabs>
              <w:spacing w:before="60" w:after="60"/>
              <w:ind w:left="360"/>
              <w:rPr>
                <w:sz w:val="22"/>
                <w:szCs w:val="22"/>
              </w:rPr>
            </w:pPr>
            <w:r w:rsidRPr="00261D8E">
              <w:rPr>
                <w:sz w:val="22"/>
                <w:szCs w:val="22"/>
              </w:rPr>
              <w:t xml:space="preserve">More specifically, UCAN worked very closely with TURN to divide issues to ensure the broadest possible coverage of issues for both SDG&amp;E and </w:t>
            </w:r>
            <w:proofErr w:type="spellStart"/>
            <w:r w:rsidRPr="00261D8E">
              <w:rPr>
                <w:sz w:val="22"/>
                <w:szCs w:val="22"/>
              </w:rPr>
              <w:t>SoCalGas</w:t>
            </w:r>
            <w:proofErr w:type="spellEnd"/>
            <w:r w:rsidRPr="00261D8E">
              <w:rPr>
                <w:sz w:val="22"/>
                <w:szCs w:val="22"/>
              </w:rPr>
              <w:t xml:space="preserve"> with the least duplication of effort between TURN and UCAN.  In past GRCs, UCAN’s presentation would focus on SDG&amp;E’s application and TURN’s would focus on </w:t>
            </w:r>
            <w:proofErr w:type="spellStart"/>
            <w:r w:rsidRPr="00261D8E">
              <w:rPr>
                <w:sz w:val="22"/>
                <w:szCs w:val="22"/>
              </w:rPr>
              <w:t>SoCalGas’s</w:t>
            </w:r>
            <w:proofErr w:type="spellEnd"/>
            <w:r w:rsidRPr="00261D8E">
              <w:rPr>
                <w:sz w:val="22"/>
                <w:szCs w:val="22"/>
              </w:rPr>
              <w:t xml:space="preserve"> application.  For this proceeding, UCAN and TURN adjusted their approach to further reduce duplication of effort.</w:t>
            </w:r>
            <w:r w:rsidR="00D8683C">
              <w:rPr>
                <w:sz w:val="22"/>
                <w:szCs w:val="22"/>
              </w:rPr>
              <w:t xml:space="preserve"> </w:t>
            </w:r>
            <w:r w:rsidRPr="00261D8E">
              <w:rPr>
                <w:sz w:val="22"/>
                <w:szCs w:val="22"/>
              </w:rPr>
              <w:t xml:space="preserve"> While UCAN continued to focus primarily on SDG&amp;E, and TURN continued to focus primarily on </w:t>
            </w:r>
            <w:proofErr w:type="spellStart"/>
            <w:r w:rsidRPr="00261D8E">
              <w:rPr>
                <w:sz w:val="22"/>
                <w:szCs w:val="22"/>
              </w:rPr>
              <w:t>SoCalGas</w:t>
            </w:r>
            <w:proofErr w:type="spellEnd"/>
            <w:r w:rsidRPr="00261D8E">
              <w:rPr>
                <w:sz w:val="22"/>
                <w:szCs w:val="22"/>
              </w:rPr>
              <w:t xml:space="preserve">, UCAN and TURN identified crossover issues that are common to both utilities and designated one or the other of the parties to cover each of these issues for both utilities.  For UCAN these crossover issues included New Business Capital needs - Customer growth, Post-Test Year Attrition rates, </w:t>
            </w:r>
            <w:r w:rsidRPr="00261D8E">
              <w:rPr>
                <w:sz w:val="22"/>
                <w:szCs w:val="22"/>
              </w:rPr>
              <w:lastRenderedPageBreak/>
              <w:t xml:space="preserve">insurance issues, and TIMP and DIMP balancing account issues. Covering these issues for both utilities eliminated the need for TURN to evaluate the same or similar issues for </w:t>
            </w:r>
            <w:proofErr w:type="spellStart"/>
            <w:r w:rsidRPr="00261D8E">
              <w:rPr>
                <w:sz w:val="22"/>
                <w:szCs w:val="22"/>
              </w:rPr>
              <w:t>SoCalGas</w:t>
            </w:r>
            <w:proofErr w:type="spellEnd"/>
            <w:r w:rsidRPr="00261D8E">
              <w:rPr>
                <w:sz w:val="22"/>
                <w:szCs w:val="22"/>
              </w:rPr>
              <w:t xml:space="preserve"> as UCAN was evaluating for SDG&amp;E.</w:t>
            </w:r>
          </w:p>
          <w:p w:rsidR="009B3B16" w:rsidRPr="00261D8E" w:rsidRDefault="009B3B16" w:rsidP="005577F4">
            <w:pPr>
              <w:tabs>
                <w:tab w:val="left" w:pos="360"/>
              </w:tabs>
              <w:spacing w:before="60" w:after="60"/>
              <w:ind w:left="360"/>
              <w:rPr>
                <w:sz w:val="22"/>
                <w:szCs w:val="22"/>
              </w:rPr>
            </w:pPr>
            <w:r w:rsidRPr="00261D8E">
              <w:rPr>
                <w:sz w:val="22"/>
                <w:szCs w:val="22"/>
              </w:rPr>
              <w:t xml:space="preserve">UCAN’s testimony, briefs, motions and comments advanced certain ratepayer protection issues that were not covered by other parties, provided discussion and analysis in opposition to certain recommendations from the utilities, and provided analysis that complemented presentations from other parties. </w:t>
            </w:r>
            <w:r w:rsidR="00D8683C">
              <w:rPr>
                <w:sz w:val="22"/>
                <w:szCs w:val="22"/>
              </w:rPr>
              <w:t xml:space="preserve"> </w:t>
            </w:r>
            <w:r w:rsidRPr="00261D8E">
              <w:rPr>
                <w:sz w:val="22"/>
                <w:szCs w:val="22"/>
              </w:rPr>
              <w:t xml:space="preserve">For just a few examples, UCAN’s showing was unique among intervenors for raising concerns about the Sempra utilities’ request for unlimited use of two-way balancing accounts to collect for </w:t>
            </w:r>
            <w:proofErr w:type="spellStart"/>
            <w:r w:rsidRPr="00261D8E">
              <w:rPr>
                <w:sz w:val="22"/>
                <w:szCs w:val="22"/>
              </w:rPr>
              <w:t>undercollections</w:t>
            </w:r>
            <w:proofErr w:type="spellEnd"/>
            <w:r w:rsidRPr="00261D8E">
              <w:rPr>
                <w:sz w:val="22"/>
                <w:szCs w:val="22"/>
              </w:rPr>
              <w:t xml:space="preserve"> for their proposed TIMP, DIMP and SIMP programs.  UCAN fought for and the Commission approved a 35% cap on </w:t>
            </w:r>
            <w:proofErr w:type="spellStart"/>
            <w:r w:rsidRPr="00261D8E">
              <w:rPr>
                <w:sz w:val="22"/>
                <w:szCs w:val="22"/>
              </w:rPr>
              <w:t>undercollections</w:t>
            </w:r>
            <w:proofErr w:type="spellEnd"/>
            <w:r w:rsidRPr="00261D8E">
              <w:rPr>
                <w:sz w:val="22"/>
                <w:szCs w:val="22"/>
              </w:rPr>
              <w:t xml:space="preserve"> for these programs that may be recovered through the use of a two-way balancing account.  In another example, UCAN’s testimony was unique in opposing higher Service Establishment Charges for SDG&amp;E customers requiring field visits given that field visits may be required for reasons wholly outside of the customer’s control.</w:t>
            </w:r>
            <w:r w:rsidR="00D8683C">
              <w:rPr>
                <w:sz w:val="22"/>
                <w:szCs w:val="22"/>
              </w:rPr>
              <w:t xml:space="preserve"> </w:t>
            </w:r>
            <w:r w:rsidRPr="00261D8E">
              <w:rPr>
                <w:sz w:val="22"/>
                <w:szCs w:val="22"/>
              </w:rPr>
              <w:t xml:space="preserve"> The adopted settlement adopts a single Service Establishment Charge of $5.85 for all SDG&amp;E customers, providing a reduction of $19.15 compared to SDG&amp;E’s proposal for customers requiring field visit. </w:t>
            </w:r>
          </w:p>
          <w:p w:rsidR="009B3B16" w:rsidRPr="00261D8E" w:rsidRDefault="009B3B16" w:rsidP="005577F4">
            <w:pPr>
              <w:tabs>
                <w:tab w:val="left" w:pos="360"/>
              </w:tabs>
              <w:spacing w:before="60" w:after="60"/>
              <w:ind w:left="360"/>
              <w:rPr>
                <w:sz w:val="22"/>
                <w:szCs w:val="22"/>
              </w:rPr>
            </w:pPr>
            <w:r w:rsidRPr="00261D8E">
              <w:rPr>
                <w:sz w:val="22"/>
                <w:szCs w:val="22"/>
              </w:rPr>
              <w:t>UCAN’s testimony was complimentary to other parties’ on other issues.</w:t>
            </w:r>
            <w:r w:rsidR="00D8683C">
              <w:rPr>
                <w:sz w:val="22"/>
                <w:szCs w:val="22"/>
              </w:rPr>
              <w:t xml:space="preserve"> </w:t>
            </w:r>
            <w:r w:rsidRPr="00261D8E">
              <w:rPr>
                <w:sz w:val="22"/>
                <w:szCs w:val="22"/>
              </w:rPr>
              <w:t xml:space="preserve"> For example, UCAN advocated, in agreement with ORA, that SDG&amp;E’s proposal to close two of SDG&amp;E’s branch offices and to downgrade another to an Authorized Payment Location (APL) be rejected. UCAN supplemented ORA’s testimony discussion of customer impacts from SDG&amp;E’s proposal with additional discussion and analysis not found in ORA’s testimony, including a more in-depth discussion of the impacts to CARE customers and a delineation of some of the services available at a branch that would not be available at an APL. UCAN additionally responded to specific SDG&amp;E arguments in support of its proposal that were not addressed in ORA’s testimony, including SDG&amp;E’s claim that it will be forced to close one of the branches due to leasing difficulties.  In adopting the TURN/UCAN settlement the Commission denied SDG&amp;E’s request in this GRC application to close the three branch offices.</w:t>
            </w:r>
          </w:p>
          <w:p w:rsidR="009B3B16" w:rsidRPr="00261D8E" w:rsidRDefault="009B3B16" w:rsidP="005577F4">
            <w:pPr>
              <w:tabs>
                <w:tab w:val="left" w:pos="360"/>
              </w:tabs>
              <w:spacing w:before="60" w:after="60"/>
              <w:ind w:left="360"/>
              <w:rPr>
                <w:sz w:val="22"/>
                <w:szCs w:val="22"/>
              </w:rPr>
            </w:pPr>
            <w:r w:rsidRPr="00261D8E">
              <w:rPr>
                <w:sz w:val="22"/>
                <w:szCs w:val="22"/>
              </w:rPr>
              <w:t>With regard to the revenue requirement amount, UCAN provided more in-depth analysis on specific issues to provide further factual support for revenue requirement reductions similar to those proposed by ORA and, in some cases, to support larger re</w:t>
            </w:r>
            <w:r w:rsidR="00730A5E">
              <w:rPr>
                <w:sz w:val="22"/>
                <w:szCs w:val="22"/>
              </w:rPr>
              <w:t xml:space="preserve">ductions than ORA had proposed.  </w:t>
            </w:r>
            <w:r w:rsidRPr="00261D8E">
              <w:rPr>
                <w:sz w:val="22"/>
                <w:szCs w:val="22"/>
              </w:rPr>
              <w:t xml:space="preserve">The ORA/Sempra Utilities settlement affirms that the parties considered these positions when negotiating revenue requirement issues. </w:t>
            </w:r>
            <w:r w:rsidR="00D8683C">
              <w:rPr>
                <w:sz w:val="22"/>
                <w:szCs w:val="22"/>
              </w:rPr>
              <w:t xml:space="preserve"> </w:t>
            </w:r>
            <w:r w:rsidRPr="00261D8E">
              <w:rPr>
                <w:sz w:val="22"/>
                <w:szCs w:val="22"/>
              </w:rPr>
              <w:t xml:space="preserve">For </w:t>
            </w:r>
            <w:r w:rsidR="00E430A3" w:rsidRPr="00261D8E">
              <w:rPr>
                <w:sz w:val="22"/>
                <w:szCs w:val="22"/>
              </w:rPr>
              <w:t>example,</w:t>
            </w:r>
            <w:r w:rsidRPr="00261D8E">
              <w:rPr>
                <w:sz w:val="22"/>
                <w:szCs w:val="22"/>
              </w:rPr>
              <w:t xml:space="preserve"> UCAN’s testimony on new business – customer forecasts, Post-Test Year ratemaking, and Insurance issues were all different and additive to ORA’s presentation.  </w:t>
            </w:r>
          </w:p>
          <w:p w:rsidR="00A92D0B" w:rsidRPr="00261D8E" w:rsidRDefault="009B3B16" w:rsidP="005577F4">
            <w:pPr>
              <w:tabs>
                <w:tab w:val="left" w:pos="360"/>
              </w:tabs>
              <w:spacing w:before="60" w:after="60"/>
              <w:ind w:left="360"/>
              <w:rPr>
                <w:b/>
                <w:color w:val="000000"/>
                <w:sz w:val="22"/>
                <w:szCs w:val="22"/>
              </w:rPr>
            </w:pPr>
            <w:r w:rsidRPr="00261D8E">
              <w:rPr>
                <w:sz w:val="22"/>
                <w:szCs w:val="22"/>
              </w:rPr>
              <w:t>Overall UCAN’s presentation provided the Commission with unique expert and legal analysis on issues that enhanced the record of this proceeding and supported the conclusions of the Commission.</w:t>
            </w:r>
          </w:p>
        </w:tc>
        <w:tc>
          <w:tcPr>
            <w:tcW w:w="1980" w:type="dxa"/>
            <w:shd w:val="clear" w:color="auto" w:fill="auto"/>
          </w:tcPr>
          <w:p w:rsidR="00A92D0B" w:rsidRPr="00261D8E" w:rsidRDefault="00261D8E" w:rsidP="005577F4">
            <w:pPr>
              <w:tabs>
                <w:tab w:val="left" w:pos="0"/>
              </w:tabs>
              <w:spacing w:before="60" w:after="60"/>
              <w:ind w:left="-18" w:firstLine="18"/>
              <w:rPr>
                <w:color w:val="000000"/>
                <w:sz w:val="22"/>
                <w:szCs w:val="22"/>
              </w:rPr>
            </w:pPr>
            <w:r w:rsidRPr="00261D8E">
              <w:rPr>
                <w:color w:val="000000"/>
                <w:sz w:val="22"/>
                <w:szCs w:val="22"/>
              </w:rPr>
              <w:lastRenderedPageBreak/>
              <w:t>Agreed, UCAN did not engage in excessive duplication with other parties.</w:t>
            </w:r>
          </w:p>
        </w:tc>
      </w:tr>
    </w:tbl>
    <w:p w:rsidR="00A92D0B" w:rsidRPr="00261D8E" w:rsidRDefault="00A92D0B" w:rsidP="00730A5E">
      <w:pPr>
        <w:keepNext/>
        <w:keepLines/>
        <w:tabs>
          <w:tab w:val="left" w:pos="1260"/>
        </w:tabs>
        <w:spacing w:before="120"/>
        <w:ind w:left="1267" w:hanging="1267"/>
        <w:rPr>
          <w:color w:val="000000"/>
          <w:sz w:val="22"/>
          <w:szCs w:val="22"/>
        </w:rPr>
      </w:pPr>
      <w:r w:rsidRPr="00261D8E">
        <w:rPr>
          <w:b/>
          <w:color w:val="000000"/>
          <w:sz w:val="22"/>
          <w:szCs w:val="22"/>
        </w:rPr>
        <w:lastRenderedPageBreak/>
        <w:t>PART III:</w:t>
      </w:r>
      <w:r w:rsidRPr="00261D8E">
        <w:rPr>
          <w:b/>
          <w:color w:val="000000"/>
          <w:sz w:val="22"/>
          <w:szCs w:val="22"/>
        </w:rPr>
        <w:tab/>
        <w:t xml:space="preserve">REASONABLENESS OF REQUESTED COMPENSATION </w:t>
      </w:r>
    </w:p>
    <w:p w:rsidR="00A92D0B" w:rsidRPr="00261D8E" w:rsidRDefault="00A92D0B" w:rsidP="00730A5E">
      <w:pPr>
        <w:keepNext/>
        <w:keepLines/>
        <w:numPr>
          <w:ilvl w:val="0"/>
          <w:numId w:val="2"/>
        </w:numPr>
        <w:tabs>
          <w:tab w:val="clear" w:pos="900"/>
          <w:tab w:val="num" w:pos="360"/>
        </w:tabs>
        <w:spacing w:after="120"/>
        <w:ind w:left="360"/>
        <w:rPr>
          <w:b/>
          <w:color w:val="000000"/>
          <w:sz w:val="22"/>
          <w:szCs w:val="22"/>
        </w:rPr>
      </w:pPr>
      <w:r w:rsidRPr="00261D8E">
        <w:rPr>
          <w:b/>
          <w:color w:val="000000"/>
          <w:sz w:val="22"/>
          <w:szCs w:val="22"/>
        </w:rPr>
        <w:t xml:space="preserve">General Claim of Reasonableness </w:t>
      </w:r>
      <w:r w:rsidR="00F30DA8" w:rsidRPr="00261D8E">
        <w:rPr>
          <w:b/>
          <w:color w:val="000000"/>
          <w:sz w:val="22"/>
          <w:szCs w:val="22"/>
        </w:rPr>
        <w:t xml:space="preserve">(§ </w:t>
      </w:r>
      <w:r w:rsidRPr="00261D8E">
        <w:rPr>
          <w:b/>
          <w:color w:val="000000"/>
          <w:sz w:val="22"/>
          <w:szCs w:val="22"/>
        </w:rPr>
        <w:t xml:space="preserve">1801 </w:t>
      </w:r>
      <w:r w:rsidR="00F30DA8" w:rsidRPr="00261D8E">
        <w:rPr>
          <w:b/>
          <w:color w:val="000000"/>
          <w:sz w:val="22"/>
          <w:szCs w:val="22"/>
        </w:rPr>
        <w:t>and §</w:t>
      </w:r>
      <w:r w:rsidRPr="00261D8E">
        <w:rPr>
          <w:b/>
          <w:color w:val="000000"/>
          <w:sz w:val="22"/>
          <w:szCs w:val="22"/>
        </w:rPr>
        <w:t xml:space="preserve"> 1806):</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250"/>
      </w:tblGrid>
      <w:tr w:rsidR="00A92D0B" w:rsidRPr="00261D8E" w:rsidTr="00332D38">
        <w:tc>
          <w:tcPr>
            <w:tcW w:w="7488" w:type="dxa"/>
            <w:tcBorders>
              <w:bottom w:val="single" w:sz="4" w:space="0" w:color="auto"/>
            </w:tcBorders>
            <w:shd w:val="clear" w:color="auto" w:fill="FFFFFF"/>
          </w:tcPr>
          <w:p w:rsidR="009B3B16" w:rsidRPr="00261D8E" w:rsidRDefault="009B3B16" w:rsidP="00730A5E">
            <w:pPr>
              <w:keepNext/>
              <w:keepLines/>
              <w:spacing w:before="60" w:after="120"/>
              <w:rPr>
                <w:color w:val="000000"/>
                <w:sz w:val="22"/>
                <w:szCs w:val="22"/>
              </w:rPr>
            </w:pPr>
            <w:r w:rsidRPr="00261D8E">
              <w:rPr>
                <w:color w:val="000000"/>
                <w:sz w:val="22"/>
                <w:szCs w:val="22"/>
              </w:rPr>
              <w:t>UCAN’s compensation claim seeks reimbursement of</w:t>
            </w:r>
            <w:r w:rsidR="00E430A3" w:rsidRPr="00261D8E">
              <w:rPr>
                <w:color w:val="000000"/>
                <w:sz w:val="22"/>
                <w:szCs w:val="22"/>
              </w:rPr>
              <w:t xml:space="preserve"> $264,011.57 </w:t>
            </w:r>
            <w:r w:rsidRPr="00261D8E">
              <w:rPr>
                <w:color w:val="000000"/>
                <w:sz w:val="22"/>
                <w:szCs w:val="22"/>
              </w:rPr>
              <w:t>for our presentation of the issues in these two utility GRC applications.  Given the scope of the proceedings, their length, the voluminous record produced and the quality of UCAN’s presentation, our requested compensation is reasonable and we ask that it be granted.</w:t>
            </w:r>
          </w:p>
          <w:p w:rsidR="005577F4" w:rsidRDefault="005577F4" w:rsidP="00730A5E">
            <w:pPr>
              <w:keepNext/>
              <w:keepLines/>
              <w:spacing w:before="120" w:after="120"/>
              <w:rPr>
                <w:color w:val="000000"/>
                <w:sz w:val="22"/>
                <w:szCs w:val="22"/>
              </w:rPr>
            </w:pPr>
          </w:p>
          <w:p w:rsidR="009B3B16" w:rsidRPr="00261D8E" w:rsidRDefault="009B3B16" w:rsidP="00730A5E">
            <w:pPr>
              <w:keepNext/>
              <w:keepLines/>
              <w:spacing w:after="120"/>
              <w:rPr>
                <w:sz w:val="22"/>
                <w:szCs w:val="22"/>
              </w:rPr>
            </w:pPr>
            <w:r w:rsidRPr="00261D8E">
              <w:rPr>
                <w:color w:val="000000"/>
                <w:sz w:val="22"/>
                <w:szCs w:val="22"/>
              </w:rPr>
              <w:t xml:space="preserve">As has been noted above, SDG&amp;E’s application requested a total revenue requirement </w:t>
            </w:r>
            <w:r w:rsidR="00E430A3" w:rsidRPr="00261D8E">
              <w:rPr>
                <w:color w:val="000000"/>
                <w:sz w:val="22"/>
                <w:szCs w:val="22"/>
              </w:rPr>
              <w:t>of $</w:t>
            </w:r>
            <w:r w:rsidRPr="00261D8E">
              <w:rPr>
                <w:sz w:val="22"/>
                <w:szCs w:val="22"/>
              </w:rPr>
              <w:t xml:space="preserve">1,895,437,000 and </w:t>
            </w:r>
            <w:proofErr w:type="spellStart"/>
            <w:r w:rsidRPr="00261D8E">
              <w:rPr>
                <w:sz w:val="22"/>
                <w:szCs w:val="22"/>
              </w:rPr>
              <w:t>SoCalGas</w:t>
            </w:r>
            <w:proofErr w:type="spellEnd"/>
            <w:r w:rsidRPr="00261D8E">
              <w:rPr>
                <w:sz w:val="22"/>
                <w:szCs w:val="22"/>
              </w:rPr>
              <w:t xml:space="preserve"> requested $2,331,187,000.  In this proceeding 409 exhibits were entered into evidence including testimony, </w:t>
            </w:r>
            <w:proofErr w:type="spellStart"/>
            <w:r w:rsidRPr="00261D8E">
              <w:rPr>
                <w:sz w:val="22"/>
                <w:szCs w:val="22"/>
              </w:rPr>
              <w:t>workpapers</w:t>
            </w:r>
            <w:proofErr w:type="spellEnd"/>
            <w:r w:rsidRPr="00261D8E">
              <w:rPr>
                <w:sz w:val="22"/>
                <w:szCs w:val="22"/>
              </w:rPr>
              <w:t xml:space="preserve">, and cross examination exhibits.  The </w:t>
            </w:r>
            <w:proofErr w:type="gramStart"/>
            <w:r w:rsidRPr="00261D8E">
              <w:rPr>
                <w:sz w:val="22"/>
                <w:szCs w:val="22"/>
              </w:rPr>
              <w:t>number of transcribed pages (through oral argument) for these proceedings total</w:t>
            </w:r>
            <w:proofErr w:type="gramEnd"/>
            <w:r w:rsidRPr="00261D8E">
              <w:rPr>
                <w:sz w:val="22"/>
                <w:szCs w:val="22"/>
              </w:rPr>
              <w:t xml:space="preserve"> 3,247 pages.  The NOI for both SDG&amp;E and </w:t>
            </w:r>
            <w:proofErr w:type="spellStart"/>
            <w:r w:rsidRPr="00261D8E">
              <w:rPr>
                <w:sz w:val="22"/>
                <w:szCs w:val="22"/>
              </w:rPr>
              <w:t>SoCalGas</w:t>
            </w:r>
            <w:proofErr w:type="spellEnd"/>
            <w:r w:rsidRPr="00261D8E">
              <w:rPr>
                <w:sz w:val="22"/>
                <w:szCs w:val="22"/>
              </w:rPr>
              <w:t xml:space="preserve"> that started these proceedings were served on the parties on July 25, 2014, and the Commission issued their decision on </w:t>
            </w:r>
            <w:r w:rsidR="005577F4">
              <w:rPr>
                <w:sz w:val="22"/>
                <w:szCs w:val="22"/>
              </w:rPr>
              <w:br/>
            </w:r>
            <w:r w:rsidRPr="00261D8E">
              <w:rPr>
                <w:sz w:val="22"/>
                <w:szCs w:val="22"/>
              </w:rPr>
              <w:t xml:space="preserve">July 1, 2016. </w:t>
            </w:r>
          </w:p>
          <w:p w:rsidR="009B3B16" w:rsidRPr="00261D8E" w:rsidRDefault="009B3B16" w:rsidP="00730A5E">
            <w:pPr>
              <w:keepNext/>
              <w:keepLines/>
              <w:spacing w:after="120"/>
              <w:rPr>
                <w:sz w:val="22"/>
                <w:szCs w:val="22"/>
              </w:rPr>
            </w:pPr>
          </w:p>
          <w:p w:rsidR="009B3B16" w:rsidRPr="00261D8E" w:rsidRDefault="009B3B16" w:rsidP="00730A5E">
            <w:pPr>
              <w:keepNext/>
              <w:keepLines/>
              <w:spacing w:after="120"/>
              <w:rPr>
                <w:sz w:val="22"/>
                <w:szCs w:val="22"/>
              </w:rPr>
            </w:pPr>
            <w:r w:rsidRPr="00261D8E">
              <w:rPr>
                <w:sz w:val="22"/>
                <w:szCs w:val="22"/>
              </w:rPr>
              <w:t xml:space="preserve">Given the voluminous amount of testimony and issues to consider, UCAN tried </w:t>
            </w:r>
            <w:r w:rsidR="00730A5E">
              <w:rPr>
                <w:sz w:val="22"/>
                <w:szCs w:val="22"/>
              </w:rPr>
              <w:br/>
            </w:r>
            <w:r w:rsidRPr="00261D8E">
              <w:rPr>
                <w:sz w:val="22"/>
                <w:szCs w:val="22"/>
              </w:rPr>
              <w:t xml:space="preserve">to minimize costs by closely coordinating with TURN and having one of our respective experts handle each crossover issue for both utilities where possible so that TURN and UCAN experts would not need to review similar information individually for each utility. </w:t>
            </w:r>
            <w:r w:rsidR="00D8683C">
              <w:rPr>
                <w:sz w:val="22"/>
                <w:szCs w:val="22"/>
              </w:rPr>
              <w:t xml:space="preserve"> </w:t>
            </w:r>
            <w:r w:rsidRPr="00261D8E">
              <w:rPr>
                <w:sz w:val="22"/>
                <w:szCs w:val="22"/>
              </w:rPr>
              <w:t xml:space="preserve">UCAN additionally coordinated with other parties to minimize duplication of effort. </w:t>
            </w:r>
          </w:p>
          <w:p w:rsidR="009B3B16" w:rsidRPr="00261D8E" w:rsidRDefault="009B3B16" w:rsidP="00730A5E">
            <w:pPr>
              <w:keepNext/>
              <w:keepLines/>
              <w:spacing w:after="120"/>
              <w:rPr>
                <w:sz w:val="22"/>
                <w:szCs w:val="22"/>
              </w:rPr>
            </w:pPr>
          </w:p>
          <w:p w:rsidR="009B3B16" w:rsidRPr="00261D8E" w:rsidRDefault="009B3B16" w:rsidP="00730A5E">
            <w:pPr>
              <w:keepNext/>
              <w:keepLines/>
              <w:spacing w:after="120"/>
              <w:rPr>
                <w:sz w:val="22"/>
                <w:szCs w:val="22"/>
              </w:rPr>
            </w:pPr>
            <w:r w:rsidRPr="00261D8E">
              <w:rPr>
                <w:sz w:val="22"/>
                <w:szCs w:val="22"/>
              </w:rPr>
              <w:t xml:space="preserve">UCAN’s request is a very small percentage of the benefits the ratepayers received from our participation.  As noted above, the Commission’s final decision in this proceeding reduced the amount awarded to SDG&amp;E by $104 million from what was requested and $127 million for what </w:t>
            </w:r>
            <w:proofErr w:type="spellStart"/>
            <w:r w:rsidRPr="00261D8E">
              <w:rPr>
                <w:sz w:val="22"/>
                <w:szCs w:val="22"/>
              </w:rPr>
              <w:t>SoCalGas</w:t>
            </w:r>
            <w:proofErr w:type="spellEnd"/>
            <w:r w:rsidRPr="00261D8E">
              <w:rPr>
                <w:sz w:val="22"/>
                <w:szCs w:val="22"/>
              </w:rPr>
              <w:t xml:space="preserve"> requested.  UCAN’s request </w:t>
            </w:r>
            <w:proofErr w:type="gramStart"/>
            <w:r w:rsidRPr="00261D8E">
              <w:rPr>
                <w:sz w:val="22"/>
                <w:szCs w:val="22"/>
              </w:rPr>
              <w:t xml:space="preserve">of  </w:t>
            </w:r>
            <w:r w:rsidR="00E430A3" w:rsidRPr="00261D8E">
              <w:rPr>
                <w:sz w:val="22"/>
                <w:szCs w:val="22"/>
              </w:rPr>
              <w:t>$</w:t>
            </w:r>
            <w:proofErr w:type="gramEnd"/>
            <w:r w:rsidR="00E430A3" w:rsidRPr="00261D8E">
              <w:rPr>
                <w:sz w:val="22"/>
                <w:szCs w:val="22"/>
              </w:rPr>
              <w:t>264,011.57</w:t>
            </w:r>
            <w:r w:rsidRPr="00261D8E">
              <w:rPr>
                <w:sz w:val="22"/>
                <w:szCs w:val="22"/>
              </w:rPr>
              <w:t xml:space="preserve"> is also a small fraction of the $1.1 million that was awarded to UCAN</w:t>
            </w:r>
            <w:r w:rsidR="00E430A3" w:rsidRPr="00261D8E">
              <w:rPr>
                <w:sz w:val="22"/>
                <w:szCs w:val="22"/>
              </w:rPr>
              <w:t xml:space="preserve"> for our presentation </w:t>
            </w:r>
            <w:r w:rsidRPr="00261D8E">
              <w:rPr>
                <w:sz w:val="22"/>
                <w:szCs w:val="22"/>
              </w:rPr>
              <w:t>in the last Sempra Utility GRC proceeding.</w:t>
            </w:r>
          </w:p>
          <w:p w:rsidR="009B3B16" w:rsidRPr="00261D8E" w:rsidRDefault="009B3B16" w:rsidP="00730A5E">
            <w:pPr>
              <w:keepNext/>
              <w:keepLines/>
              <w:spacing w:after="120"/>
              <w:rPr>
                <w:sz w:val="22"/>
                <w:szCs w:val="22"/>
              </w:rPr>
            </w:pPr>
          </w:p>
          <w:p w:rsidR="009B3B16" w:rsidRPr="00261D8E" w:rsidRDefault="009B3B16" w:rsidP="00730A5E">
            <w:pPr>
              <w:keepNext/>
              <w:keepLines/>
              <w:spacing w:after="120"/>
              <w:rPr>
                <w:sz w:val="22"/>
                <w:szCs w:val="22"/>
              </w:rPr>
            </w:pPr>
            <w:r w:rsidRPr="00261D8E">
              <w:rPr>
                <w:sz w:val="22"/>
                <w:szCs w:val="22"/>
              </w:rPr>
              <w:t xml:space="preserve">Given the size, length, and complexity of the issues examined, the issues presented and resolved, and the quality of UCAN’s presentation as evidenced by the substantial mark UCAN has had on the outcome, UCAN’s compensation request is </w:t>
            </w:r>
            <w:r w:rsidR="00D8683C">
              <w:rPr>
                <w:sz w:val="22"/>
                <w:szCs w:val="22"/>
              </w:rPr>
              <w:t>both reasonable and justified.</w:t>
            </w:r>
          </w:p>
          <w:p w:rsidR="009B3B16" w:rsidRPr="00261D8E" w:rsidRDefault="009B3B16" w:rsidP="00730A5E">
            <w:pPr>
              <w:keepNext/>
              <w:keepLines/>
              <w:spacing w:after="120"/>
              <w:rPr>
                <w:color w:val="000000"/>
                <w:sz w:val="22"/>
                <w:szCs w:val="22"/>
              </w:rPr>
            </w:pPr>
          </w:p>
          <w:p w:rsidR="009B3B16" w:rsidRPr="00261D8E" w:rsidRDefault="009B3B16" w:rsidP="00730A5E">
            <w:pPr>
              <w:keepNext/>
              <w:keepLines/>
              <w:rPr>
                <w:b/>
                <w:color w:val="000000"/>
                <w:sz w:val="22"/>
                <w:szCs w:val="22"/>
              </w:rPr>
            </w:pPr>
            <w:r w:rsidRPr="00261D8E">
              <w:rPr>
                <w:b/>
                <w:color w:val="000000"/>
                <w:sz w:val="22"/>
                <w:szCs w:val="22"/>
              </w:rPr>
              <w:t>Travel Expenses:</w:t>
            </w:r>
          </w:p>
          <w:p w:rsidR="009B3B16" w:rsidRPr="00261D8E" w:rsidRDefault="009B3B16" w:rsidP="00730A5E">
            <w:pPr>
              <w:keepNext/>
              <w:keepLines/>
              <w:spacing w:after="120"/>
              <w:rPr>
                <w:b/>
                <w:color w:val="000000"/>
                <w:sz w:val="22"/>
                <w:szCs w:val="22"/>
              </w:rPr>
            </w:pPr>
          </w:p>
          <w:p w:rsidR="00A92D0B" w:rsidRPr="00261D8E" w:rsidRDefault="009B3B16" w:rsidP="00730A5E">
            <w:pPr>
              <w:keepNext/>
              <w:keepLines/>
              <w:spacing w:after="120"/>
              <w:rPr>
                <w:b/>
                <w:color w:val="000000"/>
                <w:sz w:val="22"/>
                <w:szCs w:val="22"/>
              </w:rPr>
            </w:pPr>
            <w:r w:rsidRPr="00261D8E">
              <w:rPr>
                <w:color w:val="000000"/>
                <w:sz w:val="22"/>
                <w:szCs w:val="22"/>
              </w:rPr>
              <w:t xml:space="preserve">UCAN is claiming travel expenses from San Diego to the Bay Area to attend the Prehearing Conference, Evidentiary Hearings, Settlement Conference and the Oral Arguments.  As San Diego is more than 120 miles from San Francisco we ask that the air fares be reimbursed.  For some of the trips Mr. Kelly flew up for the hearing and flew back to San Diego the same day.  For the evidentiary hearings that lasted from May 22, 2015 through July 15 2015 Mr. Kelly stayed with </w:t>
            </w:r>
            <w:r w:rsidRPr="00261D8E">
              <w:rPr>
                <w:color w:val="000000"/>
                <w:sz w:val="22"/>
                <w:szCs w:val="22"/>
              </w:rPr>
              <w:lastRenderedPageBreak/>
              <w:t xml:space="preserve">relatives in Santa Clara.  While UCAN is not seeking lodging reimbursement, </w:t>
            </w:r>
            <w:r w:rsidR="00730A5E">
              <w:rPr>
                <w:color w:val="000000"/>
                <w:sz w:val="22"/>
                <w:szCs w:val="22"/>
              </w:rPr>
              <w:br/>
            </w:r>
            <w:r w:rsidRPr="00261D8E">
              <w:rPr>
                <w:color w:val="000000"/>
                <w:sz w:val="22"/>
                <w:szCs w:val="22"/>
              </w:rPr>
              <w:t xml:space="preserve">Mr. Kelly did have to rent a car to get from Santa Clara to San Francisco for the hearings.  UCAN is therefore seeking reimbursement for the car, gas and parking expenses that were incurred to avoid lodging expenses in San Francisco. </w:t>
            </w:r>
          </w:p>
        </w:tc>
        <w:tc>
          <w:tcPr>
            <w:tcW w:w="2250" w:type="dxa"/>
            <w:shd w:val="clear" w:color="auto" w:fill="auto"/>
          </w:tcPr>
          <w:p w:rsidR="00A92D0B" w:rsidRPr="00261D8E" w:rsidRDefault="00A92D0B" w:rsidP="00730A5E">
            <w:pPr>
              <w:keepNext/>
              <w:keepLines/>
              <w:pBdr>
                <w:bottom w:val="single" w:sz="12" w:space="1" w:color="auto"/>
              </w:pBdr>
              <w:spacing w:before="120"/>
              <w:jc w:val="center"/>
              <w:rPr>
                <w:b/>
                <w:color w:val="000000"/>
                <w:sz w:val="22"/>
                <w:szCs w:val="22"/>
              </w:rPr>
            </w:pPr>
            <w:r w:rsidRPr="00261D8E">
              <w:rPr>
                <w:b/>
                <w:color w:val="000000"/>
                <w:sz w:val="22"/>
                <w:szCs w:val="22"/>
              </w:rPr>
              <w:lastRenderedPageBreak/>
              <w:t xml:space="preserve">CPUC </w:t>
            </w:r>
            <w:r w:rsidR="00D075B1" w:rsidRPr="00261D8E">
              <w:rPr>
                <w:b/>
                <w:color w:val="000000"/>
                <w:sz w:val="22"/>
                <w:szCs w:val="22"/>
              </w:rPr>
              <w:t>Discussion</w:t>
            </w:r>
          </w:p>
          <w:p w:rsidR="00D075B1" w:rsidRPr="00261D8E" w:rsidRDefault="00261D8E" w:rsidP="00730A5E">
            <w:pPr>
              <w:keepNext/>
              <w:keepLines/>
              <w:spacing w:before="120"/>
              <w:rPr>
                <w:color w:val="000000"/>
                <w:sz w:val="22"/>
                <w:szCs w:val="22"/>
              </w:rPr>
            </w:pPr>
            <w:r>
              <w:rPr>
                <w:color w:val="000000"/>
                <w:sz w:val="22"/>
                <w:szCs w:val="22"/>
              </w:rPr>
              <w:t>Verified.</w:t>
            </w:r>
          </w:p>
        </w:tc>
      </w:tr>
      <w:tr w:rsidR="009B3B16" w:rsidRPr="00261D8E" w:rsidTr="00332D38">
        <w:tc>
          <w:tcPr>
            <w:tcW w:w="7488" w:type="dxa"/>
            <w:shd w:val="clear" w:color="auto" w:fill="FFFFFF"/>
          </w:tcPr>
          <w:p w:rsidR="009B3B16" w:rsidRPr="00261D8E" w:rsidRDefault="009B3B16" w:rsidP="00E501D7">
            <w:pPr>
              <w:spacing w:before="60"/>
              <w:rPr>
                <w:b/>
                <w:color w:val="000000"/>
                <w:sz w:val="22"/>
                <w:szCs w:val="22"/>
              </w:rPr>
            </w:pPr>
            <w:r w:rsidRPr="00261D8E">
              <w:rPr>
                <w:b/>
                <w:color w:val="000000"/>
                <w:sz w:val="22"/>
                <w:szCs w:val="22"/>
              </w:rPr>
              <w:lastRenderedPageBreak/>
              <w:t>b. Reasonableness of hours claimed:</w:t>
            </w:r>
          </w:p>
          <w:p w:rsidR="00AB4AF1" w:rsidRDefault="00AB4AF1" w:rsidP="009B3B16">
            <w:pPr>
              <w:rPr>
                <w:color w:val="000000"/>
                <w:sz w:val="22"/>
                <w:szCs w:val="22"/>
              </w:rPr>
            </w:pPr>
          </w:p>
          <w:p w:rsidR="009B3B16" w:rsidRPr="00261D8E" w:rsidRDefault="009B3B16" w:rsidP="009B3B16">
            <w:pPr>
              <w:rPr>
                <w:color w:val="000000"/>
                <w:sz w:val="22"/>
                <w:szCs w:val="22"/>
              </w:rPr>
            </w:pPr>
            <w:r w:rsidRPr="00261D8E">
              <w:rPr>
                <w:color w:val="000000"/>
                <w:sz w:val="22"/>
                <w:szCs w:val="22"/>
              </w:rPr>
              <w:t>In this proceeding UCAN is seeking reimbursement for 920 hours (excluding travel and compensation claim preparation).  These hours include attorney time</w:t>
            </w:r>
            <w:r w:rsidR="00D8683C">
              <w:rPr>
                <w:color w:val="000000"/>
                <w:sz w:val="22"/>
                <w:szCs w:val="22"/>
              </w:rPr>
              <w:br/>
            </w:r>
            <w:r w:rsidRPr="00261D8E">
              <w:rPr>
                <w:color w:val="000000"/>
                <w:sz w:val="22"/>
                <w:szCs w:val="22"/>
              </w:rPr>
              <w:t xml:space="preserve">to review the filings, hire experts, review testimony, coordinate the proceeding with other intervenors, attend hearings that started on June 22, 2015 and that ended almost 1 month later on July 15, 2015, negotiate settlement issues, file briefs and/or comments and attend oral arguments.  The hours claimed also were used by UCAN’s experts who reviewed the thousands of pages of testimony and </w:t>
            </w:r>
            <w:proofErr w:type="spellStart"/>
            <w:r w:rsidRPr="00261D8E">
              <w:rPr>
                <w:color w:val="000000"/>
                <w:sz w:val="22"/>
                <w:szCs w:val="22"/>
              </w:rPr>
              <w:t>workpapers</w:t>
            </w:r>
            <w:proofErr w:type="spellEnd"/>
            <w:r w:rsidRPr="00261D8E">
              <w:rPr>
                <w:color w:val="000000"/>
                <w:sz w:val="22"/>
                <w:szCs w:val="22"/>
              </w:rPr>
              <w:t>, who produced prepared direct testimony covering multiple issues and who supported UCAN in hearings and settlement discussions.  Given the complexity of the issues presented and the volume of material to review, the amount of hours sought by UCAN and each of our representatives for our presentation in this proceeding are reasonable.</w:t>
            </w:r>
          </w:p>
          <w:p w:rsidR="009B3B16" w:rsidRPr="00261D8E" w:rsidRDefault="009B3B16" w:rsidP="009B3B16">
            <w:pPr>
              <w:rPr>
                <w:color w:val="000000"/>
                <w:sz w:val="22"/>
                <w:szCs w:val="22"/>
              </w:rPr>
            </w:pPr>
          </w:p>
          <w:p w:rsidR="009B3B16" w:rsidRPr="00261D8E" w:rsidRDefault="009B3B16" w:rsidP="009B3B16">
            <w:pPr>
              <w:rPr>
                <w:color w:val="000000"/>
                <w:sz w:val="22"/>
                <w:szCs w:val="22"/>
              </w:rPr>
            </w:pPr>
            <w:r w:rsidRPr="00261D8E">
              <w:rPr>
                <w:color w:val="000000"/>
                <w:sz w:val="22"/>
                <w:szCs w:val="22"/>
              </w:rPr>
              <w:t>UCAN Advocates:</w:t>
            </w:r>
          </w:p>
          <w:p w:rsidR="009B3B16" w:rsidRPr="00261D8E" w:rsidRDefault="009B3B16" w:rsidP="009B3B16">
            <w:pPr>
              <w:rPr>
                <w:color w:val="000000"/>
                <w:sz w:val="22"/>
                <w:szCs w:val="22"/>
              </w:rPr>
            </w:pPr>
          </w:p>
          <w:p w:rsidR="009B3B16" w:rsidRPr="00261D8E" w:rsidRDefault="009B3B16" w:rsidP="00730A5E">
            <w:pPr>
              <w:numPr>
                <w:ilvl w:val="0"/>
                <w:numId w:val="12"/>
              </w:numPr>
              <w:spacing w:before="120" w:after="120"/>
              <w:rPr>
                <w:color w:val="000000"/>
                <w:sz w:val="22"/>
                <w:szCs w:val="22"/>
              </w:rPr>
            </w:pPr>
            <w:r w:rsidRPr="00261D8E">
              <w:rPr>
                <w:color w:val="000000"/>
                <w:sz w:val="22"/>
                <w:szCs w:val="22"/>
              </w:rPr>
              <w:t xml:space="preserve">Donald Kelly was UCAN’s attorney throughout this proceeding.  </w:t>
            </w:r>
            <w:r w:rsidR="00AB4AF1">
              <w:rPr>
                <w:color w:val="000000"/>
                <w:sz w:val="22"/>
                <w:szCs w:val="22"/>
              </w:rPr>
              <w:br/>
            </w:r>
            <w:r w:rsidRPr="00261D8E">
              <w:rPr>
                <w:color w:val="000000"/>
                <w:sz w:val="22"/>
                <w:szCs w:val="22"/>
              </w:rPr>
              <w:t xml:space="preserve">Mr. Kelly reviewed the filings and testimony, consulted and hired experts, served data requests, attended conferences and evidentiary hearings and was responsible for UCAN’s overall presentation. </w:t>
            </w:r>
          </w:p>
          <w:p w:rsidR="009B3B16" w:rsidRPr="00261D8E" w:rsidRDefault="009B3B16" w:rsidP="00730A5E">
            <w:pPr>
              <w:numPr>
                <w:ilvl w:val="0"/>
                <w:numId w:val="12"/>
              </w:numPr>
              <w:spacing w:before="120" w:after="120"/>
              <w:rPr>
                <w:color w:val="000000"/>
                <w:sz w:val="22"/>
                <w:szCs w:val="22"/>
              </w:rPr>
            </w:pPr>
            <w:r w:rsidRPr="00261D8E">
              <w:rPr>
                <w:color w:val="000000"/>
                <w:sz w:val="22"/>
                <w:szCs w:val="22"/>
              </w:rPr>
              <w:t xml:space="preserve">Jane </w:t>
            </w:r>
            <w:proofErr w:type="spellStart"/>
            <w:r w:rsidRPr="00261D8E">
              <w:rPr>
                <w:color w:val="000000"/>
                <w:sz w:val="22"/>
                <w:szCs w:val="22"/>
              </w:rPr>
              <w:t>Krikorian</w:t>
            </w:r>
            <w:proofErr w:type="spellEnd"/>
            <w:r w:rsidRPr="00261D8E">
              <w:rPr>
                <w:color w:val="000000"/>
                <w:sz w:val="22"/>
                <w:szCs w:val="22"/>
              </w:rPr>
              <w:t xml:space="preserve"> – served as a UCAN advocate. Ms. </w:t>
            </w:r>
            <w:proofErr w:type="spellStart"/>
            <w:r w:rsidRPr="00261D8E">
              <w:rPr>
                <w:color w:val="000000"/>
                <w:sz w:val="22"/>
                <w:szCs w:val="22"/>
              </w:rPr>
              <w:t>Krikorian</w:t>
            </w:r>
            <w:proofErr w:type="spellEnd"/>
            <w:r w:rsidRPr="00261D8E">
              <w:rPr>
                <w:color w:val="000000"/>
                <w:sz w:val="22"/>
                <w:szCs w:val="22"/>
              </w:rPr>
              <w:t xml:space="preserve"> spent </w:t>
            </w:r>
            <w:r w:rsidR="00D8683C">
              <w:rPr>
                <w:color w:val="000000"/>
                <w:sz w:val="22"/>
                <w:szCs w:val="22"/>
              </w:rPr>
              <w:br/>
            </w:r>
            <w:r w:rsidRPr="00261D8E">
              <w:rPr>
                <w:color w:val="000000"/>
                <w:sz w:val="22"/>
                <w:szCs w:val="22"/>
              </w:rPr>
              <w:t>1.75 hours helping with general preparation and took notes for conference calls with UCAN experts</w:t>
            </w:r>
          </w:p>
          <w:p w:rsidR="009B3B16" w:rsidRPr="00261D8E" w:rsidRDefault="009B3B16" w:rsidP="009B3B16">
            <w:pPr>
              <w:rPr>
                <w:color w:val="000000"/>
                <w:sz w:val="22"/>
                <w:szCs w:val="22"/>
              </w:rPr>
            </w:pPr>
          </w:p>
          <w:p w:rsidR="009B3B16" w:rsidRPr="00261D8E" w:rsidRDefault="009B3B16" w:rsidP="009B3B16">
            <w:pPr>
              <w:rPr>
                <w:color w:val="000000"/>
                <w:sz w:val="22"/>
                <w:szCs w:val="22"/>
              </w:rPr>
            </w:pPr>
            <w:r w:rsidRPr="00261D8E">
              <w:rPr>
                <w:color w:val="000000"/>
                <w:sz w:val="22"/>
                <w:szCs w:val="22"/>
              </w:rPr>
              <w:t>UCAN Experts</w:t>
            </w:r>
          </w:p>
          <w:p w:rsidR="009B3B16" w:rsidRPr="00261D8E" w:rsidRDefault="009B3B16" w:rsidP="009B3B16">
            <w:pPr>
              <w:rPr>
                <w:color w:val="000000"/>
                <w:sz w:val="22"/>
                <w:szCs w:val="22"/>
              </w:rPr>
            </w:pPr>
          </w:p>
          <w:p w:rsidR="009B3B16" w:rsidRPr="00261D8E" w:rsidRDefault="009B3B16" w:rsidP="00730A5E">
            <w:pPr>
              <w:numPr>
                <w:ilvl w:val="0"/>
                <w:numId w:val="12"/>
              </w:numPr>
              <w:spacing w:before="120" w:after="120"/>
              <w:rPr>
                <w:sz w:val="22"/>
                <w:szCs w:val="22"/>
              </w:rPr>
            </w:pPr>
            <w:r w:rsidRPr="00261D8E">
              <w:rPr>
                <w:color w:val="000000"/>
                <w:sz w:val="22"/>
                <w:szCs w:val="22"/>
              </w:rPr>
              <w:t xml:space="preserve">Robert </w:t>
            </w:r>
            <w:proofErr w:type="spellStart"/>
            <w:r w:rsidRPr="00261D8E">
              <w:rPr>
                <w:color w:val="000000"/>
                <w:sz w:val="22"/>
                <w:szCs w:val="22"/>
              </w:rPr>
              <w:t>Sulpizio</w:t>
            </w:r>
            <w:proofErr w:type="spellEnd"/>
            <w:r w:rsidRPr="00261D8E">
              <w:rPr>
                <w:color w:val="000000"/>
                <w:sz w:val="22"/>
                <w:szCs w:val="22"/>
              </w:rPr>
              <w:t xml:space="preserve"> – reviewed the insurance issues for both SDG&amp;E and </w:t>
            </w:r>
            <w:proofErr w:type="spellStart"/>
            <w:r w:rsidRPr="00261D8E">
              <w:rPr>
                <w:color w:val="000000"/>
                <w:sz w:val="22"/>
                <w:szCs w:val="22"/>
              </w:rPr>
              <w:t>SoCalGas</w:t>
            </w:r>
            <w:proofErr w:type="spellEnd"/>
            <w:r w:rsidRPr="00261D8E">
              <w:rPr>
                <w:color w:val="000000"/>
                <w:sz w:val="22"/>
                <w:szCs w:val="22"/>
              </w:rPr>
              <w:t>, proposed data requests, participated in conference calls with Sempra Utility witnesses, prepared UCAN’s insurance testimony and helped prepare UCAN’s counsel for cross examination on insurance issues.</w:t>
            </w:r>
          </w:p>
          <w:p w:rsidR="009B3B16" w:rsidRPr="00261D8E" w:rsidRDefault="009B3B16" w:rsidP="00730A5E">
            <w:pPr>
              <w:numPr>
                <w:ilvl w:val="0"/>
                <w:numId w:val="7"/>
              </w:numPr>
              <w:spacing w:before="120" w:after="120"/>
              <w:rPr>
                <w:sz w:val="22"/>
                <w:szCs w:val="22"/>
              </w:rPr>
            </w:pPr>
            <w:r w:rsidRPr="00261D8E">
              <w:rPr>
                <w:sz w:val="22"/>
                <w:szCs w:val="22"/>
              </w:rPr>
              <w:t xml:space="preserve">Briana </w:t>
            </w:r>
            <w:proofErr w:type="spellStart"/>
            <w:r w:rsidRPr="00261D8E">
              <w:rPr>
                <w:sz w:val="22"/>
                <w:szCs w:val="22"/>
              </w:rPr>
              <w:t>Kobor</w:t>
            </w:r>
            <w:proofErr w:type="spellEnd"/>
            <w:r w:rsidRPr="00261D8E">
              <w:rPr>
                <w:sz w:val="22"/>
                <w:szCs w:val="22"/>
              </w:rPr>
              <w:t xml:space="preserve"> - Served as the witness, led analysis and testimony development, and developed cross examination questions on the SDG&amp;E and SoCal Gas customer forecasts and their New Business revenue requirements. </w:t>
            </w:r>
            <w:r w:rsidR="00D8683C">
              <w:rPr>
                <w:sz w:val="22"/>
                <w:szCs w:val="22"/>
              </w:rPr>
              <w:t xml:space="preserve"> </w:t>
            </w:r>
            <w:r w:rsidRPr="00261D8E">
              <w:rPr>
                <w:sz w:val="22"/>
                <w:szCs w:val="22"/>
              </w:rPr>
              <w:t>She additionally contributed substantially to analysis and testimony development on risk shifting and customer care issues.</w:t>
            </w:r>
          </w:p>
          <w:p w:rsidR="009B3B16" w:rsidRPr="00261D8E" w:rsidRDefault="009B3B16" w:rsidP="00730A5E">
            <w:pPr>
              <w:numPr>
                <w:ilvl w:val="0"/>
                <w:numId w:val="7"/>
              </w:numPr>
              <w:spacing w:before="120" w:after="120"/>
              <w:rPr>
                <w:sz w:val="22"/>
                <w:szCs w:val="22"/>
              </w:rPr>
            </w:pPr>
            <w:r w:rsidRPr="00261D8E">
              <w:rPr>
                <w:sz w:val="22"/>
                <w:szCs w:val="22"/>
              </w:rPr>
              <w:t xml:space="preserve">Laura </w:t>
            </w:r>
            <w:proofErr w:type="spellStart"/>
            <w:r w:rsidRPr="00261D8E">
              <w:rPr>
                <w:sz w:val="22"/>
                <w:szCs w:val="22"/>
              </w:rPr>
              <w:t>Norin</w:t>
            </w:r>
            <w:proofErr w:type="spellEnd"/>
            <w:r w:rsidRPr="00261D8E">
              <w:rPr>
                <w:sz w:val="22"/>
                <w:szCs w:val="22"/>
              </w:rPr>
              <w:t xml:space="preserve"> - Served as overall MRW project manager and primary contact with UCAN; served as witness, led analysis and testimony development, and drafted cross examination question on the post-test year proposal; led analysis and testimony development and developed cross examination questions on risk shifting and customer care issues; scoped </w:t>
            </w:r>
            <w:r w:rsidRPr="00261D8E">
              <w:rPr>
                <w:sz w:val="22"/>
                <w:szCs w:val="22"/>
              </w:rPr>
              <w:lastRenderedPageBreak/>
              <w:t>SDG&amp;E’s NOI to identify potential issues for testimony; coordinated with UCAN and other parties to refine UCAN testimony issues and approach; coordinated with MRW staff and oversaw their work; led MRW discovery efforts and overall testimony development and review; and assisted UCAN throughout settlement process and with briefs and other filings. </w:t>
            </w:r>
          </w:p>
          <w:p w:rsidR="009B3B16" w:rsidRPr="00261D8E" w:rsidRDefault="009B3B16" w:rsidP="00730A5E">
            <w:pPr>
              <w:numPr>
                <w:ilvl w:val="0"/>
                <w:numId w:val="7"/>
              </w:numPr>
              <w:spacing w:before="120" w:after="120"/>
              <w:rPr>
                <w:sz w:val="22"/>
                <w:szCs w:val="22"/>
              </w:rPr>
            </w:pPr>
            <w:r w:rsidRPr="00261D8E">
              <w:rPr>
                <w:sz w:val="22"/>
                <w:szCs w:val="22"/>
              </w:rPr>
              <w:t>Mark Fulmer - Served as the witness on risk-shifting proposals and customer care issues, edited the complete testimony, assisted in refining testimony and cross-examination issues, and assisted in coordination with TURN and their experts at JBS.</w:t>
            </w:r>
          </w:p>
          <w:p w:rsidR="009B3B16" w:rsidRPr="00261D8E" w:rsidRDefault="009B3B16" w:rsidP="00730A5E">
            <w:pPr>
              <w:numPr>
                <w:ilvl w:val="0"/>
                <w:numId w:val="7"/>
              </w:numPr>
              <w:spacing w:before="120" w:after="120"/>
              <w:rPr>
                <w:sz w:val="22"/>
                <w:szCs w:val="22"/>
              </w:rPr>
            </w:pPr>
            <w:r w:rsidRPr="00261D8E">
              <w:rPr>
                <w:sz w:val="22"/>
                <w:szCs w:val="22"/>
              </w:rPr>
              <w:t xml:space="preserve">Ken </w:t>
            </w:r>
            <w:proofErr w:type="spellStart"/>
            <w:r w:rsidRPr="00261D8E">
              <w:rPr>
                <w:sz w:val="22"/>
                <w:szCs w:val="22"/>
              </w:rPr>
              <w:t>Sosnick</w:t>
            </w:r>
            <w:proofErr w:type="spellEnd"/>
            <w:r w:rsidRPr="00261D8E">
              <w:rPr>
                <w:sz w:val="22"/>
                <w:szCs w:val="22"/>
              </w:rPr>
              <w:t xml:space="preserve"> - Scoped SDG&amp;E’s NOI to identify potential issues for testimony and participated in initial strategy discussions.</w:t>
            </w:r>
          </w:p>
          <w:p w:rsidR="009B3B16" w:rsidRPr="00261D8E" w:rsidRDefault="009B3B16" w:rsidP="00730A5E">
            <w:pPr>
              <w:numPr>
                <w:ilvl w:val="0"/>
                <w:numId w:val="7"/>
              </w:numPr>
              <w:spacing w:before="120" w:after="120"/>
              <w:rPr>
                <w:sz w:val="22"/>
                <w:szCs w:val="22"/>
              </w:rPr>
            </w:pPr>
            <w:r w:rsidRPr="00261D8E">
              <w:rPr>
                <w:sz w:val="22"/>
                <w:szCs w:val="22"/>
              </w:rPr>
              <w:t>Heather Mehta - Evaluated and refined the initial assessment of potential issues for testimony and drafted protest filing.</w:t>
            </w:r>
          </w:p>
          <w:p w:rsidR="009B3B16" w:rsidRPr="00261D8E" w:rsidRDefault="009B3B16" w:rsidP="00730A5E">
            <w:pPr>
              <w:numPr>
                <w:ilvl w:val="0"/>
                <w:numId w:val="7"/>
              </w:numPr>
              <w:spacing w:before="120" w:after="120"/>
              <w:rPr>
                <w:color w:val="000000"/>
                <w:sz w:val="22"/>
                <w:szCs w:val="22"/>
              </w:rPr>
            </w:pPr>
            <w:proofErr w:type="spellStart"/>
            <w:r w:rsidRPr="00261D8E">
              <w:rPr>
                <w:sz w:val="22"/>
                <w:szCs w:val="22"/>
              </w:rPr>
              <w:t>Naina</w:t>
            </w:r>
            <w:proofErr w:type="spellEnd"/>
            <w:r w:rsidRPr="00261D8E">
              <w:rPr>
                <w:sz w:val="22"/>
                <w:szCs w:val="22"/>
              </w:rPr>
              <w:t xml:space="preserve"> Gupta - Developed initial analysis and testimony drafts on customer care issues, summarized discovery responses, cite-checked testimony, compiled attachments, and prepared witness books for hearings.</w:t>
            </w:r>
          </w:p>
          <w:p w:rsidR="009B3B16" w:rsidRPr="00261D8E" w:rsidRDefault="009B3B16" w:rsidP="009B3B16">
            <w:pPr>
              <w:rPr>
                <w:color w:val="000000"/>
                <w:sz w:val="22"/>
                <w:szCs w:val="22"/>
              </w:rPr>
            </w:pPr>
            <w:r w:rsidRPr="00261D8E">
              <w:rPr>
                <w:color w:val="000000"/>
                <w:sz w:val="22"/>
                <w:szCs w:val="22"/>
              </w:rPr>
              <w:t xml:space="preserve">UCAN asks that the hours spent to prepare testimony on insurance, new business capital (Customer forecasts), Post Test Year ratemaking, opposition to Utility proposals to shift risk from shareholders to ratepayers, and customer care issues be deemed reasonable. </w:t>
            </w:r>
          </w:p>
          <w:p w:rsidR="009B3B16" w:rsidRPr="00261D8E" w:rsidRDefault="009B3B16" w:rsidP="009B3B16">
            <w:pPr>
              <w:rPr>
                <w:color w:val="000000"/>
                <w:sz w:val="22"/>
                <w:szCs w:val="22"/>
              </w:rPr>
            </w:pPr>
          </w:p>
          <w:p w:rsidR="009B3B16" w:rsidRPr="00261D8E" w:rsidRDefault="009B3B16" w:rsidP="009B3B16">
            <w:pPr>
              <w:rPr>
                <w:b/>
                <w:color w:val="000000"/>
                <w:sz w:val="22"/>
                <w:szCs w:val="22"/>
              </w:rPr>
            </w:pPr>
            <w:r w:rsidRPr="00261D8E">
              <w:rPr>
                <w:b/>
                <w:color w:val="000000"/>
                <w:sz w:val="22"/>
                <w:szCs w:val="22"/>
              </w:rPr>
              <w:t>NOI and Intervenor Compensation Claim Preparation Time:</w:t>
            </w:r>
          </w:p>
          <w:p w:rsidR="009B3B16" w:rsidRPr="00261D8E" w:rsidRDefault="009B3B16" w:rsidP="009B3B16">
            <w:pPr>
              <w:rPr>
                <w:color w:val="000000"/>
                <w:sz w:val="22"/>
                <w:szCs w:val="22"/>
              </w:rPr>
            </w:pPr>
          </w:p>
          <w:p w:rsidR="00E430A3" w:rsidRPr="00261D8E" w:rsidRDefault="009B3B16" w:rsidP="009B3B16">
            <w:pPr>
              <w:rPr>
                <w:color w:val="000000"/>
                <w:sz w:val="22"/>
                <w:szCs w:val="22"/>
              </w:rPr>
            </w:pPr>
            <w:r w:rsidRPr="00261D8E">
              <w:rPr>
                <w:color w:val="000000"/>
                <w:sz w:val="22"/>
                <w:szCs w:val="22"/>
              </w:rPr>
              <w:t xml:space="preserve">UCAN is asking that the Commission reimburse UCAN for </w:t>
            </w:r>
            <w:r w:rsidR="00E430A3" w:rsidRPr="00261D8E">
              <w:rPr>
                <w:color w:val="000000"/>
                <w:sz w:val="22"/>
                <w:szCs w:val="22"/>
              </w:rPr>
              <w:t>29.5</w:t>
            </w:r>
            <w:r w:rsidRPr="00261D8E">
              <w:rPr>
                <w:color w:val="000000"/>
                <w:sz w:val="22"/>
                <w:szCs w:val="22"/>
              </w:rPr>
              <w:t xml:space="preserve"> hours for the preparation of UCAN’s NOI and intervenor compensation claim.  This time represents </w:t>
            </w:r>
            <w:r w:rsidR="00E430A3" w:rsidRPr="00261D8E">
              <w:rPr>
                <w:color w:val="000000"/>
                <w:sz w:val="22"/>
                <w:szCs w:val="22"/>
              </w:rPr>
              <w:t>17.75</w:t>
            </w:r>
            <w:r w:rsidRPr="00261D8E">
              <w:rPr>
                <w:color w:val="000000"/>
                <w:sz w:val="22"/>
                <w:szCs w:val="22"/>
              </w:rPr>
              <w:t xml:space="preserve"> hours for UCAN’s attorney Don Kelly and </w:t>
            </w:r>
            <w:r w:rsidR="00E430A3" w:rsidRPr="00261D8E">
              <w:rPr>
                <w:color w:val="000000"/>
                <w:sz w:val="22"/>
                <w:szCs w:val="22"/>
              </w:rPr>
              <w:t>11.75 hours</w:t>
            </w:r>
            <w:r w:rsidRPr="00261D8E">
              <w:rPr>
                <w:color w:val="000000"/>
                <w:sz w:val="22"/>
                <w:szCs w:val="22"/>
              </w:rPr>
              <w:t xml:space="preserve"> for UCAN’s expert Laura </w:t>
            </w:r>
            <w:proofErr w:type="spellStart"/>
            <w:r w:rsidRPr="00261D8E">
              <w:rPr>
                <w:color w:val="000000"/>
                <w:sz w:val="22"/>
                <w:szCs w:val="22"/>
              </w:rPr>
              <w:t>Norin</w:t>
            </w:r>
            <w:proofErr w:type="spellEnd"/>
            <w:r w:rsidRPr="00261D8E">
              <w:rPr>
                <w:color w:val="000000"/>
                <w:sz w:val="22"/>
                <w:szCs w:val="22"/>
              </w:rPr>
              <w:t xml:space="preserve">. </w:t>
            </w:r>
            <w:r w:rsidR="00E430A3" w:rsidRPr="00261D8E">
              <w:rPr>
                <w:color w:val="000000"/>
                <w:sz w:val="22"/>
                <w:szCs w:val="22"/>
              </w:rPr>
              <w:t xml:space="preserve">UCAN utilized Ms. </w:t>
            </w:r>
            <w:proofErr w:type="spellStart"/>
            <w:r w:rsidR="00E430A3" w:rsidRPr="00261D8E">
              <w:rPr>
                <w:color w:val="000000"/>
                <w:sz w:val="22"/>
                <w:szCs w:val="22"/>
              </w:rPr>
              <w:t>Norin</w:t>
            </w:r>
            <w:proofErr w:type="spellEnd"/>
            <w:r w:rsidR="00E430A3" w:rsidRPr="00261D8E">
              <w:rPr>
                <w:color w:val="000000"/>
                <w:sz w:val="22"/>
                <w:szCs w:val="22"/>
              </w:rPr>
              <w:t xml:space="preserve"> for the claim preparation as she had a good grasp of the issues presented in testimony, and was the lead expert for this proceeding at MRW and Associates.  Given that her billing rate is less than that of Mr. Kelly, having Ms. </w:t>
            </w:r>
            <w:proofErr w:type="spellStart"/>
            <w:r w:rsidR="00E430A3" w:rsidRPr="00261D8E">
              <w:rPr>
                <w:color w:val="000000"/>
                <w:sz w:val="22"/>
                <w:szCs w:val="22"/>
              </w:rPr>
              <w:t>Norin’s</w:t>
            </w:r>
            <w:proofErr w:type="spellEnd"/>
            <w:r w:rsidR="00E430A3" w:rsidRPr="00261D8E">
              <w:rPr>
                <w:color w:val="000000"/>
                <w:sz w:val="22"/>
                <w:szCs w:val="22"/>
              </w:rPr>
              <w:t xml:space="preserve"> help also reduced the overall costs for preparing this intervenor compensation claim.  UCAN believes that the total </w:t>
            </w:r>
            <w:r w:rsidRPr="00261D8E">
              <w:rPr>
                <w:color w:val="000000"/>
                <w:sz w:val="22"/>
                <w:szCs w:val="22"/>
              </w:rPr>
              <w:t xml:space="preserve">time </w:t>
            </w:r>
            <w:r w:rsidR="00E430A3" w:rsidRPr="00261D8E">
              <w:rPr>
                <w:color w:val="000000"/>
                <w:sz w:val="22"/>
                <w:szCs w:val="22"/>
              </w:rPr>
              <w:t xml:space="preserve">recorded to prepare this compensation claim </w:t>
            </w:r>
            <w:r w:rsidRPr="00261D8E">
              <w:rPr>
                <w:color w:val="000000"/>
                <w:sz w:val="22"/>
                <w:szCs w:val="22"/>
              </w:rPr>
              <w:t>is reasonable for the work re</w:t>
            </w:r>
            <w:r w:rsidR="00E430A3" w:rsidRPr="00261D8E">
              <w:rPr>
                <w:color w:val="000000"/>
                <w:sz w:val="22"/>
                <w:szCs w:val="22"/>
              </w:rPr>
              <w:t>quired to produce it.</w:t>
            </w:r>
            <w:r w:rsidRPr="00261D8E">
              <w:rPr>
                <w:color w:val="000000"/>
                <w:sz w:val="22"/>
                <w:szCs w:val="22"/>
              </w:rPr>
              <w:t xml:space="preserve"> </w:t>
            </w:r>
            <w:r w:rsidR="00E430A3" w:rsidRPr="00261D8E">
              <w:rPr>
                <w:color w:val="000000"/>
                <w:sz w:val="22"/>
                <w:szCs w:val="22"/>
              </w:rPr>
              <w:t>In preparing the compensation claim UCAN had to review several documents, including party testimony, settlement agreements, ALJ rulings, the Commission decision and party comments.  While review of these documents is necessary for every compensation claim, given the volume of the GRC material necessary for review here, 29.5 hours for claim preparation is reasonable.</w:t>
            </w:r>
          </w:p>
          <w:p w:rsidR="00E430A3" w:rsidRPr="00261D8E" w:rsidRDefault="00E430A3" w:rsidP="009B3B16">
            <w:pPr>
              <w:rPr>
                <w:color w:val="000000"/>
                <w:sz w:val="22"/>
                <w:szCs w:val="22"/>
              </w:rPr>
            </w:pPr>
          </w:p>
          <w:p w:rsidR="009B3B16" w:rsidRPr="00261D8E" w:rsidRDefault="009B3B16" w:rsidP="00AB4AF1">
            <w:pPr>
              <w:spacing w:after="60"/>
              <w:rPr>
                <w:color w:val="000000"/>
                <w:sz w:val="22"/>
                <w:szCs w:val="22"/>
              </w:rPr>
            </w:pPr>
            <w:r w:rsidRPr="00261D8E">
              <w:rPr>
                <w:color w:val="000000"/>
                <w:sz w:val="22"/>
                <w:szCs w:val="22"/>
              </w:rPr>
              <w:t xml:space="preserve">UCAN is not billing any hours for staff time to help prepare the documents for submission other than the hours claimed for Mr. Kelly and Ms. </w:t>
            </w:r>
            <w:proofErr w:type="spellStart"/>
            <w:r w:rsidRPr="00261D8E">
              <w:rPr>
                <w:color w:val="000000"/>
                <w:sz w:val="22"/>
                <w:szCs w:val="22"/>
              </w:rPr>
              <w:t>Norin</w:t>
            </w:r>
            <w:proofErr w:type="spellEnd"/>
            <w:r w:rsidRPr="00261D8E">
              <w:rPr>
                <w:color w:val="000000"/>
                <w:sz w:val="22"/>
                <w:szCs w:val="22"/>
              </w:rPr>
              <w:t>.</w:t>
            </w:r>
            <w:r w:rsidR="00E430A3" w:rsidRPr="00261D8E">
              <w:rPr>
                <w:color w:val="000000"/>
                <w:sz w:val="22"/>
                <w:szCs w:val="22"/>
              </w:rPr>
              <w:t xml:space="preserve">  </w:t>
            </w:r>
          </w:p>
        </w:tc>
        <w:tc>
          <w:tcPr>
            <w:tcW w:w="2250" w:type="dxa"/>
            <w:shd w:val="clear" w:color="auto" w:fill="auto"/>
          </w:tcPr>
          <w:p w:rsidR="009B3B16" w:rsidRPr="00261D8E" w:rsidRDefault="00261D8E" w:rsidP="00E501D7">
            <w:pPr>
              <w:spacing w:before="60"/>
            </w:pPr>
            <w:r>
              <w:rPr>
                <w:color w:val="000000"/>
                <w:sz w:val="22"/>
                <w:szCs w:val="22"/>
              </w:rPr>
              <w:lastRenderedPageBreak/>
              <w:t xml:space="preserve">Verified, </w:t>
            </w:r>
            <w:r>
              <w:rPr>
                <w:i/>
                <w:color w:val="000000"/>
                <w:sz w:val="22"/>
                <w:szCs w:val="22"/>
              </w:rPr>
              <w:t>but see</w:t>
            </w:r>
            <w:r>
              <w:t xml:space="preserve"> CPUC Disallowances and Adjustments, below.</w:t>
            </w:r>
          </w:p>
        </w:tc>
      </w:tr>
      <w:tr w:rsidR="00A92D0B" w:rsidRPr="00261D8E" w:rsidTr="00332D38">
        <w:tc>
          <w:tcPr>
            <w:tcW w:w="7488" w:type="dxa"/>
            <w:shd w:val="clear" w:color="auto" w:fill="FFFFFF"/>
          </w:tcPr>
          <w:p w:rsidR="00A92D0B" w:rsidRPr="00261D8E" w:rsidRDefault="00A92D0B" w:rsidP="00730A5E">
            <w:pPr>
              <w:spacing w:before="60"/>
              <w:rPr>
                <w:b/>
                <w:color w:val="000000"/>
                <w:sz w:val="22"/>
                <w:szCs w:val="22"/>
              </w:rPr>
            </w:pPr>
            <w:r w:rsidRPr="00261D8E">
              <w:rPr>
                <w:b/>
                <w:color w:val="000000"/>
                <w:sz w:val="22"/>
                <w:szCs w:val="22"/>
              </w:rPr>
              <w:lastRenderedPageBreak/>
              <w:t xml:space="preserve">c. Allocation of </w:t>
            </w:r>
            <w:r w:rsidR="00A319DE" w:rsidRPr="00261D8E">
              <w:rPr>
                <w:b/>
                <w:color w:val="000000"/>
                <w:sz w:val="22"/>
                <w:szCs w:val="22"/>
              </w:rPr>
              <w:t>h</w:t>
            </w:r>
            <w:r w:rsidRPr="00261D8E">
              <w:rPr>
                <w:b/>
                <w:color w:val="000000"/>
                <w:sz w:val="22"/>
                <w:szCs w:val="22"/>
              </w:rPr>
              <w:t xml:space="preserve">ours by </w:t>
            </w:r>
            <w:r w:rsidR="00A319DE" w:rsidRPr="00261D8E">
              <w:rPr>
                <w:b/>
                <w:color w:val="000000"/>
                <w:sz w:val="22"/>
                <w:szCs w:val="22"/>
              </w:rPr>
              <w:t>i</w:t>
            </w:r>
            <w:r w:rsidRPr="00261D8E">
              <w:rPr>
                <w:b/>
                <w:color w:val="000000"/>
                <w:sz w:val="22"/>
                <w:szCs w:val="22"/>
              </w:rPr>
              <w:t>ssue</w:t>
            </w:r>
            <w:r w:rsidR="00A319DE" w:rsidRPr="00261D8E">
              <w:rPr>
                <w:b/>
                <w:color w:val="000000"/>
                <w:sz w:val="22"/>
                <w:szCs w:val="22"/>
              </w:rPr>
              <w:t>:</w:t>
            </w:r>
          </w:p>
          <w:p w:rsidR="00E501D7" w:rsidRDefault="00E501D7" w:rsidP="00376899">
            <w:pPr>
              <w:rPr>
                <w:color w:val="000000"/>
                <w:sz w:val="22"/>
                <w:szCs w:val="22"/>
              </w:rPr>
            </w:pPr>
          </w:p>
          <w:p w:rsidR="00376899" w:rsidRPr="00261D8E" w:rsidRDefault="00487580" w:rsidP="00376899">
            <w:pPr>
              <w:rPr>
                <w:color w:val="000000"/>
                <w:sz w:val="22"/>
                <w:szCs w:val="22"/>
              </w:rPr>
            </w:pPr>
            <w:r w:rsidRPr="00261D8E">
              <w:rPr>
                <w:color w:val="000000"/>
                <w:sz w:val="22"/>
                <w:szCs w:val="22"/>
              </w:rPr>
              <w:t>Based on the entries in UCAN’s a</w:t>
            </w:r>
            <w:r w:rsidR="00376899" w:rsidRPr="00261D8E">
              <w:rPr>
                <w:color w:val="000000"/>
                <w:sz w:val="22"/>
                <w:szCs w:val="22"/>
              </w:rPr>
              <w:t>ttached timesheets, below is a breakdown of the hours we spent in this proceeding by the following issues and events:</w:t>
            </w:r>
          </w:p>
          <w:p w:rsidR="00376899" w:rsidRPr="00261D8E" w:rsidRDefault="00E501D7" w:rsidP="00E501D7">
            <w:pPr>
              <w:spacing w:before="60" w:after="60"/>
              <w:rPr>
                <w:sz w:val="22"/>
                <w:szCs w:val="22"/>
              </w:rPr>
            </w:pPr>
            <w:r>
              <w:rPr>
                <w:sz w:val="22"/>
                <w:szCs w:val="22"/>
              </w:rPr>
              <w:lastRenderedPageBreak/>
              <w:t xml:space="preserve">     Hours    </w:t>
            </w:r>
            <w:r w:rsidR="00376899" w:rsidRPr="00261D8E">
              <w:rPr>
                <w:sz w:val="22"/>
                <w:szCs w:val="22"/>
              </w:rPr>
              <w:t>Percentage of hours    Issues/events</w:t>
            </w:r>
          </w:p>
          <w:tbl>
            <w:tblPr>
              <w:tblW w:w="10240" w:type="dxa"/>
              <w:tblLayout w:type="fixed"/>
              <w:tblLook w:val="04A0" w:firstRow="1" w:lastRow="0" w:firstColumn="1" w:lastColumn="0" w:noHBand="0" w:noVBand="1"/>
            </w:tblPr>
            <w:tblGrid>
              <w:gridCol w:w="940"/>
              <w:gridCol w:w="1920"/>
              <w:gridCol w:w="7380"/>
            </w:tblGrid>
            <w:tr w:rsidR="00376899" w:rsidRPr="00261D8E" w:rsidTr="00A6401A">
              <w:trPr>
                <w:trHeight w:val="289"/>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899" w:rsidRPr="00261D8E" w:rsidRDefault="00EF388F" w:rsidP="00376899">
                  <w:pPr>
                    <w:jc w:val="center"/>
                    <w:rPr>
                      <w:color w:val="000000"/>
                      <w:sz w:val="22"/>
                      <w:szCs w:val="22"/>
                    </w:rPr>
                  </w:pPr>
                  <w:r w:rsidRPr="00261D8E">
                    <w:rPr>
                      <w:color w:val="000000"/>
                      <w:sz w:val="22"/>
                      <w:szCs w:val="22"/>
                    </w:rPr>
                    <w:t>8</w:t>
                  </w:r>
                  <w:r w:rsidR="001A6766" w:rsidRPr="00261D8E">
                    <w:rPr>
                      <w:color w:val="000000"/>
                      <w:sz w:val="22"/>
                      <w:szCs w:val="22"/>
                    </w:rPr>
                    <w:t>6.50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9.40</w:t>
                  </w:r>
                  <w:r w:rsidR="00FD04FF" w:rsidRPr="00261D8E">
                    <w:rPr>
                      <w:color w:val="000000"/>
                      <w:sz w:val="22"/>
                      <w:szCs w:val="22"/>
                    </w:rPr>
                    <w:t>%</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1. General Prep (GP)</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EF388F" w:rsidP="00376899">
                  <w:pPr>
                    <w:jc w:val="center"/>
                    <w:rPr>
                      <w:color w:val="000000"/>
                      <w:sz w:val="22"/>
                      <w:szCs w:val="22"/>
                    </w:rPr>
                  </w:pPr>
                  <w:r w:rsidRPr="00261D8E">
                    <w:rPr>
                      <w:color w:val="000000"/>
                      <w:sz w:val="22"/>
                      <w:szCs w:val="22"/>
                    </w:rPr>
                    <w:t>5.25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.57</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 xml:space="preserve">2. Hearings, Workshops, and Conferences </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87.75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9.54</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3. Filings (F)</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EF388F" w:rsidP="00376899">
                  <w:pPr>
                    <w:jc w:val="center"/>
                    <w:rPr>
                      <w:color w:val="000000"/>
                      <w:sz w:val="22"/>
                      <w:szCs w:val="22"/>
                    </w:rPr>
                  </w:pPr>
                  <w:r w:rsidRPr="00261D8E">
                    <w:rPr>
                      <w:color w:val="000000"/>
                      <w:sz w:val="22"/>
                      <w:szCs w:val="22"/>
                    </w:rPr>
                    <w:t>133.75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14.54</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4. Discovery (D)</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EF388F" w:rsidP="00376899">
                  <w:pPr>
                    <w:jc w:val="center"/>
                    <w:rPr>
                      <w:color w:val="000000"/>
                      <w:sz w:val="22"/>
                      <w:szCs w:val="22"/>
                    </w:rPr>
                  </w:pPr>
                  <w:r w:rsidRPr="00261D8E">
                    <w:rPr>
                      <w:color w:val="000000"/>
                      <w:sz w:val="22"/>
                      <w:szCs w:val="22"/>
                    </w:rPr>
                    <w:t>3</w:t>
                  </w:r>
                  <w:r w:rsidR="00FD04FF" w:rsidRPr="00261D8E">
                    <w:rPr>
                      <w:color w:val="000000"/>
                      <w:sz w:val="22"/>
                      <w:szCs w:val="22"/>
                    </w:rPr>
                    <w:t>52.25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38.29</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5. Testimony (T)</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EF388F" w:rsidP="00376899">
                  <w:pPr>
                    <w:jc w:val="center"/>
                    <w:rPr>
                      <w:color w:val="000000"/>
                      <w:sz w:val="22"/>
                      <w:szCs w:val="22"/>
                    </w:rPr>
                  </w:pPr>
                  <w:r w:rsidRPr="00261D8E">
                    <w:rPr>
                      <w:color w:val="000000"/>
                      <w:sz w:val="22"/>
                      <w:szCs w:val="22"/>
                    </w:rPr>
                    <w:t>43.25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4.70</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 xml:space="preserve">6. </w:t>
                  </w:r>
                  <w:r w:rsidR="00EF388F" w:rsidRPr="00261D8E">
                    <w:rPr>
                      <w:color w:val="000000"/>
                      <w:sz w:val="22"/>
                      <w:szCs w:val="22"/>
                    </w:rPr>
                    <w:t>Coordination (C)</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tcPr>
                <w:p w:rsidR="00376899" w:rsidRPr="00261D8E" w:rsidRDefault="001A6766" w:rsidP="001A6766">
                  <w:pPr>
                    <w:jc w:val="center"/>
                    <w:rPr>
                      <w:color w:val="000000"/>
                      <w:sz w:val="22"/>
                      <w:szCs w:val="22"/>
                    </w:rPr>
                  </w:pPr>
                  <w:r w:rsidRPr="00261D8E">
                    <w:rPr>
                      <w:color w:val="000000"/>
                      <w:sz w:val="22"/>
                      <w:szCs w:val="22"/>
                    </w:rPr>
                    <w:t>158</w:t>
                  </w:r>
                </w:p>
              </w:tc>
              <w:tc>
                <w:tcPr>
                  <w:tcW w:w="1920" w:type="dxa"/>
                  <w:tcBorders>
                    <w:top w:val="nil"/>
                    <w:left w:val="nil"/>
                    <w:bottom w:val="single" w:sz="4" w:space="0" w:color="auto"/>
                    <w:right w:val="single" w:sz="4" w:space="0" w:color="auto"/>
                  </w:tcBorders>
                  <w:shd w:val="clear" w:color="auto" w:fill="auto"/>
                  <w:noWrap/>
                  <w:vAlign w:val="center"/>
                </w:tcPr>
                <w:p w:rsidR="00376899" w:rsidRPr="00261D8E" w:rsidRDefault="001A6766" w:rsidP="00376899">
                  <w:pPr>
                    <w:jc w:val="center"/>
                    <w:rPr>
                      <w:color w:val="000000"/>
                      <w:sz w:val="22"/>
                      <w:szCs w:val="22"/>
                    </w:rPr>
                  </w:pPr>
                  <w:r w:rsidRPr="00261D8E">
                    <w:rPr>
                      <w:color w:val="000000"/>
                      <w:sz w:val="22"/>
                      <w:szCs w:val="22"/>
                    </w:rPr>
                    <w:t>17.17</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tcPr>
                <w:p w:rsidR="00376899" w:rsidRPr="00261D8E" w:rsidRDefault="00376899" w:rsidP="00376899">
                  <w:pPr>
                    <w:rPr>
                      <w:color w:val="000000"/>
                      <w:sz w:val="22"/>
                      <w:szCs w:val="22"/>
                    </w:rPr>
                  </w:pPr>
                  <w:r w:rsidRPr="00261D8E">
                    <w:rPr>
                      <w:color w:val="000000"/>
                      <w:sz w:val="22"/>
                      <w:szCs w:val="22"/>
                    </w:rPr>
                    <w:t xml:space="preserve">7. </w:t>
                  </w:r>
                  <w:r w:rsidR="00EF388F" w:rsidRPr="00261D8E">
                    <w:rPr>
                      <w:color w:val="000000"/>
                      <w:sz w:val="22"/>
                      <w:szCs w:val="22"/>
                    </w:rPr>
                    <w:t>Evidentiary Hearings (EH)</w:t>
                  </w:r>
                </w:p>
              </w:tc>
            </w:tr>
            <w:tr w:rsidR="00376899" w:rsidRPr="00261D8E" w:rsidTr="00A6401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53.25</w:t>
                  </w:r>
                </w:p>
              </w:tc>
              <w:tc>
                <w:tcPr>
                  <w:tcW w:w="1920" w:type="dxa"/>
                  <w:tcBorders>
                    <w:top w:val="nil"/>
                    <w:left w:val="nil"/>
                    <w:bottom w:val="single" w:sz="4" w:space="0" w:color="auto"/>
                    <w:right w:val="single" w:sz="4" w:space="0" w:color="auto"/>
                  </w:tcBorders>
                  <w:shd w:val="clear" w:color="auto" w:fill="auto"/>
                  <w:noWrap/>
                  <w:vAlign w:val="center"/>
                  <w:hideMark/>
                </w:tcPr>
                <w:p w:rsidR="00376899" w:rsidRPr="00261D8E" w:rsidRDefault="001A6766" w:rsidP="00376899">
                  <w:pPr>
                    <w:jc w:val="center"/>
                    <w:rPr>
                      <w:color w:val="000000"/>
                      <w:sz w:val="22"/>
                      <w:szCs w:val="22"/>
                    </w:rPr>
                  </w:pPr>
                  <w:r w:rsidRPr="00261D8E">
                    <w:rPr>
                      <w:color w:val="000000"/>
                      <w:sz w:val="22"/>
                      <w:szCs w:val="22"/>
                    </w:rPr>
                    <w:t>5.79</w:t>
                  </w:r>
                  <w:r w:rsidR="00FD04FF" w:rsidRPr="00261D8E">
                    <w:rPr>
                      <w:color w:val="000000"/>
                      <w:sz w:val="22"/>
                      <w:szCs w:val="22"/>
                    </w:rPr>
                    <w:t>%</w:t>
                  </w:r>
                </w:p>
              </w:tc>
              <w:tc>
                <w:tcPr>
                  <w:tcW w:w="7380" w:type="dxa"/>
                  <w:tcBorders>
                    <w:top w:val="nil"/>
                    <w:left w:val="nil"/>
                    <w:bottom w:val="single" w:sz="4" w:space="0" w:color="auto"/>
                    <w:right w:val="single" w:sz="4" w:space="0" w:color="auto"/>
                  </w:tcBorders>
                  <w:shd w:val="clear" w:color="auto" w:fill="auto"/>
                  <w:vAlign w:val="center"/>
                  <w:hideMark/>
                </w:tcPr>
                <w:p w:rsidR="00376899" w:rsidRPr="00261D8E" w:rsidRDefault="00376899" w:rsidP="00376899">
                  <w:pPr>
                    <w:rPr>
                      <w:color w:val="000000"/>
                      <w:sz w:val="22"/>
                      <w:szCs w:val="22"/>
                    </w:rPr>
                  </w:pPr>
                  <w:r w:rsidRPr="00261D8E">
                    <w:rPr>
                      <w:color w:val="000000"/>
                      <w:sz w:val="22"/>
                      <w:szCs w:val="22"/>
                    </w:rPr>
                    <w:t>8. Settlement</w:t>
                  </w:r>
                  <w:r w:rsidR="00EF388F" w:rsidRPr="00261D8E">
                    <w:rPr>
                      <w:color w:val="000000"/>
                      <w:sz w:val="22"/>
                      <w:szCs w:val="22"/>
                    </w:rPr>
                    <w:t xml:space="preserve"> (S)</w:t>
                  </w:r>
                </w:p>
              </w:tc>
            </w:tr>
          </w:tbl>
          <w:p w:rsidR="00376899" w:rsidRPr="00261D8E" w:rsidRDefault="00376899" w:rsidP="00376899">
            <w:pPr>
              <w:rPr>
                <w:sz w:val="22"/>
                <w:szCs w:val="22"/>
              </w:rPr>
            </w:pPr>
          </w:p>
          <w:p w:rsidR="00376899" w:rsidRPr="00261D8E" w:rsidRDefault="00376899" w:rsidP="00376899">
            <w:pPr>
              <w:rPr>
                <w:sz w:val="22"/>
                <w:szCs w:val="22"/>
              </w:rPr>
            </w:pPr>
            <w:r w:rsidRPr="00261D8E">
              <w:rPr>
                <w:sz w:val="22"/>
                <w:szCs w:val="22"/>
              </w:rPr>
              <w:t xml:space="preserve">While the above chart breaks down the issues by </w:t>
            </w:r>
            <w:r w:rsidR="00487580" w:rsidRPr="00261D8E">
              <w:rPr>
                <w:sz w:val="22"/>
                <w:szCs w:val="22"/>
              </w:rPr>
              <w:t xml:space="preserve">General Preparation time and </w:t>
            </w:r>
            <w:r w:rsidRPr="00261D8E">
              <w:rPr>
                <w:sz w:val="22"/>
                <w:szCs w:val="22"/>
              </w:rPr>
              <w:t xml:space="preserve">events, UCAN has </w:t>
            </w:r>
            <w:r w:rsidR="00487580" w:rsidRPr="00261D8E">
              <w:rPr>
                <w:sz w:val="22"/>
                <w:szCs w:val="22"/>
              </w:rPr>
              <w:t xml:space="preserve">also </w:t>
            </w:r>
            <w:r w:rsidRPr="00261D8E">
              <w:rPr>
                <w:sz w:val="22"/>
                <w:szCs w:val="22"/>
              </w:rPr>
              <w:t xml:space="preserve">estimated a further breakdown of hours, between </w:t>
            </w:r>
            <w:proofErr w:type="gramStart"/>
            <w:r w:rsidRPr="00261D8E">
              <w:rPr>
                <w:sz w:val="22"/>
                <w:szCs w:val="22"/>
              </w:rPr>
              <w:t>time</w:t>
            </w:r>
            <w:proofErr w:type="gramEnd"/>
            <w:r w:rsidRPr="00261D8E">
              <w:rPr>
                <w:sz w:val="22"/>
                <w:szCs w:val="22"/>
              </w:rPr>
              <w:t xml:space="preserve"> devoted to specific issues </w:t>
            </w:r>
            <w:r w:rsidR="00487580" w:rsidRPr="00261D8E">
              <w:rPr>
                <w:sz w:val="22"/>
                <w:szCs w:val="22"/>
              </w:rPr>
              <w:t xml:space="preserve">that </w:t>
            </w:r>
            <w:r w:rsidRPr="00261D8E">
              <w:rPr>
                <w:sz w:val="22"/>
                <w:szCs w:val="22"/>
              </w:rPr>
              <w:t>UCAN advoc</w:t>
            </w:r>
            <w:r w:rsidR="00E501D7">
              <w:rPr>
                <w:sz w:val="22"/>
                <w:szCs w:val="22"/>
              </w:rPr>
              <w:t xml:space="preserve">ated for in our presentation.  </w:t>
            </w:r>
            <w:r w:rsidRPr="00261D8E">
              <w:rPr>
                <w:sz w:val="22"/>
                <w:szCs w:val="22"/>
              </w:rPr>
              <w:t xml:space="preserve">This estimate is for the total time for UCAN’s attorney and experts and is based on a review of timesheets submitted with this compensation request, as well as </w:t>
            </w:r>
            <w:r w:rsidR="00487580" w:rsidRPr="00261D8E">
              <w:rPr>
                <w:sz w:val="22"/>
                <w:szCs w:val="22"/>
              </w:rPr>
              <w:t xml:space="preserve">the </w:t>
            </w:r>
            <w:r w:rsidRPr="00261D8E">
              <w:rPr>
                <w:sz w:val="22"/>
                <w:szCs w:val="22"/>
              </w:rPr>
              <w:t xml:space="preserve">testimony and filings UCAN has submitted.  The estimated breakdown of hours by </w:t>
            </w:r>
            <w:r w:rsidR="00487580" w:rsidRPr="00261D8E">
              <w:rPr>
                <w:sz w:val="22"/>
                <w:szCs w:val="22"/>
              </w:rPr>
              <w:t xml:space="preserve">these additional </w:t>
            </w:r>
            <w:r w:rsidRPr="00261D8E">
              <w:rPr>
                <w:sz w:val="22"/>
                <w:szCs w:val="22"/>
              </w:rPr>
              <w:t>issues</w:t>
            </w:r>
            <w:r w:rsidR="00487580" w:rsidRPr="00261D8E">
              <w:rPr>
                <w:sz w:val="22"/>
                <w:szCs w:val="22"/>
              </w:rPr>
              <w:t xml:space="preserve"> </w:t>
            </w:r>
            <w:r w:rsidRPr="00261D8E">
              <w:rPr>
                <w:sz w:val="22"/>
                <w:szCs w:val="22"/>
              </w:rPr>
              <w:t xml:space="preserve">is as follows: </w:t>
            </w:r>
          </w:p>
          <w:p w:rsidR="00376899" w:rsidRPr="00261D8E" w:rsidRDefault="00376899" w:rsidP="00376899">
            <w:pPr>
              <w:rPr>
                <w:sz w:val="22"/>
                <w:szCs w:val="22"/>
              </w:rPr>
            </w:pPr>
          </w:p>
          <w:p w:rsidR="00376899" w:rsidRPr="00261D8E" w:rsidRDefault="00487580" w:rsidP="00376899">
            <w:pPr>
              <w:numPr>
                <w:ilvl w:val="0"/>
                <w:numId w:val="9"/>
              </w:numPr>
              <w:rPr>
                <w:sz w:val="22"/>
                <w:szCs w:val="22"/>
              </w:rPr>
            </w:pPr>
            <w:r w:rsidRPr="00261D8E">
              <w:rPr>
                <w:sz w:val="22"/>
                <w:szCs w:val="22"/>
              </w:rPr>
              <w:t>New Business – Sales and Customer Forecasts - 26.12%</w:t>
            </w:r>
          </w:p>
          <w:p w:rsidR="00487580" w:rsidRPr="00261D8E" w:rsidRDefault="00487580" w:rsidP="000D0921">
            <w:pPr>
              <w:ind w:left="720"/>
              <w:rPr>
                <w:sz w:val="22"/>
                <w:szCs w:val="22"/>
              </w:rPr>
            </w:pPr>
          </w:p>
          <w:p w:rsidR="009B3B16" w:rsidRPr="00261D8E" w:rsidRDefault="009B3B16" w:rsidP="009B3B16">
            <w:pPr>
              <w:numPr>
                <w:ilvl w:val="0"/>
                <w:numId w:val="9"/>
              </w:numPr>
              <w:rPr>
                <w:sz w:val="22"/>
                <w:szCs w:val="22"/>
              </w:rPr>
            </w:pPr>
            <w:r w:rsidRPr="00261D8E">
              <w:rPr>
                <w:sz w:val="22"/>
                <w:szCs w:val="22"/>
              </w:rPr>
              <w:t xml:space="preserve">Regulatory balancing account issues including TIMP, DIMP and SIMP two-way balancing account and </w:t>
            </w:r>
            <w:proofErr w:type="spellStart"/>
            <w:r w:rsidRPr="00261D8E">
              <w:rPr>
                <w:sz w:val="22"/>
                <w:szCs w:val="22"/>
              </w:rPr>
              <w:t>undercollection</w:t>
            </w:r>
            <w:proofErr w:type="spellEnd"/>
            <w:r w:rsidRPr="00261D8E">
              <w:rPr>
                <w:sz w:val="22"/>
                <w:szCs w:val="22"/>
              </w:rPr>
              <w:t xml:space="preserve"> cost recovery cap proposals and Tree Trimming balancing account issues - 6.57%</w:t>
            </w:r>
          </w:p>
          <w:p w:rsidR="009B3B16" w:rsidRPr="00261D8E" w:rsidRDefault="009B3B16" w:rsidP="009B3B16">
            <w:pPr>
              <w:ind w:left="720"/>
              <w:rPr>
                <w:sz w:val="22"/>
                <w:szCs w:val="22"/>
              </w:rPr>
            </w:pPr>
          </w:p>
          <w:p w:rsidR="009B3B16" w:rsidRPr="00261D8E" w:rsidRDefault="009B3B16" w:rsidP="009B3B16">
            <w:pPr>
              <w:numPr>
                <w:ilvl w:val="0"/>
                <w:numId w:val="9"/>
              </w:numPr>
              <w:rPr>
                <w:sz w:val="22"/>
                <w:szCs w:val="22"/>
              </w:rPr>
            </w:pPr>
            <w:r w:rsidRPr="00261D8E">
              <w:rPr>
                <w:sz w:val="22"/>
                <w:szCs w:val="22"/>
              </w:rPr>
              <w:t>Customer service issues including Branch Office Closings, Customer Bill Redesign, Service Establishment Charge, Rate Stabilization Plan, and pilot relight forecasts - 25.20%</w:t>
            </w:r>
          </w:p>
          <w:p w:rsidR="00487580" w:rsidRPr="00261D8E" w:rsidRDefault="00487580" w:rsidP="000D0921">
            <w:pPr>
              <w:ind w:left="720"/>
              <w:rPr>
                <w:sz w:val="22"/>
                <w:szCs w:val="22"/>
              </w:rPr>
            </w:pPr>
          </w:p>
          <w:p w:rsidR="00487580" w:rsidRPr="00261D8E" w:rsidRDefault="00487580" w:rsidP="00376899">
            <w:pPr>
              <w:numPr>
                <w:ilvl w:val="0"/>
                <w:numId w:val="9"/>
              </w:numPr>
              <w:rPr>
                <w:sz w:val="22"/>
                <w:szCs w:val="22"/>
              </w:rPr>
            </w:pPr>
            <w:r w:rsidRPr="00261D8E">
              <w:rPr>
                <w:sz w:val="22"/>
                <w:szCs w:val="22"/>
              </w:rPr>
              <w:t xml:space="preserve">Post Test Year Ratemaking Issues - 20.63% </w:t>
            </w:r>
          </w:p>
          <w:p w:rsidR="00487580" w:rsidRPr="00261D8E" w:rsidRDefault="00487580" w:rsidP="000D0921">
            <w:pPr>
              <w:ind w:left="720"/>
              <w:rPr>
                <w:sz w:val="22"/>
                <w:szCs w:val="22"/>
              </w:rPr>
            </w:pPr>
          </w:p>
          <w:p w:rsidR="00A92D0B" w:rsidRPr="00261D8E" w:rsidRDefault="00487580" w:rsidP="00AB4AF1">
            <w:pPr>
              <w:numPr>
                <w:ilvl w:val="0"/>
                <w:numId w:val="9"/>
              </w:numPr>
              <w:spacing w:after="60"/>
              <w:rPr>
                <w:b/>
                <w:color w:val="000000"/>
                <w:sz w:val="22"/>
                <w:szCs w:val="22"/>
              </w:rPr>
            </w:pPr>
            <w:r w:rsidRPr="00261D8E">
              <w:rPr>
                <w:sz w:val="22"/>
                <w:szCs w:val="22"/>
              </w:rPr>
              <w:t>Insurance issues – 21.34%</w:t>
            </w:r>
          </w:p>
        </w:tc>
        <w:tc>
          <w:tcPr>
            <w:tcW w:w="2250" w:type="dxa"/>
            <w:shd w:val="clear" w:color="auto" w:fill="auto"/>
          </w:tcPr>
          <w:p w:rsidR="00A92D0B" w:rsidRPr="00261D8E" w:rsidRDefault="00261D8E" w:rsidP="00730A5E">
            <w:pPr>
              <w:spacing w:before="60"/>
              <w:rPr>
                <w:color w:val="000000"/>
                <w:sz w:val="22"/>
                <w:szCs w:val="22"/>
              </w:rPr>
            </w:pPr>
            <w:r>
              <w:rPr>
                <w:color w:val="000000"/>
                <w:sz w:val="22"/>
                <w:szCs w:val="22"/>
              </w:rPr>
              <w:lastRenderedPageBreak/>
              <w:t>Verified.</w:t>
            </w:r>
          </w:p>
        </w:tc>
      </w:tr>
    </w:tbl>
    <w:p w:rsidR="00A92D0B" w:rsidRPr="00261D8E" w:rsidRDefault="00A92D0B" w:rsidP="00AB4AF1">
      <w:pPr>
        <w:numPr>
          <w:ilvl w:val="0"/>
          <w:numId w:val="2"/>
        </w:numPr>
        <w:tabs>
          <w:tab w:val="clear" w:pos="900"/>
          <w:tab w:val="num" w:pos="360"/>
        </w:tabs>
        <w:spacing w:before="120" w:after="120"/>
        <w:ind w:left="360"/>
        <w:rPr>
          <w:b/>
          <w:color w:val="000000"/>
          <w:sz w:val="22"/>
          <w:szCs w:val="22"/>
        </w:rPr>
      </w:pPr>
      <w:r w:rsidRPr="00261D8E">
        <w:rPr>
          <w:b/>
          <w:color w:val="000000"/>
          <w:sz w:val="22"/>
          <w:szCs w:val="22"/>
        </w:rPr>
        <w:lastRenderedPageBreak/>
        <w:t>Specific Claim:</w:t>
      </w:r>
      <w:r w:rsidR="00D075B1" w:rsidRPr="00261D8E">
        <w:rPr>
          <w:b/>
          <w:color w:val="000000"/>
          <w:sz w:val="22"/>
          <w:szCs w:val="22"/>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8"/>
        <w:gridCol w:w="630"/>
        <w:gridCol w:w="450"/>
        <w:gridCol w:w="450"/>
        <w:gridCol w:w="90"/>
        <w:gridCol w:w="875"/>
        <w:gridCol w:w="25"/>
        <w:gridCol w:w="900"/>
        <w:gridCol w:w="90"/>
        <w:gridCol w:w="450"/>
        <w:gridCol w:w="990"/>
        <w:gridCol w:w="900"/>
        <w:gridCol w:w="450"/>
        <w:gridCol w:w="900"/>
        <w:gridCol w:w="1080"/>
        <w:gridCol w:w="1350"/>
      </w:tblGrid>
      <w:tr w:rsidR="00A92D0B" w:rsidRPr="00261D8E" w:rsidTr="006B6AD9">
        <w:tc>
          <w:tcPr>
            <w:tcW w:w="6768" w:type="dxa"/>
            <w:gridSpan w:val="13"/>
            <w:tcBorders>
              <w:bottom w:val="single" w:sz="4" w:space="0" w:color="auto"/>
              <w:right w:val="single" w:sz="24" w:space="0" w:color="auto"/>
            </w:tcBorders>
            <w:shd w:val="clear" w:color="auto" w:fill="FFFFFF"/>
            <w:vAlign w:val="center"/>
          </w:tcPr>
          <w:p w:rsidR="00A92D0B" w:rsidRPr="00261D8E" w:rsidRDefault="00A92D0B" w:rsidP="00E501D7">
            <w:pPr>
              <w:spacing w:before="60" w:after="60"/>
              <w:jc w:val="center"/>
              <w:rPr>
                <w:b/>
                <w:smallCaps/>
                <w:color w:val="000000"/>
                <w:sz w:val="22"/>
                <w:szCs w:val="22"/>
              </w:rPr>
            </w:pPr>
            <w:r w:rsidRPr="00261D8E">
              <w:rPr>
                <w:b/>
                <w:smallCaps/>
                <w:color w:val="000000"/>
                <w:sz w:val="22"/>
                <w:szCs w:val="22"/>
              </w:rPr>
              <w:t>Claimed</w:t>
            </w:r>
          </w:p>
        </w:tc>
        <w:tc>
          <w:tcPr>
            <w:tcW w:w="3330" w:type="dxa"/>
            <w:gridSpan w:val="3"/>
            <w:tcBorders>
              <w:left w:val="single" w:sz="24" w:space="0" w:color="auto"/>
              <w:bottom w:val="single" w:sz="4" w:space="0" w:color="auto"/>
            </w:tcBorders>
            <w:shd w:val="clear" w:color="auto" w:fill="FFFFFF"/>
          </w:tcPr>
          <w:p w:rsidR="00A92D0B" w:rsidRPr="00261D8E" w:rsidRDefault="00A92D0B" w:rsidP="00AB4AF1">
            <w:pPr>
              <w:spacing w:before="60" w:after="60"/>
              <w:jc w:val="center"/>
              <w:rPr>
                <w:b/>
                <w:smallCaps/>
                <w:color w:val="000000"/>
                <w:sz w:val="22"/>
                <w:szCs w:val="22"/>
              </w:rPr>
            </w:pPr>
            <w:r w:rsidRPr="00261D8E">
              <w:rPr>
                <w:b/>
                <w:smallCaps/>
                <w:color w:val="000000"/>
                <w:sz w:val="22"/>
                <w:szCs w:val="22"/>
              </w:rPr>
              <w:t>CPUC Award</w:t>
            </w:r>
          </w:p>
        </w:tc>
      </w:tr>
      <w:tr w:rsidR="00A92D0B" w:rsidRPr="00261D8E" w:rsidTr="006B6AD9">
        <w:tc>
          <w:tcPr>
            <w:tcW w:w="10098" w:type="dxa"/>
            <w:gridSpan w:val="16"/>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AB4AF1">
            <w:pPr>
              <w:spacing w:before="60" w:after="60"/>
              <w:jc w:val="center"/>
              <w:rPr>
                <w:b/>
                <w:sz w:val="22"/>
                <w:szCs w:val="22"/>
              </w:rPr>
            </w:pPr>
            <w:r w:rsidRPr="00261D8E">
              <w:rPr>
                <w:b/>
                <w:sz w:val="22"/>
                <w:szCs w:val="22"/>
              </w:rPr>
              <w:t>ATTORNEY, EXPERT, AND ADVOCATE FEES</w:t>
            </w:r>
          </w:p>
        </w:tc>
      </w:tr>
      <w:tr w:rsidR="00A92D0B" w:rsidRPr="00261D8E" w:rsidTr="006B6AD9">
        <w:tc>
          <w:tcPr>
            <w:tcW w:w="1098" w:type="dxa"/>
            <w:gridSpan w:val="2"/>
            <w:tcBorders>
              <w:top w:val="single" w:sz="4" w:space="0" w:color="auto"/>
              <w:bottom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Item</w:t>
            </w:r>
          </w:p>
        </w:tc>
        <w:tc>
          <w:tcPr>
            <w:tcW w:w="900" w:type="dxa"/>
            <w:gridSpan w:val="2"/>
            <w:tcBorders>
              <w:top w:val="single" w:sz="4" w:space="0" w:color="auto"/>
              <w:bottom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Year</w:t>
            </w:r>
          </w:p>
        </w:tc>
        <w:tc>
          <w:tcPr>
            <w:tcW w:w="965" w:type="dxa"/>
            <w:gridSpan w:val="2"/>
            <w:tcBorders>
              <w:top w:val="single" w:sz="4" w:space="0" w:color="auto"/>
              <w:bottom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Hours</w:t>
            </w:r>
          </w:p>
        </w:tc>
        <w:tc>
          <w:tcPr>
            <w:tcW w:w="925" w:type="dxa"/>
            <w:gridSpan w:val="2"/>
            <w:tcBorders>
              <w:top w:val="single" w:sz="4" w:space="0" w:color="auto"/>
              <w:bottom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Rate</w:t>
            </w:r>
            <w:r w:rsidR="00E3786F" w:rsidRPr="00261D8E">
              <w:rPr>
                <w:b/>
                <w:color w:val="000000"/>
                <w:sz w:val="22"/>
                <w:szCs w:val="22"/>
              </w:rPr>
              <w:t xml:space="preserve"> $</w:t>
            </w:r>
          </w:p>
        </w:tc>
        <w:tc>
          <w:tcPr>
            <w:tcW w:w="1530" w:type="dxa"/>
            <w:gridSpan w:val="3"/>
            <w:tcBorders>
              <w:top w:val="single" w:sz="4" w:space="0" w:color="auto"/>
              <w:bottom w:val="single" w:sz="4" w:space="0" w:color="auto"/>
              <w:right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Basis for Rate*</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Total $</w:t>
            </w:r>
          </w:p>
        </w:tc>
        <w:tc>
          <w:tcPr>
            <w:tcW w:w="900" w:type="dxa"/>
            <w:tcBorders>
              <w:top w:val="single" w:sz="4" w:space="0" w:color="auto"/>
              <w:left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Hours</w:t>
            </w:r>
          </w:p>
        </w:tc>
        <w:tc>
          <w:tcPr>
            <w:tcW w:w="1080" w:type="dxa"/>
            <w:tcBorders>
              <w:top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Rate</w:t>
            </w:r>
            <w:r w:rsidR="00E3786F" w:rsidRPr="00261D8E">
              <w:rPr>
                <w:b/>
                <w:color w:val="000000"/>
                <w:sz w:val="22"/>
                <w:szCs w:val="22"/>
              </w:rPr>
              <w:t xml:space="preserve"> $</w:t>
            </w:r>
          </w:p>
        </w:tc>
        <w:tc>
          <w:tcPr>
            <w:tcW w:w="1350" w:type="dxa"/>
            <w:tcBorders>
              <w:top w:val="single" w:sz="4" w:space="0" w:color="auto"/>
            </w:tcBorders>
            <w:shd w:val="clear" w:color="auto" w:fill="FFFFFF"/>
            <w:vAlign w:val="bottom"/>
          </w:tcPr>
          <w:p w:rsidR="00A92D0B" w:rsidRPr="00261D8E" w:rsidRDefault="00A92D0B" w:rsidP="00AB4AF1">
            <w:pPr>
              <w:spacing w:before="60" w:after="60"/>
              <w:jc w:val="center"/>
              <w:rPr>
                <w:b/>
                <w:color w:val="000000"/>
                <w:sz w:val="22"/>
                <w:szCs w:val="22"/>
              </w:rPr>
            </w:pPr>
            <w:r w:rsidRPr="00261D8E">
              <w:rPr>
                <w:b/>
                <w:color w:val="000000"/>
                <w:sz w:val="22"/>
                <w:szCs w:val="22"/>
              </w:rPr>
              <w:t>Total $</w:t>
            </w:r>
          </w:p>
        </w:tc>
      </w:tr>
      <w:tr w:rsidR="00A92D0B" w:rsidRPr="00261D8E" w:rsidTr="006B6AD9">
        <w:tc>
          <w:tcPr>
            <w:tcW w:w="1098" w:type="dxa"/>
            <w:gridSpan w:val="2"/>
            <w:shd w:val="clear" w:color="auto" w:fill="FFFFFF"/>
          </w:tcPr>
          <w:p w:rsidR="00A92D0B" w:rsidRPr="00261D8E" w:rsidRDefault="00221132" w:rsidP="00A92D0B">
            <w:pPr>
              <w:spacing w:before="60" w:after="60"/>
              <w:rPr>
                <w:color w:val="000000"/>
                <w:sz w:val="22"/>
                <w:szCs w:val="22"/>
              </w:rPr>
            </w:pPr>
            <w:r w:rsidRPr="00261D8E">
              <w:rPr>
                <w:color w:val="000000"/>
                <w:sz w:val="22"/>
                <w:szCs w:val="22"/>
              </w:rPr>
              <w:t>Donald Kelly</w:t>
            </w:r>
            <w:r w:rsidR="00A92D0B" w:rsidRPr="00261D8E">
              <w:rPr>
                <w:color w:val="000000"/>
                <w:sz w:val="22"/>
                <w:szCs w:val="22"/>
              </w:rPr>
              <w:t xml:space="preserve">   </w:t>
            </w:r>
          </w:p>
        </w:tc>
        <w:tc>
          <w:tcPr>
            <w:tcW w:w="900" w:type="dxa"/>
            <w:gridSpan w:val="2"/>
            <w:shd w:val="clear" w:color="auto" w:fill="FFFFFF"/>
          </w:tcPr>
          <w:p w:rsidR="00A92D0B" w:rsidRPr="00261D8E" w:rsidRDefault="00221132" w:rsidP="00380703">
            <w:pPr>
              <w:spacing w:before="60" w:after="60"/>
              <w:jc w:val="center"/>
              <w:rPr>
                <w:color w:val="000000"/>
                <w:sz w:val="22"/>
                <w:szCs w:val="22"/>
              </w:rPr>
            </w:pPr>
            <w:r w:rsidRPr="00261D8E">
              <w:rPr>
                <w:color w:val="000000"/>
                <w:sz w:val="22"/>
                <w:szCs w:val="22"/>
              </w:rPr>
              <w:t>2014</w:t>
            </w:r>
          </w:p>
        </w:tc>
        <w:tc>
          <w:tcPr>
            <w:tcW w:w="965" w:type="dxa"/>
            <w:gridSpan w:val="2"/>
            <w:shd w:val="clear" w:color="auto" w:fill="FFFFFF"/>
          </w:tcPr>
          <w:p w:rsidR="00A92D0B" w:rsidRPr="00261D8E" w:rsidRDefault="00221132" w:rsidP="00380703">
            <w:pPr>
              <w:spacing w:before="60" w:after="60"/>
              <w:jc w:val="right"/>
              <w:rPr>
                <w:color w:val="000000"/>
                <w:sz w:val="22"/>
                <w:szCs w:val="22"/>
              </w:rPr>
            </w:pPr>
            <w:r w:rsidRPr="00261D8E">
              <w:rPr>
                <w:color w:val="000000"/>
                <w:sz w:val="22"/>
                <w:szCs w:val="22"/>
              </w:rPr>
              <w:t>25.75</w:t>
            </w:r>
          </w:p>
        </w:tc>
        <w:tc>
          <w:tcPr>
            <w:tcW w:w="925" w:type="dxa"/>
            <w:gridSpan w:val="2"/>
            <w:shd w:val="clear" w:color="auto" w:fill="FFFFFF"/>
          </w:tcPr>
          <w:p w:rsidR="00A92D0B" w:rsidRPr="00261D8E" w:rsidRDefault="000E7AFA" w:rsidP="00380703">
            <w:pPr>
              <w:spacing w:before="60" w:after="60"/>
              <w:jc w:val="center"/>
              <w:rPr>
                <w:color w:val="000000"/>
                <w:sz w:val="22"/>
                <w:szCs w:val="22"/>
              </w:rPr>
            </w:pPr>
            <w:r w:rsidRPr="00261D8E">
              <w:rPr>
                <w:color w:val="000000"/>
                <w:sz w:val="22"/>
                <w:szCs w:val="22"/>
              </w:rPr>
              <w:t>$335</w:t>
            </w:r>
          </w:p>
        </w:tc>
        <w:tc>
          <w:tcPr>
            <w:tcW w:w="1530" w:type="dxa"/>
            <w:gridSpan w:val="3"/>
            <w:tcBorders>
              <w:right w:val="single" w:sz="4" w:space="0" w:color="auto"/>
            </w:tcBorders>
            <w:shd w:val="clear" w:color="auto" w:fill="FFFFFF"/>
          </w:tcPr>
          <w:p w:rsidR="00A92D0B" w:rsidRPr="00261D8E" w:rsidRDefault="000E7AFA" w:rsidP="00380703">
            <w:pPr>
              <w:spacing w:before="60" w:after="60"/>
              <w:jc w:val="right"/>
              <w:rPr>
                <w:color w:val="000000"/>
                <w:sz w:val="22"/>
                <w:szCs w:val="22"/>
              </w:rPr>
            </w:pPr>
            <w:r w:rsidRPr="00261D8E">
              <w:rPr>
                <w:color w:val="000000"/>
                <w:sz w:val="22"/>
                <w:szCs w:val="22"/>
              </w:rPr>
              <w:t>D.1</w:t>
            </w:r>
            <w:r w:rsidR="0007279D" w:rsidRPr="00261D8E">
              <w:rPr>
                <w:color w:val="000000"/>
                <w:sz w:val="22"/>
                <w:szCs w:val="22"/>
              </w:rPr>
              <w:t>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061D24" w:rsidP="00380703">
            <w:pPr>
              <w:spacing w:before="60" w:after="60"/>
              <w:jc w:val="right"/>
              <w:rPr>
                <w:color w:val="000000"/>
                <w:sz w:val="22"/>
                <w:szCs w:val="22"/>
              </w:rPr>
            </w:pPr>
            <w:r w:rsidRPr="00261D8E">
              <w:rPr>
                <w:color w:val="000000"/>
                <w:sz w:val="22"/>
                <w:szCs w:val="22"/>
              </w:rPr>
              <w:t>$8,626.25</w:t>
            </w:r>
          </w:p>
        </w:tc>
        <w:tc>
          <w:tcPr>
            <w:tcW w:w="900" w:type="dxa"/>
            <w:tcBorders>
              <w:left w:val="single" w:sz="4" w:space="0" w:color="auto"/>
            </w:tcBorders>
            <w:shd w:val="clear" w:color="auto" w:fill="FFFFFF"/>
          </w:tcPr>
          <w:p w:rsidR="00A92D0B" w:rsidRPr="00261D8E" w:rsidRDefault="005D0C66" w:rsidP="00380703">
            <w:pPr>
              <w:spacing w:before="60" w:after="60"/>
              <w:jc w:val="right"/>
              <w:rPr>
                <w:color w:val="000000"/>
                <w:sz w:val="22"/>
                <w:szCs w:val="22"/>
              </w:rPr>
            </w:pPr>
            <w:r>
              <w:rPr>
                <w:color w:val="000000"/>
                <w:sz w:val="22"/>
                <w:szCs w:val="22"/>
              </w:rPr>
              <w:t>25.25</w:t>
            </w:r>
          </w:p>
        </w:tc>
        <w:tc>
          <w:tcPr>
            <w:tcW w:w="1080" w:type="dxa"/>
            <w:shd w:val="clear" w:color="auto" w:fill="FFFFFF"/>
          </w:tcPr>
          <w:p w:rsidR="00A92D0B" w:rsidRPr="00261D8E" w:rsidRDefault="000E5A03" w:rsidP="00380703">
            <w:pPr>
              <w:spacing w:before="60" w:after="60"/>
              <w:jc w:val="center"/>
              <w:rPr>
                <w:color w:val="000000"/>
                <w:sz w:val="22"/>
                <w:szCs w:val="22"/>
              </w:rPr>
            </w:pPr>
            <w:r>
              <w:rPr>
                <w:color w:val="000000"/>
                <w:sz w:val="22"/>
                <w:szCs w:val="22"/>
              </w:rPr>
              <w:t>335.00</w:t>
            </w:r>
          </w:p>
        </w:tc>
        <w:tc>
          <w:tcPr>
            <w:tcW w:w="1350" w:type="dxa"/>
            <w:shd w:val="clear" w:color="auto" w:fill="FFFFFF"/>
          </w:tcPr>
          <w:p w:rsidR="00A92D0B" w:rsidRPr="00261D8E" w:rsidRDefault="005D0C66" w:rsidP="00380703">
            <w:pPr>
              <w:spacing w:before="60" w:after="60"/>
              <w:jc w:val="right"/>
              <w:rPr>
                <w:color w:val="000000"/>
                <w:sz w:val="22"/>
                <w:szCs w:val="22"/>
              </w:rPr>
            </w:pPr>
            <w:r>
              <w:rPr>
                <w:color w:val="000000"/>
                <w:sz w:val="22"/>
                <w:szCs w:val="22"/>
              </w:rPr>
              <w:t>8,458.75</w:t>
            </w:r>
          </w:p>
        </w:tc>
      </w:tr>
      <w:tr w:rsidR="00221132" w:rsidRPr="00261D8E" w:rsidTr="006B6AD9">
        <w:tc>
          <w:tcPr>
            <w:tcW w:w="1098" w:type="dxa"/>
            <w:gridSpan w:val="2"/>
            <w:shd w:val="clear" w:color="auto" w:fill="FFFFFF"/>
          </w:tcPr>
          <w:p w:rsidR="00221132" w:rsidRPr="00261D8E" w:rsidRDefault="00221132" w:rsidP="00A92D0B">
            <w:pPr>
              <w:spacing w:before="60" w:after="60"/>
              <w:rPr>
                <w:color w:val="000000"/>
                <w:sz w:val="22"/>
                <w:szCs w:val="22"/>
              </w:rPr>
            </w:pPr>
            <w:r w:rsidRPr="00261D8E">
              <w:rPr>
                <w:color w:val="000000"/>
                <w:sz w:val="22"/>
                <w:szCs w:val="22"/>
              </w:rPr>
              <w:t>Donald Kelly</w:t>
            </w:r>
          </w:p>
        </w:tc>
        <w:tc>
          <w:tcPr>
            <w:tcW w:w="900" w:type="dxa"/>
            <w:gridSpan w:val="2"/>
            <w:shd w:val="clear" w:color="auto" w:fill="FFFFFF"/>
          </w:tcPr>
          <w:p w:rsidR="00221132" w:rsidRPr="00261D8E" w:rsidRDefault="00221132"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221132" w:rsidRPr="00261D8E" w:rsidRDefault="00221132" w:rsidP="00380703">
            <w:pPr>
              <w:spacing w:before="60" w:after="60"/>
              <w:jc w:val="right"/>
              <w:rPr>
                <w:color w:val="000000"/>
                <w:sz w:val="22"/>
                <w:szCs w:val="22"/>
              </w:rPr>
            </w:pPr>
            <w:r w:rsidRPr="00261D8E">
              <w:rPr>
                <w:color w:val="000000"/>
                <w:sz w:val="22"/>
                <w:szCs w:val="22"/>
              </w:rPr>
              <w:t>30</w:t>
            </w:r>
            <w:r w:rsidR="00ED7406" w:rsidRPr="00261D8E">
              <w:rPr>
                <w:color w:val="000000"/>
                <w:sz w:val="22"/>
                <w:szCs w:val="22"/>
              </w:rPr>
              <w:t>4</w:t>
            </w:r>
            <w:r w:rsidRPr="00261D8E">
              <w:rPr>
                <w:color w:val="000000"/>
                <w:sz w:val="22"/>
                <w:szCs w:val="22"/>
              </w:rPr>
              <w:t>.25</w:t>
            </w:r>
          </w:p>
        </w:tc>
        <w:tc>
          <w:tcPr>
            <w:tcW w:w="925" w:type="dxa"/>
            <w:gridSpan w:val="2"/>
            <w:shd w:val="clear" w:color="auto" w:fill="FFFFFF"/>
          </w:tcPr>
          <w:p w:rsidR="00221132" w:rsidRPr="00261D8E" w:rsidRDefault="000E7AFA" w:rsidP="00380703">
            <w:pPr>
              <w:spacing w:before="60" w:after="60"/>
              <w:jc w:val="center"/>
              <w:rPr>
                <w:color w:val="000000"/>
                <w:sz w:val="22"/>
                <w:szCs w:val="22"/>
              </w:rPr>
            </w:pPr>
            <w:r w:rsidRPr="00261D8E">
              <w:rPr>
                <w:color w:val="000000"/>
                <w:sz w:val="22"/>
                <w:szCs w:val="22"/>
              </w:rPr>
              <w:t>$335</w:t>
            </w:r>
          </w:p>
        </w:tc>
        <w:tc>
          <w:tcPr>
            <w:tcW w:w="1530" w:type="dxa"/>
            <w:gridSpan w:val="3"/>
            <w:tcBorders>
              <w:right w:val="single" w:sz="4" w:space="0" w:color="auto"/>
            </w:tcBorders>
            <w:shd w:val="clear" w:color="auto" w:fill="FFFFFF"/>
          </w:tcPr>
          <w:p w:rsidR="00221132" w:rsidRPr="00261D8E" w:rsidRDefault="000E7AFA" w:rsidP="00380703">
            <w:pPr>
              <w:spacing w:before="60" w:after="60"/>
              <w:jc w:val="right"/>
              <w:rPr>
                <w:color w:val="000000"/>
                <w:sz w:val="22"/>
                <w:szCs w:val="22"/>
              </w:rPr>
            </w:pPr>
            <w:r w:rsidRPr="00261D8E">
              <w:rPr>
                <w:color w:val="000000"/>
                <w:sz w:val="22"/>
                <w:szCs w:val="22"/>
              </w:rPr>
              <w:t>D.1</w:t>
            </w:r>
            <w:r w:rsidR="0007279D" w:rsidRPr="00261D8E">
              <w:rPr>
                <w:color w:val="000000"/>
                <w:sz w:val="22"/>
                <w:szCs w:val="22"/>
              </w:rPr>
              <w:t>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061D24" w:rsidP="00380703">
            <w:pPr>
              <w:spacing w:before="60" w:after="60"/>
              <w:jc w:val="right"/>
              <w:rPr>
                <w:color w:val="000000"/>
                <w:sz w:val="22"/>
                <w:szCs w:val="22"/>
              </w:rPr>
            </w:pPr>
            <w:r w:rsidRPr="00261D8E">
              <w:rPr>
                <w:color w:val="000000"/>
                <w:sz w:val="22"/>
                <w:szCs w:val="22"/>
              </w:rPr>
              <w:t>$1</w:t>
            </w:r>
            <w:r w:rsidR="00ED7406" w:rsidRPr="00261D8E">
              <w:rPr>
                <w:color w:val="000000"/>
                <w:sz w:val="22"/>
                <w:szCs w:val="22"/>
              </w:rPr>
              <w:t>01,923</w:t>
            </w:r>
            <w:r w:rsidRPr="00261D8E">
              <w:rPr>
                <w:color w:val="000000"/>
                <w:sz w:val="22"/>
                <w:szCs w:val="22"/>
              </w:rPr>
              <w:t>75</w:t>
            </w:r>
          </w:p>
        </w:tc>
        <w:tc>
          <w:tcPr>
            <w:tcW w:w="900" w:type="dxa"/>
            <w:tcBorders>
              <w:left w:val="single" w:sz="4" w:space="0" w:color="auto"/>
            </w:tcBorders>
            <w:shd w:val="clear" w:color="auto" w:fill="FFFFFF"/>
          </w:tcPr>
          <w:p w:rsidR="00221132" w:rsidRPr="00261D8E" w:rsidRDefault="005D0C66" w:rsidP="005D0C66">
            <w:pPr>
              <w:tabs>
                <w:tab w:val="left" w:pos="324"/>
              </w:tabs>
              <w:spacing w:before="60" w:after="60"/>
              <w:rPr>
                <w:color w:val="000000"/>
                <w:sz w:val="22"/>
                <w:szCs w:val="22"/>
              </w:rPr>
            </w:pPr>
            <w:r>
              <w:rPr>
                <w:color w:val="000000"/>
                <w:sz w:val="22"/>
                <w:szCs w:val="22"/>
              </w:rPr>
              <w:t>299.00</w:t>
            </w:r>
          </w:p>
        </w:tc>
        <w:tc>
          <w:tcPr>
            <w:tcW w:w="1080" w:type="dxa"/>
            <w:shd w:val="clear" w:color="auto" w:fill="FFFFFF"/>
          </w:tcPr>
          <w:p w:rsidR="00221132" w:rsidRPr="00261D8E" w:rsidRDefault="000E5A03" w:rsidP="00380703">
            <w:pPr>
              <w:spacing w:before="60" w:after="60"/>
              <w:jc w:val="center"/>
              <w:rPr>
                <w:color w:val="000000"/>
                <w:sz w:val="22"/>
                <w:szCs w:val="22"/>
              </w:rPr>
            </w:pPr>
            <w:r>
              <w:rPr>
                <w:color w:val="000000"/>
                <w:sz w:val="22"/>
                <w:szCs w:val="22"/>
              </w:rPr>
              <w:t>335.00</w:t>
            </w:r>
          </w:p>
        </w:tc>
        <w:tc>
          <w:tcPr>
            <w:tcW w:w="1350" w:type="dxa"/>
            <w:shd w:val="clear" w:color="auto" w:fill="FFFFFF"/>
          </w:tcPr>
          <w:p w:rsidR="00221132" w:rsidRPr="00261D8E" w:rsidRDefault="005646DA" w:rsidP="00380703">
            <w:pPr>
              <w:spacing w:before="60" w:after="60"/>
              <w:jc w:val="right"/>
              <w:rPr>
                <w:color w:val="000000"/>
                <w:sz w:val="22"/>
                <w:szCs w:val="22"/>
              </w:rPr>
            </w:pPr>
            <w:r>
              <w:rPr>
                <w:color w:val="000000"/>
                <w:sz w:val="22"/>
                <w:szCs w:val="22"/>
              </w:rPr>
              <w:t>100,165.00</w:t>
            </w:r>
          </w:p>
        </w:tc>
      </w:tr>
      <w:tr w:rsidR="00221132" w:rsidRPr="00261D8E" w:rsidTr="006B6AD9">
        <w:tc>
          <w:tcPr>
            <w:tcW w:w="1098" w:type="dxa"/>
            <w:gridSpan w:val="2"/>
            <w:shd w:val="clear" w:color="auto" w:fill="FFFFFF"/>
          </w:tcPr>
          <w:p w:rsidR="00221132" w:rsidRPr="00261D8E" w:rsidRDefault="00221132" w:rsidP="00A92D0B">
            <w:pPr>
              <w:spacing w:before="60" w:after="60"/>
              <w:rPr>
                <w:color w:val="000000"/>
                <w:sz w:val="22"/>
                <w:szCs w:val="22"/>
              </w:rPr>
            </w:pPr>
            <w:r w:rsidRPr="00261D8E">
              <w:rPr>
                <w:color w:val="000000"/>
                <w:sz w:val="22"/>
                <w:szCs w:val="22"/>
              </w:rPr>
              <w:t>Donald Kelly</w:t>
            </w:r>
          </w:p>
        </w:tc>
        <w:tc>
          <w:tcPr>
            <w:tcW w:w="900" w:type="dxa"/>
            <w:gridSpan w:val="2"/>
            <w:shd w:val="clear" w:color="auto" w:fill="FFFFFF"/>
          </w:tcPr>
          <w:p w:rsidR="00221132" w:rsidRPr="00261D8E" w:rsidRDefault="00221132" w:rsidP="00380703">
            <w:pPr>
              <w:spacing w:before="60" w:after="60"/>
              <w:jc w:val="center"/>
              <w:rPr>
                <w:color w:val="000000"/>
                <w:sz w:val="22"/>
                <w:szCs w:val="22"/>
              </w:rPr>
            </w:pPr>
            <w:r w:rsidRPr="00261D8E">
              <w:rPr>
                <w:color w:val="000000"/>
                <w:sz w:val="22"/>
                <w:szCs w:val="22"/>
              </w:rPr>
              <w:t>2016</w:t>
            </w:r>
          </w:p>
        </w:tc>
        <w:tc>
          <w:tcPr>
            <w:tcW w:w="965" w:type="dxa"/>
            <w:gridSpan w:val="2"/>
            <w:shd w:val="clear" w:color="auto" w:fill="FFFFFF"/>
          </w:tcPr>
          <w:p w:rsidR="00221132" w:rsidRPr="00261D8E" w:rsidRDefault="00221132" w:rsidP="00380703">
            <w:pPr>
              <w:spacing w:before="60" w:after="60"/>
              <w:jc w:val="right"/>
              <w:rPr>
                <w:color w:val="000000"/>
                <w:sz w:val="22"/>
                <w:szCs w:val="22"/>
              </w:rPr>
            </w:pPr>
            <w:r w:rsidRPr="00261D8E">
              <w:rPr>
                <w:color w:val="000000"/>
                <w:sz w:val="22"/>
                <w:szCs w:val="22"/>
              </w:rPr>
              <w:t>28.75</w:t>
            </w:r>
          </w:p>
        </w:tc>
        <w:tc>
          <w:tcPr>
            <w:tcW w:w="925" w:type="dxa"/>
            <w:gridSpan w:val="2"/>
            <w:shd w:val="clear" w:color="auto" w:fill="FFFFFF"/>
          </w:tcPr>
          <w:p w:rsidR="00221132" w:rsidRPr="00261D8E" w:rsidRDefault="0007279D" w:rsidP="00380703">
            <w:pPr>
              <w:spacing w:before="60" w:after="60"/>
              <w:jc w:val="center"/>
              <w:rPr>
                <w:color w:val="000000"/>
                <w:sz w:val="22"/>
                <w:szCs w:val="22"/>
              </w:rPr>
            </w:pPr>
            <w:r w:rsidRPr="00261D8E">
              <w:rPr>
                <w:color w:val="000000"/>
                <w:sz w:val="22"/>
                <w:szCs w:val="22"/>
              </w:rPr>
              <w:t>$350</w:t>
            </w:r>
          </w:p>
        </w:tc>
        <w:tc>
          <w:tcPr>
            <w:tcW w:w="1530" w:type="dxa"/>
            <w:gridSpan w:val="3"/>
            <w:tcBorders>
              <w:right w:val="single" w:sz="4" w:space="0" w:color="auto"/>
            </w:tcBorders>
            <w:shd w:val="clear" w:color="auto" w:fill="FFFFFF"/>
          </w:tcPr>
          <w:p w:rsidR="00221132"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061D24" w:rsidP="00380703">
            <w:pPr>
              <w:spacing w:before="60" w:after="60"/>
              <w:jc w:val="right"/>
              <w:rPr>
                <w:color w:val="000000"/>
                <w:sz w:val="22"/>
                <w:szCs w:val="22"/>
              </w:rPr>
            </w:pPr>
            <w:r w:rsidRPr="00261D8E">
              <w:rPr>
                <w:color w:val="000000"/>
                <w:sz w:val="22"/>
                <w:szCs w:val="22"/>
              </w:rPr>
              <w:t>$10,062.5</w:t>
            </w:r>
          </w:p>
        </w:tc>
        <w:tc>
          <w:tcPr>
            <w:tcW w:w="900" w:type="dxa"/>
            <w:tcBorders>
              <w:left w:val="single" w:sz="4" w:space="0" w:color="auto"/>
            </w:tcBorders>
            <w:shd w:val="clear" w:color="auto" w:fill="FFFFFF"/>
          </w:tcPr>
          <w:p w:rsidR="005D0C66" w:rsidRDefault="005D0C66" w:rsidP="00380703">
            <w:pPr>
              <w:spacing w:before="60" w:after="60"/>
              <w:jc w:val="right"/>
              <w:rPr>
                <w:color w:val="000000"/>
                <w:sz w:val="22"/>
                <w:szCs w:val="22"/>
              </w:rPr>
            </w:pPr>
            <w:r>
              <w:rPr>
                <w:color w:val="000000"/>
                <w:sz w:val="22"/>
                <w:szCs w:val="22"/>
              </w:rPr>
              <w:t>34.25</w:t>
            </w:r>
          </w:p>
          <w:p w:rsidR="00221132" w:rsidRPr="005D0C66" w:rsidRDefault="00221132" w:rsidP="005D0C66">
            <w:pPr>
              <w:rPr>
                <w:sz w:val="22"/>
                <w:szCs w:val="22"/>
              </w:rPr>
            </w:pPr>
          </w:p>
        </w:tc>
        <w:tc>
          <w:tcPr>
            <w:tcW w:w="1080" w:type="dxa"/>
            <w:shd w:val="clear" w:color="auto" w:fill="FFFFFF"/>
          </w:tcPr>
          <w:p w:rsidR="00221132" w:rsidRDefault="000E5A03" w:rsidP="00380703">
            <w:pPr>
              <w:spacing w:before="60" w:after="60"/>
              <w:jc w:val="center"/>
              <w:rPr>
                <w:color w:val="000000"/>
                <w:sz w:val="22"/>
                <w:szCs w:val="22"/>
              </w:rPr>
            </w:pPr>
            <w:r>
              <w:rPr>
                <w:color w:val="000000"/>
                <w:sz w:val="22"/>
                <w:szCs w:val="22"/>
              </w:rPr>
              <w:t>340.00</w:t>
            </w:r>
          </w:p>
          <w:p w:rsidR="000E5A03" w:rsidRPr="000E5A03" w:rsidRDefault="000E5A03" w:rsidP="00380703">
            <w:pPr>
              <w:spacing w:before="60" w:after="60"/>
              <w:jc w:val="center"/>
              <w:rPr>
                <w:color w:val="000000"/>
                <w:sz w:val="22"/>
                <w:szCs w:val="22"/>
              </w:rPr>
            </w:pPr>
            <w:r>
              <w:rPr>
                <w:i/>
                <w:color w:val="000000"/>
                <w:sz w:val="22"/>
                <w:szCs w:val="22"/>
              </w:rPr>
              <w:t>See</w:t>
            </w:r>
            <w:r>
              <w:rPr>
                <w:color w:val="000000"/>
                <w:sz w:val="22"/>
                <w:szCs w:val="22"/>
              </w:rPr>
              <w:t xml:space="preserve"> Res. ALJ-329.</w:t>
            </w:r>
          </w:p>
        </w:tc>
        <w:tc>
          <w:tcPr>
            <w:tcW w:w="1350" w:type="dxa"/>
            <w:shd w:val="clear" w:color="auto" w:fill="FFFFFF"/>
          </w:tcPr>
          <w:p w:rsidR="00221132" w:rsidRPr="00261D8E" w:rsidRDefault="005646DA" w:rsidP="00380703">
            <w:pPr>
              <w:spacing w:before="60" w:after="60"/>
              <w:jc w:val="right"/>
              <w:rPr>
                <w:color w:val="000000"/>
                <w:sz w:val="22"/>
                <w:szCs w:val="22"/>
              </w:rPr>
            </w:pPr>
            <w:r>
              <w:rPr>
                <w:color w:val="000000"/>
                <w:sz w:val="22"/>
                <w:szCs w:val="22"/>
              </w:rPr>
              <w:t>11,645.00</w:t>
            </w:r>
          </w:p>
        </w:tc>
      </w:tr>
      <w:tr w:rsidR="00A92D0B" w:rsidRPr="00261D8E" w:rsidTr="006B6AD9">
        <w:tc>
          <w:tcPr>
            <w:tcW w:w="1098" w:type="dxa"/>
            <w:gridSpan w:val="2"/>
            <w:shd w:val="clear" w:color="auto" w:fill="FFFFFF"/>
          </w:tcPr>
          <w:p w:rsidR="00A92D0B" w:rsidRPr="00261D8E" w:rsidRDefault="00221132" w:rsidP="00A92D0B">
            <w:pPr>
              <w:spacing w:before="60" w:after="60"/>
              <w:rPr>
                <w:color w:val="000000"/>
                <w:sz w:val="22"/>
                <w:szCs w:val="22"/>
              </w:rPr>
            </w:pPr>
            <w:r w:rsidRPr="00261D8E">
              <w:rPr>
                <w:color w:val="000000"/>
                <w:sz w:val="22"/>
                <w:szCs w:val="22"/>
              </w:rPr>
              <w:lastRenderedPageBreak/>
              <w:t xml:space="preserve">Jane </w:t>
            </w:r>
            <w:proofErr w:type="spellStart"/>
            <w:r w:rsidRPr="00261D8E">
              <w:rPr>
                <w:color w:val="000000"/>
                <w:sz w:val="22"/>
                <w:szCs w:val="22"/>
              </w:rPr>
              <w:t>Krikorian</w:t>
            </w:r>
            <w:proofErr w:type="spellEnd"/>
          </w:p>
        </w:tc>
        <w:tc>
          <w:tcPr>
            <w:tcW w:w="900" w:type="dxa"/>
            <w:gridSpan w:val="2"/>
            <w:shd w:val="clear" w:color="auto" w:fill="FFFFFF"/>
          </w:tcPr>
          <w:p w:rsidR="00A92D0B" w:rsidRPr="00261D8E" w:rsidRDefault="00221132" w:rsidP="00380703">
            <w:pPr>
              <w:spacing w:before="60" w:after="60"/>
              <w:jc w:val="center"/>
              <w:rPr>
                <w:color w:val="000000"/>
                <w:sz w:val="22"/>
                <w:szCs w:val="22"/>
              </w:rPr>
            </w:pPr>
            <w:r w:rsidRPr="00261D8E">
              <w:rPr>
                <w:color w:val="000000"/>
                <w:sz w:val="22"/>
                <w:szCs w:val="22"/>
              </w:rPr>
              <w:t>2014</w:t>
            </w:r>
          </w:p>
        </w:tc>
        <w:tc>
          <w:tcPr>
            <w:tcW w:w="965" w:type="dxa"/>
            <w:gridSpan w:val="2"/>
            <w:shd w:val="clear" w:color="auto" w:fill="FFFFFF"/>
          </w:tcPr>
          <w:p w:rsidR="00A92D0B" w:rsidRPr="00261D8E" w:rsidRDefault="00221132" w:rsidP="00380703">
            <w:pPr>
              <w:spacing w:before="60" w:after="60"/>
              <w:jc w:val="right"/>
              <w:rPr>
                <w:color w:val="000000"/>
                <w:sz w:val="22"/>
                <w:szCs w:val="22"/>
              </w:rPr>
            </w:pPr>
            <w:r w:rsidRPr="00261D8E">
              <w:rPr>
                <w:color w:val="000000"/>
                <w:sz w:val="22"/>
                <w:szCs w:val="22"/>
              </w:rPr>
              <w:t>1.25</w:t>
            </w:r>
          </w:p>
        </w:tc>
        <w:tc>
          <w:tcPr>
            <w:tcW w:w="925"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$150</w:t>
            </w:r>
          </w:p>
        </w:tc>
        <w:tc>
          <w:tcPr>
            <w:tcW w:w="1530" w:type="dxa"/>
            <w:gridSpan w:val="3"/>
            <w:tcBorders>
              <w:right w:val="single" w:sz="4" w:space="0" w:color="auto"/>
            </w:tcBorders>
            <w:shd w:val="clear" w:color="auto" w:fill="FFFFFF"/>
          </w:tcPr>
          <w:p w:rsidR="00A92D0B"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061D24" w:rsidP="00380703">
            <w:pPr>
              <w:spacing w:before="60" w:after="60"/>
              <w:jc w:val="right"/>
              <w:rPr>
                <w:color w:val="000000"/>
                <w:sz w:val="22"/>
                <w:szCs w:val="22"/>
              </w:rPr>
            </w:pPr>
            <w:r w:rsidRPr="00261D8E">
              <w:rPr>
                <w:color w:val="000000"/>
                <w:sz w:val="22"/>
                <w:szCs w:val="22"/>
              </w:rPr>
              <w:t>$187.50</w:t>
            </w:r>
          </w:p>
        </w:tc>
        <w:tc>
          <w:tcPr>
            <w:tcW w:w="900" w:type="dxa"/>
            <w:tcBorders>
              <w:left w:val="single" w:sz="4" w:space="0" w:color="auto"/>
            </w:tcBorders>
            <w:shd w:val="clear" w:color="auto" w:fill="FFFFFF"/>
          </w:tcPr>
          <w:p w:rsidR="00A92D0B" w:rsidRPr="00261D8E" w:rsidRDefault="00BA4BE2" w:rsidP="00380703">
            <w:pPr>
              <w:spacing w:before="60" w:after="60"/>
              <w:jc w:val="right"/>
              <w:rPr>
                <w:color w:val="000000"/>
                <w:sz w:val="22"/>
                <w:szCs w:val="22"/>
              </w:rPr>
            </w:pPr>
            <w:r>
              <w:rPr>
                <w:color w:val="000000"/>
                <w:sz w:val="22"/>
                <w:szCs w:val="22"/>
              </w:rPr>
              <w:t>1.25</w:t>
            </w:r>
          </w:p>
        </w:tc>
        <w:tc>
          <w:tcPr>
            <w:tcW w:w="1080" w:type="dxa"/>
            <w:shd w:val="clear" w:color="auto" w:fill="FFFFFF"/>
          </w:tcPr>
          <w:p w:rsidR="00A92D0B" w:rsidRPr="00261D8E" w:rsidRDefault="000E5A03" w:rsidP="00380703">
            <w:pPr>
              <w:spacing w:before="60" w:after="60"/>
              <w:jc w:val="center"/>
              <w:rPr>
                <w:color w:val="000000"/>
                <w:sz w:val="22"/>
                <w:szCs w:val="22"/>
              </w:rPr>
            </w:pPr>
            <w:r>
              <w:rPr>
                <w:color w:val="000000"/>
                <w:sz w:val="22"/>
                <w:szCs w:val="22"/>
              </w:rPr>
              <w:t>150.00</w:t>
            </w:r>
          </w:p>
        </w:tc>
        <w:tc>
          <w:tcPr>
            <w:tcW w:w="1350" w:type="dxa"/>
            <w:shd w:val="clear" w:color="auto" w:fill="FFFFFF"/>
          </w:tcPr>
          <w:p w:rsidR="00A92D0B" w:rsidRPr="00261D8E" w:rsidRDefault="00BA4BE2" w:rsidP="00380703">
            <w:pPr>
              <w:spacing w:before="60" w:after="60"/>
              <w:jc w:val="right"/>
              <w:rPr>
                <w:color w:val="000000"/>
                <w:sz w:val="22"/>
                <w:szCs w:val="22"/>
              </w:rPr>
            </w:pPr>
            <w:r>
              <w:rPr>
                <w:color w:val="000000"/>
                <w:sz w:val="22"/>
                <w:szCs w:val="22"/>
              </w:rPr>
              <w:t>187.50</w:t>
            </w:r>
          </w:p>
        </w:tc>
      </w:tr>
      <w:tr w:rsidR="00221132" w:rsidRPr="00261D8E" w:rsidTr="006B6AD9">
        <w:tc>
          <w:tcPr>
            <w:tcW w:w="1098" w:type="dxa"/>
            <w:gridSpan w:val="2"/>
            <w:shd w:val="clear" w:color="auto" w:fill="FFFFFF"/>
          </w:tcPr>
          <w:p w:rsidR="00221132" w:rsidRPr="00261D8E" w:rsidRDefault="00221132" w:rsidP="00A92D0B">
            <w:pPr>
              <w:spacing w:before="60" w:after="60"/>
              <w:rPr>
                <w:color w:val="000000"/>
                <w:sz w:val="22"/>
                <w:szCs w:val="22"/>
              </w:rPr>
            </w:pPr>
            <w:r w:rsidRPr="00261D8E">
              <w:rPr>
                <w:color w:val="000000"/>
                <w:sz w:val="22"/>
                <w:szCs w:val="22"/>
              </w:rPr>
              <w:t xml:space="preserve">Jane </w:t>
            </w:r>
            <w:proofErr w:type="spellStart"/>
            <w:r w:rsidRPr="00261D8E">
              <w:rPr>
                <w:color w:val="000000"/>
                <w:sz w:val="22"/>
                <w:szCs w:val="22"/>
              </w:rPr>
              <w:t>Krikorian</w:t>
            </w:r>
            <w:proofErr w:type="spellEnd"/>
          </w:p>
        </w:tc>
        <w:tc>
          <w:tcPr>
            <w:tcW w:w="900" w:type="dxa"/>
            <w:gridSpan w:val="2"/>
            <w:shd w:val="clear" w:color="auto" w:fill="FFFFFF"/>
          </w:tcPr>
          <w:p w:rsidR="00221132" w:rsidRPr="00261D8E" w:rsidRDefault="00221132"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221132" w:rsidRPr="00261D8E" w:rsidRDefault="00221132" w:rsidP="00380703">
            <w:pPr>
              <w:spacing w:before="60" w:after="60"/>
              <w:jc w:val="right"/>
              <w:rPr>
                <w:color w:val="000000"/>
                <w:sz w:val="22"/>
                <w:szCs w:val="22"/>
              </w:rPr>
            </w:pPr>
            <w:r w:rsidRPr="00261D8E">
              <w:rPr>
                <w:color w:val="000000"/>
                <w:sz w:val="22"/>
                <w:szCs w:val="22"/>
              </w:rPr>
              <w:t>.5</w:t>
            </w:r>
          </w:p>
        </w:tc>
        <w:tc>
          <w:tcPr>
            <w:tcW w:w="925" w:type="dxa"/>
            <w:gridSpan w:val="2"/>
            <w:shd w:val="clear" w:color="auto" w:fill="FFFFFF"/>
          </w:tcPr>
          <w:p w:rsidR="00221132" w:rsidRPr="00261D8E" w:rsidRDefault="0007279D" w:rsidP="00380703">
            <w:pPr>
              <w:spacing w:before="60" w:after="60"/>
              <w:jc w:val="center"/>
              <w:rPr>
                <w:color w:val="000000"/>
                <w:sz w:val="22"/>
                <w:szCs w:val="22"/>
              </w:rPr>
            </w:pPr>
            <w:r w:rsidRPr="00261D8E">
              <w:rPr>
                <w:color w:val="000000"/>
                <w:sz w:val="22"/>
                <w:szCs w:val="22"/>
              </w:rPr>
              <w:t>$150</w:t>
            </w:r>
          </w:p>
        </w:tc>
        <w:tc>
          <w:tcPr>
            <w:tcW w:w="1530" w:type="dxa"/>
            <w:gridSpan w:val="3"/>
            <w:tcBorders>
              <w:right w:val="single" w:sz="4" w:space="0" w:color="auto"/>
            </w:tcBorders>
            <w:shd w:val="clear" w:color="auto" w:fill="FFFFFF"/>
          </w:tcPr>
          <w:p w:rsidR="00221132"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061D24" w:rsidP="00380703">
            <w:pPr>
              <w:spacing w:before="60" w:after="60"/>
              <w:jc w:val="right"/>
              <w:rPr>
                <w:color w:val="000000"/>
                <w:sz w:val="22"/>
                <w:szCs w:val="22"/>
              </w:rPr>
            </w:pPr>
            <w:r w:rsidRPr="00261D8E">
              <w:rPr>
                <w:color w:val="000000"/>
                <w:sz w:val="22"/>
                <w:szCs w:val="22"/>
              </w:rPr>
              <w:t>$75</w:t>
            </w:r>
          </w:p>
        </w:tc>
        <w:tc>
          <w:tcPr>
            <w:tcW w:w="900" w:type="dxa"/>
            <w:tcBorders>
              <w:left w:val="single" w:sz="4" w:space="0" w:color="auto"/>
            </w:tcBorders>
            <w:shd w:val="clear" w:color="auto" w:fill="FFFFFF"/>
          </w:tcPr>
          <w:p w:rsidR="00221132" w:rsidRPr="00261D8E" w:rsidRDefault="00BA4BE2" w:rsidP="00380703">
            <w:pPr>
              <w:spacing w:before="60" w:after="60"/>
              <w:jc w:val="right"/>
              <w:rPr>
                <w:color w:val="000000"/>
                <w:sz w:val="22"/>
                <w:szCs w:val="22"/>
              </w:rPr>
            </w:pPr>
            <w:r>
              <w:rPr>
                <w:color w:val="000000"/>
                <w:sz w:val="22"/>
                <w:szCs w:val="22"/>
              </w:rPr>
              <w:t>0.50</w:t>
            </w:r>
          </w:p>
        </w:tc>
        <w:tc>
          <w:tcPr>
            <w:tcW w:w="1080" w:type="dxa"/>
            <w:shd w:val="clear" w:color="auto" w:fill="FFFFFF"/>
          </w:tcPr>
          <w:p w:rsidR="00221132" w:rsidRPr="00261D8E" w:rsidRDefault="000E5A03" w:rsidP="00380703">
            <w:pPr>
              <w:spacing w:before="60" w:after="60"/>
              <w:jc w:val="center"/>
              <w:rPr>
                <w:color w:val="000000"/>
                <w:sz w:val="22"/>
                <w:szCs w:val="22"/>
              </w:rPr>
            </w:pPr>
            <w:r>
              <w:rPr>
                <w:color w:val="000000"/>
                <w:sz w:val="22"/>
                <w:szCs w:val="22"/>
              </w:rPr>
              <w:t>150.00</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75.00</w:t>
            </w:r>
          </w:p>
        </w:tc>
      </w:tr>
      <w:tr w:rsidR="00A92D0B" w:rsidRPr="00261D8E" w:rsidTr="006B6AD9">
        <w:tc>
          <w:tcPr>
            <w:tcW w:w="1098" w:type="dxa"/>
            <w:gridSpan w:val="2"/>
            <w:shd w:val="clear" w:color="auto" w:fill="FFFFFF"/>
          </w:tcPr>
          <w:p w:rsidR="00A92D0B" w:rsidRPr="00261D8E" w:rsidRDefault="001D72F7" w:rsidP="00A92D0B">
            <w:pPr>
              <w:spacing w:before="60" w:after="60"/>
              <w:rPr>
                <w:color w:val="000000"/>
                <w:sz w:val="22"/>
                <w:szCs w:val="22"/>
              </w:rPr>
            </w:pPr>
            <w:r w:rsidRPr="00261D8E">
              <w:rPr>
                <w:color w:val="000000"/>
                <w:sz w:val="22"/>
                <w:szCs w:val="22"/>
              </w:rPr>
              <w:t xml:space="preserve">Robert </w:t>
            </w:r>
            <w:proofErr w:type="spellStart"/>
            <w:r w:rsidRPr="00261D8E">
              <w:rPr>
                <w:color w:val="000000"/>
                <w:sz w:val="22"/>
                <w:szCs w:val="22"/>
              </w:rPr>
              <w:t>Sulpizio</w:t>
            </w:r>
            <w:proofErr w:type="spellEnd"/>
          </w:p>
        </w:tc>
        <w:tc>
          <w:tcPr>
            <w:tcW w:w="900" w:type="dxa"/>
            <w:gridSpan w:val="2"/>
            <w:shd w:val="clear" w:color="auto" w:fill="FFFFFF"/>
          </w:tcPr>
          <w:p w:rsidR="00A92D0B" w:rsidRPr="00261D8E" w:rsidRDefault="001D72F7"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A92D0B" w:rsidRPr="00261D8E" w:rsidRDefault="00353B8A" w:rsidP="00380703">
            <w:pPr>
              <w:spacing w:before="60" w:after="60"/>
              <w:jc w:val="right"/>
              <w:rPr>
                <w:color w:val="000000"/>
                <w:sz w:val="22"/>
                <w:szCs w:val="22"/>
              </w:rPr>
            </w:pPr>
            <w:r w:rsidRPr="00261D8E">
              <w:rPr>
                <w:color w:val="000000"/>
                <w:sz w:val="22"/>
                <w:szCs w:val="22"/>
              </w:rPr>
              <w:t>85</w:t>
            </w:r>
          </w:p>
        </w:tc>
        <w:tc>
          <w:tcPr>
            <w:tcW w:w="925" w:type="dxa"/>
            <w:gridSpan w:val="2"/>
            <w:shd w:val="clear" w:color="auto" w:fill="FFFFFF"/>
          </w:tcPr>
          <w:p w:rsidR="00A92D0B" w:rsidRPr="00261D8E" w:rsidRDefault="001D72F7" w:rsidP="00380703">
            <w:pPr>
              <w:spacing w:before="60" w:after="60"/>
              <w:jc w:val="center"/>
              <w:rPr>
                <w:color w:val="000000"/>
                <w:sz w:val="22"/>
                <w:szCs w:val="22"/>
              </w:rPr>
            </w:pPr>
            <w:r w:rsidRPr="00261D8E">
              <w:rPr>
                <w:color w:val="000000"/>
                <w:sz w:val="22"/>
                <w:szCs w:val="22"/>
              </w:rPr>
              <w:t>$390</w:t>
            </w:r>
          </w:p>
        </w:tc>
        <w:tc>
          <w:tcPr>
            <w:tcW w:w="1530" w:type="dxa"/>
            <w:gridSpan w:val="3"/>
            <w:tcBorders>
              <w:right w:val="single" w:sz="4" w:space="0" w:color="auto"/>
            </w:tcBorders>
            <w:shd w:val="clear" w:color="auto" w:fill="FFFFFF"/>
          </w:tcPr>
          <w:p w:rsidR="00A92D0B" w:rsidRPr="00261D8E" w:rsidRDefault="001D72F7" w:rsidP="00380703">
            <w:pPr>
              <w:spacing w:before="60" w:after="60"/>
              <w:jc w:val="right"/>
              <w:rPr>
                <w:color w:val="000000"/>
                <w:sz w:val="22"/>
                <w:szCs w:val="22"/>
              </w:rPr>
            </w:pPr>
            <w:r w:rsidRPr="00261D8E">
              <w:rPr>
                <w:color w:val="000000"/>
                <w:sz w:val="22"/>
                <w:szCs w:val="22"/>
              </w:rPr>
              <w:t>D.14-08-025</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061D24" w:rsidP="00380703">
            <w:pPr>
              <w:spacing w:before="60" w:after="60"/>
              <w:jc w:val="right"/>
              <w:rPr>
                <w:color w:val="000000"/>
                <w:sz w:val="22"/>
                <w:szCs w:val="22"/>
              </w:rPr>
            </w:pPr>
            <w:r w:rsidRPr="00261D8E">
              <w:rPr>
                <w:color w:val="000000"/>
                <w:sz w:val="22"/>
                <w:szCs w:val="22"/>
              </w:rPr>
              <w:t>$33,150</w:t>
            </w:r>
          </w:p>
        </w:tc>
        <w:tc>
          <w:tcPr>
            <w:tcW w:w="900" w:type="dxa"/>
            <w:tcBorders>
              <w:left w:val="single" w:sz="4" w:space="0" w:color="auto"/>
            </w:tcBorders>
            <w:shd w:val="clear" w:color="auto" w:fill="FFFFFF"/>
          </w:tcPr>
          <w:p w:rsidR="00A92D0B" w:rsidRPr="00261D8E" w:rsidRDefault="00BA4BE2" w:rsidP="00380703">
            <w:pPr>
              <w:spacing w:before="60" w:after="60"/>
              <w:jc w:val="right"/>
              <w:rPr>
                <w:color w:val="000000"/>
                <w:sz w:val="22"/>
                <w:szCs w:val="22"/>
              </w:rPr>
            </w:pPr>
            <w:r>
              <w:rPr>
                <w:color w:val="000000"/>
                <w:sz w:val="22"/>
                <w:szCs w:val="22"/>
              </w:rPr>
              <w:t>85.00</w:t>
            </w:r>
          </w:p>
        </w:tc>
        <w:tc>
          <w:tcPr>
            <w:tcW w:w="1080" w:type="dxa"/>
            <w:shd w:val="clear" w:color="auto" w:fill="FFFFFF"/>
          </w:tcPr>
          <w:p w:rsidR="00A92D0B" w:rsidRDefault="00767984" w:rsidP="00380703">
            <w:pPr>
              <w:spacing w:before="60" w:after="60"/>
              <w:jc w:val="center"/>
              <w:rPr>
                <w:color w:val="000000"/>
                <w:sz w:val="22"/>
                <w:szCs w:val="22"/>
              </w:rPr>
            </w:pPr>
            <w:r>
              <w:rPr>
                <w:color w:val="000000"/>
                <w:sz w:val="22"/>
                <w:szCs w:val="22"/>
              </w:rPr>
              <w:t>410.00</w:t>
            </w:r>
          </w:p>
          <w:p w:rsidR="00767984" w:rsidRPr="00767984" w:rsidRDefault="00767984" w:rsidP="00380703">
            <w:pPr>
              <w:spacing w:before="60" w:after="60"/>
              <w:jc w:val="center"/>
              <w:rPr>
                <w:color w:val="000000"/>
                <w:sz w:val="22"/>
                <w:szCs w:val="22"/>
              </w:rPr>
            </w:pPr>
            <w:r>
              <w:rPr>
                <w:i/>
                <w:color w:val="000000"/>
                <w:sz w:val="22"/>
                <w:szCs w:val="22"/>
              </w:rPr>
              <w:t>See</w:t>
            </w:r>
            <w:r>
              <w:rPr>
                <w:color w:val="000000"/>
                <w:sz w:val="22"/>
                <w:szCs w:val="22"/>
              </w:rPr>
              <w:t xml:space="preserve"> Res. ALJ-287, 303, and 308.</w:t>
            </w:r>
          </w:p>
        </w:tc>
        <w:tc>
          <w:tcPr>
            <w:tcW w:w="1350" w:type="dxa"/>
            <w:shd w:val="clear" w:color="auto" w:fill="FFFFFF"/>
          </w:tcPr>
          <w:p w:rsidR="00A92D0B" w:rsidRPr="00261D8E" w:rsidRDefault="00BA4BE2" w:rsidP="00BA4BE2">
            <w:pPr>
              <w:spacing w:before="60" w:after="60"/>
              <w:jc w:val="right"/>
              <w:rPr>
                <w:color w:val="000000"/>
                <w:sz w:val="22"/>
                <w:szCs w:val="22"/>
              </w:rPr>
            </w:pPr>
            <w:r>
              <w:rPr>
                <w:color w:val="000000"/>
                <w:sz w:val="22"/>
                <w:szCs w:val="22"/>
              </w:rPr>
              <w:t>34,850.00</w:t>
            </w:r>
          </w:p>
        </w:tc>
      </w:tr>
      <w:tr w:rsidR="00A92D0B" w:rsidRPr="00261D8E" w:rsidTr="006B6AD9">
        <w:tc>
          <w:tcPr>
            <w:tcW w:w="1098" w:type="dxa"/>
            <w:gridSpan w:val="2"/>
            <w:shd w:val="clear" w:color="auto" w:fill="FFFFFF"/>
          </w:tcPr>
          <w:p w:rsidR="00A92D0B" w:rsidRPr="00261D8E" w:rsidRDefault="00353B8A" w:rsidP="00AB4AF1">
            <w:pPr>
              <w:keepNext/>
              <w:keepLines/>
              <w:spacing w:before="60" w:after="60"/>
              <w:rPr>
                <w:color w:val="000000"/>
                <w:sz w:val="22"/>
                <w:szCs w:val="22"/>
              </w:rPr>
            </w:pPr>
            <w:r w:rsidRPr="00261D8E">
              <w:rPr>
                <w:color w:val="000000"/>
                <w:sz w:val="22"/>
                <w:szCs w:val="22"/>
              </w:rPr>
              <w:t xml:space="preserve">Briana </w:t>
            </w:r>
            <w:proofErr w:type="spellStart"/>
            <w:r w:rsidRPr="00261D8E">
              <w:rPr>
                <w:color w:val="000000"/>
                <w:sz w:val="22"/>
                <w:szCs w:val="22"/>
              </w:rPr>
              <w:t>Kobor</w:t>
            </w:r>
            <w:proofErr w:type="spellEnd"/>
            <w:r w:rsidR="00A92D0B" w:rsidRPr="00261D8E">
              <w:rPr>
                <w:color w:val="000000"/>
                <w:sz w:val="22"/>
                <w:szCs w:val="22"/>
              </w:rPr>
              <w:t xml:space="preserve"> </w:t>
            </w:r>
          </w:p>
        </w:tc>
        <w:tc>
          <w:tcPr>
            <w:tcW w:w="900" w:type="dxa"/>
            <w:gridSpan w:val="2"/>
            <w:shd w:val="clear" w:color="auto" w:fill="FFFFFF"/>
          </w:tcPr>
          <w:p w:rsidR="00A92D0B" w:rsidRPr="00261D8E" w:rsidRDefault="00353B8A" w:rsidP="00AB4AF1">
            <w:pPr>
              <w:keepNext/>
              <w:keepLines/>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A92D0B" w:rsidRPr="00261D8E" w:rsidRDefault="00353B8A" w:rsidP="00AB4AF1">
            <w:pPr>
              <w:keepNext/>
              <w:keepLines/>
              <w:spacing w:before="60" w:after="60"/>
              <w:jc w:val="right"/>
              <w:rPr>
                <w:color w:val="000000"/>
                <w:sz w:val="22"/>
                <w:szCs w:val="22"/>
              </w:rPr>
            </w:pPr>
            <w:r w:rsidRPr="00261D8E">
              <w:rPr>
                <w:color w:val="000000"/>
                <w:sz w:val="22"/>
                <w:szCs w:val="22"/>
              </w:rPr>
              <w:t>136.75</w:t>
            </w:r>
          </w:p>
        </w:tc>
        <w:tc>
          <w:tcPr>
            <w:tcW w:w="925" w:type="dxa"/>
            <w:gridSpan w:val="2"/>
            <w:shd w:val="clear" w:color="auto" w:fill="FFFFFF"/>
          </w:tcPr>
          <w:p w:rsidR="00A92D0B" w:rsidRPr="00261D8E" w:rsidRDefault="000E7AFA" w:rsidP="00AB4AF1">
            <w:pPr>
              <w:keepNext/>
              <w:keepLines/>
              <w:spacing w:before="60" w:after="60"/>
              <w:jc w:val="center"/>
              <w:rPr>
                <w:color w:val="000000"/>
                <w:sz w:val="22"/>
                <w:szCs w:val="22"/>
              </w:rPr>
            </w:pPr>
            <w:r w:rsidRPr="00261D8E">
              <w:rPr>
                <w:color w:val="000000"/>
                <w:sz w:val="22"/>
                <w:szCs w:val="22"/>
              </w:rPr>
              <w:t>$1</w:t>
            </w:r>
            <w:r w:rsidR="00376B47" w:rsidRPr="00261D8E">
              <w:rPr>
                <w:color w:val="000000"/>
                <w:sz w:val="22"/>
                <w:szCs w:val="22"/>
              </w:rPr>
              <w:t>70</w:t>
            </w:r>
          </w:p>
        </w:tc>
        <w:tc>
          <w:tcPr>
            <w:tcW w:w="1530" w:type="dxa"/>
            <w:gridSpan w:val="3"/>
            <w:tcBorders>
              <w:right w:val="single" w:sz="4" w:space="0" w:color="auto"/>
            </w:tcBorders>
            <w:shd w:val="clear" w:color="auto" w:fill="FFFFFF"/>
          </w:tcPr>
          <w:p w:rsidR="00A92D0B" w:rsidRPr="00261D8E" w:rsidRDefault="000E7AFA" w:rsidP="00AB4AF1">
            <w:pPr>
              <w:keepNext/>
              <w:keepLines/>
              <w:spacing w:before="60" w:after="60"/>
              <w:jc w:val="right"/>
              <w:rPr>
                <w:color w:val="000000"/>
                <w:sz w:val="22"/>
                <w:szCs w:val="22"/>
              </w:rPr>
            </w:pPr>
            <w:r w:rsidRPr="00261D8E">
              <w:rPr>
                <w:color w:val="000000"/>
                <w:sz w:val="22"/>
                <w:szCs w:val="22"/>
              </w:rPr>
              <w:t xml:space="preserve">D.14-06-049, and </w:t>
            </w:r>
            <w:r w:rsidRPr="00AB4AF1">
              <w:rPr>
                <w:i/>
                <w:color w:val="000000"/>
                <w:sz w:val="22"/>
                <w:szCs w:val="22"/>
              </w:rPr>
              <w:t>see</w:t>
            </w:r>
            <w:r w:rsidRPr="00261D8E">
              <w:rPr>
                <w:color w:val="000000"/>
                <w:sz w:val="22"/>
                <w:szCs w:val="22"/>
              </w:rPr>
              <w:t xml:space="preserve"> comment </w:t>
            </w:r>
            <w:r w:rsidR="00376B47" w:rsidRPr="00261D8E">
              <w:rPr>
                <w:color w:val="000000"/>
                <w:sz w:val="22"/>
                <w:szCs w:val="22"/>
              </w:rPr>
              <w:t>2</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061D24" w:rsidP="00AB4AF1">
            <w:pPr>
              <w:keepNext/>
              <w:keepLines/>
              <w:spacing w:before="60" w:after="60"/>
              <w:jc w:val="right"/>
              <w:rPr>
                <w:color w:val="000000"/>
                <w:sz w:val="22"/>
                <w:szCs w:val="22"/>
              </w:rPr>
            </w:pPr>
            <w:r w:rsidRPr="00261D8E">
              <w:rPr>
                <w:color w:val="000000"/>
                <w:sz w:val="22"/>
                <w:szCs w:val="22"/>
              </w:rPr>
              <w:t>$23,247.5</w:t>
            </w:r>
          </w:p>
        </w:tc>
        <w:tc>
          <w:tcPr>
            <w:tcW w:w="900" w:type="dxa"/>
            <w:tcBorders>
              <w:left w:val="single" w:sz="4" w:space="0" w:color="auto"/>
            </w:tcBorders>
            <w:shd w:val="clear" w:color="auto" w:fill="FFFFFF"/>
          </w:tcPr>
          <w:p w:rsidR="00BA4BE2" w:rsidRDefault="00BA4BE2" w:rsidP="00AB4AF1">
            <w:pPr>
              <w:keepNext/>
              <w:keepLines/>
              <w:spacing w:before="60" w:after="60"/>
              <w:jc w:val="right"/>
              <w:rPr>
                <w:color w:val="000000"/>
                <w:sz w:val="22"/>
                <w:szCs w:val="22"/>
              </w:rPr>
            </w:pPr>
            <w:r>
              <w:rPr>
                <w:color w:val="000000"/>
                <w:sz w:val="22"/>
                <w:szCs w:val="22"/>
              </w:rPr>
              <w:t>136.75</w:t>
            </w:r>
          </w:p>
          <w:p w:rsidR="00A92D0B" w:rsidRPr="00BA4BE2" w:rsidRDefault="00A92D0B" w:rsidP="00AB4AF1">
            <w:pPr>
              <w:keepNext/>
              <w:keepLines/>
              <w:rPr>
                <w:sz w:val="22"/>
                <w:szCs w:val="22"/>
              </w:rPr>
            </w:pPr>
          </w:p>
        </w:tc>
        <w:tc>
          <w:tcPr>
            <w:tcW w:w="1080" w:type="dxa"/>
            <w:shd w:val="clear" w:color="auto" w:fill="FFFFFF"/>
          </w:tcPr>
          <w:p w:rsidR="00A92D0B" w:rsidRDefault="00791A7A" w:rsidP="00AB4AF1">
            <w:pPr>
              <w:keepNext/>
              <w:keepLines/>
              <w:spacing w:before="60" w:after="60"/>
              <w:jc w:val="center"/>
              <w:rPr>
                <w:color w:val="000000"/>
                <w:sz w:val="22"/>
                <w:szCs w:val="22"/>
              </w:rPr>
            </w:pPr>
            <w:r>
              <w:rPr>
                <w:color w:val="000000"/>
                <w:sz w:val="22"/>
                <w:szCs w:val="22"/>
              </w:rPr>
              <w:t>170.00</w:t>
            </w:r>
          </w:p>
          <w:p w:rsidR="00767984" w:rsidRPr="00791A7A" w:rsidRDefault="00791A7A" w:rsidP="00AB4AF1">
            <w:pPr>
              <w:keepNext/>
              <w:keepLines/>
              <w:spacing w:before="60" w:after="60"/>
              <w:jc w:val="center"/>
              <w:rPr>
                <w:color w:val="000000"/>
                <w:sz w:val="22"/>
                <w:szCs w:val="22"/>
              </w:rPr>
            </w:pPr>
            <w:r w:rsidRPr="00791A7A">
              <w:rPr>
                <w:color w:val="000000"/>
                <w:sz w:val="22"/>
                <w:szCs w:val="22"/>
              </w:rPr>
              <w:t>[1]</w:t>
            </w:r>
          </w:p>
        </w:tc>
        <w:tc>
          <w:tcPr>
            <w:tcW w:w="1350" w:type="dxa"/>
            <w:shd w:val="clear" w:color="auto" w:fill="FFFFFF"/>
          </w:tcPr>
          <w:p w:rsidR="00A92D0B" w:rsidRPr="00261D8E" w:rsidRDefault="00BA4BE2" w:rsidP="00AB4AF1">
            <w:pPr>
              <w:keepNext/>
              <w:keepLines/>
              <w:spacing w:before="60" w:after="60"/>
              <w:jc w:val="right"/>
              <w:rPr>
                <w:color w:val="000000"/>
                <w:sz w:val="22"/>
                <w:szCs w:val="22"/>
              </w:rPr>
            </w:pPr>
            <w:r>
              <w:rPr>
                <w:color w:val="000000"/>
                <w:sz w:val="22"/>
                <w:szCs w:val="22"/>
              </w:rPr>
              <w:t>23,247.50</w:t>
            </w:r>
          </w:p>
        </w:tc>
      </w:tr>
      <w:tr w:rsidR="00353B8A" w:rsidRPr="00261D8E" w:rsidTr="006B6AD9">
        <w:tc>
          <w:tcPr>
            <w:tcW w:w="1098" w:type="dxa"/>
            <w:gridSpan w:val="2"/>
            <w:shd w:val="clear" w:color="auto" w:fill="FFFFFF"/>
          </w:tcPr>
          <w:p w:rsidR="00353B8A" w:rsidRPr="00261D8E" w:rsidRDefault="00353B8A" w:rsidP="00A92D0B">
            <w:pPr>
              <w:spacing w:before="60" w:after="60"/>
              <w:rPr>
                <w:color w:val="000000"/>
                <w:sz w:val="22"/>
                <w:szCs w:val="22"/>
              </w:rPr>
            </w:pPr>
            <w:r w:rsidRPr="00261D8E">
              <w:rPr>
                <w:color w:val="000000"/>
                <w:sz w:val="22"/>
                <w:szCs w:val="22"/>
              </w:rPr>
              <w:t>Heather Mehta</w:t>
            </w:r>
          </w:p>
        </w:tc>
        <w:tc>
          <w:tcPr>
            <w:tcW w:w="900" w:type="dxa"/>
            <w:gridSpan w:val="2"/>
            <w:shd w:val="clear" w:color="auto" w:fill="FFFFFF"/>
          </w:tcPr>
          <w:p w:rsidR="00353B8A" w:rsidRPr="00261D8E" w:rsidRDefault="00353B8A" w:rsidP="00380703">
            <w:pPr>
              <w:spacing w:before="60" w:after="60"/>
              <w:jc w:val="center"/>
              <w:rPr>
                <w:color w:val="000000"/>
                <w:sz w:val="22"/>
                <w:szCs w:val="22"/>
              </w:rPr>
            </w:pPr>
            <w:r w:rsidRPr="00261D8E">
              <w:rPr>
                <w:color w:val="000000"/>
                <w:sz w:val="22"/>
                <w:szCs w:val="22"/>
              </w:rPr>
              <w:t>2014</w:t>
            </w:r>
          </w:p>
        </w:tc>
        <w:tc>
          <w:tcPr>
            <w:tcW w:w="965" w:type="dxa"/>
            <w:gridSpan w:val="2"/>
            <w:shd w:val="clear" w:color="auto" w:fill="FFFFFF"/>
          </w:tcPr>
          <w:p w:rsidR="00353B8A" w:rsidRPr="00261D8E" w:rsidRDefault="00353B8A" w:rsidP="00380703">
            <w:pPr>
              <w:spacing w:before="60" w:after="60"/>
              <w:jc w:val="right"/>
              <w:rPr>
                <w:color w:val="000000"/>
                <w:sz w:val="22"/>
                <w:szCs w:val="22"/>
              </w:rPr>
            </w:pPr>
            <w:r w:rsidRPr="00261D8E">
              <w:rPr>
                <w:color w:val="000000"/>
                <w:sz w:val="22"/>
                <w:szCs w:val="22"/>
              </w:rPr>
              <w:t>10.75</w:t>
            </w:r>
          </w:p>
        </w:tc>
        <w:tc>
          <w:tcPr>
            <w:tcW w:w="925" w:type="dxa"/>
            <w:gridSpan w:val="2"/>
            <w:shd w:val="clear" w:color="auto" w:fill="FFFFFF"/>
          </w:tcPr>
          <w:p w:rsidR="00353B8A" w:rsidRPr="00261D8E" w:rsidRDefault="0007279D" w:rsidP="00380703">
            <w:pPr>
              <w:spacing w:before="60" w:after="60"/>
              <w:jc w:val="center"/>
              <w:rPr>
                <w:color w:val="000000"/>
                <w:sz w:val="22"/>
                <w:szCs w:val="22"/>
              </w:rPr>
            </w:pPr>
            <w:r w:rsidRPr="00261D8E">
              <w:rPr>
                <w:color w:val="000000"/>
                <w:sz w:val="22"/>
                <w:szCs w:val="22"/>
              </w:rPr>
              <w:t>$275</w:t>
            </w:r>
          </w:p>
        </w:tc>
        <w:tc>
          <w:tcPr>
            <w:tcW w:w="1530" w:type="dxa"/>
            <w:gridSpan w:val="3"/>
            <w:tcBorders>
              <w:right w:val="single" w:sz="4" w:space="0" w:color="auto"/>
            </w:tcBorders>
            <w:shd w:val="clear" w:color="auto" w:fill="FFFFFF"/>
          </w:tcPr>
          <w:p w:rsidR="00353B8A" w:rsidRPr="00261D8E" w:rsidRDefault="000E7AFA" w:rsidP="00380703">
            <w:pPr>
              <w:spacing w:before="60" w:after="60"/>
              <w:jc w:val="right"/>
              <w:rPr>
                <w:color w:val="000000"/>
                <w:sz w:val="22"/>
                <w:szCs w:val="22"/>
              </w:rPr>
            </w:pPr>
            <w:r w:rsidRPr="00261D8E">
              <w:rPr>
                <w:color w:val="000000"/>
                <w:sz w:val="22"/>
                <w:szCs w:val="22"/>
              </w:rPr>
              <w:t>D.14-08-025</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353B8A" w:rsidRPr="00261D8E" w:rsidRDefault="00061D24" w:rsidP="00380703">
            <w:pPr>
              <w:spacing w:before="60" w:after="60"/>
              <w:jc w:val="right"/>
              <w:rPr>
                <w:color w:val="000000"/>
                <w:sz w:val="22"/>
                <w:szCs w:val="22"/>
              </w:rPr>
            </w:pPr>
            <w:r w:rsidRPr="00261D8E">
              <w:rPr>
                <w:color w:val="000000"/>
                <w:sz w:val="22"/>
                <w:szCs w:val="22"/>
              </w:rPr>
              <w:t>$2,956.25</w:t>
            </w:r>
          </w:p>
        </w:tc>
        <w:tc>
          <w:tcPr>
            <w:tcW w:w="900" w:type="dxa"/>
            <w:tcBorders>
              <w:left w:val="single" w:sz="4" w:space="0" w:color="auto"/>
            </w:tcBorders>
            <w:shd w:val="clear" w:color="auto" w:fill="FFFFFF"/>
          </w:tcPr>
          <w:p w:rsidR="00353B8A" w:rsidRPr="00BA4BE2" w:rsidRDefault="00BA4BE2" w:rsidP="00BA4BE2">
            <w:pPr>
              <w:rPr>
                <w:sz w:val="22"/>
                <w:szCs w:val="22"/>
              </w:rPr>
            </w:pPr>
            <w:r>
              <w:rPr>
                <w:sz w:val="22"/>
                <w:szCs w:val="22"/>
              </w:rPr>
              <w:t>10.75</w:t>
            </w:r>
          </w:p>
        </w:tc>
        <w:tc>
          <w:tcPr>
            <w:tcW w:w="1080" w:type="dxa"/>
            <w:shd w:val="clear" w:color="auto" w:fill="FFFFFF"/>
          </w:tcPr>
          <w:p w:rsidR="00353B8A" w:rsidRDefault="00800D9C" w:rsidP="00380703">
            <w:pPr>
              <w:spacing w:before="60" w:after="60"/>
              <w:jc w:val="center"/>
              <w:rPr>
                <w:color w:val="000000"/>
                <w:sz w:val="22"/>
                <w:szCs w:val="22"/>
              </w:rPr>
            </w:pPr>
            <w:r>
              <w:rPr>
                <w:color w:val="000000"/>
                <w:sz w:val="22"/>
                <w:szCs w:val="22"/>
              </w:rPr>
              <w:t>295.00</w:t>
            </w:r>
          </w:p>
          <w:p w:rsidR="00800D9C" w:rsidRPr="00261D8E" w:rsidRDefault="00800D9C" w:rsidP="00380703">
            <w:pPr>
              <w:spacing w:before="60" w:after="60"/>
              <w:jc w:val="center"/>
              <w:rPr>
                <w:color w:val="000000"/>
                <w:sz w:val="22"/>
                <w:szCs w:val="22"/>
              </w:rPr>
            </w:pPr>
            <w:r>
              <w:rPr>
                <w:i/>
                <w:color w:val="000000"/>
                <w:sz w:val="22"/>
                <w:szCs w:val="22"/>
              </w:rPr>
              <w:t>See</w:t>
            </w:r>
            <w:r>
              <w:rPr>
                <w:color w:val="000000"/>
                <w:sz w:val="22"/>
                <w:szCs w:val="22"/>
              </w:rPr>
              <w:t xml:space="preserve"> Res. ALJ-287, 303, and 308.</w:t>
            </w:r>
          </w:p>
        </w:tc>
        <w:tc>
          <w:tcPr>
            <w:tcW w:w="1350" w:type="dxa"/>
            <w:shd w:val="clear" w:color="auto" w:fill="FFFFFF"/>
          </w:tcPr>
          <w:p w:rsidR="00353B8A" w:rsidRPr="00261D8E" w:rsidRDefault="00BA4BE2" w:rsidP="00380703">
            <w:pPr>
              <w:spacing w:before="60" w:after="60"/>
              <w:jc w:val="right"/>
              <w:rPr>
                <w:color w:val="000000"/>
                <w:sz w:val="22"/>
                <w:szCs w:val="22"/>
              </w:rPr>
            </w:pPr>
            <w:r>
              <w:rPr>
                <w:color w:val="000000"/>
                <w:sz w:val="22"/>
                <w:szCs w:val="22"/>
              </w:rPr>
              <w:t>3,171.25</w:t>
            </w:r>
          </w:p>
        </w:tc>
      </w:tr>
      <w:tr w:rsidR="00221132" w:rsidRPr="00261D8E" w:rsidTr="006B6AD9">
        <w:tc>
          <w:tcPr>
            <w:tcW w:w="1098" w:type="dxa"/>
            <w:gridSpan w:val="2"/>
            <w:shd w:val="clear" w:color="auto" w:fill="FFFFFF"/>
          </w:tcPr>
          <w:p w:rsidR="00221132" w:rsidRPr="00261D8E" w:rsidRDefault="00353B8A" w:rsidP="00A92D0B">
            <w:pPr>
              <w:spacing w:before="60" w:after="60"/>
              <w:rPr>
                <w:color w:val="000000"/>
                <w:sz w:val="22"/>
                <w:szCs w:val="22"/>
              </w:rPr>
            </w:pPr>
            <w:r w:rsidRPr="00261D8E">
              <w:rPr>
                <w:color w:val="000000"/>
                <w:sz w:val="22"/>
                <w:szCs w:val="22"/>
              </w:rPr>
              <w:t xml:space="preserve">Ken </w:t>
            </w:r>
            <w:proofErr w:type="spellStart"/>
            <w:r w:rsidRPr="00261D8E">
              <w:rPr>
                <w:color w:val="000000"/>
                <w:sz w:val="22"/>
                <w:szCs w:val="22"/>
              </w:rPr>
              <w:t>Sosnick</w:t>
            </w:r>
            <w:proofErr w:type="spellEnd"/>
          </w:p>
        </w:tc>
        <w:tc>
          <w:tcPr>
            <w:tcW w:w="900" w:type="dxa"/>
            <w:gridSpan w:val="2"/>
            <w:shd w:val="clear" w:color="auto" w:fill="FFFFFF"/>
          </w:tcPr>
          <w:p w:rsidR="00221132" w:rsidRPr="00261D8E" w:rsidRDefault="00353B8A" w:rsidP="00380703">
            <w:pPr>
              <w:spacing w:before="60" w:after="60"/>
              <w:jc w:val="center"/>
              <w:rPr>
                <w:color w:val="000000"/>
                <w:sz w:val="22"/>
                <w:szCs w:val="22"/>
              </w:rPr>
            </w:pPr>
            <w:r w:rsidRPr="00261D8E">
              <w:rPr>
                <w:color w:val="000000"/>
                <w:sz w:val="22"/>
                <w:szCs w:val="22"/>
              </w:rPr>
              <w:t>2014</w:t>
            </w:r>
          </w:p>
        </w:tc>
        <w:tc>
          <w:tcPr>
            <w:tcW w:w="965" w:type="dxa"/>
            <w:gridSpan w:val="2"/>
            <w:shd w:val="clear" w:color="auto" w:fill="FFFFFF"/>
          </w:tcPr>
          <w:p w:rsidR="00221132" w:rsidRPr="00261D8E" w:rsidRDefault="00353B8A" w:rsidP="00380703">
            <w:pPr>
              <w:spacing w:before="60" w:after="60"/>
              <w:jc w:val="right"/>
              <w:rPr>
                <w:color w:val="000000"/>
                <w:sz w:val="22"/>
                <w:szCs w:val="22"/>
              </w:rPr>
            </w:pPr>
            <w:r w:rsidRPr="00261D8E">
              <w:rPr>
                <w:color w:val="000000"/>
                <w:sz w:val="22"/>
                <w:szCs w:val="22"/>
              </w:rPr>
              <w:t>12.75</w:t>
            </w:r>
          </w:p>
        </w:tc>
        <w:tc>
          <w:tcPr>
            <w:tcW w:w="925" w:type="dxa"/>
            <w:gridSpan w:val="2"/>
            <w:shd w:val="clear" w:color="auto" w:fill="FFFFFF"/>
          </w:tcPr>
          <w:p w:rsidR="00221132" w:rsidRPr="00261D8E" w:rsidRDefault="00376B47" w:rsidP="00380703">
            <w:pPr>
              <w:spacing w:before="60" w:after="60"/>
              <w:jc w:val="center"/>
              <w:rPr>
                <w:color w:val="000000"/>
                <w:sz w:val="22"/>
                <w:szCs w:val="22"/>
              </w:rPr>
            </w:pPr>
            <w:r w:rsidRPr="00261D8E">
              <w:rPr>
                <w:color w:val="000000"/>
                <w:sz w:val="22"/>
                <w:szCs w:val="22"/>
              </w:rPr>
              <w:t>$205</w:t>
            </w:r>
          </w:p>
        </w:tc>
        <w:tc>
          <w:tcPr>
            <w:tcW w:w="1530" w:type="dxa"/>
            <w:gridSpan w:val="3"/>
            <w:tcBorders>
              <w:right w:val="single" w:sz="4" w:space="0" w:color="auto"/>
            </w:tcBorders>
            <w:shd w:val="clear" w:color="auto" w:fill="FFFFFF"/>
          </w:tcPr>
          <w:p w:rsidR="00221132" w:rsidRPr="00261D8E" w:rsidRDefault="00376B47" w:rsidP="00380703">
            <w:pPr>
              <w:spacing w:before="60" w:after="60"/>
              <w:jc w:val="right"/>
              <w:rPr>
                <w:color w:val="000000"/>
                <w:sz w:val="22"/>
                <w:szCs w:val="22"/>
              </w:rPr>
            </w:pPr>
            <w:r w:rsidRPr="00261D8E">
              <w:rPr>
                <w:color w:val="000000"/>
                <w:sz w:val="22"/>
                <w:szCs w:val="22"/>
              </w:rPr>
              <w:t>See comment 3 below</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$2,613.75</w:t>
            </w:r>
          </w:p>
        </w:tc>
        <w:tc>
          <w:tcPr>
            <w:tcW w:w="900" w:type="dxa"/>
            <w:tcBorders>
              <w:left w:val="single" w:sz="4" w:space="0" w:color="auto"/>
            </w:tcBorders>
            <w:shd w:val="clear" w:color="auto" w:fill="FFFFFF"/>
          </w:tcPr>
          <w:p w:rsidR="00221132" w:rsidRPr="00261D8E" w:rsidRDefault="00BA4BE2" w:rsidP="00380703">
            <w:pPr>
              <w:spacing w:before="60" w:after="60"/>
              <w:jc w:val="right"/>
              <w:rPr>
                <w:color w:val="000000"/>
                <w:sz w:val="22"/>
                <w:szCs w:val="22"/>
              </w:rPr>
            </w:pPr>
            <w:r>
              <w:rPr>
                <w:color w:val="000000"/>
                <w:sz w:val="22"/>
                <w:szCs w:val="22"/>
              </w:rPr>
              <w:t>12.75</w:t>
            </w:r>
          </w:p>
        </w:tc>
        <w:tc>
          <w:tcPr>
            <w:tcW w:w="1080" w:type="dxa"/>
            <w:shd w:val="clear" w:color="auto" w:fill="FFFFFF"/>
          </w:tcPr>
          <w:p w:rsidR="00221132" w:rsidRPr="00261D8E" w:rsidRDefault="00580E54" w:rsidP="00380703">
            <w:pPr>
              <w:spacing w:before="60" w:after="60"/>
              <w:jc w:val="center"/>
              <w:rPr>
                <w:color w:val="000000"/>
                <w:sz w:val="22"/>
                <w:szCs w:val="22"/>
              </w:rPr>
            </w:pPr>
            <w:r>
              <w:rPr>
                <w:color w:val="000000"/>
                <w:sz w:val="22"/>
                <w:szCs w:val="22"/>
              </w:rPr>
              <w:t>205.00</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2,613.75</w:t>
            </w:r>
          </w:p>
        </w:tc>
      </w:tr>
      <w:tr w:rsidR="00221132" w:rsidRPr="00261D8E" w:rsidTr="006B6AD9">
        <w:tc>
          <w:tcPr>
            <w:tcW w:w="1098" w:type="dxa"/>
            <w:gridSpan w:val="2"/>
            <w:shd w:val="clear" w:color="auto" w:fill="FFFFFF"/>
          </w:tcPr>
          <w:p w:rsidR="00221132" w:rsidRPr="00261D8E" w:rsidRDefault="00353B8A" w:rsidP="00A92D0B">
            <w:pPr>
              <w:spacing w:before="60" w:after="60"/>
              <w:rPr>
                <w:color w:val="000000"/>
                <w:sz w:val="22"/>
                <w:szCs w:val="22"/>
              </w:rPr>
            </w:pPr>
            <w:r w:rsidRPr="00261D8E">
              <w:rPr>
                <w:color w:val="000000"/>
                <w:sz w:val="22"/>
                <w:szCs w:val="22"/>
              </w:rPr>
              <w:t xml:space="preserve">Ken </w:t>
            </w:r>
            <w:proofErr w:type="spellStart"/>
            <w:r w:rsidRPr="00261D8E">
              <w:rPr>
                <w:color w:val="000000"/>
                <w:sz w:val="22"/>
                <w:szCs w:val="22"/>
              </w:rPr>
              <w:t>Sosnick</w:t>
            </w:r>
            <w:proofErr w:type="spellEnd"/>
          </w:p>
        </w:tc>
        <w:tc>
          <w:tcPr>
            <w:tcW w:w="900" w:type="dxa"/>
            <w:gridSpan w:val="2"/>
            <w:shd w:val="clear" w:color="auto" w:fill="FFFFFF"/>
          </w:tcPr>
          <w:p w:rsidR="00221132" w:rsidRPr="00261D8E" w:rsidRDefault="00353B8A"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221132" w:rsidRPr="00261D8E" w:rsidRDefault="00353B8A" w:rsidP="00380703">
            <w:pPr>
              <w:spacing w:before="60" w:after="60"/>
              <w:jc w:val="right"/>
              <w:rPr>
                <w:color w:val="000000"/>
                <w:sz w:val="22"/>
                <w:szCs w:val="22"/>
              </w:rPr>
            </w:pPr>
            <w:r w:rsidRPr="00261D8E">
              <w:rPr>
                <w:color w:val="000000"/>
                <w:sz w:val="22"/>
                <w:szCs w:val="22"/>
              </w:rPr>
              <w:t>2</w:t>
            </w:r>
          </w:p>
        </w:tc>
        <w:tc>
          <w:tcPr>
            <w:tcW w:w="925" w:type="dxa"/>
            <w:gridSpan w:val="2"/>
            <w:shd w:val="clear" w:color="auto" w:fill="FFFFFF"/>
          </w:tcPr>
          <w:p w:rsidR="00221132" w:rsidRPr="00261D8E" w:rsidRDefault="00376B47" w:rsidP="00380703">
            <w:pPr>
              <w:spacing w:before="60" w:after="60"/>
              <w:jc w:val="center"/>
              <w:rPr>
                <w:color w:val="000000"/>
                <w:sz w:val="22"/>
                <w:szCs w:val="22"/>
              </w:rPr>
            </w:pPr>
            <w:r w:rsidRPr="00261D8E">
              <w:rPr>
                <w:color w:val="000000"/>
                <w:sz w:val="22"/>
                <w:szCs w:val="22"/>
              </w:rPr>
              <w:t>$205</w:t>
            </w:r>
          </w:p>
        </w:tc>
        <w:tc>
          <w:tcPr>
            <w:tcW w:w="1530" w:type="dxa"/>
            <w:gridSpan w:val="3"/>
            <w:tcBorders>
              <w:right w:val="single" w:sz="4" w:space="0" w:color="auto"/>
            </w:tcBorders>
            <w:shd w:val="clear" w:color="auto" w:fill="FFFFFF"/>
          </w:tcPr>
          <w:p w:rsidR="00221132" w:rsidRPr="00261D8E" w:rsidRDefault="00376B47" w:rsidP="00380703">
            <w:pPr>
              <w:spacing w:before="60" w:after="60"/>
              <w:jc w:val="right"/>
              <w:rPr>
                <w:color w:val="000000"/>
                <w:sz w:val="22"/>
                <w:szCs w:val="22"/>
              </w:rPr>
            </w:pPr>
            <w:r w:rsidRPr="00261D8E">
              <w:rPr>
                <w:color w:val="000000"/>
                <w:sz w:val="22"/>
                <w:szCs w:val="22"/>
              </w:rPr>
              <w:t>See comment 3 below</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$410</w:t>
            </w:r>
          </w:p>
        </w:tc>
        <w:tc>
          <w:tcPr>
            <w:tcW w:w="900" w:type="dxa"/>
            <w:tcBorders>
              <w:left w:val="single" w:sz="4" w:space="0" w:color="auto"/>
            </w:tcBorders>
            <w:shd w:val="clear" w:color="auto" w:fill="FFFFFF"/>
          </w:tcPr>
          <w:p w:rsidR="00221132" w:rsidRPr="00261D8E" w:rsidRDefault="00BA4BE2" w:rsidP="00380703">
            <w:pPr>
              <w:spacing w:before="60" w:after="60"/>
              <w:jc w:val="right"/>
              <w:rPr>
                <w:color w:val="000000"/>
                <w:sz w:val="22"/>
                <w:szCs w:val="22"/>
              </w:rPr>
            </w:pPr>
            <w:r>
              <w:rPr>
                <w:color w:val="000000"/>
                <w:sz w:val="22"/>
                <w:szCs w:val="22"/>
              </w:rPr>
              <w:t>2.00</w:t>
            </w:r>
          </w:p>
        </w:tc>
        <w:tc>
          <w:tcPr>
            <w:tcW w:w="1080" w:type="dxa"/>
            <w:shd w:val="clear" w:color="auto" w:fill="FFFFFF"/>
          </w:tcPr>
          <w:p w:rsidR="00221132" w:rsidRPr="00261D8E" w:rsidRDefault="00580E54" w:rsidP="00380703">
            <w:pPr>
              <w:spacing w:before="60" w:after="60"/>
              <w:jc w:val="center"/>
              <w:rPr>
                <w:color w:val="000000"/>
                <w:sz w:val="22"/>
                <w:szCs w:val="22"/>
              </w:rPr>
            </w:pPr>
            <w:r>
              <w:rPr>
                <w:color w:val="000000"/>
                <w:sz w:val="22"/>
                <w:szCs w:val="22"/>
              </w:rPr>
              <w:t>205.00</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410.00</w:t>
            </w:r>
          </w:p>
        </w:tc>
      </w:tr>
      <w:tr w:rsidR="00221132" w:rsidRPr="00261D8E" w:rsidTr="006B6AD9">
        <w:tc>
          <w:tcPr>
            <w:tcW w:w="1098" w:type="dxa"/>
            <w:gridSpan w:val="2"/>
            <w:shd w:val="clear" w:color="auto" w:fill="FFFFFF"/>
          </w:tcPr>
          <w:p w:rsidR="00221132" w:rsidRPr="00261D8E" w:rsidRDefault="00353B8A" w:rsidP="00A92D0B">
            <w:pPr>
              <w:spacing w:before="60" w:after="60"/>
              <w:rPr>
                <w:color w:val="000000"/>
                <w:sz w:val="22"/>
                <w:szCs w:val="22"/>
              </w:rPr>
            </w:pPr>
            <w:r w:rsidRPr="00261D8E">
              <w:rPr>
                <w:color w:val="000000"/>
                <w:sz w:val="22"/>
                <w:szCs w:val="22"/>
              </w:rPr>
              <w:t xml:space="preserve">Laura </w:t>
            </w:r>
            <w:proofErr w:type="spellStart"/>
            <w:r w:rsidRPr="00261D8E">
              <w:rPr>
                <w:color w:val="000000"/>
                <w:sz w:val="22"/>
                <w:szCs w:val="22"/>
              </w:rPr>
              <w:t>Norin</w:t>
            </w:r>
            <w:proofErr w:type="spellEnd"/>
          </w:p>
        </w:tc>
        <w:tc>
          <w:tcPr>
            <w:tcW w:w="900" w:type="dxa"/>
            <w:gridSpan w:val="2"/>
            <w:shd w:val="clear" w:color="auto" w:fill="FFFFFF"/>
          </w:tcPr>
          <w:p w:rsidR="00221132" w:rsidRPr="00261D8E" w:rsidRDefault="00353B8A" w:rsidP="00380703">
            <w:pPr>
              <w:spacing w:before="60" w:after="60"/>
              <w:jc w:val="center"/>
              <w:rPr>
                <w:color w:val="000000"/>
                <w:sz w:val="22"/>
                <w:szCs w:val="22"/>
              </w:rPr>
            </w:pPr>
            <w:r w:rsidRPr="00261D8E">
              <w:rPr>
                <w:color w:val="000000"/>
                <w:sz w:val="22"/>
                <w:szCs w:val="22"/>
              </w:rPr>
              <w:t>2014</w:t>
            </w:r>
          </w:p>
        </w:tc>
        <w:tc>
          <w:tcPr>
            <w:tcW w:w="965" w:type="dxa"/>
            <w:gridSpan w:val="2"/>
            <w:shd w:val="clear" w:color="auto" w:fill="FFFFFF"/>
          </w:tcPr>
          <w:p w:rsidR="00221132" w:rsidRPr="00261D8E" w:rsidRDefault="00353B8A" w:rsidP="00380703">
            <w:pPr>
              <w:spacing w:before="60" w:after="60"/>
              <w:jc w:val="right"/>
              <w:rPr>
                <w:color w:val="000000"/>
                <w:sz w:val="22"/>
                <w:szCs w:val="22"/>
              </w:rPr>
            </w:pPr>
            <w:r w:rsidRPr="00261D8E">
              <w:rPr>
                <w:color w:val="000000"/>
                <w:sz w:val="22"/>
                <w:szCs w:val="22"/>
              </w:rPr>
              <w:t>25.25</w:t>
            </w:r>
          </w:p>
        </w:tc>
        <w:tc>
          <w:tcPr>
            <w:tcW w:w="925" w:type="dxa"/>
            <w:gridSpan w:val="2"/>
            <w:shd w:val="clear" w:color="auto" w:fill="FFFFFF"/>
          </w:tcPr>
          <w:p w:rsidR="00221132" w:rsidRPr="00261D8E" w:rsidRDefault="00376B47" w:rsidP="00380703">
            <w:pPr>
              <w:spacing w:before="60" w:after="60"/>
              <w:jc w:val="center"/>
              <w:rPr>
                <w:color w:val="000000"/>
                <w:sz w:val="22"/>
                <w:szCs w:val="22"/>
              </w:rPr>
            </w:pPr>
            <w:r w:rsidRPr="00261D8E">
              <w:rPr>
                <w:color w:val="000000"/>
                <w:sz w:val="22"/>
                <w:szCs w:val="22"/>
              </w:rPr>
              <w:t>$245</w:t>
            </w:r>
          </w:p>
        </w:tc>
        <w:tc>
          <w:tcPr>
            <w:tcW w:w="1530" w:type="dxa"/>
            <w:gridSpan w:val="3"/>
            <w:tcBorders>
              <w:right w:val="single" w:sz="4" w:space="0" w:color="auto"/>
            </w:tcBorders>
            <w:shd w:val="clear" w:color="auto" w:fill="FFFFFF"/>
          </w:tcPr>
          <w:p w:rsidR="00221132" w:rsidRPr="00261D8E" w:rsidRDefault="000E7AFA" w:rsidP="00380703">
            <w:pPr>
              <w:spacing w:before="60" w:after="60"/>
              <w:jc w:val="right"/>
              <w:rPr>
                <w:color w:val="000000"/>
                <w:sz w:val="22"/>
                <w:szCs w:val="22"/>
              </w:rPr>
            </w:pPr>
            <w:r w:rsidRPr="00261D8E">
              <w:rPr>
                <w:color w:val="000000"/>
                <w:sz w:val="22"/>
                <w:szCs w:val="22"/>
              </w:rPr>
              <w:t>D.14-08-025</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$6,186.25</w:t>
            </w:r>
          </w:p>
        </w:tc>
        <w:tc>
          <w:tcPr>
            <w:tcW w:w="900" w:type="dxa"/>
            <w:tcBorders>
              <w:left w:val="single" w:sz="4" w:space="0" w:color="auto"/>
            </w:tcBorders>
            <w:shd w:val="clear" w:color="auto" w:fill="FFFFFF"/>
          </w:tcPr>
          <w:p w:rsidR="00BA4BE2" w:rsidRDefault="00BA4BE2" w:rsidP="00380703">
            <w:pPr>
              <w:spacing w:before="60" w:after="60"/>
              <w:jc w:val="right"/>
              <w:rPr>
                <w:color w:val="000000"/>
                <w:sz w:val="22"/>
                <w:szCs w:val="22"/>
              </w:rPr>
            </w:pPr>
            <w:r>
              <w:rPr>
                <w:color w:val="000000"/>
                <w:sz w:val="22"/>
                <w:szCs w:val="22"/>
              </w:rPr>
              <w:t>25.25</w:t>
            </w:r>
          </w:p>
          <w:p w:rsidR="00221132" w:rsidRPr="00BA4BE2" w:rsidRDefault="00221132" w:rsidP="00BA4BE2">
            <w:pPr>
              <w:rPr>
                <w:sz w:val="22"/>
                <w:szCs w:val="22"/>
              </w:rPr>
            </w:pPr>
          </w:p>
        </w:tc>
        <w:tc>
          <w:tcPr>
            <w:tcW w:w="1080" w:type="dxa"/>
            <w:shd w:val="clear" w:color="auto" w:fill="FFFFFF"/>
          </w:tcPr>
          <w:p w:rsidR="00221132" w:rsidRDefault="00F76CD2" w:rsidP="00380703">
            <w:pPr>
              <w:spacing w:before="60" w:after="60"/>
              <w:jc w:val="center"/>
              <w:rPr>
                <w:color w:val="000000"/>
                <w:sz w:val="22"/>
                <w:szCs w:val="22"/>
              </w:rPr>
            </w:pPr>
            <w:r>
              <w:rPr>
                <w:color w:val="000000"/>
                <w:sz w:val="22"/>
                <w:szCs w:val="22"/>
              </w:rPr>
              <w:t>250.00</w:t>
            </w:r>
          </w:p>
          <w:p w:rsidR="00F76CD2" w:rsidRPr="00F76CD2" w:rsidRDefault="00F76CD2" w:rsidP="00380703">
            <w:pPr>
              <w:spacing w:before="60" w:after="60"/>
              <w:jc w:val="center"/>
              <w:rPr>
                <w:color w:val="000000"/>
                <w:sz w:val="22"/>
                <w:szCs w:val="22"/>
              </w:rPr>
            </w:pPr>
            <w:r>
              <w:rPr>
                <w:i/>
                <w:color w:val="000000"/>
                <w:sz w:val="22"/>
                <w:szCs w:val="22"/>
              </w:rPr>
              <w:t>See</w:t>
            </w:r>
            <w:r>
              <w:rPr>
                <w:color w:val="000000"/>
                <w:sz w:val="22"/>
                <w:szCs w:val="22"/>
              </w:rPr>
              <w:t xml:space="preserve"> Res. ALJ-303.</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6,312.50</w:t>
            </w:r>
          </w:p>
        </w:tc>
      </w:tr>
      <w:tr w:rsidR="00221132" w:rsidRPr="00261D8E" w:rsidTr="006B6AD9">
        <w:tc>
          <w:tcPr>
            <w:tcW w:w="1098" w:type="dxa"/>
            <w:gridSpan w:val="2"/>
            <w:shd w:val="clear" w:color="auto" w:fill="FFFFFF"/>
          </w:tcPr>
          <w:p w:rsidR="00221132" w:rsidRPr="00261D8E" w:rsidRDefault="00353B8A" w:rsidP="00A92D0B">
            <w:pPr>
              <w:spacing w:before="60" w:after="60"/>
              <w:rPr>
                <w:color w:val="000000"/>
                <w:sz w:val="22"/>
                <w:szCs w:val="22"/>
              </w:rPr>
            </w:pPr>
            <w:r w:rsidRPr="00261D8E">
              <w:rPr>
                <w:color w:val="000000"/>
                <w:sz w:val="22"/>
                <w:szCs w:val="22"/>
              </w:rPr>
              <w:t xml:space="preserve">Laura </w:t>
            </w:r>
            <w:proofErr w:type="spellStart"/>
            <w:r w:rsidRPr="00261D8E">
              <w:rPr>
                <w:color w:val="000000"/>
                <w:sz w:val="22"/>
                <w:szCs w:val="22"/>
              </w:rPr>
              <w:t>Norin</w:t>
            </w:r>
            <w:proofErr w:type="spellEnd"/>
            <w:r w:rsidRPr="00261D8E">
              <w:rPr>
                <w:color w:val="000000"/>
                <w:sz w:val="22"/>
                <w:szCs w:val="22"/>
              </w:rPr>
              <w:t xml:space="preserve"> </w:t>
            </w:r>
          </w:p>
        </w:tc>
        <w:tc>
          <w:tcPr>
            <w:tcW w:w="900" w:type="dxa"/>
            <w:gridSpan w:val="2"/>
            <w:shd w:val="clear" w:color="auto" w:fill="FFFFFF"/>
          </w:tcPr>
          <w:p w:rsidR="00221132" w:rsidRPr="00261D8E" w:rsidRDefault="00353B8A"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221132" w:rsidRPr="00261D8E" w:rsidRDefault="00353B8A" w:rsidP="00380703">
            <w:pPr>
              <w:spacing w:before="60" w:after="60"/>
              <w:jc w:val="right"/>
              <w:rPr>
                <w:color w:val="000000"/>
                <w:sz w:val="22"/>
                <w:szCs w:val="22"/>
              </w:rPr>
            </w:pPr>
            <w:r w:rsidRPr="00261D8E">
              <w:rPr>
                <w:color w:val="000000"/>
                <w:sz w:val="22"/>
                <w:szCs w:val="22"/>
              </w:rPr>
              <w:t>192.25</w:t>
            </w:r>
          </w:p>
        </w:tc>
        <w:tc>
          <w:tcPr>
            <w:tcW w:w="925" w:type="dxa"/>
            <w:gridSpan w:val="2"/>
            <w:shd w:val="clear" w:color="auto" w:fill="FFFFFF"/>
          </w:tcPr>
          <w:p w:rsidR="00221132" w:rsidRPr="00261D8E" w:rsidRDefault="0007279D" w:rsidP="00380703">
            <w:pPr>
              <w:spacing w:before="60" w:after="60"/>
              <w:jc w:val="center"/>
              <w:rPr>
                <w:color w:val="000000"/>
                <w:sz w:val="22"/>
                <w:szCs w:val="22"/>
              </w:rPr>
            </w:pPr>
            <w:r w:rsidRPr="00261D8E">
              <w:rPr>
                <w:color w:val="000000"/>
                <w:sz w:val="22"/>
                <w:szCs w:val="22"/>
              </w:rPr>
              <w:t>$245</w:t>
            </w:r>
          </w:p>
        </w:tc>
        <w:tc>
          <w:tcPr>
            <w:tcW w:w="1530" w:type="dxa"/>
            <w:gridSpan w:val="3"/>
            <w:tcBorders>
              <w:right w:val="single" w:sz="4" w:space="0" w:color="auto"/>
            </w:tcBorders>
            <w:shd w:val="clear" w:color="auto" w:fill="FFFFFF"/>
          </w:tcPr>
          <w:p w:rsidR="00221132" w:rsidRPr="00261D8E" w:rsidRDefault="0007279D" w:rsidP="00380703">
            <w:pPr>
              <w:spacing w:before="60" w:after="60"/>
              <w:jc w:val="right"/>
              <w:rPr>
                <w:color w:val="000000"/>
                <w:sz w:val="22"/>
                <w:szCs w:val="22"/>
              </w:rPr>
            </w:pPr>
            <w:r w:rsidRPr="00261D8E">
              <w:rPr>
                <w:color w:val="000000"/>
                <w:sz w:val="22"/>
                <w:szCs w:val="22"/>
              </w:rPr>
              <w:t>D.14-08-025</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$47,101.25</w:t>
            </w:r>
          </w:p>
        </w:tc>
        <w:tc>
          <w:tcPr>
            <w:tcW w:w="900" w:type="dxa"/>
            <w:tcBorders>
              <w:left w:val="single" w:sz="4" w:space="0" w:color="auto"/>
            </w:tcBorders>
            <w:shd w:val="clear" w:color="auto" w:fill="FFFFFF"/>
          </w:tcPr>
          <w:p w:rsidR="00221132" w:rsidRPr="00261D8E" w:rsidRDefault="00BA4BE2" w:rsidP="00BA4BE2">
            <w:pPr>
              <w:tabs>
                <w:tab w:val="left" w:pos="372"/>
              </w:tabs>
              <w:spacing w:before="60" w:after="60"/>
              <w:rPr>
                <w:color w:val="000000"/>
                <w:sz w:val="22"/>
                <w:szCs w:val="22"/>
              </w:rPr>
            </w:pPr>
            <w:r>
              <w:rPr>
                <w:color w:val="000000"/>
                <w:sz w:val="22"/>
                <w:szCs w:val="22"/>
              </w:rPr>
              <w:t>192.25</w:t>
            </w:r>
          </w:p>
        </w:tc>
        <w:tc>
          <w:tcPr>
            <w:tcW w:w="1080" w:type="dxa"/>
            <w:shd w:val="clear" w:color="auto" w:fill="FFFFFF"/>
          </w:tcPr>
          <w:p w:rsidR="00221132" w:rsidRDefault="00F76CD2" w:rsidP="00380703">
            <w:pPr>
              <w:spacing w:before="60" w:after="60"/>
              <w:jc w:val="center"/>
              <w:rPr>
                <w:color w:val="000000"/>
                <w:sz w:val="22"/>
                <w:szCs w:val="22"/>
              </w:rPr>
            </w:pPr>
            <w:r>
              <w:rPr>
                <w:color w:val="000000"/>
                <w:sz w:val="22"/>
                <w:szCs w:val="22"/>
              </w:rPr>
              <w:t>250.00</w:t>
            </w:r>
          </w:p>
          <w:p w:rsidR="00F76CD2" w:rsidRPr="00F76CD2" w:rsidRDefault="00F76CD2" w:rsidP="00380703">
            <w:pPr>
              <w:spacing w:before="60" w:after="60"/>
              <w:jc w:val="center"/>
              <w:rPr>
                <w:color w:val="000000"/>
                <w:sz w:val="22"/>
                <w:szCs w:val="22"/>
              </w:rPr>
            </w:pPr>
            <w:r>
              <w:rPr>
                <w:i/>
                <w:color w:val="000000"/>
                <w:sz w:val="22"/>
                <w:szCs w:val="22"/>
              </w:rPr>
              <w:t xml:space="preserve">See </w:t>
            </w:r>
            <w:r>
              <w:rPr>
                <w:color w:val="000000"/>
                <w:sz w:val="22"/>
                <w:szCs w:val="22"/>
              </w:rPr>
              <w:t>Res. ALJ-308.</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48,062.50</w:t>
            </w:r>
          </w:p>
        </w:tc>
      </w:tr>
      <w:tr w:rsidR="00221132" w:rsidRPr="00261D8E" w:rsidTr="006B6AD9">
        <w:tc>
          <w:tcPr>
            <w:tcW w:w="1098" w:type="dxa"/>
            <w:gridSpan w:val="2"/>
            <w:shd w:val="clear" w:color="auto" w:fill="FFFFFF"/>
          </w:tcPr>
          <w:p w:rsidR="00221132" w:rsidRPr="00261D8E" w:rsidRDefault="00353B8A" w:rsidP="00A92D0B">
            <w:pPr>
              <w:spacing w:before="60" w:after="60"/>
              <w:rPr>
                <w:color w:val="000000"/>
                <w:sz w:val="22"/>
                <w:szCs w:val="22"/>
              </w:rPr>
            </w:pPr>
            <w:r w:rsidRPr="00261D8E">
              <w:rPr>
                <w:color w:val="000000"/>
                <w:sz w:val="22"/>
                <w:szCs w:val="22"/>
              </w:rPr>
              <w:t xml:space="preserve">Laura </w:t>
            </w:r>
            <w:proofErr w:type="spellStart"/>
            <w:r w:rsidRPr="00261D8E">
              <w:rPr>
                <w:color w:val="000000"/>
                <w:sz w:val="22"/>
                <w:szCs w:val="22"/>
              </w:rPr>
              <w:t>Norin</w:t>
            </w:r>
            <w:proofErr w:type="spellEnd"/>
          </w:p>
        </w:tc>
        <w:tc>
          <w:tcPr>
            <w:tcW w:w="900" w:type="dxa"/>
            <w:gridSpan w:val="2"/>
            <w:shd w:val="clear" w:color="auto" w:fill="FFFFFF"/>
          </w:tcPr>
          <w:p w:rsidR="00221132" w:rsidRPr="00261D8E" w:rsidRDefault="00353B8A" w:rsidP="00380703">
            <w:pPr>
              <w:spacing w:before="60" w:after="60"/>
              <w:jc w:val="center"/>
              <w:rPr>
                <w:color w:val="000000"/>
                <w:sz w:val="22"/>
                <w:szCs w:val="22"/>
              </w:rPr>
            </w:pPr>
            <w:r w:rsidRPr="00261D8E">
              <w:rPr>
                <w:color w:val="000000"/>
                <w:sz w:val="22"/>
                <w:szCs w:val="22"/>
              </w:rPr>
              <w:t>2016</w:t>
            </w:r>
          </w:p>
        </w:tc>
        <w:tc>
          <w:tcPr>
            <w:tcW w:w="965" w:type="dxa"/>
            <w:gridSpan w:val="2"/>
            <w:shd w:val="clear" w:color="auto" w:fill="FFFFFF"/>
          </w:tcPr>
          <w:p w:rsidR="00221132" w:rsidRPr="00261D8E" w:rsidRDefault="000E7AFA" w:rsidP="00380703">
            <w:pPr>
              <w:spacing w:before="60" w:after="60"/>
              <w:jc w:val="right"/>
              <w:rPr>
                <w:color w:val="000000"/>
                <w:sz w:val="22"/>
                <w:szCs w:val="22"/>
              </w:rPr>
            </w:pPr>
            <w:r w:rsidRPr="00261D8E">
              <w:rPr>
                <w:color w:val="000000"/>
                <w:sz w:val="22"/>
                <w:szCs w:val="22"/>
              </w:rPr>
              <w:t>2</w:t>
            </w:r>
          </w:p>
          <w:p w:rsidR="000E7AFA" w:rsidRPr="00261D8E" w:rsidRDefault="000E7AFA" w:rsidP="00380703">
            <w:pPr>
              <w:spacing w:before="60" w:after="60"/>
              <w:jc w:val="right"/>
              <w:rPr>
                <w:color w:val="000000"/>
                <w:sz w:val="22"/>
                <w:szCs w:val="22"/>
              </w:rPr>
            </w:pPr>
          </w:p>
        </w:tc>
        <w:tc>
          <w:tcPr>
            <w:tcW w:w="925" w:type="dxa"/>
            <w:gridSpan w:val="2"/>
            <w:shd w:val="clear" w:color="auto" w:fill="FFFFFF"/>
          </w:tcPr>
          <w:p w:rsidR="00221132" w:rsidRPr="00261D8E" w:rsidRDefault="0007279D" w:rsidP="00380703">
            <w:pPr>
              <w:spacing w:before="60" w:after="60"/>
              <w:jc w:val="center"/>
              <w:rPr>
                <w:color w:val="000000"/>
                <w:sz w:val="22"/>
                <w:szCs w:val="22"/>
              </w:rPr>
            </w:pPr>
            <w:r w:rsidRPr="00261D8E">
              <w:rPr>
                <w:color w:val="000000"/>
                <w:sz w:val="22"/>
                <w:szCs w:val="22"/>
              </w:rPr>
              <w:t>$274</w:t>
            </w:r>
          </w:p>
        </w:tc>
        <w:tc>
          <w:tcPr>
            <w:tcW w:w="1530" w:type="dxa"/>
            <w:gridSpan w:val="3"/>
            <w:tcBorders>
              <w:right w:val="single" w:sz="4" w:space="0" w:color="auto"/>
            </w:tcBorders>
            <w:shd w:val="clear" w:color="auto" w:fill="FFFFFF"/>
          </w:tcPr>
          <w:p w:rsidR="00221132" w:rsidRPr="00261D8E" w:rsidRDefault="0007279D" w:rsidP="00380703">
            <w:pPr>
              <w:spacing w:before="60" w:after="60"/>
              <w:jc w:val="right"/>
              <w:rPr>
                <w:color w:val="000000"/>
                <w:sz w:val="22"/>
                <w:szCs w:val="22"/>
              </w:rPr>
            </w:pPr>
            <w:r w:rsidRPr="00261D8E">
              <w:rPr>
                <w:color w:val="000000"/>
                <w:sz w:val="22"/>
                <w:szCs w:val="22"/>
              </w:rPr>
              <w:t>See comment 4 below</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$548</w:t>
            </w:r>
          </w:p>
        </w:tc>
        <w:tc>
          <w:tcPr>
            <w:tcW w:w="900" w:type="dxa"/>
            <w:tcBorders>
              <w:left w:val="single" w:sz="4" w:space="0" w:color="auto"/>
            </w:tcBorders>
            <w:shd w:val="clear" w:color="auto" w:fill="FFFFFF"/>
          </w:tcPr>
          <w:p w:rsidR="00221132" w:rsidRPr="00261D8E" w:rsidRDefault="00BA4BE2" w:rsidP="00380703">
            <w:pPr>
              <w:spacing w:before="60" w:after="60"/>
              <w:jc w:val="right"/>
              <w:rPr>
                <w:color w:val="000000"/>
                <w:sz w:val="22"/>
                <w:szCs w:val="22"/>
              </w:rPr>
            </w:pPr>
            <w:r>
              <w:rPr>
                <w:color w:val="000000"/>
                <w:sz w:val="22"/>
                <w:szCs w:val="22"/>
              </w:rPr>
              <w:t>2.00</w:t>
            </w:r>
          </w:p>
        </w:tc>
        <w:tc>
          <w:tcPr>
            <w:tcW w:w="1080" w:type="dxa"/>
            <w:shd w:val="clear" w:color="auto" w:fill="FFFFFF"/>
          </w:tcPr>
          <w:p w:rsidR="00221132" w:rsidRDefault="00F76CD2" w:rsidP="00380703">
            <w:pPr>
              <w:spacing w:before="60" w:after="60"/>
              <w:jc w:val="center"/>
              <w:rPr>
                <w:color w:val="000000"/>
                <w:sz w:val="22"/>
                <w:szCs w:val="22"/>
              </w:rPr>
            </w:pPr>
            <w:r>
              <w:rPr>
                <w:color w:val="000000"/>
                <w:sz w:val="22"/>
                <w:szCs w:val="22"/>
              </w:rPr>
              <w:t>270.00</w:t>
            </w:r>
          </w:p>
          <w:p w:rsidR="00F76CD2" w:rsidRPr="00261D8E" w:rsidRDefault="00F76CD2" w:rsidP="00380703">
            <w:pPr>
              <w:spacing w:before="60" w:after="60"/>
              <w:jc w:val="center"/>
              <w:rPr>
                <w:color w:val="000000"/>
                <w:sz w:val="22"/>
                <w:szCs w:val="22"/>
              </w:rPr>
            </w:pPr>
            <w:r>
              <w:rPr>
                <w:color w:val="000000"/>
                <w:sz w:val="22"/>
                <w:szCs w:val="22"/>
              </w:rPr>
              <w:t>[2]</w:t>
            </w:r>
          </w:p>
        </w:tc>
        <w:tc>
          <w:tcPr>
            <w:tcW w:w="1350" w:type="dxa"/>
            <w:shd w:val="clear" w:color="auto" w:fill="FFFFFF"/>
          </w:tcPr>
          <w:p w:rsidR="00221132" w:rsidRPr="00BA4BE2" w:rsidRDefault="00BA4BE2" w:rsidP="006B6AD9">
            <w:pPr>
              <w:jc w:val="right"/>
              <w:rPr>
                <w:sz w:val="22"/>
                <w:szCs w:val="22"/>
              </w:rPr>
            </w:pPr>
            <w:r>
              <w:rPr>
                <w:sz w:val="22"/>
                <w:szCs w:val="22"/>
              </w:rPr>
              <w:t>540.00</w:t>
            </w:r>
          </w:p>
        </w:tc>
      </w:tr>
      <w:tr w:rsidR="00221132" w:rsidRPr="00261D8E" w:rsidTr="006B6AD9">
        <w:tc>
          <w:tcPr>
            <w:tcW w:w="1098" w:type="dxa"/>
            <w:gridSpan w:val="2"/>
            <w:shd w:val="clear" w:color="auto" w:fill="FFFFFF"/>
          </w:tcPr>
          <w:p w:rsidR="00221132" w:rsidRPr="00261D8E" w:rsidRDefault="000E7AFA" w:rsidP="00A92D0B">
            <w:pPr>
              <w:spacing w:before="60" w:after="60"/>
              <w:rPr>
                <w:color w:val="000000"/>
                <w:sz w:val="22"/>
                <w:szCs w:val="22"/>
              </w:rPr>
            </w:pPr>
            <w:r w:rsidRPr="00261D8E">
              <w:rPr>
                <w:color w:val="000000"/>
                <w:sz w:val="22"/>
                <w:szCs w:val="22"/>
              </w:rPr>
              <w:t>Mark Fulmer</w:t>
            </w:r>
          </w:p>
        </w:tc>
        <w:tc>
          <w:tcPr>
            <w:tcW w:w="900" w:type="dxa"/>
            <w:gridSpan w:val="2"/>
            <w:shd w:val="clear" w:color="auto" w:fill="FFFFFF"/>
          </w:tcPr>
          <w:p w:rsidR="00221132" w:rsidRPr="00261D8E" w:rsidRDefault="000E7AFA"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221132" w:rsidRPr="00261D8E" w:rsidRDefault="000E7AFA" w:rsidP="00380703">
            <w:pPr>
              <w:spacing w:before="60" w:after="60"/>
              <w:jc w:val="right"/>
              <w:rPr>
                <w:color w:val="000000"/>
                <w:sz w:val="22"/>
                <w:szCs w:val="22"/>
              </w:rPr>
            </w:pPr>
            <w:r w:rsidRPr="00261D8E">
              <w:rPr>
                <w:color w:val="000000"/>
                <w:sz w:val="22"/>
                <w:szCs w:val="22"/>
              </w:rPr>
              <w:t>22</w:t>
            </w:r>
          </w:p>
        </w:tc>
        <w:tc>
          <w:tcPr>
            <w:tcW w:w="925" w:type="dxa"/>
            <w:gridSpan w:val="2"/>
            <w:shd w:val="clear" w:color="auto" w:fill="FFFFFF"/>
          </w:tcPr>
          <w:p w:rsidR="00221132" w:rsidRPr="00261D8E" w:rsidRDefault="000E7AFA" w:rsidP="00380703">
            <w:pPr>
              <w:spacing w:before="60" w:after="60"/>
              <w:jc w:val="center"/>
              <w:rPr>
                <w:color w:val="000000"/>
                <w:sz w:val="22"/>
                <w:szCs w:val="22"/>
              </w:rPr>
            </w:pPr>
            <w:r w:rsidRPr="00261D8E">
              <w:rPr>
                <w:color w:val="000000"/>
                <w:sz w:val="22"/>
                <w:szCs w:val="22"/>
              </w:rPr>
              <w:t>$275</w:t>
            </w:r>
          </w:p>
        </w:tc>
        <w:tc>
          <w:tcPr>
            <w:tcW w:w="1530" w:type="dxa"/>
            <w:gridSpan w:val="3"/>
            <w:tcBorders>
              <w:right w:val="single" w:sz="4" w:space="0" w:color="auto"/>
            </w:tcBorders>
            <w:shd w:val="clear" w:color="auto" w:fill="FFFFFF"/>
          </w:tcPr>
          <w:p w:rsidR="00221132" w:rsidRPr="00261D8E" w:rsidRDefault="000E7AFA" w:rsidP="00380703">
            <w:pPr>
              <w:spacing w:before="60" w:after="60"/>
              <w:jc w:val="right"/>
              <w:rPr>
                <w:color w:val="000000"/>
                <w:sz w:val="22"/>
                <w:szCs w:val="22"/>
              </w:rPr>
            </w:pPr>
            <w:r w:rsidRPr="00261D8E">
              <w:rPr>
                <w:color w:val="000000"/>
                <w:sz w:val="22"/>
                <w:szCs w:val="22"/>
              </w:rPr>
              <w:t>D.14-10-044</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221132" w:rsidRPr="00261D8E" w:rsidRDefault="00F30369" w:rsidP="00380703">
            <w:pPr>
              <w:spacing w:before="60" w:after="60"/>
              <w:jc w:val="right"/>
              <w:rPr>
                <w:color w:val="000000"/>
                <w:sz w:val="22"/>
                <w:szCs w:val="22"/>
              </w:rPr>
            </w:pPr>
            <w:r w:rsidRPr="00261D8E">
              <w:rPr>
                <w:color w:val="000000"/>
                <w:sz w:val="22"/>
                <w:szCs w:val="22"/>
              </w:rPr>
              <w:t>$6,050</w:t>
            </w:r>
          </w:p>
        </w:tc>
        <w:tc>
          <w:tcPr>
            <w:tcW w:w="900" w:type="dxa"/>
            <w:tcBorders>
              <w:left w:val="single" w:sz="4" w:space="0" w:color="auto"/>
            </w:tcBorders>
            <w:shd w:val="clear" w:color="auto" w:fill="FFFFFF"/>
          </w:tcPr>
          <w:p w:rsidR="00221132" w:rsidRPr="00261D8E" w:rsidRDefault="00BA4BE2" w:rsidP="00380703">
            <w:pPr>
              <w:spacing w:before="60" w:after="60"/>
              <w:jc w:val="right"/>
              <w:rPr>
                <w:color w:val="000000"/>
                <w:sz w:val="22"/>
                <w:szCs w:val="22"/>
              </w:rPr>
            </w:pPr>
            <w:r>
              <w:rPr>
                <w:color w:val="000000"/>
                <w:sz w:val="22"/>
                <w:szCs w:val="22"/>
              </w:rPr>
              <w:t>22.00</w:t>
            </w:r>
          </w:p>
        </w:tc>
        <w:tc>
          <w:tcPr>
            <w:tcW w:w="1080" w:type="dxa"/>
            <w:shd w:val="clear" w:color="auto" w:fill="FFFFFF"/>
          </w:tcPr>
          <w:p w:rsidR="00221132" w:rsidRDefault="00F76CD2" w:rsidP="00380703">
            <w:pPr>
              <w:spacing w:before="60" w:after="60"/>
              <w:jc w:val="center"/>
              <w:rPr>
                <w:color w:val="000000"/>
                <w:sz w:val="22"/>
                <w:szCs w:val="22"/>
              </w:rPr>
            </w:pPr>
            <w:r>
              <w:rPr>
                <w:color w:val="000000"/>
                <w:sz w:val="22"/>
                <w:szCs w:val="22"/>
              </w:rPr>
              <w:t>295.00</w:t>
            </w:r>
          </w:p>
          <w:p w:rsidR="00BE547C" w:rsidRPr="00261D8E" w:rsidRDefault="00BE547C" w:rsidP="00380703">
            <w:pPr>
              <w:spacing w:before="60" w:after="60"/>
              <w:jc w:val="center"/>
              <w:rPr>
                <w:color w:val="000000"/>
                <w:sz w:val="22"/>
                <w:szCs w:val="22"/>
              </w:rPr>
            </w:pPr>
            <w:r>
              <w:rPr>
                <w:i/>
                <w:color w:val="000000"/>
                <w:sz w:val="22"/>
                <w:szCs w:val="22"/>
              </w:rPr>
              <w:t>See</w:t>
            </w:r>
            <w:r>
              <w:rPr>
                <w:color w:val="000000"/>
                <w:sz w:val="22"/>
                <w:szCs w:val="22"/>
              </w:rPr>
              <w:t xml:space="preserve"> Res. ALJ-281. 287, 303, and 308.</w:t>
            </w:r>
          </w:p>
        </w:tc>
        <w:tc>
          <w:tcPr>
            <w:tcW w:w="1350" w:type="dxa"/>
            <w:shd w:val="clear" w:color="auto" w:fill="FFFFFF"/>
          </w:tcPr>
          <w:p w:rsidR="00221132" w:rsidRPr="00261D8E" w:rsidRDefault="00BA4BE2" w:rsidP="00380703">
            <w:pPr>
              <w:spacing w:before="60" w:after="60"/>
              <w:jc w:val="right"/>
              <w:rPr>
                <w:color w:val="000000"/>
                <w:sz w:val="22"/>
                <w:szCs w:val="22"/>
              </w:rPr>
            </w:pPr>
            <w:r>
              <w:rPr>
                <w:color w:val="000000"/>
                <w:sz w:val="22"/>
                <w:szCs w:val="22"/>
              </w:rPr>
              <w:t>6,490</w:t>
            </w:r>
          </w:p>
        </w:tc>
      </w:tr>
      <w:tr w:rsidR="00A92D0B" w:rsidRPr="00261D8E" w:rsidTr="006B6AD9">
        <w:tc>
          <w:tcPr>
            <w:tcW w:w="1098" w:type="dxa"/>
            <w:gridSpan w:val="2"/>
            <w:shd w:val="clear" w:color="auto" w:fill="FFFFFF"/>
          </w:tcPr>
          <w:p w:rsidR="00A92D0B" w:rsidRPr="00261D8E" w:rsidRDefault="000E7AFA" w:rsidP="00A92D0B">
            <w:pPr>
              <w:spacing w:before="60" w:after="60"/>
              <w:rPr>
                <w:color w:val="000000"/>
                <w:sz w:val="22"/>
                <w:szCs w:val="22"/>
              </w:rPr>
            </w:pPr>
            <w:proofErr w:type="spellStart"/>
            <w:r w:rsidRPr="00261D8E">
              <w:rPr>
                <w:color w:val="000000"/>
                <w:sz w:val="22"/>
                <w:szCs w:val="22"/>
              </w:rPr>
              <w:t>Naina</w:t>
            </w:r>
            <w:proofErr w:type="spellEnd"/>
            <w:r w:rsidRPr="00261D8E">
              <w:rPr>
                <w:color w:val="000000"/>
                <w:sz w:val="22"/>
                <w:szCs w:val="22"/>
              </w:rPr>
              <w:t xml:space="preserve"> Gupta</w:t>
            </w:r>
          </w:p>
        </w:tc>
        <w:tc>
          <w:tcPr>
            <w:tcW w:w="900" w:type="dxa"/>
            <w:gridSpan w:val="2"/>
            <w:shd w:val="clear" w:color="auto" w:fill="FFFFFF"/>
          </w:tcPr>
          <w:p w:rsidR="00A92D0B" w:rsidRPr="00261D8E" w:rsidRDefault="000E7AFA" w:rsidP="00380703">
            <w:pPr>
              <w:spacing w:before="60" w:after="60"/>
              <w:jc w:val="center"/>
              <w:rPr>
                <w:color w:val="000000"/>
                <w:sz w:val="22"/>
                <w:szCs w:val="22"/>
              </w:rPr>
            </w:pPr>
            <w:r w:rsidRPr="00261D8E">
              <w:rPr>
                <w:color w:val="000000"/>
                <w:sz w:val="22"/>
                <w:szCs w:val="22"/>
              </w:rPr>
              <w:t>2015</w:t>
            </w:r>
          </w:p>
        </w:tc>
        <w:tc>
          <w:tcPr>
            <w:tcW w:w="965" w:type="dxa"/>
            <w:gridSpan w:val="2"/>
            <w:shd w:val="clear" w:color="auto" w:fill="FFFFFF"/>
          </w:tcPr>
          <w:p w:rsidR="00A92D0B" w:rsidRPr="00261D8E" w:rsidRDefault="000E7AFA" w:rsidP="00380703">
            <w:pPr>
              <w:spacing w:before="60" w:after="60"/>
              <w:jc w:val="right"/>
              <w:rPr>
                <w:color w:val="000000"/>
                <w:sz w:val="22"/>
                <w:szCs w:val="22"/>
              </w:rPr>
            </w:pPr>
            <w:r w:rsidRPr="00261D8E">
              <w:rPr>
                <w:color w:val="000000"/>
                <w:sz w:val="22"/>
                <w:szCs w:val="22"/>
              </w:rPr>
              <w:t>71</w:t>
            </w:r>
          </w:p>
        </w:tc>
        <w:tc>
          <w:tcPr>
            <w:tcW w:w="925" w:type="dxa"/>
            <w:gridSpan w:val="2"/>
            <w:shd w:val="clear" w:color="auto" w:fill="FFFFFF"/>
          </w:tcPr>
          <w:p w:rsidR="00A92D0B" w:rsidRPr="00261D8E" w:rsidRDefault="00F30369" w:rsidP="00380703">
            <w:pPr>
              <w:spacing w:before="60" w:after="60"/>
              <w:jc w:val="center"/>
              <w:rPr>
                <w:color w:val="000000"/>
                <w:sz w:val="22"/>
                <w:szCs w:val="22"/>
              </w:rPr>
            </w:pPr>
            <w:r w:rsidRPr="00261D8E">
              <w:rPr>
                <w:color w:val="000000"/>
                <w:sz w:val="22"/>
                <w:szCs w:val="22"/>
              </w:rPr>
              <w:t>$1</w:t>
            </w:r>
            <w:r w:rsidR="00192F5D" w:rsidRPr="00261D8E">
              <w:rPr>
                <w:color w:val="000000"/>
                <w:sz w:val="22"/>
                <w:szCs w:val="22"/>
              </w:rPr>
              <w:t>26</w:t>
            </w:r>
          </w:p>
        </w:tc>
        <w:tc>
          <w:tcPr>
            <w:tcW w:w="1530" w:type="dxa"/>
            <w:gridSpan w:val="3"/>
            <w:tcBorders>
              <w:right w:val="single" w:sz="4" w:space="0" w:color="auto"/>
            </w:tcBorders>
            <w:shd w:val="clear" w:color="auto" w:fill="FFFFFF"/>
          </w:tcPr>
          <w:p w:rsidR="00A92D0B" w:rsidRPr="00261D8E" w:rsidRDefault="00376B47" w:rsidP="00380703">
            <w:pPr>
              <w:spacing w:before="60" w:after="60"/>
              <w:jc w:val="right"/>
              <w:rPr>
                <w:color w:val="000000"/>
                <w:sz w:val="22"/>
                <w:szCs w:val="22"/>
              </w:rPr>
            </w:pPr>
            <w:r w:rsidRPr="00261D8E">
              <w:rPr>
                <w:color w:val="000000"/>
                <w:sz w:val="22"/>
                <w:szCs w:val="22"/>
              </w:rPr>
              <w:t>See comment 5 below</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F30369" w:rsidP="00380703">
            <w:pPr>
              <w:spacing w:before="60" w:after="60"/>
              <w:jc w:val="right"/>
              <w:rPr>
                <w:color w:val="000000"/>
                <w:sz w:val="22"/>
                <w:szCs w:val="22"/>
              </w:rPr>
            </w:pPr>
            <w:r w:rsidRPr="00261D8E">
              <w:rPr>
                <w:color w:val="000000"/>
                <w:sz w:val="22"/>
                <w:szCs w:val="22"/>
              </w:rPr>
              <w:t>$</w:t>
            </w:r>
            <w:r w:rsidR="00192F5D" w:rsidRPr="00261D8E">
              <w:rPr>
                <w:color w:val="000000"/>
                <w:sz w:val="22"/>
                <w:szCs w:val="22"/>
              </w:rPr>
              <w:t>8,946</w:t>
            </w:r>
          </w:p>
        </w:tc>
        <w:tc>
          <w:tcPr>
            <w:tcW w:w="900" w:type="dxa"/>
            <w:tcBorders>
              <w:left w:val="single" w:sz="4" w:space="0" w:color="auto"/>
            </w:tcBorders>
            <w:shd w:val="clear" w:color="auto" w:fill="FFFFFF"/>
          </w:tcPr>
          <w:p w:rsidR="00A92D0B" w:rsidRPr="00261D8E" w:rsidRDefault="00BA4BE2" w:rsidP="00BA4BE2">
            <w:pPr>
              <w:tabs>
                <w:tab w:val="left" w:pos="180"/>
              </w:tabs>
              <w:spacing w:before="60" w:after="60"/>
              <w:rPr>
                <w:color w:val="000000"/>
                <w:sz w:val="22"/>
                <w:szCs w:val="22"/>
              </w:rPr>
            </w:pPr>
            <w:r>
              <w:rPr>
                <w:color w:val="000000"/>
                <w:sz w:val="22"/>
                <w:szCs w:val="22"/>
              </w:rPr>
              <w:tab/>
              <w:t>71.00</w:t>
            </w:r>
          </w:p>
        </w:tc>
        <w:tc>
          <w:tcPr>
            <w:tcW w:w="1080" w:type="dxa"/>
            <w:shd w:val="clear" w:color="auto" w:fill="FFFFFF"/>
          </w:tcPr>
          <w:p w:rsidR="00A92D0B" w:rsidRDefault="00D866F3" w:rsidP="00380703">
            <w:pPr>
              <w:spacing w:before="60" w:after="60"/>
              <w:jc w:val="center"/>
              <w:rPr>
                <w:color w:val="000000"/>
                <w:sz w:val="22"/>
                <w:szCs w:val="22"/>
              </w:rPr>
            </w:pPr>
            <w:r>
              <w:rPr>
                <w:color w:val="000000"/>
                <w:sz w:val="22"/>
                <w:szCs w:val="22"/>
              </w:rPr>
              <w:t>135.00</w:t>
            </w:r>
          </w:p>
          <w:p w:rsidR="00D866F3" w:rsidRPr="00261D8E" w:rsidRDefault="00D866F3" w:rsidP="00380703">
            <w:pPr>
              <w:spacing w:before="60" w:after="60"/>
              <w:jc w:val="center"/>
              <w:rPr>
                <w:color w:val="000000"/>
                <w:sz w:val="22"/>
                <w:szCs w:val="22"/>
              </w:rPr>
            </w:pPr>
            <w:r>
              <w:rPr>
                <w:color w:val="000000"/>
                <w:sz w:val="22"/>
                <w:szCs w:val="22"/>
              </w:rPr>
              <w:t>[3]</w:t>
            </w:r>
          </w:p>
        </w:tc>
        <w:tc>
          <w:tcPr>
            <w:tcW w:w="1350" w:type="dxa"/>
            <w:shd w:val="clear" w:color="auto" w:fill="FFFFFF"/>
          </w:tcPr>
          <w:p w:rsidR="00A92D0B" w:rsidRPr="00261D8E" w:rsidRDefault="00BA4BE2" w:rsidP="00380703">
            <w:pPr>
              <w:spacing w:before="60" w:after="60"/>
              <w:jc w:val="right"/>
              <w:rPr>
                <w:color w:val="000000"/>
                <w:sz w:val="22"/>
                <w:szCs w:val="22"/>
              </w:rPr>
            </w:pPr>
            <w:r>
              <w:rPr>
                <w:color w:val="000000"/>
                <w:sz w:val="22"/>
                <w:szCs w:val="22"/>
              </w:rPr>
              <w:t>9,585.00</w:t>
            </w:r>
          </w:p>
        </w:tc>
      </w:tr>
      <w:tr w:rsidR="00E3786F" w:rsidRPr="00261D8E" w:rsidTr="006B6AD9">
        <w:tc>
          <w:tcPr>
            <w:tcW w:w="6768" w:type="dxa"/>
            <w:gridSpan w:val="13"/>
            <w:tcBorders>
              <w:bottom w:val="single" w:sz="4" w:space="0" w:color="auto"/>
              <w:right w:val="single" w:sz="24" w:space="0" w:color="auto"/>
            </w:tcBorders>
            <w:shd w:val="clear" w:color="auto" w:fill="FFFFFF"/>
            <w:vAlign w:val="bottom"/>
          </w:tcPr>
          <w:p w:rsidR="00E3786F" w:rsidRPr="00261D8E" w:rsidRDefault="00E3786F" w:rsidP="00B00BCD">
            <w:pPr>
              <w:spacing w:before="60" w:after="60"/>
              <w:rPr>
                <w:color w:val="000000"/>
                <w:sz w:val="22"/>
                <w:szCs w:val="22"/>
              </w:rPr>
            </w:pPr>
            <w:r w:rsidRPr="00261D8E">
              <w:rPr>
                <w:b/>
                <w:i/>
                <w:color w:val="000000"/>
                <w:sz w:val="22"/>
                <w:szCs w:val="22"/>
              </w:rPr>
              <w:t xml:space="preserve">                                                   </w:t>
            </w:r>
            <w:r w:rsidR="002813B7" w:rsidRPr="00261D8E">
              <w:rPr>
                <w:b/>
                <w:i/>
                <w:color w:val="000000"/>
                <w:sz w:val="22"/>
                <w:szCs w:val="22"/>
              </w:rPr>
              <w:t xml:space="preserve">                            </w:t>
            </w:r>
            <w:r w:rsidRPr="00261D8E">
              <w:rPr>
                <w:b/>
                <w:i/>
                <w:color w:val="000000"/>
                <w:sz w:val="22"/>
                <w:szCs w:val="22"/>
              </w:rPr>
              <w:t xml:space="preserve">Subtotal: </w:t>
            </w:r>
            <w:r w:rsidRPr="00261D8E">
              <w:rPr>
                <w:b/>
                <w:color w:val="000000"/>
                <w:sz w:val="22"/>
                <w:szCs w:val="22"/>
              </w:rPr>
              <w:t xml:space="preserve">$  </w:t>
            </w:r>
            <w:r w:rsidR="002813B7" w:rsidRPr="00261D8E">
              <w:rPr>
                <w:b/>
                <w:color w:val="000000"/>
                <w:sz w:val="22"/>
                <w:szCs w:val="22"/>
              </w:rPr>
              <w:t>25</w:t>
            </w:r>
            <w:r w:rsidR="00ED7406" w:rsidRPr="00261D8E">
              <w:rPr>
                <w:b/>
                <w:color w:val="000000"/>
                <w:sz w:val="22"/>
                <w:szCs w:val="22"/>
              </w:rPr>
              <w:t>2</w:t>
            </w:r>
            <w:r w:rsidR="002813B7" w:rsidRPr="00261D8E">
              <w:rPr>
                <w:b/>
                <w:color w:val="000000"/>
                <w:sz w:val="22"/>
                <w:szCs w:val="22"/>
              </w:rPr>
              <w:t>,</w:t>
            </w:r>
            <w:r w:rsidR="00192F5D" w:rsidRPr="00261D8E">
              <w:rPr>
                <w:b/>
                <w:color w:val="000000"/>
                <w:sz w:val="22"/>
                <w:szCs w:val="22"/>
              </w:rPr>
              <w:t>08</w:t>
            </w:r>
            <w:r w:rsidR="00ED7406" w:rsidRPr="00261D8E">
              <w:rPr>
                <w:b/>
                <w:color w:val="000000"/>
                <w:sz w:val="22"/>
                <w:szCs w:val="22"/>
              </w:rPr>
              <w:t>4</w:t>
            </w:r>
            <w:r w:rsidR="002813B7" w:rsidRPr="00261D8E">
              <w:rPr>
                <w:b/>
                <w:color w:val="000000"/>
                <w:sz w:val="22"/>
                <w:szCs w:val="22"/>
              </w:rPr>
              <w:t>.00</w:t>
            </w:r>
          </w:p>
        </w:tc>
        <w:tc>
          <w:tcPr>
            <w:tcW w:w="3330" w:type="dxa"/>
            <w:gridSpan w:val="3"/>
            <w:tcBorders>
              <w:left w:val="single" w:sz="24" w:space="0" w:color="auto"/>
              <w:bottom w:val="single" w:sz="4" w:space="0" w:color="auto"/>
            </w:tcBorders>
            <w:shd w:val="clear" w:color="auto" w:fill="FFFFFF"/>
            <w:vAlign w:val="bottom"/>
          </w:tcPr>
          <w:p w:rsidR="00E3786F" w:rsidRPr="00261D8E" w:rsidRDefault="00E3786F" w:rsidP="00B00BCD">
            <w:pPr>
              <w:tabs>
                <w:tab w:val="left" w:pos="957"/>
              </w:tabs>
              <w:spacing w:before="60" w:after="60"/>
              <w:rPr>
                <w:color w:val="000000"/>
                <w:sz w:val="22"/>
                <w:szCs w:val="22"/>
              </w:rPr>
            </w:pPr>
            <w:r w:rsidRPr="00261D8E">
              <w:rPr>
                <w:b/>
                <w:i/>
                <w:color w:val="000000"/>
                <w:sz w:val="22"/>
                <w:szCs w:val="22"/>
              </w:rPr>
              <w:t xml:space="preserve">                Subtotal: </w:t>
            </w:r>
            <w:r w:rsidRPr="00261D8E">
              <w:rPr>
                <w:b/>
                <w:color w:val="000000"/>
                <w:sz w:val="22"/>
                <w:szCs w:val="22"/>
              </w:rPr>
              <w:t>$</w:t>
            </w:r>
            <w:r w:rsidR="00B00BCD" w:rsidRPr="00261D8E">
              <w:rPr>
                <w:b/>
                <w:color w:val="000000"/>
                <w:sz w:val="22"/>
                <w:szCs w:val="22"/>
              </w:rPr>
              <w:t xml:space="preserve">   </w:t>
            </w:r>
            <w:r w:rsidR="00BA4BE2">
              <w:rPr>
                <w:b/>
                <w:color w:val="000000"/>
                <w:sz w:val="22"/>
                <w:szCs w:val="22"/>
              </w:rPr>
              <w:t>255,813.75</w:t>
            </w:r>
          </w:p>
        </w:tc>
      </w:tr>
      <w:tr w:rsidR="00A92D0B" w:rsidRPr="00261D8E" w:rsidTr="006B6AD9">
        <w:tc>
          <w:tcPr>
            <w:tcW w:w="10098" w:type="dxa"/>
            <w:gridSpan w:val="16"/>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lastRenderedPageBreak/>
              <w:t>OTHER FEES</w:t>
            </w:r>
          </w:p>
          <w:p w:rsidR="00A92D0B" w:rsidRPr="00261D8E" w:rsidRDefault="00A92D0B" w:rsidP="00E501D7">
            <w:pPr>
              <w:keepNext/>
              <w:keepLines/>
              <w:spacing w:before="60" w:after="60"/>
              <w:jc w:val="center"/>
              <w:rPr>
                <w:b/>
                <w:color w:val="000000"/>
                <w:sz w:val="22"/>
                <w:szCs w:val="22"/>
              </w:rPr>
            </w:pPr>
            <w:r w:rsidRPr="00261D8E">
              <w:rPr>
                <w:b/>
                <w:color w:val="000000"/>
                <w:sz w:val="22"/>
                <w:szCs w:val="22"/>
              </w:rPr>
              <w:t>Describe here what OTHER HOURLY FEES you are Claiming (paralegal, travel **, etc.):</w:t>
            </w:r>
          </w:p>
        </w:tc>
      </w:tr>
      <w:tr w:rsidR="00A92D0B" w:rsidRPr="00261D8E" w:rsidTr="006B6AD9">
        <w:tc>
          <w:tcPr>
            <w:tcW w:w="1098" w:type="dxa"/>
            <w:gridSpan w:val="2"/>
            <w:tcBorders>
              <w:top w:val="single" w:sz="4" w:space="0" w:color="auto"/>
              <w:bottom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Item</w:t>
            </w:r>
          </w:p>
        </w:tc>
        <w:tc>
          <w:tcPr>
            <w:tcW w:w="900" w:type="dxa"/>
            <w:gridSpan w:val="2"/>
            <w:tcBorders>
              <w:top w:val="single" w:sz="4" w:space="0" w:color="auto"/>
              <w:bottom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Year</w:t>
            </w:r>
          </w:p>
        </w:tc>
        <w:tc>
          <w:tcPr>
            <w:tcW w:w="990" w:type="dxa"/>
            <w:gridSpan w:val="3"/>
            <w:tcBorders>
              <w:top w:val="single" w:sz="4" w:space="0" w:color="auto"/>
              <w:bottom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Hours</w:t>
            </w:r>
          </w:p>
        </w:tc>
        <w:tc>
          <w:tcPr>
            <w:tcW w:w="990" w:type="dxa"/>
            <w:gridSpan w:val="2"/>
            <w:tcBorders>
              <w:top w:val="single" w:sz="4" w:space="0" w:color="auto"/>
              <w:bottom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Rate</w:t>
            </w:r>
            <w:r w:rsidR="00380703" w:rsidRPr="00261D8E">
              <w:rPr>
                <w:b/>
                <w:color w:val="000000"/>
                <w:sz w:val="22"/>
                <w:szCs w:val="22"/>
              </w:rPr>
              <w:t xml:space="preserve"> $</w:t>
            </w:r>
            <w:r w:rsidRPr="00261D8E">
              <w:rPr>
                <w:b/>
                <w:color w:val="000000"/>
                <w:sz w:val="22"/>
                <w:szCs w:val="22"/>
              </w:rPr>
              <w:t xml:space="preserve"> </w:t>
            </w:r>
          </w:p>
        </w:tc>
        <w:tc>
          <w:tcPr>
            <w:tcW w:w="1440" w:type="dxa"/>
            <w:gridSpan w:val="2"/>
            <w:tcBorders>
              <w:top w:val="single" w:sz="4" w:space="0" w:color="auto"/>
              <w:bottom w:val="single" w:sz="4" w:space="0" w:color="auto"/>
              <w:right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Basis for Rate*</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Total $</w:t>
            </w:r>
          </w:p>
        </w:tc>
        <w:tc>
          <w:tcPr>
            <w:tcW w:w="900" w:type="dxa"/>
            <w:tcBorders>
              <w:top w:val="single" w:sz="4" w:space="0" w:color="auto"/>
              <w:left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Hours</w:t>
            </w:r>
          </w:p>
        </w:tc>
        <w:tc>
          <w:tcPr>
            <w:tcW w:w="1080" w:type="dxa"/>
            <w:tcBorders>
              <w:top w:val="single" w:sz="4" w:space="0" w:color="auto"/>
            </w:tcBorders>
            <w:shd w:val="clear" w:color="auto" w:fill="FFFFFF"/>
          </w:tcPr>
          <w:p w:rsidR="00A92D0B" w:rsidRPr="00261D8E" w:rsidRDefault="00A92D0B" w:rsidP="00E501D7">
            <w:pPr>
              <w:keepNext/>
              <w:keepLines/>
              <w:spacing w:before="60" w:after="60"/>
              <w:jc w:val="center"/>
              <w:rPr>
                <w:b/>
                <w:color w:val="000000"/>
                <w:sz w:val="22"/>
                <w:szCs w:val="22"/>
              </w:rPr>
            </w:pPr>
            <w:r w:rsidRPr="00261D8E">
              <w:rPr>
                <w:b/>
                <w:color w:val="000000"/>
                <w:sz w:val="22"/>
                <w:szCs w:val="22"/>
              </w:rPr>
              <w:t xml:space="preserve">Rate </w:t>
            </w:r>
          </w:p>
        </w:tc>
        <w:tc>
          <w:tcPr>
            <w:tcW w:w="1350" w:type="dxa"/>
            <w:tcBorders>
              <w:top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Total $</w:t>
            </w:r>
          </w:p>
        </w:tc>
      </w:tr>
      <w:tr w:rsidR="00A92D0B" w:rsidRPr="00261D8E" w:rsidTr="006B6AD9">
        <w:tc>
          <w:tcPr>
            <w:tcW w:w="1098" w:type="dxa"/>
            <w:gridSpan w:val="2"/>
            <w:shd w:val="clear" w:color="auto" w:fill="FFFFFF"/>
          </w:tcPr>
          <w:p w:rsidR="00A92D0B" w:rsidRPr="00261D8E" w:rsidRDefault="0007279D" w:rsidP="00E501D7">
            <w:pPr>
              <w:keepNext/>
              <w:keepLines/>
              <w:spacing w:before="60" w:after="60"/>
              <w:rPr>
                <w:color w:val="000000"/>
                <w:sz w:val="22"/>
                <w:szCs w:val="22"/>
              </w:rPr>
            </w:pPr>
            <w:r w:rsidRPr="00261D8E">
              <w:rPr>
                <w:color w:val="000000"/>
                <w:sz w:val="22"/>
                <w:szCs w:val="22"/>
              </w:rPr>
              <w:t>Donald Kelly</w:t>
            </w:r>
            <w:r w:rsidR="00A92D0B" w:rsidRPr="00261D8E">
              <w:rPr>
                <w:color w:val="000000"/>
                <w:sz w:val="22"/>
                <w:szCs w:val="22"/>
              </w:rPr>
              <w:t xml:space="preserve"> </w:t>
            </w:r>
            <w:r w:rsidR="00376B47" w:rsidRPr="00261D8E">
              <w:rPr>
                <w:color w:val="000000"/>
                <w:sz w:val="22"/>
                <w:szCs w:val="22"/>
              </w:rPr>
              <w:t xml:space="preserve"> travel time</w:t>
            </w:r>
            <w:r w:rsidR="00A92D0B" w:rsidRPr="00261D8E">
              <w:rPr>
                <w:color w:val="000000"/>
                <w:sz w:val="22"/>
                <w:szCs w:val="22"/>
              </w:rPr>
              <w:t xml:space="preserve"> </w:t>
            </w:r>
          </w:p>
        </w:tc>
        <w:tc>
          <w:tcPr>
            <w:tcW w:w="900" w:type="dxa"/>
            <w:gridSpan w:val="2"/>
            <w:shd w:val="clear" w:color="auto" w:fill="FFFFFF"/>
          </w:tcPr>
          <w:p w:rsidR="00A92D0B" w:rsidRPr="00261D8E" w:rsidRDefault="0007279D" w:rsidP="00E501D7">
            <w:pPr>
              <w:keepNext/>
              <w:keepLines/>
              <w:spacing w:before="60" w:after="60"/>
              <w:jc w:val="center"/>
              <w:rPr>
                <w:color w:val="000000"/>
                <w:sz w:val="22"/>
                <w:szCs w:val="22"/>
              </w:rPr>
            </w:pPr>
            <w:r w:rsidRPr="00261D8E">
              <w:rPr>
                <w:color w:val="000000"/>
                <w:sz w:val="22"/>
                <w:szCs w:val="22"/>
              </w:rPr>
              <w:t>2015</w:t>
            </w:r>
          </w:p>
        </w:tc>
        <w:tc>
          <w:tcPr>
            <w:tcW w:w="990" w:type="dxa"/>
            <w:gridSpan w:val="3"/>
            <w:shd w:val="clear" w:color="auto" w:fill="FFFFFF"/>
          </w:tcPr>
          <w:p w:rsidR="00A92D0B" w:rsidRPr="00261D8E" w:rsidRDefault="00376B47" w:rsidP="00E501D7">
            <w:pPr>
              <w:keepNext/>
              <w:keepLines/>
              <w:spacing w:before="60" w:after="60"/>
              <w:jc w:val="right"/>
              <w:rPr>
                <w:color w:val="000000"/>
                <w:sz w:val="22"/>
                <w:szCs w:val="22"/>
              </w:rPr>
            </w:pPr>
            <w:r w:rsidRPr="00261D8E">
              <w:rPr>
                <w:color w:val="000000"/>
                <w:sz w:val="22"/>
                <w:szCs w:val="22"/>
              </w:rPr>
              <w:t>19.75</w:t>
            </w:r>
          </w:p>
        </w:tc>
        <w:tc>
          <w:tcPr>
            <w:tcW w:w="990" w:type="dxa"/>
            <w:gridSpan w:val="2"/>
            <w:shd w:val="clear" w:color="auto" w:fill="FFFFFF"/>
          </w:tcPr>
          <w:p w:rsidR="0007279D" w:rsidRPr="00261D8E" w:rsidRDefault="0007279D" w:rsidP="00E501D7">
            <w:pPr>
              <w:keepNext/>
              <w:keepLines/>
              <w:spacing w:before="60" w:after="60"/>
              <w:jc w:val="center"/>
              <w:rPr>
                <w:color w:val="000000"/>
                <w:sz w:val="22"/>
                <w:szCs w:val="22"/>
              </w:rPr>
            </w:pPr>
            <w:r w:rsidRPr="00261D8E">
              <w:rPr>
                <w:color w:val="000000"/>
                <w:sz w:val="22"/>
                <w:szCs w:val="22"/>
              </w:rPr>
              <w:t>$167.50</w:t>
            </w:r>
          </w:p>
        </w:tc>
        <w:tc>
          <w:tcPr>
            <w:tcW w:w="1440" w:type="dxa"/>
            <w:gridSpan w:val="2"/>
            <w:tcBorders>
              <w:right w:val="single" w:sz="4" w:space="0" w:color="auto"/>
            </w:tcBorders>
            <w:shd w:val="clear" w:color="auto" w:fill="FFFFFF"/>
          </w:tcPr>
          <w:p w:rsidR="00A92D0B" w:rsidRPr="00261D8E" w:rsidRDefault="0007279D" w:rsidP="00E501D7">
            <w:pPr>
              <w:keepNext/>
              <w:keepLines/>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F30369" w:rsidP="00E501D7">
            <w:pPr>
              <w:keepNext/>
              <w:keepLines/>
              <w:spacing w:before="60" w:after="60"/>
              <w:jc w:val="right"/>
              <w:rPr>
                <w:color w:val="000000"/>
                <w:sz w:val="22"/>
                <w:szCs w:val="22"/>
              </w:rPr>
            </w:pPr>
            <w:r w:rsidRPr="00261D8E">
              <w:rPr>
                <w:color w:val="000000"/>
                <w:sz w:val="22"/>
                <w:szCs w:val="22"/>
              </w:rPr>
              <w:t>$3,308.12</w:t>
            </w:r>
          </w:p>
        </w:tc>
        <w:tc>
          <w:tcPr>
            <w:tcW w:w="900" w:type="dxa"/>
            <w:tcBorders>
              <w:left w:val="single" w:sz="4" w:space="0" w:color="auto"/>
              <w:right w:val="single" w:sz="4" w:space="0" w:color="auto"/>
            </w:tcBorders>
            <w:shd w:val="clear" w:color="auto" w:fill="FFFFFF"/>
          </w:tcPr>
          <w:p w:rsidR="00A92D0B" w:rsidRDefault="009E1E32" w:rsidP="00E501D7">
            <w:pPr>
              <w:keepNext/>
              <w:keepLines/>
              <w:spacing w:before="60" w:after="60"/>
              <w:jc w:val="right"/>
              <w:rPr>
                <w:color w:val="000000"/>
                <w:sz w:val="22"/>
                <w:szCs w:val="22"/>
              </w:rPr>
            </w:pPr>
            <w:r>
              <w:rPr>
                <w:color w:val="000000"/>
                <w:sz w:val="22"/>
                <w:szCs w:val="22"/>
              </w:rPr>
              <w:t>19.00</w:t>
            </w:r>
          </w:p>
          <w:p w:rsidR="005646DA" w:rsidRPr="00261D8E" w:rsidRDefault="005646DA" w:rsidP="00E501D7">
            <w:pPr>
              <w:keepNext/>
              <w:keepLines/>
              <w:spacing w:before="60" w:after="60"/>
              <w:jc w:val="right"/>
              <w:rPr>
                <w:color w:val="000000"/>
                <w:sz w:val="22"/>
                <w:szCs w:val="22"/>
              </w:rPr>
            </w:pPr>
            <w:r>
              <w:rPr>
                <w:color w:val="000000"/>
                <w:sz w:val="22"/>
                <w:szCs w:val="22"/>
              </w:rPr>
              <w:t>[2]</w:t>
            </w:r>
          </w:p>
        </w:tc>
        <w:tc>
          <w:tcPr>
            <w:tcW w:w="1080" w:type="dxa"/>
            <w:tcBorders>
              <w:left w:val="single" w:sz="4" w:space="0" w:color="auto"/>
            </w:tcBorders>
            <w:shd w:val="clear" w:color="auto" w:fill="FFFFFF"/>
          </w:tcPr>
          <w:p w:rsidR="00A92D0B" w:rsidRPr="00261D8E" w:rsidRDefault="00B651E2" w:rsidP="00E501D7">
            <w:pPr>
              <w:keepNext/>
              <w:keepLines/>
              <w:spacing w:before="60" w:after="60"/>
              <w:jc w:val="center"/>
              <w:rPr>
                <w:color w:val="000000"/>
                <w:sz w:val="22"/>
                <w:szCs w:val="22"/>
              </w:rPr>
            </w:pPr>
            <w:r>
              <w:rPr>
                <w:color w:val="000000"/>
                <w:sz w:val="22"/>
                <w:szCs w:val="22"/>
              </w:rPr>
              <w:t>167.50</w:t>
            </w:r>
          </w:p>
        </w:tc>
        <w:tc>
          <w:tcPr>
            <w:tcW w:w="1350" w:type="dxa"/>
            <w:shd w:val="clear" w:color="auto" w:fill="FFFFFF"/>
          </w:tcPr>
          <w:p w:rsidR="00A92D0B" w:rsidRPr="00261D8E" w:rsidRDefault="009E1E32" w:rsidP="00380703">
            <w:pPr>
              <w:spacing w:before="60" w:after="60"/>
              <w:jc w:val="right"/>
              <w:rPr>
                <w:color w:val="000000"/>
                <w:sz w:val="22"/>
                <w:szCs w:val="22"/>
              </w:rPr>
            </w:pPr>
            <w:r>
              <w:rPr>
                <w:color w:val="000000"/>
                <w:sz w:val="22"/>
                <w:szCs w:val="22"/>
              </w:rPr>
              <w:t>3,182.50</w:t>
            </w:r>
          </w:p>
        </w:tc>
      </w:tr>
      <w:tr w:rsidR="00A92D0B" w:rsidRPr="00261D8E" w:rsidTr="006B6AD9">
        <w:tc>
          <w:tcPr>
            <w:tcW w:w="1098" w:type="dxa"/>
            <w:gridSpan w:val="2"/>
            <w:shd w:val="clear" w:color="auto" w:fill="FFFFFF"/>
          </w:tcPr>
          <w:p w:rsidR="00A92D0B" w:rsidRPr="00261D8E" w:rsidRDefault="0007279D" w:rsidP="00A92D0B">
            <w:pPr>
              <w:spacing w:before="60" w:after="60"/>
              <w:rPr>
                <w:color w:val="000000"/>
                <w:sz w:val="22"/>
                <w:szCs w:val="22"/>
              </w:rPr>
            </w:pPr>
            <w:r w:rsidRPr="00261D8E">
              <w:rPr>
                <w:color w:val="000000"/>
                <w:sz w:val="22"/>
                <w:szCs w:val="22"/>
              </w:rPr>
              <w:t xml:space="preserve"> Donald Kelly</w:t>
            </w:r>
            <w:r w:rsidR="00376B47" w:rsidRPr="00261D8E">
              <w:rPr>
                <w:color w:val="000000"/>
                <w:sz w:val="22"/>
                <w:szCs w:val="22"/>
              </w:rPr>
              <w:t xml:space="preserve"> travel time</w:t>
            </w:r>
          </w:p>
        </w:tc>
        <w:tc>
          <w:tcPr>
            <w:tcW w:w="90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2016</w:t>
            </w:r>
          </w:p>
        </w:tc>
        <w:tc>
          <w:tcPr>
            <w:tcW w:w="990" w:type="dxa"/>
            <w:gridSpan w:val="3"/>
            <w:shd w:val="clear" w:color="auto" w:fill="FFFFFF"/>
          </w:tcPr>
          <w:p w:rsidR="00A92D0B" w:rsidRPr="00261D8E" w:rsidRDefault="00376B47" w:rsidP="00380703">
            <w:pPr>
              <w:spacing w:before="60" w:after="60"/>
              <w:jc w:val="right"/>
              <w:rPr>
                <w:color w:val="000000"/>
                <w:sz w:val="22"/>
                <w:szCs w:val="22"/>
              </w:rPr>
            </w:pPr>
            <w:r w:rsidRPr="00261D8E">
              <w:rPr>
                <w:color w:val="000000"/>
                <w:sz w:val="22"/>
                <w:szCs w:val="22"/>
              </w:rPr>
              <w:t>8.5</w:t>
            </w:r>
          </w:p>
        </w:tc>
        <w:tc>
          <w:tcPr>
            <w:tcW w:w="99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$175</w:t>
            </w:r>
          </w:p>
        </w:tc>
        <w:tc>
          <w:tcPr>
            <w:tcW w:w="1440" w:type="dxa"/>
            <w:gridSpan w:val="2"/>
            <w:tcBorders>
              <w:right w:val="single" w:sz="4" w:space="0" w:color="auto"/>
            </w:tcBorders>
            <w:shd w:val="clear" w:color="auto" w:fill="FFFFFF"/>
          </w:tcPr>
          <w:p w:rsidR="00A92D0B"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2813B7" w:rsidP="00380703">
            <w:pPr>
              <w:spacing w:before="60" w:after="60"/>
              <w:jc w:val="right"/>
              <w:rPr>
                <w:color w:val="000000"/>
                <w:sz w:val="22"/>
                <w:szCs w:val="22"/>
              </w:rPr>
            </w:pPr>
            <w:r w:rsidRPr="00261D8E">
              <w:rPr>
                <w:color w:val="000000"/>
                <w:sz w:val="22"/>
                <w:szCs w:val="22"/>
              </w:rPr>
              <w:t>$1,487.5</w:t>
            </w:r>
          </w:p>
        </w:tc>
        <w:tc>
          <w:tcPr>
            <w:tcW w:w="900" w:type="dxa"/>
            <w:tcBorders>
              <w:left w:val="single" w:sz="4" w:space="0" w:color="auto"/>
              <w:right w:val="single" w:sz="4" w:space="0" w:color="auto"/>
            </w:tcBorders>
            <w:shd w:val="clear" w:color="auto" w:fill="FFFFFF"/>
          </w:tcPr>
          <w:p w:rsidR="00A92D0B" w:rsidRPr="00261D8E" w:rsidRDefault="00B71AB5" w:rsidP="00380703">
            <w:pPr>
              <w:spacing w:before="60" w:after="60"/>
              <w:jc w:val="right"/>
              <w:rPr>
                <w:color w:val="000000"/>
                <w:sz w:val="22"/>
                <w:szCs w:val="22"/>
              </w:rPr>
            </w:pPr>
            <w:r>
              <w:rPr>
                <w:color w:val="000000"/>
                <w:sz w:val="22"/>
                <w:szCs w:val="22"/>
              </w:rPr>
              <w:t>8.50</w:t>
            </w:r>
          </w:p>
        </w:tc>
        <w:tc>
          <w:tcPr>
            <w:tcW w:w="1080" w:type="dxa"/>
            <w:tcBorders>
              <w:left w:val="single" w:sz="4" w:space="0" w:color="auto"/>
            </w:tcBorders>
            <w:shd w:val="clear" w:color="auto" w:fill="FFFFFF"/>
          </w:tcPr>
          <w:p w:rsidR="00A92D0B" w:rsidRPr="00261D8E" w:rsidRDefault="00B651E2" w:rsidP="00380703">
            <w:pPr>
              <w:spacing w:before="60" w:after="60"/>
              <w:jc w:val="center"/>
              <w:rPr>
                <w:color w:val="000000"/>
                <w:sz w:val="22"/>
                <w:szCs w:val="22"/>
              </w:rPr>
            </w:pPr>
            <w:r>
              <w:rPr>
                <w:color w:val="000000"/>
                <w:sz w:val="22"/>
                <w:szCs w:val="22"/>
              </w:rPr>
              <w:t>172.50</w:t>
            </w:r>
          </w:p>
        </w:tc>
        <w:tc>
          <w:tcPr>
            <w:tcW w:w="1350" w:type="dxa"/>
            <w:shd w:val="clear" w:color="auto" w:fill="FFFFFF"/>
          </w:tcPr>
          <w:p w:rsidR="00A92D0B" w:rsidRPr="00261D8E" w:rsidRDefault="00B71AB5" w:rsidP="00380703">
            <w:pPr>
              <w:spacing w:before="60" w:after="60"/>
              <w:jc w:val="right"/>
              <w:rPr>
                <w:color w:val="000000"/>
                <w:sz w:val="22"/>
                <w:szCs w:val="22"/>
              </w:rPr>
            </w:pPr>
            <w:r>
              <w:rPr>
                <w:color w:val="000000"/>
                <w:sz w:val="22"/>
                <w:szCs w:val="22"/>
              </w:rPr>
              <w:t>1,466.25</w:t>
            </w:r>
          </w:p>
        </w:tc>
      </w:tr>
      <w:tr w:rsidR="00E15DC3" w:rsidRPr="00261D8E" w:rsidTr="006B6AD9">
        <w:tc>
          <w:tcPr>
            <w:tcW w:w="6768" w:type="dxa"/>
            <w:gridSpan w:val="13"/>
            <w:tcBorders>
              <w:bottom w:val="single" w:sz="4" w:space="0" w:color="auto"/>
              <w:right w:val="single" w:sz="24" w:space="0" w:color="auto"/>
            </w:tcBorders>
            <w:shd w:val="clear" w:color="auto" w:fill="FFFFFF"/>
            <w:vAlign w:val="bottom"/>
          </w:tcPr>
          <w:p w:rsidR="00E15DC3" w:rsidRPr="00261D8E" w:rsidRDefault="00E15DC3" w:rsidP="00B00BCD">
            <w:pPr>
              <w:spacing w:before="60" w:after="60"/>
              <w:rPr>
                <w:color w:val="000000"/>
                <w:sz w:val="22"/>
                <w:szCs w:val="22"/>
              </w:rPr>
            </w:pPr>
            <w:r w:rsidRPr="00261D8E">
              <w:rPr>
                <w:b/>
                <w:i/>
                <w:color w:val="000000"/>
                <w:sz w:val="22"/>
                <w:szCs w:val="22"/>
              </w:rPr>
              <w:t xml:space="preserve">                                                                                    Subtotal: </w:t>
            </w:r>
            <w:r w:rsidRPr="00261D8E">
              <w:rPr>
                <w:b/>
                <w:color w:val="000000"/>
                <w:sz w:val="22"/>
                <w:szCs w:val="22"/>
              </w:rPr>
              <w:t>$</w:t>
            </w:r>
            <w:r w:rsidR="002813B7" w:rsidRPr="00261D8E">
              <w:rPr>
                <w:b/>
                <w:color w:val="000000"/>
                <w:sz w:val="22"/>
                <w:szCs w:val="22"/>
              </w:rPr>
              <w:t>4,795.62</w:t>
            </w:r>
          </w:p>
        </w:tc>
        <w:tc>
          <w:tcPr>
            <w:tcW w:w="3330" w:type="dxa"/>
            <w:gridSpan w:val="3"/>
            <w:tcBorders>
              <w:left w:val="single" w:sz="24" w:space="0" w:color="auto"/>
              <w:bottom w:val="single" w:sz="4" w:space="0" w:color="auto"/>
            </w:tcBorders>
            <w:shd w:val="clear" w:color="auto" w:fill="FFFFFF"/>
            <w:vAlign w:val="bottom"/>
          </w:tcPr>
          <w:p w:rsidR="00E15DC3" w:rsidRPr="00261D8E" w:rsidRDefault="00E15DC3" w:rsidP="00B00BCD">
            <w:pPr>
              <w:spacing w:before="60" w:after="60"/>
              <w:rPr>
                <w:color w:val="000000"/>
                <w:sz w:val="22"/>
                <w:szCs w:val="22"/>
              </w:rPr>
            </w:pPr>
            <w:r w:rsidRPr="00261D8E">
              <w:rPr>
                <w:b/>
                <w:i/>
                <w:color w:val="000000"/>
                <w:sz w:val="22"/>
                <w:szCs w:val="22"/>
              </w:rPr>
              <w:t xml:space="preserve">                Subtotal: </w:t>
            </w:r>
            <w:r w:rsidRPr="00261D8E">
              <w:rPr>
                <w:b/>
                <w:color w:val="000000"/>
                <w:sz w:val="22"/>
                <w:szCs w:val="22"/>
              </w:rPr>
              <w:t xml:space="preserve"> $</w:t>
            </w:r>
            <w:r w:rsidR="00B71AB5">
              <w:rPr>
                <w:b/>
                <w:color w:val="000000"/>
                <w:sz w:val="22"/>
                <w:szCs w:val="22"/>
              </w:rPr>
              <w:t>4,648.75</w:t>
            </w:r>
          </w:p>
        </w:tc>
      </w:tr>
      <w:tr w:rsidR="00A92D0B" w:rsidRPr="00261D8E" w:rsidTr="006B6AD9">
        <w:tc>
          <w:tcPr>
            <w:tcW w:w="10098" w:type="dxa"/>
            <w:gridSpan w:val="16"/>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A92D0B">
            <w:pPr>
              <w:spacing w:before="60" w:after="60"/>
              <w:jc w:val="center"/>
              <w:rPr>
                <w:color w:val="000000"/>
                <w:sz w:val="22"/>
                <w:szCs w:val="22"/>
              </w:rPr>
            </w:pPr>
            <w:r w:rsidRPr="00261D8E">
              <w:rPr>
                <w:b/>
                <w:color w:val="000000"/>
                <w:sz w:val="22"/>
                <w:szCs w:val="22"/>
              </w:rPr>
              <w:t xml:space="preserve">INTERVENOR COMPENSATION CLAIM PREPARATION </w:t>
            </w:r>
            <w:r w:rsidRPr="00261D8E">
              <w:rPr>
                <w:b/>
                <w:smallCaps/>
                <w:color w:val="000000"/>
                <w:sz w:val="22"/>
                <w:szCs w:val="22"/>
              </w:rPr>
              <w:t xml:space="preserve"> **</w:t>
            </w:r>
          </w:p>
        </w:tc>
      </w:tr>
      <w:tr w:rsidR="00A92D0B" w:rsidRPr="00261D8E" w:rsidTr="006B6AD9">
        <w:tc>
          <w:tcPr>
            <w:tcW w:w="1098" w:type="dxa"/>
            <w:gridSpan w:val="2"/>
            <w:tcBorders>
              <w:top w:val="single" w:sz="4" w:space="0" w:color="auto"/>
              <w:bottom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Item</w:t>
            </w:r>
          </w:p>
        </w:tc>
        <w:tc>
          <w:tcPr>
            <w:tcW w:w="900" w:type="dxa"/>
            <w:gridSpan w:val="2"/>
            <w:tcBorders>
              <w:top w:val="single" w:sz="4" w:space="0" w:color="auto"/>
              <w:bottom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Year</w:t>
            </w:r>
          </w:p>
        </w:tc>
        <w:tc>
          <w:tcPr>
            <w:tcW w:w="990" w:type="dxa"/>
            <w:gridSpan w:val="3"/>
            <w:tcBorders>
              <w:top w:val="single" w:sz="4" w:space="0" w:color="auto"/>
              <w:bottom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Hours</w:t>
            </w:r>
          </w:p>
        </w:tc>
        <w:tc>
          <w:tcPr>
            <w:tcW w:w="990" w:type="dxa"/>
            <w:gridSpan w:val="2"/>
            <w:tcBorders>
              <w:top w:val="single" w:sz="4" w:space="0" w:color="auto"/>
              <w:bottom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Rate</w:t>
            </w:r>
            <w:r w:rsidR="00380703" w:rsidRPr="00261D8E">
              <w:rPr>
                <w:b/>
                <w:color w:val="000000"/>
                <w:sz w:val="22"/>
                <w:szCs w:val="22"/>
              </w:rPr>
              <w:t xml:space="preserve"> $</w:t>
            </w:r>
            <w:r w:rsidRPr="00261D8E">
              <w:rPr>
                <w:b/>
                <w:color w:val="000000"/>
                <w:sz w:val="22"/>
                <w:szCs w:val="22"/>
              </w:rPr>
              <w:t xml:space="preserve"> </w:t>
            </w:r>
          </w:p>
        </w:tc>
        <w:tc>
          <w:tcPr>
            <w:tcW w:w="1440" w:type="dxa"/>
            <w:gridSpan w:val="2"/>
            <w:tcBorders>
              <w:top w:val="single" w:sz="4" w:space="0" w:color="auto"/>
              <w:bottom w:val="single" w:sz="4" w:space="0" w:color="auto"/>
              <w:right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Basis for Rate*</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Total $</w:t>
            </w:r>
          </w:p>
        </w:tc>
        <w:tc>
          <w:tcPr>
            <w:tcW w:w="900" w:type="dxa"/>
            <w:tcBorders>
              <w:top w:val="single" w:sz="4" w:space="0" w:color="auto"/>
              <w:left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Hours</w:t>
            </w:r>
          </w:p>
        </w:tc>
        <w:tc>
          <w:tcPr>
            <w:tcW w:w="1080" w:type="dxa"/>
            <w:tcBorders>
              <w:top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 xml:space="preserve">Rate </w:t>
            </w:r>
          </w:p>
        </w:tc>
        <w:tc>
          <w:tcPr>
            <w:tcW w:w="1350" w:type="dxa"/>
            <w:tcBorders>
              <w:top w:val="single" w:sz="4" w:space="0" w:color="auto"/>
            </w:tcBorders>
            <w:shd w:val="clear" w:color="auto" w:fill="FFFFFF"/>
          </w:tcPr>
          <w:p w:rsidR="00A92D0B" w:rsidRPr="00261D8E" w:rsidRDefault="00A92D0B" w:rsidP="00A92D0B">
            <w:pPr>
              <w:spacing w:before="60" w:after="60"/>
              <w:jc w:val="center"/>
              <w:rPr>
                <w:b/>
                <w:color w:val="000000"/>
                <w:sz w:val="22"/>
                <w:szCs w:val="22"/>
              </w:rPr>
            </w:pPr>
            <w:r w:rsidRPr="00261D8E">
              <w:rPr>
                <w:b/>
                <w:color w:val="000000"/>
                <w:sz w:val="22"/>
                <w:szCs w:val="22"/>
              </w:rPr>
              <w:t>Total $</w:t>
            </w:r>
          </w:p>
        </w:tc>
      </w:tr>
      <w:tr w:rsidR="00A92D0B" w:rsidRPr="00261D8E" w:rsidTr="006B6AD9">
        <w:tc>
          <w:tcPr>
            <w:tcW w:w="1098" w:type="dxa"/>
            <w:gridSpan w:val="2"/>
            <w:shd w:val="clear" w:color="auto" w:fill="FFFFFF"/>
          </w:tcPr>
          <w:p w:rsidR="00A92D0B" w:rsidRPr="00261D8E" w:rsidRDefault="0007279D" w:rsidP="00A92D0B">
            <w:pPr>
              <w:spacing w:before="60" w:after="60"/>
              <w:rPr>
                <w:color w:val="000000"/>
                <w:sz w:val="22"/>
                <w:szCs w:val="22"/>
              </w:rPr>
            </w:pPr>
            <w:r w:rsidRPr="00261D8E">
              <w:rPr>
                <w:color w:val="000000"/>
                <w:sz w:val="22"/>
                <w:szCs w:val="22"/>
              </w:rPr>
              <w:t>Donald Kelly</w:t>
            </w:r>
            <w:r w:rsidR="00A92D0B" w:rsidRPr="00261D8E">
              <w:rPr>
                <w:color w:val="000000"/>
                <w:sz w:val="22"/>
                <w:szCs w:val="22"/>
              </w:rPr>
              <w:t xml:space="preserve">  </w:t>
            </w:r>
          </w:p>
        </w:tc>
        <w:tc>
          <w:tcPr>
            <w:tcW w:w="90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2015</w:t>
            </w:r>
          </w:p>
        </w:tc>
        <w:tc>
          <w:tcPr>
            <w:tcW w:w="990" w:type="dxa"/>
            <w:gridSpan w:val="3"/>
            <w:shd w:val="clear" w:color="auto" w:fill="FFFFFF"/>
          </w:tcPr>
          <w:p w:rsidR="00A92D0B" w:rsidRPr="00261D8E" w:rsidRDefault="00ED7406" w:rsidP="00380703">
            <w:pPr>
              <w:spacing w:before="60" w:after="60"/>
              <w:jc w:val="right"/>
              <w:rPr>
                <w:color w:val="000000"/>
                <w:sz w:val="22"/>
                <w:szCs w:val="22"/>
              </w:rPr>
            </w:pPr>
            <w:r w:rsidRPr="00261D8E">
              <w:rPr>
                <w:color w:val="000000"/>
                <w:sz w:val="22"/>
                <w:szCs w:val="22"/>
              </w:rPr>
              <w:t>3</w:t>
            </w:r>
          </w:p>
        </w:tc>
        <w:tc>
          <w:tcPr>
            <w:tcW w:w="99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w:t>
            </w:r>
            <w:r w:rsidR="004B4D27" w:rsidRPr="00261D8E">
              <w:rPr>
                <w:color w:val="000000"/>
                <w:sz w:val="22"/>
                <w:szCs w:val="22"/>
              </w:rPr>
              <w:t>167.5</w:t>
            </w:r>
          </w:p>
        </w:tc>
        <w:tc>
          <w:tcPr>
            <w:tcW w:w="1440" w:type="dxa"/>
            <w:gridSpan w:val="2"/>
            <w:tcBorders>
              <w:right w:val="single" w:sz="4" w:space="0" w:color="auto"/>
            </w:tcBorders>
            <w:shd w:val="clear" w:color="auto" w:fill="FFFFFF"/>
          </w:tcPr>
          <w:p w:rsidR="00A92D0B"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ED7406" w:rsidP="00380703">
            <w:pPr>
              <w:spacing w:before="60" w:after="60"/>
              <w:jc w:val="right"/>
              <w:rPr>
                <w:color w:val="000000"/>
                <w:sz w:val="22"/>
                <w:szCs w:val="22"/>
              </w:rPr>
            </w:pPr>
            <w:r w:rsidRPr="00261D8E">
              <w:rPr>
                <w:color w:val="000000"/>
                <w:sz w:val="22"/>
                <w:szCs w:val="22"/>
              </w:rPr>
              <w:t>$502.50</w:t>
            </w:r>
          </w:p>
        </w:tc>
        <w:tc>
          <w:tcPr>
            <w:tcW w:w="900" w:type="dxa"/>
            <w:tcBorders>
              <w:left w:val="single" w:sz="4" w:space="0" w:color="auto"/>
              <w:right w:val="single" w:sz="4" w:space="0" w:color="auto"/>
            </w:tcBorders>
            <w:shd w:val="clear" w:color="auto" w:fill="FFFFFF"/>
          </w:tcPr>
          <w:p w:rsidR="00A92D0B" w:rsidRPr="00261D8E" w:rsidRDefault="00BA4BE2" w:rsidP="00380703">
            <w:pPr>
              <w:spacing w:before="60" w:after="60"/>
              <w:jc w:val="right"/>
              <w:rPr>
                <w:color w:val="000000"/>
                <w:sz w:val="22"/>
                <w:szCs w:val="22"/>
              </w:rPr>
            </w:pPr>
            <w:r>
              <w:rPr>
                <w:color w:val="000000"/>
                <w:sz w:val="22"/>
                <w:szCs w:val="22"/>
              </w:rPr>
              <w:t>3.00</w:t>
            </w:r>
          </w:p>
        </w:tc>
        <w:tc>
          <w:tcPr>
            <w:tcW w:w="1080" w:type="dxa"/>
            <w:tcBorders>
              <w:left w:val="single" w:sz="4" w:space="0" w:color="auto"/>
            </w:tcBorders>
            <w:shd w:val="clear" w:color="auto" w:fill="FFFFFF"/>
          </w:tcPr>
          <w:p w:rsidR="00A92D0B" w:rsidRPr="00261D8E" w:rsidRDefault="00B651E2" w:rsidP="00380703">
            <w:pPr>
              <w:spacing w:before="60" w:after="60"/>
              <w:jc w:val="center"/>
              <w:rPr>
                <w:color w:val="000000"/>
                <w:sz w:val="22"/>
                <w:szCs w:val="22"/>
              </w:rPr>
            </w:pPr>
            <w:r>
              <w:rPr>
                <w:color w:val="000000"/>
                <w:sz w:val="22"/>
                <w:szCs w:val="22"/>
              </w:rPr>
              <w:t>167.50</w:t>
            </w:r>
          </w:p>
        </w:tc>
        <w:tc>
          <w:tcPr>
            <w:tcW w:w="1350" w:type="dxa"/>
            <w:shd w:val="clear" w:color="auto" w:fill="FFFFFF"/>
          </w:tcPr>
          <w:p w:rsidR="00A92D0B" w:rsidRPr="00261D8E" w:rsidRDefault="00BA4BE2" w:rsidP="00380703">
            <w:pPr>
              <w:spacing w:before="60" w:after="60"/>
              <w:jc w:val="right"/>
              <w:rPr>
                <w:color w:val="000000"/>
                <w:sz w:val="22"/>
                <w:szCs w:val="22"/>
              </w:rPr>
            </w:pPr>
            <w:r>
              <w:rPr>
                <w:color w:val="000000"/>
                <w:sz w:val="22"/>
                <w:szCs w:val="22"/>
              </w:rPr>
              <w:t>502.50</w:t>
            </w:r>
          </w:p>
        </w:tc>
      </w:tr>
      <w:tr w:rsidR="00A92D0B" w:rsidRPr="00261D8E" w:rsidTr="006B6AD9">
        <w:tc>
          <w:tcPr>
            <w:tcW w:w="1098" w:type="dxa"/>
            <w:gridSpan w:val="2"/>
            <w:shd w:val="clear" w:color="auto" w:fill="FFFFFF"/>
          </w:tcPr>
          <w:p w:rsidR="00A92D0B" w:rsidRPr="00261D8E" w:rsidRDefault="0007279D" w:rsidP="00A92D0B">
            <w:pPr>
              <w:spacing w:before="60" w:after="60"/>
              <w:rPr>
                <w:color w:val="000000"/>
                <w:sz w:val="22"/>
                <w:szCs w:val="22"/>
              </w:rPr>
            </w:pPr>
            <w:r w:rsidRPr="00261D8E">
              <w:rPr>
                <w:color w:val="000000"/>
                <w:sz w:val="22"/>
                <w:szCs w:val="22"/>
              </w:rPr>
              <w:t>Donald Kelly</w:t>
            </w:r>
            <w:r w:rsidR="00A92D0B" w:rsidRPr="00261D8E">
              <w:rPr>
                <w:color w:val="000000"/>
                <w:sz w:val="22"/>
                <w:szCs w:val="22"/>
              </w:rPr>
              <w:t xml:space="preserve">  </w:t>
            </w:r>
          </w:p>
        </w:tc>
        <w:tc>
          <w:tcPr>
            <w:tcW w:w="90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2016</w:t>
            </w:r>
          </w:p>
        </w:tc>
        <w:tc>
          <w:tcPr>
            <w:tcW w:w="990" w:type="dxa"/>
            <w:gridSpan w:val="3"/>
            <w:shd w:val="clear" w:color="auto" w:fill="FFFFFF"/>
          </w:tcPr>
          <w:p w:rsidR="00A92D0B" w:rsidRPr="00261D8E" w:rsidRDefault="004A6110" w:rsidP="00380703">
            <w:pPr>
              <w:spacing w:before="60" w:after="60"/>
              <w:jc w:val="right"/>
              <w:rPr>
                <w:color w:val="000000"/>
                <w:sz w:val="22"/>
                <w:szCs w:val="22"/>
              </w:rPr>
            </w:pPr>
            <w:r w:rsidRPr="00261D8E">
              <w:rPr>
                <w:color w:val="000000"/>
                <w:sz w:val="22"/>
                <w:szCs w:val="22"/>
              </w:rPr>
              <w:t>14.75</w:t>
            </w:r>
          </w:p>
        </w:tc>
        <w:tc>
          <w:tcPr>
            <w:tcW w:w="990" w:type="dxa"/>
            <w:gridSpan w:val="2"/>
            <w:shd w:val="clear" w:color="auto" w:fill="FFFFFF"/>
          </w:tcPr>
          <w:p w:rsidR="00A92D0B" w:rsidRPr="00261D8E" w:rsidRDefault="0007279D" w:rsidP="00380703">
            <w:pPr>
              <w:spacing w:before="60" w:after="60"/>
              <w:jc w:val="center"/>
              <w:rPr>
                <w:color w:val="000000"/>
                <w:sz w:val="22"/>
                <w:szCs w:val="22"/>
              </w:rPr>
            </w:pPr>
            <w:r w:rsidRPr="00261D8E">
              <w:rPr>
                <w:color w:val="000000"/>
                <w:sz w:val="22"/>
                <w:szCs w:val="22"/>
              </w:rPr>
              <w:t>$</w:t>
            </w:r>
            <w:r w:rsidR="004B4D27" w:rsidRPr="00261D8E">
              <w:rPr>
                <w:color w:val="000000"/>
                <w:sz w:val="22"/>
                <w:szCs w:val="22"/>
              </w:rPr>
              <w:t>175</w:t>
            </w:r>
          </w:p>
        </w:tc>
        <w:tc>
          <w:tcPr>
            <w:tcW w:w="1440" w:type="dxa"/>
            <w:gridSpan w:val="2"/>
            <w:tcBorders>
              <w:right w:val="single" w:sz="4" w:space="0" w:color="auto"/>
            </w:tcBorders>
            <w:shd w:val="clear" w:color="auto" w:fill="FFFFFF"/>
          </w:tcPr>
          <w:p w:rsidR="00A92D0B" w:rsidRPr="00261D8E" w:rsidRDefault="0007279D" w:rsidP="00380703">
            <w:pPr>
              <w:spacing w:before="60" w:after="60"/>
              <w:jc w:val="right"/>
              <w:rPr>
                <w:color w:val="000000"/>
                <w:sz w:val="22"/>
                <w:szCs w:val="22"/>
              </w:rPr>
            </w:pPr>
            <w:r w:rsidRPr="00261D8E">
              <w:rPr>
                <w:color w:val="000000"/>
                <w:sz w:val="22"/>
                <w:szCs w:val="22"/>
              </w:rPr>
              <w:t>D.16-06-028</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A92D0B" w:rsidRPr="00261D8E" w:rsidRDefault="004A6110" w:rsidP="00380703">
            <w:pPr>
              <w:spacing w:before="60" w:after="60"/>
              <w:jc w:val="right"/>
              <w:rPr>
                <w:color w:val="000000"/>
                <w:sz w:val="22"/>
                <w:szCs w:val="22"/>
              </w:rPr>
            </w:pPr>
            <w:r w:rsidRPr="00261D8E">
              <w:rPr>
                <w:color w:val="000000"/>
                <w:sz w:val="22"/>
                <w:szCs w:val="22"/>
              </w:rPr>
              <w:t>$2,581.25</w:t>
            </w:r>
          </w:p>
        </w:tc>
        <w:tc>
          <w:tcPr>
            <w:tcW w:w="900" w:type="dxa"/>
            <w:tcBorders>
              <w:left w:val="single" w:sz="4" w:space="0" w:color="auto"/>
              <w:right w:val="single" w:sz="4" w:space="0" w:color="auto"/>
            </w:tcBorders>
            <w:shd w:val="clear" w:color="auto" w:fill="FFFFFF"/>
          </w:tcPr>
          <w:p w:rsidR="00BA4BE2" w:rsidRDefault="00BA4BE2" w:rsidP="00380703">
            <w:pPr>
              <w:spacing w:before="60" w:after="60"/>
              <w:jc w:val="right"/>
              <w:rPr>
                <w:color w:val="000000"/>
                <w:sz w:val="22"/>
                <w:szCs w:val="22"/>
              </w:rPr>
            </w:pPr>
            <w:r>
              <w:rPr>
                <w:color w:val="000000"/>
                <w:sz w:val="22"/>
                <w:szCs w:val="22"/>
              </w:rPr>
              <w:t>14.75</w:t>
            </w:r>
          </w:p>
          <w:p w:rsidR="00A92D0B" w:rsidRPr="00BA4BE2" w:rsidRDefault="00A92D0B" w:rsidP="00BA4BE2">
            <w:pPr>
              <w:rPr>
                <w:sz w:val="22"/>
                <w:szCs w:val="22"/>
              </w:rPr>
            </w:pPr>
          </w:p>
        </w:tc>
        <w:tc>
          <w:tcPr>
            <w:tcW w:w="1080" w:type="dxa"/>
            <w:tcBorders>
              <w:left w:val="single" w:sz="4" w:space="0" w:color="auto"/>
            </w:tcBorders>
            <w:shd w:val="clear" w:color="auto" w:fill="FFFFFF"/>
          </w:tcPr>
          <w:p w:rsidR="00A92D0B" w:rsidRPr="00261D8E" w:rsidRDefault="00B651E2" w:rsidP="00380703">
            <w:pPr>
              <w:spacing w:before="60" w:after="60"/>
              <w:jc w:val="center"/>
              <w:rPr>
                <w:color w:val="000000"/>
                <w:sz w:val="22"/>
                <w:szCs w:val="22"/>
              </w:rPr>
            </w:pPr>
            <w:r>
              <w:rPr>
                <w:color w:val="000000"/>
                <w:sz w:val="22"/>
                <w:szCs w:val="22"/>
              </w:rPr>
              <w:t>172.50</w:t>
            </w:r>
          </w:p>
        </w:tc>
        <w:tc>
          <w:tcPr>
            <w:tcW w:w="1350" w:type="dxa"/>
            <w:shd w:val="clear" w:color="auto" w:fill="FFFFFF"/>
          </w:tcPr>
          <w:p w:rsidR="00A92D0B" w:rsidRPr="00261D8E" w:rsidRDefault="00BA4BE2" w:rsidP="00380703">
            <w:pPr>
              <w:spacing w:before="60" w:after="60"/>
              <w:jc w:val="right"/>
              <w:rPr>
                <w:color w:val="000000"/>
                <w:sz w:val="22"/>
                <w:szCs w:val="22"/>
              </w:rPr>
            </w:pPr>
            <w:r>
              <w:rPr>
                <w:color w:val="000000"/>
                <w:sz w:val="22"/>
                <w:szCs w:val="22"/>
              </w:rPr>
              <w:t>2,544.38</w:t>
            </w:r>
          </w:p>
        </w:tc>
      </w:tr>
      <w:tr w:rsidR="0007279D" w:rsidRPr="00261D8E" w:rsidTr="006B6AD9">
        <w:tc>
          <w:tcPr>
            <w:tcW w:w="1098" w:type="dxa"/>
            <w:gridSpan w:val="2"/>
            <w:shd w:val="clear" w:color="auto" w:fill="FFFFFF"/>
          </w:tcPr>
          <w:p w:rsidR="0007279D" w:rsidRPr="00261D8E" w:rsidRDefault="0007279D" w:rsidP="00A92D0B">
            <w:pPr>
              <w:spacing w:before="60" w:after="60"/>
              <w:rPr>
                <w:color w:val="000000"/>
                <w:sz w:val="22"/>
                <w:szCs w:val="22"/>
              </w:rPr>
            </w:pPr>
            <w:r w:rsidRPr="00261D8E">
              <w:rPr>
                <w:color w:val="000000"/>
                <w:sz w:val="22"/>
                <w:szCs w:val="22"/>
              </w:rPr>
              <w:t xml:space="preserve">Laura </w:t>
            </w:r>
            <w:proofErr w:type="spellStart"/>
            <w:r w:rsidRPr="00261D8E">
              <w:rPr>
                <w:color w:val="000000"/>
                <w:sz w:val="22"/>
                <w:szCs w:val="22"/>
              </w:rPr>
              <w:t>Norin</w:t>
            </w:r>
            <w:proofErr w:type="spellEnd"/>
          </w:p>
        </w:tc>
        <w:tc>
          <w:tcPr>
            <w:tcW w:w="900" w:type="dxa"/>
            <w:gridSpan w:val="2"/>
            <w:shd w:val="clear" w:color="auto" w:fill="FFFFFF"/>
          </w:tcPr>
          <w:p w:rsidR="0007279D" w:rsidRPr="00261D8E" w:rsidRDefault="0007279D" w:rsidP="00380703">
            <w:pPr>
              <w:spacing w:before="60" w:after="60"/>
              <w:jc w:val="center"/>
              <w:rPr>
                <w:color w:val="000000"/>
                <w:sz w:val="22"/>
                <w:szCs w:val="22"/>
              </w:rPr>
            </w:pPr>
            <w:r w:rsidRPr="00261D8E">
              <w:rPr>
                <w:color w:val="000000"/>
                <w:sz w:val="22"/>
                <w:szCs w:val="22"/>
              </w:rPr>
              <w:t>2016</w:t>
            </w:r>
          </w:p>
        </w:tc>
        <w:tc>
          <w:tcPr>
            <w:tcW w:w="990" w:type="dxa"/>
            <w:gridSpan w:val="3"/>
            <w:shd w:val="clear" w:color="auto" w:fill="FFFFFF"/>
          </w:tcPr>
          <w:p w:rsidR="0007279D" w:rsidRPr="00261D8E" w:rsidRDefault="004A6110" w:rsidP="00380703">
            <w:pPr>
              <w:spacing w:before="60" w:after="60"/>
              <w:jc w:val="right"/>
              <w:rPr>
                <w:color w:val="000000"/>
                <w:sz w:val="22"/>
                <w:szCs w:val="22"/>
              </w:rPr>
            </w:pPr>
            <w:r w:rsidRPr="00261D8E">
              <w:rPr>
                <w:color w:val="000000"/>
                <w:sz w:val="22"/>
                <w:szCs w:val="22"/>
              </w:rPr>
              <w:t>11.75</w:t>
            </w:r>
          </w:p>
        </w:tc>
        <w:tc>
          <w:tcPr>
            <w:tcW w:w="990" w:type="dxa"/>
            <w:gridSpan w:val="2"/>
            <w:shd w:val="clear" w:color="auto" w:fill="FFFFFF"/>
          </w:tcPr>
          <w:p w:rsidR="0007279D" w:rsidRPr="00261D8E" w:rsidRDefault="0007279D" w:rsidP="00380703">
            <w:pPr>
              <w:spacing w:before="60" w:after="60"/>
              <w:jc w:val="center"/>
              <w:rPr>
                <w:color w:val="000000"/>
                <w:sz w:val="22"/>
                <w:szCs w:val="22"/>
              </w:rPr>
            </w:pPr>
            <w:r w:rsidRPr="00261D8E">
              <w:rPr>
                <w:color w:val="000000"/>
                <w:sz w:val="22"/>
                <w:szCs w:val="22"/>
              </w:rPr>
              <w:t>$137</w:t>
            </w:r>
          </w:p>
        </w:tc>
        <w:tc>
          <w:tcPr>
            <w:tcW w:w="1440" w:type="dxa"/>
            <w:gridSpan w:val="2"/>
            <w:tcBorders>
              <w:right w:val="single" w:sz="4" w:space="0" w:color="auto"/>
            </w:tcBorders>
            <w:shd w:val="clear" w:color="auto" w:fill="FFFFFF"/>
          </w:tcPr>
          <w:p w:rsidR="0007279D" w:rsidRPr="00261D8E" w:rsidRDefault="0007279D" w:rsidP="00380703">
            <w:pPr>
              <w:spacing w:before="60" w:after="60"/>
              <w:jc w:val="right"/>
              <w:rPr>
                <w:color w:val="000000"/>
                <w:sz w:val="22"/>
                <w:szCs w:val="22"/>
              </w:rPr>
            </w:pPr>
            <w:r w:rsidRPr="00D8683C">
              <w:rPr>
                <w:i/>
                <w:color w:val="000000"/>
                <w:sz w:val="22"/>
                <w:szCs w:val="22"/>
              </w:rPr>
              <w:t>See</w:t>
            </w:r>
            <w:r w:rsidRPr="00261D8E">
              <w:rPr>
                <w:color w:val="000000"/>
                <w:sz w:val="22"/>
                <w:szCs w:val="22"/>
              </w:rPr>
              <w:t xml:space="preserve"> Comment 4 below</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07279D" w:rsidRPr="00261D8E" w:rsidRDefault="004A6110" w:rsidP="00380703">
            <w:pPr>
              <w:spacing w:before="60" w:after="60"/>
              <w:jc w:val="right"/>
              <w:rPr>
                <w:color w:val="000000"/>
                <w:sz w:val="22"/>
                <w:szCs w:val="22"/>
              </w:rPr>
            </w:pPr>
            <w:r w:rsidRPr="00261D8E">
              <w:rPr>
                <w:color w:val="000000"/>
                <w:sz w:val="22"/>
                <w:szCs w:val="22"/>
              </w:rPr>
              <w:t>$1,609.75</w:t>
            </w:r>
          </w:p>
        </w:tc>
        <w:tc>
          <w:tcPr>
            <w:tcW w:w="900" w:type="dxa"/>
            <w:tcBorders>
              <w:left w:val="single" w:sz="4" w:space="0" w:color="auto"/>
              <w:right w:val="single" w:sz="4" w:space="0" w:color="auto"/>
            </w:tcBorders>
            <w:shd w:val="clear" w:color="auto" w:fill="FFFFFF"/>
          </w:tcPr>
          <w:p w:rsidR="0007279D" w:rsidRPr="00261D8E" w:rsidRDefault="00BA4BE2" w:rsidP="00380703">
            <w:pPr>
              <w:spacing w:before="60" w:after="60"/>
              <w:jc w:val="right"/>
              <w:rPr>
                <w:color w:val="000000"/>
                <w:sz w:val="22"/>
                <w:szCs w:val="22"/>
              </w:rPr>
            </w:pPr>
            <w:r>
              <w:rPr>
                <w:color w:val="000000"/>
                <w:sz w:val="22"/>
                <w:szCs w:val="22"/>
              </w:rPr>
              <w:t>11.75</w:t>
            </w:r>
          </w:p>
        </w:tc>
        <w:tc>
          <w:tcPr>
            <w:tcW w:w="1080" w:type="dxa"/>
            <w:tcBorders>
              <w:left w:val="single" w:sz="4" w:space="0" w:color="auto"/>
            </w:tcBorders>
            <w:shd w:val="clear" w:color="auto" w:fill="FFFFFF"/>
          </w:tcPr>
          <w:p w:rsidR="0007279D" w:rsidRPr="00261D8E" w:rsidRDefault="00B651E2" w:rsidP="00380703">
            <w:pPr>
              <w:spacing w:before="60" w:after="60"/>
              <w:jc w:val="center"/>
              <w:rPr>
                <w:color w:val="000000"/>
                <w:sz w:val="22"/>
                <w:szCs w:val="22"/>
              </w:rPr>
            </w:pPr>
            <w:r>
              <w:rPr>
                <w:color w:val="000000"/>
                <w:sz w:val="22"/>
                <w:szCs w:val="22"/>
              </w:rPr>
              <w:t>135.00</w:t>
            </w:r>
          </w:p>
        </w:tc>
        <w:tc>
          <w:tcPr>
            <w:tcW w:w="1350" w:type="dxa"/>
            <w:shd w:val="clear" w:color="auto" w:fill="FFFFFF"/>
          </w:tcPr>
          <w:p w:rsidR="0007279D" w:rsidRPr="00261D8E" w:rsidRDefault="00BA4BE2" w:rsidP="00380703">
            <w:pPr>
              <w:spacing w:before="60" w:after="60"/>
              <w:jc w:val="right"/>
              <w:rPr>
                <w:color w:val="000000"/>
                <w:sz w:val="22"/>
                <w:szCs w:val="22"/>
              </w:rPr>
            </w:pPr>
            <w:r>
              <w:rPr>
                <w:color w:val="000000"/>
                <w:sz w:val="22"/>
                <w:szCs w:val="22"/>
              </w:rPr>
              <w:t>1,586.25</w:t>
            </w:r>
          </w:p>
        </w:tc>
      </w:tr>
      <w:tr w:rsidR="00E15DC3" w:rsidRPr="00261D8E" w:rsidTr="006B6AD9">
        <w:tc>
          <w:tcPr>
            <w:tcW w:w="6768" w:type="dxa"/>
            <w:gridSpan w:val="13"/>
            <w:tcBorders>
              <w:bottom w:val="single" w:sz="4" w:space="0" w:color="auto"/>
              <w:right w:val="single" w:sz="24" w:space="0" w:color="auto"/>
            </w:tcBorders>
            <w:shd w:val="clear" w:color="auto" w:fill="FFFFFF"/>
            <w:vAlign w:val="bottom"/>
          </w:tcPr>
          <w:p w:rsidR="00E15DC3" w:rsidRPr="00261D8E" w:rsidRDefault="00E15DC3" w:rsidP="00B00BCD">
            <w:pPr>
              <w:spacing w:before="60" w:after="60"/>
              <w:rPr>
                <w:color w:val="000000"/>
                <w:sz w:val="22"/>
                <w:szCs w:val="22"/>
              </w:rPr>
            </w:pPr>
            <w:r w:rsidRPr="00261D8E">
              <w:rPr>
                <w:b/>
                <w:i/>
                <w:color w:val="000000"/>
                <w:sz w:val="22"/>
                <w:szCs w:val="22"/>
              </w:rPr>
              <w:t xml:space="preserve">                                                                                     Subtotal: </w:t>
            </w:r>
            <w:r w:rsidRPr="00261D8E">
              <w:rPr>
                <w:b/>
                <w:color w:val="000000"/>
                <w:sz w:val="22"/>
                <w:szCs w:val="22"/>
              </w:rPr>
              <w:t>$</w:t>
            </w:r>
            <w:r w:rsidR="004A6110" w:rsidRPr="00261D8E">
              <w:rPr>
                <w:b/>
                <w:color w:val="000000"/>
                <w:sz w:val="22"/>
                <w:szCs w:val="22"/>
              </w:rPr>
              <w:t>4,693.50</w:t>
            </w:r>
          </w:p>
        </w:tc>
        <w:tc>
          <w:tcPr>
            <w:tcW w:w="3330" w:type="dxa"/>
            <w:gridSpan w:val="3"/>
            <w:tcBorders>
              <w:left w:val="single" w:sz="24" w:space="0" w:color="auto"/>
              <w:bottom w:val="single" w:sz="4" w:space="0" w:color="auto"/>
            </w:tcBorders>
            <w:shd w:val="clear" w:color="auto" w:fill="FFFFFF"/>
            <w:vAlign w:val="bottom"/>
          </w:tcPr>
          <w:p w:rsidR="00E15DC3" w:rsidRPr="00261D8E" w:rsidRDefault="00E15DC3" w:rsidP="00B00BCD">
            <w:pPr>
              <w:spacing w:before="60" w:after="60"/>
              <w:rPr>
                <w:color w:val="000000"/>
                <w:sz w:val="22"/>
                <w:szCs w:val="22"/>
              </w:rPr>
            </w:pPr>
            <w:r w:rsidRPr="00261D8E">
              <w:rPr>
                <w:b/>
                <w:i/>
                <w:color w:val="000000"/>
                <w:sz w:val="22"/>
                <w:szCs w:val="22"/>
              </w:rPr>
              <w:t xml:space="preserve">                Subtotal: </w:t>
            </w:r>
            <w:r w:rsidRPr="00261D8E">
              <w:rPr>
                <w:b/>
                <w:color w:val="000000"/>
                <w:sz w:val="22"/>
                <w:szCs w:val="22"/>
              </w:rPr>
              <w:t>$</w:t>
            </w:r>
            <w:r w:rsidR="00BA4BE2">
              <w:rPr>
                <w:b/>
                <w:color w:val="000000"/>
                <w:sz w:val="22"/>
                <w:szCs w:val="22"/>
              </w:rPr>
              <w:t>4,633.13</w:t>
            </w:r>
          </w:p>
        </w:tc>
      </w:tr>
      <w:tr w:rsidR="00A92D0B" w:rsidRPr="00261D8E" w:rsidTr="006B6AD9">
        <w:tc>
          <w:tcPr>
            <w:tcW w:w="10098" w:type="dxa"/>
            <w:gridSpan w:val="16"/>
            <w:tcBorders>
              <w:top w:val="single" w:sz="4" w:space="0" w:color="auto"/>
              <w:left w:val="single" w:sz="4" w:space="0" w:color="auto"/>
              <w:bottom w:val="single" w:sz="4" w:space="0" w:color="auto"/>
              <w:right w:val="single" w:sz="4" w:space="0" w:color="auto"/>
            </w:tcBorders>
            <w:shd w:val="clear" w:color="auto" w:fill="FFFFFF"/>
          </w:tcPr>
          <w:p w:rsidR="00A92D0B" w:rsidRPr="00261D8E" w:rsidRDefault="00A92D0B" w:rsidP="00A92D0B">
            <w:pPr>
              <w:spacing w:before="60" w:after="60"/>
              <w:jc w:val="center"/>
              <w:rPr>
                <w:b/>
                <w:smallCaps/>
                <w:color w:val="000000"/>
                <w:sz w:val="22"/>
                <w:szCs w:val="22"/>
              </w:rPr>
            </w:pPr>
            <w:r w:rsidRPr="00261D8E">
              <w:rPr>
                <w:b/>
                <w:smallCaps/>
                <w:color w:val="000000"/>
                <w:sz w:val="22"/>
                <w:szCs w:val="22"/>
              </w:rPr>
              <w:t>COSTS</w:t>
            </w:r>
          </w:p>
        </w:tc>
      </w:tr>
      <w:tr w:rsidR="00380703" w:rsidRPr="00261D8E" w:rsidTr="006B6AD9">
        <w:tc>
          <w:tcPr>
            <w:tcW w:w="468" w:type="dxa"/>
            <w:tcBorders>
              <w:top w:val="single" w:sz="4" w:space="0" w:color="auto"/>
              <w:bottom w:val="single" w:sz="4" w:space="0" w:color="auto"/>
            </w:tcBorders>
            <w:shd w:val="clear" w:color="auto" w:fill="FFFFFF"/>
          </w:tcPr>
          <w:p w:rsidR="00380703" w:rsidRPr="00261D8E" w:rsidRDefault="00380703" w:rsidP="00380703">
            <w:pPr>
              <w:spacing w:before="60" w:after="60"/>
              <w:jc w:val="center"/>
              <w:rPr>
                <w:b/>
                <w:color w:val="000000"/>
                <w:sz w:val="22"/>
                <w:szCs w:val="22"/>
              </w:rPr>
            </w:pPr>
            <w:r w:rsidRPr="00261D8E">
              <w:rPr>
                <w:b/>
                <w:color w:val="000000"/>
                <w:sz w:val="22"/>
                <w:szCs w:val="22"/>
              </w:rPr>
              <w:t>#</w:t>
            </w:r>
          </w:p>
        </w:tc>
        <w:tc>
          <w:tcPr>
            <w:tcW w:w="1620" w:type="dxa"/>
            <w:gridSpan w:val="4"/>
            <w:tcBorders>
              <w:top w:val="single" w:sz="4" w:space="0" w:color="auto"/>
              <w:bottom w:val="single" w:sz="4" w:space="0" w:color="auto"/>
            </w:tcBorders>
            <w:shd w:val="clear" w:color="auto" w:fill="FFFFFF"/>
          </w:tcPr>
          <w:p w:rsidR="00380703" w:rsidRPr="00261D8E" w:rsidRDefault="00380703" w:rsidP="00380703">
            <w:pPr>
              <w:spacing w:before="60" w:after="60"/>
              <w:jc w:val="center"/>
              <w:rPr>
                <w:b/>
                <w:color w:val="000000"/>
                <w:sz w:val="22"/>
                <w:szCs w:val="22"/>
              </w:rPr>
            </w:pPr>
            <w:r w:rsidRPr="00261D8E">
              <w:rPr>
                <w:b/>
                <w:color w:val="000000"/>
                <w:sz w:val="22"/>
                <w:szCs w:val="22"/>
              </w:rPr>
              <w:t>Item</w:t>
            </w:r>
          </w:p>
        </w:tc>
        <w:tc>
          <w:tcPr>
            <w:tcW w:w="3330" w:type="dxa"/>
            <w:gridSpan w:val="6"/>
            <w:tcBorders>
              <w:top w:val="single" w:sz="4" w:space="0" w:color="auto"/>
              <w:left w:val="single" w:sz="4" w:space="0" w:color="auto"/>
              <w:bottom w:val="single" w:sz="4" w:space="0" w:color="auto"/>
              <w:right w:val="single" w:sz="4" w:space="0" w:color="auto"/>
            </w:tcBorders>
            <w:shd w:val="clear" w:color="auto" w:fill="FFFFFF"/>
          </w:tcPr>
          <w:p w:rsidR="00380703" w:rsidRPr="00261D8E" w:rsidRDefault="00380703" w:rsidP="00380703">
            <w:pPr>
              <w:spacing w:before="60" w:after="60"/>
              <w:jc w:val="center"/>
              <w:rPr>
                <w:b/>
                <w:color w:val="000000"/>
                <w:sz w:val="22"/>
                <w:szCs w:val="22"/>
              </w:rPr>
            </w:pPr>
            <w:r w:rsidRPr="00261D8E">
              <w:rPr>
                <w:b/>
                <w:color w:val="000000"/>
                <w:sz w:val="22"/>
                <w:szCs w:val="22"/>
              </w:rPr>
              <w:t>Detail</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380703" w:rsidRPr="00261D8E" w:rsidRDefault="00380703" w:rsidP="00380703">
            <w:pPr>
              <w:spacing w:before="60" w:after="60"/>
              <w:jc w:val="center"/>
              <w:rPr>
                <w:b/>
                <w:color w:val="000000"/>
                <w:sz w:val="22"/>
                <w:szCs w:val="22"/>
              </w:rPr>
            </w:pPr>
            <w:r w:rsidRPr="00261D8E">
              <w:rPr>
                <w:b/>
                <w:color w:val="000000"/>
                <w:sz w:val="22"/>
                <w:szCs w:val="22"/>
              </w:rPr>
              <w:t>Amount</w:t>
            </w:r>
          </w:p>
        </w:tc>
        <w:tc>
          <w:tcPr>
            <w:tcW w:w="3330" w:type="dxa"/>
            <w:gridSpan w:val="3"/>
            <w:tcBorders>
              <w:top w:val="single" w:sz="4" w:space="0" w:color="auto"/>
              <w:left w:val="single" w:sz="24" w:space="0" w:color="auto"/>
              <w:bottom w:val="single" w:sz="4" w:space="0" w:color="auto"/>
            </w:tcBorders>
            <w:shd w:val="clear" w:color="auto" w:fill="FFFFFF"/>
          </w:tcPr>
          <w:p w:rsidR="00380703" w:rsidRPr="00261D8E" w:rsidRDefault="00380703" w:rsidP="00380703">
            <w:pPr>
              <w:spacing w:before="60" w:after="60"/>
              <w:jc w:val="center"/>
              <w:rPr>
                <w:b/>
                <w:color w:val="000000"/>
                <w:sz w:val="22"/>
                <w:szCs w:val="22"/>
              </w:rPr>
            </w:pPr>
            <w:r w:rsidRPr="00261D8E">
              <w:rPr>
                <w:b/>
                <w:color w:val="000000"/>
                <w:sz w:val="22"/>
                <w:szCs w:val="22"/>
              </w:rPr>
              <w:t>Amount</w:t>
            </w:r>
          </w:p>
        </w:tc>
      </w:tr>
      <w:tr w:rsidR="00380703" w:rsidRPr="00261D8E" w:rsidTr="006B6AD9">
        <w:tc>
          <w:tcPr>
            <w:tcW w:w="468" w:type="dxa"/>
            <w:tcBorders>
              <w:bottom w:val="single" w:sz="4" w:space="0" w:color="auto"/>
            </w:tcBorders>
            <w:shd w:val="clear" w:color="auto" w:fill="FFFFFF"/>
          </w:tcPr>
          <w:p w:rsidR="00380703" w:rsidRPr="00261D8E" w:rsidRDefault="00380703" w:rsidP="00380703">
            <w:pPr>
              <w:spacing w:before="60" w:after="60"/>
              <w:jc w:val="center"/>
              <w:rPr>
                <w:color w:val="000000"/>
                <w:sz w:val="22"/>
                <w:szCs w:val="22"/>
              </w:rPr>
            </w:pPr>
          </w:p>
        </w:tc>
        <w:tc>
          <w:tcPr>
            <w:tcW w:w="1620" w:type="dxa"/>
            <w:gridSpan w:val="4"/>
            <w:tcBorders>
              <w:bottom w:val="single" w:sz="4" w:space="0" w:color="auto"/>
            </w:tcBorders>
            <w:shd w:val="clear" w:color="auto" w:fill="FFFFFF"/>
          </w:tcPr>
          <w:p w:rsidR="00380703" w:rsidRPr="00261D8E" w:rsidRDefault="00376899" w:rsidP="00A92D0B">
            <w:pPr>
              <w:spacing w:before="60" w:after="60"/>
              <w:rPr>
                <w:color w:val="000000"/>
                <w:sz w:val="22"/>
                <w:szCs w:val="22"/>
              </w:rPr>
            </w:pPr>
            <w:r w:rsidRPr="00261D8E">
              <w:rPr>
                <w:color w:val="000000"/>
                <w:sz w:val="22"/>
                <w:szCs w:val="22"/>
              </w:rPr>
              <w:t>Travel and mailing costs</w:t>
            </w:r>
          </w:p>
        </w:tc>
        <w:tc>
          <w:tcPr>
            <w:tcW w:w="3330" w:type="dxa"/>
            <w:gridSpan w:val="6"/>
            <w:tcBorders>
              <w:top w:val="single" w:sz="4" w:space="0" w:color="auto"/>
              <w:left w:val="single" w:sz="4" w:space="0" w:color="auto"/>
              <w:bottom w:val="single" w:sz="4" w:space="0" w:color="auto"/>
              <w:right w:val="single" w:sz="4" w:space="0" w:color="auto"/>
            </w:tcBorders>
            <w:shd w:val="clear" w:color="auto" w:fill="FFFFFF"/>
          </w:tcPr>
          <w:p w:rsidR="00380703" w:rsidRPr="00261D8E" w:rsidRDefault="00376899" w:rsidP="00A92D0B">
            <w:pPr>
              <w:spacing w:before="60" w:after="60"/>
              <w:rPr>
                <w:color w:val="000000"/>
                <w:sz w:val="22"/>
                <w:szCs w:val="22"/>
              </w:rPr>
            </w:pPr>
            <w:r w:rsidRPr="00261D8E">
              <w:rPr>
                <w:color w:val="000000"/>
                <w:sz w:val="22"/>
                <w:szCs w:val="22"/>
              </w:rPr>
              <w:t xml:space="preserve">Travel costs including airfare, BART expenses for one day trips to the Commission, car rental while in SF area for month of hearings in June and July </w:t>
            </w:r>
            <w:r w:rsidR="00E430A3" w:rsidRPr="00261D8E">
              <w:rPr>
                <w:color w:val="000000"/>
                <w:sz w:val="22"/>
                <w:szCs w:val="22"/>
              </w:rPr>
              <w:t>2015, and</w:t>
            </w:r>
            <w:r w:rsidRPr="00261D8E">
              <w:rPr>
                <w:color w:val="000000"/>
                <w:sz w:val="22"/>
                <w:szCs w:val="22"/>
              </w:rPr>
              <w:t xml:space="preserve"> parking costs.  Costs also include FedEx and mailing costs</w:t>
            </w:r>
          </w:p>
        </w:tc>
        <w:tc>
          <w:tcPr>
            <w:tcW w:w="1350" w:type="dxa"/>
            <w:gridSpan w:val="2"/>
            <w:tcBorders>
              <w:top w:val="single" w:sz="4" w:space="0" w:color="auto"/>
              <w:left w:val="single" w:sz="4" w:space="0" w:color="auto"/>
              <w:bottom w:val="single" w:sz="4" w:space="0" w:color="auto"/>
              <w:right w:val="single" w:sz="24" w:space="0" w:color="auto"/>
            </w:tcBorders>
            <w:shd w:val="clear" w:color="auto" w:fill="FFFFFF"/>
          </w:tcPr>
          <w:p w:rsidR="00380703" w:rsidRPr="00261D8E" w:rsidRDefault="00376899" w:rsidP="00380703">
            <w:pPr>
              <w:spacing w:before="60" w:after="60"/>
              <w:jc w:val="right"/>
              <w:rPr>
                <w:color w:val="000000"/>
                <w:sz w:val="22"/>
                <w:szCs w:val="22"/>
              </w:rPr>
            </w:pPr>
            <w:r w:rsidRPr="00261D8E">
              <w:rPr>
                <w:color w:val="000000"/>
                <w:sz w:val="22"/>
                <w:szCs w:val="22"/>
              </w:rPr>
              <w:t>$2,438.45</w:t>
            </w:r>
          </w:p>
        </w:tc>
        <w:tc>
          <w:tcPr>
            <w:tcW w:w="3330" w:type="dxa"/>
            <w:gridSpan w:val="3"/>
            <w:tcBorders>
              <w:left w:val="single" w:sz="24" w:space="0" w:color="auto"/>
            </w:tcBorders>
            <w:shd w:val="clear" w:color="auto" w:fill="FFFFFF"/>
          </w:tcPr>
          <w:p w:rsidR="00380703" w:rsidRPr="00261D8E" w:rsidRDefault="005D0C66" w:rsidP="00380703">
            <w:pPr>
              <w:spacing w:before="60" w:after="60"/>
              <w:rPr>
                <w:color w:val="000000"/>
                <w:sz w:val="22"/>
                <w:szCs w:val="22"/>
              </w:rPr>
            </w:pPr>
            <w:r>
              <w:rPr>
                <w:color w:val="000000"/>
                <w:sz w:val="22"/>
                <w:szCs w:val="22"/>
              </w:rPr>
              <w:t>$2,438.45</w:t>
            </w:r>
          </w:p>
        </w:tc>
      </w:tr>
      <w:tr w:rsidR="00380703" w:rsidRPr="00261D8E" w:rsidTr="006B6AD9">
        <w:tc>
          <w:tcPr>
            <w:tcW w:w="6768" w:type="dxa"/>
            <w:gridSpan w:val="13"/>
            <w:tcBorders>
              <w:top w:val="single" w:sz="4" w:space="0" w:color="auto"/>
              <w:bottom w:val="single" w:sz="4" w:space="0" w:color="auto"/>
              <w:right w:val="single" w:sz="24" w:space="0" w:color="auto"/>
            </w:tcBorders>
            <w:shd w:val="clear" w:color="auto" w:fill="FFFFFF"/>
            <w:vAlign w:val="bottom"/>
          </w:tcPr>
          <w:p w:rsidR="00380703" w:rsidRPr="00261D8E" w:rsidRDefault="007C1B69" w:rsidP="007C1B69">
            <w:pPr>
              <w:spacing w:before="60" w:after="60"/>
              <w:jc w:val="center"/>
              <w:rPr>
                <w:b/>
                <w:color w:val="000000"/>
                <w:sz w:val="22"/>
                <w:szCs w:val="22"/>
              </w:rPr>
            </w:pPr>
            <w:r w:rsidRPr="00261D8E">
              <w:rPr>
                <w:b/>
                <w:color w:val="000000"/>
                <w:sz w:val="22"/>
                <w:szCs w:val="22"/>
              </w:rPr>
              <w:t xml:space="preserve">                         </w:t>
            </w:r>
            <w:r w:rsidR="00380703" w:rsidRPr="00261D8E">
              <w:rPr>
                <w:b/>
                <w:color w:val="000000"/>
                <w:sz w:val="22"/>
                <w:szCs w:val="22"/>
              </w:rPr>
              <w:t>TOTAL REQUEST: $</w:t>
            </w:r>
            <w:r w:rsidR="004A6110" w:rsidRPr="00261D8E">
              <w:rPr>
                <w:b/>
                <w:color w:val="000000"/>
                <w:sz w:val="22"/>
                <w:szCs w:val="22"/>
              </w:rPr>
              <w:t>264,011.57</w:t>
            </w:r>
          </w:p>
        </w:tc>
        <w:tc>
          <w:tcPr>
            <w:tcW w:w="3330" w:type="dxa"/>
            <w:gridSpan w:val="3"/>
            <w:tcBorders>
              <w:left w:val="single" w:sz="24" w:space="0" w:color="auto"/>
            </w:tcBorders>
            <w:shd w:val="clear" w:color="auto" w:fill="FFFFFF"/>
            <w:vAlign w:val="bottom"/>
          </w:tcPr>
          <w:p w:rsidR="00380703" w:rsidRPr="00261D8E" w:rsidRDefault="00380703" w:rsidP="007C1B69">
            <w:pPr>
              <w:spacing w:before="60" w:after="60"/>
              <w:rPr>
                <w:b/>
                <w:color w:val="000000"/>
                <w:sz w:val="22"/>
                <w:szCs w:val="22"/>
              </w:rPr>
            </w:pPr>
            <w:r w:rsidRPr="00261D8E">
              <w:rPr>
                <w:b/>
                <w:color w:val="000000"/>
                <w:sz w:val="22"/>
                <w:szCs w:val="22"/>
              </w:rPr>
              <w:t xml:space="preserve">TOTAL AWARD: </w:t>
            </w:r>
            <w:r w:rsidRPr="002B18FC">
              <w:rPr>
                <w:b/>
                <w:color w:val="000000"/>
                <w:sz w:val="22"/>
                <w:szCs w:val="22"/>
              </w:rPr>
              <w:t>$</w:t>
            </w:r>
            <w:r w:rsidR="002B18FC" w:rsidRPr="002B18FC">
              <w:rPr>
                <w:b/>
                <w:color w:val="000000"/>
                <w:sz w:val="22"/>
                <w:szCs w:val="22"/>
              </w:rPr>
              <w:t>267,534.08</w:t>
            </w:r>
          </w:p>
        </w:tc>
      </w:tr>
      <w:tr w:rsidR="00A92D0B" w:rsidRPr="00261D8E" w:rsidTr="006B6AD9">
        <w:tc>
          <w:tcPr>
            <w:tcW w:w="10098" w:type="dxa"/>
            <w:gridSpan w:val="16"/>
            <w:tcBorders>
              <w:top w:val="single" w:sz="4" w:space="0" w:color="auto"/>
              <w:bottom w:val="single" w:sz="4" w:space="0" w:color="auto"/>
            </w:tcBorders>
            <w:shd w:val="clear" w:color="auto" w:fill="FFFFFF"/>
          </w:tcPr>
          <w:p w:rsidR="00D075B1" w:rsidRPr="00261D8E" w:rsidRDefault="00885956" w:rsidP="00D075B1">
            <w:pPr>
              <w:spacing w:before="60" w:after="60"/>
              <w:rPr>
                <w:color w:val="000000"/>
                <w:sz w:val="22"/>
                <w:szCs w:val="22"/>
              </w:rPr>
            </w:pPr>
            <w:r w:rsidRPr="00261D8E">
              <w:rPr>
                <w:color w:val="000000"/>
                <w:sz w:val="22"/>
                <w:szCs w:val="22"/>
              </w:rPr>
              <w:t xml:space="preserve">  </w:t>
            </w:r>
            <w:r w:rsidR="00D075B1" w:rsidRPr="00261D8E">
              <w:rPr>
                <w:color w:val="000000"/>
                <w:sz w:val="22"/>
                <w:szCs w:val="22"/>
              </w:rPr>
              <w:t xml:space="preserve">**We remind all intervenors that Commission staff may audit their records related to the award and that intervenors must make and retain adequate accounting and other documentation to support all claims for intervenor compensation.  </w:t>
            </w:r>
            <w:r w:rsidR="005A63D4" w:rsidRPr="00261D8E">
              <w:rPr>
                <w:color w:val="000000"/>
                <w:sz w:val="22"/>
                <w:szCs w:val="22"/>
              </w:rPr>
              <w:t>Intervenor</w:t>
            </w:r>
            <w:r w:rsidR="00D075B1" w:rsidRPr="00261D8E">
              <w:rPr>
                <w:color w:val="000000"/>
                <w:sz w:val="22"/>
                <w:szCs w:val="22"/>
              </w:rPr>
              <w:t>’s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w:t>
            </w:r>
            <w:r w:rsidR="00D8683C">
              <w:rPr>
                <w:color w:val="000000"/>
                <w:sz w:val="22"/>
                <w:szCs w:val="22"/>
              </w:rPr>
              <w:t>inal decision making the award.</w:t>
            </w:r>
          </w:p>
          <w:p w:rsidR="00A92D0B" w:rsidRPr="00261D8E" w:rsidRDefault="00D075B1" w:rsidP="00963EEF">
            <w:pPr>
              <w:spacing w:before="60" w:after="60"/>
              <w:rPr>
                <w:color w:val="000000"/>
                <w:sz w:val="22"/>
                <w:szCs w:val="22"/>
              </w:rPr>
            </w:pPr>
            <w:r w:rsidRPr="00261D8E">
              <w:rPr>
                <w:color w:val="000000"/>
                <w:sz w:val="22"/>
                <w:szCs w:val="22"/>
              </w:rPr>
              <w:t>**Travel and Reasonable Claim preparation time typically compensated at ½ of preparer’s normal hourly rate</w:t>
            </w:r>
            <w:r w:rsidR="00E501D7">
              <w:rPr>
                <w:color w:val="000000"/>
                <w:sz w:val="22"/>
                <w:szCs w:val="22"/>
              </w:rPr>
              <w:t>.</w:t>
            </w:r>
          </w:p>
        </w:tc>
      </w:tr>
      <w:tr w:rsidR="005A53F1" w:rsidRPr="00261D8E" w:rsidTr="006B6AD9">
        <w:tc>
          <w:tcPr>
            <w:tcW w:w="10098" w:type="dxa"/>
            <w:gridSpan w:val="16"/>
            <w:tcBorders>
              <w:top w:val="single" w:sz="4" w:space="0" w:color="auto"/>
              <w:left w:val="single" w:sz="4" w:space="0" w:color="auto"/>
              <w:bottom w:val="single" w:sz="4" w:space="0" w:color="auto"/>
              <w:right w:val="single" w:sz="4" w:space="0" w:color="auto"/>
            </w:tcBorders>
            <w:shd w:val="clear" w:color="auto" w:fill="FFFFFF"/>
          </w:tcPr>
          <w:p w:rsidR="005A53F1" w:rsidRPr="00261D8E" w:rsidRDefault="005A53F1" w:rsidP="00DD52BB">
            <w:pPr>
              <w:spacing w:before="60" w:after="60"/>
              <w:jc w:val="center"/>
              <w:rPr>
                <w:b/>
                <w:smallCaps/>
                <w:color w:val="000000"/>
                <w:sz w:val="22"/>
                <w:szCs w:val="22"/>
              </w:rPr>
            </w:pPr>
            <w:r w:rsidRPr="00261D8E">
              <w:rPr>
                <w:b/>
                <w:smallCaps/>
                <w:color w:val="000000"/>
                <w:sz w:val="22"/>
                <w:szCs w:val="22"/>
              </w:rPr>
              <w:lastRenderedPageBreak/>
              <w:t>ATTORNEY INFORMATION</w:t>
            </w:r>
          </w:p>
        </w:tc>
      </w:tr>
      <w:tr w:rsidR="005A53F1" w:rsidRPr="00261D8E" w:rsidTr="006B6AD9">
        <w:trPr>
          <w:trHeight w:val="173"/>
        </w:trPr>
        <w:tc>
          <w:tcPr>
            <w:tcW w:w="1548" w:type="dxa"/>
            <w:gridSpan w:val="3"/>
            <w:tcBorders>
              <w:top w:val="single" w:sz="4" w:space="0" w:color="auto"/>
              <w:bottom w:val="single" w:sz="4" w:space="0" w:color="auto"/>
            </w:tcBorders>
            <w:shd w:val="clear" w:color="auto" w:fill="FFFFFF"/>
          </w:tcPr>
          <w:p w:rsidR="005A53F1" w:rsidRPr="00261D8E" w:rsidRDefault="005A53F1" w:rsidP="00DD52BB">
            <w:pPr>
              <w:keepNext/>
              <w:keepLines/>
              <w:spacing w:before="60" w:after="60"/>
              <w:jc w:val="center"/>
              <w:rPr>
                <w:b/>
                <w:color w:val="000000"/>
                <w:sz w:val="22"/>
                <w:szCs w:val="22"/>
              </w:rPr>
            </w:pPr>
            <w:r w:rsidRPr="00261D8E">
              <w:rPr>
                <w:b/>
                <w:sz w:val="22"/>
                <w:szCs w:val="22"/>
              </w:rPr>
              <w:t>Attorney</w:t>
            </w:r>
          </w:p>
        </w:tc>
        <w:tc>
          <w:tcPr>
            <w:tcW w:w="2880" w:type="dxa"/>
            <w:gridSpan w:val="7"/>
            <w:tcBorders>
              <w:top w:val="single" w:sz="4" w:space="0" w:color="auto"/>
              <w:bottom w:val="single" w:sz="4" w:space="0" w:color="auto"/>
            </w:tcBorders>
            <w:shd w:val="clear" w:color="auto" w:fill="FFFFFF"/>
          </w:tcPr>
          <w:p w:rsidR="005A53F1" w:rsidRPr="00261D8E" w:rsidRDefault="005A53F1" w:rsidP="00DD52BB">
            <w:pPr>
              <w:keepNext/>
              <w:keepLines/>
              <w:spacing w:before="60" w:after="60"/>
              <w:jc w:val="center"/>
              <w:rPr>
                <w:b/>
                <w:color w:val="000000"/>
                <w:sz w:val="22"/>
                <w:szCs w:val="22"/>
              </w:rPr>
            </w:pPr>
            <w:r w:rsidRPr="00261D8E">
              <w:rPr>
                <w:b/>
                <w:sz w:val="22"/>
                <w:szCs w:val="22"/>
              </w:rPr>
              <w:t>Date Admitted to CA BAR</w:t>
            </w:r>
            <w:r w:rsidRPr="00261D8E">
              <w:rPr>
                <w:rStyle w:val="FootnoteReference"/>
                <w:b/>
                <w:sz w:val="22"/>
                <w:szCs w:val="22"/>
              </w:rPr>
              <w:footnoteReference w:id="1"/>
            </w:r>
          </w:p>
        </w:tc>
        <w:tc>
          <w:tcPr>
            <w:tcW w:w="1890" w:type="dxa"/>
            <w:gridSpan w:val="2"/>
            <w:tcBorders>
              <w:top w:val="single" w:sz="4" w:space="0" w:color="auto"/>
              <w:bottom w:val="single" w:sz="4" w:space="0" w:color="auto"/>
            </w:tcBorders>
            <w:shd w:val="clear" w:color="auto" w:fill="FFFFFF"/>
          </w:tcPr>
          <w:p w:rsidR="005A53F1" w:rsidRPr="00261D8E" w:rsidRDefault="005A53F1" w:rsidP="00DD52BB">
            <w:pPr>
              <w:keepNext/>
              <w:keepLines/>
              <w:spacing w:before="60" w:after="60"/>
              <w:jc w:val="center"/>
              <w:rPr>
                <w:b/>
                <w:color w:val="000000"/>
                <w:sz w:val="22"/>
                <w:szCs w:val="22"/>
              </w:rPr>
            </w:pPr>
            <w:r w:rsidRPr="00261D8E">
              <w:rPr>
                <w:b/>
                <w:sz w:val="22"/>
                <w:szCs w:val="22"/>
              </w:rPr>
              <w:t>Member Number</w:t>
            </w:r>
          </w:p>
        </w:tc>
        <w:tc>
          <w:tcPr>
            <w:tcW w:w="3780" w:type="dxa"/>
            <w:gridSpan w:val="4"/>
            <w:tcBorders>
              <w:top w:val="single" w:sz="4" w:space="0" w:color="auto"/>
              <w:bottom w:val="single" w:sz="4" w:space="0" w:color="auto"/>
            </w:tcBorders>
            <w:shd w:val="clear" w:color="auto" w:fill="FFFFFF"/>
          </w:tcPr>
          <w:p w:rsidR="005A53F1" w:rsidRPr="0037409E" w:rsidRDefault="005A53F1" w:rsidP="0037409E">
            <w:pPr>
              <w:keepNext/>
              <w:keepLines/>
              <w:spacing w:before="60" w:after="60"/>
              <w:jc w:val="center"/>
              <w:rPr>
                <w:b/>
                <w:sz w:val="22"/>
                <w:szCs w:val="22"/>
              </w:rPr>
            </w:pPr>
            <w:r w:rsidRPr="00261D8E">
              <w:rPr>
                <w:b/>
                <w:sz w:val="22"/>
                <w:szCs w:val="22"/>
              </w:rPr>
              <w:t>Actions Affecting Eligibility (Yes/No?)</w:t>
            </w:r>
          </w:p>
        </w:tc>
      </w:tr>
      <w:tr w:rsidR="005A53F1" w:rsidRPr="00261D8E" w:rsidTr="006B6AD9">
        <w:trPr>
          <w:trHeight w:val="172"/>
        </w:trPr>
        <w:tc>
          <w:tcPr>
            <w:tcW w:w="1548" w:type="dxa"/>
            <w:gridSpan w:val="3"/>
            <w:tcBorders>
              <w:top w:val="single" w:sz="4" w:space="0" w:color="auto"/>
              <w:bottom w:val="single" w:sz="4" w:space="0" w:color="auto"/>
            </w:tcBorders>
            <w:shd w:val="clear" w:color="auto" w:fill="FFFFFF"/>
          </w:tcPr>
          <w:p w:rsidR="005A53F1" w:rsidRPr="00261D8E" w:rsidRDefault="00061D24" w:rsidP="00DD52BB">
            <w:pPr>
              <w:keepNext/>
              <w:keepLines/>
              <w:spacing w:before="60" w:after="60"/>
              <w:jc w:val="center"/>
              <w:rPr>
                <w:color w:val="000000"/>
                <w:sz w:val="22"/>
                <w:szCs w:val="22"/>
              </w:rPr>
            </w:pPr>
            <w:r w:rsidRPr="00261D8E">
              <w:rPr>
                <w:color w:val="000000"/>
                <w:sz w:val="22"/>
                <w:szCs w:val="22"/>
              </w:rPr>
              <w:t>Donald Kelly</w:t>
            </w:r>
          </w:p>
        </w:tc>
        <w:tc>
          <w:tcPr>
            <w:tcW w:w="2880" w:type="dxa"/>
            <w:gridSpan w:val="7"/>
            <w:tcBorders>
              <w:top w:val="single" w:sz="4" w:space="0" w:color="auto"/>
              <w:bottom w:val="single" w:sz="4" w:space="0" w:color="auto"/>
            </w:tcBorders>
            <w:shd w:val="clear" w:color="auto" w:fill="FFFFFF"/>
          </w:tcPr>
          <w:p w:rsidR="005A53F1" w:rsidRPr="00261D8E" w:rsidRDefault="00061D24" w:rsidP="00DD52BB">
            <w:pPr>
              <w:keepNext/>
              <w:keepLines/>
              <w:spacing w:before="60" w:after="60"/>
              <w:jc w:val="center"/>
              <w:rPr>
                <w:color w:val="000000"/>
                <w:sz w:val="22"/>
                <w:szCs w:val="22"/>
              </w:rPr>
            </w:pPr>
            <w:r w:rsidRPr="00261D8E">
              <w:rPr>
                <w:color w:val="000000"/>
                <w:sz w:val="22"/>
                <w:szCs w:val="22"/>
              </w:rPr>
              <w:t>December 5, 1990</w:t>
            </w:r>
          </w:p>
        </w:tc>
        <w:tc>
          <w:tcPr>
            <w:tcW w:w="1890" w:type="dxa"/>
            <w:gridSpan w:val="2"/>
            <w:tcBorders>
              <w:top w:val="single" w:sz="4" w:space="0" w:color="auto"/>
              <w:bottom w:val="single" w:sz="4" w:space="0" w:color="auto"/>
            </w:tcBorders>
            <w:shd w:val="clear" w:color="auto" w:fill="FFFFFF"/>
          </w:tcPr>
          <w:p w:rsidR="005A53F1" w:rsidRPr="00261D8E" w:rsidRDefault="00061D24" w:rsidP="00DD52BB">
            <w:pPr>
              <w:keepNext/>
              <w:keepLines/>
              <w:spacing w:before="60" w:after="60"/>
              <w:jc w:val="center"/>
              <w:rPr>
                <w:color w:val="000000"/>
                <w:sz w:val="22"/>
                <w:szCs w:val="22"/>
              </w:rPr>
            </w:pPr>
            <w:r w:rsidRPr="00261D8E">
              <w:rPr>
                <w:color w:val="000000"/>
                <w:sz w:val="22"/>
                <w:szCs w:val="22"/>
              </w:rPr>
              <w:t>151095</w:t>
            </w:r>
          </w:p>
        </w:tc>
        <w:tc>
          <w:tcPr>
            <w:tcW w:w="3780" w:type="dxa"/>
            <w:gridSpan w:val="4"/>
            <w:tcBorders>
              <w:top w:val="single" w:sz="4" w:space="0" w:color="auto"/>
              <w:bottom w:val="single" w:sz="4" w:space="0" w:color="auto"/>
            </w:tcBorders>
            <w:shd w:val="clear" w:color="auto" w:fill="FFFFFF"/>
          </w:tcPr>
          <w:p w:rsidR="005A53F1" w:rsidRPr="00261D8E" w:rsidRDefault="0037409E" w:rsidP="00DD52BB">
            <w:pPr>
              <w:keepNext/>
              <w:keepLines/>
              <w:spacing w:before="60" w:after="60"/>
              <w:jc w:val="center"/>
              <w:rPr>
                <w:color w:val="000000"/>
                <w:sz w:val="22"/>
                <w:szCs w:val="22"/>
              </w:rPr>
            </w:pPr>
            <w:r>
              <w:rPr>
                <w:color w:val="000000"/>
                <w:sz w:val="22"/>
                <w:szCs w:val="22"/>
              </w:rPr>
              <w:t>No.</w:t>
            </w:r>
          </w:p>
        </w:tc>
      </w:tr>
    </w:tbl>
    <w:p w:rsidR="00A92D0B" w:rsidRPr="00261D8E" w:rsidRDefault="006D7655">
      <w:pPr>
        <w:numPr>
          <w:ilvl w:val="0"/>
          <w:numId w:val="2"/>
        </w:numPr>
        <w:tabs>
          <w:tab w:val="clear" w:pos="900"/>
          <w:tab w:val="num" w:pos="360"/>
        </w:tabs>
        <w:spacing w:before="240" w:after="240"/>
        <w:ind w:left="360"/>
        <w:rPr>
          <w:b/>
          <w:color w:val="000000"/>
          <w:sz w:val="22"/>
          <w:szCs w:val="22"/>
        </w:rPr>
      </w:pPr>
      <w:r w:rsidRPr="00261D8E">
        <w:rPr>
          <w:b/>
          <w:sz w:val="22"/>
          <w:szCs w:val="22"/>
        </w:rPr>
        <w:t xml:space="preserve">Intervenor’s Comments </w:t>
      </w:r>
      <w:r w:rsidR="00A92D0B" w:rsidRPr="00261D8E">
        <w:rPr>
          <w:b/>
          <w:sz w:val="22"/>
          <w:szCs w:val="22"/>
        </w:rPr>
        <w:t>on Part III</w:t>
      </w:r>
      <w:r w:rsidR="00A92D0B" w:rsidRPr="00261D8E">
        <w:rPr>
          <w:b/>
          <w:color w:val="000000"/>
          <w:sz w:val="22"/>
          <w:szCs w:val="22"/>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48"/>
        <w:gridCol w:w="8550"/>
      </w:tblGrid>
      <w:tr w:rsidR="00A92D0B" w:rsidRPr="00261D8E" w:rsidTr="006B6AD9">
        <w:tc>
          <w:tcPr>
            <w:tcW w:w="1548" w:type="dxa"/>
            <w:shd w:val="clear" w:color="auto" w:fill="FFFFFF"/>
            <w:vAlign w:val="center"/>
          </w:tcPr>
          <w:p w:rsidR="00A92D0B" w:rsidRPr="00261D8E" w:rsidRDefault="00AB4AF1" w:rsidP="00AB4AF1">
            <w:pPr>
              <w:tabs>
                <w:tab w:val="left" w:pos="1260"/>
              </w:tabs>
              <w:spacing w:before="120" w:after="120"/>
              <w:jc w:val="center"/>
              <w:rPr>
                <w:b/>
                <w:color w:val="000000"/>
                <w:sz w:val="22"/>
                <w:szCs w:val="22"/>
              </w:rPr>
            </w:pPr>
            <w:r>
              <w:rPr>
                <w:b/>
                <w:color w:val="000000"/>
                <w:sz w:val="22"/>
                <w:szCs w:val="22"/>
              </w:rPr>
              <w:t xml:space="preserve">Comment </w:t>
            </w:r>
            <w:r w:rsidR="00A92D0B" w:rsidRPr="00261D8E">
              <w:rPr>
                <w:b/>
                <w:color w:val="000000"/>
                <w:sz w:val="22"/>
                <w:szCs w:val="22"/>
              </w:rPr>
              <w:t>#</w:t>
            </w:r>
          </w:p>
        </w:tc>
        <w:tc>
          <w:tcPr>
            <w:tcW w:w="8550" w:type="dxa"/>
            <w:shd w:val="clear" w:color="auto" w:fill="FFFFFF"/>
            <w:vAlign w:val="center"/>
          </w:tcPr>
          <w:p w:rsidR="00A92D0B" w:rsidRPr="00261D8E" w:rsidRDefault="006D7655" w:rsidP="00AB4AF1">
            <w:pPr>
              <w:tabs>
                <w:tab w:val="left" w:pos="1260"/>
              </w:tabs>
              <w:spacing w:before="120" w:after="120"/>
              <w:jc w:val="center"/>
              <w:rPr>
                <w:b/>
                <w:color w:val="000000"/>
                <w:sz w:val="22"/>
                <w:szCs w:val="22"/>
              </w:rPr>
            </w:pPr>
            <w:r w:rsidRPr="00261D8E">
              <w:rPr>
                <w:b/>
                <w:color w:val="000000"/>
                <w:sz w:val="22"/>
                <w:szCs w:val="22"/>
              </w:rPr>
              <w:t>Intervenor</w:t>
            </w:r>
            <w:r w:rsidR="00886671">
              <w:rPr>
                <w:b/>
                <w:color w:val="000000"/>
                <w:sz w:val="22"/>
                <w:szCs w:val="22"/>
              </w:rPr>
              <w:t>’</w:t>
            </w:r>
            <w:r w:rsidRPr="00261D8E">
              <w:rPr>
                <w:b/>
                <w:color w:val="000000"/>
                <w:sz w:val="22"/>
                <w:szCs w:val="22"/>
              </w:rPr>
              <w:t xml:space="preserve">s </w:t>
            </w:r>
            <w:r w:rsidR="00A92D0B" w:rsidRPr="00261D8E">
              <w:rPr>
                <w:b/>
                <w:color w:val="000000"/>
                <w:sz w:val="22"/>
                <w:szCs w:val="22"/>
              </w:rPr>
              <w:t>Comment</w:t>
            </w:r>
            <w:r w:rsidRPr="00261D8E">
              <w:rPr>
                <w:b/>
                <w:color w:val="000000"/>
                <w:sz w:val="22"/>
                <w:szCs w:val="22"/>
              </w:rPr>
              <w:t>(s)</w:t>
            </w:r>
          </w:p>
        </w:tc>
      </w:tr>
      <w:tr w:rsidR="00A92D0B" w:rsidRPr="00261D8E" w:rsidTr="006B6AD9">
        <w:tc>
          <w:tcPr>
            <w:tcW w:w="1548" w:type="dxa"/>
            <w:shd w:val="clear" w:color="auto" w:fill="FFFFFF"/>
          </w:tcPr>
          <w:p w:rsidR="00A92D0B" w:rsidRPr="00261D8E" w:rsidRDefault="00376B47" w:rsidP="00AB4AF1">
            <w:pPr>
              <w:tabs>
                <w:tab w:val="left" w:pos="1260"/>
              </w:tabs>
              <w:spacing w:before="120"/>
              <w:jc w:val="center"/>
              <w:rPr>
                <w:color w:val="000000"/>
                <w:sz w:val="22"/>
                <w:szCs w:val="22"/>
              </w:rPr>
            </w:pPr>
            <w:r w:rsidRPr="00261D8E">
              <w:rPr>
                <w:color w:val="000000"/>
                <w:sz w:val="22"/>
                <w:szCs w:val="22"/>
              </w:rPr>
              <w:t>2</w:t>
            </w:r>
          </w:p>
        </w:tc>
        <w:tc>
          <w:tcPr>
            <w:tcW w:w="8550" w:type="dxa"/>
            <w:shd w:val="clear" w:color="auto" w:fill="FFFFFF"/>
          </w:tcPr>
          <w:p w:rsidR="009B3B16" w:rsidRPr="00D8683C" w:rsidRDefault="009B3B16" w:rsidP="00AB4AF1">
            <w:pPr>
              <w:spacing w:before="60" w:after="60"/>
              <w:rPr>
                <w:iCs/>
                <w:sz w:val="22"/>
                <w:szCs w:val="22"/>
              </w:rPr>
            </w:pPr>
            <w:r w:rsidRPr="00261D8E">
              <w:rPr>
                <w:iCs/>
                <w:sz w:val="22"/>
                <w:szCs w:val="22"/>
              </w:rPr>
              <w:t xml:space="preserve">UCAN is asking that Briana </w:t>
            </w:r>
            <w:proofErr w:type="spellStart"/>
            <w:r w:rsidRPr="00261D8E">
              <w:rPr>
                <w:iCs/>
                <w:sz w:val="22"/>
                <w:szCs w:val="22"/>
              </w:rPr>
              <w:t>Kobor's</w:t>
            </w:r>
            <w:proofErr w:type="spellEnd"/>
            <w:r w:rsidRPr="00261D8E">
              <w:rPr>
                <w:iCs/>
                <w:sz w:val="22"/>
                <w:szCs w:val="22"/>
              </w:rPr>
              <w:t xml:space="preserve"> rate be increased to $170 an hour from the rate of $135 an hour that was given in</w:t>
            </w:r>
            <w:r w:rsidR="00D8683C">
              <w:rPr>
                <w:iCs/>
                <w:sz w:val="22"/>
                <w:szCs w:val="22"/>
              </w:rPr>
              <w:t xml:space="preserve"> D.14-06-049 for work in 2012.  </w:t>
            </w:r>
            <w:r w:rsidRPr="00261D8E">
              <w:rPr>
                <w:iCs/>
                <w:sz w:val="22"/>
                <w:szCs w:val="22"/>
              </w:rPr>
              <w:t xml:space="preserve">Ms. </w:t>
            </w:r>
            <w:proofErr w:type="spellStart"/>
            <w:r w:rsidRPr="00261D8E">
              <w:rPr>
                <w:iCs/>
                <w:sz w:val="22"/>
                <w:szCs w:val="22"/>
              </w:rPr>
              <w:t>Kobor</w:t>
            </w:r>
            <w:proofErr w:type="spellEnd"/>
            <w:r w:rsidRPr="00261D8E">
              <w:rPr>
                <w:iCs/>
                <w:sz w:val="22"/>
                <w:szCs w:val="22"/>
              </w:rPr>
              <w:t xml:space="preserve"> is an energy consultant and a rate expert with a degree in Environmental Economics and Policy from the University of California at Berkeley and 8 years of experience. </w:t>
            </w:r>
            <w:r w:rsidR="00D8683C">
              <w:rPr>
                <w:iCs/>
                <w:sz w:val="22"/>
                <w:szCs w:val="22"/>
              </w:rPr>
              <w:t xml:space="preserve"> </w:t>
            </w:r>
            <w:r w:rsidRPr="00261D8E">
              <w:rPr>
                <w:iCs/>
                <w:sz w:val="22"/>
                <w:szCs w:val="22"/>
              </w:rPr>
              <w:t>Since leaving MRW in July 2015, she has been serving as the Program Direct, DG Re</w:t>
            </w:r>
            <w:r w:rsidR="00D8683C">
              <w:rPr>
                <w:iCs/>
                <w:sz w:val="22"/>
                <w:szCs w:val="22"/>
              </w:rPr>
              <w:t xml:space="preserve">gulatory Policy at Vote Solar.  </w:t>
            </w:r>
            <w:r w:rsidRPr="00261D8E">
              <w:rPr>
                <w:iCs/>
                <w:sz w:val="22"/>
                <w:szCs w:val="22"/>
              </w:rPr>
              <w:t xml:space="preserve">Ms. </w:t>
            </w:r>
            <w:proofErr w:type="spellStart"/>
            <w:r w:rsidRPr="00261D8E">
              <w:rPr>
                <w:iCs/>
                <w:sz w:val="22"/>
                <w:szCs w:val="22"/>
              </w:rPr>
              <w:t>Kobor</w:t>
            </w:r>
            <w:proofErr w:type="spellEnd"/>
            <w:r w:rsidRPr="00261D8E">
              <w:rPr>
                <w:iCs/>
                <w:sz w:val="22"/>
                <w:szCs w:val="22"/>
              </w:rPr>
              <w:t xml:space="preserve"> has not had a rate, step or COLA increase for her work before the Commission since 2012.</w:t>
            </w:r>
          </w:p>
          <w:p w:rsidR="009B3B16" w:rsidRPr="00261D8E" w:rsidRDefault="009B3B16" w:rsidP="009B3B16">
            <w:pPr>
              <w:rPr>
                <w:sz w:val="22"/>
                <w:szCs w:val="22"/>
              </w:rPr>
            </w:pPr>
            <w:r w:rsidRPr="00261D8E">
              <w:rPr>
                <w:iCs/>
                <w:sz w:val="22"/>
                <w:szCs w:val="22"/>
              </w:rPr>
              <w:t> </w:t>
            </w:r>
          </w:p>
          <w:p w:rsidR="009B3B16" w:rsidRPr="00261D8E" w:rsidRDefault="009B3B16" w:rsidP="009B3B16">
            <w:pPr>
              <w:rPr>
                <w:sz w:val="22"/>
                <w:szCs w:val="22"/>
              </w:rPr>
            </w:pPr>
            <w:r w:rsidRPr="00261D8E">
              <w:rPr>
                <w:iCs/>
                <w:sz w:val="22"/>
                <w:szCs w:val="22"/>
              </w:rPr>
              <w:t xml:space="preserve">Over the years since her last rate assessment, Ms. </w:t>
            </w:r>
            <w:proofErr w:type="spellStart"/>
            <w:r w:rsidRPr="00261D8E">
              <w:rPr>
                <w:iCs/>
                <w:sz w:val="22"/>
                <w:szCs w:val="22"/>
              </w:rPr>
              <w:t>Kobor</w:t>
            </w:r>
            <w:proofErr w:type="spellEnd"/>
            <w:r w:rsidRPr="00261D8E">
              <w:rPr>
                <w:iCs/>
                <w:sz w:val="22"/>
                <w:szCs w:val="22"/>
              </w:rPr>
              <w:t xml:space="preserve"> has transitioned from an analyst with supporting roles on projects to an expert, serving as the lead analyst, witness, and project manager on projects. She served as an expert in SCE’s General Rate Case Phase 2 on behalf of the Coalition for Affordable Street Lights, in the current proceeding on behalf of UCAN, and in several out-of-state proceedings related to net me</w:t>
            </w:r>
            <w:r w:rsidR="00E501D7">
              <w:rPr>
                <w:iCs/>
                <w:sz w:val="22"/>
                <w:szCs w:val="22"/>
              </w:rPr>
              <w:t xml:space="preserve">tering on behalf of Vote Solar.  </w:t>
            </w:r>
            <w:r w:rsidRPr="00261D8E">
              <w:rPr>
                <w:iCs/>
                <w:sz w:val="22"/>
                <w:szCs w:val="22"/>
              </w:rPr>
              <w:t>She also served as the lead analyst in MRW’s utility rate forecasting practice and has extensive experience developing testimony in utility rate cases and other energy proceedings at the Commission. </w:t>
            </w:r>
          </w:p>
          <w:p w:rsidR="009B3B16" w:rsidRPr="00261D8E" w:rsidRDefault="009B3B16" w:rsidP="009B3B16">
            <w:pPr>
              <w:rPr>
                <w:sz w:val="22"/>
                <w:szCs w:val="22"/>
              </w:rPr>
            </w:pPr>
            <w:r w:rsidRPr="00261D8E">
              <w:rPr>
                <w:iCs/>
                <w:sz w:val="22"/>
                <w:szCs w:val="22"/>
              </w:rPr>
              <w:t> </w:t>
            </w:r>
          </w:p>
          <w:p w:rsidR="009B3B16" w:rsidRPr="00261D8E" w:rsidRDefault="009B3B16" w:rsidP="009B3B16">
            <w:pPr>
              <w:rPr>
                <w:iCs/>
                <w:sz w:val="22"/>
                <w:szCs w:val="22"/>
              </w:rPr>
            </w:pPr>
            <w:r w:rsidRPr="00261D8E">
              <w:rPr>
                <w:iCs/>
                <w:sz w:val="22"/>
                <w:szCs w:val="22"/>
              </w:rPr>
              <w:t xml:space="preserve">UCAN believes a rate increase from $135 an hour to $170 an hour is appropriate given her professional growth during this time period, her expertise on utility rate cases, and the depth of her experience at the Commission. </w:t>
            </w:r>
            <w:r w:rsidR="00E501D7">
              <w:rPr>
                <w:iCs/>
                <w:sz w:val="22"/>
                <w:szCs w:val="22"/>
              </w:rPr>
              <w:t xml:space="preserve"> </w:t>
            </w:r>
            <w:r w:rsidRPr="00261D8E">
              <w:rPr>
                <w:iCs/>
                <w:sz w:val="22"/>
                <w:szCs w:val="22"/>
              </w:rPr>
              <w:t xml:space="preserve">UCAN’s requested billing rate for Ms. </w:t>
            </w:r>
            <w:proofErr w:type="spellStart"/>
            <w:r w:rsidRPr="00261D8E">
              <w:rPr>
                <w:iCs/>
                <w:sz w:val="22"/>
                <w:szCs w:val="22"/>
              </w:rPr>
              <w:t>Kobor</w:t>
            </w:r>
            <w:proofErr w:type="spellEnd"/>
            <w:r w:rsidRPr="00261D8E">
              <w:rPr>
                <w:iCs/>
                <w:sz w:val="22"/>
                <w:szCs w:val="22"/>
              </w:rPr>
              <w:t xml:space="preserve"> is on the lower end of the compensation range for experts with 7-12 years of experience </w:t>
            </w:r>
            <w:proofErr w:type="gramStart"/>
            <w:r w:rsidRPr="00261D8E">
              <w:rPr>
                <w:iCs/>
                <w:sz w:val="22"/>
                <w:szCs w:val="22"/>
              </w:rPr>
              <w:t>(</w:t>
            </w:r>
            <w:r w:rsidR="00E501D7">
              <w:rPr>
                <w:iCs/>
                <w:sz w:val="22"/>
                <w:szCs w:val="22"/>
              </w:rPr>
              <w:t>between $170 to $285 for 2015.)</w:t>
            </w:r>
            <w:proofErr w:type="gramEnd"/>
          </w:p>
          <w:p w:rsidR="009B3B16" w:rsidRPr="00261D8E" w:rsidRDefault="009B3B16" w:rsidP="009B3B16">
            <w:pPr>
              <w:rPr>
                <w:iCs/>
                <w:sz w:val="22"/>
                <w:szCs w:val="22"/>
              </w:rPr>
            </w:pPr>
          </w:p>
          <w:p w:rsidR="00A92D0B" w:rsidRPr="00261D8E" w:rsidRDefault="009B3B16" w:rsidP="00AB4AF1">
            <w:pPr>
              <w:spacing w:after="60"/>
              <w:rPr>
                <w:b/>
                <w:color w:val="000000"/>
                <w:sz w:val="22"/>
                <w:szCs w:val="22"/>
              </w:rPr>
            </w:pPr>
            <w:r w:rsidRPr="00261D8E">
              <w:rPr>
                <w:iCs/>
                <w:sz w:val="22"/>
                <w:szCs w:val="22"/>
              </w:rPr>
              <w:t xml:space="preserve">The proposed hourly compensation rate of $170 an hour is the rate that UCAN was charged for Ms. </w:t>
            </w:r>
            <w:proofErr w:type="spellStart"/>
            <w:r w:rsidRPr="00261D8E">
              <w:rPr>
                <w:iCs/>
                <w:sz w:val="22"/>
                <w:szCs w:val="22"/>
              </w:rPr>
              <w:t>Kobor’s</w:t>
            </w:r>
            <w:proofErr w:type="spellEnd"/>
            <w:r w:rsidRPr="00261D8E">
              <w:rPr>
                <w:iCs/>
                <w:sz w:val="22"/>
                <w:szCs w:val="22"/>
              </w:rPr>
              <w:t xml:space="preserve"> work in this proceeding.  Ms. </w:t>
            </w:r>
            <w:proofErr w:type="spellStart"/>
            <w:r w:rsidRPr="00261D8E">
              <w:rPr>
                <w:iCs/>
                <w:sz w:val="22"/>
                <w:szCs w:val="22"/>
              </w:rPr>
              <w:t>Kobor’s</w:t>
            </w:r>
            <w:proofErr w:type="spellEnd"/>
            <w:r w:rsidRPr="00261D8E">
              <w:rPr>
                <w:iCs/>
                <w:sz w:val="22"/>
                <w:szCs w:val="22"/>
              </w:rPr>
              <w:t xml:space="preserve"> resume has been filed with this compensation claim as attachment 2</w:t>
            </w:r>
            <w:r w:rsidR="00AB4AF1">
              <w:rPr>
                <w:iCs/>
                <w:sz w:val="22"/>
                <w:szCs w:val="22"/>
              </w:rPr>
              <w:t>.</w:t>
            </w:r>
          </w:p>
        </w:tc>
      </w:tr>
      <w:tr w:rsidR="00376B47" w:rsidRPr="00261D8E" w:rsidTr="006B6AD9">
        <w:tc>
          <w:tcPr>
            <w:tcW w:w="1548" w:type="dxa"/>
            <w:shd w:val="clear" w:color="auto" w:fill="FFFFFF"/>
          </w:tcPr>
          <w:p w:rsidR="00376B47" w:rsidRPr="00261D8E" w:rsidRDefault="00376B47" w:rsidP="00AB4AF1">
            <w:pPr>
              <w:tabs>
                <w:tab w:val="left" w:pos="1260"/>
              </w:tabs>
              <w:spacing w:before="120"/>
              <w:jc w:val="center"/>
              <w:rPr>
                <w:color w:val="000000"/>
                <w:sz w:val="22"/>
                <w:szCs w:val="22"/>
              </w:rPr>
            </w:pPr>
            <w:r w:rsidRPr="00261D8E">
              <w:rPr>
                <w:color w:val="000000"/>
                <w:sz w:val="22"/>
                <w:szCs w:val="22"/>
              </w:rPr>
              <w:t>3</w:t>
            </w:r>
          </w:p>
        </w:tc>
        <w:tc>
          <w:tcPr>
            <w:tcW w:w="8550" w:type="dxa"/>
            <w:shd w:val="clear" w:color="auto" w:fill="FFFFFF"/>
          </w:tcPr>
          <w:p w:rsidR="009B3B16" w:rsidRPr="00261D8E" w:rsidRDefault="009B3B16" w:rsidP="009B3B16">
            <w:pPr>
              <w:rPr>
                <w:iCs/>
                <w:sz w:val="22"/>
                <w:szCs w:val="22"/>
              </w:rPr>
            </w:pPr>
            <w:r w:rsidRPr="00261D8E">
              <w:rPr>
                <w:iCs/>
                <w:sz w:val="22"/>
                <w:szCs w:val="22"/>
              </w:rPr>
              <w:t xml:space="preserve">Pursuant to Resolution ALJ-308, experts with 13+ years of experience qualify for an intervenor compensation rate range of $170-$420 per hour for 2014-2015. UCAN requests that the Commission approve a rate of $205 an hour for Ken </w:t>
            </w:r>
            <w:proofErr w:type="spellStart"/>
            <w:r w:rsidRPr="00261D8E">
              <w:rPr>
                <w:iCs/>
                <w:sz w:val="22"/>
                <w:szCs w:val="22"/>
              </w:rPr>
              <w:t>Sosnick</w:t>
            </w:r>
            <w:proofErr w:type="spellEnd"/>
            <w:r w:rsidRPr="00261D8E">
              <w:rPr>
                <w:iCs/>
                <w:sz w:val="22"/>
                <w:szCs w:val="22"/>
              </w:rPr>
              <w:t xml:space="preserve"> for his work in this proceeding. UCAN believes that this rate is justified given Mr. </w:t>
            </w:r>
            <w:proofErr w:type="spellStart"/>
            <w:r w:rsidRPr="00261D8E">
              <w:rPr>
                <w:iCs/>
                <w:sz w:val="22"/>
                <w:szCs w:val="22"/>
              </w:rPr>
              <w:t>Sosnick’s</w:t>
            </w:r>
            <w:proofErr w:type="spellEnd"/>
            <w:r w:rsidRPr="00261D8E">
              <w:rPr>
                <w:iCs/>
                <w:sz w:val="22"/>
                <w:szCs w:val="22"/>
              </w:rPr>
              <w:t xml:space="preserve"> 13 years of experience and his deep expertise in utility accounting and utility cost of service issues. </w:t>
            </w:r>
            <w:r w:rsidR="006B6AD9">
              <w:rPr>
                <w:iCs/>
                <w:sz w:val="22"/>
                <w:szCs w:val="22"/>
              </w:rPr>
              <w:br/>
            </w:r>
            <w:r w:rsidRPr="00261D8E">
              <w:rPr>
                <w:iCs/>
                <w:sz w:val="22"/>
                <w:szCs w:val="22"/>
              </w:rPr>
              <w:t xml:space="preserve">Mr. </w:t>
            </w:r>
            <w:proofErr w:type="spellStart"/>
            <w:r w:rsidRPr="00261D8E">
              <w:rPr>
                <w:iCs/>
                <w:sz w:val="22"/>
                <w:szCs w:val="22"/>
              </w:rPr>
              <w:t>Sosnick</w:t>
            </w:r>
            <w:proofErr w:type="spellEnd"/>
            <w:r w:rsidRPr="00261D8E">
              <w:rPr>
                <w:iCs/>
                <w:sz w:val="22"/>
                <w:szCs w:val="22"/>
              </w:rPr>
              <w:t xml:space="preserve"> earned his Bachelors of Science degree in Accounting from the Indiana University of Pennsylvania in 2003 and then worked at FERC for 10 years, first as an auditor and then as an Energy Industry Analyst-Expert Witness. At FERC, he concentrated on cost of service, cost allocation, and rate design issues, primarily for pipelines, and he constructed cost of service models for natural gas pipeline companies in more than a dozen proceedings. </w:t>
            </w:r>
            <w:r w:rsidR="006B6AD9">
              <w:rPr>
                <w:iCs/>
                <w:sz w:val="22"/>
                <w:szCs w:val="22"/>
              </w:rPr>
              <w:t xml:space="preserve"> </w:t>
            </w:r>
            <w:r w:rsidRPr="00261D8E">
              <w:rPr>
                <w:iCs/>
                <w:sz w:val="22"/>
                <w:szCs w:val="22"/>
              </w:rPr>
              <w:t xml:space="preserve">In 2013, Mr. </w:t>
            </w:r>
            <w:proofErr w:type="spellStart"/>
            <w:r w:rsidRPr="00261D8E">
              <w:rPr>
                <w:iCs/>
                <w:sz w:val="22"/>
                <w:szCs w:val="22"/>
              </w:rPr>
              <w:t>Sosnick</w:t>
            </w:r>
            <w:proofErr w:type="spellEnd"/>
            <w:r w:rsidRPr="00261D8E">
              <w:rPr>
                <w:iCs/>
                <w:sz w:val="22"/>
                <w:szCs w:val="22"/>
              </w:rPr>
              <w:t xml:space="preserve"> joined MRW &amp; Associates as a Senior Project Manager, where he </w:t>
            </w:r>
            <w:r w:rsidRPr="00261D8E">
              <w:rPr>
                <w:iCs/>
                <w:sz w:val="22"/>
                <w:szCs w:val="22"/>
              </w:rPr>
              <w:lastRenderedPageBreak/>
              <w:t xml:space="preserve">continued to be active in FERC ratemaking proceedings while also assisting clients in regulatory proceedings at the Commission, primarily pertaining to electric and natural gas cost of service and revenue allocation issues. Since November 2015 he has served as a Senior Project Manager for Concentric Energy Advisors. </w:t>
            </w:r>
            <w:r w:rsidR="00E501D7">
              <w:rPr>
                <w:iCs/>
                <w:sz w:val="22"/>
                <w:szCs w:val="22"/>
              </w:rPr>
              <w:br/>
            </w:r>
            <w:r w:rsidRPr="00261D8E">
              <w:rPr>
                <w:iCs/>
                <w:sz w:val="22"/>
                <w:szCs w:val="22"/>
              </w:rPr>
              <w:t xml:space="preserve">In this proceeding, Mr. </w:t>
            </w:r>
            <w:proofErr w:type="spellStart"/>
            <w:r w:rsidRPr="00261D8E">
              <w:rPr>
                <w:iCs/>
                <w:sz w:val="22"/>
                <w:szCs w:val="22"/>
              </w:rPr>
              <w:t>Sosnick</w:t>
            </w:r>
            <w:proofErr w:type="spellEnd"/>
            <w:r w:rsidRPr="00261D8E">
              <w:rPr>
                <w:iCs/>
                <w:sz w:val="22"/>
                <w:szCs w:val="22"/>
              </w:rPr>
              <w:t xml:space="preserve"> contributed his expertise in utility accounting and utility cost of service and his extensive experience in utility rate case proceedings to assist in the evaluation of potential issues for UCAN to pursue in this proceeding and in the development of UCAN’s case strategy. </w:t>
            </w:r>
          </w:p>
          <w:p w:rsidR="009B3B16" w:rsidRPr="00261D8E" w:rsidRDefault="009B3B16" w:rsidP="009B3B16">
            <w:pPr>
              <w:rPr>
                <w:iCs/>
                <w:sz w:val="22"/>
                <w:szCs w:val="22"/>
              </w:rPr>
            </w:pPr>
          </w:p>
          <w:p w:rsidR="00376B47" w:rsidRPr="00261D8E" w:rsidRDefault="009B3B16" w:rsidP="00DC0504">
            <w:pPr>
              <w:spacing w:after="60"/>
              <w:rPr>
                <w:sz w:val="22"/>
                <w:szCs w:val="22"/>
              </w:rPr>
            </w:pPr>
            <w:r w:rsidRPr="00261D8E">
              <w:rPr>
                <w:iCs/>
                <w:sz w:val="22"/>
                <w:szCs w:val="22"/>
              </w:rPr>
              <w:t xml:space="preserve">The proposed hourly compensation rate of $205 is the rate that UCAN was charged for </w:t>
            </w:r>
            <w:r w:rsidR="00E501D7">
              <w:rPr>
                <w:iCs/>
                <w:sz w:val="22"/>
                <w:szCs w:val="22"/>
              </w:rPr>
              <w:br/>
            </w:r>
            <w:r w:rsidRPr="00261D8E">
              <w:rPr>
                <w:iCs/>
                <w:sz w:val="22"/>
                <w:szCs w:val="22"/>
              </w:rPr>
              <w:t xml:space="preserve">Mr. </w:t>
            </w:r>
            <w:proofErr w:type="spellStart"/>
            <w:r w:rsidRPr="00261D8E">
              <w:rPr>
                <w:iCs/>
                <w:sz w:val="22"/>
                <w:szCs w:val="22"/>
              </w:rPr>
              <w:t>Sosnick’s</w:t>
            </w:r>
            <w:proofErr w:type="spellEnd"/>
            <w:r w:rsidRPr="00261D8E">
              <w:rPr>
                <w:iCs/>
                <w:sz w:val="22"/>
                <w:szCs w:val="22"/>
              </w:rPr>
              <w:t xml:space="preserve"> work in this proceeding.  Mr. </w:t>
            </w:r>
            <w:proofErr w:type="spellStart"/>
            <w:r w:rsidRPr="00261D8E">
              <w:rPr>
                <w:iCs/>
                <w:sz w:val="22"/>
                <w:szCs w:val="22"/>
              </w:rPr>
              <w:t>Sosnick’s</w:t>
            </w:r>
            <w:proofErr w:type="spellEnd"/>
            <w:r w:rsidRPr="00261D8E">
              <w:rPr>
                <w:iCs/>
                <w:sz w:val="22"/>
                <w:szCs w:val="22"/>
              </w:rPr>
              <w:t xml:space="preserve"> resume has been filed with this compensation request as attachment 2</w:t>
            </w:r>
          </w:p>
        </w:tc>
      </w:tr>
      <w:tr w:rsidR="00376B47" w:rsidRPr="00261D8E" w:rsidTr="006B6AD9">
        <w:tc>
          <w:tcPr>
            <w:tcW w:w="1548" w:type="dxa"/>
            <w:shd w:val="clear" w:color="auto" w:fill="FFFFFF"/>
          </w:tcPr>
          <w:p w:rsidR="00376B47" w:rsidRPr="00261D8E" w:rsidRDefault="00376B47" w:rsidP="00AB4AF1">
            <w:pPr>
              <w:tabs>
                <w:tab w:val="left" w:pos="1260"/>
              </w:tabs>
              <w:spacing w:before="120"/>
              <w:jc w:val="center"/>
              <w:rPr>
                <w:color w:val="000000"/>
                <w:sz w:val="22"/>
                <w:szCs w:val="22"/>
              </w:rPr>
            </w:pPr>
            <w:r w:rsidRPr="00261D8E">
              <w:rPr>
                <w:color w:val="000000"/>
                <w:sz w:val="22"/>
                <w:szCs w:val="22"/>
              </w:rPr>
              <w:lastRenderedPageBreak/>
              <w:t>4</w:t>
            </w:r>
          </w:p>
        </w:tc>
        <w:tc>
          <w:tcPr>
            <w:tcW w:w="8550" w:type="dxa"/>
            <w:shd w:val="clear" w:color="auto" w:fill="FFFFFF"/>
          </w:tcPr>
          <w:p w:rsidR="009B3B16" w:rsidRPr="00261D8E" w:rsidRDefault="009B3B16" w:rsidP="009B3B16">
            <w:pPr>
              <w:rPr>
                <w:bCs/>
                <w:iCs/>
                <w:sz w:val="22"/>
                <w:szCs w:val="22"/>
              </w:rPr>
            </w:pPr>
            <w:r w:rsidRPr="00261D8E">
              <w:rPr>
                <w:bCs/>
                <w:iCs/>
                <w:sz w:val="22"/>
                <w:szCs w:val="22"/>
              </w:rPr>
              <w:t xml:space="preserve">UCAN is asking that Laura </w:t>
            </w:r>
            <w:proofErr w:type="spellStart"/>
            <w:r w:rsidRPr="00261D8E">
              <w:rPr>
                <w:bCs/>
                <w:iCs/>
                <w:sz w:val="22"/>
                <w:szCs w:val="22"/>
              </w:rPr>
              <w:t>Norin's</w:t>
            </w:r>
            <w:proofErr w:type="spellEnd"/>
            <w:r w:rsidRPr="00261D8E">
              <w:rPr>
                <w:bCs/>
                <w:iCs/>
                <w:sz w:val="22"/>
                <w:szCs w:val="22"/>
              </w:rPr>
              <w:t xml:space="preserve"> rate be increased from the rate of $245 an hour that was given in D.14-08-025 for work in 2015 to $274 an hour starting in 2016. It has been over </w:t>
            </w:r>
            <w:r w:rsidR="00E501D7">
              <w:rPr>
                <w:bCs/>
                <w:iCs/>
                <w:sz w:val="22"/>
                <w:szCs w:val="22"/>
              </w:rPr>
              <w:br/>
            </w:r>
            <w:r w:rsidRPr="00261D8E">
              <w:rPr>
                <w:bCs/>
                <w:iCs/>
                <w:sz w:val="22"/>
                <w:szCs w:val="22"/>
              </w:rPr>
              <w:t xml:space="preserve">3 years since her last rate assessment.  </w:t>
            </w:r>
          </w:p>
          <w:p w:rsidR="009B3B16" w:rsidRPr="00261D8E" w:rsidRDefault="009B3B16" w:rsidP="009B3B16">
            <w:pPr>
              <w:rPr>
                <w:bCs/>
                <w:iCs/>
                <w:sz w:val="22"/>
                <w:szCs w:val="22"/>
              </w:rPr>
            </w:pPr>
          </w:p>
          <w:p w:rsidR="009B3B16" w:rsidRPr="00261D8E" w:rsidRDefault="009B3B16" w:rsidP="00DC0504">
            <w:pPr>
              <w:spacing w:after="60"/>
              <w:rPr>
                <w:sz w:val="22"/>
                <w:szCs w:val="22"/>
              </w:rPr>
            </w:pPr>
            <w:r w:rsidRPr="00261D8E">
              <w:rPr>
                <w:bCs/>
                <w:iCs/>
                <w:sz w:val="22"/>
                <w:szCs w:val="22"/>
              </w:rPr>
              <w:t xml:space="preserve">Ms. </w:t>
            </w:r>
            <w:proofErr w:type="spellStart"/>
            <w:r w:rsidRPr="00261D8E">
              <w:rPr>
                <w:bCs/>
                <w:iCs/>
                <w:sz w:val="22"/>
                <w:szCs w:val="22"/>
              </w:rPr>
              <w:t>Norin</w:t>
            </w:r>
            <w:proofErr w:type="spellEnd"/>
            <w:r w:rsidRPr="00261D8E">
              <w:rPr>
                <w:bCs/>
                <w:iCs/>
                <w:sz w:val="22"/>
                <w:szCs w:val="22"/>
              </w:rPr>
              <w:t xml:space="preserve"> is an energy consultant and a rate expert with a graduate degree in Applied Physics and 13 years of experience, including close to 12 years of experience at MRW &amp; Associates, LLC, and prior experience as a research associate at Lawrence Berkeley National Laboratory. </w:t>
            </w:r>
          </w:p>
          <w:p w:rsidR="009B3B16" w:rsidRPr="00261D8E" w:rsidRDefault="009B3B16" w:rsidP="009B3B16">
            <w:pPr>
              <w:rPr>
                <w:sz w:val="22"/>
                <w:szCs w:val="22"/>
              </w:rPr>
            </w:pPr>
            <w:r w:rsidRPr="00261D8E">
              <w:rPr>
                <w:bCs/>
                <w:iCs/>
                <w:sz w:val="22"/>
                <w:szCs w:val="22"/>
              </w:rPr>
              <w:t> </w:t>
            </w:r>
          </w:p>
          <w:p w:rsidR="009B3B16" w:rsidRPr="00261D8E" w:rsidRDefault="009B3B16" w:rsidP="009B3B16">
            <w:pPr>
              <w:rPr>
                <w:sz w:val="22"/>
                <w:szCs w:val="22"/>
              </w:rPr>
            </w:pPr>
            <w:r w:rsidRPr="00261D8E">
              <w:rPr>
                <w:bCs/>
                <w:iCs/>
                <w:sz w:val="22"/>
                <w:szCs w:val="22"/>
              </w:rPr>
              <w:t xml:space="preserve">Ms. </w:t>
            </w:r>
            <w:proofErr w:type="spellStart"/>
            <w:r w:rsidRPr="00261D8E">
              <w:rPr>
                <w:bCs/>
                <w:iCs/>
                <w:sz w:val="22"/>
                <w:szCs w:val="22"/>
              </w:rPr>
              <w:t>Norin</w:t>
            </w:r>
            <w:proofErr w:type="spellEnd"/>
            <w:r w:rsidRPr="00261D8E">
              <w:rPr>
                <w:bCs/>
                <w:iCs/>
                <w:sz w:val="22"/>
                <w:szCs w:val="22"/>
              </w:rPr>
              <w:t xml:space="preserve"> regularly serves as an expert before the Commission.  Ms. </w:t>
            </w:r>
            <w:proofErr w:type="spellStart"/>
            <w:r w:rsidRPr="00261D8E">
              <w:rPr>
                <w:bCs/>
                <w:iCs/>
                <w:sz w:val="22"/>
                <w:szCs w:val="22"/>
              </w:rPr>
              <w:t>Norin</w:t>
            </w:r>
            <w:proofErr w:type="spellEnd"/>
            <w:r w:rsidRPr="00261D8E">
              <w:rPr>
                <w:bCs/>
                <w:iCs/>
                <w:sz w:val="22"/>
                <w:szCs w:val="22"/>
              </w:rPr>
              <w:t xml:space="preserve"> has served as an expert in the SONGS DCE proceeding on behalf of UCAN, SCE’s General Rate Case Phase 1 on behalf of the Coalition for Affordable Street Lights, in SCE’s General Rate Case Phase 2 on behalf of the California Farm Bureau Federation, in SDG&amp;E’s Rate Design Window on behalf of the California Farm Bureau Federation, in Pacific Gas and Electric (PG&amp;E)’s General Rate Case Phase 1 on behalf of the South San Joaquin Irrigation District, in a PG&amp;E ERRA proceeding on behalf of the California Farm Bureau Federation, and in this current proceeding on behalf of UCAN.</w:t>
            </w:r>
            <w:r w:rsidR="00E501D7">
              <w:rPr>
                <w:bCs/>
                <w:iCs/>
                <w:sz w:val="22"/>
                <w:szCs w:val="22"/>
              </w:rPr>
              <w:t xml:space="preserve"> </w:t>
            </w:r>
            <w:r w:rsidRPr="00261D8E">
              <w:rPr>
                <w:bCs/>
                <w:iCs/>
                <w:sz w:val="22"/>
                <w:szCs w:val="22"/>
              </w:rPr>
              <w:t xml:space="preserve"> Ms. </w:t>
            </w:r>
            <w:proofErr w:type="spellStart"/>
            <w:r w:rsidRPr="00261D8E">
              <w:rPr>
                <w:bCs/>
                <w:iCs/>
                <w:sz w:val="22"/>
                <w:szCs w:val="22"/>
              </w:rPr>
              <w:t>Norin</w:t>
            </w:r>
            <w:proofErr w:type="spellEnd"/>
            <w:r w:rsidRPr="00261D8E">
              <w:rPr>
                <w:bCs/>
                <w:iCs/>
                <w:sz w:val="22"/>
                <w:szCs w:val="22"/>
              </w:rPr>
              <w:t xml:space="preserve"> was previously a key author of several reports to the California Energy Commission on issues concerning nuclear power in California, and she has additionally authored more than a dozen articles in industry publications regarding California energy regulatory issues and developments. </w:t>
            </w:r>
          </w:p>
          <w:p w:rsidR="009B3B16" w:rsidRPr="00261D8E" w:rsidRDefault="009B3B16" w:rsidP="009B3B16">
            <w:pPr>
              <w:rPr>
                <w:sz w:val="22"/>
                <w:szCs w:val="22"/>
              </w:rPr>
            </w:pPr>
            <w:r w:rsidRPr="00261D8E">
              <w:rPr>
                <w:bCs/>
                <w:iCs/>
                <w:sz w:val="22"/>
                <w:szCs w:val="22"/>
              </w:rPr>
              <w:t> </w:t>
            </w:r>
          </w:p>
          <w:p w:rsidR="009B3B16" w:rsidRPr="00261D8E" w:rsidRDefault="009B3B16" w:rsidP="009B3B16">
            <w:pPr>
              <w:rPr>
                <w:bCs/>
                <w:iCs/>
                <w:sz w:val="22"/>
                <w:szCs w:val="22"/>
              </w:rPr>
            </w:pPr>
            <w:r w:rsidRPr="00261D8E">
              <w:rPr>
                <w:bCs/>
                <w:iCs/>
                <w:sz w:val="22"/>
                <w:szCs w:val="22"/>
              </w:rPr>
              <w:t xml:space="preserve">Ms. </w:t>
            </w:r>
            <w:proofErr w:type="spellStart"/>
            <w:r w:rsidRPr="00261D8E">
              <w:rPr>
                <w:bCs/>
                <w:iCs/>
                <w:sz w:val="22"/>
                <w:szCs w:val="22"/>
              </w:rPr>
              <w:t>Norin</w:t>
            </w:r>
            <w:proofErr w:type="spellEnd"/>
            <w:r w:rsidRPr="00261D8E">
              <w:rPr>
                <w:bCs/>
                <w:iCs/>
                <w:sz w:val="22"/>
                <w:szCs w:val="22"/>
              </w:rPr>
              <w:t xml:space="preserve"> has not had a rate, step or COLA increase for her work since 2013. UCAN believes a rate increase from $245 an hour to $274 an hour is appropriate given the quality of Ms. </w:t>
            </w:r>
            <w:proofErr w:type="spellStart"/>
            <w:r w:rsidRPr="00261D8E">
              <w:rPr>
                <w:bCs/>
                <w:iCs/>
                <w:sz w:val="22"/>
                <w:szCs w:val="22"/>
              </w:rPr>
              <w:t>Norin's</w:t>
            </w:r>
            <w:proofErr w:type="spellEnd"/>
            <w:r w:rsidRPr="00261D8E">
              <w:rPr>
                <w:bCs/>
                <w:iCs/>
                <w:sz w:val="22"/>
                <w:szCs w:val="22"/>
              </w:rPr>
              <w:t xml:space="preserve"> work; her familiarity with utility revenue requirement, cost responsibility, rate issues examined in this proceeding, and the depth of her experience at the Commission. </w:t>
            </w:r>
            <w:r w:rsidR="00E501D7">
              <w:rPr>
                <w:bCs/>
                <w:iCs/>
                <w:sz w:val="22"/>
                <w:szCs w:val="22"/>
              </w:rPr>
              <w:t xml:space="preserve"> </w:t>
            </w:r>
            <w:r w:rsidRPr="00261D8E">
              <w:rPr>
                <w:bCs/>
                <w:iCs/>
                <w:sz w:val="22"/>
                <w:szCs w:val="22"/>
              </w:rPr>
              <w:t xml:space="preserve">UCAN’s requested billing rate for Ms. </w:t>
            </w:r>
            <w:proofErr w:type="spellStart"/>
            <w:r w:rsidRPr="00261D8E">
              <w:rPr>
                <w:bCs/>
                <w:iCs/>
                <w:sz w:val="22"/>
                <w:szCs w:val="22"/>
              </w:rPr>
              <w:t>Norin</w:t>
            </w:r>
            <w:proofErr w:type="spellEnd"/>
            <w:r w:rsidRPr="00261D8E">
              <w:rPr>
                <w:bCs/>
                <w:iCs/>
                <w:sz w:val="22"/>
                <w:szCs w:val="22"/>
              </w:rPr>
              <w:t xml:space="preserve"> is on the lower end of the compensation range for experts with 13+ years of experience </w:t>
            </w:r>
            <w:proofErr w:type="gramStart"/>
            <w:r w:rsidRPr="00261D8E">
              <w:rPr>
                <w:bCs/>
                <w:iCs/>
                <w:sz w:val="22"/>
                <w:szCs w:val="22"/>
              </w:rPr>
              <w:t>(between $170 to $420</w:t>
            </w:r>
            <w:r w:rsidR="00E501D7">
              <w:rPr>
                <w:bCs/>
                <w:iCs/>
                <w:sz w:val="22"/>
                <w:szCs w:val="22"/>
              </w:rPr>
              <w:t>.)</w:t>
            </w:r>
            <w:proofErr w:type="gramEnd"/>
          </w:p>
          <w:p w:rsidR="009B3B16" w:rsidRPr="00261D8E" w:rsidRDefault="009B3B16" w:rsidP="009B3B16">
            <w:pPr>
              <w:rPr>
                <w:bCs/>
                <w:iCs/>
                <w:sz w:val="22"/>
                <w:szCs w:val="22"/>
              </w:rPr>
            </w:pPr>
          </w:p>
          <w:p w:rsidR="00061D24" w:rsidRPr="00261D8E" w:rsidRDefault="009B3B16" w:rsidP="00AB4AF1">
            <w:pPr>
              <w:spacing w:after="60"/>
              <w:rPr>
                <w:sz w:val="22"/>
                <w:szCs w:val="22"/>
              </w:rPr>
            </w:pPr>
            <w:r w:rsidRPr="00261D8E">
              <w:rPr>
                <w:iCs/>
                <w:sz w:val="22"/>
                <w:szCs w:val="22"/>
              </w:rPr>
              <w:t>The proposed hourly compensation rate of $274 an hour in 2016 is the rate that UCAN was charged for her work in this proceeding.</w:t>
            </w:r>
          </w:p>
        </w:tc>
      </w:tr>
      <w:tr w:rsidR="00473308" w:rsidRPr="00261D8E" w:rsidTr="006B6AD9">
        <w:tc>
          <w:tcPr>
            <w:tcW w:w="1548" w:type="dxa"/>
            <w:shd w:val="clear" w:color="auto" w:fill="FFFFFF"/>
          </w:tcPr>
          <w:p w:rsidR="00473308" w:rsidRPr="00261D8E" w:rsidRDefault="00473308" w:rsidP="00AB4AF1">
            <w:pPr>
              <w:tabs>
                <w:tab w:val="left" w:pos="1260"/>
              </w:tabs>
              <w:spacing w:before="120"/>
              <w:jc w:val="center"/>
              <w:rPr>
                <w:color w:val="000000"/>
                <w:sz w:val="22"/>
                <w:szCs w:val="22"/>
              </w:rPr>
            </w:pPr>
            <w:r w:rsidRPr="00261D8E">
              <w:rPr>
                <w:color w:val="000000"/>
                <w:sz w:val="22"/>
                <w:szCs w:val="22"/>
              </w:rPr>
              <w:t>5</w:t>
            </w:r>
          </w:p>
        </w:tc>
        <w:tc>
          <w:tcPr>
            <w:tcW w:w="8550" w:type="dxa"/>
            <w:shd w:val="clear" w:color="auto" w:fill="FFFFFF"/>
          </w:tcPr>
          <w:p w:rsidR="009B3B16" w:rsidRPr="00261D8E" w:rsidRDefault="009B3B16" w:rsidP="00AB4AF1">
            <w:pPr>
              <w:spacing w:before="60"/>
              <w:rPr>
                <w:sz w:val="22"/>
                <w:szCs w:val="22"/>
              </w:rPr>
            </w:pPr>
            <w:r w:rsidRPr="00261D8E">
              <w:rPr>
                <w:sz w:val="22"/>
                <w:szCs w:val="22"/>
              </w:rPr>
              <w:t xml:space="preserve">Pursuant to Resolution ALJ-308, experts with 0-6 years of experience qualify for an intervenor compensation rate range of $140-$200 per hour. UCAN requests that the Commission approve a rate of $126 an hour for </w:t>
            </w:r>
            <w:proofErr w:type="spellStart"/>
            <w:r w:rsidRPr="00261D8E">
              <w:rPr>
                <w:sz w:val="22"/>
                <w:szCs w:val="22"/>
              </w:rPr>
              <w:t>Naina</w:t>
            </w:r>
            <w:proofErr w:type="spellEnd"/>
            <w:r w:rsidRPr="00261D8E">
              <w:rPr>
                <w:sz w:val="22"/>
                <w:szCs w:val="22"/>
              </w:rPr>
              <w:t xml:space="preserve"> Gupta. </w:t>
            </w:r>
          </w:p>
          <w:p w:rsidR="009B3B16" w:rsidRPr="00261D8E" w:rsidRDefault="009B3B16" w:rsidP="00AB4AF1">
            <w:pPr>
              <w:spacing w:before="60"/>
              <w:rPr>
                <w:sz w:val="22"/>
                <w:szCs w:val="22"/>
              </w:rPr>
            </w:pPr>
          </w:p>
          <w:p w:rsidR="009B3B16" w:rsidRPr="00261D8E" w:rsidRDefault="009B3B16" w:rsidP="009B3B16">
            <w:pPr>
              <w:rPr>
                <w:sz w:val="22"/>
                <w:szCs w:val="22"/>
              </w:rPr>
            </w:pPr>
            <w:r w:rsidRPr="00261D8E">
              <w:rPr>
                <w:sz w:val="22"/>
                <w:szCs w:val="22"/>
              </w:rPr>
              <w:t xml:space="preserve">UCAN believes that this rate is justified given Ms. Gupta’s experience. In 2014, Ms. Gupta joined MRW &amp; Associates, LLC, as an Associate, where she conducts research and analyses related to California energy markets, electricity and natural gas rates, and other energy regulatory and policy issues and monitors California energy regulatory developments. </w:t>
            </w:r>
            <w:r w:rsidR="00E501D7">
              <w:rPr>
                <w:sz w:val="22"/>
                <w:szCs w:val="22"/>
              </w:rPr>
              <w:br/>
            </w:r>
            <w:r w:rsidRPr="00261D8E">
              <w:rPr>
                <w:sz w:val="22"/>
                <w:szCs w:val="22"/>
              </w:rPr>
              <w:lastRenderedPageBreak/>
              <w:t>Ms. Gupta previously conducted research for a number of renewable energy and energy efficiency projects for the Environmental Defense Fund and for Lawrence Berkeley National Laboratory. Ms. Gupta holds an M.S. degree in Energy and Resources from the University of California, Berkeley.</w:t>
            </w:r>
          </w:p>
          <w:p w:rsidR="009B3B16" w:rsidRPr="00261D8E" w:rsidRDefault="009B3B16" w:rsidP="009B3B16">
            <w:pPr>
              <w:rPr>
                <w:sz w:val="22"/>
                <w:szCs w:val="22"/>
              </w:rPr>
            </w:pPr>
          </w:p>
          <w:p w:rsidR="009B3B16" w:rsidRDefault="009B3B16" w:rsidP="009B3B16">
            <w:pPr>
              <w:rPr>
                <w:sz w:val="22"/>
                <w:szCs w:val="22"/>
              </w:rPr>
            </w:pPr>
            <w:r w:rsidRPr="00261D8E">
              <w:rPr>
                <w:sz w:val="22"/>
                <w:szCs w:val="22"/>
              </w:rPr>
              <w:t xml:space="preserve">UCAN is aware of 2 pending intervenor compensation claims requesting a rate be established for Ms. Gupta.  In a compensation request filed on June 27, 2016 in A.14-12-007, UCAN requested a rate of $126 an hour for Ms. Gupta’s work.  In a compensation request by the Interstate Renewable Energy Council (IREC) filed on June 29, 2016 in R.12-06-013, they requested a rate of $135 an hour, noting Ms. Gupta’s education and experience and that the requested rate is below the minimum range for experts with 0-6 years of experience.  Both requested rates are below the minimum compensation level of $140 an hour for experts with </w:t>
            </w:r>
            <w:r w:rsidR="00E501D7">
              <w:rPr>
                <w:sz w:val="22"/>
                <w:szCs w:val="22"/>
              </w:rPr>
              <w:br/>
            </w:r>
            <w:r w:rsidRPr="00261D8E">
              <w:rPr>
                <w:sz w:val="22"/>
                <w:szCs w:val="22"/>
              </w:rPr>
              <w:t xml:space="preserve">0-6 </w:t>
            </w:r>
            <w:r w:rsidR="00E430A3" w:rsidRPr="00261D8E">
              <w:rPr>
                <w:sz w:val="22"/>
                <w:szCs w:val="22"/>
              </w:rPr>
              <w:t>years’ experience</w:t>
            </w:r>
            <w:r w:rsidRPr="00261D8E">
              <w:rPr>
                <w:sz w:val="22"/>
                <w:szCs w:val="22"/>
              </w:rPr>
              <w:t xml:space="preserve">.  </w:t>
            </w:r>
          </w:p>
          <w:p w:rsidR="00E501D7" w:rsidRPr="00261D8E" w:rsidRDefault="00E501D7" w:rsidP="009B3B16">
            <w:pPr>
              <w:rPr>
                <w:sz w:val="22"/>
                <w:szCs w:val="22"/>
              </w:rPr>
            </w:pPr>
          </w:p>
          <w:p w:rsidR="00473308" w:rsidRPr="00261D8E" w:rsidRDefault="009B3B16" w:rsidP="00DC0504">
            <w:pPr>
              <w:spacing w:after="60"/>
              <w:rPr>
                <w:bCs/>
                <w:iCs/>
                <w:sz w:val="22"/>
                <w:szCs w:val="22"/>
              </w:rPr>
            </w:pPr>
            <w:r w:rsidRPr="00261D8E">
              <w:rPr>
                <w:sz w:val="22"/>
                <w:szCs w:val="22"/>
              </w:rPr>
              <w:t>UCAN was charged $126 an hour for Ms. Gupta’s work in this proceeding.</w:t>
            </w:r>
            <w:r w:rsidRPr="00261D8E">
              <w:rPr>
                <w:iCs/>
                <w:sz w:val="22"/>
                <w:szCs w:val="22"/>
              </w:rPr>
              <w:t xml:space="preserve"> Ms. Gupta’s resume has been filed with this compensation request as attachment 2.</w:t>
            </w:r>
          </w:p>
        </w:tc>
      </w:tr>
    </w:tbl>
    <w:p w:rsidR="00A92D0B" w:rsidRPr="00261D8E" w:rsidRDefault="00F81778" w:rsidP="00DC0504">
      <w:pPr>
        <w:keepNext/>
        <w:keepLines/>
        <w:spacing w:before="240" w:after="240"/>
        <w:ind w:left="540" w:hanging="540"/>
        <w:rPr>
          <w:b/>
          <w:color w:val="000000"/>
          <w:sz w:val="22"/>
          <w:szCs w:val="22"/>
        </w:rPr>
      </w:pPr>
      <w:r w:rsidRPr="00261D8E">
        <w:rPr>
          <w:b/>
          <w:color w:val="000000"/>
          <w:sz w:val="22"/>
          <w:szCs w:val="22"/>
        </w:rPr>
        <w:lastRenderedPageBreak/>
        <w:t xml:space="preserve">D.  </w:t>
      </w:r>
      <w:r w:rsidR="00A92D0B" w:rsidRPr="00261D8E">
        <w:rPr>
          <w:b/>
          <w:color w:val="000000"/>
          <w:sz w:val="22"/>
          <w:szCs w:val="22"/>
        </w:rPr>
        <w:t>CPUC Disallowances</w:t>
      </w:r>
      <w:r w:rsidR="00D075B1" w:rsidRPr="00261D8E">
        <w:rPr>
          <w:b/>
          <w:color w:val="000000"/>
          <w:sz w:val="22"/>
          <w:szCs w:val="22"/>
        </w:rPr>
        <w:t xml:space="preserve"> </w:t>
      </w:r>
      <w:r w:rsidR="00A319DE" w:rsidRPr="00261D8E">
        <w:rPr>
          <w:b/>
          <w:color w:val="000000"/>
          <w:sz w:val="22"/>
          <w:szCs w:val="22"/>
        </w:rPr>
        <w:t>and</w:t>
      </w:r>
      <w:r w:rsidR="00D075B1" w:rsidRPr="00261D8E">
        <w:rPr>
          <w:b/>
          <w:color w:val="000000"/>
          <w:sz w:val="22"/>
          <w:szCs w:val="22"/>
        </w:rPr>
        <w:t xml:space="preserve"> </w:t>
      </w:r>
      <w:r w:rsidR="006D7655" w:rsidRPr="00261D8E">
        <w:rPr>
          <w:b/>
          <w:color w:val="000000"/>
          <w:sz w:val="22"/>
          <w:szCs w:val="22"/>
        </w:rPr>
        <w:t>Adjustments</w:t>
      </w:r>
      <w:r w:rsidR="00A92D0B" w:rsidRPr="00261D8E">
        <w:rPr>
          <w:b/>
          <w:color w:val="000000"/>
          <w:sz w:val="22"/>
          <w:szCs w:val="22"/>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40"/>
      </w:tblGrid>
      <w:tr w:rsidR="00A92D0B" w:rsidRPr="00261D8E" w:rsidTr="00072C81">
        <w:tc>
          <w:tcPr>
            <w:tcW w:w="1548" w:type="dxa"/>
            <w:shd w:val="pct12" w:color="auto" w:fill="auto"/>
          </w:tcPr>
          <w:p w:rsidR="00A92D0B" w:rsidRPr="00261D8E" w:rsidRDefault="00072C81" w:rsidP="00DC0504">
            <w:pPr>
              <w:keepNext/>
              <w:keepLines/>
              <w:tabs>
                <w:tab w:val="left" w:pos="1440"/>
              </w:tabs>
              <w:spacing w:before="120" w:after="120"/>
              <w:jc w:val="center"/>
              <w:rPr>
                <w:b/>
                <w:color w:val="000000"/>
                <w:sz w:val="22"/>
                <w:szCs w:val="22"/>
              </w:rPr>
            </w:pPr>
            <w:r w:rsidRPr="00261D8E">
              <w:rPr>
                <w:b/>
                <w:color w:val="000000"/>
                <w:sz w:val="22"/>
                <w:szCs w:val="22"/>
              </w:rPr>
              <w:t>Item</w:t>
            </w:r>
          </w:p>
        </w:tc>
        <w:tc>
          <w:tcPr>
            <w:tcW w:w="8640" w:type="dxa"/>
            <w:shd w:val="pct12" w:color="auto" w:fill="auto"/>
          </w:tcPr>
          <w:p w:rsidR="00A92D0B" w:rsidRPr="00261D8E" w:rsidRDefault="00A92D0B" w:rsidP="00DC0504">
            <w:pPr>
              <w:keepNext/>
              <w:keepLines/>
              <w:tabs>
                <w:tab w:val="left" w:pos="1440"/>
              </w:tabs>
              <w:spacing w:before="120" w:after="120"/>
              <w:jc w:val="center"/>
              <w:rPr>
                <w:b/>
                <w:color w:val="000000"/>
                <w:sz w:val="22"/>
                <w:szCs w:val="22"/>
              </w:rPr>
            </w:pPr>
            <w:r w:rsidRPr="00261D8E">
              <w:rPr>
                <w:b/>
                <w:color w:val="000000"/>
                <w:sz w:val="22"/>
                <w:szCs w:val="22"/>
              </w:rPr>
              <w:t>Reason</w:t>
            </w:r>
          </w:p>
        </w:tc>
      </w:tr>
      <w:tr w:rsidR="00A92D0B" w:rsidRPr="00261D8E" w:rsidTr="00DC0504">
        <w:tc>
          <w:tcPr>
            <w:tcW w:w="1548" w:type="dxa"/>
            <w:shd w:val="clear" w:color="auto" w:fill="auto"/>
          </w:tcPr>
          <w:p w:rsidR="00A92D0B" w:rsidRPr="00261D8E" w:rsidRDefault="00791A7A" w:rsidP="00DC0504">
            <w:pPr>
              <w:keepNext/>
              <w:keepLines/>
              <w:tabs>
                <w:tab w:val="left" w:pos="1440"/>
              </w:tabs>
              <w:spacing w:before="120"/>
              <w:jc w:val="center"/>
              <w:rPr>
                <w:color w:val="000000"/>
                <w:sz w:val="22"/>
                <w:szCs w:val="22"/>
              </w:rPr>
            </w:pPr>
            <w:r>
              <w:rPr>
                <w:color w:val="000000"/>
                <w:sz w:val="22"/>
                <w:szCs w:val="22"/>
              </w:rPr>
              <w:t>[1]</w:t>
            </w:r>
          </w:p>
        </w:tc>
        <w:tc>
          <w:tcPr>
            <w:tcW w:w="8640" w:type="dxa"/>
            <w:shd w:val="clear" w:color="auto" w:fill="auto"/>
          </w:tcPr>
          <w:p w:rsidR="00A92D0B" w:rsidRPr="00261D8E" w:rsidRDefault="00791A7A" w:rsidP="00DC0504">
            <w:pPr>
              <w:keepNext/>
              <w:keepLines/>
              <w:tabs>
                <w:tab w:val="left" w:pos="1440"/>
              </w:tabs>
              <w:spacing w:before="60" w:after="60"/>
              <w:rPr>
                <w:color w:val="000000"/>
                <w:sz w:val="22"/>
                <w:szCs w:val="22"/>
              </w:rPr>
            </w:pPr>
            <w:r>
              <w:rPr>
                <w:color w:val="000000"/>
                <w:sz w:val="22"/>
                <w:szCs w:val="22"/>
              </w:rPr>
              <w:t xml:space="preserve">The Commission approves a rate of $170 for </w:t>
            </w:r>
            <w:proofErr w:type="spellStart"/>
            <w:r>
              <w:rPr>
                <w:color w:val="000000"/>
                <w:sz w:val="22"/>
                <w:szCs w:val="22"/>
              </w:rPr>
              <w:t>Kobor</w:t>
            </w:r>
            <w:proofErr w:type="spellEnd"/>
            <w:r>
              <w:rPr>
                <w:color w:val="000000"/>
                <w:sz w:val="22"/>
                <w:szCs w:val="22"/>
              </w:rPr>
              <w:t xml:space="preserve">, as she has transitioned into higher range of experience.  A rate of $170 is appropriate for an expert with 7-12 years of experience practicing before the Commission. </w:t>
            </w:r>
          </w:p>
        </w:tc>
      </w:tr>
      <w:tr w:rsidR="00A92D0B" w:rsidRPr="00261D8E" w:rsidTr="00DC0504">
        <w:tc>
          <w:tcPr>
            <w:tcW w:w="1548" w:type="dxa"/>
            <w:shd w:val="clear" w:color="auto" w:fill="auto"/>
          </w:tcPr>
          <w:p w:rsidR="00A92D0B" w:rsidRPr="00261D8E" w:rsidRDefault="00F76CD2" w:rsidP="00DC0504">
            <w:pPr>
              <w:keepNext/>
              <w:keepLines/>
              <w:tabs>
                <w:tab w:val="left" w:pos="1440"/>
              </w:tabs>
              <w:spacing w:before="120"/>
              <w:jc w:val="center"/>
              <w:rPr>
                <w:color w:val="000000"/>
                <w:sz w:val="22"/>
                <w:szCs w:val="22"/>
              </w:rPr>
            </w:pPr>
            <w:r>
              <w:rPr>
                <w:color w:val="000000"/>
                <w:sz w:val="22"/>
                <w:szCs w:val="22"/>
              </w:rPr>
              <w:t>[2]</w:t>
            </w:r>
          </w:p>
        </w:tc>
        <w:tc>
          <w:tcPr>
            <w:tcW w:w="8640" w:type="dxa"/>
            <w:shd w:val="clear" w:color="auto" w:fill="auto"/>
          </w:tcPr>
          <w:p w:rsidR="00A92D0B" w:rsidRPr="00261D8E" w:rsidRDefault="00F76CD2" w:rsidP="00E501D7">
            <w:pPr>
              <w:keepNext/>
              <w:keepLines/>
              <w:tabs>
                <w:tab w:val="left" w:pos="1440"/>
              </w:tabs>
              <w:spacing w:before="60" w:after="60"/>
              <w:rPr>
                <w:color w:val="000000"/>
                <w:sz w:val="22"/>
                <w:szCs w:val="22"/>
              </w:rPr>
            </w:pPr>
            <w:r>
              <w:rPr>
                <w:color w:val="000000"/>
                <w:sz w:val="22"/>
                <w:szCs w:val="22"/>
              </w:rPr>
              <w:t xml:space="preserve">Based on the level of experience presented by UCAN, the Commission approves a rate of $270 for </w:t>
            </w:r>
            <w:proofErr w:type="spellStart"/>
            <w:r>
              <w:rPr>
                <w:color w:val="000000"/>
                <w:sz w:val="22"/>
                <w:szCs w:val="22"/>
              </w:rPr>
              <w:t>Norin</w:t>
            </w:r>
            <w:proofErr w:type="spellEnd"/>
            <w:r>
              <w:rPr>
                <w:color w:val="000000"/>
                <w:sz w:val="22"/>
                <w:szCs w:val="22"/>
              </w:rPr>
              <w:t>.  This rate is appropriate for an expert with 12+ years of experience.</w:t>
            </w:r>
          </w:p>
        </w:tc>
      </w:tr>
      <w:tr w:rsidR="00D866F3" w:rsidRPr="00261D8E" w:rsidTr="00DC0504">
        <w:tc>
          <w:tcPr>
            <w:tcW w:w="1548" w:type="dxa"/>
            <w:shd w:val="clear" w:color="auto" w:fill="auto"/>
          </w:tcPr>
          <w:p w:rsidR="00D866F3" w:rsidRDefault="00D866F3" w:rsidP="00DC0504">
            <w:pPr>
              <w:tabs>
                <w:tab w:val="left" w:pos="1440"/>
              </w:tabs>
              <w:spacing w:before="120"/>
              <w:jc w:val="center"/>
              <w:rPr>
                <w:color w:val="000000"/>
                <w:sz w:val="22"/>
                <w:szCs w:val="22"/>
              </w:rPr>
            </w:pPr>
            <w:r>
              <w:rPr>
                <w:color w:val="000000"/>
                <w:sz w:val="22"/>
                <w:szCs w:val="22"/>
              </w:rPr>
              <w:t>[3]</w:t>
            </w:r>
          </w:p>
        </w:tc>
        <w:tc>
          <w:tcPr>
            <w:tcW w:w="8640" w:type="dxa"/>
            <w:shd w:val="clear" w:color="auto" w:fill="auto"/>
          </w:tcPr>
          <w:p w:rsidR="00D866F3" w:rsidRDefault="00D866F3" w:rsidP="00E501D7">
            <w:pPr>
              <w:tabs>
                <w:tab w:val="left" w:pos="1440"/>
              </w:tabs>
              <w:spacing w:before="60" w:after="60"/>
              <w:rPr>
                <w:color w:val="000000"/>
                <w:sz w:val="22"/>
                <w:szCs w:val="22"/>
              </w:rPr>
            </w:pPr>
            <w:r>
              <w:rPr>
                <w:color w:val="000000"/>
                <w:sz w:val="22"/>
                <w:szCs w:val="22"/>
              </w:rPr>
              <w:t>The Commission sets Gupta’s first time rate at $135 based on the experience presented by UCAN.</w:t>
            </w:r>
          </w:p>
        </w:tc>
      </w:tr>
      <w:tr w:rsidR="005646DA" w:rsidRPr="00261D8E" w:rsidTr="00DC0504">
        <w:tc>
          <w:tcPr>
            <w:tcW w:w="1548" w:type="dxa"/>
            <w:shd w:val="clear" w:color="auto" w:fill="auto"/>
          </w:tcPr>
          <w:p w:rsidR="005646DA" w:rsidRDefault="005646DA" w:rsidP="00E501D7">
            <w:pPr>
              <w:tabs>
                <w:tab w:val="left" w:pos="1440"/>
              </w:tabs>
              <w:spacing w:before="60" w:after="60"/>
              <w:jc w:val="center"/>
              <w:rPr>
                <w:color w:val="000000"/>
                <w:sz w:val="22"/>
                <w:szCs w:val="22"/>
              </w:rPr>
            </w:pPr>
            <w:r>
              <w:rPr>
                <w:color w:val="000000"/>
                <w:sz w:val="22"/>
                <w:szCs w:val="22"/>
              </w:rPr>
              <w:t>[4]</w:t>
            </w:r>
          </w:p>
        </w:tc>
        <w:tc>
          <w:tcPr>
            <w:tcW w:w="8640" w:type="dxa"/>
            <w:shd w:val="clear" w:color="auto" w:fill="auto"/>
          </w:tcPr>
          <w:p w:rsidR="005646DA" w:rsidRDefault="005646DA" w:rsidP="00E501D7">
            <w:pPr>
              <w:tabs>
                <w:tab w:val="left" w:pos="1440"/>
              </w:tabs>
              <w:spacing w:before="60" w:after="60"/>
              <w:rPr>
                <w:color w:val="000000"/>
                <w:sz w:val="22"/>
                <w:szCs w:val="22"/>
              </w:rPr>
            </w:pPr>
            <w:r>
              <w:rPr>
                <w:color w:val="000000"/>
                <w:sz w:val="22"/>
                <w:szCs w:val="22"/>
              </w:rPr>
              <w:t>The Commission will not compensate Kelly for the hours spent booking travel</w:t>
            </w:r>
            <w:r w:rsidR="006051CE">
              <w:rPr>
                <w:color w:val="000000"/>
                <w:sz w:val="22"/>
                <w:szCs w:val="22"/>
              </w:rPr>
              <w:t>.</w:t>
            </w:r>
          </w:p>
        </w:tc>
      </w:tr>
    </w:tbl>
    <w:p w:rsidR="00A92D0B" w:rsidRPr="00261D8E" w:rsidRDefault="00A92D0B">
      <w:pPr>
        <w:tabs>
          <w:tab w:val="left" w:pos="1260"/>
        </w:tabs>
        <w:spacing w:before="240"/>
        <w:jc w:val="center"/>
        <w:rPr>
          <w:b/>
          <w:color w:val="000000"/>
          <w:sz w:val="22"/>
          <w:szCs w:val="22"/>
        </w:rPr>
      </w:pPr>
      <w:r w:rsidRPr="00261D8E">
        <w:rPr>
          <w:b/>
          <w:color w:val="000000"/>
          <w:sz w:val="22"/>
          <w:szCs w:val="22"/>
        </w:rPr>
        <w:t>PART IV:</w:t>
      </w:r>
      <w:r w:rsidRPr="00261D8E">
        <w:rPr>
          <w:b/>
          <w:color w:val="000000"/>
          <w:sz w:val="22"/>
          <w:szCs w:val="22"/>
        </w:rPr>
        <w:tab/>
        <w:t>OPPOSITIONS AND COMMENTS</w:t>
      </w:r>
    </w:p>
    <w:p w:rsidR="00A92D0B" w:rsidRPr="00261D8E" w:rsidRDefault="00A92D0B">
      <w:pPr>
        <w:tabs>
          <w:tab w:val="left" w:pos="1260"/>
        </w:tabs>
        <w:ind w:left="1267" w:hanging="1267"/>
        <w:jc w:val="center"/>
        <w:rPr>
          <w:b/>
          <w:color w:val="000000"/>
          <w:sz w:val="22"/>
          <w:szCs w:val="22"/>
        </w:rPr>
      </w:pPr>
      <w:r w:rsidRPr="00261D8E">
        <w:rPr>
          <w:b/>
          <w:color w:val="000000"/>
          <w:sz w:val="22"/>
          <w:szCs w:val="22"/>
        </w:rPr>
        <w:t>Within 30 days after service of this Claim, Commission Staff</w:t>
      </w:r>
    </w:p>
    <w:p w:rsidR="00A92D0B" w:rsidRPr="00261D8E" w:rsidRDefault="00A92D0B">
      <w:pPr>
        <w:tabs>
          <w:tab w:val="left" w:pos="1260"/>
        </w:tabs>
        <w:ind w:left="1267" w:hanging="1267"/>
        <w:jc w:val="center"/>
        <w:rPr>
          <w:b/>
          <w:color w:val="000000"/>
          <w:sz w:val="22"/>
          <w:szCs w:val="22"/>
        </w:rPr>
      </w:pPr>
      <w:proofErr w:type="gramStart"/>
      <w:r w:rsidRPr="00261D8E">
        <w:rPr>
          <w:b/>
          <w:color w:val="000000"/>
          <w:sz w:val="22"/>
          <w:szCs w:val="22"/>
        </w:rPr>
        <w:t>or</w:t>
      </w:r>
      <w:proofErr w:type="gramEnd"/>
      <w:r w:rsidRPr="00261D8E">
        <w:rPr>
          <w:b/>
          <w:color w:val="000000"/>
          <w:sz w:val="22"/>
          <w:szCs w:val="22"/>
        </w:rPr>
        <w:t xml:space="preserve"> any other party may file a response to the Claim (</w:t>
      </w:r>
      <w:r w:rsidRPr="00261D8E">
        <w:rPr>
          <w:b/>
          <w:i/>
          <w:color w:val="000000"/>
          <w:sz w:val="22"/>
          <w:szCs w:val="22"/>
        </w:rPr>
        <w:t>see</w:t>
      </w:r>
      <w:r w:rsidRPr="00261D8E">
        <w:rPr>
          <w:b/>
          <w:color w:val="000000"/>
          <w:sz w:val="22"/>
          <w:szCs w:val="22"/>
        </w:rPr>
        <w:t xml:space="preserve"> § 1804(c))</w:t>
      </w:r>
    </w:p>
    <w:p w:rsidR="00A92D0B" w:rsidRPr="00261D8E" w:rsidRDefault="00A92D0B">
      <w:pPr>
        <w:tabs>
          <w:tab w:val="left" w:pos="1260"/>
        </w:tabs>
        <w:spacing w:before="60"/>
        <w:ind w:left="1267" w:hanging="1267"/>
        <w:jc w:val="center"/>
        <w:rPr>
          <w:color w:val="000000"/>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700"/>
      </w:tblGrid>
      <w:tr w:rsidR="00A92D0B" w:rsidRPr="00261D8E" w:rsidTr="00DC0504">
        <w:tc>
          <w:tcPr>
            <w:tcW w:w="7488" w:type="dxa"/>
            <w:shd w:val="clear" w:color="auto" w:fill="auto"/>
          </w:tcPr>
          <w:p w:rsidR="00A92D0B" w:rsidRPr="00261D8E" w:rsidRDefault="00A92D0B" w:rsidP="00DC0504">
            <w:pPr>
              <w:spacing w:before="120" w:after="120"/>
              <w:rPr>
                <w:color w:val="000000"/>
                <w:sz w:val="22"/>
                <w:szCs w:val="22"/>
              </w:rPr>
            </w:pPr>
            <w:r w:rsidRPr="00261D8E">
              <w:rPr>
                <w:b/>
                <w:color w:val="000000"/>
                <w:sz w:val="22"/>
                <w:szCs w:val="22"/>
              </w:rPr>
              <w:t>A.  Opposition:  Did any party oppose the Claim?</w:t>
            </w:r>
          </w:p>
        </w:tc>
        <w:tc>
          <w:tcPr>
            <w:tcW w:w="2700" w:type="dxa"/>
            <w:shd w:val="clear" w:color="auto" w:fill="auto"/>
            <w:vAlign w:val="center"/>
          </w:tcPr>
          <w:p w:rsidR="00A92D0B" w:rsidRPr="00261D8E" w:rsidRDefault="006D7655" w:rsidP="00DC0504">
            <w:pPr>
              <w:spacing w:before="120" w:after="120"/>
              <w:jc w:val="center"/>
              <w:rPr>
                <w:color w:val="000000"/>
                <w:sz w:val="22"/>
                <w:szCs w:val="22"/>
              </w:rPr>
            </w:pPr>
            <w:r w:rsidRPr="00261D8E">
              <w:rPr>
                <w:color w:val="000000"/>
                <w:sz w:val="22"/>
                <w:szCs w:val="22"/>
              </w:rPr>
              <w:t>No.</w:t>
            </w:r>
          </w:p>
        </w:tc>
      </w:tr>
      <w:tr w:rsidR="00A92D0B" w:rsidRPr="00261D8E" w:rsidTr="00DC0504">
        <w:tc>
          <w:tcPr>
            <w:tcW w:w="7488" w:type="dxa"/>
            <w:shd w:val="clear" w:color="auto" w:fill="auto"/>
          </w:tcPr>
          <w:p w:rsidR="00A92D0B" w:rsidRPr="00261D8E" w:rsidRDefault="00A92D0B" w:rsidP="005C18C0">
            <w:pPr>
              <w:spacing w:before="120" w:after="120"/>
              <w:ind w:left="360" w:hanging="360"/>
              <w:rPr>
                <w:color w:val="000000"/>
                <w:sz w:val="22"/>
                <w:szCs w:val="22"/>
              </w:rPr>
            </w:pPr>
            <w:r w:rsidRPr="00261D8E">
              <w:rPr>
                <w:b/>
                <w:color w:val="000000"/>
                <w:sz w:val="22"/>
                <w:szCs w:val="22"/>
              </w:rPr>
              <w:t xml:space="preserve">B.  Comment Period:  Was the 30-day comment period waived </w:t>
            </w:r>
            <w:r w:rsidR="00E501D7">
              <w:rPr>
                <w:b/>
                <w:color w:val="000000"/>
                <w:sz w:val="22"/>
                <w:szCs w:val="22"/>
              </w:rPr>
              <w:br/>
            </w:r>
            <w:r w:rsidRPr="00261D8E">
              <w:rPr>
                <w:b/>
                <w:color w:val="000000"/>
                <w:sz w:val="22"/>
                <w:szCs w:val="22"/>
              </w:rPr>
              <w:t>(</w:t>
            </w:r>
            <w:r w:rsidRPr="00261D8E">
              <w:rPr>
                <w:b/>
                <w:i/>
                <w:color w:val="000000"/>
                <w:sz w:val="22"/>
                <w:szCs w:val="22"/>
              </w:rPr>
              <w:t>see</w:t>
            </w:r>
            <w:r w:rsidRPr="00261D8E">
              <w:rPr>
                <w:b/>
                <w:color w:val="000000"/>
                <w:sz w:val="22"/>
                <w:szCs w:val="22"/>
              </w:rPr>
              <w:t xml:space="preserve"> Rule 14.6(</w:t>
            </w:r>
            <w:r w:rsidR="00963EEF" w:rsidRPr="00261D8E">
              <w:rPr>
                <w:b/>
                <w:color w:val="000000"/>
                <w:sz w:val="22"/>
                <w:szCs w:val="22"/>
              </w:rPr>
              <w:t>c</w:t>
            </w:r>
            <w:proofErr w:type="gramStart"/>
            <w:r w:rsidRPr="00261D8E">
              <w:rPr>
                <w:b/>
                <w:color w:val="000000"/>
                <w:sz w:val="22"/>
                <w:szCs w:val="22"/>
              </w:rPr>
              <w:t>)(</w:t>
            </w:r>
            <w:proofErr w:type="gramEnd"/>
            <w:r w:rsidRPr="00261D8E">
              <w:rPr>
                <w:b/>
                <w:color w:val="000000"/>
                <w:sz w:val="22"/>
                <w:szCs w:val="22"/>
              </w:rPr>
              <w:t>6))?</w:t>
            </w:r>
          </w:p>
        </w:tc>
        <w:tc>
          <w:tcPr>
            <w:tcW w:w="2700" w:type="dxa"/>
            <w:shd w:val="clear" w:color="auto" w:fill="auto"/>
            <w:vAlign w:val="center"/>
          </w:tcPr>
          <w:p w:rsidR="00A92D0B" w:rsidRPr="00261D8E" w:rsidRDefault="006051CE" w:rsidP="00DC0504">
            <w:pPr>
              <w:keepNext/>
              <w:keepLines/>
              <w:spacing w:before="120" w:after="120"/>
              <w:jc w:val="center"/>
              <w:rPr>
                <w:color w:val="000000"/>
                <w:sz w:val="22"/>
                <w:szCs w:val="22"/>
              </w:rPr>
            </w:pPr>
            <w:r>
              <w:rPr>
                <w:color w:val="000000"/>
                <w:sz w:val="22"/>
                <w:szCs w:val="22"/>
              </w:rPr>
              <w:t>Yes.</w:t>
            </w:r>
          </w:p>
        </w:tc>
      </w:tr>
    </w:tbl>
    <w:p w:rsidR="00BE45D0" w:rsidRPr="00261D8E" w:rsidRDefault="00BE45D0">
      <w:pPr>
        <w:jc w:val="center"/>
        <w:rPr>
          <w:b/>
          <w:color w:val="000000"/>
          <w:sz w:val="22"/>
          <w:szCs w:val="22"/>
          <w:u w:val="single"/>
        </w:rPr>
      </w:pPr>
    </w:p>
    <w:p w:rsidR="00A92D0B" w:rsidRPr="00261D8E" w:rsidRDefault="00A92D0B">
      <w:pPr>
        <w:jc w:val="center"/>
        <w:rPr>
          <w:b/>
          <w:color w:val="000000"/>
          <w:sz w:val="22"/>
          <w:szCs w:val="22"/>
          <w:u w:val="single"/>
        </w:rPr>
      </w:pPr>
      <w:r w:rsidRPr="00261D8E">
        <w:rPr>
          <w:b/>
          <w:color w:val="000000"/>
          <w:sz w:val="22"/>
          <w:szCs w:val="22"/>
          <w:u w:val="single"/>
        </w:rPr>
        <w:t>FINDINGS OF FACT</w:t>
      </w:r>
    </w:p>
    <w:p w:rsidR="00A92D0B" w:rsidRPr="00261D8E" w:rsidRDefault="00A92D0B">
      <w:pPr>
        <w:rPr>
          <w:color w:val="000000"/>
          <w:sz w:val="22"/>
          <w:szCs w:val="22"/>
        </w:rPr>
      </w:pPr>
    </w:p>
    <w:p w:rsidR="00A92D0B" w:rsidRPr="00261D8E" w:rsidRDefault="006D7655">
      <w:pPr>
        <w:numPr>
          <w:ilvl w:val="0"/>
          <w:numId w:val="3"/>
        </w:numPr>
        <w:tabs>
          <w:tab w:val="clear" w:pos="900"/>
          <w:tab w:val="num" w:pos="540"/>
        </w:tabs>
        <w:ind w:left="540" w:hanging="540"/>
        <w:rPr>
          <w:sz w:val="22"/>
          <w:szCs w:val="22"/>
        </w:rPr>
      </w:pPr>
      <w:r w:rsidRPr="00261D8E">
        <w:rPr>
          <w:sz w:val="22"/>
          <w:szCs w:val="22"/>
        </w:rPr>
        <w:t>Utility Consumers’ Action Network</w:t>
      </w:r>
      <w:r w:rsidR="005A63D4" w:rsidRPr="00261D8E">
        <w:rPr>
          <w:sz w:val="22"/>
          <w:szCs w:val="22"/>
        </w:rPr>
        <w:t xml:space="preserve"> </w:t>
      </w:r>
      <w:r w:rsidR="00A92D0B" w:rsidRPr="00261D8E">
        <w:rPr>
          <w:sz w:val="22"/>
          <w:szCs w:val="22"/>
        </w:rPr>
        <w:t>has made a substantia</w:t>
      </w:r>
      <w:r w:rsidR="00DE3A5D" w:rsidRPr="00261D8E">
        <w:rPr>
          <w:sz w:val="22"/>
          <w:szCs w:val="22"/>
        </w:rPr>
        <w:t>l contribution to D.</w:t>
      </w:r>
      <w:r w:rsidR="00C00953">
        <w:rPr>
          <w:sz w:val="22"/>
          <w:szCs w:val="22"/>
        </w:rPr>
        <w:t>16-06-054</w:t>
      </w:r>
      <w:r w:rsidR="00A92D0B" w:rsidRPr="00261D8E">
        <w:rPr>
          <w:sz w:val="22"/>
          <w:szCs w:val="22"/>
        </w:rPr>
        <w:t>.</w:t>
      </w:r>
    </w:p>
    <w:p w:rsidR="00A92D0B" w:rsidRPr="00261D8E" w:rsidRDefault="00A92D0B">
      <w:pPr>
        <w:numPr>
          <w:ilvl w:val="0"/>
          <w:numId w:val="3"/>
        </w:numPr>
        <w:tabs>
          <w:tab w:val="clear" w:pos="900"/>
          <w:tab w:val="num" w:pos="540"/>
        </w:tabs>
        <w:spacing w:before="240"/>
        <w:ind w:left="547" w:hanging="547"/>
        <w:rPr>
          <w:sz w:val="22"/>
          <w:szCs w:val="22"/>
        </w:rPr>
      </w:pPr>
      <w:r w:rsidRPr="00261D8E">
        <w:rPr>
          <w:sz w:val="22"/>
          <w:szCs w:val="22"/>
        </w:rPr>
        <w:t xml:space="preserve">The requested hourly rates for </w:t>
      </w:r>
      <w:r w:rsidR="005A63D4" w:rsidRPr="00261D8E">
        <w:rPr>
          <w:sz w:val="22"/>
          <w:szCs w:val="22"/>
        </w:rPr>
        <w:t xml:space="preserve">Intervenor’s </w:t>
      </w:r>
      <w:r w:rsidR="00C00953">
        <w:rPr>
          <w:sz w:val="22"/>
          <w:szCs w:val="22"/>
        </w:rPr>
        <w:t>representatives</w:t>
      </w:r>
      <w:r w:rsidRPr="00261D8E">
        <w:rPr>
          <w:sz w:val="22"/>
          <w:szCs w:val="22"/>
        </w:rPr>
        <w:t>,</w:t>
      </w:r>
      <w:r w:rsidR="00C00953">
        <w:rPr>
          <w:sz w:val="22"/>
          <w:szCs w:val="22"/>
        </w:rPr>
        <w:t xml:space="preserve"> </w:t>
      </w:r>
      <w:r w:rsidRPr="00261D8E">
        <w:rPr>
          <w:sz w:val="22"/>
          <w:szCs w:val="22"/>
        </w:rPr>
        <w:t>as adjusted herein, are comparable to market rates paid to experts and advocates having comparable training and experience and offering similar services.</w:t>
      </w:r>
    </w:p>
    <w:p w:rsidR="00A92D0B" w:rsidRPr="00261D8E" w:rsidRDefault="00A92D0B" w:rsidP="00E501D7">
      <w:pPr>
        <w:keepNext/>
        <w:keepLines/>
        <w:numPr>
          <w:ilvl w:val="0"/>
          <w:numId w:val="3"/>
        </w:numPr>
        <w:tabs>
          <w:tab w:val="clear" w:pos="900"/>
          <w:tab w:val="num" w:pos="540"/>
        </w:tabs>
        <w:spacing w:before="240"/>
        <w:ind w:left="547" w:hanging="547"/>
        <w:rPr>
          <w:sz w:val="22"/>
          <w:szCs w:val="22"/>
        </w:rPr>
      </w:pPr>
      <w:r w:rsidRPr="00261D8E">
        <w:rPr>
          <w:sz w:val="22"/>
          <w:szCs w:val="22"/>
        </w:rPr>
        <w:lastRenderedPageBreak/>
        <w:t>The claimed co</w:t>
      </w:r>
      <w:r w:rsidR="00C00953">
        <w:rPr>
          <w:sz w:val="22"/>
          <w:szCs w:val="22"/>
        </w:rPr>
        <w:t>sts and expenses</w:t>
      </w:r>
      <w:r w:rsidRPr="00261D8E">
        <w:rPr>
          <w:sz w:val="22"/>
          <w:szCs w:val="22"/>
        </w:rPr>
        <w:t>,</w:t>
      </w:r>
      <w:r w:rsidR="00C00953">
        <w:rPr>
          <w:sz w:val="22"/>
          <w:szCs w:val="22"/>
        </w:rPr>
        <w:t xml:space="preserve"> </w:t>
      </w:r>
      <w:r w:rsidRPr="00261D8E">
        <w:rPr>
          <w:sz w:val="22"/>
          <w:szCs w:val="22"/>
        </w:rPr>
        <w:t xml:space="preserve">as adjusted herein, are reasonable and commensurate with the work performed. </w:t>
      </w:r>
    </w:p>
    <w:p w:rsidR="00A92D0B" w:rsidRPr="00261D8E" w:rsidRDefault="00A92D0B" w:rsidP="00E501D7">
      <w:pPr>
        <w:keepNext/>
        <w:keepLines/>
        <w:numPr>
          <w:ilvl w:val="0"/>
          <w:numId w:val="3"/>
        </w:numPr>
        <w:tabs>
          <w:tab w:val="clear" w:pos="900"/>
          <w:tab w:val="num" w:pos="540"/>
        </w:tabs>
        <w:spacing w:before="240"/>
        <w:ind w:left="547" w:hanging="547"/>
        <w:rPr>
          <w:sz w:val="22"/>
          <w:szCs w:val="22"/>
        </w:rPr>
      </w:pPr>
      <w:r w:rsidRPr="00261D8E">
        <w:rPr>
          <w:sz w:val="22"/>
          <w:szCs w:val="22"/>
        </w:rPr>
        <w:t xml:space="preserve">The total of reasonable </w:t>
      </w:r>
      <w:r w:rsidR="003C608A" w:rsidRPr="00261D8E">
        <w:rPr>
          <w:sz w:val="22"/>
          <w:szCs w:val="22"/>
        </w:rPr>
        <w:t xml:space="preserve">compensation </w:t>
      </w:r>
      <w:r w:rsidRPr="00261D8E">
        <w:rPr>
          <w:sz w:val="22"/>
          <w:szCs w:val="22"/>
        </w:rPr>
        <w:t xml:space="preserve">is </w:t>
      </w:r>
      <w:r w:rsidR="00D1402A" w:rsidRPr="002B18FC">
        <w:rPr>
          <w:color w:val="000000"/>
          <w:sz w:val="22"/>
          <w:szCs w:val="22"/>
        </w:rPr>
        <w:t>$267,534.08</w:t>
      </w:r>
      <w:r w:rsidRPr="00261D8E">
        <w:rPr>
          <w:sz w:val="22"/>
          <w:szCs w:val="22"/>
        </w:rPr>
        <w:t>.</w:t>
      </w:r>
    </w:p>
    <w:p w:rsidR="001962EB" w:rsidRPr="00261D8E" w:rsidRDefault="001962EB">
      <w:pPr>
        <w:spacing w:before="120"/>
        <w:rPr>
          <w:color w:val="000000"/>
          <w:sz w:val="22"/>
          <w:szCs w:val="22"/>
        </w:rPr>
      </w:pPr>
    </w:p>
    <w:p w:rsidR="00A92D0B" w:rsidRPr="00261D8E" w:rsidRDefault="00A92D0B">
      <w:pPr>
        <w:jc w:val="center"/>
        <w:rPr>
          <w:b/>
          <w:color w:val="000000"/>
          <w:sz w:val="22"/>
          <w:szCs w:val="22"/>
          <w:u w:val="single"/>
        </w:rPr>
      </w:pPr>
      <w:r w:rsidRPr="00261D8E">
        <w:rPr>
          <w:b/>
          <w:color w:val="000000"/>
          <w:sz w:val="22"/>
          <w:szCs w:val="22"/>
          <w:u w:val="single"/>
        </w:rPr>
        <w:t>CONCLUSION OF LAW</w:t>
      </w:r>
    </w:p>
    <w:p w:rsidR="00A92D0B" w:rsidRPr="00261D8E" w:rsidRDefault="00A92D0B" w:rsidP="00DC0504">
      <w:pPr>
        <w:numPr>
          <w:ilvl w:val="0"/>
          <w:numId w:val="6"/>
        </w:numPr>
        <w:tabs>
          <w:tab w:val="clear" w:pos="900"/>
        </w:tabs>
        <w:spacing w:before="240"/>
        <w:ind w:left="540" w:hanging="540"/>
        <w:rPr>
          <w:color w:val="000000"/>
          <w:sz w:val="22"/>
          <w:szCs w:val="22"/>
        </w:rPr>
      </w:pPr>
      <w:r w:rsidRPr="00261D8E">
        <w:rPr>
          <w:color w:val="000000"/>
          <w:sz w:val="22"/>
          <w:szCs w:val="22"/>
        </w:rPr>
        <w:t>The Claim, with a</w:t>
      </w:r>
      <w:r w:rsidR="00A41A1E">
        <w:rPr>
          <w:color w:val="000000"/>
          <w:sz w:val="22"/>
          <w:szCs w:val="22"/>
        </w:rPr>
        <w:t xml:space="preserve">ny adjustment set forth above, </w:t>
      </w:r>
      <w:r w:rsidRPr="00261D8E">
        <w:rPr>
          <w:color w:val="000000"/>
          <w:sz w:val="22"/>
          <w:szCs w:val="22"/>
        </w:rPr>
        <w:t>satisfies</w:t>
      </w:r>
      <w:r w:rsidR="00DE3A5D" w:rsidRPr="00261D8E">
        <w:rPr>
          <w:color w:val="000000"/>
          <w:sz w:val="22"/>
          <w:szCs w:val="22"/>
        </w:rPr>
        <w:t xml:space="preserve"> all requirements of Pub. Util.</w:t>
      </w:r>
      <w:r w:rsidRPr="00261D8E">
        <w:rPr>
          <w:color w:val="000000"/>
          <w:sz w:val="22"/>
          <w:szCs w:val="22"/>
        </w:rPr>
        <w:t xml:space="preserve"> Code §§ 1801-1812.</w:t>
      </w:r>
    </w:p>
    <w:p w:rsidR="001962EB" w:rsidRPr="00261D8E" w:rsidRDefault="001962EB">
      <w:pPr>
        <w:jc w:val="center"/>
        <w:rPr>
          <w:b/>
          <w:color w:val="000000"/>
          <w:sz w:val="22"/>
          <w:szCs w:val="22"/>
          <w:u w:val="single"/>
        </w:rPr>
      </w:pPr>
    </w:p>
    <w:p w:rsidR="00A92D0B" w:rsidRPr="00261D8E" w:rsidRDefault="00A92D0B">
      <w:pPr>
        <w:jc w:val="center"/>
        <w:rPr>
          <w:b/>
          <w:color w:val="000000"/>
          <w:sz w:val="22"/>
          <w:szCs w:val="22"/>
          <w:u w:val="single"/>
        </w:rPr>
      </w:pPr>
      <w:r w:rsidRPr="00261D8E">
        <w:rPr>
          <w:b/>
          <w:color w:val="000000"/>
          <w:sz w:val="22"/>
          <w:szCs w:val="22"/>
          <w:u w:val="single"/>
        </w:rPr>
        <w:t>ORDER</w:t>
      </w:r>
    </w:p>
    <w:p w:rsidR="00A92D0B" w:rsidRPr="00261D8E" w:rsidRDefault="00A92D0B">
      <w:pPr>
        <w:jc w:val="center"/>
        <w:rPr>
          <w:b/>
          <w:color w:val="000000"/>
          <w:sz w:val="22"/>
          <w:szCs w:val="22"/>
          <w:u w:val="single"/>
        </w:rPr>
      </w:pPr>
    </w:p>
    <w:p w:rsidR="00A92D0B" w:rsidRPr="00261D8E" w:rsidRDefault="006D7655">
      <w:pPr>
        <w:numPr>
          <w:ilvl w:val="0"/>
          <w:numId w:val="4"/>
        </w:numPr>
        <w:tabs>
          <w:tab w:val="clear" w:pos="900"/>
          <w:tab w:val="num" w:pos="540"/>
        </w:tabs>
        <w:ind w:left="540" w:hanging="540"/>
        <w:rPr>
          <w:color w:val="000000"/>
          <w:sz w:val="22"/>
          <w:szCs w:val="22"/>
        </w:rPr>
      </w:pPr>
      <w:r w:rsidRPr="00261D8E">
        <w:rPr>
          <w:sz w:val="22"/>
          <w:szCs w:val="22"/>
        </w:rPr>
        <w:t>Utility Consumers’ Action Network</w:t>
      </w:r>
      <w:r w:rsidR="005A63D4" w:rsidRPr="00261D8E">
        <w:rPr>
          <w:color w:val="000000"/>
          <w:sz w:val="22"/>
          <w:szCs w:val="22"/>
        </w:rPr>
        <w:t xml:space="preserve"> </w:t>
      </w:r>
      <w:r w:rsidRPr="00261D8E">
        <w:rPr>
          <w:color w:val="000000"/>
          <w:sz w:val="22"/>
          <w:szCs w:val="22"/>
        </w:rPr>
        <w:t>shall be</w:t>
      </w:r>
      <w:r w:rsidR="00A92D0B" w:rsidRPr="00261D8E">
        <w:rPr>
          <w:color w:val="000000"/>
          <w:sz w:val="22"/>
          <w:szCs w:val="22"/>
        </w:rPr>
        <w:t xml:space="preserve"> awarded </w:t>
      </w:r>
      <w:r w:rsidR="00D1402A" w:rsidRPr="002B18FC">
        <w:rPr>
          <w:color w:val="000000"/>
          <w:sz w:val="22"/>
          <w:szCs w:val="22"/>
        </w:rPr>
        <w:t>$267,534.08</w:t>
      </w:r>
      <w:r w:rsidR="00A92D0B" w:rsidRPr="00261D8E">
        <w:rPr>
          <w:color w:val="000000"/>
          <w:sz w:val="22"/>
          <w:szCs w:val="22"/>
        </w:rPr>
        <w:t>.</w:t>
      </w:r>
    </w:p>
    <w:p w:rsidR="00A41A1E" w:rsidRPr="000F7721" w:rsidRDefault="00A41A1E" w:rsidP="00DC0504">
      <w:pPr>
        <w:keepNext/>
        <w:keepLines/>
        <w:numPr>
          <w:ilvl w:val="0"/>
          <w:numId w:val="4"/>
        </w:numPr>
        <w:tabs>
          <w:tab w:val="clear" w:pos="900"/>
          <w:tab w:val="num" w:pos="540"/>
        </w:tabs>
        <w:spacing w:before="240"/>
        <w:ind w:left="547" w:hanging="547"/>
        <w:rPr>
          <w:sz w:val="22"/>
          <w:szCs w:val="22"/>
        </w:rPr>
      </w:pPr>
      <w:r w:rsidRPr="000F7721">
        <w:rPr>
          <w:sz w:val="22"/>
          <w:szCs w:val="22"/>
        </w:rPr>
        <w:t xml:space="preserve">Within 30 days of the effective date of this decision, San Diego Gas &amp; Electric Company and Southern California Gas Company shall pay </w:t>
      </w:r>
      <w:r w:rsidRPr="00261D8E">
        <w:rPr>
          <w:sz w:val="22"/>
          <w:szCs w:val="22"/>
        </w:rPr>
        <w:t xml:space="preserve">Utility Consumers’ Action Network </w:t>
      </w:r>
      <w:r w:rsidRPr="000F7721">
        <w:rPr>
          <w:sz w:val="22"/>
          <w:szCs w:val="22"/>
        </w:rPr>
        <w:t>their respective shares of the award, based on their California-jurisdictional gas and electric revenues for the 2015 calendar year, to reflect the year in which the proceeding was primarily litigated.  Payment of the award shall include compound interest at the rate earned on prime, three-month non-financial commercial paper as reported in Federal Reserve Statistical Re</w:t>
      </w:r>
      <w:r>
        <w:rPr>
          <w:sz w:val="22"/>
          <w:szCs w:val="22"/>
        </w:rPr>
        <w:t>lease H.15, beginning November 13</w:t>
      </w:r>
      <w:r w:rsidRPr="000F7721">
        <w:rPr>
          <w:sz w:val="22"/>
          <w:szCs w:val="22"/>
        </w:rPr>
        <w:t>, 2016, the 75</w:t>
      </w:r>
      <w:r w:rsidRPr="000F7721">
        <w:rPr>
          <w:sz w:val="22"/>
          <w:szCs w:val="22"/>
          <w:vertAlign w:val="superscript"/>
        </w:rPr>
        <w:t>th</w:t>
      </w:r>
      <w:r w:rsidRPr="000F7721">
        <w:rPr>
          <w:sz w:val="22"/>
          <w:szCs w:val="22"/>
        </w:rPr>
        <w:t xml:space="preserve"> day after the filing of </w:t>
      </w:r>
      <w:r w:rsidRPr="00261D8E">
        <w:rPr>
          <w:sz w:val="22"/>
          <w:szCs w:val="22"/>
        </w:rPr>
        <w:t>Utility Consumers’ Action Network</w:t>
      </w:r>
      <w:r>
        <w:rPr>
          <w:color w:val="000000"/>
          <w:sz w:val="22"/>
          <w:szCs w:val="22"/>
        </w:rPr>
        <w:t>’s</w:t>
      </w:r>
      <w:r w:rsidRPr="00455911">
        <w:rPr>
          <w:color w:val="000000"/>
          <w:sz w:val="22"/>
          <w:szCs w:val="22"/>
        </w:rPr>
        <w:t xml:space="preserve"> </w:t>
      </w:r>
      <w:r w:rsidRPr="000F7721">
        <w:rPr>
          <w:sz w:val="22"/>
          <w:szCs w:val="22"/>
        </w:rPr>
        <w:t>request, and continuing until full payment is made.</w:t>
      </w:r>
    </w:p>
    <w:p w:rsidR="00A41A1E" w:rsidRPr="000F7721" w:rsidRDefault="00A41A1E" w:rsidP="00A41A1E">
      <w:pPr>
        <w:keepNext/>
        <w:keepLines/>
        <w:numPr>
          <w:ilvl w:val="0"/>
          <w:numId w:val="4"/>
        </w:numPr>
        <w:tabs>
          <w:tab w:val="clear" w:pos="900"/>
          <w:tab w:val="num" w:pos="540"/>
        </w:tabs>
        <w:spacing w:before="240"/>
        <w:ind w:left="547" w:hanging="547"/>
        <w:rPr>
          <w:sz w:val="22"/>
          <w:szCs w:val="22"/>
        </w:rPr>
      </w:pPr>
      <w:r w:rsidRPr="000F7721">
        <w:rPr>
          <w:sz w:val="22"/>
          <w:szCs w:val="22"/>
        </w:rPr>
        <w:t>The comment period for today’s decision is waived.</w:t>
      </w:r>
    </w:p>
    <w:p w:rsidR="00A41A1E" w:rsidRPr="000F7721" w:rsidRDefault="00A41A1E" w:rsidP="00A41A1E">
      <w:pPr>
        <w:keepNext/>
        <w:keepLines/>
        <w:numPr>
          <w:ilvl w:val="0"/>
          <w:numId w:val="4"/>
        </w:numPr>
        <w:tabs>
          <w:tab w:val="clear" w:pos="900"/>
          <w:tab w:val="num" w:pos="540"/>
        </w:tabs>
        <w:spacing w:before="240"/>
        <w:ind w:left="547" w:hanging="547"/>
        <w:rPr>
          <w:color w:val="000000"/>
          <w:sz w:val="22"/>
          <w:szCs w:val="22"/>
        </w:rPr>
      </w:pPr>
      <w:r w:rsidRPr="000F7721">
        <w:rPr>
          <w:color w:val="000000"/>
          <w:sz w:val="22"/>
          <w:szCs w:val="22"/>
        </w:rPr>
        <w:t>This decision is effective today.</w:t>
      </w:r>
    </w:p>
    <w:p w:rsidR="00A41A1E" w:rsidRPr="000F7721" w:rsidRDefault="00A41A1E" w:rsidP="00A41A1E">
      <w:pPr>
        <w:keepNext/>
        <w:keepLines/>
        <w:spacing w:before="240"/>
        <w:rPr>
          <w:color w:val="000000"/>
          <w:sz w:val="22"/>
          <w:szCs w:val="22"/>
        </w:rPr>
      </w:pPr>
      <w:proofErr w:type="gramStart"/>
      <w:r w:rsidRPr="000F7721">
        <w:rPr>
          <w:color w:val="000000"/>
          <w:sz w:val="22"/>
          <w:szCs w:val="22"/>
        </w:rPr>
        <w:t>Dated _____________, at San Francisco, California.</w:t>
      </w:r>
      <w:proofErr w:type="gramEnd"/>
    </w:p>
    <w:p w:rsidR="00A41A1E" w:rsidRPr="000F7721" w:rsidRDefault="00A41A1E" w:rsidP="00A41A1E">
      <w:pPr>
        <w:rPr>
          <w:sz w:val="22"/>
          <w:szCs w:val="22"/>
        </w:rPr>
      </w:pPr>
    </w:p>
    <w:p w:rsidR="005C18C0" w:rsidRDefault="005C18C0" w:rsidP="00A41A1E">
      <w:pPr>
        <w:rPr>
          <w:sz w:val="22"/>
          <w:szCs w:val="22"/>
        </w:rPr>
        <w:sectPr w:rsidR="005C18C0" w:rsidSect="004A7049">
          <w:headerReference w:type="default" r:id="rId9"/>
          <w:footerReference w:type="default" r:id="rId10"/>
          <w:footerReference w:type="first" r:id="rId11"/>
          <w:pgSz w:w="12240" w:h="15840" w:code="1"/>
          <w:pgMar w:top="1440" w:right="1800" w:bottom="1440" w:left="1800" w:header="720" w:footer="720" w:gutter="0"/>
          <w:pgNumType w:fmt="numberInDash" w:start="1"/>
          <w:cols w:space="720"/>
          <w:titlePg/>
          <w:docGrid w:linePitch="360"/>
        </w:sectPr>
      </w:pPr>
    </w:p>
    <w:p w:rsidR="00A41A1E" w:rsidRPr="000F7721" w:rsidRDefault="00A41A1E" w:rsidP="00A41A1E">
      <w:pPr>
        <w:pStyle w:val="standard"/>
        <w:ind w:firstLine="0"/>
        <w:jc w:val="center"/>
        <w:rPr>
          <w:rFonts w:ascii="Times New Roman" w:hAnsi="Times New Roman"/>
          <w:b/>
          <w:sz w:val="22"/>
          <w:szCs w:val="22"/>
        </w:rPr>
      </w:pPr>
      <w:r w:rsidRPr="000F7721">
        <w:rPr>
          <w:rFonts w:ascii="Times New Roman" w:hAnsi="Times New Roman"/>
          <w:b/>
          <w:sz w:val="22"/>
          <w:szCs w:val="22"/>
        </w:rPr>
        <w:lastRenderedPageBreak/>
        <w:t>APPENDIX</w:t>
      </w:r>
    </w:p>
    <w:p w:rsidR="00A41A1E" w:rsidRPr="000F7721" w:rsidRDefault="00A41A1E" w:rsidP="00A41A1E">
      <w:pPr>
        <w:pStyle w:val="standard"/>
        <w:jc w:val="center"/>
        <w:rPr>
          <w:rFonts w:ascii="Times New Roman" w:hAnsi="Times New Roman"/>
          <w:sz w:val="22"/>
          <w:szCs w:val="22"/>
        </w:rPr>
      </w:pPr>
      <w:r w:rsidRPr="000F7721">
        <w:rPr>
          <w:rFonts w:ascii="Times New Roman" w:hAnsi="Times New Roman"/>
          <w:b/>
          <w:sz w:val="22"/>
          <w:szCs w:val="22"/>
        </w:rPr>
        <w:t>Compensation Decision Summary Information</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735"/>
        <w:gridCol w:w="2475"/>
        <w:gridCol w:w="1260"/>
      </w:tblGrid>
      <w:tr w:rsidR="00A41A1E" w:rsidRPr="000F7721" w:rsidTr="00396048">
        <w:trPr>
          <w:trHeight w:val="288"/>
        </w:trPr>
        <w:tc>
          <w:tcPr>
            <w:tcW w:w="2880" w:type="dxa"/>
          </w:tcPr>
          <w:p w:rsidR="00A41A1E" w:rsidRPr="000F7721" w:rsidRDefault="00A41A1E" w:rsidP="00396048">
            <w:pPr>
              <w:rPr>
                <w:b/>
                <w:sz w:val="22"/>
                <w:szCs w:val="22"/>
              </w:rPr>
            </w:pPr>
            <w:r w:rsidRPr="000F7721">
              <w:rPr>
                <w:b/>
                <w:sz w:val="22"/>
                <w:szCs w:val="22"/>
              </w:rPr>
              <w:t>Compensation Decision:</w:t>
            </w:r>
          </w:p>
        </w:tc>
        <w:tc>
          <w:tcPr>
            <w:tcW w:w="3735" w:type="dxa"/>
          </w:tcPr>
          <w:p w:rsidR="00A41A1E" w:rsidRPr="000F7721" w:rsidRDefault="00A41A1E" w:rsidP="00396048">
            <w:pPr>
              <w:rPr>
                <w:sz w:val="22"/>
                <w:szCs w:val="22"/>
              </w:rPr>
            </w:pPr>
          </w:p>
        </w:tc>
        <w:tc>
          <w:tcPr>
            <w:tcW w:w="2475" w:type="dxa"/>
          </w:tcPr>
          <w:p w:rsidR="00A41A1E" w:rsidRPr="000F7721" w:rsidRDefault="00A41A1E" w:rsidP="00396048">
            <w:pPr>
              <w:rPr>
                <w:b/>
                <w:sz w:val="22"/>
                <w:szCs w:val="22"/>
              </w:rPr>
            </w:pPr>
            <w:r w:rsidRPr="000F7721">
              <w:rPr>
                <w:b/>
                <w:sz w:val="22"/>
                <w:szCs w:val="22"/>
              </w:rPr>
              <w:t xml:space="preserve">Modifies Decision? </w:t>
            </w:r>
          </w:p>
        </w:tc>
        <w:tc>
          <w:tcPr>
            <w:tcW w:w="1260" w:type="dxa"/>
          </w:tcPr>
          <w:p w:rsidR="00A41A1E" w:rsidRPr="000F7721" w:rsidRDefault="00A41A1E" w:rsidP="00396048">
            <w:pPr>
              <w:jc w:val="center"/>
              <w:rPr>
                <w:sz w:val="22"/>
                <w:szCs w:val="22"/>
              </w:rPr>
            </w:pPr>
            <w:r w:rsidRPr="000F7721">
              <w:rPr>
                <w:sz w:val="22"/>
                <w:szCs w:val="22"/>
              </w:rPr>
              <w:t>No</w:t>
            </w:r>
          </w:p>
        </w:tc>
      </w:tr>
      <w:tr w:rsidR="00A41A1E" w:rsidRPr="000F7721" w:rsidTr="00396048">
        <w:trPr>
          <w:trHeight w:val="288"/>
        </w:trPr>
        <w:tc>
          <w:tcPr>
            <w:tcW w:w="2880" w:type="dxa"/>
          </w:tcPr>
          <w:p w:rsidR="00A41A1E" w:rsidRPr="000F7721" w:rsidRDefault="00A41A1E" w:rsidP="00396048">
            <w:pPr>
              <w:rPr>
                <w:b/>
                <w:sz w:val="22"/>
                <w:szCs w:val="22"/>
              </w:rPr>
            </w:pPr>
            <w:r w:rsidRPr="000F7721">
              <w:rPr>
                <w:b/>
                <w:sz w:val="22"/>
                <w:szCs w:val="22"/>
              </w:rPr>
              <w:t>Contribution Decision(s):</w:t>
            </w:r>
          </w:p>
        </w:tc>
        <w:tc>
          <w:tcPr>
            <w:tcW w:w="7470" w:type="dxa"/>
            <w:gridSpan w:val="3"/>
          </w:tcPr>
          <w:p w:rsidR="00A41A1E" w:rsidRPr="000F7721" w:rsidRDefault="00A41A1E" w:rsidP="00396048">
            <w:pPr>
              <w:rPr>
                <w:sz w:val="22"/>
                <w:szCs w:val="22"/>
              </w:rPr>
            </w:pPr>
            <w:r w:rsidRPr="000F7721">
              <w:rPr>
                <w:sz w:val="22"/>
                <w:szCs w:val="22"/>
              </w:rPr>
              <w:t>D1606054</w:t>
            </w:r>
          </w:p>
        </w:tc>
      </w:tr>
      <w:tr w:rsidR="00A41A1E" w:rsidRPr="000F7721" w:rsidTr="00396048">
        <w:trPr>
          <w:trHeight w:val="288"/>
        </w:trPr>
        <w:tc>
          <w:tcPr>
            <w:tcW w:w="2880" w:type="dxa"/>
          </w:tcPr>
          <w:p w:rsidR="00A41A1E" w:rsidRPr="000F7721" w:rsidRDefault="00A41A1E" w:rsidP="00396048">
            <w:pPr>
              <w:rPr>
                <w:b/>
                <w:sz w:val="22"/>
                <w:szCs w:val="22"/>
              </w:rPr>
            </w:pPr>
            <w:r w:rsidRPr="000F7721">
              <w:rPr>
                <w:b/>
                <w:sz w:val="22"/>
                <w:szCs w:val="22"/>
              </w:rPr>
              <w:t>Proceeding(s):</w:t>
            </w:r>
          </w:p>
        </w:tc>
        <w:tc>
          <w:tcPr>
            <w:tcW w:w="7470" w:type="dxa"/>
            <w:gridSpan w:val="3"/>
          </w:tcPr>
          <w:p w:rsidR="00A41A1E" w:rsidRPr="000F7721" w:rsidRDefault="00A41A1E" w:rsidP="00396048">
            <w:pPr>
              <w:rPr>
                <w:sz w:val="22"/>
                <w:szCs w:val="22"/>
              </w:rPr>
            </w:pPr>
            <w:r w:rsidRPr="000F7721">
              <w:rPr>
                <w:sz w:val="22"/>
                <w:szCs w:val="22"/>
              </w:rPr>
              <w:t>A1411003, A1411004</w:t>
            </w:r>
          </w:p>
        </w:tc>
      </w:tr>
      <w:tr w:rsidR="00A41A1E" w:rsidRPr="000F7721" w:rsidTr="00396048">
        <w:trPr>
          <w:trHeight w:val="288"/>
        </w:trPr>
        <w:tc>
          <w:tcPr>
            <w:tcW w:w="2880" w:type="dxa"/>
          </w:tcPr>
          <w:p w:rsidR="00A41A1E" w:rsidRPr="000F7721" w:rsidRDefault="00A41A1E" w:rsidP="00396048">
            <w:pPr>
              <w:rPr>
                <w:b/>
                <w:sz w:val="22"/>
                <w:szCs w:val="22"/>
              </w:rPr>
            </w:pPr>
            <w:r w:rsidRPr="000F7721">
              <w:rPr>
                <w:b/>
                <w:sz w:val="22"/>
                <w:szCs w:val="22"/>
              </w:rPr>
              <w:t>Author:</w:t>
            </w:r>
          </w:p>
        </w:tc>
        <w:tc>
          <w:tcPr>
            <w:tcW w:w="7470" w:type="dxa"/>
            <w:gridSpan w:val="3"/>
          </w:tcPr>
          <w:p w:rsidR="00A41A1E" w:rsidRPr="000F7721" w:rsidRDefault="00A41A1E" w:rsidP="00396048">
            <w:pPr>
              <w:rPr>
                <w:sz w:val="22"/>
                <w:szCs w:val="22"/>
              </w:rPr>
            </w:pPr>
            <w:r w:rsidRPr="000F7721">
              <w:rPr>
                <w:sz w:val="22"/>
                <w:szCs w:val="22"/>
              </w:rPr>
              <w:t>ALJ Wong, ALJ Lirag</w:t>
            </w:r>
          </w:p>
        </w:tc>
      </w:tr>
      <w:tr w:rsidR="00A41A1E" w:rsidRPr="000F7721" w:rsidTr="00396048">
        <w:trPr>
          <w:trHeight w:val="288"/>
        </w:trPr>
        <w:tc>
          <w:tcPr>
            <w:tcW w:w="2880" w:type="dxa"/>
          </w:tcPr>
          <w:p w:rsidR="00A41A1E" w:rsidRPr="000F7721" w:rsidRDefault="00A41A1E" w:rsidP="00396048">
            <w:pPr>
              <w:rPr>
                <w:b/>
                <w:sz w:val="22"/>
                <w:szCs w:val="22"/>
              </w:rPr>
            </w:pPr>
            <w:r w:rsidRPr="000F7721">
              <w:rPr>
                <w:b/>
                <w:sz w:val="22"/>
                <w:szCs w:val="22"/>
              </w:rPr>
              <w:t>Payer(s):</w:t>
            </w:r>
          </w:p>
        </w:tc>
        <w:tc>
          <w:tcPr>
            <w:tcW w:w="7470" w:type="dxa"/>
            <w:gridSpan w:val="3"/>
          </w:tcPr>
          <w:p w:rsidR="00A41A1E" w:rsidRPr="000F7721" w:rsidRDefault="00A41A1E" w:rsidP="00396048">
            <w:pPr>
              <w:rPr>
                <w:sz w:val="22"/>
                <w:szCs w:val="22"/>
              </w:rPr>
            </w:pPr>
            <w:r w:rsidRPr="000F7721">
              <w:rPr>
                <w:sz w:val="22"/>
                <w:szCs w:val="22"/>
              </w:rPr>
              <w:t>San Diego Gas &amp; Electric Company and Southern California Gas Company</w:t>
            </w:r>
          </w:p>
        </w:tc>
      </w:tr>
    </w:tbl>
    <w:p w:rsidR="00A41A1E" w:rsidRPr="000F7721" w:rsidRDefault="00A41A1E" w:rsidP="00A41A1E">
      <w:pPr>
        <w:rPr>
          <w:sz w:val="22"/>
          <w:szCs w:val="22"/>
        </w:rPr>
      </w:pPr>
    </w:p>
    <w:p w:rsidR="00A41A1E" w:rsidRPr="000F7721" w:rsidRDefault="00A41A1E" w:rsidP="00A41A1E">
      <w:pPr>
        <w:jc w:val="center"/>
        <w:rPr>
          <w:b/>
          <w:sz w:val="22"/>
          <w:szCs w:val="22"/>
        </w:rPr>
      </w:pPr>
      <w:r w:rsidRPr="000F7721">
        <w:rPr>
          <w:b/>
          <w:sz w:val="22"/>
          <w:szCs w:val="22"/>
        </w:rPr>
        <w:t>Intervenor Information</w:t>
      </w:r>
    </w:p>
    <w:p w:rsidR="00A41A1E" w:rsidRPr="000F7721" w:rsidRDefault="00A41A1E" w:rsidP="00A41A1E">
      <w:pPr>
        <w:rPr>
          <w:sz w:val="22"/>
          <w:szCs w:val="22"/>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312"/>
        <w:gridCol w:w="1690"/>
        <w:gridCol w:w="1516"/>
        <w:gridCol w:w="1694"/>
        <w:gridCol w:w="2461"/>
      </w:tblGrid>
      <w:tr w:rsidR="00A41A1E" w:rsidRPr="000F7721" w:rsidTr="00396048">
        <w:trPr>
          <w:trHeight w:val="611"/>
        </w:trPr>
        <w:tc>
          <w:tcPr>
            <w:tcW w:w="2127" w:type="dxa"/>
          </w:tcPr>
          <w:p w:rsidR="00A41A1E" w:rsidRPr="000F7721" w:rsidRDefault="00A41A1E" w:rsidP="00396048">
            <w:pPr>
              <w:jc w:val="center"/>
              <w:rPr>
                <w:b/>
                <w:sz w:val="22"/>
                <w:szCs w:val="22"/>
              </w:rPr>
            </w:pPr>
            <w:r w:rsidRPr="000F7721">
              <w:rPr>
                <w:b/>
                <w:sz w:val="22"/>
                <w:szCs w:val="22"/>
              </w:rPr>
              <w:t>Intervenor</w:t>
            </w:r>
          </w:p>
        </w:tc>
        <w:tc>
          <w:tcPr>
            <w:tcW w:w="1312" w:type="dxa"/>
          </w:tcPr>
          <w:p w:rsidR="00A41A1E" w:rsidRPr="000F7721" w:rsidRDefault="00A41A1E" w:rsidP="00396048">
            <w:pPr>
              <w:jc w:val="center"/>
              <w:rPr>
                <w:b/>
                <w:sz w:val="22"/>
                <w:szCs w:val="22"/>
              </w:rPr>
            </w:pPr>
            <w:r w:rsidRPr="000F7721">
              <w:rPr>
                <w:b/>
                <w:sz w:val="22"/>
                <w:szCs w:val="22"/>
              </w:rPr>
              <w:t>Claim Date</w:t>
            </w:r>
          </w:p>
        </w:tc>
        <w:tc>
          <w:tcPr>
            <w:tcW w:w="1690" w:type="dxa"/>
          </w:tcPr>
          <w:p w:rsidR="00A41A1E" w:rsidRPr="000F7721" w:rsidRDefault="00A41A1E" w:rsidP="00396048">
            <w:pPr>
              <w:jc w:val="center"/>
              <w:rPr>
                <w:b/>
                <w:sz w:val="22"/>
                <w:szCs w:val="22"/>
              </w:rPr>
            </w:pPr>
            <w:r w:rsidRPr="000F7721">
              <w:rPr>
                <w:b/>
                <w:sz w:val="22"/>
                <w:szCs w:val="22"/>
              </w:rPr>
              <w:t>Amount Requested</w:t>
            </w:r>
          </w:p>
        </w:tc>
        <w:tc>
          <w:tcPr>
            <w:tcW w:w="1516" w:type="dxa"/>
          </w:tcPr>
          <w:p w:rsidR="00A41A1E" w:rsidRPr="000F7721" w:rsidRDefault="00A41A1E" w:rsidP="00396048">
            <w:pPr>
              <w:jc w:val="center"/>
              <w:rPr>
                <w:b/>
                <w:sz w:val="22"/>
                <w:szCs w:val="22"/>
              </w:rPr>
            </w:pPr>
            <w:r w:rsidRPr="000F7721">
              <w:rPr>
                <w:b/>
                <w:sz w:val="22"/>
                <w:szCs w:val="22"/>
              </w:rPr>
              <w:t>Amount Awarded</w:t>
            </w:r>
          </w:p>
        </w:tc>
        <w:tc>
          <w:tcPr>
            <w:tcW w:w="1694" w:type="dxa"/>
          </w:tcPr>
          <w:p w:rsidR="00A41A1E" w:rsidRPr="000F7721" w:rsidRDefault="00A41A1E" w:rsidP="00396048">
            <w:pPr>
              <w:jc w:val="center"/>
              <w:rPr>
                <w:b/>
                <w:sz w:val="22"/>
                <w:szCs w:val="22"/>
              </w:rPr>
            </w:pPr>
            <w:r w:rsidRPr="000F7721">
              <w:rPr>
                <w:b/>
                <w:sz w:val="22"/>
                <w:szCs w:val="22"/>
              </w:rPr>
              <w:t>Multiplier?</w:t>
            </w:r>
          </w:p>
        </w:tc>
        <w:tc>
          <w:tcPr>
            <w:tcW w:w="2461" w:type="dxa"/>
          </w:tcPr>
          <w:p w:rsidR="00A41A1E" w:rsidRPr="000F7721" w:rsidRDefault="00A41A1E" w:rsidP="00396048">
            <w:pPr>
              <w:jc w:val="center"/>
              <w:rPr>
                <w:b/>
                <w:sz w:val="22"/>
                <w:szCs w:val="22"/>
              </w:rPr>
            </w:pPr>
            <w:r w:rsidRPr="000F7721">
              <w:rPr>
                <w:b/>
                <w:sz w:val="22"/>
                <w:szCs w:val="22"/>
              </w:rPr>
              <w:t>Reason Change/Disallowance</w:t>
            </w:r>
          </w:p>
        </w:tc>
      </w:tr>
      <w:tr w:rsidR="00A41A1E" w:rsidRPr="000F7721" w:rsidTr="00396048">
        <w:trPr>
          <w:trHeight w:val="288"/>
        </w:trPr>
        <w:tc>
          <w:tcPr>
            <w:tcW w:w="2127" w:type="dxa"/>
          </w:tcPr>
          <w:p w:rsidR="00A41A1E" w:rsidRPr="000F7721" w:rsidRDefault="00A41A1E" w:rsidP="00396048">
            <w:pPr>
              <w:rPr>
                <w:sz w:val="22"/>
                <w:szCs w:val="22"/>
              </w:rPr>
            </w:pPr>
            <w:r w:rsidRPr="00261D8E">
              <w:rPr>
                <w:sz w:val="22"/>
                <w:szCs w:val="22"/>
              </w:rPr>
              <w:t>Utility Consumers’ Action Network</w:t>
            </w:r>
            <w:r>
              <w:rPr>
                <w:color w:val="000000"/>
                <w:sz w:val="22"/>
                <w:szCs w:val="22"/>
              </w:rPr>
              <w:t xml:space="preserve"> (UCAN)</w:t>
            </w:r>
          </w:p>
        </w:tc>
        <w:tc>
          <w:tcPr>
            <w:tcW w:w="1312" w:type="dxa"/>
          </w:tcPr>
          <w:p w:rsidR="00A41A1E" w:rsidRPr="000F7721" w:rsidRDefault="00A41A1E" w:rsidP="00396048">
            <w:pPr>
              <w:rPr>
                <w:sz w:val="22"/>
                <w:szCs w:val="22"/>
              </w:rPr>
            </w:pPr>
            <w:r w:rsidRPr="000F7721">
              <w:rPr>
                <w:sz w:val="22"/>
                <w:szCs w:val="22"/>
              </w:rPr>
              <w:t xml:space="preserve">August </w:t>
            </w:r>
            <w:r>
              <w:rPr>
                <w:sz w:val="22"/>
                <w:szCs w:val="22"/>
              </w:rPr>
              <w:t>30</w:t>
            </w:r>
            <w:r w:rsidRPr="000F7721">
              <w:rPr>
                <w:sz w:val="22"/>
                <w:szCs w:val="22"/>
              </w:rPr>
              <w:t>, 2016</w:t>
            </w:r>
          </w:p>
        </w:tc>
        <w:tc>
          <w:tcPr>
            <w:tcW w:w="1690" w:type="dxa"/>
          </w:tcPr>
          <w:p w:rsidR="00A41A1E" w:rsidRPr="001A1467" w:rsidRDefault="00D1402A" w:rsidP="00396048">
            <w:pPr>
              <w:rPr>
                <w:sz w:val="22"/>
                <w:szCs w:val="22"/>
              </w:rPr>
            </w:pPr>
            <w:r>
              <w:rPr>
                <w:sz w:val="22"/>
                <w:szCs w:val="22"/>
              </w:rPr>
              <w:t>$</w:t>
            </w:r>
            <w:r w:rsidRPr="00D1402A">
              <w:rPr>
                <w:sz w:val="22"/>
                <w:szCs w:val="22"/>
              </w:rPr>
              <w:t>264,011.57</w:t>
            </w:r>
          </w:p>
        </w:tc>
        <w:tc>
          <w:tcPr>
            <w:tcW w:w="1516" w:type="dxa"/>
          </w:tcPr>
          <w:p w:rsidR="00A41A1E" w:rsidRPr="000F7721" w:rsidRDefault="00D1402A" w:rsidP="00396048">
            <w:pPr>
              <w:jc w:val="center"/>
              <w:rPr>
                <w:sz w:val="22"/>
                <w:szCs w:val="22"/>
              </w:rPr>
            </w:pPr>
            <w:r w:rsidRPr="002B18FC">
              <w:rPr>
                <w:color w:val="000000"/>
                <w:sz w:val="22"/>
                <w:szCs w:val="22"/>
              </w:rPr>
              <w:t>$267,534.08</w:t>
            </w:r>
          </w:p>
        </w:tc>
        <w:tc>
          <w:tcPr>
            <w:tcW w:w="1694" w:type="dxa"/>
          </w:tcPr>
          <w:p w:rsidR="00A41A1E" w:rsidRPr="000F7721" w:rsidRDefault="00A41A1E" w:rsidP="00396048">
            <w:pPr>
              <w:jc w:val="center"/>
              <w:rPr>
                <w:sz w:val="22"/>
                <w:szCs w:val="22"/>
              </w:rPr>
            </w:pPr>
            <w:r w:rsidRPr="000F7721">
              <w:rPr>
                <w:sz w:val="22"/>
                <w:szCs w:val="22"/>
              </w:rPr>
              <w:t>N/A</w:t>
            </w:r>
          </w:p>
        </w:tc>
        <w:tc>
          <w:tcPr>
            <w:tcW w:w="2461" w:type="dxa"/>
          </w:tcPr>
          <w:p w:rsidR="00A41A1E" w:rsidRPr="000F7721" w:rsidRDefault="00A41A1E" w:rsidP="00396048">
            <w:pPr>
              <w:jc w:val="center"/>
              <w:rPr>
                <w:sz w:val="22"/>
                <w:szCs w:val="22"/>
              </w:rPr>
            </w:pPr>
            <w:r w:rsidRPr="000F7721">
              <w:rPr>
                <w:i/>
                <w:sz w:val="22"/>
                <w:szCs w:val="22"/>
              </w:rPr>
              <w:t>See</w:t>
            </w:r>
            <w:r w:rsidRPr="000F7721">
              <w:rPr>
                <w:sz w:val="22"/>
                <w:szCs w:val="22"/>
              </w:rPr>
              <w:t xml:space="preserve"> CPUC Disallowances and Adjustments, above.</w:t>
            </w:r>
          </w:p>
        </w:tc>
      </w:tr>
    </w:tbl>
    <w:p w:rsidR="00A41A1E" w:rsidRPr="000F7721" w:rsidRDefault="00A41A1E" w:rsidP="00A41A1E">
      <w:pPr>
        <w:rPr>
          <w:sz w:val="22"/>
          <w:szCs w:val="22"/>
        </w:rPr>
      </w:pPr>
    </w:p>
    <w:p w:rsidR="00A41A1E" w:rsidRPr="000F7721" w:rsidRDefault="00A41A1E" w:rsidP="00A41A1E">
      <w:pPr>
        <w:jc w:val="center"/>
        <w:rPr>
          <w:b/>
          <w:sz w:val="22"/>
          <w:szCs w:val="22"/>
        </w:rPr>
      </w:pPr>
      <w:r w:rsidRPr="000F7721">
        <w:rPr>
          <w:b/>
          <w:sz w:val="22"/>
          <w:szCs w:val="22"/>
        </w:rPr>
        <w:t>Advocate Information</w:t>
      </w:r>
    </w:p>
    <w:p w:rsidR="00A41A1E" w:rsidRPr="000F7721" w:rsidRDefault="00A41A1E" w:rsidP="00A41A1E">
      <w:pPr>
        <w:jc w:val="center"/>
        <w:rPr>
          <w:color w:val="008000"/>
          <w:sz w:val="22"/>
          <w:szCs w:val="22"/>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350"/>
        <w:gridCol w:w="1620"/>
        <w:gridCol w:w="1440"/>
        <w:gridCol w:w="1710"/>
        <w:gridCol w:w="1710"/>
      </w:tblGrid>
      <w:tr w:rsidR="00A41A1E" w:rsidRPr="000F7721" w:rsidTr="00516626">
        <w:trPr>
          <w:trHeight w:val="530"/>
        </w:trPr>
        <w:tc>
          <w:tcPr>
            <w:tcW w:w="1260" w:type="dxa"/>
          </w:tcPr>
          <w:p w:rsidR="00A41A1E" w:rsidRPr="000F7721" w:rsidRDefault="00A41A1E" w:rsidP="00396048">
            <w:pPr>
              <w:jc w:val="center"/>
              <w:rPr>
                <w:b/>
                <w:sz w:val="22"/>
                <w:szCs w:val="22"/>
              </w:rPr>
            </w:pPr>
            <w:r w:rsidRPr="000F7721">
              <w:rPr>
                <w:b/>
                <w:sz w:val="22"/>
                <w:szCs w:val="22"/>
              </w:rPr>
              <w:t>First Name</w:t>
            </w:r>
          </w:p>
        </w:tc>
        <w:tc>
          <w:tcPr>
            <w:tcW w:w="1620" w:type="dxa"/>
          </w:tcPr>
          <w:p w:rsidR="00A41A1E" w:rsidRPr="000F7721" w:rsidRDefault="00A41A1E" w:rsidP="00396048">
            <w:pPr>
              <w:jc w:val="center"/>
              <w:rPr>
                <w:b/>
                <w:sz w:val="22"/>
                <w:szCs w:val="22"/>
              </w:rPr>
            </w:pPr>
            <w:r w:rsidRPr="000F7721">
              <w:rPr>
                <w:b/>
                <w:sz w:val="22"/>
                <w:szCs w:val="22"/>
              </w:rPr>
              <w:t>Last Name</w:t>
            </w:r>
          </w:p>
        </w:tc>
        <w:tc>
          <w:tcPr>
            <w:tcW w:w="1350" w:type="dxa"/>
          </w:tcPr>
          <w:p w:rsidR="00A41A1E" w:rsidRPr="000F7721" w:rsidRDefault="00A41A1E" w:rsidP="00396048">
            <w:pPr>
              <w:jc w:val="center"/>
              <w:rPr>
                <w:b/>
                <w:sz w:val="22"/>
                <w:szCs w:val="22"/>
              </w:rPr>
            </w:pPr>
            <w:r w:rsidRPr="000F7721">
              <w:rPr>
                <w:b/>
                <w:sz w:val="22"/>
                <w:szCs w:val="22"/>
              </w:rPr>
              <w:t>Type</w:t>
            </w:r>
          </w:p>
        </w:tc>
        <w:tc>
          <w:tcPr>
            <w:tcW w:w="1620" w:type="dxa"/>
          </w:tcPr>
          <w:p w:rsidR="00A41A1E" w:rsidRPr="000F7721" w:rsidRDefault="00A41A1E" w:rsidP="00396048">
            <w:pPr>
              <w:jc w:val="center"/>
              <w:rPr>
                <w:b/>
                <w:sz w:val="22"/>
                <w:szCs w:val="22"/>
              </w:rPr>
            </w:pPr>
            <w:r w:rsidRPr="000F7721">
              <w:rPr>
                <w:b/>
                <w:sz w:val="22"/>
                <w:szCs w:val="22"/>
              </w:rPr>
              <w:t>Intervenor</w:t>
            </w:r>
          </w:p>
        </w:tc>
        <w:tc>
          <w:tcPr>
            <w:tcW w:w="1440" w:type="dxa"/>
          </w:tcPr>
          <w:p w:rsidR="00A41A1E" w:rsidRPr="000F7721" w:rsidRDefault="00A41A1E" w:rsidP="00396048">
            <w:pPr>
              <w:jc w:val="center"/>
              <w:rPr>
                <w:b/>
                <w:sz w:val="22"/>
                <w:szCs w:val="22"/>
              </w:rPr>
            </w:pPr>
            <w:r w:rsidRPr="000F7721">
              <w:rPr>
                <w:b/>
                <w:sz w:val="22"/>
                <w:szCs w:val="22"/>
              </w:rPr>
              <w:t>Hourly Fee Requested</w:t>
            </w:r>
          </w:p>
        </w:tc>
        <w:tc>
          <w:tcPr>
            <w:tcW w:w="1710" w:type="dxa"/>
          </w:tcPr>
          <w:p w:rsidR="00A41A1E" w:rsidRPr="000F7721" w:rsidRDefault="00A41A1E" w:rsidP="00396048">
            <w:pPr>
              <w:jc w:val="center"/>
              <w:rPr>
                <w:b/>
                <w:sz w:val="22"/>
                <w:szCs w:val="22"/>
              </w:rPr>
            </w:pPr>
            <w:r w:rsidRPr="000F7721">
              <w:rPr>
                <w:b/>
                <w:sz w:val="22"/>
                <w:szCs w:val="22"/>
              </w:rPr>
              <w:t>Year Hourly Fee Requested</w:t>
            </w:r>
          </w:p>
        </w:tc>
        <w:tc>
          <w:tcPr>
            <w:tcW w:w="1710" w:type="dxa"/>
          </w:tcPr>
          <w:p w:rsidR="00A41A1E" w:rsidRPr="000F7721" w:rsidRDefault="00A41A1E" w:rsidP="00396048">
            <w:pPr>
              <w:jc w:val="center"/>
              <w:rPr>
                <w:b/>
                <w:sz w:val="22"/>
                <w:szCs w:val="22"/>
              </w:rPr>
            </w:pPr>
            <w:r w:rsidRPr="000F7721">
              <w:rPr>
                <w:b/>
                <w:sz w:val="22"/>
                <w:szCs w:val="22"/>
              </w:rPr>
              <w:t>Hourly Fee Adopted</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Donald</w:t>
            </w:r>
          </w:p>
        </w:tc>
        <w:tc>
          <w:tcPr>
            <w:tcW w:w="1620" w:type="dxa"/>
          </w:tcPr>
          <w:p w:rsidR="00892AB4" w:rsidRDefault="00892AB4" w:rsidP="00175E81">
            <w:pPr>
              <w:jc w:val="center"/>
            </w:pPr>
            <w:r w:rsidRPr="00C6548D">
              <w:rPr>
                <w:color w:val="000000"/>
                <w:sz w:val="22"/>
                <w:szCs w:val="22"/>
              </w:rPr>
              <w:t>Kelly</w:t>
            </w:r>
          </w:p>
        </w:tc>
        <w:tc>
          <w:tcPr>
            <w:tcW w:w="1350" w:type="dxa"/>
          </w:tcPr>
          <w:p w:rsidR="00892AB4" w:rsidRDefault="00892AB4" w:rsidP="00175E81">
            <w:pPr>
              <w:jc w:val="center"/>
            </w:pPr>
            <w:r w:rsidRPr="009D594A">
              <w:rPr>
                <w:sz w:val="22"/>
                <w:szCs w:val="22"/>
              </w:rPr>
              <w:t>Attorney</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$335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2014</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$335.00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Pr>
                <w:color w:val="000000"/>
                <w:sz w:val="22"/>
                <w:szCs w:val="22"/>
              </w:rPr>
              <w:t>Donald</w:t>
            </w:r>
          </w:p>
        </w:tc>
        <w:tc>
          <w:tcPr>
            <w:tcW w:w="1620" w:type="dxa"/>
          </w:tcPr>
          <w:p w:rsidR="00892AB4" w:rsidRDefault="00892AB4" w:rsidP="00175E81">
            <w:pPr>
              <w:jc w:val="center"/>
            </w:pPr>
            <w:r w:rsidRPr="00C6548D">
              <w:rPr>
                <w:color w:val="000000"/>
                <w:sz w:val="22"/>
                <w:szCs w:val="22"/>
              </w:rPr>
              <w:t>Kelly</w:t>
            </w:r>
          </w:p>
        </w:tc>
        <w:tc>
          <w:tcPr>
            <w:tcW w:w="1350" w:type="dxa"/>
          </w:tcPr>
          <w:p w:rsidR="00892AB4" w:rsidRDefault="00892AB4" w:rsidP="00175E81">
            <w:pPr>
              <w:jc w:val="center"/>
            </w:pPr>
            <w:r w:rsidRPr="009D594A">
              <w:rPr>
                <w:sz w:val="22"/>
                <w:szCs w:val="22"/>
              </w:rPr>
              <w:t>Attorney</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$335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$335.00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Pr>
                <w:color w:val="000000"/>
                <w:sz w:val="22"/>
                <w:szCs w:val="22"/>
              </w:rPr>
              <w:t>Donald</w:t>
            </w:r>
          </w:p>
        </w:tc>
        <w:tc>
          <w:tcPr>
            <w:tcW w:w="1620" w:type="dxa"/>
          </w:tcPr>
          <w:p w:rsidR="00892AB4" w:rsidRDefault="00892AB4" w:rsidP="00175E81">
            <w:pPr>
              <w:jc w:val="center"/>
            </w:pPr>
            <w:r w:rsidRPr="00C6548D">
              <w:rPr>
                <w:color w:val="000000"/>
                <w:sz w:val="22"/>
                <w:szCs w:val="22"/>
              </w:rPr>
              <w:t>Kelly</w:t>
            </w:r>
          </w:p>
        </w:tc>
        <w:tc>
          <w:tcPr>
            <w:tcW w:w="1350" w:type="dxa"/>
          </w:tcPr>
          <w:p w:rsidR="00892AB4" w:rsidRDefault="00892AB4" w:rsidP="00175E81">
            <w:pPr>
              <w:jc w:val="center"/>
            </w:pPr>
            <w:r w:rsidRPr="009D594A">
              <w:rPr>
                <w:sz w:val="22"/>
                <w:szCs w:val="22"/>
              </w:rPr>
              <w:t>Attorney</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$350</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2016</w:t>
            </w:r>
          </w:p>
        </w:tc>
        <w:tc>
          <w:tcPr>
            <w:tcW w:w="1710" w:type="dxa"/>
          </w:tcPr>
          <w:p w:rsidR="00892AB4" w:rsidRPr="000E5A03" w:rsidRDefault="00892AB4" w:rsidP="00175E81">
            <w:pPr>
              <w:spacing w:before="60" w:after="60"/>
              <w:jc w:val="center"/>
              <w:rPr>
                <w:color w:val="000000"/>
                <w:sz w:val="22"/>
                <w:szCs w:val="22"/>
              </w:rPr>
            </w:pPr>
            <w:r>
              <w:rPr>
                <w:color w:val="000000"/>
                <w:sz w:val="22"/>
                <w:szCs w:val="22"/>
              </w:rPr>
              <w:t>$340.00</w:t>
            </w:r>
          </w:p>
        </w:tc>
      </w:tr>
      <w:tr w:rsidR="00892AB4" w:rsidRPr="000F7721" w:rsidTr="00396048">
        <w:trPr>
          <w:trHeight w:val="395"/>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Jane</w:t>
            </w:r>
          </w:p>
        </w:tc>
        <w:tc>
          <w:tcPr>
            <w:tcW w:w="1620" w:type="dxa"/>
          </w:tcPr>
          <w:p w:rsidR="00892AB4" w:rsidRDefault="00892AB4" w:rsidP="00175E81">
            <w:pPr>
              <w:jc w:val="center"/>
              <w:rPr>
                <w:sz w:val="22"/>
                <w:szCs w:val="22"/>
              </w:rPr>
            </w:pPr>
            <w:proofErr w:type="spellStart"/>
            <w:r w:rsidRPr="00261D8E">
              <w:rPr>
                <w:color w:val="000000"/>
                <w:sz w:val="22"/>
                <w:szCs w:val="22"/>
              </w:rPr>
              <w:t>Krikorian</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$150</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2014</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$150.00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Jane</w:t>
            </w:r>
          </w:p>
        </w:tc>
        <w:tc>
          <w:tcPr>
            <w:tcW w:w="1620" w:type="dxa"/>
          </w:tcPr>
          <w:p w:rsidR="00892AB4" w:rsidRDefault="00892AB4" w:rsidP="00175E81">
            <w:pPr>
              <w:jc w:val="center"/>
              <w:rPr>
                <w:sz w:val="22"/>
                <w:szCs w:val="22"/>
              </w:rPr>
            </w:pPr>
            <w:proofErr w:type="spellStart"/>
            <w:r w:rsidRPr="00261D8E">
              <w:rPr>
                <w:color w:val="000000"/>
                <w:sz w:val="22"/>
                <w:szCs w:val="22"/>
              </w:rPr>
              <w:t>Krikorian</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$150</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$150.00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Robert</w:t>
            </w:r>
          </w:p>
        </w:tc>
        <w:tc>
          <w:tcPr>
            <w:tcW w:w="1620" w:type="dxa"/>
          </w:tcPr>
          <w:p w:rsidR="00892AB4" w:rsidRDefault="00892AB4" w:rsidP="00175E81">
            <w:pPr>
              <w:jc w:val="center"/>
              <w:rPr>
                <w:sz w:val="22"/>
                <w:szCs w:val="22"/>
              </w:rPr>
            </w:pPr>
            <w:proofErr w:type="spellStart"/>
            <w:r w:rsidRPr="00261D8E">
              <w:rPr>
                <w:color w:val="000000"/>
                <w:sz w:val="22"/>
                <w:szCs w:val="22"/>
              </w:rPr>
              <w:t>Sulpizio</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$390</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767984" w:rsidRDefault="00892AB4" w:rsidP="00175E81">
            <w:pPr>
              <w:spacing w:before="60" w:after="60"/>
              <w:jc w:val="center"/>
              <w:rPr>
                <w:color w:val="000000"/>
                <w:sz w:val="22"/>
                <w:szCs w:val="22"/>
              </w:rPr>
            </w:pPr>
            <w:r>
              <w:rPr>
                <w:color w:val="000000"/>
                <w:sz w:val="22"/>
                <w:szCs w:val="22"/>
              </w:rPr>
              <w:t>$410.00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Briana</w:t>
            </w:r>
          </w:p>
        </w:tc>
        <w:tc>
          <w:tcPr>
            <w:tcW w:w="1620" w:type="dxa"/>
          </w:tcPr>
          <w:p w:rsidR="00892AB4" w:rsidRDefault="00892AB4" w:rsidP="00175E81">
            <w:pPr>
              <w:jc w:val="center"/>
              <w:rPr>
                <w:sz w:val="22"/>
                <w:szCs w:val="22"/>
              </w:rPr>
            </w:pPr>
            <w:proofErr w:type="spellStart"/>
            <w:r w:rsidRPr="00261D8E">
              <w:rPr>
                <w:color w:val="000000"/>
                <w:sz w:val="22"/>
                <w:szCs w:val="22"/>
              </w:rPr>
              <w:t>Kobor</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$170</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791A7A" w:rsidRDefault="00892AB4" w:rsidP="00175E81">
            <w:pPr>
              <w:spacing w:before="60" w:after="60"/>
              <w:jc w:val="center"/>
              <w:rPr>
                <w:color w:val="000000"/>
                <w:sz w:val="22"/>
                <w:szCs w:val="22"/>
              </w:rPr>
            </w:pPr>
            <w:r>
              <w:rPr>
                <w:color w:val="000000"/>
                <w:sz w:val="22"/>
                <w:szCs w:val="22"/>
              </w:rPr>
              <w:t>$170.00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Heather</w:t>
            </w:r>
          </w:p>
        </w:tc>
        <w:tc>
          <w:tcPr>
            <w:tcW w:w="1620" w:type="dxa"/>
          </w:tcPr>
          <w:p w:rsidR="00892AB4" w:rsidRDefault="00892AB4" w:rsidP="00175E81">
            <w:pPr>
              <w:jc w:val="center"/>
              <w:rPr>
                <w:sz w:val="22"/>
                <w:szCs w:val="22"/>
              </w:rPr>
            </w:pPr>
            <w:r w:rsidRPr="00261D8E">
              <w:rPr>
                <w:color w:val="000000"/>
                <w:sz w:val="22"/>
                <w:szCs w:val="22"/>
              </w:rPr>
              <w:t>Mehta</w:t>
            </w:r>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$275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2014</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$295.00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Ken</w:t>
            </w:r>
          </w:p>
        </w:tc>
        <w:tc>
          <w:tcPr>
            <w:tcW w:w="1620" w:type="dxa"/>
          </w:tcPr>
          <w:p w:rsidR="00892AB4" w:rsidRDefault="00892AB4" w:rsidP="00175E81">
            <w:pPr>
              <w:jc w:val="center"/>
              <w:rPr>
                <w:sz w:val="22"/>
                <w:szCs w:val="22"/>
              </w:rPr>
            </w:pPr>
            <w:proofErr w:type="spellStart"/>
            <w:r w:rsidRPr="00261D8E">
              <w:rPr>
                <w:color w:val="000000"/>
                <w:sz w:val="22"/>
                <w:szCs w:val="22"/>
              </w:rPr>
              <w:t>Sosnick</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$205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2014</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$205.00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Ken</w:t>
            </w:r>
          </w:p>
        </w:tc>
        <w:tc>
          <w:tcPr>
            <w:tcW w:w="1620" w:type="dxa"/>
          </w:tcPr>
          <w:p w:rsidR="00892AB4" w:rsidRDefault="00892AB4" w:rsidP="00175E81">
            <w:pPr>
              <w:jc w:val="center"/>
              <w:rPr>
                <w:sz w:val="22"/>
                <w:szCs w:val="22"/>
              </w:rPr>
            </w:pPr>
            <w:proofErr w:type="spellStart"/>
            <w:r w:rsidRPr="00261D8E">
              <w:rPr>
                <w:color w:val="000000"/>
                <w:sz w:val="22"/>
                <w:szCs w:val="22"/>
              </w:rPr>
              <w:t>Sosnick</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$205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$205.00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Laura</w:t>
            </w:r>
          </w:p>
        </w:tc>
        <w:tc>
          <w:tcPr>
            <w:tcW w:w="1620" w:type="dxa"/>
          </w:tcPr>
          <w:p w:rsidR="00892AB4" w:rsidRDefault="00892AB4" w:rsidP="00175E81">
            <w:pPr>
              <w:jc w:val="center"/>
              <w:rPr>
                <w:sz w:val="22"/>
                <w:szCs w:val="22"/>
              </w:rPr>
            </w:pPr>
            <w:proofErr w:type="spellStart"/>
            <w:r w:rsidRPr="00261D8E">
              <w:rPr>
                <w:color w:val="000000"/>
                <w:sz w:val="22"/>
                <w:szCs w:val="22"/>
              </w:rPr>
              <w:t>Norin</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$245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2014</w:t>
            </w:r>
          </w:p>
        </w:tc>
        <w:tc>
          <w:tcPr>
            <w:tcW w:w="1710" w:type="dxa"/>
          </w:tcPr>
          <w:p w:rsidR="00892AB4" w:rsidRPr="00F76CD2" w:rsidRDefault="00892AB4" w:rsidP="00175E81">
            <w:pPr>
              <w:spacing w:before="60" w:after="60"/>
              <w:jc w:val="center"/>
              <w:rPr>
                <w:color w:val="000000"/>
                <w:sz w:val="22"/>
                <w:szCs w:val="22"/>
              </w:rPr>
            </w:pPr>
            <w:r>
              <w:rPr>
                <w:color w:val="000000"/>
                <w:sz w:val="22"/>
                <w:szCs w:val="22"/>
              </w:rPr>
              <w:t>$250.00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Laura</w:t>
            </w:r>
          </w:p>
        </w:tc>
        <w:tc>
          <w:tcPr>
            <w:tcW w:w="1620" w:type="dxa"/>
          </w:tcPr>
          <w:p w:rsidR="00892AB4" w:rsidRDefault="00892AB4" w:rsidP="00175E81">
            <w:pPr>
              <w:jc w:val="center"/>
              <w:rPr>
                <w:sz w:val="22"/>
                <w:szCs w:val="22"/>
              </w:rPr>
            </w:pPr>
            <w:proofErr w:type="spellStart"/>
            <w:r w:rsidRPr="00261D8E">
              <w:rPr>
                <w:color w:val="000000"/>
                <w:sz w:val="22"/>
                <w:szCs w:val="22"/>
              </w:rPr>
              <w:t>Norin</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$245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F76CD2" w:rsidRDefault="00892AB4" w:rsidP="00175E81">
            <w:pPr>
              <w:spacing w:before="60" w:after="60"/>
              <w:jc w:val="center"/>
              <w:rPr>
                <w:color w:val="000000"/>
                <w:sz w:val="22"/>
                <w:szCs w:val="22"/>
              </w:rPr>
            </w:pPr>
            <w:r>
              <w:rPr>
                <w:color w:val="000000"/>
                <w:sz w:val="22"/>
                <w:szCs w:val="22"/>
              </w:rPr>
              <w:t>$250.00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Laura</w:t>
            </w:r>
          </w:p>
        </w:tc>
        <w:tc>
          <w:tcPr>
            <w:tcW w:w="1620" w:type="dxa"/>
          </w:tcPr>
          <w:p w:rsidR="00892AB4" w:rsidRDefault="00892AB4" w:rsidP="00175E81">
            <w:pPr>
              <w:jc w:val="center"/>
              <w:rPr>
                <w:sz w:val="22"/>
                <w:szCs w:val="22"/>
              </w:rPr>
            </w:pPr>
            <w:proofErr w:type="spellStart"/>
            <w:r w:rsidRPr="00261D8E">
              <w:rPr>
                <w:color w:val="000000"/>
                <w:sz w:val="22"/>
                <w:szCs w:val="22"/>
              </w:rPr>
              <w:t>Norin</w:t>
            </w:r>
            <w:proofErr w:type="spellEnd"/>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$274</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2016</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$270.00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r w:rsidRPr="00261D8E">
              <w:rPr>
                <w:color w:val="000000"/>
                <w:sz w:val="22"/>
                <w:szCs w:val="22"/>
              </w:rPr>
              <w:t>Mark</w:t>
            </w:r>
          </w:p>
        </w:tc>
        <w:tc>
          <w:tcPr>
            <w:tcW w:w="1620" w:type="dxa"/>
          </w:tcPr>
          <w:p w:rsidR="00892AB4" w:rsidRDefault="00892AB4" w:rsidP="00175E81">
            <w:pPr>
              <w:jc w:val="center"/>
              <w:rPr>
                <w:sz w:val="22"/>
                <w:szCs w:val="22"/>
              </w:rPr>
            </w:pPr>
            <w:r w:rsidRPr="00261D8E">
              <w:rPr>
                <w:color w:val="000000"/>
                <w:sz w:val="22"/>
                <w:szCs w:val="22"/>
              </w:rPr>
              <w:t>Fulmer</w:t>
            </w:r>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$275</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$295.00</w:t>
            </w:r>
          </w:p>
        </w:tc>
      </w:tr>
      <w:tr w:rsidR="00892AB4" w:rsidRPr="000F7721" w:rsidTr="00396048">
        <w:trPr>
          <w:trHeight w:val="287"/>
        </w:trPr>
        <w:tc>
          <w:tcPr>
            <w:tcW w:w="1260" w:type="dxa"/>
          </w:tcPr>
          <w:p w:rsidR="00892AB4" w:rsidRPr="00261D8E" w:rsidRDefault="00892AB4" w:rsidP="00175E81">
            <w:pPr>
              <w:spacing w:before="60" w:after="60"/>
              <w:jc w:val="center"/>
              <w:rPr>
                <w:color w:val="000000"/>
                <w:sz w:val="22"/>
                <w:szCs w:val="22"/>
              </w:rPr>
            </w:pPr>
            <w:proofErr w:type="spellStart"/>
            <w:r w:rsidRPr="00261D8E">
              <w:rPr>
                <w:color w:val="000000"/>
                <w:sz w:val="22"/>
                <w:szCs w:val="22"/>
              </w:rPr>
              <w:t>Naina</w:t>
            </w:r>
            <w:proofErr w:type="spellEnd"/>
          </w:p>
        </w:tc>
        <w:tc>
          <w:tcPr>
            <w:tcW w:w="1620" w:type="dxa"/>
          </w:tcPr>
          <w:p w:rsidR="00892AB4" w:rsidRDefault="00892AB4" w:rsidP="00175E81">
            <w:pPr>
              <w:jc w:val="center"/>
              <w:rPr>
                <w:sz w:val="22"/>
                <w:szCs w:val="22"/>
              </w:rPr>
            </w:pPr>
            <w:r w:rsidRPr="00261D8E">
              <w:rPr>
                <w:color w:val="000000"/>
                <w:sz w:val="22"/>
                <w:szCs w:val="22"/>
              </w:rPr>
              <w:t>Gupta</w:t>
            </w:r>
          </w:p>
        </w:tc>
        <w:tc>
          <w:tcPr>
            <w:tcW w:w="1350" w:type="dxa"/>
          </w:tcPr>
          <w:p w:rsidR="00892AB4" w:rsidRDefault="00892AB4" w:rsidP="00175E81">
            <w:pPr>
              <w:jc w:val="center"/>
            </w:pPr>
            <w:r w:rsidRPr="002A5286">
              <w:rPr>
                <w:sz w:val="22"/>
                <w:szCs w:val="22"/>
              </w:rPr>
              <w:t>Expert</w:t>
            </w:r>
          </w:p>
        </w:tc>
        <w:tc>
          <w:tcPr>
            <w:tcW w:w="1620" w:type="dxa"/>
          </w:tcPr>
          <w:p w:rsidR="00892AB4" w:rsidRDefault="00892AB4" w:rsidP="00175E81">
            <w:pPr>
              <w:jc w:val="center"/>
            </w:pPr>
            <w:r w:rsidRPr="004626CF">
              <w:rPr>
                <w:color w:val="000000"/>
                <w:sz w:val="22"/>
                <w:szCs w:val="22"/>
              </w:rPr>
              <w:t>UCAN</w:t>
            </w:r>
          </w:p>
        </w:tc>
        <w:tc>
          <w:tcPr>
            <w:tcW w:w="1440" w:type="dxa"/>
          </w:tcPr>
          <w:p w:rsidR="00892AB4" w:rsidRPr="00261D8E" w:rsidRDefault="00892AB4" w:rsidP="00175E81">
            <w:pPr>
              <w:spacing w:before="60" w:after="60"/>
              <w:jc w:val="center"/>
              <w:rPr>
                <w:color w:val="000000"/>
                <w:sz w:val="22"/>
                <w:szCs w:val="22"/>
              </w:rPr>
            </w:pPr>
            <w:r w:rsidRPr="00261D8E">
              <w:rPr>
                <w:color w:val="000000"/>
                <w:sz w:val="22"/>
                <w:szCs w:val="22"/>
              </w:rPr>
              <w:t>$126</w:t>
            </w:r>
            <w:r>
              <w:rPr>
                <w:color w:val="000000"/>
                <w:sz w:val="22"/>
                <w:szCs w:val="22"/>
              </w:rPr>
              <w:t>.00</w:t>
            </w:r>
          </w:p>
        </w:tc>
        <w:tc>
          <w:tcPr>
            <w:tcW w:w="1710" w:type="dxa"/>
          </w:tcPr>
          <w:p w:rsidR="00892AB4" w:rsidRPr="00261D8E" w:rsidRDefault="00892AB4" w:rsidP="00175E81">
            <w:pPr>
              <w:spacing w:before="60" w:after="60"/>
              <w:jc w:val="center"/>
              <w:rPr>
                <w:color w:val="000000"/>
                <w:sz w:val="22"/>
                <w:szCs w:val="22"/>
              </w:rPr>
            </w:pPr>
            <w:r w:rsidRPr="00261D8E">
              <w:rPr>
                <w:color w:val="000000"/>
                <w:sz w:val="22"/>
                <w:szCs w:val="22"/>
              </w:rPr>
              <w:t>2015</w:t>
            </w:r>
          </w:p>
        </w:tc>
        <w:tc>
          <w:tcPr>
            <w:tcW w:w="1710" w:type="dxa"/>
          </w:tcPr>
          <w:p w:rsidR="00892AB4" w:rsidRPr="00261D8E" w:rsidRDefault="00892AB4" w:rsidP="00175E81">
            <w:pPr>
              <w:spacing w:before="60" w:after="60"/>
              <w:jc w:val="center"/>
              <w:rPr>
                <w:color w:val="000000"/>
                <w:sz w:val="22"/>
                <w:szCs w:val="22"/>
              </w:rPr>
            </w:pPr>
            <w:r>
              <w:rPr>
                <w:color w:val="000000"/>
                <w:sz w:val="22"/>
                <w:szCs w:val="22"/>
              </w:rPr>
              <w:t>$135.00</w:t>
            </w:r>
          </w:p>
        </w:tc>
      </w:tr>
    </w:tbl>
    <w:p w:rsidR="00A41A1E" w:rsidRPr="000F7721" w:rsidRDefault="00A41A1E" w:rsidP="00A41A1E">
      <w:pPr>
        <w:spacing w:line="360" w:lineRule="auto"/>
        <w:rPr>
          <w:b/>
          <w:sz w:val="22"/>
          <w:szCs w:val="22"/>
        </w:rPr>
      </w:pPr>
    </w:p>
    <w:p w:rsidR="00072C81" w:rsidRPr="00261D8E" w:rsidRDefault="00A41A1E" w:rsidP="00A41A1E">
      <w:pPr>
        <w:spacing w:before="240"/>
        <w:ind w:left="547"/>
        <w:jc w:val="center"/>
        <w:rPr>
          <w:sz w:val="22"/>
          <w:szCs w:val="22"/>
        </w:rPr>
      </w:pPr>
      <w:r>
        <w:rPr>
          <w:b/>
          <w:sz w:val="22"/>
          <w:szCs w:val="22"/>
        </w:rPr>
        <w:t>(</w:t>
      </w:r>
      <w:r w:rsidRPr="000F7721">
        <w:rPr>
          <w:b/>
          <w:sz w:val="22"/>
          <w:szCs w:val="22"/>
        </w:rPr>
        <w:t>END APPENDIX</w:t>
      </w:r>
      <w:r>
        <w:rPr>
          <w:b/>
          <w:sz w:val="22"/>
          <w:szCs w:val="22"/>
        </w:rPr>
        <w:t>)</w:t>
      </w:r>
    </w:p>
    <w:sectPr w:rsidR="00072C81" w:rsidRPr="00261D8E" w:rsidSect="005C18C0">
      <w:footerReference w:type="default" r:id="rId12"/>
      <w:pgSz w:w="12240" w:h="15840"/>
      <w:pgMar w:top="1440" w:right="1800" w:bottom="1440" w:left="180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B3" w:rsidRDefault="00A429B3" w:rsidP="00885956">
      <w:r>
        <w:separator/>
      </w:r>
    </w:p>
  </w:endnote>
  <w:endnote w:type="continuationSeparator" w:id="0">
    <w:p w:rsidR="00A429B3" w:rsidRDefault="00A429B3"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2" w:rsidRDefault="00F65EC2" w:rsidP="00550773">
    <w:pPr>
      <w:pStyle w:val="Footer"/>
    </w:pPr>
    <w:r>
      <w:rPr>
        <w:rFonts w:ascii="Tahoma" w:hAnsi="Tahoma" w:cs="Tahoma"/>
        <w:sz w:val="17"/>
        <w:szCs w:val="17"/>
      </w:rPr>
      <w:tab/>
    </w:r>
    <w:r>
      <w:fldChar w:fldCharType="begin"/>
    </w:r>
    <w:r>
      <w:instrText xml:space="preserve"> PAGE   \* MERGEFORMAT </w:instrText>
    </w:r>
    <w:r>
      <w:fldChar w:fldCharType="separate"/>
    </w:r>
    <w:r w:rsidR="007B72E3">
      <w:rPr>
        <w:noProof/>
      </w:rPr>
      <w:t>- 26 -</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2" w:rsidRPr="00CB119E" w:rsidRDefault="00F65EC2">
    <w:pPr>
      <w:pStyle w:val="Footer"/>
    </w:pPr>
    <w:r w:rsidRPr="00CB119E">
      <w:rPr>
        <w:sz w:val="16"/>
        <w:szCs w:val="16"/>
      </w:rPr>
      <w:t>167447789</w:t>
    </w:r>
    <w:r>
      <w:rPr>
        <w:sz w:val="16"/>
        <w:szCs w:val="16"/>
      </w:rPr>
      <w:tab/>
    </w:r>
    <w:r w:rsidRPr="004A7049">
      <w:t>- 1 -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2" w:rsidRDefault="00F65EC2" w:rsidP="00550773">
    <w:pPr>
      <w:pStyle w:val="Footer"/>
    </w:pPr>
    <w:r>
      <w:rPr>
        <w:rFonts w:ascii="Tahoma" w:hAnsi="Tahoma" w:cs="Tahoma"/>
        <w:sz w:val="17"/>
        <w:szCs w:val="1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B3" w:rsidRDefault="00A429B3" w:rsidP="00885956">
      <w:r>
        <w:separator/>
      </w:r>
    </w:p>
  </w:footnote>
  <w:footnote w:type="continuationSeparator" w:id="0">
    <w:p w:rsidR="00A429B3" w:rsidRDefault="00A429B3" w:rsidP="00885956">
      <w:r>
        <w:continuationSeparator/>
      </w:r>
    </w:p>
  </w:footnote>
  <w:footnote w:id="1">
    <w:p w:rsidR="00F65EC2" w:rsidRPr="00DE3A5D" w:rsidRDefault="00F65EC2" w:rsidP="005A53F1">
      <w:pPr>
        <w:pStyle w:val="ListParagraph"/>
        <w:ind w:left="0"/>
        <w:rPr>
          <w:rFonts w:ascii="Times New Roman" w:hAnsi="Times New Roman"/>
        </w:rPr>
      </w:pPr>
      <w:r w:rsidRPr="00DE3A5D">
        <w:rPr>
          <w:rStyle w:val="FootnoteReference"/>
          <w:rFonts w:ascii="Times New Roman" w:hAnsi="Times New Roman"/>
          <w:sz w:val="20"/>
          <w:szCs w:val="20"/>
        </w:rPr>
        <w:footnoteRef/>
      </w:r>
      <w:r w:rsidRPr="00DE3A5D">
        <w:rPr>
          <w:rFonts w:ascii="Times New Roman" w:hAnsi="Times New Roman"/>
        </w:rPr>
        <w:t xml:space="preserve"> </w:t>
      </w:r>
      <w:r>
        <w:rPr>
          <w:rFonts w:ascii="Times New Roman" w:hAnsi="Times New Roman"/>
        </w:rPr>
        <w:t xml:space="preserve"> </w:t>
      </w:r>
      <w:r w:rsidRPr="00DE3A5D">
        <w:rPr>
          <w:rFonts w:ascii="Times New Roman" w:hAnsi="Times New Roman"/>
          <w:sz w:val="20"/>
          <w:szCs w:val="20"/>
        </w:rPr>
        <w:t xml:space="preserve">This information may be </w:t>
      </w:r>
      <w:r w:rsidRPr="00DE3A5D">
        <w:rPr>
          <w:rFonts w:ascii="Times New Roman" w:hAnsi="Times New Roman"/>
          <w:color w:val="000000"/>
          <w:sz w:val="20"/>
          <w:szCs w:val="20"/>
        </w:rPr>
        <w:t>obtain</w:t>
      </w:r>
      <w:r>
        <w:rPr>
          <w:rFonts w:ascii="Times New Roman" w:hAnsi="Times New Roman"/>
          <w:color w:val="000000"/>
          <w:sz w:val="20"/>
          <w:szCs w:val="20"/>
        </w:rPr>
        <w:t xml:space="preserve">ed through the State Bar of California’s website at </w:t>
      </w:r>
      <w:hyperlink r:id="rId1" w:history="1">
        <w:r w:rsidRPr="00915118">
          <w:rPr>
            <w:rStyle w:val="Hyperlink"/>
            <w:rFonts w:ascii="Times New Roman" w:hAnsi="Times New Roman"/>
            <w:sz w:val="20"/>
            <w:szCs w:val="20"/>
          </w:rPr>
          <w:t>http://members.calbar.ca.gov/fal/MemberSearch/QuickSearch</w:t>
        </w:r>
      </w:hyperlink>
      <w:r>
        <w:rPr>
          <w:rFonts w:ascii="Times New Roman" w:hAnsi="Times New Roman"/>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2" w:rsidRDefault="00F65EC2">
    <w:pPr>
      <w:pStyle w:val="Header"/>
      <w:rPr>
        <w:b/>
      </w:rPr>
    </w:pPr>
    <w:r>
      <w:t>A.14-11-003, A14-11-004</w:t>
    </w:r>
    <w:proofErr w:type="gramStart"/>
    <w:r>
      <w:t>,  ALJ</w:t>
    </w:r>
    <w:proofErr w:type="gramEnd"/>
    <w:r>
      <w:t>/JSW/RL8/ge1</w:t>
    </w:r>
    <w:r>
      <w:tab/>
    </w:r>
    <w:r>
      <w:tab/>
    </w:r>
    <w:r w:rsidRPr="00550773">
      <w:rPr>
        <w:b/>
      </w:rPr>
      <w:t>PROPOSED DECISION</w:t>
    </w:r>
  </w:p>
  <w:p w:rsidR="00F65EC2" w:rsidRDefault="00F65EC2">
    <w:pPr>
      <w:pStyle w:val="Header"/>
      <w:rPr>
        <w:b/>
      </w:rPr>
    </w:pPr>
  </w:p>
  <w:p w:rsidR="00F65EC2" w:rsidRDefault="00F65EC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B341A6"/>
    <w:multiLevelType w:val="hybridMultilevel"/>
    <w:tmpl w:val="9F9E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B067D"/>
    <w:multiLevelType w:val="hybridMultilevel"/>
    <w:tmpl w:val="42AC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E0020"/>
    <w:multiLevelType w:val="multilevel"/>
    <w:tmpl w:val="D4E6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64658A0"/>
    <w:multiLevelType w:val="hybridMultilevel"/>
    <w:tmpl w:val="485EA67E"/>
    <w:lvl w:ilvl="0" w:tplc="63F2CD6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22690"/>
    <w:multiLevelType w:val="hybridMultilevel"/>
    <w:tmpl w:val="7646EABA"/>
    <w:lvl w:ilvl="0" w:tplc="29F4F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57EE0BC7"/>
    <w:multiLevelType w:val="hybridMultilevel"/>
    <w:tmpl w:val="17C8B27A"/>
    <w:lvl w:ilvl="0" w:tplc="0409000F">
      <w:start w:val="1"/>
      <w:numFmt w:val="decimal"/>
      <w:lvlText w:val="%1."/>
      <w:lvlJc w:val="left"/>
      <w:pPr>
        <w:tabs>
          <w:tab w:val="num" w:pos="900"/>
        </w:tabs>
        <w:ind w:left="900" w:hanging="360"/>
      </w:pPr>
    </w:lvl>
    <w:lvl w:ilvl="1" w:tplc="A2982BDA">
      <w:start w:val="1"/>
      <w:numFmt w:val="upp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9AA27DB"/>
    <w:multiLevelType w:val="hybridMultilevel"/>
    <w:tmpl w:val="BD82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8737B1"/>
    <w:multiLevelType w:val="hybridMultilevel"/>
    <w:tmpl w:val="E55236BA"/>
    <w:lvl w:ilvl="0" w:tplc="7B3657A2">
      <w:start w:val="1"/>
      <w:numFmt w:val="upperLetter"/>
      <w:lvlText w:val="%1."/>
      <w:lvlJc w:val="left"/>
      <w:pPr>
        <w:tabs>
          <w:tab w:val="num" w:pos="900"/>
        </w:tabs>
        <w:ind w:left="900" w:hanging="360"/>
      </w:pPr>
      <w:rPr>
        <w:rFonts w:hint="default"/>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8179A5"/>
    <w:multiLevelType w:val="hybridMultilevel"/>
    <w:tmpl w:val="26C0D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1"/>
  </w:num>
  <w:num w:numId="4">
    <w:abstractNumId w:val="7"/>
  </w:num>
  <w:num w:numId="5">
    <w:abstractNumId w:val="6"/>
  </w:num>
  <w:num w:numId="6">
    <w:abstractNumId w:val="8"/>
  </w:num>
  <w:num w:numId="7">
    <w:abstractNumId w:val="3"/>
  </w:num>
  <w:num w:numId="8">
    <w:abstractNumId w:val="9"/>
  </w:num>
  <w:num w:numId="9">
    <w:abstractNumId w:val="4"/>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F83"/>
    <w:rsid w:val="00003A49"/>
    <w:rsid w:val="00025516"/>
    <w:rsid w:val="00026A15"/>
    <w:rsid w:val="00036F54"/>
    <w:rsid w:val="00061D24"/>
    <w:rsid w:val="0007279D"/>
    <w:rsid w:val="00072C81"/>
    <w:rsid w:val="000A5C04"/>
    <w:rsid w:val="000D0921"/>
    <w:rsid w:val="000D6CA0"/>
    <w:rsid w:val="000E5A03"/>
    <w:rsid w:val="000E6ABD"/>
    <w:rsid w:val="000E7AFA"/>
    <w:rsid w:val="000F595C"/>
    <w:rsid w:val="00110D89"/>
    <w:rsid w:val="00123103"/>
    <w:rsid w:val="00175E81"/>
    <w:rsid w:val="0018553D"/>
    <w:rsid w:val="00187B15"/>
    <w:rsid w:val="00192F5D"/>
    <w:rsid w:val="001962EB"/>
    <w:rsid w:val="001A6766"/>
    <w:rsid w:val="001B2080"/>
    <w:rsid w:val="001C21AE"/>
    <w:rsid w:val="001D31E2"/>
    <w:rsid w:val="001D5965"/>
    <w:rsid w:val="001D72F7"/>
    <w:rsid w:val="001F632C"/>
    <w:rsid w:val="00204E3A"/>
    <w:rsid w:val="00212E10"/>
    <w:rsid w:val="00214B22"/>
    <w:rsid w:val="00215ACA"/>
    <w:rsid w:val="00221132"/>
    <w:rsid w:val="002220A3"/>
    <w:rsid w:val="002466F8"/>
    <w:rsid w:val="0025663A"/>
    <w:rsid w:val="00256C10"/>
    <w:rsid w:val="00261D8E"/>
    <w:rsid w:val="00264333"/>
    <w:rsid w:val="00270E2E"/>
    <w:rsid w:val="00273208"/>
    <w:rsid w:val="002813B7"/>
    <w:rsid w:val="00292F67"/>
    <w:rsid w:val="002B18FC"/>
    <w:rsid w:val="002C0797"/>
    <w:rsid w:val="002E5F83"/>
    <w:rsid w:val="003020DF"/>
    <w:rsid w:val="00311EB0"/>
    <w:rsid w:val="00332D38"/>
    <w:rsid w:val="003363CB"/>
    <w:rsid w:val="00353B8A"/>
    <w:rsid w:val="00357F1A"/>
    <w:rsid w:val="0037409E"/>
    <w:rsid w:val="00376899"/>
    <w:rsid w:val="00376B47"/>
    <w:rsid w:val="00377884"/>
    <w:rsid w:val="00380703"/>
    <w:rsid w:val="00383CA0"/>
    <w:rsid w:val="00396048"/>
    <w:rsid w:val="003A2858"/>
    <w:rsid w:val="003B1782"/>
    <w:rsid w:val="003C608A"/>
    <w:rsid w:val="003D1E98"/>
    <w:rsid w:val="003D7F07"/>
    <w:rsid w:val="00407BE0"/>
    <w:rsid w:val="00422F40"/>
    <w:rsid w:val="004277CA"/>
    <w:rsid w:val="00434B63"/>
    <w:rsid w:val="00445FA7"/>
    <w:rsid w:val="004534E7"/>
    <w:rsid w:val="004553E7"/>
    <w:rsid w:val="00467CBB"/>
    <w:rsid w:val="00473308"/>
    <w:rsid w:val="00480BFF"/>
    <w:rsid w:val="00487580"/>
    <w:rsid w:val="004A6110"/>
    <w:rsid w:val="004A7049"/>
    <w:rsid w:val="004B4D27"/>
    <w:rsid w:val="004D0267"/>
    <w:rsid w:val="004D6B6D"/>
    <w:rsid w:val="004E0395"/>
    <w:rsid w:val="004E3939"/>
    <w:rsid w:val="004E3D93"/>
    <w:rsid w:val="00516626"/>
    <w:rsid w:val="00516CE7"/>
    <w:rsid w:val="005215EF"/>
    <w:rsid w:val="005444BA"/>
    <w:rsid w:val="00547145"/>
    <w:rsid w:val="00550773"/>
    <w:rsid w:val="00551967"/>
    <w:rsid w:val="005533C9"/>
    <w:rsid w:val="00555870"/>
    <w:rsid w:val="005577F4"/>
    <w:rsid w:val="00560532"/>
    <w:rsid w:val="005646DA"/>
    <w:rsid w:val="00580895"/>
    <w:rsid w:val="00580E54"/>
    <w:rsid w:val="005912FA"/>
    <w:rsid w:val="005A21EA"/>
    <w:rsid w:val="005A53F1"/>
    <w:rsid w:val="005A63D4"/>
    <w:rsid w:val="005A65C2"/>
    <w:rsid w:val="005C18C0"/>
    <w:rsid w:val="005C327F"/>
    <w:rsid w:val="005D0C66"/>
    <w:rsid w:val="005F4D82"/>
    <w:rsid w:val="006051CE"/>
    <w:rsid w:val="00645935"/>
    <w:rsid w:val="0065087E"/>
    <w:rsid w:val="0065180F"/>
    <w:rsid w:val="00660D7E"/>
    <w:rsid w:val="006637D2"/>
    <w:rsid w:val="00673595"/>
    <w:rsid w:val="00692738"/>
    <w:rsid w:val="006A083C"/>
    <w:rsid w:val="006A7272"/>
    <w:rsid w:val="006B6AD9"/>
    <w:rsid w:val="006D1BE0"/>
    <w:rsid w:val="006D7655"/>
    <w:rsid w:val="006E4255"/>
    <w:rsid w:val="00703D5A"/>
    <w:rsid w:val="0072457F"/>
    <w:rsid w:val="00724B76"/>
    <w:rsid w:val="00730A5E"/>
    <w:rsid w:val="0074297C"/>
    <w:rsid w:val="0074620B"/>
    <w:rsid w:val="00767984"/>
    <w:rsid w:val="007903A0"/>
    <w:rsid w:val="00791A7A"/>
    <w:rsid w:val="007B72E3"/>
    <w:rsid w:val="007C1B69"/>
    <w:rsid w:val="007E71C3"/>
    <w:rsid w:val="007E781C"/>
    <w:rsid w:val="007F1383"/>
    <w:rsid w:val="007F152F"/>
    <w:rsid w:val="00800D9C"/>
    <w:rsid w:val="00802101"/>
    <w:rsid w:val="00817F85"/>
    <w:rsid w:val="0083350A"/>
    <w:rsid w:val="008844B6"/>
    <w:rsid w:val="00885956"/>
    <w:rsid w:val="00886671"/>
    <w:rsid w:val="00892AB4"/>
    <w:rsid w:val="008A2090"/>
    <w:rsid w:val="008B67E2"/>
    <w:rsid w:val="008B7E65"/>
    <w:rsid w:val="008B7F67"/>
    <w:rsid w:val="008E3450"/>
    <w:rsid w:val="00915118"/>
    <w:rsid w:val="009248F0"/>
    <w:rsid w:val="009258B8"/>
    <w:rsid w:val="00925FAB"/>
    <w:rsid w:val="00931DA7"/>
    <w:rsid w:val="0093584A"/>
    <w:rsid w:val="00942904"/>
    <w:rsid w:val="009434F8"/>
    <w:rsid w:val="00963EEF"/>
    <w:rsid w:val="0098100D"/>
    <w:rsid w:val="0099428D"/>
    <w:rsid w:val="009B3B16"/>
    <w:rsid w:val="009C2034"/>
    <w:rsid w:val="009D6991"/>
    <w:rsid w:val="009E1E32"/>
    <w:rsid w:val="00A10D5E"/>
    <w:rsid w:val="00A2487D"/>
    <w:rsid w:val="00A319DE"/>
    <w:rsid w:val="00A41A1E"/>
    <w:rsid w:val="00A429B3"/>
    <w:rsid w:val="00A43EE8"/>
    <w:rsid w:val="00A6401A"/>
    <w:rsid w:val="00A67E89"/>
    <w:rsid w:val="00A73591"/>
    <w:rsid w:val="00A75D2D"/>
    <w:rsid w:val="00A86988"/>
    <w:rsid w:val="00A92D0B"/>
    <w:rsid w:val="00AA1740"/>
    <w:rsid w:val="00AB2F7F"/>
    <w:rsid w:val="00AB4AF1"/>
    <w:rsid w:val="00AC5A4B"/>
    <w:rsid w:val="00AD027E"/>
    <w:rsid w:val="00AD742A"/>
    <w:rsid w:val="00AE429F"/>
    <w:rsid w:val="00B00BCD"/>
    <w:rsid w:val="00B03809"/>
    <w:rsid w:val="00B1593B"/>
    <w:rsid w:val="00B16804"/>
    <w:rsid w:val="00B31565"/>
    <w:rsid w:val="00B4298E"/>
    <w:rsid w:val="00B51C2B"/>
    <w:rsid w:val="00B55CCD"/>
    <w:rsid w:val="00B60783"/>
    <w:rsid w:val="00B62AC0"/>
    <w:rsid w:val="00B651E2"/>
    <w:rsid w:val="00B71AB5"/>
    <w:rsid w:val="00B80EDA"/>
    <w:rsid w:val="00B84664"/>
    <w:rsid w:val="00B93A13"/>
    <w:rsid w:val="00B96B6F"/>
    <w:rsid w:val="00B97536"/>
    <w:rsid w:val="00BA4BE2"/>
    <w:rsid w:val="00BA548C"/>
    <w:rsid w:val="00BB3F4D"/>
    <w:rsid w:val="00BB49BB"/>
    <w:rsid w:val="00BE188B"/>
    <w:rsid w:val="00BE45D0"/>
    <w:rsid w:val="00BE547C"/>
    <w:rsid w:val="00BF2F45"/>
    <w:rsid w:val="00BF4D0E"/>
    <w:rsid w:val="00C005B9"/>
    <w:rsid w:val="00C00953"/>
    <w:rsid w:val="00C36A15"/>
    <w:rsid w:val="00C372E0"/>
    <w:rsid w:val="00C46844"/>
    <w:rsid w:val="00C742D7"/>
    <w:rsid w:val="00C765A2"/>
    <w:rsid w:val="00C80771"/>
    <w:rsid w:val="00C8349B"/>
    <w:rsid w:val="00CA35C2"/>
    <w:rsid w:val="00CB119E"/>
    <w:rsid w:val="00CC4B40"/>
    <w:rsid w:val="00CD6886"/>
    <w:rsid w:val="00CF35E1"/>
    <w:rsid w:val="00D03F56"/>
    <w:rsid w:val="00D075B1"/>
    <w:rsid w:val="00D1402A"/>
    <w:rsid w:val="00D27D5F"/>
    <w:rsid w:val="00D33F4F"/>
    <w:rsid w:val="00D36884"/>
    <w:rsid w:val="00D36927"/>
    <w:rsid w:val="00D8216A"/>
    <w:rsid w:val="00D84F94"/>
    <w:rsid w:val="00D866F3"/>
    <w:rsid w:val="00D8683C"/>
    <w:rsid w:val="00DA3AEE"/>
    <w:rsid w:val="00DA58F6"/>
    <w:rsid w:val="00DC0504"/>
    <w:rsid w:val="00DC07B2"/>
    <w:rsid w:val="00DD52BB"/>
    <w:rsid w:val="00DE0DDE"/>
    <w:rsid w:val="00DE3A5D"/>
    <w:rsid w:val="00E00FCE"/>
    <w:rsid w:val="00E15DC3"/>
    <w:rsid w:val="00E21EA5"/>
    <w:rsid w:val="00E251C8"/>
    <w:rsid w:val="00E25995"/>
    <w:rsid w:val="00E31FEF"/>
    <w:rsid w:val="00E333CA"/>
    <w:rsid w:val="00E3786F"/>
    <w:rsid w:val="00E430A3"/>
    <w:rsid w:val="00E501D7"/>
    <w:rsid w:val="00E52992"/>
    <w:rsid w:val="00E52D92"/>
    <w:rsid w:val="00E543A5"/>
    <w:rsid w:val="00E60942"/>
    <w:rsid w:val="00E81325"/>
    <w:rsid w:val="00E9366A"/>
    <w:rsid w:val="00E959A0"/>
    <w:rsid w:val="00EA2097"/>
    <w:rsid w:val="00EB1B51"/>
    <w:rsid w:val="00ED271B"/>
    <w:rsid w:val="00ED7406"/>
    <w:rsid w:val="00EF388F"/>
    <w:rsid w:val="00F020D3"/>
    <w:rsid w:val="00F04904"/>
    <w:rsid w:val="00F17ADD"/>
    <w:rsid w:val="00F30369"/>
    <w:rsid w:val="00F30DA8"/>
    <w:rsid w:val="00F34C1F"/>
    <w:rsid w:val="00F47E87"/>
    <w:rsid w:val="00F6424E"/>
    <w:rsid w:val="00F65EC2"/>
    <w:rsid w:val="00F663E2"/>
    <w:rsid w:val="00F732B0"/>
    <w:rsid w:val="00F73A91"/>
    <w:rsid w:val="00F76CD2"/>
    <w:rsid w:val="00F81778"/>
    <w:rsid w:val="00F97AFD"/>
    <w:rsid w:val="00FB4F65"/>
    <w:rsid w:val="00FC381E"/>
    <w:rsid w:val="00FC72B7"/>
    <w:rsid w:val="00FD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885956"/>
    <w:rPr>
      <w:sz w:val="20"/>
      <w:szCs w:val="20"/>
    </w:rPr>
  </w:style>
  <w:style w:type="character" w:customStyle="1" w:styleId="FootnoteTextChar">
    <w:name w:val="Footnote Text Char"/>
    <w:basedOn w:val="DefaultParagraphFont"/>
    <w:link w:val="FootnoteText"/>
    <w:uiPriority w:val="99"/>
    <w:rsid w:val="00885956"/>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paragraph" w:customStyle="1" w:styleId="standard">
    <w:name w:val="standard"/>
    <w:basedOn w:val="Normal"/>
    <w:link w:val="standardChar"/>
    <w:rsid w:val="00A41A1E"/>
    <w:pPr>
      <w:spacing w:line="360" w:lineRule="auto"/>
      <w:ind w:firstLine="720"/>
    </w:pPr>
    <w:rPr>
      <w:rFonts w:ascii="Palatino" w:hAnsi="Palatino"/>
      <w:sz w:val="26"/>
      <w:szCs w:val="20"/>
      <w:lang w:val="x-none" w:eastAsia="x-none"/>
    </w:rPr>
  </w:style>
  <w:style w:type="character" w:customStyle="1" w:styleId="standardChar">
    <w:name w:val="standard Char"/>
    <w:link w:val="standard"/>
    <w:rsid w:val="00A41A1E"/>
    <w:rPr>
      <w:rFonts w:ascii="Palatino" w:hAnsi="Palatino"/>
      <w:sz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29474">
      <w:bodyDiv w:val="1"/>
      <w:marLeft w:val="0"/>
      <w:marRight w:val="0"/>
      <w:marTop w:val="0"/>
      <w:marBottom w:val="0"/>
      <w:divBdr>
        <w:top w:val="none" w:sz="0" w:space="0" w:color="auto"/>
        <w:left w:val="none" w:sz="0" w:space="0" w:color="auto"/>
        <w:bottom w:val="none" w:sz="0" w:space="0" w:color="auto"/>
        <w:right w:val="none" w:sz="0" w:space="0" w:color="auto"/>
      </w:divBdr>
    </w:div>
    <w:div w:id="965238949">
      <w:bodyDiv w:val="1"/>
      <w:marLeft w:val="0"/>
      <w:marRight w:val="0"/>
      <w:marTop w:val="0"/>
      <w:marBottom w:val="0"/>
      <w:divBdr>
        <w:top w:val="none" w:sz="0" w:space="0" w:color="auto"/>
        <w:left w:val="none" w:sz="0" w:space="0" w:color="auto"/>
        <w:bottom w:val="none" w:sz="0" w:space="0" w:color="auto"/>
        <w:right w:val="none" w:sz="0" w:space="0" w:color="auto"/>
      </w:divBdr>
    </w:div>
    <w:div w:id="1175801127">
      <w:bodyDiv w:val="1"/>
      <w:marLeft w:val="0"/>
      <w:marRight w:val="0"/>
      <w:marTop w:val="0"/>
      <w:marBottom w:val="0"/>
      <w:divBdr>
        <w:top w:val="none" w:sz="0" w:space="0" w:color="auto"/>
        <w:left w:val="none" w:sz="0" w:space="0" w:color="auto"/>
        <w:bottom w:val="none" w:sz="0" w:space="0" w:color="auto"/>
        <w:right w:val="none" w:sz="0" w:space="0" w:color="auto"/>
      </w:divBdr>
    </w:div>
    <w:div w:id="1522889861">
      <w:bodyDiv w:val="1"/>
      <w:marLeft w:val="0"/>
      <w:marRight w:val="0"/>
      <w:marTop w:val="0"/>
      <w:marBottom w:val="0"/>
      <w:divBdr>
        <w:top w:val="none" w:sz="0" w:space="0" w:color="auto"/>
        <w:left w:val="none" w:sz="0" w:space="0" w:color="auto"/>
        <w:bottom w:val="none" w:sz="0" w:space="0" w:color="auto"/>
        <w:right w:val="none" w:sz="0" w:space="0" w:color="auto"/>
      </w:divBdr>
    </w:div>
    <w:div w:id="19019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3E3-11E8-434C-9EC7-D5053D59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9349</Words>
  <Characters>53295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Icomp Claim Form</vt:lpstr>
    </vt:vector>
  </TitlesOfParts>
  <Manager/>
  <Company/>
  <LinksUpToDate>false</LinksUpToDate>
  <CharactersWithSpaces>62519</CharactersWithSpaces>
  <SharedDoc>false</SharedDoc>
  <HyperlinkBase> </HyperlinkBase>
  <HLinks>
    <vt:vector size="6" baseType="variant">
      <vt:variant>
        <vt:i4>5963790</vt:i4>
      </vt:variant>
      <vt:variant>
        <vt:i4>0</vt:i4>
      </vt:variant>
      <vt:variant>
        <vt:i4>0</vt:i4>
      </vt:variant>
      <vt:variant>
        <vt:i4>5</vt:i4>
      </vt:variant>
      <vt:variant>
        <vt:lpwstr>http://members.calbar.ca.gov/fal/MemberSearch/QuickSearch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Icomp Claim Form</dc:title>
  <dc:subject>Icomp Claim Form.</dc:subject>
  <dc:creator/>
  <cp:keywords/>
  <dc:description>Icomp Claim Form.</dc:description>
  <cp:lastModifiedBy/>
  <cp:revision>1</cp:revision>
  <cp:lastPrinted>2013-07-15T17:59:00Z</cp:lastPrinted>
  <dcterms:created xsi:type="dcterms:W3CDTF">2016-09-22T15:45:00Z</dcterms:created>
  <dcterms:modified xsi:type="dcterms:W3CDTF">2016-10-04T16:30:00Z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://sitedev.cpuc.ca.gov/DownloadAsset.aspx?id=2655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Icomp Claim Form.</vt:lpwstr>
  </property>
  <property fmtid="{D5CDD505-2E9C-101B-9397-08002B2CF9AE}" pid="8" name="EktExpiryDate">
    <vt:filetime>2016-02-02T19:55:00Z</vt:filetime>
  </property>
  <property fmtid="{D5CDD505-2E9C-101B-9397-08002B2CF9AE}" pid="9" name="EktExpiryType">
    <vt:i4>3</vt:i4>
  </property>
  <property fmtid="{D5CDD505-2E9C-101B-9397-08002B2CF9AE}" pid="10" name="EktDateCreated">
    <vt:filetime>2015-10-12T16:17:45Z</vt:filetime>
  </property>
  <property fmtid="{D5CDD505-2E9C-101B-9397-08002B2CF9AE}" pid="11" name="EktDateModified">
    <vt:filetime>2015-11-04T19:54:18Z</vt:filetime>
  </property>
  <property fmtid="{D5CDD505-2E9C-101B-9397-08002B2CF9AE}" pid="12" name="EktTaxCategory">
    <vt:lpwstr> #eksep# \Business Units\Administrative Law Judges #eksep# </vt:lpwstr>
  </property>
  <property fmtid="{D5CDD505-2E9C-101B-9397-08002B2CF9AE}" pid="13" name="EktDisabledTaxCategory">
    <vt:lpwstr/>
  </property>
  <property fmtid="{D5CDD505-2E9C-101B-9397-08002B2CF9AE}" pid="14" name="EktCmsSize">
    <vt:i4>139776</vt:i4>
  </property>
  <property fmtid="{D5CDD505-2E9C-101B-9397-08002B2CF9AE}" pid="15" name="EktSearchable">
    <vt:i4>1</vt:i4>
  </property>
  <property fmtid="{D5CDD505-2E9C-101B-9397-08002B2CF9AE}" pid="16" name="EktEDescription">
    <vt:lpwstr>Summary Icomp Claim Form.</vt:lpwstr>
  </property>
</Properties>
</file>