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8F" w:rsidRPr="00B8240F" w:rsidRDefault="00996A8F" w:rsidP="00996A8F">
      <w:pPr>
        <w:pStyle w:val="Title"/>
        <w:tabs>
          <w:tab w:val="right" w:pos="10080"/>
        </w:tabs>
        <w:rPr>
          <w:rFonts w:ascii="Palatino Linotype" w:hAnsi="Palatino Linotype"/>
          <w:color w:val="000000" w:themeColor="text1"/>
        </w:rPr>
      </w:pPr>
      <w:bookmarkStart w:id="0" w:name="_GoBack"/>
      <w:bookmarkEnd w:id="0"/>
    </w:p>
    <w:p w:rsidR="00996A8F" w:rsidRPr="00B8240F" w:rsidRDefault="00996A8F" w:rsidP="00996A8F">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rsidR="00996A8F" w:rsidRPr="00B8240F" w:rsidRDefault="00996A8F" w:rsidP="00996A8F">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00996A8F" w:rsidRPr="00725836" w:rsidTr="00141F5D">
        <w:tc>
          <w:tcPr>
            <w:tcW w:w="6408" w:type="dxa"/>
          </w:tcPr>
          <w:p w:rsidR="00996A8F" w:rsidRPr="00B8240F" w:rsidRDefault="00996A8F" w:rsidP="00141F5D">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rsidR="00996A8F" w:rsidRPr="00B8240F" w:rsidRDefault="00996A8F" w:rsidP="00141F5D">
            <w:pPr>
              <w:pStyle w:val="xl24"/>
              <w:spacing w:before="0" w:beforeAutospacing="0" w:after="0" w:afterAutospacing="0"/>
              <w:rPr>
                <w:rFonts w:ascii="Palatino Linotype" w:eastAsia="Times New Roman" w:hAnsi="Palatino Linotype" w:cs="Times New Roman"/>
                <w:bCs w:val="0"/>
                <w:color w:val="000000" w:themeColor="text1"/>
                <w:szCs w:val="20"/>
              </w:rPr>
            </w:pPr>
            <w:r w:rsidRPr="00B8240F">
              <w:rPr>
                <w:rFonts w:ascii="Palatino Linotype" w:eastAsia="Times New Roman" w:hAnsi="Palatino Linotype" w:cs="Times New Roman"/>
                <w:bCs w:val="0"/>
                <w:color w:val="000000" w:themeColor="text1"/>
                <w:szCs w:val="20"/>
              </w:rPr>
              <w:t xml:space="preserve">RESOLUTION T- </w:t>
            </w:r>
            <w:r>
              <w:rPr>
                <w:rFonts w:ascii="Palatino Linotype" w:eastAsia="Times New Roman" w:hAnsi="Palatino Linotype" w:cs="Times New Roman"/>
                <w:bCs w:val="0"/>
                <w:color w:val="000000" w:themeColor="text1"/>
                <w:szCs w:val="20"/>
              </w:rPr>
              <w:t>17514</w:t>
            </w:r>
          </w:p>
        </w:tc>
      </w:tr>
      <w:tr w:rsidR="00996A8F" w:rsidRPr="00725836" w:rsidTr="00141F5D">
        <w:tc>
          <w:tcPr>
            <w:tcW w:w="6408" w:type="dxa"/>
          </w:tcPr>
          <w:p w:rsidR="00996A8F" w:rsidRPr="00B8240F" w:rsidRDefault="00996A8F" w:rsidP="00141F5D">
            <w:pPr>
              <w:rPr>
                <w:rFonts w:ascii="Palatino Linotype" w:hAnsi="Palatino Linotype"/>
                <w:b/>
                <w:color w:val="000000" w:themeColor="text1"/>
              </w:rPr>
            </w:pPr>
            <w:r w:rsidRPr="00416DE6">
              <w:rPr>
                <w:rFonts w:ascii="Palatino Linotype" w:hAnsi="Palatino Linotype"/>
                <w:b/>
                <w:color w:val="000000" w:themeColor="text1"/>
              </w:rPr>
              <w:t>Broadband, Video and Market Branch</w:t>
            </w:r>
          </w:p>
        </w:tc>
        <w:tc>
          <w:tcPr>
            <w:tcW w:w="3168" w:type="dxa"/>
          </w:tcPr>
          <w:p w:rsidR="00996A8F" w:rsidRPr="00B8240F" w:rsidRDefault="00996A8F" w:rsidP="00141F5D">
            <w:pPr>
              <w:jc w:val="right"/>
              <w:rPr>
                <w:rFonts w:ascii="Palatino Linotype" w:hAnsi="Palatino Linotype"/>
                <w:b/>
                <w:color w:val="000000" w:themeColor="text1"/>
              </w:rPr>
            </w:pPr>
            <w:r>
              <w:rPr>
                <w:rFonts w:ascii="Palatino Linotype" w:hAnsi="Palatino Linotype"/>
                <w:b/>
                <w:color w:val="000000" w:themeColor="text1"/>
              </w:rPr>
              <w:t>December 1</w:t>
            </w:r>
            <w:r w:rsidRPr="00B8240F">
              <w:rPr>
                <w:rFonts w:ascii="Palatino Linotype" w:hAnsi="Palatino Linotype"/>
                <w:b/>
                <w:color w:val="000000" w:themeColor="text1"/>
              </w:rPr>
              <w:t>, 2016</w:t>
            </w:r>
          </w:p>
        </w:tc>
      </w:tr>
    </w:tbl>
    <w:p w:rsidR="00996A8F" w:rsidRPr="00B8240F" w:rsidRDefault="00996A8F" w:rsidP="00996A8F">
      <w:pPr>
        <w:tabs>
          <w:tab w:val="right" w:pos="9360"/>
        </w:tabs>
        <w:rPr>
          <w:rFonts w:ascii="Palatino Linotype" w:hAnsi="Palatino Linotype"/>
          <w:b/>
          <w:color w:val="000000" w:themeColor="text1"/>
        </w:rPr>
      </w:pPr>
      <w:r w:rsidRPr="00B8240F">
        <w:rPr>
          <w:rFonts w:ascii="Palatino Linotype" w:hAnsi="Palatino Linotype"/>
          <w:b/>
          <w:color w:val="000000" w:themeColor="text1"/>
        </w:rPr>
        <w:tab/>
      </w:r>
      <w:r w:rsidRPr="00B8240F">
        <w:rPr>
          <w:rFonts w:ascii="Palatino Linotype" w:hAnsi="Palatino Linotype"/>
          <w:b/>
          <w:color w:val="000000" w:themeColor="text1"/>
        </w:rPr>
        <w:tab/>
      </w:r>
      <w:r w:rsidRPr="00B8240F">
        <w:rPr>
          <w:rFonts w:ascii="Palatino Linotype" w:hAnsi="Palatino Linotype"/>
          <w:b/>
          <w:color w:val="000000" w:themeColor="text1"/>
        </w:rPr>
        <w:tab/>
        <w:t xml:space="preserve">        </w:t>
      </w:r>
      <w:r w:rsidRPr="00B8240F">
        <w:rPr>
          <w:rFonts w:ascii="Palatino Linotype" w:hAnsi="Palatino Linotype"/>
          <w:color w:val="000000" w:themeColor="text1"/>
        </w:rPr>
        <w:tab/>
      </w:r>
      <w:r w:rsidRPr="00B8240F">
        <w:rPr>
          <w:rFonts w:ascii="Palatino Linotype" w:hAnsi="Palatino Linotype"/>
          <w:color w:val="000000" w:themeColor="text1"/>
        </w:rPr>
        <w:tab/>
      </w:r>
    </w:p>
    <w:p w:rsidR="00996A8F" w:rsidRPr="00B8240F" w:rsidRDefault="00996A8F" w:rsidP="00996A8F">
      <w:pPr>
        <w:tabs>
          <w:tab w:val="right" w:pos="10080"/>
        </w:tabs>
        <w:rPr>
          <w:rFonts w:ascii="Palatino Linotype" w:hAnsi="Palatino Linotype"/>
          <w:color w:val="000000" w:themeColor="text1"/>
        </w:rPr>
      </w:pPr>
    </w:p>
    <w:p w:rsidR="00996A8F" w:rsidRPr="00B8240F" w:rsidRDefault="00996A8F" w:rsidP="00996A8F">
      <w:pPr>
        <w:tabs>
          <w:tab w:val="right" w:pos="10080"/>
        </w:tabs>
        <w:jc w:val="center"/>
        <w:rPr>
          <w:rFonts w:ascii="Palatino Linotype" w:hAnsi="Palatino Linotype"/>
          <w:b/>
          <w:color w:val="000000" w:themeColor="text1"/>
          <w:u w:val="single"/>
        </w:rPr>
      </w:pPr>
      <w:r w:rsidRPr="00B8240F">
        <w:rPr>
          <w:rFonts w:ascii="Palatino Linotype" w:hAnsi="Palatino Linotype"/>
          <w:b/>
          <w:color w:val="000000" w:themeColor="text1"/>
          <w:u w:val="single"/>
        </w:rPr>
        <w:t>R</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E</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S</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L</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U</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T</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I</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N</w:t>
      </w:r>
    </w:p>
    <w:p w:rsidR="00996A8F" w:rsidRPr="000571D5" w:rsidRDefault="00996A8F" w:rsidP="00996A8F">
      <w:pPr>
        <w:tabs>
          <w:tab w:val="right" w:pos="10080"/>
        </w:tabs>
        <w:jc w:val="center"/>
        <w:rPr>
          <w:rFonts w:ascii="Palatino Linotype" w:hAnsi="Palatino Linotype"/>
          <w:b/>
          <w:color w:val="000000" w:themeColor="text1"/>
        </w:rPr>
      </w:pPr>
    </w:p>
    <w:p w:rsidR="00996A8F" w:rsidRPr="000571D5" w:rsidRDefault="00996A8F" w:rsidP="00996A8F">
      <w:pPr>
        <w:tabs>
          <w:tab w:val="right" w:pos="10080"/>
        </w:tabs>
        <w:rPr>
          <w:rFonts w:ascii="Palatino Linotype" w:hAnsi="Palatino Linotype"/>
          <w:color w:val="000000" w:themeColor="text1"/>
        </w:rPr>
      </w:pPr>
    </w:p>
    <w:p w:rsidR="00996A8F" w:rsidRPr="000571D5" w:rsidRDefault="00996A8F" w:rsidP="00996A8F">
      <w:pPr>
        <w:tabs>
          <w:tab w:val="right" w:pos="10080"/>
        </w:tabs>
        <w:rPr>
          <w:rFonts w:ascii="Palatino Linotype" w:hAnsi="Palatino Linotype"/>
          <w:b/>
          <w:color w:val="000000" w:themeColor="text1"/>
          <w:u w:val="single"/>
        </w:rPr>
      </w:pPr>
      <w:r>
        <w:rPr>
          <w:rFonts w:ascii="Palatino Linotype" w:hAnsi="Palatino Linotype"/>
          <w:b/>
          <w:color w:val="000000" w:themeColor="text1"/>
        </w:rPr>
        <w:t>RESOLUTION T-17514</w:t>
      </w:r>
      <w:r w:rsidRPr="000571D5">
        <w:rPr>
          <w:rFonts w:ascii="Palatino Linotype" w:hAnsi="Palatino Linotype"/>
          <w:b/>
          <w:color w:val="000000" w:themeColor="text1"/>
        </w:rPr>
        <w:t xml:space="preserve">:  </w:t>
      </w:r>
      <w:r>
        <w:rPr>
          <w:rFonts w:ascii="Palatino Linotype" w:hAnsi="Palatino Linotype"/>
          <w:b/>
        </w:rPr>
        <w:t>Approval of thirty-five (35) public housing infrastructure grants under the California Advanced Services Fund’s Broadband Public Housing Account totaling $1,475,481</w:t>
      </w:r>
    </w:p>
    <w:p w:rsidR="00996A8F" w:rsidRPr="000571D5" w:rsidRDefault="00996A8F" w:rsidP="00996A8F">
      <w:pPr>
        <w:tabs>
          <w:tab w:val="right" w:pos="9360"/>
        </w:tabs>
        <w:rPr>
          <w:rFonts w:ascii="Palatino Linotype" w:hAnsi="Palatino Linotype"/>
          <w:b/>
          <w:color w:val="000000" w:themeColor="text1"/>
        </w:rPr>
      </w:pPr>
      <w:r w:rsidRPr="000571D5">
        <w:rPr>
          <w:rFonts w:ascii="Palatino Linotype" w:hAnsi="Palatino Linotype"/>
          <w:b/>
          <w:color w:val="000000" w:themeColor="text1"/>
          <w:u w:val="single"/>
        </w:rPr>
        <w:tab/>
      </w:r>
    </w:p>
    <w:p w:rsidR="00996A8F" w:rsidRPr="000571D5" w:rsidRDefault="00996A8F" w:rsidP="00996A8F">
      <w:pPr>
        <w:tabs>
          <w:tab w:val="right" w:pos="10080"/>
        </w:tabs>
        <w:rPr>
          <w:rFonts w:ascii="Palatino Linotype" w:hAnsi="Palatino Linotype"/>
          <w:color w:val="000000" w:themeColor="text1"/>
        </w:rPr>
      </w:pPr>
    </w:p>
    <w:p w:rsidR="00996A8F" w:rsidRPr="000571D5" w:rsidRDefault="00996A8F" w:rsidP="00996A8F">
      <w:pPr>
        <w:tabs>
          <w:tab w:val="right" w:pos="10080"/>
        </w:tabs>
        <w:rPr>
          <w:rFonts w:ascii="Palatino Linotype" w:hAnsi="Palatino Linotype"/>
          <w:b/>
          <w:color w:val="000000" w:themeColor="text1"/>
        </w:rPr>
      </w:pPr>
      <w:r w:rsidRPr="000571D5">
        <w:rPr>
          <w:rFonts w:ascii="Palatino Linotype" w:hAnsi="Palatino Linotype"/>
          <w:b/>
          <w:color w:val="000000" w:themeColor="text1"/>
        </w:rPr>
        <w:t>I.     SUMMARY</w:t>
      </w:r>
    </w:p>
    <w:p w:rsidR="00996A8F" w:rsidRPr="000571D5" w:rsidRDefault="00996A8F" w:rsidP="00996A8F">
      <w:pPr>
        <w:tabs>
          <w:tab w:val="right" w:pos="10080"/>
        </w:tabs>
        <w:rPr>
          <w:rFonts w:ascii="Palatino Linotype" w:hAnsi="Palatino Linotype"/>
          <w:color w:val="000000" w:themeColor="text1"/>
          <w:u w:val="single"/>
        </w:rPr>
      </w:pPr>
    </w:p>
    <w:p w:rsidR="00996A8F" w:rsidRDefault="00996A8F" w:rsidP="00996A8F">
      <w:pPr>
        <w:rPr>
          <w:rFonts w:ascii="Palatino Linotype" w:hAnsi="Palatino Linotype"/>
          <w:color w:val="000000" w:themeColor="text1"/>
        </w:rPr>
      </w:pPr>
      <w:r w:rsidRPr="000571D5">
        <w:rPr>
          <w:rFonts w:ascii="Palatino Linotype" w:hAnsi="Palatino Linotype"/>
          <w:color w:val="000000" w:themeColor="text1"/>
        </w:rPr>
        <w:t xml:space="preserve">This Resolution approves grant funding in the amount of </w:t>
      </w:r>
      <w:r>
        <w:rPr>
          <w:rFonts w:ascii="Palatino Linotype" w:hAnsi="Palatino Linotype"/>
          <w:color w:val="000000" w:themeColor="text1"/>
        </w:rPr>
        <w:t>$</w:t>
      </w:r>
      <w:r w:rsidRPr="00774145">
        <w:rPr>
          <w:rFonts w:ascii="Palatino Linotype" w:hAnsi="Palatino Linotype"/>
          <w:color w:val="000000" w:themeColor="text1"/>
        </w:rPr>
        <w:t>1,475,481</w:t>
      </w:r>
      <w:r>
        <w:rPr>
          <w:rFonts w:ascii="Palatino Linotype" w:hAnsi="Palatino Linotype"/>
          <w:color w:val="000000" w:themeColor="text1"/>
        </w:rPr>
        <w:t xml:space="preserve"> </w:t>
      </w:r>
      <w:r w:rsidRPr="000571D5">
        <w:rPr>
          <w:rFonts w:ascii="Palatino Linotype" w:hAnsi="Palatino Linotype"/>
          <w:color w:val="000000" w:themeColor="text1"/>
        </w:rPr>
        <w:t xml:space="preserve">from the California Advanced Services Fund (CASF) Broadband Public Housing Account (BPHA) </w:t>
      </w:r>
      <w:r w:rsidR="005A03D8">
        <w:rPr>
          <w:rFonts w:ascii="Palatino Linotype" w:hAnsi="Palatino Linotype"/>
          <w:color w:val="000000" w:themeColor="text1"/>
        </w:rPr>
        <w:t>for 35 projects from nine</w:t>
      </w:r>
      <w:r>
        <w:rPr>
          <w:rFonts w:ascii="Palatino Linotype" w:hAnsi="Palatino Linotype"/>
          <w:color w:val="000000" w:themeColor="text1"/>
        </w:rPr>
        <w:t xml:space="preserve"> applicants.  </w:t>
      </w:r>
      <w:r w:rsidR="005A03D8">
        <w:rPr>
          <w:rFonts w:ascii="Palatino Linotype" w:hAnsi="Palatino Linotype"/>
        </w:rPr>
        <w:t>These 35</w:t>
      </w:r>
      <w:r>
        <w:rPr>
          <w:rFonts w:ascii="Palatino Linotype" w:hAnsi="Palatino Linotype"/>
        </w:rPr>
        <w:t xml:space="preserve"> projects will deploy broadband infrastructure capable of 6 mbps download and 1.5 mbps upload for </w:t>
      </w:r>
      <w:r w:rsidRPr="00774145">
        <w:rPr>
          <w:rFonts w:ascii="Palatino Linotype" w:hAnsi="Palatino Linotype"/>
        </w:rPr>
        <w:t>2,353</w:t>
      </w:r>
      <w:r>
        <w:rPr>
          <w:rFonts w:ascii="Palatino Linotype" w:hAnsi="Palatino Linotype"/>
        </w:rPr>
        <w:t xml:space="preserve"> living units in these Publicly Supported Communities (PSCs).  </w:t>
      </w:r>
      <w:r w:rsidRPr="00C35104">
        <w:rPr>
          <w:rFonts w:ascii="Palatino Linotype" w:hAnsi="Palatino Linotype"/>
          <w:color w:val="000000" w:themeColor="text1"/>
        </w:rPr>
        <w:t xml:space="preserve">The deployment of affordable broadband in public housing will </w:t>
      </w:r>
      <w:r>
        <w:rPr>
          <w:rFonts w:ascii="Palatino Linotype" w:hAnsi="Palatino Linotype"/>
          <w:color w:val="000000" w:themeColor="text1"/>
        </w:rPr>
        <w:t>also provide enhanced</w:t>
      </w:r>
      <w:r w:rsidRPr="00C35104">
        <w:rPr>
          <w:rFonts w:ascii="Palatino Linotype" w:hAnsi="Palatino Linotype"/>
          <w:color w:val="000000" w:themeColor="text1"/>
        </w:rPr>
        <w:t xml:space="preserve"> access to government and e-health services, which improves </w:t>
      </w:r>
      <w:r>
        <w:rPr>
          <w:rFonts w:ascii="Palatino Linotype" w:hAnsi="Palatino Linotype"/>
          <w:color w:val="000000" w:themeColor="text1"/>
        </w:rPr>
        <w:t xml:space="preserve">public </w:t>
      </w:r>
      <w:r w:rsidRPr="00C35104">
        <w:rPr>
          <w:rFonts w:ascii="Palatino Linotype" w:hAnsi="Palatino Linotype"/>
          <w:color w:val="000000" w:themeColor="text1"/>
        </w:rPr>
        <w:t>safety.</w:t>
      </w:r>
    </w:p>
    <w:p w:rsidR="00996A8F" w:rsidRDefault="00996A8F" w:rsidP="00996A8F">
      <w:pPr>
        <w:rPr>
          <w:rFonts w:ascii="Palatino Linotype" w:hAnsi="Palatino Linotype"/>
          <w:color w:val="000000" w:themeColor="text1"/>
        </w:rPr>
      </w:pPr>
    </w:p>
    <w:p w:rsidR="00996A8F" w:rsidRDefault="00996A8F" w:rsidP="00996A8F">
      <w:pPr>
        <w:rPr>
          <w:rFonts w:ascii="Palatino Linotype" w:hAnsi="Palatino Linotype"/>
          <w:color w:val="000000" w:themeColor="text1"/>
        </w:rPr>
      </w:pPr>
      <w:r>
        <w:rPr>
          <w:rFonts w:ascii="Palatino Linotype" w:hAnsi="Palatino Linotype"/>
          <w:color w:val="000000" w:themeColor="text1"/>
        </w:rPr>
        <w:t>Table 1, below, lists the thirty-five public housing infrastructure grants approved:</w:t>
      </w:r>
    </w:p>
    <w:p w:rsidR="00996A8F" w:rsidRDefault="00996A8F" w:rsidP="00996A8F">
      <w:pPr>
        <w:rPr>
          <w:rFonts w:ascii="Palatino Linotype" w:hAnsi="Palatino Linotype"/>
          <w:color w:val="000000" w:themeColor="text1"/>
        </w:rPr>
      </w:pPr>
    </w:p>
    <w:p w:rsidR="00996A8F" w:rsidRDefault="00996A8F" w:rsidP="00996A8F">
      <w:pPr>
        <w:jc w:val="center"/>
        <w:rPr>
          <w:rFonts w:ascii="Palatino Linotype" w:hAnsi="Palatino Linotype"/>
          <w:b/>
          <w:color w:val="000000" w:themeColor="text1"/>
        </w:rPr>
      </w:pPr>
      <w:r w:rsidRPr="00ED2F4C">
        <w:rPr>
          <w:noProof/>
        </w:rPr>
        <w:lastRenderedPageBreak/>
        <w:drawing>
          <wp:inline distT="0" distB="0" distL="0" distR="0" wp14:anchorId="002FD71F" wp14:editId="465C601B">
            <wp:extent cx="5943600" cy="58540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854088"/>
                    </a:xfrm>
                    <a:prstGeom prst="rect">
                      <a:avLst/>
                    </a:prstGeom>
                    <a:noFill/>
                    <a:ln>
                      <a:noFill/>
                    </a:ln>
                  </pic:spPr>
                </pic:pic>
              </a:graphicData>
            </a:graphic>
          </wp:inline>
        </w:drawing>
      </w:r>
    </w:p>
    <w:p w:rsidR="00996A8F" w:rsidRDefault="00996A8F" w:rsidP="00996A8F">
      <w:pPr>
        <w:tabs>
          <w:tab w:val="right" w:pos="10080"/>
        </w:tabs>
        <w:rPr>
          <w:rFonts w:ascii="Palatino Linotype" w:hAnsi="Palatino Linotype"/>
          <w:b/>
          <w:color w:val="000000" w:themeColor="text1"/>
        </w:rPr>
      </w:pPr>
    </w:p>
    <w:p w:rsidR="00996A8F" w:rsidRPr="000571D5" w:rsidRDefault="00996A8F" w:rsidP="00996A8F">
      <w:pPr>
        <w:tabs>
          <w:tab w:val="right" w:pos="10080"/>
        </w:tabs>
        <w:rPr>
          <w:rFonts w:ascii="Palatino Linotype" w:hAnsi="Palatino Linotype"/>
          <w:b/>
          <w:color w:val="000000" w:themeColor="text1"/>
        </w:rPr>
      </w:pPr>
      <w:r w:rsidRPr="000571D5">
        <w:rPr>
          <w:rFonts w:ascii="Palatino Linotype" w:hAnsi="Palatino Linotype"/>
          <w:b/>
          <w:color w:val="000000" w:themeColor="text1"/>
        </w:rPr>
        <w:t>II.     BACKGROUND</w:t>
      </w:r>
    </w:p>
    <w:p w:rsidR="00996A8F" w:rsidRPr="000571D5" w:rsidRDefault="00996A8F" w:rsidP="00996A8F">
      <w:pPr>
        <w:tabs>
          <w:tab w:val="right" w:pos="10080"/>
        </w:tabs>
        <w:rPr>
          <w:rFonts w:ascii="Palatino Linotype" w:hAnsi="Palatino Linotype"/>
          <w:b/>
          <w:color w:val="000000" w:themeColor="text1"/>
          <w:u w:val="single"/>
        </w:rPr>
      </w:pPr>
    </w:p>
    <w:p w:rsidR="00996A8F" w:rsidRPr="000571D5" w:rsidRDefault="00996A8F" w:rsidP="00996A8F">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On December 18, 2014, the Commission approved </w:t>
      </w:r>
      <w:r w:rsidRPr="000571D5">
        <w:rPr>
          <w:rFonts w:ascii="Palatino Linotype" w:hAnsi="Palatino Linotype" w:cs="Palatino Linotype"/>
          <w:color w:val="000000" w:themeColor="text1"/>
        </w:rPr>
        <w:t xml:space="preserve">D.14-12-039 which </w:t>
      </w:r>
      <w:r w:rsidRPr="000571D5">
        <w:rPr>
          <w:rFonts w:ascii="Palatino Linotype" w:hAnsi="Palatino Linotype"/>
          <w:color w:val="000000" w:themeColor="text1"/>
        </w:rPr>
        <w:t xml:space="preserve">implements the rules and guidelines for the BPHA including: eligibility and application requirements, types of activities and costs to be funded by CASF, criteria for expedited review approval of project applications by Communications Division (CD) staff, and quarterly deadlines for applications beginning January 15, 2015 through October 1, 2016.  Key provisions of the decision relevant to this </w:t>
      </w:r>
      <w:r>
        <w:rPr>
          <w:rFonts w:ascii="Palatino Linotype" w:hAnsi="Palatino Linotype"/>
          <w:color w:val="000000" w:themeColor="text1"/>
        </w:rPr>
        <w:t>R</w:t>
      </w:r>
      <w:r w:rsidRPr="000571D5">
        <w:rPr>
          <w:rFonts w:ascii="Palatino Linotype" w:hAnsi="Palatino Linotype"/>
          <w:color w:val="000000" w:themeColor="text1"/>
        </w:rPr>
        <w:t xml:space="preserve">esolution include: </w:t>
      </w:r>
    </w:p>
    <w:p w:rsidR="00996A8F" w:rsidRPr="000571D5" w:rsidRDefault="00996A8F" w:rsidP="00996A8F">
      <w:pPr>
        <w:tabs>
          <w:tab w:val="right" w:pos="10080"/>
        </w:tabs>
        <w:rPr>
          <w:rFonts w:ascii="Palatino Linotype" w:hAnsi="Palatino Linotype"/>
          <w:color w:val="000000" w:themeColor="text1"/>
        </w:rPr>
      </w:pPr>
    </w:p>
    <w:p w:rsidR="00996A8F" w:rsidRDefault="00996A8F" w:rsidP="00996A8F">
      <w:pPr>
        <w:pStyle w:val="Default"/>
        <w:numPr>
          <w:ilvl w:val="0"/>
          <w:numId w:val="4"/>
        </w:numPr>
        <w:rPr>
          <w:rFonts w:ascii="Palatino" w:hAnsi="Palatino"/>
        </w:rPr>
      </w:pPr>
      <w:r>
        <w:rPr>
          <w:rFonts w:ascii="Palatino Linotype" w:hAnsi="Palatino Linotype" w:cs="Times New Roman"/>
          <w:color w:val="auto"/>
        </w:rPr>
        <w:lastRenderedPageBreak/>
        <w:t>The</w:t>
      </w:r>
      <w:r w:rsidRPr="00737A79">
        <w:rPr>
          <w:rFonts w:ascii="Palatino Linotype" w:hAnsi="Palatino Linotype" w:cs="Times New Roman"/>
          <w:color w:val="auto"/>
        </w:rPr>
        <w:t xml:space="preserve"> Commission </w:t>
      </w:r>
      <w:r>
        <w:rPr>
          <w:rFonts w:ascii="Palatino Linotype" w:hAnsi="Palatino Linotype" w:cs="Times New Roman"/>
          <w:color w:val="auto"/>
        </w:rPr>
        <w:t xml:space="preserve">authorized the </w:t>
      </w:r>
      <w:r w:rsidRPr="00737A79">
        <w:rPr>
          <w:rFonts w:ascii="Palatino Linotype" w:hAnsi="Palatino Linotype" w:cs="Times New Roman"/>
          <w:color w:val="auto"/>
        </w:rPr>
        <w:t xml:space="preserve">CD staff </w:t>
      </w:r>
      <w:r>
        <w:rPr>
          <w:rFonts w:ascii="Palatino Linotype" w:hAnsi="Palatino Linotype" w:cs="Times New Roman"/>
          <w:color w:val="auto"/>
        </w:rPr>
        <w:t xml:space="preserve">to review and </w:t>
      </w:r>
      <w:r w:rsidRPr="00737A79">
        <w:rPr>
          <w:rFonts w:ascii="Palatino Linotype" w:hAnsi="Palatino Linotype" w:cs="Times New Roman"/>
          <w:color w:val="auto"/>
        </w:rPr>
        <w:t xml:space="preserve">approve applications </w:t>
      </w:r>
      <w:r>
        <w:rPr>
          <w:rFonts w:ascii="Palatino Linotype" w:hAnsi="Palatino Linotype" w:cs="Times New Roman"/>
          <w:color w:val="auto"/>
        </w:rPr>
        <w:t>through</w:t>
      </w:r>
      <w:r w:rsidRPr="00737A79">
        <w:rPr>
          <w:rFonts w:ascii="Palatino Linotype" w:hAnsi="Palatino Linotype" w:cs="Times New Roman"/>
          <w:color w:val="auto"/>
        </w:rPr>
        <w:t xml:space="preserve"> </w:t>
      </w:r>
      <w:r>
        <w:rPr>
          <w:rFonts w:ascii="Palatino Linotype" w:hAnsi="Palatino Linotype" w:cs="Times New Roman"/>
          <w:color w:val="auto"/>
        </w:rPr>
        <w:t>e</w:t>
      </w:r>
      <w:r w:rsidRPr="00737A79">
        <w:rPr>
          <w:rFonts w:ascii="Palatino Linotype" w:hAnsi="Palatino Linotype" w:cs="Times New Roman"/>
          <w:color w:val="auto"/>
        </w:rPr>
        <w:t xml:space="preserve">xpedited </w:t>
      </w:r>
      <w:r>
        <w:rPr>
          <w:rFonts w:ascii="Palatino Linotype" w:hAnsi="Palatino Linotype" w:cs="Times New Roman"/>
          <w:color w:val="auto"/>
        </w:rPr>
        <w:t>r</w:t>
      </w:r>
      <w:r w:rsidRPr="00737A79">
        <w:rPr>
          <w:rFonts w:ascii="Palatino Linotype" w:hAnsi="Palatino Linotype" w:cs="Times New Roman"/>
          <w:color w:val="auto"/>
        </w:rPr>
        <w:t xml:space="preserve">eview that meet all of the </w:t>
      </w:r>
      <w:r>
        <w:rPr>
          <w:rFonts w:ascii="Palatino Linotype" w:hAnsi="Palatino Linotype" w:cs="Times New Roman"/>
          <w:color w:val="auto"/>
        </w:rPr>
        <w:t>expedited review criteria.</w:t>
      </w:r>
      <w:r>
        <w:rPr>
          <w:rStyle w:val="FootnoteReference"/>
          <w:rFonts w:ascii="Palatino Linotype" w:hAnsi="Palatino Linotype" w:cs="Times New Roman"/>
          <w:color w:val="auto"/>
        </w:rPr>
        <w:footnoteReference w:id="1"/>
      </w:r>
      <w:r w:rsidRPr="00737A79">
        <w:rPr>
          <w:rFonts w:ascii="Palatino Linotype" w:hAnsi="Palatino Linotype" w:cs="Times New Roman"/>
          <w:color w:val="auto"/>
        </w:rPr>
        <w:t xml:space="preserve"> </w:t>
      </w:r>
      <w:r>
        <w:rPr>
          <w:rFonts w:ascii="Palatino Linotype" w:hAnsi="Palatino Linotype" w:cs="Times New Roman"/>
          <w:color w:val="auto"/>
        </w:rPr>
        <w:t xml:space="preserve"> Applications not meeting the </w:t>
      </w:r>
      <w:r>
        <w:rPr>
          <w:rFonts w:ascii="Palatino" w:hAnsi="Palatino"/>
        </w:rPr>
        <w:t xml:space="preserve">expedited review criteria </w:t>
      </w:r>
      <w:r w:rsidRPr="00872C8B">
        <w:rPr>
          <w:rFonts w:ascii="Palatino" w:hAnsi="Palatino"/>
        </w:rPr>
        <w:t>may still be considered for a grant but it must go through the traditional Commission Resolution approval process.</w:t>
      </w:r>
    </w:p>
    <w:p w:rsidR="00996A8F" w:rsidRDefault="00996A8F" w:rsidP="00996A8F">
      <w:pPr>
        <w:pStyle w:val="Default"/>
        <w:numPr>
          <w:ilvl w:val="0"/>
          <w:numId w:val="4"/>
        </w:numPr>
        <w:rPr>
          <w:rFonts w:ascii="Palatino" w:hAnsi="Palatino"/>
        </w:rPr>
      </w:pPr>
      <w:r>
        <w:rPr>
          <w:rFonts w:ascii="Palatino" w:hAnsi="Palatino"/>
        </w:rPr>
        <w:t>Grants can be awarded to finance up to 100 percent of the installation costs (inside wiring and equipment), but not maintenance or operation costs.</w:t>
      </w:r>
    </w:p>
    <w:p w:rsidR="00996A8F" w:rsidRDefault="00996A8F" w:rsidP="00996A8F">
      <w:pPr>
        <w:pStyle w:val="Default"/>
        <w:numPr>
          <w:ilvl w:val="0"/>
          <w:numId w:val="4"/>
        </w:numPr>
        <w:rPr>
          <w:rFonts w:ascii="Palatino" w:hAnsi="Palatino"/>
        </w:rPr>
      </w:pPr>
      <w:r>
        <w:rPr>
          <w:rFonts w:ascii="Palatino" w:hAnsi="Palatino"/>
        </w:rPr>
        <w:t>Grantees must maintain and operate the network for five years after receiving Commission funding.</w:t>
      </w:r>
    </w:p>
    <w:p w:rsidR="00996A8F" w:rsidRDefault="00996A8F" w:rsidP="00996A8F">
      <w:pPr>
        <w:pStyle w:val="Default"/>
        <w:numPr>
          <w:ilvl w:val="0"/>
          <w:numId w:val="4"/>
        </w:numPr>
        <w:rPr>
          <w:rFonts w:ascii="Palatino" w:hAnsi="Palatino"/>
        </w:rPr>
      </w:pPr>
      <w:r>
        <w:rPr>
          <w:rFonts w:ascii="Palatino" w:hAnsi="Palatino"/>
        </w:rPr>
        <w:t>The proposed network should be capable of offering residents Internet service speeds of at least 6 megabits per second (mbps) downstream and 1.5 mbps upstream with a minimum download speed of 1.5 mbps during average peak utilization periods.</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On June 9, 2016, the Commission approved Resolution T-17515, authorizing CD staff to review and approve applications through expedited review for properties that are wired.</w:t>
      </w:r>
      <w:r>
        <w:rPr>
          <w:rStyle w:val="FootnoteReference"/>
          <w:rFonts w:ascii="Palatino Linotype" w:hAnsi="Palatino Linotype"/>
          <w:color w:val="000000" w:themeColor="text1"/>
        </w:rPr>
        <w:footnoteReference w:id="2"/>
      </w:r>
      <w:r>
        <w:rPr>
          <w:rFonts w:ascii="Palatino Linotype" w:hAnsi="Palatino Linotype"/>
          <w:color w:val="000000" w:themeColor="text1"/>
        </w:rPr>
        <w:t xml:space="preserve"> </w:t>
      </w:r>
    </w:p>
    <w:p w:rsidR="00996A8F" w:rsidRPr="000571D5" w:rsidRDefault="00996A8F" w:rsidP="00996A8F">
      <w:pPr>
        <w:pStyle w:val="Default"/>
        <w:rPr>
          <w:rFonts w:ascii="Palatino Linotype" w:hAnsi="Palatino Linotype"/>
          <w:color w:val="000000" w:themeColor="text1"/>
        </w:rPr>
      </w:pPr>
    </w:p>
    <w:p w:rsidR="00996A8F" w:rsidRPr="000571D5" w:rsidRDefault="00996A8F" w:rsidP="00996A8F">
      <w:pPr>
        <w:tabs>
          <w:tab w:val="right" w:pos="10080"/>
        </w:tabs>
        <w:rPr>
          <w:rFonts w:ascii="Palatino Linotype" w:hAnsi="Palatino Linotype"/>
          <w:b/>
          <w:color w:val="000000" w:themeColor="text1"/>
        </w:rPr>
      </w:pPr>
      <w:bookmarkStart w:id="1" w:name="_Toc444857025"/>
      <w:r w:rsidRPr="000571D5">
        <w:rPr>
          <w:rFonts w:ascii="Palatino Linotype" w:hAnsi="Palatino Linotype"/>
          <w:b/>
          <w:color w:val="000000" w:themeColor="text1"/>
        </w:rPr>
        <w:t>III.     APPLICANT</w:t>
      </w:r>
      <w:r>
        <w:rPr>
          <w:rFonts w:ascii="Palatino Linotype" w:hAnsi="Palatino Linotype"/>
          <w:b/>
          <w:color w:val="000000" w:themeColor="text1"/>
        </w:rPr>
        <w:t>S’</w:t>
      </w:r>
      <w:bookmarkEnd w:id="1"/>
      <w:r>
        <w:rPr>
          <w:rFonts w:ascii="Palatino Linotype" w:hAnsi="Palatino Linotype"/>
          <w:b/>
          <w:color w:val="000000" w:themeColor="text1"/>
        </w:rPr>
        <w:t xml:space="preserve"> REQUEST</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sidRPr="00FB7D20">
        <w:rPr>
          <w:rFonts w:ascii="Palatino Linotype" w:hAnsi="Palatino Linotype" w:cs="Palatino Linotype"/>
        </w:rPr>
        <w:t xml:space="preserve">On July 1, 2015, </w:t>
      </w:r>
      <w:r w:rsidRPr="00D42315">
        <w:rPr>
          <w:rFonts w:ascii="Palatino Linotype" w:hAnsi="Palatino Linotype"/>
          <w:color w:val="000000" w:themeColor="text1"/>
        </w:rPr>
        <w:t xml:space="preserve">Community Housing Works </w:t>
      </w:r>
      <w:r>
        <w:rPr>
          <w:rFonts w:ascii="Palatino Linotype" w:hAnsi="Palatino Linotype"/>
          <w:color w:val="000000" w:themeColor="text1"/>
        </w:rPr>
        <w:t>(</w:t>
      </w:r>
      <w:r w:rsidRPr="005D5054">
        <w:rPr>
          <w:rFonts w:ascii="Palatino Linotype" w:hAnsi="Palatino Linotype"/>
          <w:color w:val="000000" w:themeColor="text1"/>
        </w:rPr>
        <w:t>CHW</w:t>
      </w:r>
      <w:r>
        <w:rPr>
          <w:rFonts w:ascii="Palatino Linotype" w:hAnsi="Palatino Linotype"/>
          <w:color w:val="000000" w:themeColor="text1"/>
        </w:rPr>
        <w:t>)</w:t>
      </w:r>
      <w:r>
        <w:rPr>
          <w:rFonts w:ascii="Palatino Linotype" w:hAnsi="Palatino Linotype" w:cs="Palatino Linotype"/>
        </w:rPr>
        <w:t>,</w:t>
      </w:r>
      <w:r w:rsidRPr="00FB7D20">
        <w:rPr>
          <w:rFonts w:ascii="Palatino Linotype" w:hAnsi="Palatino Linotype" w:cs="Palatino Linotype"/>
        </w:rPr>
        <w:t xml:space="preserve"> </w:t>
      </w:r>
      <w:r>
        <w:rPr>
          <w:rFonts w:ascii="Palatino Linotype" w:hAnsi="Palatino Linotype"/>
          <w:color w:val="000000" w:themeColor="text1"/>
        </w:rPr>
        <w:t xml:space="preserve">the </w:t>
      </w:r>
      <w:r w:rsidRPr="00830CEA">
        <w:rPr>
          <w:rFonts w:ascii="Palatino Linotype" w:hAnsi="Palatino Linotype"/>
          <w:color w:val="000000" w:themeColor="text1"/>
        </w:rPr>
        <w:t xml:space="preserve">Central Valley Coalition for Affordable Housing </w:t>
      </w:r>
      <w:r>
        <w:rPr>
          <w:rFonts w:ascii="Palatino Linotype" w:hAnsi="Palatino Linotype"/>
          <w:color w:val="000000" w:themeColor="text1"/>
        </w:rPr>
        <w:t>(CVCAH)</w:t>
      </w:r>
      <w:r>
        <w:rPr>
          <w:rFonts w:ascii="Palatino Linotype" w:hAnsi="Palatino Linotype" w:cs="Palatino Linotype"/>
        </w:rPr>
        <w:t>,</w:t>
      </w:r>
      <w:r w:rsidRPr="00FB7D20">
        <w:rPr>
          <w:rFonts w:ascii="Palatino Linotype" w:hAnsi="Palatino Linotype" w:cs="Palatino Linotype"/>
        </w:rPr>
        <w:t xml:space="preserve"> </w:t>
      </w:r>
      <w:r>
        <w:rPr>
          <w:rFonts w:ascii="Palatino Linotype" w:hAnsi="Palatino Linotype"/>
          <w:color w:val="000000" w:themeColor="text1"/>
        </w:rPr>
        <w:t>t</w:t>
      </w:r>
      <w:r w:rsidRPr="003A30B6">
        <w:rPr>
          <w:rFonts w:ascii="Palatino Linotype" w:hAnsi="Palatino Linotype"/>
          <w:color w:val="000000" w:themeColor="text1"/>
        </w:rPr>
        <w:t xml:space="preserve">he Housing Authority of the County of Kern </w:t>
      </w:r>
      <w:r>
        <w:rPr>
          <w:rFonts w:ascii="Palatino Linotype" w:hAnsi="Palatino Linotype"/>
          <w:color w:val="000000" w:themeColor="text1"/>
        </w:rPr>
        <w:t>(HACK)</w:t>
      </w:r>
      <w:r w:rsidRPr="00FB7D20">
        <w:rPr>
          <w:rFonts w:ascii="Palatino Linotype" w:hAnsi="Palatino Linotype" w:cs="Palatino Linotype"/>
        </w:rPr>
        <w:t xml:space="preserve">, </w:t>
      </w:r>
      <w:r>
        <w:rPr>
          <w:rFonts w:ascii="Palatino Linotype" w:hAnsi="Palatino Linotype"/>
          <w:color w:val="000000" w:themeColor="text1"/>
        </w:rPr>
        <w:t>t</w:t>
      </w:r>
      <w:r w:rsidRPr="00590733">
        <w:rPr>
          <w:rFonts w:ascii="Palatino Linotype" w:hAnsi="Palatino Linotype"/>
          <w:color w:val="000000" w:themeColor="text1"/>
        </w:rPr>
        <w:t>he Housing Authority of the County of Santa Barbara (HACSB)</w:t>
      </w:r>
      <w:r w:rsidRPr="00FB7D20">
        <w:rPr>
          <w:rFonts w:ascii="Palatino Linotype" w:hAnsi="Palatino Linotype" w:cs="Palatino Linotype"/>
        </w:rPr>
        <w:t xml:space="preserve">, </w:t>
      </w:r>
      <w:r>
        <w:rPr>
          <w:rFonts w:ascii="Palatino Linotype" w:hAnsi="Palatino Linotype"/>
          <w:color w:val="000000" w:themeColor="text1"/>
        </w:rPr>
        <w:t>Surf Development Company (Surf)</w:t>
      </w:r>
      <w:r w:rsidRPr="00FB7D20">
        <w:rPr>
          <w:rFonts w:ascii="Palatino Linotype" w:hAnsi="Palatino Linotype" w:cs="Palatino Linotype"/>
        </w:rPr>
        <w:t xml:space="preserve"> and </w:t>
      </w:r>
      <w:r>
        <w:rPr>
          <w:rFonts w:ascii="Palatino Linotype" w:hAnsi="Palatino Linotype"/>
          <w:color w:val="000000" w:themeColor="text1"/>
        </w:rPr>
        <w:t xml:space="preserve">Banneker Homes, Inc., (Banneker) </w:t>
      </w:r>
      <w:r w:rsidRPr="00FB7D20">
        <w:rPr>
          <w:rFonts w:ascii="Palatino Linotype" w:hAnsi="Palatino Linotype" w:cs="Palatino Linotype"/>
        </w:rPr>
        <w:t xml:space="preserve">submitted applications for CASF funding.  On April 1, 2016, </w:t>
      </w:r>
      <w:r>
        <w:rPr>
          <w:rFonts w:ascii="Palatino Linotype" w:hAnsi="Palatino Linotype"/>
          <w:color w:val="000000" w:themeColor="text1"/>
        </w:rPr>
        <w:t>Napa Valley Community Housing (NVCH)</w:t>
      </w:r>
      <w:r w:rsidRPr="00FB7D20">
        <w:rPr>
          <w:rFonts w:ascii="Palatino Linotype" w:hAnsi="Palatino Linotype" w:cs="Palatino Linotype"/>
        </w:rPr>
        <w:t xml:space="preserve"> and </w:t>
      </w:r>
      <w:r>
        <w:rPr>
          <w:rFonts w:ascii="Palatino Linotype" w:hAnsi="Palatino Linotype"/>
          <w:color w:val="000000" w:themeColor="text1"/>
        </w:rPr>
        <w:t>Peoples’ Self-Help Housing</w:t>
      </w:r>
      <w:r w:rsidRPr="00D42315">
        <w:rPr>
          <w:rFonts w:ascii="Palatino Linotype" w:hAnsi="Palatino Linotype"/>
          <w:color w:val="000000" w:themeColor="text1"/>
        </w:rPr>
        <w:t xml:space="preserve"> </w:t>
      </w:r>
      <w:r>
        <w:rPr>
          <w:rFonts w:ascii="Palatino Linotype" w:hAnsi="Palatino Linotype"/>
          <w:color w:val="000000" w:themeColor="text1"/>
        </w:rPr>
        <w:t>(PSHH)</w:t>
      </w:r>
      <w:r w:rsidRPr="00FB7D20">
        <w:rPr>
          <w:rFonts w:ascii="Palatino Linotype" w:hAnsi="Palatino Linotype" w:cs="Palatino Linotype"/>
        </w:rPr>
        <w:t xml:space="preserve"> submitted applications for CASF funding.  On July 1, 2016, </w:t>
      </w:r>
      <w:r w:rsidRPr="006D6B9D">
        <w:rPr>
          <w:rFonts w:ascii="Palatino Linotype" w:hAnsi="Palatino Linotype"/>
          <w:color w:val="000000" w:themeColor="text1"/>
        </w:rPr>
        <w:t>EAH Housing (EAH)</w:t>
      </w:r>
      <w:r w:rsidRPr="00FB7D20">
        <w:rPr>
          <w:rFonts w:ascii="Palatino Linotype" w:hAnsi="Palatino Linotype" w:cs="Palatino Linotype"/>
        </w:rPr>
        <w:t xml:space="preserve"> submitted </w:t>
      </w:r>
      <w:r>
        <w:rPr>
          <w:rFonts w:ascii="Palatino Linotype" w:hAnsi="Palatino Linotype" w:cs="Palatino Linotype"/>
        </w:rPr>
        <w:t>an application</w:t>
      </w:r>
      <w:r w:rsidRPr="00FB7D20">
        <w:rPr>
          <w:rFonts w:ascii="Palatino Linotype" w:hAnsi="Palatino Linotype" w:cs="Palatino Linotype"/>
        </w:rPr>
        <w:t xml:space="preserve"> for CASF funding</w:t>
      </w:r>
      <w:r>
        <w:rPr>
          <w:rFonts w:ascii="Palatino Linotype" w:hAnsi="Palatino Linotype"/>
          <w:color w:val="000000" w:themeColor="text1"/>
        </w:rPr>
        <w:t>.</w:t>
      </w:r>
      <w:r>
        <w:rPr>
          <w:rStyle w:val="FootnoteReference"/>
          <w:rFonts w:ascii="Palatino Linotype" w:hAnsi="Palatino Linotype"/>
          <w:color w:val="000000" w:themeColor="text1"/>
        </w:rPr>
        <w:footnoteReference w:id="3"/>
      </w:r>
      <w:r>
        <w:rPr>
          <w:rFonts w:ascii="Palatino Linotype" w:hAnsi="Palatino Linotype"/>
          <w:color w:val="000000" w:themeColor="text1"/>
        </w:rPr>
        <w:t xml:space="preserve">  In total, this Resolution addresses projects from nine applicants. </w:t>
      </w:r>
    </w:p>
    <w:p w:rsidR="00996A8F" w:rsidRPr="000571D5"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sidRPr="008D4C86">
        <w:rPr>
          <w:rFonts w:ascii="Palatino Linotype" w:hAnsi="Palatino Linotype"/>
          <w:i/>
          <w:color w:val="000000" w:themeColor="text1"/>
        </w:rPr>
        <w:t>Applicants:</w:t>
      </w:r>
      <w:r>
        <w:rPr>
          <w:rFonts w:ascii="Palatino Linotype" w:hAnsi="Palatino Linotype"/>
          <w:color w:val="000000" w:themeColor="text1"/>
        </w:rPr>
        <w:t xml:space="preserve">  All nine applicants are eligible applicants as defined in D</w:t>
      </w:r>
      <w:r w:rsidRPr="000571D5">
        <w:rPr>
          <w:rFonts w:ascii="Palatino Linotype" w:hAnsi="Palatino Linotype" w:cs="Palatino Linotype"/>
          <w:color w:val="000000" w:themeColor="text1"/>
        </w:rPr>
        <w:t>.14-12-039</w:t>
      </w:r>
      <w:r>
        <w:rPr>
          <w:rFonts w:ascii="Palatino Linotype" w:hAnsi="Palatino Linotype"/>
          <w:color w:val="000000" w:themeColor="text1"/>
        </w:rPr>
        <w:t>.</w:t>
      </w:r>
      <w:r>
        <w:rPr>
          <w:rStyle w:val="FootnoteReference"/>
          <w:rFonts w:ascii="Palatino Linotype" w:hAnsi="Palatino Linotype"/>
          <w:color w:val="000000" w:themeColor="text1"/>
        </w:rPr>
        <w:footnoteReference w:id="4"/>
      </w:r>
      <w:r>
        <w:rPr>
          <w:rFonts w:ascii="Palatino Linotype" w:hAnsi="Palatino Linotype"/>
          <w:color w:val="000000" w:themeColor="text1"/>
        </w:rPr>
        <w:t xml:space="preserve">  </w:t>
      </w:r>
    </w:p>
    <w:p w:rsidR="00996A8F" w:rsidRDefault="00996A8F" w:rsidP="00996A8F">
      <w:pPr>
        <w:pStyle w:val="Default"/>
        <w:rPr>
          <w:rFonts w:ascii="Palatino Linotype" w:hAnsi="Palatino Linotype"/>
          <w:color w:val="000000" w:themeColor="text1"/>
        </w:rPr>
      </w:pPr>
    </w:p>
    <w:p w:rsidR="00996A8F" w:rsidRPr="005D5054" w:rsidRDefault="00996A8F" w:rsidP="00996A8F">
      <w:pPr>
        <w:pStyle w:val="Default"/>
        <w:rPr>
          <w:rFonts w:ascii="Palatino Linotype" w:hAnsi="Palatino Linotype"/>
          <w:color w:val="000000" w:themeColor="text1"/>
        </w:rPr>
      </w:pPr>
      <w:r w:rsidRPr="005D5054">
        <w:rPr>
          <w:rFonts w:ascii="Palatino Linotype" w:hAnsi="Palatino Linotype"/>
          <w:color w:val="000000" w:themeColor="text1"/>
        </w:rPr>
        <w:t>CHW has been approved by the IRS as a 501(c</w:t>
      </w:r>
      <w:proofErr w:type="gramStart"/>
      <w:r w:rsidRPr="005D5054">
        <w:rPr>
          <w:rFonts w:ascii="Palatino Linotype" w:hAnsi="Palatino Linotype"/>
          <w:color w:val="000000" w:themeColor="text1"/>
        </w:rPr>
        <w:t>)(</w:t>
      </w:r>
      <w:proofErr w:type="gramEnd"/>
      <w:r w:rsidRPr="005D5054">
        <w:rPr>
          <w:rFonts w:ascii="Palatino Linotype" w:hAnsi="Palatino Linotype"/>
          <w:color w:val="000000" w:themeColor="text1"/>
        </w:rPr>
        <w:t xml:space="preserve">3) nonprofit organization for providing affordable housing since 1992.  CHW has over 2,400 rental apartments in 34 communities statewide, has a less than 1% vacancy rate and a wait list of 36,000.   </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CVCAH</w:t>
      </w:r>
      <w:r w:rsidRPr="005D5054">
        <w:rPr>
          <w:rFonts w:ascii="Palatino Linotype" w:hAnsi="Palatino Linotype"/>
          <w:color w:val="000000" w:themeColor="text1"/>
        </w:rPr>
        <w:t xml:space="preserve"> has been approved by the IRS as a 501(c</w:t>
      </w:r>
      <w:proofErr w:type="gramStart"/>
      <w:r w:rsidRPr="005D5054">
        <w:rPr>
          <w:rFonts w:ascii="Palatino Linotype" w:hAnsi="Palatino Linotype"/>
          <w:color w:val="000000" w:themeColor="text1"/>
        </w:rPr>
        <w:t>)(</w:t>
      </w:r>
      <w:proofErr w:type="gramEnd"/>
      <w:r w:rsidRPr="005D5054">
        <w:rPr>
          <w:rFonts w:ascii="Palatino Linotype" w:hAnsi="Palatino Linotype"/>
          <w:color w:val="000000" w:themeColor="text1"/>
        </w:rPr>
        <w:t>3) nonprofit organization for providi</w:t>
      </w:r>
      <w:r>
        <w:rPr>
          <w:rFonts w:ascii="Palatino Linotype" w:hAnsi="Palatino Linotype"/>
          <w:color w:val="000000" w:themeColor="text1"/>
        </w:rPr>
        <w:t xml:space="preserve">ng affordable housing since 1989.  CVCAH </w:t>
      </w:r>
      <w:r w:rsidRPr="00387BEB">
        <w:rPr>
          <w:rFonts w:ascii="Palatino Linotype" w:hAnsi="Palatino Linotype"/>
          <w:color w:val="000000" w:themeColor="text1"/>
        </w:rPr>
        <w:t>has projec</w:t>
      </w:r>
      <w:r>
        <w:rPr>
          <w:rFonts w:ascii="Palatino Linotype" w:hAnsi="Palatino Linotype"/>
          <w:color w:val="000000" w:themeColor="text1"/>
        </w:rPr>
        <w:t>ts in 90 cities in California, two</w:t>
      </w:r>
      <w:r w:rsidR="00A10687">
        <w:rPr>
          <w:rFonts w:ascii="Palatino Linotype" w:hAnsi="Palatino Linotype"/>
          <w:color w:val="000000" w:themeColor="text1"/>
        </w:rPr>
        <w:t xml:space="preserve"> cities in Arizona and one</w:t>
      </w:r>
      <w:r w:rsidRPr="00387BEB">
        <w:rPr>
          <w:rFonts w:ascii="Palatino Linotype" w:hAnsi="Palatino Linotype"/>
          <w:color w:val="000000" w:themeColor="text1"/>
        </w:rPr>
        <w:t xml:space="preserve"> city in Washington </w:t>
      </w:r>
      <w:r w:rsidR="00A10687">
        <w:rPr>
          <w:rFonts w:ascii="Palatino Linotype" w:hAnsi="Palatino Linotype"/>
          <w:color w:val="000000" w:themeColor="text1"/>
        </w:rPr>
        <w:t>State</w:t>
      </w:r>
      <w:r w:rsidR="007C1C1C">
        <w:rPr>
          <w:rFonts w:ascii="Palatino Linotype" w:hAnsi="Palatino Linotype"/>
          <w:color w:val="000000" w:themeColor="text1"/>
        </w:rPr>
        <w:t>,</w:t>
      </w:r>
      <w:r w:rsidR="00A10687">
        <w:rPr>
          <w:rFonts w:ascii="Palatino Linotype" w:hAnsi="Palatino Linotype"/>
          <w:color w:val="000000" w:themeColor="text1"/>
        </w:rPr>
        <w:t xml:space="preserve"> </w:t>
      </w:r>
      <w:r w:rsidRPr="00387BEB">
        <w:rPr>
          <w:rFonts w:ascii="Palatino Linotype" w:hAnsi="Palatino Linotype"/>
          <w:color w:val="000000" w:themeColor="text1"/>
        </w:rPr>
        <w:t xml:space="preserve">which </w:t>
      </w:r>
      <w:r w:rsidR="007C1C1C" w:rsidRPr="00387BEB">
        <w:rPr>
          <w:rFonts w:ascii="Palatino Linotype" w:hAnsi="Palatino Linotype"/>
          <w:color w:val="000000" w:themeColor="text1"/>
        </w:rPr>
        <w:t>provides</w:t>
      </w:r>
      <w:r w:rsidRPr="00387BEB">
        <w:rPr>
          <w:rFonts w:ascii="Palatino Linotype" w:hAnsi="Palatino Linotype"/>
          <w:color w:val="000000" w:themeColor="text1"/>
        </w:rPr>
        <w:t xml:space="preserve"> more than 16,000 units to low income families</w:t>
      </w:r>
      <w:r>
        <w:rPr>
          <w:rFonts w:ascii="Palatino Linotype" w:hAnsi="Palatino Linotype"/>
          <w:color w:val="000000" w:themeColor="text1"/>
        </w:rPr>
        <w:t>.</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 xml:space="preserve">HACK </w:t>
      </w:r>
      <w:r w:rsidRPr="003A30B6">
        <w:rPr>
          <w:rFonts w:ascii="Palatino Linotype" w:hAnsi="Palatino Linotype"/>
          <w:color w:val="000000" w:themeColor="text1"/>
        </w:rPr>
        <w:t>began operating as a public housing authority in 1940 and currently owns or manages 2,117 affordable housing units</w:t>
      </w:r>
      <w:r>
        <w:rPr>
          <w:rFonts w:ascii="Palatino Linotype" w:hAnsi="Palatino Linotype"/>
          <w:color w:val="000000" w:themeColor="text1"/>
        </w:rPr>
        <w:t>.  It has provided affordable housing to over 150,000 persons and has wait lists of 10,616 for their voucher program and 13,903 for their low-income public housing.</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sidRPr="00590733">
        <w:rPr>
          <w:rFonts w:ascii="Palatino Linotype" w:hAnsi="Palatino Linotype"/>
          <w:color w:val="000000" w:themeColor="text1"/>
        </w:rPr>
        <w:t>HACSB began operating as a public housing authority in 1941.  It serves 4,877 extremely low, very low and low-income households.  HACSB assists 3,685 households through the federal Section 8 Housing Choice Voucher program and manages and maintains 1,192 affordable housing units.</w:t>
      </w:r>
    </w:p>
    <w:p w:rsidR="00996A8F" w:rsidRDefault="00996A8F" w:rsidP="00996A8F">
      <w:pPr>
        <w:pStyle w:val="Default"/>
        <w:jc w:val="center"/>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 xml:space="preserve">Surf </w:t>
      </w:r>
      <w:r w:rsidRPr="005D5054">
        <w:rPr>
          <w:rFonts w:ascii="Palatino Linotype" w:hAnsi="Palatino Linotype"/>
          <w:color w:val="000000" w:themeColor="text1"/>
        </w:rPr>
        <w:t>has been approved by the IRS as a 501(c</w:t>
      </w:r>
      <w:proofErr w:type="gramStart"/>
      <w:r w:rsidRPr="005D5054">
        <w:rPr>
          <w:rFonts w:ascii="Palatino Linotype" w:hAnsi="Palatino Linotype"/>
          <w:color w:val="000000" w:themeColor="text1"/>
        </w:rPr>
        <w:t>)(</w:t>
      </w:r>
      <w:proofErr w:type="gramEnd"/>
      <w:r w:rsidRPr="005D5054">
        <w:rPr>
          <w:rFonts w:ascii="Palatino Linotype" w:hAnsi="Palatino Linotype"/>
          <w:color w:val="000000" w:themeColor="text1"/>
        </w:rPr>
        <w:t>3) nonprofit organization for providi</w:t>
      </w:r>
      <w:r>
        <w:rPr>
          <w:rFonts w:ascii="Palatino Linotype" w:hAnsi="Palatino Linotype"/>
          <w:color w:val="000000" w:themeColor="text1"/>
        </w:rPr>
        <w:t xml:space="preserve">ng affordable housing since 1988.  Surf currently manages 622 low-income housing units on 13 properties on which there is a 1% vacancy rate and is participating through limited partnerships with the development of five other properties.  Surf works closely with HACSB in the development of low-income housing in Santa Barbara County.  </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 xml:space="preserve">Banneker </w:t>
      </w:r>
      <w:r w:rsidRPr="00117387">
        <w:rPr>
          <w:rFonts w:ascii="Palatino Linotype" w:hAnsi="Palatino Linotype"/>
          <w:color w:val="000000" w:themeColor="text1"/>
        </w:rPr>
        <w:t>has been approved by the IRS as a 501(c</w:t>
      </w:r>
      <w:proofErr w:type="gramStart"/>
      <w:r w:rsidRPr="00117387">
        <w:rPr>
          <w:rFonts w:ascii="Palatino Linotype" w:hAnsi="Palatino Linotype"/>
          <w:color w:val="000000" w:themeColor="text1"/>
        </w:rPr>
        <w:t>)(</w:t>
      </w:r>
      <w:proofErr w:type="gramEnd"/>
      <w:r w:rsidRPr="00117387">
        <w:rPr>
          <w:rFonts w:ascii="Palatino Linotype" w:hAnsi="Palatino Linotype"/>
          <w:color w:val="000000" w:themeColor="text1"/>
        </w:rPr>
        <w:t>3) nonprofit organization for providi</w:t>
      </w:r>
      <w:r>
        <w:rPr>
          <w:rFonts w:ascii="Palatino Linotype" w:hAnsi="Palatino Linotype"/>
          <w:color w:val="000000" w:themeColor="text1"/>
        </w:rPr>
        <w:t>ng affordable housing since 2005</w:t>
      </w:r>
      <w:r w:rsidRPr="00117387">
        <w:rPr>
          <w:rFonts w:ascii="Palatino Linotype" w:hAnsi="Palatino Linotype"/>
          <w:color w:val="000000" w:themeColor="text1"/>
        </w:rPr>
        <w:t xml:space="preserve">.  </w:t>
      </w:r>
      <w:r>
        <w:rPr>
          <w:rFonts w:ascii="Palatino Linotype" w:hAnsi="Palatino Linotype"/>
          <w:color w:val="000000" w:themeColor="text1"/>
        </w:rPr>
        <w:t xml:space="preserve">Banneker participates in a limited partnership with for-profit entities in the ownership of the Banneker Homes Apartments in San Francisco.  </w:t>
      </w:r>
      <w:r w:rsidRPr="00B1617B">
        <w:rPr>
          <w:rFonts w:ascii="Palatino Linotype" w:hAnsi="Palatino Linotype"/>
          <w:color w:val="000000" w:themeColor="text1"/>
        </w:rPr>
        <w:t>Banneker Homes is a 108 unit property located in San Francisco, CA and serves families at or below 60% area median income.</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 xml:space="preserve">NVCH </w:t>
      </w:r>
      <w:r w:rsidRPr="005D5054">
        <w:rPr>
          <w:rFonts w:ascii="Palatino Linotype" w:hAnsi="Palatino Linotype"/>
          <w:color w:val="000000" w:themeColor="text1"/>
        </w:rPr>
        <w:t>has been approved by the IRS as a 501(c</w:t>
      </w:r>
      <w:proofErr w:type="gramStart"/>
      <w:r w:rsidRPr="005D5054">
        <w:rPr>
          <w:rFonts w:ascii="Palatino Linotype" w:hAnsi="Palatino Linotype"/>
          <w:color w:val="000000" w:themeColor="text1"/>
        </w:rPr>
        <w:t>)(</w:t>
      </w:r>
      <w:proofErr w:type="gramEnd"/>
      <w:r w:rsidRPr="005D5054">
        <w:rPr>
          <w:rFonts w:ascii="Palatino Linotype" w:hAnsi="Palatino Linotype"/>
          <w:color w:val="000000" w:themeColor="text1"/>
        </w:rPr>
        <w:t>3) nonprofit organization for providi</w:t>
      </w:r>
      <w:r>
        <w:rPr>
          <w:rFonts w:ascii="Palatino Linotype" w:hAnsi="Palatino Linotype"/>
          <w:color w:val="000000" w:themeColor="text1"/>
        </w:rPr>
        <w:t xml:space="preserve">ng affordable housing since 1978.  NVCH currently manages 616 housing units and has over 200 rental units in pre-development or construction stages.  </w:t>
      </w:r>
      <w:r w:rsidRPr="007F3202">
        <w:rPr>
          <w:rFonts w:ascii="Palatino Linotype" w:hAnsi="Palatino Linotype"/>
          <w:color w:val="000000" w:themeColor="text1"/>
        </w:rPr>
        <w:t xml:space="preserve">At this time there are combined 5,549 applications pending on waiting lists for housing within the NVCH </w:t>
      </w:r>
      <w:r>
        <w:rPr>
          <w:rFonts w:ascii="Palatino Linotype" w:hAnsi="Palatino Linotype"/>
          <w:color w:val="000000" w:themeColor="text1"/>
        </w:rPr>
        <w:t>properties, with a 98% occupancy rate (100% leased).</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PSHH</w:t>
      </w:r>
      <w:r w:rsidRPr="005D5054">
        <w:rPr>
          <w:rFonts w:ascii="Palatino Linotype" w:hAnsi="Palatino Linotype"/>
          <w:color w:val="000000" w:themeColor="text1"/>
        </w:rPr>
        <w:t xml:space="preserve"> has been approved by the IRS as a 501(c</w:t>
      </w:r>
      <w:proofErr w:type="gramStart"/>
      <w:r w:rsidRPr="005D5054">
        <w:rPr>
          <w:rFonts w:ascii="Palatino Linotype" w:hAnsi="Palatino Linotype"/>
          <w:color w:val="000000" w:themeColor="text1"/>
        </w:rPr>
        <w:t>)(</w:t>
      </w:r>
      <w:proofErr w:type="gramEnd"/>
      <w:r w:rsidRPr="005D5054">
        <w:rPr>
          <w:rFonts w:ascii="Palatino Linotype" w:hAnsi="Palatino Linotype"/>
          <w:color w:val="000000" w:themeColor="text1"/>
        </w:rPr>
        <w:t>3) nonprofit organization for providi</w:t>
      </w:r>
      <w:r>
        <w:rPr>
          <w:rFonts w:ascii="Palatino Linotype" w:hAnsi="Palatino Linotype"/>
          <w:color w:val="000000" w:themeColor="text1"/>
        </w:rPr>
        <w:t>ng affordable housing since 1971</w:t>
      </w:r>
      <w:r w:rsidRPr="005D5054">
        <w:rPr>
          <w:rFonts w:ascii="Palatino Linotype" w:hAnsi="Palatino Linotype"/>
          <w:color w:val="000000" w:themeColor="text1"/>
        </w:rPr>
        <w:t xml:space="preserve">.  </w:t>
      </w:r>
      <w:r>
        <w:rPr>
          <w:rFonts w:ascii="Palatino Linotype" w:hAnsi="Palatino Linotype"/>
          <w:color w:val="000000" w:themeColor="text1"/>
        </w:rPr>
        <w:t>PSHH</w:t>
      </w:r>
      <w:r w:rsidRPr="005D5054">
        <w:rPr>
          <w:rFonts w:ascii="Palatino Linotype" w:hAnsi="Palatino Linotype"/>
          <w:color w:val="000000" w:themeColor="text1"/>
        </w:rPr>
        <w:t xml:space="preserve"> </w:t>
      </w:r>
      <w:r>
        <w:rPr>
          <w:rFonts w:ascii="Palatino Linotype" w:hAnsi="Palatino Linotype"/>
          <w:color w:val="000000" w:themeColor="text1"/>
        </w:rPr>
        <w:t>operates 45 affordable housing complexes in San Luis Obispo, Santa Barbara and Ventura counties and has developed or renovated over 1,600 units for low-income populations (with a vacancy rate of less than 1% and a wait list of 6,400).</w:t>
      </w:r>
    </w:p>
    <w:p w:rsidR="00996A8F" w:rsidRDefault="00996A8F" w:rsidP="00996A8F">
      <w:pPr>
        <w:pStyle w:val="Default"/>
        <w:rPr>
          <w:rFonts w:ascii="Palatino Linotype" w:hAnsi="Palatino Linotype"/>
          <w:color w:val="000000" w:themeColor="text1"/>
        </w:rPr>
      </w:pPr>
    </w:p>
    <w:p w:rsidR="00996A8F" w:rsidRPr="006A57D7" w:rsidRDefault="00996A8F" w:rsidP="00996A8F">
      <w:pPr>
        <w:pStyle w:val="Default"/>
        <w:rPr>
          <w:rFonts w:ascii="Palatino Linotype" w:hAnsi="Palatino Linotype"/>
          <w:color w:val="000000" w:themeColor="text1"/>
        </w:rPr>
      </w:pPr>
      <w:r w:rsidRPr="006D6B9D">
        <w:rPr>
          <w:rFonts w:ascii="Palatino Linotype" w:hAnsi="Palatino Linotype"/>
          <w:color w:val="000000" w:themeColor="text1"/>
        </w:rPr>
        <w:lastRenderedPageBreak/>
        <w:t>EAH has been approved by the IRS as a 501(c</w:t>
      </w:r>
      <w:proofErr w:type="gramStart"/>
      <w:r w:rsidRPr="006D6B9D">
        <w:rPr>
          <w:rFonts w:ascii="Palatino Linotype" w:hAnsi="Palatino Linotype"/>
          <w:color w:val="000000" w:themeColor="text1"/>
        </w:rPr>
        <w:t>)(</w:t>
      </w:r>
      <w:proofErr w:type="gramEnd"/>
      <w:r w:rsidRPr="006D6B9D">
        <w:rPr>
          <w:rFonts w:ascii="Palatino Linotype" w:hAnsi="Palatino Linotype"/>
          <w:color w:val="000000" w:themeColor="text1"/>
        </w:rPr>
        <w:t>3) nonprofit organization for providing affordable housing since 1968.  EAH manages over 9,000 rental apartments in over 110 communities, has a less than 1% vacancy rate and a wait list of over 20</w:t>
      </w:r>
      <w:r>
        <w:rPr>
          <w:rFonts w:ascii="Palatino Linotype" w:hAnsi="Palatino Linotype"/>
          <w:color w:val="000000" w:themeColor="text1"/>
        </w:rPr>
        <w:t>,000.</w:t>
      </w:r>
    </w:p>
    <w:p w:rsidR="00996A8F" w:rsidRPr="005D5054" w:rsidRDefault="00996A8F" w:rsidP="00996A8F">
      <w:pPr>
        <w:pStyle w:val="Default"/>
        <w:rPr>
          <w:rFonts w:ascii="Palatino Linotype" w:hAnsi="Palatino Linotype"/>
          <w:color w:val="000000" w:themeColor="text1"/>
        </w:rPr>
      </w:pPr>
    </w:p>
    <w:p w:rsidR="00996A8F" w:rsidRPr="005D5054" w:rsidRDefault="00996A8F" w:rsidP="00996A8F">
      <w:pPr>
        <w:pStyle w:val="Default"/>
        <w:rPr>
          <w:rFonts w:ascii="Palatino Linotype" w:hAnsi="Palatino Linotype"/>
          <w:color w:val="000000" w:themeColor="text1"/>
        </w:rPr>
      </w:pPr>
      <w:r w:rsidRPr="006A57D7">
        <w:rPr>
          <w:rFonts w:ascii="Palatino Linotype" w:hAnsi="Palatino Linotype"/>
          <w:i/>
          <w:color w:val="000000" w:themeColor="text1"/>
        </w:rPr>
        <w:t>Projects:</w:t>
      </w:r>
      <w:r>
        <w:rPr>
          <w:rFonts w:ascii="Palatino Linotype" w:hAnsi="Palatino Linotype"/>
          <w:color w:val="000000" w:themeColor="text1"/>
        </w:rPr>
        <w:t xml:space="preserve">  EAH</w:t>
      </w:r>
      <w:r w:rsidRPr="005D5054">
        <w:rPr>
          <w:rFonts w:ascii="Palatino Linotype" w:hAnsi="Palatino Linotype"/>
          <w:color w:val="000000" w:themeColor="text1"/>
        </w:rPr>
        <w:t xml:space="preserve"> requests funding for the installation</w:t>
      </w:r>
      <w:r>
        <w:rPr>
          <w:rFonts w:ascii="Palatino Linotype" w:hAnsi="Palatino Linotype"/>
          <w:color w:val="000000" w:themeColor="text1"/>
        </w:rPr>
        <w:t>,</w:t>
      </w:r>
      <w:r w:rsidRPr="005D5054">
        <w:rPr>
          <w:rFonts w:ascii="Palatino Linotype" w:hAnsi="Palatino Linotype"/>
          <w:color w:val="000000" w:themeColor="text1"/>
        </w:rPr>
        <w:t xml:space="preserve"> </w:t>
      </w:r>
      <w:r>
        <w:rPr>
          <w:rFonts w:ascii="Palatino Linotype" w:hAnsi="Palatino Linotype"/>
          <w:color w:val="000000" w:themeColor="text1"/>
        </w:rPr>
        <w:t xml:space="preserve">in two locations, </w:t>
      </w:r>
      <w:r w:rsidRPr="005D5054">
        <w:rPr>
          <w:rFonts w:ascii="Palatino Linotype" w:hAnsi="Palatino Linotype"/>
          <w:color w:val="000000" w:themeColor="text1"/>
        </w:rPr>
        <w:t xml:space="preserve">of a low-cost, wireless mesh </w:t>
      </w:r>
      <w:proofErr w:type="spellStart"/>
      <w:r w:rsidRPr="005D5054">
        <w:rPr>
          <w:rFonts w:ascii="Palatino Linotype" w:hAnsi="Palatino Linotype"/>
          <w:color w:val="000000" w:themeColor="text1"/>
        </w:rPr>
        <w:t>WiFi</w:t>
      </w:r>
      <w:proofErr w:type="spellEnd"/>
      <w:r w:rsidRPr="005D5054">
        <w:rPr>
          <w:rFonts w:ascii="Palatino Linotype" w:hAnsi="Palatino Linotype"/>
          <w:color w:val="000000" w:themeColor="text1"/>
        </w:rPr>
        <w:t xml:space="preserve"> </w:t>
      </w:r>
      <w:r>
        <w:rPr>
          <w:rFonts w:ascii="Palatino Linotype" w:hAnsi="Palatino Linotype"/>
          <w:color w:val="000000" w:themeColor="text1"/>
        </w:rPr>
        <w:t>2.4GH</w:t>
      </w:r>
      <w:r w:rsidRPr="0001106F">
        <w:rPr>
          <w:rFonts w:ascii="Palatino Linotype" w:hAnsi="Palatino Linotype"/>
          <w:color w:val="000000" w:themeColor="text1"/>
        </w:rPr>
        <w:t>z 802.11n</w:t>
      </w:r>
      <w:r>
        <w:rPr>
          <w:rStyle w:val="FootnoteReference"/>
          <w:rFonts w:ascii="Palatino Linotype" w:hAnsi="Palatino Linotype"/>
          <w:color w:val="000000" w:themeColor="text1"/>
        </w:rPr>
        <w:footnoteReference w:id="5"/>
      </w:r>
      <w:r w:rsidRPr="005D5054">
        <w:rPr>
          <w:rFonts w:ascii="Palatino Linotype" w:hAnsi="Palatino Linotype"/>
          <w:color w:val="000000" w:themeColor="text1"/>
        </w:rPr>
        <w:t xml:space="preserve"> network architecture consisting of gateway routers and repeaters as wireless ac</w:t>
      </w:r>
      <w:r>
        <w:rPr>
          <w:rFonts w:ascii="Palatino Linotype" w:hAnsi="Palatino Linotype"/>
          <w:color w:val="000000" w:themeColor="text1"/>
        </w:rPr>
        <w:t>cess points (using products from Open-Mesh Inc.</w:t>
      </w:r>
      <w:r>
        <w:rPr>
          <w:rStyle w:val="FootnoteReference"/>
          <w:rFonts w:ascii="Palatino Linotype" w:hAnsi="Palatino Linotype"/>
          <w:color w:val="000000" w:themeColor="text1"/>
        </w:rPr>
        <w:footnoteReference w:id="6"/>
      </w:r>
      <w:r>
        <w:rPr>
          <w:rFonts w:ascii="Palatino Linotype" w:hAnsi="Palatino Linotype"/>
          <w:color w:val="000000" w:themeColor="text1"/>
        </w:rPr>
        <w:t>).  In this type of installation the network is managed offsite through a cloud based controller.  Installation is relatively easy as wireless access points can be installed with little reconfiguration.  The network product deployed includes access to a web-based portal through which the network can be configured</w:t>
      </w:r>
      <w:r w:rsidRPr="0001106F">
        <w:rPr>
          <w:rFonts w:ascii="Palatino Linotype" w:hAnsi="Palatino Linotype"/>
          <w:color w:val="000000" w:themeColor="text1"/>
        </w:rPr>
        <w:t xml:space="preserve">, monitored, and maintained. </w:t>
      </w:r>
      <w:r>
        <w:rPr>
          <w:rFonts w:ascii="Palatino Linotype" w:hAnsi="Palatino Linotype"/>
          <w:color w:val="000000" w:themeColor="text1"/>
        </w:rPr>
        <w:t xml:space="preserve"> According to EAH</w:t>
      </w:r>
      <w:r w:rsidRPr="005D5054">
        <w:rPr>
          <w:rFonts w:ascii="Palatino Linotype" w:hAnsi="Palatino Linotype"/>
          <w:color w:val="000000" w:themeColor="text1"/>
        </w:rPr>
        <w:t xml:space="preserve">, this installation will be able to provide a minimum download speed of 1.5 mbps during peak use hours.  </w:t>
      </w:r>
    </w:p>
    <w:p w:rsidR="00996A8F" w:rsidRDefault="00996A8F" w:rsidP="00996A8F">
      <w:pPr>
        <w:pStyle w:val="Default"/>
        <w:rPr>
          <w:rFonts w:ascii="Palatino Linotype" w:hAnsi="Palatino Linotype"/>
          <w:color w:val="000000" w:themeColor="text1"/>
        </w:rPr>
      </w:pPr>
    </w:p>
    <w:p w:rsidR="00996A8F" w:rsidRDefault="00996A8F" w:rsidP="00996A8F">
      <w:pPr>
        <w:pStyle w:val="Default"/>
        <w:rPr>
          <w:rFonts w:ascii="Palatino Linotype" w:hAnsi="Palatino Linotype"/>
          <w:color w:val="000000" w:themeColor="text1"/>
        </w:rPr>
      </w:pPr>
      <w:r>
        <w:rPr>
          <w:rFonts w:ascii="Palatino Linotype" w:hAnsi="Palatino Linotype"/>
          <w:color w:val="000000" w:themeColor="text1"/>
        </w:rPr>
        <w:t xml:space="preserve">The wireless projects from </w:t>
      </w:r>
      <w:r w:rsidRPr="003D5AFD">
        <w:rPr>
          <w:rFonts w:ascii="Palatino Linotype" w:hAnsi="Palatino Linotype"/>
          <w:color w:val="000000" w:themeColor="text1"/>
        </w:rPr>
        <w:t xml:space="preserve">CHW, CVCAH, HACK, HACSB, Surf, </w:t>
      </w:r>
      <w:r>
        <w:rPr>
          <w:rFonts w:ascii="Palatino Linotype" w:hAnsi="Palatino Linotype"/>
          <w:color w:val="000000" w:themeColor="text1"/>
        </w:rPr>
        <w:t xml:space="preserve">Banneker, </w:t>
      </w:r>
      <w:r w:rsidRPr="003D5AFD">
        <w:rPr>
          <w:rFonts w:ascii="Palatino Linotype" w:hAnsi="Palatino Linotype"/>
          <w:color w:val="000000" w:themeColor="text1"/>
        </w:rPr>
        <w:t>NVCH and PSHH</w:t>
      </w:r>
      <w:r>
        <w:rPr>
          <w:rFonts w:ascii="Palatino Linotype" w:hAnsi="Palatino Linotype"/>
          <w:color w:val="000000" w:themeColor="text1"/>
        </w:rPr>
        <w:t xml:space="preserve"> utilize a wireless mesh 2.4GH</w:t>
      </w:r>
      <w:r w:rsidRPr="0001106F">
        <w:rPr>
          <w:rFonts w:ascii="Palatino Linotype" w:hAnsi="Palatino Linotype"/>
          <w:color w:val="000000" w:themeColor="text1"/>
        </w:rPr>
        <w:t xml:space="preserve">z </w:t>
      </w:r>
      <w:r>
        <w:rPr>
          <w:rFonts w:ascii="Palatino Linotype" w:hAnsi="Palatino Linotype"/>
          <w:color w:val="000000" w:themeColor="text1"/>
        </w:rPr>
        <w:t xml:space="preserve">and 5 GHz </w:t>
      </w:r>
      <w:proofErr w:type="spellStart"/>
      <w:r>
        <w:rPr>
          <w:rFonts w:ascii="Palatino Linotype" w:hAnsi="Palatino Linotype"/>
          <w:color w:val="000000" w:themeColor="text1"/>
        </w:rPr>
        <w:t>WiFi</w:t>
      </w:r>
      <w:proofErr w:type="spellEnd"/>
      <w:r>
        <w:rPr>
          <w:rFonts w:ascii="Palatino Linotype" w:hAnsi="Palatino Linotype"/>
          <w:color w:val="000000" w:themeColor="text1"/>
        </w:rPr>
        <w:t xml:space="preserve"> 802.11ac</w:t>
      </w:r>
      <w:r w:rsidRPr="005D5054">
        <w:rPr>
          <w:rFonts w:ascii="Palatino Linotype" w:hAnsi="Palatino Linotype"/>
          <w:color w:val="000000" w:themeColor="text1"/>
        </w:rPr>
        <w:t xml:space="preserve"> network architecture consisting of gateway routers and repeaters as wireless ac</w:t>
      </w:r>
      <w:r>
        <w:rPr>
          <w:rFonts w:ascii="Palatino Linotype" w:hAnsi="Palatino Linotype"/>
          <w:color w:val="000000" w:themeColor="text1"/>
        </w:rPr>
        <w:t xml:space="preserve">cess points (using products from </w:t>
      </w:r>
      <w:r w:rsidRPr="002D7D32">
        <w:rPr>
          <w:rFonts w:ascii="Palatino Linotype" w:hAnsi="Palatino Linotype"/>
          <w:color w:val="000000" w:themeColor="text1"/>
        </w:rPr>
        <w:t>Ruckus Wireless Inc</w:t>
      </w:r>
      <w:r>
        <w:rPr>
          <w:rFonts w:ascii="Palatino Linotype" w:hAnsi="Palatino Linotype"/>
          <w:color w:val="000000" w:themeColor="text1"/>
        </w:rPr>
        <w:t>.</w:t>
      </w:r>
      <w:r>
        <w:rPr>
          <w:rStyle w:val="FootnoteReference"/>
          <w:rFonts w:ascii="Palatino Linotype" w:hAnsi="Palatino Linotype"/>
          <w:color w:val="000000" w:themeColor="text1"/>
        </w:rPr>
        <w:footnoteReference w:id="7"/>
      </w:r>
      <w:r>
        <w:rPr>
          <w:rFonts w:ascii="Palatino Linotype" w:hAnsi="Palatino Linotype"/>
          <w:color w:val="000000" w:themeColor="text1"/>
        </w:rPr>
        <w:t>).  This network architecture (which is a higher standard than what is being deployed in 802.11n network architecture) will have greater throughput capacity, will be subject to less noise and interference from the general environment and will provide a more stable connection.</w:t>
      </w:r>
      <w:r>
        <w:rPr>
          <w:rStyle w:val="FootnoteReference"/>
          <w:rFonts w:ascii="Palatino Linotype" w:hAnsi="Palatino Linotype"/>
          <w:color w:val="000000" w:themeColor="text1"/>
        </w:rPr>
        <w:footnoteReference w:id="8"/>
      </w:r>
      <w:r>
        <w:rPr>
          <w:rFonts w:ascii="Palatino Linotype" w:hAnsi="Palatino Linotype"/>
          <w:color w:val="000000" w:themeColor="text1"/>
        </w:rPr>
        <w:t xml:space="preserve">  The network is managed through an onsite controller.  According to </w:t>
      </w:r>
      <w:r w:rsidRPr="003D5AFD">
        <w:rPr>
          <w:rFonts w:ascii="Palatino Linotype" w:hAnsi="Palatino Linotype"/>
          <w:color w:val="000000" w:themeColor="text1"/>
        </w:rPr>
        <w:t xml:space="preserve">CHW, CVCAH, HACK, HACSB, Surf, </w:t>
      </w:r>
      <w:r>
        <w:rPr>
          <w:rFonts w:ascii="Palatino Linotype" w:hAnsi="Palatino Linotype"/>
          <w:color w:val="000000" w:themeColor="text1"/>
        </w:rPr>
        <w:t xml:space="preserve">Banneker, </w:t>
      </w:r>
      <w:r w:rsidRPr="003D5AFD">
        <w:rPr>
          <w:rFonts w:ascii="Palatino Linotype" w:hAnsi="Palatino Linotype"/>
          <w:color w:val="000000" w:themeColor="text1"/>
        </w:rPr>
        <w:t>NVCH and PSHH</w:t>
      </w:r>
      <w:r>
        <w:rPr>
          <w:rFonts w:ascii="Palatino Linotype" w:hAnsi="Palatino Linotype"/>
          <w:color w:val="000000" w:themeColor="text1"/>
        </w:rPr>
        <w:t xml:space="preserve">, </w:t>
      </w:r>
      <w:r w:rsidRPr="005D5054">
        <w:rPr>
          <w:rFonts w:ascii="Palatino Linotype" w:hAnsi="Palatino Linotype"/>
          <w:color w:val="000000" w:themeColor="text1"/>
        </w:rPr>
        <w:t xml:space="preserve">this installation will be able to provide a minimum download speed of </w:t>
      </w:r>
      <w:r>
        <w:rPr>
          <w:rFonts w:ascii="Palatino Linotype" w:hAnsi="Palatino Linotype"/>
          <w:color w:val="000000" w:themeColor="text1"/>
        </w:rPr>
        <w:t>3</w:t>
      </w:r>
      <w:r w:rsidRPr="005D5054">
        <w:rPr>
          <w:rFonts w:ascii="Palatino Linotype" w:hAnsi="Palatino Linotype"/>
          <w:color w:val="000000" w:themeColor="text1"/>
        </w:rPr>
        <w:t xml:space="preserve"> mbps during peak use hours.  </w:t>
      </w:r>
      <w:r>
        <w:rPr>
          <w:rFonts w:ascii="Palatino Linotype" w:hAnsi="Palatino Linotype"/>
          <w:color w:val="000000" w:themeColor="text1"/>
        </w:rPr>
        <w:t xml:space="preserve">  </w:t>
      </w:r>
    </w:p>
    <w:p w:rsidR="00996A8F" w:rsidRDefault="00996A8F" w:rsidP="00996A8F">
      <w:pPr>
        <w:pStyle w:val="Default"/>
        <w:rPr>
          <w:rFonts w:ascii="Palatino Linotype" w:hAnsi="Palatino Linotype"/>
          <w:color w:val="000000" w:themeColor="text1"/>
        </w:rPr>
      </w:pPr>
    </w:p>
    <w:p w:rsidR="00996A8F" w:rsidRPr="005D5054" w:rsidRDefault="00996A8F" w:rsidP="00996A8F">
      <w:pPr>
        <w:pStyle w:val="Default"/>
        <w:rPr>
          <w:rFonts w:ascii="Palatino Linotype" w:hAnsi="Palatino Linotype"/>
          <w:color w:val="000000" w:themeColor="text1"/>
        </w:rPr>
      </w:pPr>
      <w:r>
        <w:rPr>
          <w:rFonts w:ascii="Palatino Linotype" w:hAnsi="Palatino Linotype"/>
          <w:color w:val="000000" w:themeColor="text1"/>
        </w:rPr>
        <w:t xml:space="preserve">PSHH (the </w:t>
      </w:r>
      <w:r w:rsidRPr="00C83ABD">
        <w:rPr>
          <w:rFonts w:ascii="Palatino Linotype" w:hAnsi="Palatino Linotype"/>
          <w:color w:val="000000" w:themeColor="text1"/>
        </w:rPr>
        <w:t>Victoria Street Bungalows</w:t>
      </w:r>
      <w:r>
        <w:rPr>
          <w:rFonts w:ascii="Palatino Linotype" w:hAnsi="Palatino Linotype"/>
          <w:color w:val="000000" w:themeColor="text1"/>
        </w:rPr>
        <w:t xml:space="preserve"> project only)</w:t>
      </w:r>
      <w:r w:rsidRPr="005D5054">
        <w:rPr>
          <w:rFonts w:ascii="Palatino Linotype" w:hAnsi="Palatino Linotype"/>
          <w:color w:val="000000" w:themeColor="text1"/>
        </w:rPr>
        <w:t xml:space="preserve"> requests funding for the installation of a low cost </w:t>
      </w:r>
      <w:proofErr w:type="spellStart"/>
      <w:r w:rsidRPr="005D5054">
        <w:rPr>
          <w:rFonts w:ascii="Palatino Linotype" w:hAnsi="Palatino Linotype"/>
          <w:color w:val="000000" w:themeColor="text1"/>
        </w:rPr>
        <w:t>xDSL</w:t>
      </w:r>
      <w:proofErr w:type="spellEnd"/>
      <w:r w:rsidRPr="005D5054">
        <w:rPr>
          <w:rFonts w:ascii="Palatino Linotype" w:hAnsi="Palatino Linotype"/>
          <w:color w:val="000000" w:themeColor="text1"/>
        </w:rPr>
        <w:t xml:space="preserve"> (wired) network</w:t>
      </w:r>
      <w:r>
        <w:rPr>
          <w:rFonts w:ascii="Palatino Linotype" w:hAnsi="Palatino Linotype"/>
          <w:color w:val="000000" w:themeColor="text1"/>
        </w:rPr>
        <w:t>.  This installation</w:t>
      </w:r>
      <w:r w:rsidRPr="005D5054">
        <w:rPr>
          <w:rFonts w:ascii="Palatino Linotype" w:hAnsi="Palatino Linotype"/>
          <w:color w:val="000000" w:themeColor="text1"/>
        </w:rPr>
        <w:t xml:space="preserve"> utilizes existing copper (inside) wiring and includes equipment for broadband si</w:t>
      </w:r>
      <w:r>
        <w:rPr>
          <w:rFonts w:ascii="Palatino Linotype" w:hAnsi="Palatino Linotype"/>
          <w:color w:val="000000" w:themeColor="text1"/>
        </w:rPr>
        <w:t>gnal routing.  According to PSHH</w:t>
      </w:r>
      <w:r w:rsidRPr="005D5054">
        <w:rPr>
          <w:rFonts w:ascii="Palatino Linotype" w:hAnsi="Palatino Linotype"/>
          <w:color w:val="000000" w:themeColor="text1"/>
        </w:rPr>
        <w:t xml:space="preserve">, this installation will be able to provide a minimum download speed of 2.5 mbps during peak use hours.  </w:t>
      </w:r>
    </w:p>
    <w:p w:rsidR="00996A8F" w:rsidRPr="005D5054" w:rsidRDefault="00996A8F" w:rsidP="00996A8F">
      <w:pPr>
        <w:pStyle w:val="Default"/>
        <w:rPr>
          <w:rFonts w:ascii="Palatino Linotype" w:hAnsi="Palatino Linotype"/>
          <w:color w:val="000000" w:themeColor="text1"/>
        </w:rPr>
      </w:pPr>
    </w:p>
    <w:p w:rsidR="00996A8F" w:rsidRPr="00B8240F" w:rsidRDefault="00996A8F" w:rsidP="00996A8F">
      <w:pPr>
        <w:pStyle w:val="NormalWeb"/>
        <w:rPr>
          <w:rFonts w:ascii="Palatino Linotype" w:hAnsi="Palatino Linotype"/>
          <w:color w:val="000000" w:themeColor="text1"/>
        </w:rPr>
      </w:pPr>
      <w:r w:rsidRPr="00B8240F">
        <w:rPr>
          <w:rFonts w:ascii="Palatino Linotype" w:hAnsi="Palatino Linotype" w:cs="Palatino Linotype"/>
          <w:b/>
          <w:color w:val="000000" w:themeColor="text1"/>
        </w:rPr>
        <w:t>III.     NOTICES AND CHALLENGES</w:t>
      </w:r>
    </w:p>
    <w:p w:rsidR="00996A8F" w:rsidRDefault="00996A8F" w:rsidP="00996A8F">
      <w:pPr>
        <w:pStyle w:val="Default"/>
        <w:rPr>
          <w:rFonts w:ascii="Palatino Linotype" w:hAnsi="Palatino Linotype" w:cs="Palatino Linotype"/>
          <w:color w:val="000000" w:themeColor="text1"/>
        </w:rPr>
      </w:pPr>
      <w:r>
        <w:rPr>
          <w:rFonts w:ascii="Palatino Linotype" w:hAnsi="Palatino Linotype" w:cs="Palatino Linotype"/>
          <w:color w:val="000000" w:themeColor="text1"/>
        </w:rPr>
        <w:t>On July 15</w:t>
      </w:r>
      <w:r w:rsidRPr="00B8240F">
        <w:rPr>
          <w:rFonts w:ascii="Palatino Linotype" w:hAnsi="Palatino Linotype" w:cs="Palatino Linotype"/>
          <w:color w:val="000000" w:themeColor="text1"/>
        </w:rPr>
        <w:t xml:space="preserve">, 2015, CD posted a list of proposed projects </w:t>
      </w:r>
      <w:r>
        <w:rPr>
          <w:rFonts w:ascii="Palatino Linotype" w:hAnsi="Palatino Linotype" w:cs="Palatino Linotype"/>
          <w:color w:val="000000" w:themeColor="text1"/>
        </w:rPr>
        <w:t xml:space="preserve">inclusive to this resolution from CHW, CVCAH, HACK, HACSB, Surf and Banneker </w:t>
      </w:r>
      <w:r w:rsidRPr="00B8240F">
        <w:rPr>
          <w:rFonts w:ascii="Palatino Linotype" w:hAnsi="Palatino Linotype" w:cs="Palatino Linotype"/>
          <w:color w:val="000000" w:themeColor="text1"/>
        </w:rPr>
        <w:t xml:space="preserve">on the Commission’s CASF Public </w:t>
      </w:r>
      <w:r w:rsidRPr="00B8240F">
        <w:rPr>
          <w:rFonts w:ascii="Palatino Linotype" w:hAnsi="Palatino Linotype" w:cs="Palatino Linotype"/>
          <w:color w:val="000000" w:themeColor="text1"/>
        </w:rPr>
        <w:lastRenderedPageBreak/>
        <w:t>Housing account webpage</w:t>
      </w:r>
      <w:r w:rsidRPr="00B8240F">
        <w:rPr>
          <w:rStyle w:val="FootnoteReference"/>
          <w:rFonts w:ascii="Palatino Linotype" w:hAnsi="Palatino Linotype" w:cs="Palatino Linotype"/>
          <w:color w:val="000000" w:themeColor="text1"/>
        </w:rPr>
        <w:footnoteReference w:id="9"/>
      </w:r>
      <w:r w:rsidRPr="00B8240F">
        <w:rPr>
          <w:rFonts w:ascii="Palatino Linotype" w:hAnsi="Palatino Linotype" w:cs="Palatino Linotype"/>
          <w:color w:val="000000" w:themeColor="text1"/>
        </w:rPr>
        <w:t xml:space="preserve"> and sent notices regarding the proposed projects to its email distribution list</w:t>
      </w:r>
      <w:r w:rsidRPr="00FF0436">
        <w:rPr>
          <w:rFonts w:ascii="Palatino Linotype" w:hAnsi="Palatino Linotype" w:cs="Palatino Linotype"/>
          <w:color w:val="000000" w:themeColor="text1"/>
        </w:rPr>
        <w:t>.</w:t>
      </w:r>
      <w:r w:rsidRPr="00FF0436">
        <w:rPr>
          <w:rStyle w:val="FootnoteReference"/>
          <w:rFonts w:ascii="Palatino Linotype" w:hAnsi="Palatino Linotype"/>
          <w:color w:val="000000" w:themeColor="text1"/>
        </w:rPr>
        <w:footnoteReference w:id="10"/>
      </w:r>
      <w:r w:rsidRPr="00B8240F">
        <w:rPr>
          <w:rFonts w:ascii="Palatino Linotype" w:hAnsi="Palatino Linotype" w:cs="Palatino Linotype"/>
          <w:color w:val="000000" w:themeColor="text1"/>
        </w:rPr>
        <w:t xml:space="preserve">  </w:t>
      </w:r>
      <w:r>
        <w:rPr>
          <w:rFonts w:ascii="Palatino Linotype" w:hAnsi="Palatino Linotype" w:cs="Palatino Linotype"/>
          <w:color w:val="000000" w:themeColor="text1"/>
        </w:rPr>
        <w:t>There were no challenges to these 15 projects.</w:t>
      </w:r>
    </w:p>
    <w:p w:rsidR="00996A8F" w:rsidRDefault="00996A8F" w:rsidP="00996A8F">
      <w:pPr>
        <w:pStyle w:val="Default"/>
        <w:rPr>
          <w:rFonts w:ascii="Palatino Linotype" w:hAnsi="Palatino Linotype" w:cs="Palatino Linotype"/>
          <w:color w:val="000000" w:themeColor="text1"/>
        </w:rPr>
      </w:pPr>
    </w:p>
    <w:p w:rsidR="00996A8F" w:rsidRDefault="00996A8F" w:rsidP="00996A8F">
      <w:pPr>
        <w:pStyle w:val="Default"/>
        <w:rPr>
          <w:rFonts w:ascii="Palatino Linotype" w:hAnsi="Palatino Linotype" w:cs="Palatino Linotype"/>
          <w:color w:val="000000" w:themeColor="text1"/>
        </w:rPr>
      </w:pPr>
      <w:r>
        <w:rPr>
          <w:rFonts w:ascii="Palatino Linotype" w:hAnsi="Palatino Linotype" w:cs="Palatino Linotype"/>
          <w:color w:val="000000" w:themeColor="text1"/>
        </w:rPr>
        <w:t>On April 11</w:t>
      </w:r>
      <w:r w:rsidRPr="00B8240F">
        <w:rPr>
          <w:rFonts w:ascii="Palatino Linotype" w:hAnsi="Palatino Linotype" w:cs="Palatino Linotype"/>
          <w:color w:val="000000" w:themeColor="text1"/>
        </w:rPr>
        <w:t>, 201</w:t>
      </w:r>
      <w:r>
        <w:rPr>
          <w:rFonts w:ascii="Palatino Linotype" w:hAnsi="Palatino Linotype" w:cs="Palatino Linotype"/>
          <w:color w:val="000000" w:themeColor="text1"/>
        </w:rPr>
        <w:t>6</w:t>
      </w:r>
      <w:r w:rsidRPr="00B8240F">
        <w:rPr>
          <w:rFonts w:ascii="Palatino Linotype" w:hAnsi="Palatino Linotype" w:cs="Palatino Linotype"/>
          <w:color w:val="000000" w:themeColor="text1"/>
        </w:rPr>
        <w:t xml:space="preserve">, CD posted a list of proposed projects </w:t>
      </w:r>
      <w:r>
        <w:rPr>
          <w:rFonts w:ascii="Palatino Linotype" w:hAnsi="Palatino Linotype" w:cs="Palatino Linotype"/>
          <w:color w:val="000000" w:themeColor="text1"/>
        </w:rPr>
        <w:t xml:space="preserve">inclusive to this resolution from NVCH and PSHH </w:t>
      </w:r>
      <w:r w:rsidRPr="00B8240F">
        <w:rPr>
          <w:rFonts w:ascii="Palatino Linotype" w:hAnsi="Palatino Linotype" w:cs="Palatino Linotype"/>
          <w:color w:val="000000" w:themeColor="text1"/>
        </w:rPr>
        <w:t xml:space="preserve">on the Commission’s CASF Public Housing account webpage and sent notices regarding the proposed projects to its email distribution </w:t>
      </w:r>
      <w:r>
        <w:rPr>
          <w:rFonts w:ascii="Palatino Linotype" w:hAnsi="Palatino Linotype" w:cs="Palatino Linotype"/>
          <w:color w:val="000000" w:themeColor="text1"/>
        </w:rPr>
        <w:t>list.  Cox Communications challenged seven</w:t>
      </w:r>
      <w:r>
        <w:rPr>
          <w:rStyle w:val="FootnoteReference"/>
          <w:rFonts w:ascii="Palatino Linotype" w:hAnsi="Palatino Linotype" w:cs="Palatino Linotype"/>
          <w:color w:val="000000" w:themeColor="text1"/>
        </w:rPr>
        <w:footnoteReference w:id="11"/>
      </w:r>
      <w:r>
        <w:rPr>
          <w:rFonts w:ascii="Palatino Linotype" w:hAnsi="Palatino Linotype" w:cs="Palatino Linotype"/>
          <w:color w:val="000000" w:themeColor="text1"/>
        </w:rPr>
        <w:t xml:space="preserve"> of the nine PSHH projects inclusive to this resolution.  Based on T-17515 (issued on June 10, 2016) CD denied the challenges in a July 1, 2016, since the reasons stated in the challenges provided were not supported in D.14-12-039 or in P.U. Code 281(h).</w:t>
      </w:r>
      <w:r w:rsidRPr="006C2F88">
        <w:rPr>
          <w:rStyle w:val="FootnoteReference"/>
          <w:rFonts w:ascii="Palatino Linotype" w:hAnsi="Palatino Linotype" w:cs="Palatino Linotype"/>
          <w:color w:val="000000" w:themeColor="text1"/>
        </w:rPr>
        <w:t xml:space="preserve"> </w:t>
      </w:r>
      <w:r>
        <w:rPr>
          <w:rStyle w:val="FootnoteReference"/>
          <w:rFonts w:ascii="Palatino Linotype" w:hAnsi="Palatino Linotype" w:cs="Palatino Linotype"/>
          <w:color w:val="000000" w:themeColor="text1"/>
        </w:rPr>
        <w:footnoteReference w:id="12"/>
      </w:r>
      <w:r>
        <w:rPr>
          <w:rFonts w:ascii="Palatino Linotype" w:hAnsi="Palatino Linotype" w:cs="Palatino Linotype"/>
          <w:color w:val="000000" w:themeColor="text1"/>
        </w:rPr>
        <w:t xml:space="preserve">  Resolution T-71515 also gave staff the authority to deny the challenge given the fact that the resolution modified the requirements and allowed approval of projects in buildings that are already “wired”.</w:t>
      </w:r>
      <w:r>
        <w:rPr>
          <w:rStyle w:val="FootnoteReference"/>
          <w:rFonts w:ascii="Palatino Linotype" w:hAnsi="Palatino Linotype" w:cs="Palatino Linotype"/>
          <w:color w:val="000000" w:themeColor="text1"/>
        </w:rPr>
        <w:footnoteReference w:id="13"/>
      </w:r>
    </w:p>
    <w:p w:rsidR="00996A8F" w:rsidRDefault="00996A8F" w:rsidP="00996A8F">
      <w:pPr>
        <w:pStyle w:val="Default"/>
        <w:rPr>
          <w:rFonts w:ascii="Palatino Linotype" w:hAnsi="Palatino Linotype" w:cs="Palatino Linotype"/>
          <w:color w:val="000000" w:themeColor="text1"/>
        </w:rPr>
      </w:pPr>
    </w:p>
    <w:p w:rsidR="00996A8F" w:rsidRPr="00CA365F" w:rsidRDefault="00996A8F" w:rsidP="00996A8F">
      <w:pPr>
        <w:pStyle w:val="Default"/>
        <w:rPr>
          <w:rFonts w:ascii="Palatino Linotype" w:hAnsi="Palatino Linotype" w:cs="Palatino Linotype"/>
          <w:color w:val="000000" w:themeColor="text1"/>
        </w:rPr>
      </w:pPr>
      <w:r>
        <w:rPr>
          <w:rFonts w:ascii="Palatino Linotype" w:hAnsi="Palatino Linotype" w:cs="Palatino Linotype"/>
          <w:color w:val="000000" w:themeColor="text1"/>
        </w:rPr>
        <w:t>On July 7, 2016</w:t>
      </w:r>
      <w:r w:rsidRPr="00B8240F">
        <w:rPr>
          <w:rFonts w:ascii="Palatino Linotype" w:hAnsi="Palatino Linotype" w:cs="Palatino Linotype"/>
          <w:color w:val="000000" w:themeColor="text1"/>
        </w:rPr>
        <w:t xml:space="preserve">, CD posted a list of proposed projects </w:t>
      </w:r>
      <w:r>
        <w:rPr>
          <w:rFonts w:ascii="Palatino Linotype" w:hAnsi="Palatino Linotype" w:cs="Palatino Linotype"/>
          <w:color w:val="000000" w:themeColor="text1"/>
        </w:rPr>
        <w:t xml:space="preserve">inclusive to this resolution from EAH </w:t>
      </w:r>
      <w:r w:rsidRPr="00B8240F">
        <w:rPr>
          <w:rFonts w:ascii="Palatino Linotype" w:hAnsi="Palatino Linotype" w:cs="Palatino Linotype"/>
          <w:color w:val="000000" w:themeColor="text1"/>
        </w:rPr>
        <w:t>on the Commission’s CASF Public Housing account webpage and sent notices regarding the proposed projects to its email distribution list</w:t>
      </w:r>
      <w:r w:rsidRPr="00FF0436">
        <w:rPr>
          <w:rFonts w:ascii="Palatino Linotype" w:hAnsi="Palatino Linotype" w:cs="Palatino Linotype"/>
          <w:color w:val="000000" w:themeColor="text1"/>
        </w:rPr>
        <w:t>.</w:t>
      </w:r>
      <w:r w:rsidRPr="00B8240F">
        <w:rPr>
          <w:rFonts w:ascii="Palatino Linotype" w:hAnsi="Palatino Linotype" w:cs="Palatino Linotype"/>
          <w:color w:val="000000" w:themeColor="text1"/>
        </w:rPr>
        <w:t xml:space="preserve">  </w:t>
      </w:r>
      <w:r>
        <w:rPr>
          <w:rFonts w:ascii="Palatino Linotype" w:hAnsi="Palatino Linotype" w:cs="Palatino Linotype"/>
          <w:color w:val="000000" w:themeColor="text1"/>
        </w:rPr>
        <w:t>There were no challenges to these two projects.</w:t>
      </w:r>
    </w:p>
    <w:p w:rsidR="00996A8F" w:rsidRPr="00654CBE" w:rsidRDefault="00996A8F" w:rsidP="00996A8F">
      <w:pPr>
        <w:pStyle w:val="Default"/>
        <w:jc w:val="center"/>
        <w:rPr>
          <w:rFonts w:ascii="Palatino Linotype" w:hAnsi="Palatino Linotype" w:cs="Palatino Linotype"/>
          <w:color w:val="000000" w:themeColor="text1"/>
        </w:rPr>
      </w:pPr>
    </w:p>
    <w:p w:rsidR="00996A8F" w:rsidRPr="00654CBE" w:rsidRDefault="00996A8F" w:rsidP="00996A8F">
      <w:pPr>
        <w:pStyle w:val="NormalWeb"/>
        <w:rPr>
          <w:rFonts w:ascii="Palatino Linotype" w:hAnsi="Palatino Linotype" w:cs="Palatino Linotype"/>
          <w:b/>
          <w:color w:val="000000" w:themeColor="text1"/>
        </w:rPr>
      </w:pPr>
      <w:r w:rsidRPr="00654CBE">
        <w:rPr>
          <w:rFonts w:ascii="Palatino Linotype" w:hAnsi="Palatino Linotype" w:cs="Palatino Linotype"/>
          <w:b/>
          <w:color w:val="000000" w:themeColor="text1"/>
        </w:rPr>
        <w:t>IV.     PROJECT REVIEW</w:t>
      </w:r>
    </w:p>
    <w:p w:rsidR="00996A8F" w:rsidRPr="00B8240F" w:rsidRDefault="00996A8F" w:rsidP="00996A8F">
      <w:pPr>
        <w:pStyle w:val="NormalWeb"/>
        <w:numPr>
          <w:ilvl w:val="0"/>
          <w:numId w:val="5"/>
        </w:numPr>
        <w:rPr>
          <w:rFonts w:ascii="Palatino Linotype" w:hAnsi="Palatino Linotype"/>
          <w:color w:val="000000" w:themeColor="text1"/>
          <w:u w:val="single"/>
        </w:rPr>
      </w:pPr>
      <w:r>
        <w:rPr>
          <w:rFonts w:ascii="Palatino Linotype" w:hAnsi="Palatino Linotype"/>
          <w:color w:val="000000" w:themeColor="text1"/>
          <w:u w:val="single"/>
        </w:rPr>
        <w:t>Cost per Housing Unit</w:t>
      </w:r>
    </w:p>
    <w:p w:rsidR="00996A8F" w:rsidRDefault="00996A8F" w:rsidP="00996A8F">
      <w:pPr>
        <w:rPr>
          <w:rFonts w:ascii="Palatino Linotype" w:hAnsi="Palatino Linotype"/>
        </w:rPr>
      </w:pPr>
      <w:r>
        <w:rPr>
          <w:rFonts w:ascii="Palatino Linotype" w:hAnsi="Palatino Linotype"/>
        </w:rPr>
        <w:t>The proposed projects do not qualify for expedited review because the cost per housing unit exceeds the amount stated in the expedited review requirements (see Appendix A for a list of all projects and the cost per unit relative to the benchmarks stated in the expedited review requirements).</w:t>
      </w:r>
      <w:r>
        <w:rPr>
          <w:rStyle w:val="FootnoteReference"/>
          <w:rFonts w:ascii="Palatino Linotype" w:hAnsi="Palatino Linotype"/>
        </w:rPr>
        <w:footnoteReference w:id="14"/>
      </w:r>
      <w:r>
        <w:rPr>
          <w:rFonts w:ascii="Palatino Linotype" w:hAnsi="Palatino Linotype"/>
        </w:rPr>
        <w:t xml:space="preserve">  </w:t>
      </w:r>
    </w:p>
    <w:p w:rsidR="00996A8F" w:rsidRDefault="00996A8F" w:rsidP="00996A8F">
      <w:pPr>
        <w:rPr>
          <w:rFonts w:ascii="Palatino Linotype" w:hAnsi="Palatino Linotype"/>
        </w:rPr>
      </w:pPr>
    </w:p>
    <w:p w:rsidR="00996A8F" w:rsidRDefault="00996A8F" w:rsidP="00996A8F">
      <w:pPr>
        <w:rPr>
          <w:rFonts w:ascii="Palatino Linotype" w:hAnsi="Palatino Linotype"/>
        </w:rPr>
      </w:pPr>
      <w:r>
        <w:rPr>
          <w:rFonts w:ascii="Palatino Linotype" w:hAnsi="Palatino Linotype"/>
        </w:rPr>
        <w:lastRenderedPageBreak/>
        <w:t xml:space="preserve">Of the total of all proposed CASF Public Housing Account infrastructure projects submitted by through the July, 2016, not rejected or withdrawn, 27% request funding above the per unit cost benchmarks established in </w:t>
      </w:r>
      <w:r w:rsidRPr="00E34DBA">
        <w:rPr>
          <w:rFonts w:ascii="Palatino Linotype" w:hAnsi="Palatino Linotype"/>
        </w:rPr>
        <w:t>D.14-12-039</w:t>
      </w:r>
      <w:r>
        <w:rPr>
          <w:rFonts w:ascii="Palatino Linotype" w:hAnsi="Palatino Linotype"/>
        </w:rPr>
        <w:t>.  Of this 27%, 81% request deployments using equipment from Ruckus Wireless, 14% request deployments using DSL and 5% request deployments using Open-Mesh wireless products.  Ruckus Wireless deployments are more expensive, as only 19% of all proposed projects using Ruckus Wireless products are priced at or below the per unit benchmarks.  Almost all of proposed projects using Open-Mesh products (96%) and the DSL projects (80%) are priced at or below the per unit benchmarks.</w:t>
      </w:r>
      <w:r>
        <w:rPr>
          <w:rStyle w:val="FootnoteReference"/>
          <w:rFonts w:ascii="Palatino Linotype" w:hAnsi="Palatino Linotype"/>
        </w:rPr>
        <w:footnoteReference w:id="15"/>
      </w:r>
      <w:r>
        <w:rPr>
          <w:rFonts w:ascii="Palatino Linotype" w:hAnsi="Palatino Linotype"/>
        </w:rPr>
        <w:t xml:space="preserve">  </w:t>
      </w:r>
    </w:p>
    <w:p w:rsidR="00996A8F" w:rsidRDefault="00996A8F" w:rsidP="00996A8F">
      <w:pPr>
        <w:rPr>
          <w:rFonts w:ascii="Palatino Linotype" w:hAnsi="Palatino Linotype"/>
        </w:rPr>
      </w:pPr>
    </w:p>
    <w:p w:rsidR="00996A8F" w:rsidRDefault="00996A8F" w:rsidP="00996A8F">
      <w:pPr>
        <w:rPr>
          <w:rFonts w:ascii="Palatino Linotype" w:hAnsi="Palatino Linotype"/>
          <w:color w:val="000000" w:themeColor="text1"/>
        </w:rPr>
      </w:pPr>
      <w:r>
        <w:rPr>
          <w:rFonts w:ascii="Palatino Linotype" w:hAnsi="Palatino Linotype"/>
        </w:rPr>
        <w:t xml:space="preserve">There are two wireless standards in these project proposals.  Ruckus Wireless equipment uses only the 802.11ac </w:t>
      </w:r>
      <w:proofErr w:type="gramStart"/>
      <w:r>
        <w:rPr>
          <w:rFonts w:ascii="Palatino Linotype" w:hAnsi="Palatino Linotype"/>
        </w:rPr>
        <w:t>standard,</w:t>
      </w:r>
      <w:proofErr w:type="gramEnd"/>
      <w:r>
        <w:rPr>
          <w:rFonts w:ascii="Palatino Linotype" w:hAnsi="Palatino Linotype"/>
        </w:rPr>
        <w:t xml:space="preserve"> and Open-Mesh uses both the 802.11ac and 802.11n standard.  </w:t>
      </w:r>
      <w:r>
        <w:rPr>
          <w:rFonts w:ascii="Palatino Linotype" w:hAnsi="Palatino Linotype"/>
          <w:color w:val="000000" w:themeColor="text1"/>
        </w:rPr>
        <w:t>Only 8% of the requested deployments using the Open-Mesh product use the 802.11ac standard and these deployments are still at or below the expedited review benchmarks, so they can be approved quickly.  The Ruckus Wireless equipment is more costly, but has higher throughput capacity, directional signaling and is of better quality with a longer useful life.</w:t>
      </w:r>
      <w:r>
        <w:rPr>
          <w:rStyle w:val="FootnoteReference"/>
          <w:rFonts w:ascii="Palatino Linotype" w:hAnsi="Palatino Linotype"/>
          <w:color w:val="000000" w:themeColor="text1"/>
        </w:rPr>
        <w:footnoteReference w:id="16"/>
      </w:r>
      <w:r>
        <w:rPr>
          <w:rFonts w:ascii="Palatino Linotype" w:hAnsi="Palatino Linotype"/>
          <w:color w:val="000000" w:themeColor="text1"/>
        </w:rPr>
        <w:t xml:space="preserve"> </w:t>
      </w:r>
    </w:p>
    <w:p w:rsidR="00996A8F" w:rsidRDefault="00996A8F" w:rsidP="00996A8F">
      <w:pPr>
        <w:rPr>
          <w:rFonts w:ascii="Palatino Linotype" w:hAnsi="Palatino Linotype"/>
          <w:color w:val="000000" w:themeColor="text1"/>
        </w:rPr>
      </w:pPr>
    </w:p>
    <w:p w:rsidR="00996A8F" w:rsidRDefault="00996A8F" w:rsidP="00996A8F">
      <w:pPr>
        <w:rPr>
          <w:rFonts w:ascii="Palatino Linotype" w:hAnsi="Palatino Linotype"/>
          <w:color w:val="000000" w:themeColor="text1"/>
        </w:rPr>
      </w:pPr>
      <w:r>
        <w:rPr>
          <w:rFonts w:ascii="Palatino Linotype" w:hAnsi="Palatino Linotype"/>
          <w:color w:val="000000" w:themeColor="text1"/>
        </w:rPr>
        <w:t>The use of either the Open-Mesh 802.11n equipment or the Ruckus Wireless 802.11ac equipment represents two different approaches to the installation and operation of a wireless mesh network, both of which meet the requirements of the Public Housing Account infrastructure program.  The Open-Mesh installations for the EAH projects use the 802.11n standard, which requires less expertise to install than the Ruckus Wireless installation, but still provides the required capacity of 6 mbps downstream and 1.5mbps upstream with the minimum download speed during peak hours (per program requirements).  According to CD staff’s interview with relevant contractors, the Open-Mesh equipment is both cheaper and more likely to fail than the Ruckus Wireless equipment, but has the advantage of being easier to maintain the network and to replace the equipment.</w:t>
      </w:r>
      <w:r>
        <w:rPr>
          <w:rStyle w:val="FootnoteReference"/>
          <w:rFonts w:ascii="Palatino Linotype" w:hAnsi="Palatino Linotype"/>
          <w:color w:val="000000" w:themeColor="text1"/>
        </w:rPr>
        <w:footnoteReference w:id="17"/>
      </w:r>
      <w:r>
        <w:rPr>
          <w:rFonts w:ascii="Palatino Linotype" w:hAnsi="Palatino Linotype"/>
          <w:color w:val="000000" w:themeColor="text1"/>
        </w:rPr>
        <w:t xml:space="preserve">  Because of their lower per unit costs, the Open-Mesh deployments are more likely to be approved through the expedited review process.</w:t>
      </w:r>
      <w:r>
        <w:rPr>
          <w:rStyle w:val="FootnoteReference"/>
          <w:rFonts w:ascii="Palatino Linotype" w:hAnsi="Palatino Linotype"/>
          <w:color w:val="000000" w:themeColor="text1"/>
        </w:rPr>
        <w:footnoteReference w:id="18"/>
      </w:r>
      <w:r>
        <w:rPr>
          <w:rFonts w:ascii="Palatino Linotype" w:hAnsi="Palatino Linotype"/>
          <w:color w:val="000000" w:themeColor="text1"/>
        </w:rPr>
        <w:t xml:space="preserve">  The Ruckus Wireless installations for the </w:t>
      </w:r>
      <w:r w:rsidRPr="003D5AFD">
        <w:rPr>
          <w:rFonts w:ascii="Palatino Linotype" w:hAnsi="Palatino Linotype"/>
          <w:color w:val="000000" w:themeColor="text1"/>
        </w:rPr>
        <w:t xml:space="preserve">CHW, CVCAH, HACK, HACSB, Surf, </w:t>
      </w:r>
      <w:r>
        <w:rPr>
          <w:rFonts w:ascii="Palatino Linotype" w:hAnsi="Palatino Linotype"/>
          <w:color w:val="000000" w:themeColor="text1"/>
        </w:rPr>
        <w:lastRenderedPageBreak/>
        <w:t xml:space="preserve">Banneker, </w:t>
      </w:r>
      <w:r w:rsidRPr="003D5AFD">
        <w:rPr>
          <w:rFonts w:ascii="Palatino Linotype" w:hAnsi="Palatino Linotype"/>
          <w:color w:val="000000" w:themeColor="text1"/>
        </w:rPr>
        <w:t>NVCH and PSHH</w:t>
      </w:r>
      <w:r>
        <w:rPr>
          <w:rFonts w:ascii="Palatino Linotype" w:hAnsi="Palatino Linotype"/>
          <w:color w:val="000000" w:themeColor="text1"/>
        </w:rPr>
        <w:t xml:space="preserve"> projects, which use the 802.11ac standard, require more expertise to install (due to the requirement for onsite network configuration) but the equipment is more resilient, offers greater throughput and management capability and can carry more traffic.  </w:t>
      </w:r>
    </w:p>
    <w:p w:rsidR="00996A8F" w:rsidRDefault="00996A8F" w:rsidP="00996A8F">
      <w:pPr>
        <w:rPr>
          <w:rFonts w:ascii="Palatino Linotype" w:hAnsi="Palatino Linotype"/>
          <w:color w:val="000000" w:themeColor="text1"/>
        </w:rPr>
      </w:pPr>
    </w:p>
    <w:p w:rsidR="00996A8F" w:rsidRDefault="00996A8F" w:rsidP="00996A8F">
      <w:pPr>
        <w:rPr>
          <w:rFonts w:ascii="Palatino Linotype" w:hAnsi="Palatino Linotype"/>
          <w:color w:val="000000" w:themeColor="text1"/>
        </w:rPr>
      </w:pPr>
      <w:r>
        <w:rPr>
          <w:rFonts w:ascii="Palatino Linotype" w:hAnsi="Palatino Linotype"/>
          <w:color w:val="000000" w:themeColor="text1"/>
        </w:rPr>
        <w:t xml:space="preserve">The two EAH projects that utilize the lower cost Open-Mesh equipment have projected higher per unit costs.  According to EAH, this is because the expected expense for the necessary electrical wiring for the </w:t>
      </w:r>
      <w:proofErr w:type="spellStart"/>
      <w:r>
        <w:rPr>
          <w:rFonts w:ascii="Palatino Linotype" w:hAnsi="Palatino Linotype"/>
          <w:color w:val="000000" w:themeColor="text1"/>
        </w:rPr>
        <w:t>WiFi</w:t>
      </w:r>
      <w:proofErr w:type="spellEnd"/>
      <w:r>
        <w:rPr>
          <w:rFonts w:ascii="Palatino Linotype" w:hAnsi="Palatino Linotype"/>
          <w:color w:val="000000" w:themeColor="text1"/>
        </w:rPr>
        <w:t xml:space="preserve"> deployment is higher for these locations than what is typical.  </w:t>
      </w:r>
    </w:p>
    <w:p w:rsidR="00996A8F" w:rsidRDefault="00996A8F" w:rsidP="00996A8F">
      <w:pPr>
        <w:rPr>
          <w:rFonts w:ascii="Palatino Linotype" w:hAnsi="Palatino Linotype"/>
          <w:color w:val="000000" w:themeColor="text1"/>
        </w:rPr>
      </w:pPr>
    </w:p>
    <w:p w:rsidR="00996A8F" w:rsidRDefault="00996A8F" w:rsidP="00996A8F">
      <w:pPr>
        <w:rPr>
          <w:rFonts w:ascii="Palatino Linotype" w:hAnsi="Palatino Linotype"/>
          <w:color w:val="000000" w:themeColor="text1"/>
        </w:rPr>
      </w:pPr>
      <w:r>
        <w:rPr>
          <w:rFonts w:ascii="Palatino Linotype" w:hAnsi="Palatino Linotype"/>
          <w:color w:val="000000" w:themeColor="text1"/>
        </w:rPr>
        <w:t xml:space="preserve">The </w:t>
      </w:r>
      <w:r w:rsidRPr="00B61F27">
        <w:rPr>
          <w:rFonts w:ascii="Palatino Linotype" w:hAnsi="Palatino Linotype"/>
          <w:color w:val="000000" w:themeColor="text1"/>
        </w:rPr>
        <w:t>Victoria Street Bungalows DSL project from PSHH</w:t>
      </w:r>
      <w:r>
        <w:rPr>
          <w:rFonts w:ascii="Palatino Linotype" w:hAnsi="Palatino Linotype"/>
          <w:color w:val="000000" w:themeColor="text1"/>
        </w:rPr>
        <w:t xml:space="preserve"> has higher costs per unit since the </w:t>
      </w:r>
      <w:r w:rsidRPr="00B61F27">
        <w:rPr>
          <w:rFonts w:ascii="Palatino Linotype" w:hAnsi="Palatino Linotype"/>
          <w:color w:val="000000" w:themeColor="text1"/>
        </w:rPr>
        <w:t>proportionate saving in costs gained by a larger deployment is not realized for a smaller building</w:t>
      </w:r>
      <w:r>
        <w:rPr>
          <w:rFonts w:ascii="Palatino Linotype" w:hAnsi="Palatino Linotype"/>
          <w:color w:val="000000" w:themeColor="text1"/>
        </w:rPr>
        <w:t xml:space="preserve"> since it only has 16 units.  In this situation, the cost of the router brought up the</w:t>
      </w:r>
      <w:r w:rsidR="00A10687">
        <w:rPr>
          <w:rFonts w:ascii="Palatino Linotype" w:hAnsi="Palatino Linotype"/>
          <w:color w:val="000000" w:themeColor="text1"/>
        </w:rPr>
        <w:t xml:space="preserve"> overall per unit costs in a 16-</w:t>
      </w:r>
      <w:r>
        <w:rPr>
          <w:rFonts w:ascii="Palatino Linotype" w:hAnsi="Palatino Linotype"/>
          <w:color w:val="000000" w:themeColor="text1"/>
        </w:rPr>
        <w:t xml:space="preserve">unit building.  </w:t>
      </w:r>
    </w:p>
    <w:p w:rsidR="00996A8F" w:rsidRDefault="00996A8F" w:rsidP="00996A8F">
      <w:pPr>
        <w:rPr>
          <w:rFonts w:ascii="Palatino Linotype" w:hAnsi="Palatino Linotype"/>
          <w:color w:val="000000" w:themeColor="text1"/>
        </w:rPr>
      </w:pPr>
    </w:p>
    <w:p w:rsidR="00996A8F" w:rsidRDefault="00996A8F" w:rsidP="00996A8F">
      <w:pPr>
        <w:rPr>
          <w:rFonts w:ascii="Palatino Linotype" w:hAnsi="Palatino Linotype"/>
          <w:color w:val="000000" w:themeColor="text1"/>
        </w:rPr>
      </w:pPr>
      <w:r w:rsidRPr="008262F6">
        <w:rPr>
          <w:rFonts w:ascii="Palatino Linotype" w:hAnsi="Palatino Linotype"/>
          <w:color w:val="000000" w:themeColor="text1"/>
        </w:rPr>
        <w:t>Based on staff research</w:t>
      </w:r>
      <w:r>
        <w:rPr>
          <w:rFonts w:ascii="Palatino Linotype" w:hAnsi="Palatino Linotype"/>
          <w:color w:val="000000" w:themeColor="text1"/>
        </w:rPr>
        <w:t xml:space="preserve"> discussed above</w:t>
      </w:r>
      <w:r w:rsidRPr="008262F6">
        <w:rPr>
          <w:rFonts w:ascii="Palatino Linotype" w:hAnsi="Palatino Linotype"/>
          <w:color w:val="000000" w:themeColor="text1"/>
        </w:rPr>
        <w:t xml:space="preserve">, CD finds the reasons for the extra cost per unit reasonable and recommends approval.  </w:t>
      </w:r>
    </w:p>
    <w:p w:rsidR="00996A8F" w:rsidRDefault="00996A8F" w:rsidP="00996A8F">
      <w:pPr>
        <w:rPr>
          <w:rFonts w:ascii="Palatino Linotype" w:hAnsi="Palatino Linotype"/>
          <w:color w:val="000000" w:themeColor="text1"/>
        </w:rPr>
      </w:pPr>
    </w:p>
    <w:p w:rsidR="00996A8F" w:rsidRDefault="00996A8F" w:rsidP="00996A8F">
      <w:pPr>
        <w:rPr>
          <w:rFonts w:ascii="Palatino Linotype" w:hAnsi="Palatino Linotype"/>
          <w:color w:val="000000" w:themeColor="text1"/>
        </w:rPr>
      </w:pPr>
      <w:r>
        <w:rPr>
          <w:rFonts w:ascii="Palatino Linotype" w:hAnsi="Palatino Linotype"/>
          <w:color w:val="000000" w:themeColor="text1"/>
        </w:rPr>
        <w:t xml:space="preserve">All of the proposed project networks are capable of offering residents internet service speeds </w:t>
      </w:r>
      <w:r w:rsidRPr="00E174EF">
        <w:rPr>
          <w:rFonts w:ascii="Palatino Linotype" w:hAnsi="Palatino Linotype"/>
          <w:color w:val="000000" w:themeColor="text1"/>
        </w:rPr>
        <w:t>of at least 6</w:t>
      </w:r>
      <w:r>
        <w:rPr>
          <w:rFonts w:ascii="Palatino Linotype" w:hAnsi="Palatino Linotype"/>
          <w:color w:val="000000" w:themeColor="text1"/>
        </w:rPr>
        <w:t xml:space="preserve"> M</w:t>
      </w:r>
      <w:r w:rsidRPr="00E174EF">
        <w:rPr>
          <w:rFonts w:ascii="Palatino Linotype" w:hAnsi="Palatino Linotype"/>
          <w:color w:val="000000" w:themeColor="text1"/>
        </w:rPr>
        <w:t>bps downstream/1.5</w:t>
      </w:r>
      <w:r>
        <w:rPr>
          <w:rFonts w:ascii="Palatino Linotype" w:hAnsi="Palatino Linotype"/>
          <w:color w:val="000000" w:themeColor="text1"/>
        </w:rPr>
        <w:t xml:space="preserve"> M</w:t>
      </w:r>
      <w:r w:rsidRPr="00E174EF">
        <w:rPr>
          <w:rFonts w:ascii="Palatino Linotype" w:hAnsi="Palatino Linotype"/>
          <w:color w:val="000000" w:themeColor="text1"/>
        </w:rPr>
        <w:t>bps upstream</w:t>
      </w:r>
      <w:r>
        <w:rPr>
          <w:rFonts w:ascii="Palatino Linotype" w:hAnsi="Palatino Linotype"/>
          <w:color w:val="000000" w:themeColor="text1"/>
        </w:rPr>
        <w:t xml:space="preserve"> and can provide </w:t>
      </w:r>
      <w:r w:rsidRPr="00E174EF">
        <w:rPr>
          <w:rFonts w:ascii="Palatino Linotype" w:hAnsi="Palatino Linotype"/>
          <w:color w:val="000000" w:themeColor="text1"/>
        </w:rPr>
        <w:t xml:space="preserve">residents with minimum download speeds of 1.5 </w:t>
      </w:r>
      <w:r>
        <w:rPr>
          <w:rFonts w:ascii="Palatino Linotype" w:hAnsi="Palatino Linotype"/>
          <w:color w:val="000000" w:themeColor="text1"/>
        </w:rPr>
        <w:t>M</w:t>
      </w:r>
      <w:r w:rsidRPr="00E174EF">
        <w:rPr>
          <w:rFonts w:ascii="Palatino Linotype" w:hAnsi="Palatino Linotype"/>
          <w:color w:val="000000" w:themeColor="text1"/>
        </w:rPr>
        <w:t>bps per unit during peak utilization periods</w:t>
      </w:r>
      <w:r>
        <w:rPr>
          <w:rFonts w:ascii="Palatino Linotype" w:hAnsi="Palatino Linotype"/>
          <w:color w:val="000000" w:themeColor="text1"/>
        </w:rPr>
        <w:t>.  D.14-12-039 requires the applicant to acquire bandwidth for the networks to connect to the internet and to carry operational costs.</w:t>
      </w:r>
      <w:r>
        <w:rPr>
          <w:rStyle w:val="FootnoteReference"/>
          <w:rFonts w:ascii="Palatino Linotype" w:hAnsi="Palatino Linotype"/>
          <w:color w:val="000000" w:themeColor="text1"/>
        </w:rPr>
        <w:footnoteReference w:id="19"/>
      </w:r>
      <w:r>
        <w:rPr>
          <w:rFonts w:ascii="Palatino Linotype" w:hAnsi="Palatino Linotype"/>
          <w:color w:val="000000" w:themeColor="text1"/>
        </w:rPr>
        <w:t xml:space="preserve">  Even though the installed networks might be capable to carry higher capacities and speeds, CD staff’s experience has been that applicants tend to purchase only the amount of bandwidth needed to meet program benchmarks.  </w:t>
      </w:r>
    </w:p>
    <w:p w:rsidR="00996A8F" w:rsidRDefault="00996A8F" w:rsidP="00996A8F">
      <w:pPr>
        <w:rPr>
          <w:rFonts w:ascii="Palatino Linotype" w:hAnsi="Palatino Linotype"/>
          <w:color w:val="000000" w:themeColor="text1"/>
        </w:rPr>
      </w:pPr>
    </w:p>
    <w:p w:rsidR="00996A8F" w:rsidRPr="00B8240F" w:rsidRDefault="00996A8F" w:rsidP="00996A8F">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     COMPLIANCE REQUIREMENTS</w:t>
      </w:r>
    </w:p>
    <w:p w:rsidR="00996A8F" w:rsidRPr="00B8240F" w:rsidRDefault="00996A8F" w:rsidP="00996A8F">
      <w:pPr>
        <w:autoSpaceDE w:val="0"/>
        <w:autoSpaceDN w:val="0"/>
        <w:adjustRightInd w:val="0"/>
        <w:rPr>
          <w:rFonts w:ascii="Palatino Linotype" w:hAnsi="Palatino Linotype"/>
          <w:b/>
          <w:color w:val="000000" w:themeColor="text1"/>
        </w:rPr>
      </w:pPr>
    </w:p>
    <w:p w:rsidR="00996A8F" w:rsidRPr="00B8240F" w:rsidRDefault="00996A8F" w:rsidP="00996A8F">
      <w:pPr>
        <w:autoSpaceDE w:val="0"/>
        <w:autoSpaceDN w:val="0"/>
        <w:adjustRightInd w:val="0"/>
        <w:rPr>
          <w:rFonts w:ascii="Palatino Linotype" w:hAnsi="Palatino Linotype" w:cs="Garamond"/>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B8240F">
        <w:rPr>
          <w:rFonts w:ascii="Palatino Linotype" w:hAnsi="Palatino Linotype" w:cs="Garamond"/>
          <w:color w:val="000000" w:themeColor="text1"/>
        </w:rPr>
        <w:t>are required to comply with all the guidelines, requirements, and conditions associated with the grant of CASF funds as specified in D.14-12-039.  Such compliance includes, but is not limited to the following:</w:t>
      </w:r>
    </w:p>
    <w:p w:rsidR="00996A8F" w:rsidRPr="00B8240F" w:rsidRDefault="00996A8F" w:rsidP="00996A8F">
      <w:pPr>
        <w:autoSpaceDE w:val="0"/>
        <w:autoSpaceDN w:val="0"/>
        <w:adjustRightInd w:val="0"/>
        <w:rPr>
          <w:rFonts w:ascii="Palatino Linotype" w:hAnsi="Palatino Linotype"/>
          <w:color w:val="000000" w:themeColor="text1"/>
        </w:rPr>
      </w:pPr>
    </w:p>
    <w:p w:rsidR="00996A8F" w:rsidRPr="00B8240F" w:rsidRDefault="00996A8F" w:rsidP="00996A8F">
      <w:pPr>
        <w:numPr>
          <w:ilvl w:val="0"/>
          <w:numId w:val="2"/>
        </w:numPr>
        <w:autoSpaceDE w:val="0"/>
        <w:autoSpaceDN w:val="0"/>
        <w:adjustRightInd w:val="0"/>
        <w:ind w:left="900"/>
        <w:rPr>
          <w:rFonts w:ascii="Palatino Linotype" w:hAnsi="Palatino Linotype"/>
          <w:b/>
          <w:color w:val="000000" w:themeColor="text1"/>
        </w:rPr>
      </w:pPr>
      <w:r w:rsidRPr="00B8240F">
        <w:rPr>
          <w:rFonts w:ascii="Palatino Linotype" w:hAnsi="Palatino Linotype"/>
          <w:b/>
          <w:color w:val="000000" w:themeColor="text1"/>
        </w:rPr>
        <w:t xml:space="preserve">California Environmental Quality Act (CEQA) </w:t>
      </w:r>
    </w:p>
    <w:p w:rsidR="00996A8F" w:rsidRPr="00B8240F" w:rsidRDefault="00996A8F" w:rsidP="00996A8F">
      <w:pPr>
        <w:pStyle w:val="Default"/>
        <w:rPr>
          <w:rFonts w:ascii="Palatino Linotype" w:hAnsi="Palatino Linotype"/>
          <w:color w:val="000000" w:themeColor="text1"/>
        </w:rPr>
      </w:pPr>
    </w:p>
    <w:p w:rsidR="00996A8F" w:rsidRPr="00B8240F" w:rsidRDefault="00996A8F" w:rsidP="00996A8F">
      <w:pPr>
        <w:pStyle w:val="Default"/>
        <w:rPr>
          <w:rFonts w:ascii="Palatino Linotype" w:hAnsi="Palatino Linotype"/>
          <w:color w:val="000000" w:themeColor="text1"/>
        </w:rPr>
      </w:pPr>
      <w:r w:rsidRPr="00B8240F">
        <w:rPr>
          <w:rFonts w:ascii="Palatino Linotype" w:hAnsi="Palatino Linotype"/>
          <w:color w:val="000000" w:themeColor="text1"/>
        </w:rPr>
        <w:t>All CASF grants are subject to CEQA requirements unless the projects are statutorily or categorically exempt pursuant to the CEQA Guidelines.</w:t>
      </w:r>
    </w:p>
    <w:p w:rsidR="00996A8F" w:rsidRPr="00B8240F" w:rsidRDefault="00996A8F" w:rsidP="00996A8F">
      <w:pPr>
        <w:autoSpaceDE w:val="0"/>
        <w:autoSpaceDN w:val="0"/>
        <w:adjustRightInd w:val="0"/>
        <w:rPr>
          <w:rFonts w:ascii="Palatino Linotype" w:hAnsi="Palatino Linotype"/>
          <w:color w:val="000000" w:themeColor="text1"/>
        </w:rPr>
      </w:pPr>
    </w:p>
    <w:p w:rsidR="00996A8F" w:rsidRPr="00B8240F" w:rsidDel="00C352D3" w:rsidRDefault="00996A8F" w:rsidP="00996A8F">
      <w:pPr>
        <w:autoSpaceDE w:val="0"/>
        <w:autoSpaceDN w:val="0"/>
        <w:adjustRightInd w:val="0"/>
        <w:rPr>
          <w:rFonts w:ascii="Palatino Linotype" w:hAnsi="Palatino Linotype" w:cs="Tahoma"/>
          <w:color w:val="000000" w:themeColor="text1"/>
        </w:rPr>
      </w:pPr>
      <w:r w:rsidRPr="00B8240F">
        <w:rPr>
          <w:rFonts w:ascii="Palatino Linotype" w:hAnsi="Palatino Linotype"/>
          <w:color w:val="000000" w:themeColor="text1"/>
        </w:rPr>
        <w:t xml:space="preserve">All </w:t>
      </w:r>
      <w:r>
        <w:rPr>
          <w:rFonts w:ascii="Palatino Linotype" w:hAnsi="Palatino Linotype"/>
          <w:color w:val="000000" w:themeColor="text1"/>
        </w:rPr>
        <w:t>35</w:t>
      </w:r>
      <w:r w:rsidRPr="00B8240F">
        <w:rPr>
          <w:rFonts w:ascii="Palatino Linotype" w:hAnsi="Palatino Linotype"/>
          <w:color w:val="000000" w:themeColor="text1"/>
        </w:rPr>
        <w:t xml:space="preserve"> projects require limited modifications of existing structures.  The </w:t>
      </w:r>
      <w:r>
        <w:rPr>
          <w:rFonts w:ascii="Palatino Linotype" w:hAnsi="Palatino Linotype"/>
          <w:color w:val="000000" w:themeColor="text1"/>
        </w:rPr>
        <w:t>wireless</w:t>
      </w:r>
      <w:r w:rsidRPr="00B8240F">
        <w:rPr>
          <w:rFonts w:ascii="Palatino Linotype" w:hAnsi="Palatino Linotype"/>
          <w:color w:val="000000" w:themeColor="text1"/>
        </w:rPr>
        <w:t xml:space="preserve"> </w:t>
      </w:r>
      <w:r w:rsidRPr="00B8240F">
        <w:rPr>
          <w:rFonts w:ascii="Palatino Linotype" w:hAnsi="Palatino Linotype" w:cs="Tahoma"/>
          <w:color w:val="000000" w:themeColor="text1"/>
        </w:rPr>
        <w:t>projects are based on a mesh</w:t>
      </w:r>
      <w:r>
        <w:rPr>
          <w:rFonts w:ascii="Palatino Linotype" w:hAnsi="Palatino Linotype" w:cs="Tahoma"/>
          <w:color w:val="000000" w:themeColor="text1"/>
        </w:rPr>
        <w:t xml:space="preserve"> </w:t>
      </w:r>
      <w:r w:rsidRPr="00B8240F">
        <w:rPr>
          <w:rFonts w:ascii="Palatino Linotype" w:hAnsi="Palatino Linotype" w:cs="Tahoma"/>
          <w:color w:val="000000" w:themeColor="text1"/>
        </w:rPr>
        <w:t>wireless network architecture consisting of ISP Modem</w:t>
      </w:r>
      <w:r>
        <w:rPr>
          <w:rFonts w:ascii="Palatino Linotype" w:hAnsi="Palatino Linotype" w:cs="Tahoma"/>
          <w:color w:val="000000" w:themeColor="text1"/>
        </w:rPr>
        <w:t>(s)</w:t>
      </w:r>
      <w:r w:rsidRPr="00B8240F">
        <w:rPr>
          <w:rFonts w:ascii="Palatino Linotype" w:hAnsi="Palatino Linotype" w:cs="Tahoma"/>
          <w:color w:val="000000" w:themeColor="text1"/>
        </w:rPr>
        <w:t xml:space="preserve">, network switching and routing equipment and wireless access points.  This requires installation/mounting of equipment in existing structures such as rooftops.  The </w:t>
      </w:r>
      <w:r>
        <w:rPr>
          <w:rFonts w:ascii="Palatino Linotype" w:hAnsi="Palatino Linotype" w:cs="Tahoma"/>
          <w:color w:val="000000" w:themeColor="text1"/>
        </w:rPr>
        <w:t>PSHH DSL</w:t>
      </w:r>
      <w:r w:rsidRPr="00B8240F">
        <w:rPr>
          <w:rFonts w:ascii="Palatino Linotype" w:hAnsi="Palatino Linotype" w:cs="Tahoma"/>
          <w:color w:val="000000" w:themeColor="text1"/>
        </w:rPr>
        <w:t xml:space="preserve"> project require</w:t>
      </w:r>
      <w:r>
        <w:rPr>
          <w:rFonts w:ascii="Palatino Linotype" w:hAnsi="Palatino Linotype" w:cs="Tahoma"/>
          <w:color w:val="000000" w:themeColor="text1"/>
        </w:rPr>
        <w:t>s</w:t>
      </w:r>
      <w:r w:rsidRPr="00B8240F">
        <w:rPr>
          <w:rFonts w:ascii="Palatino Linotype" w:hAnsi="Palatino Linotype" w:cs="Tahoma"/>
          <w:color w:val="000000" w:themeColor="text1"/>
        </w:rPr>
        <w:t xml:space="preserve"> the installation of network switching and routing equipment in existing structures and use existing wiring.  Such inside wiring may be replaced if found deficient.</w:t>
      </w:r>
      <w:r w:rsidRPr="00B8240F">
        <w:rPr>
          <w:rFonts w:ascii="Palatino Linotype" w:hAnsi="Palatino Linotype"/>
          <w:color w:val="000000" w:themeColor="text1"/>
        </w:rPr>
        <w:t xml:space="preserve">  </w:t>
      </w:r>
    </w:p>
    <w:p w:rsidR="00996A8F" w:rsidRPr="00B8240F" w:rsidRDefault="00996A8F" w:rsidP="00996A8F">
      <w:pPr>
        <w:autoSpaceDE w:val="0"/>
        <w:autoSpaceDN w:val="0"/>
        <w:adjustRightInd w:val="0"/>
        <w:rPr>
          <w:rFonts w:ascii="Palatino Linotype" w:hAnsi="Palatino Linotype"/>
          <w:color w:val="000000" w:themeColor="text1"/>
        </w:rPr>
      </w:pPr>
    </w:p>
    <w:p w:rsidR="00996A8F" w:rsidRPr="00B8240F" w:rsidRDefault="00996A8F" w:rsidP="00996A8F">
      <w:pPr>
        <w:autoSpaceDE w:val="0"/>
        <w:autoSpaceDN w:val="0"/>
        <w:adjustRightInd w:val="0"/>
        <w:rPr>
          <w:rFonts w:ascii="Palatino Linotype" w:hAnsi="Palatino Linotype"/>
          <w:color w:val="000000" w:themeColor="text1"/>
        </w:rPr>
      </w:pPr>
      <w:r w:rsidRPr="00B8240F">
        <w:rPr>
          <w:rFonts w:ascii="Palatino Linotype" w:hAnsi="Palatino Linotype"/>
          <w:color w:val="000000" w:themeColor="text1"/>
        </w:rPr>
        <w:t>Based on the above information, these projects meet the criteria of the CEQA categorical exemption for existing facilities (CEQA Guidelines § 15301) and CEQA Guidelines Section 15303 – New Construction or Conversion of Small Structures, involving construction, installation, and/or conversion of limited numbers of new and/or existing facilities/structures.</w:t>
      </w:r>
    </w:p>
    <w:p w:rsidR="00996A8F" w:rsidRPr="00B8240F" w:rsidRDefault="00996A8F" w:rsidP="00996A8F">
      <w:pPr>
        <w:autoSpaceDE w:val="0"/>
        <w:autoSpaceDN w:val="0"/>
        <w:adjustRightInd w:val="0"/>
        <w:rPr>
          <w:rFonts w:ascii="Palatino Linotype" w:hAnsi="Palatino Linotype"/>
          <w:color w:val="000000" w:themeColor="text1"/>
        </w:rPr>
      </w:pPr>
    </w:p>
    <w:p w:rsidR="00996A8F" w:rsidRPr="00B8240F" w:rsidRDefault="00996A8F" w:rsidP="00996A8F">
      <w:pPr>
        <w:numPr>
          <w:ilvl w:val="0"/>
          <w:numId w:val="2"/>
        </w:numPr>
        <w:autoSpaceDE w:val="0"/>
        <w:autoSpaceDN w:val="0"/>
        <w:adjustRightInd w:val="0"/>
        <w:ind w:left="900"/>
        <w:rPr>
          <w:rFonts w:ascii="Palatino Linotype" w:hAnsi="Palatino Linotype"/>
          <w:b/>
          <w:color w:val="000000" w:themeColor="text1"/>
        </w:rPr>
      </w:pPr>
      <w:r w:rsidRPr="00B8240F">
        <w:rPr>
          <w:rFonts w:ascii="Palatino Linotype" w:hAnsi="Palatino Linotype"/>
          <w:b/>
          <w:color w:val="000000" w:themeColor="text1"/>
        </w:rPr>
        <w:t>Execution and Performance</w:t>
      </w:r>
    </w:p>
    <w:p w:rsidR="00996A8F" w:rsidRPr="00B8240F" w:rsidRDefault="00996A8F" w:rsidP="00996A8F">
      <w:pPr>
        <w:autoSpaceDE w:val="0"/>
        <w:autoSpaceDN w:val="0"/>
        <w:adjustRightInd w:val="0"/>
        <w:rPr>
          <w:rFonts w:ascii="Palatino Linotype" w:hAnsi="Palatino Linotype"/>
          <w:color w:val="000000" w:themeColor="text1"/>
        </w:rPr>
      </w:pPr>
    </w:p>
    <w:p w:rsidR="00996A8F" w:rsidRPr="00B8240F" w:rsidRDefault="00996A8F" w:rsidP="00996A8F">
      <w:pPr>
        <w:ind w:right="-18"/>
        <w:rPr>
          <w:rFonts w:ascii="Palatino Linotype" w:hAnsi="Palatino Linotype" w:cs="Garamond"/>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B8240F">
        <w:rPr>
          <w:rFonts w:ascii="Palatino Linotype" w:hAnsi="Palatino Linotype" w:cs="Garamond"/>
          <w:color w:val="000000" w:themeColor="text1"/>
        </w:rPr>
        <w:t>must</w:t>
      </w:r>
      <w:r>
        <w:rPr>
          <w:rFonts w:ascii="Palatino Linotype" w:hAnsi="Palatino Linotype" w:cs="Garamond"/>
          <w:color w:val="000000" w:themeColor="text1"/>
        </w:rPr>
        <w:t xml:space="preserve"> each</w:t>
      </w:r>
      <w:r w:rsidRPr="00B8240F">
        <w:rPr>
          <w:rFonts w:ascii="Palatino Linotype" w:hAnsi="Palatino Linotype" w:cs="Garamond"/>
          <w:color w:val="000000" w:themeColor="text1"/>
        </w:rPr>
        <w:t xml:space="preserve"> complete all performance under the award on or before 12 months from the date this </w:t>
      </w:r>
      <w:r>
        <w:rPr>
          <w:rFonts w:ascii="Palatino Linotype" w:hAnsi="Palatino Linotype" w:cs="Garamond"/>
          <w:color w:val="000000" w:themeColor="text1"/>
        </w:rPr>
        <w:t>R</w:t>
      </w:r>
      <w:r w:rsidRPr="00B8240F">
        <w:rPr>
          <w:rFonts w:ascii="Palatino Linotype" w:hAnsi="Palatino Linotype" w:cs="Garamond"/>
          <w:color w:val="000000" w:themeColor="text1"/>
        </w:rPr>
        <w:t xml:space="preserve">esolution is approved.  If </w:t>
      </w:r>
      <w:r>
        <w:rPr>
          <w:rFonts w:ascii="Palatino Linotype" w:hAnsi="Palatino Linotype" w:cs="Garamond"/>
          <w:color w:val="000000" w:themeColor="text1"/>
        </w:rPr>
        <w:t>an applicant is</w:t>
      </w:r>
      <w:r w:rsidRPr="00B8240F">
        <w:rPr>
          <w:rFonts w:ascii="Palatino Linotype" w:hAnsi="Palatino Linotype" w:cs="Garamond"/>
          <w:color w:val="000000" w:themeColor="text1"/>
        </w:rPr>
        <w:t xml:space="preserve"> unable to complete the proposed projects within the 12 month time frame requirement, they must notify the Director of CD as soon as they become aware of this possibility.  If such notice is not provided, the Commission may reduce payment for failure to satisfy this requirement by timely notifying CD’s director.</w:t>
      </w:r>
    </w:p>
    <w:p w:rsidR="00996A8F" w:rsidRPr="00B8240F" w:rsidRDefault="00996A8F" w:rsidP="00996A8F">
      <w:pPr>
        <w:ind w:right="-18"/>
        <w:rPr>
          <w:rFonts w:ascii="Palatino Linotype" w:hAnsi="Palatino Linotype" w:cs="Garamond"/>
          <w:color w:val="000000" w:themeColor="text1"/>
        </w:rPr>
      </w:pPr>
    </w:p>
    <w:p w:rsidR="00996A8F" w:rsidRPr="00B8240F" w:rsidRDefault="00996A8F" w:rsidP="00996A8F">
      <w:pPr>
        <w:ind w:right="-18"/>
        <w:rPr>
          <w:rFonts w:ascii="Palatino Linotype" w:hAnsi="Palatino Linotype" w:cs="Garamond"/>
          <w:color w:val="000000" w:themeColor="text1"/>
        </w:rPr>
      </w:pPr>
      <w:r w:rsidRPr="00B8240F">
        <w:rPr>
          <w:rFonts w:ascii="Palatino Linotype" w:hAnsi="Palatino Linotype" w:cs="Garamond"/>
          <w:color w:val="000000" w:themeColor="text1"/>
        </w:rPr>
        <w:t xml:space="preserve">In the event that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B8240F">
        <w:rPr>
          <w:rFonts w:ascii="Palatino Linotype" w:hAnsi="Palatino Linotype" w:cs="Garamond"/>
          <w:color w:val="000000" w:themeColor="text1"/>
        </w:rPr>
        <w:t xml:space="preserve">fails to complete the performance in accordance with the terms of the </w:t>
      </w:r>
      <w:r>
        <w:rPr>
          <w:rFonts w:ascii="Palatino Linotype" w:hAnsi="Palatino Linotype" w:cs="Garamond"/>
          <w:color w:val="000000" w:themeColor="text1"/>
        </w:rPr>
        <w:t xml:space="preserve">Commission’s </w:t>
      </w:r>
      <w:r w:rsidRPr="00B8240F">
        <w:rPr>
          <w:rFonts w:ascii="Palatino Linotype" w:hAnsi="Palatino Linotype" w:cs="Garamond"/>
          <w:color w:val="000000" w:themeColor="text1"/>
        </w:rPr>
        <w:t xml:space="preserve">approval, </w:t>
      </w:r>
      <w:r>
        <w:rPr>
          <w:rFonts w:ascii="Palatino Linotype" w:hAnsi="Palatino Linotype" w:cs="Garamond"/>
          <w:color w:val="000000" w:themeColor="text1"/>
        </w:rPr>
        <w:t xml:space="preserve">as set forth in this Resolution, </w:t>
      </w:r>
      <w:r w:rsidRPr="00B8240F">
        <w:rPr>
          <w:rFonts w:ascii="Palatino Linotype" w:hAnsi="Palatino Linotype" w:cs="Garamond"/>
          <w:color w:val="000000" w:themeColor="text1"/>
        </w:rPr>
        <w:t xml:space="preserve">the </w:t>
      </w:r>
      <w:r>
        <w:rPr>
          <w:rFonts w:ascii="Palatino Linotype" w:hAnsi="Palatino Linotype" w:cs="Garamond"/>
          <w:color w:val="000000" w:themeColor="text1"/>
        </w:rPr>
        <w:t>applicant</w:t>
      </w:r>
      <w:r w:rsidRPr="00B8240F">
        <w:rPr>
          <w:rFonts w:ascii="Palatino Linotype" w:hAnsi="Palatino Linotype" w:cs="Garamond"/>
          <w:color w:val="000000" w:themeColor="text1"/>
        </w:rPr>
        <w:t xml:space="preserve"> </w:t>
      </w:r>
      <w:r>
        <w:rPr>
          <w:rFonts w:ascii="Palatino Linotype" w:hAnsi="Palatino Linotype" w:cs="Garamond"/>
          <w:color w:val="000000" w:themeColor="text1"/>
        </w:rPr>
        <w:t>must</w:t>
      </w:r>
      <w:r w:rsidRPr="00B8240F">
        <w:rPr>
          <w:rFonts w:ascii="Palatino Linotype" w:hAnsi="Palatino Linotype" w:cs="Garamond"/>
          <w:color w:val="000000" w:themeColor="text1"/>
        </w:rPr>
        <w:t xml:space="preserve"> reimburse some or all of the CASF funds it has received.</w:t>
      </w:r>
    </w:p>
    <w:p w:rsidR="00996A8F" w:rsidRPr="00B8240F" w:rsidRDefault="00996A8F" w:rsidP="00996A8F">
      <w:pPr>
        <w:ind w:right="-18"/>
        <w:rPr>
          <w:rFonts w:ascii="Palatino Linotype" w:hAnsi="Palatino Linotype" w:cs="Garamond"/>
          <w:color w:val="000000" w:themeColor="text1"/>
        </w:rPr>
      </w:pPr>
    </w:p>
    <w:p w:rsidR="00996A8F" w:rsidRPr="00B8240F" w:rsidRDefault="00996A8F" w:rsidP="00996A8F">
      <w:pPr>
        <w:numPr>
          <w:ilvl w:val="0"/>
          <w:numId w:val="2"/>
        </w:numPr>
        <w:ind w:left="900" w:right="-18"/>
        <w:rPr>
          <w:rFonts w:ascii="Palatino Linotype" w:hAnsi="Palatino Linotype" w:cs="Garamond"/>
          <w:b/>
          <w:color w:val="000000" w:themeColor="text1"/>
        </w:rPr>
      </w:pPr>
      <w:r w:rsidRPr="00B8240F">
        <w:rPr>
          <w:rFonts w:ascii="Palatino Linotype" w:hAnsi="Palatino Linotype" w:cs="Garamond"/>
          <w:b/>
          <w:color w:val="000000" w:themeColor="text1"/>
        </w:rPr>
        <w:t>Project Audit</w:t>
      </w:r>
    </w:p>
    <w:p w:rsidR="00996A8F" w:rsidRPr="00B8240F" w:rsidRDefault="00996A8F" w:rsidP="00996A8F">
      <w:pPr>
        <w:ind w:right="-18"/>
        <w:rPr>
          <w:rFonts w:ascii="Palatino Linotype" w:hAnsi="Palatino Linotype" w:cs="Garamond"/>
          <w:color w:val="000000" w:themeColor="text1"/>
        </w:rPr>
      </w:pPr>
    </w:p>
    <w:p w:rsidR="00996A8F" w:rsidRPr="00B8240F" w:rsidRDefault="00996A8F" w:rsidP="00996A8F">
      <w:pPr>
        <w:ind w:right="-18"/>
        <w:rPr>
          <w:rFonts w:ascii="Palatino Linotype" w:hAnsi="Palatino Linotype" w:cs="Garamond"/>
          <w:color w:val="000000" w:themeColor="text1"/>
        </w:rPr>
      </w:pPr>
      <w:r w:rsidRPr="00B8240F">
        <w:rPr>
          <w:rFonts w:ascii="Palatino Linotype" w:hAnsi="Palatino Linotype" w:cs="Garamond"/>
          <w:color w:val="000000" w:themeColor="text1"/>
        </w:rPr>
        <w:t xml:space="preserve">The Commission has the right to conduct </w:t>
      </w:r>
      <w:r>
        <w:rPr>
          <w:rFonts w:ascii="Palatino Linotype" w:hAnsi="Palatino Linotype" w:cs="Garamond"/>
          <w:color w:val="000000" w:themeColor="text1"/>
        </w:rPr>
        <w:t xml:space="preserve">and enforce </w:t>
      </w:r>
      <w:r w:rsidRPr="00B8240F">
        <w:rPr>
          <w:rFonts w:ascii="Palatino Linotype" w:hAnsi="Palatino Linotype" w:cs="Garamond"/>
          <w:color w:val="000000" w:themeColor="text1"/>
        </w:rPr>
        <w:t>any necessary audit, verification, and discovery during project implementation/construction to ensure that CASF funds are spent in accordance with Commission approval.</w:t>
      </w:r>
      <w:r w:rsidRPr="00B8240F">
        <w:rPr>
          <w:rStyle w:val="FootnoteReference"/>
          <w:rFonts w:ascii="Palatino Linotype" w:hAnsi="Palatino Linotype" w:cs="Garamond"/>
          <w:color w:val="000000" w:themeColor="text1"/>
        </w:rPr>
        <w:footnoteReference w:id="20"/>
      </w:r>
    </w:p>
    <w:p w:rsidR="00996A8F" w:rsidRPr="00B8240F" w:rsidRDefault="00996A8F" w:rsidP="00996A8F">
      <w:pPr>
        <w:ind w:right="-18"/>
        <w:rPr>
          <w:rFonts w:ascii="Palatino Linotype" w:hAnsi="Palatino Linotype" w:cs="Garamond"/>
          <w:color w:val="000000" w:themeColor="text1"/>
        </w:rPr>
      </w:pPr>
    </w:p>
    <w:p w:rsidR="00996A8F" w:rsidRPr="000571D5" w:rsidRDefault="00996A8F" w:rsidP="00996A8F">
      <w:pPr>
        <w:ind w:right="-18"/>
        <w:rPr>
          <w:rFonts w:ascii="Palatino Linotype" w:hAnsi="Palatino Linotype" w:cs="Garamond"/>
          <w:color w:val="000000" w:themeColor="text1"/>
        </w:rPr>
      </w:pPr>
      <w:r w:rsidRPr="00B8240F">
        <w:rPr>
          <w:rFonts w:ascii="Palatino Linotype" w:hAnsi="Palatino Linotype" w:cs="Garamond"/>
          <w:color w:val="000000" w:themeColor="text1"/>
        </w:rPr>
        <w:lastRenderedPageBreak/>
        <w:t>T</w:t>
      </w:r>
      <w:r w:rsidRPr="000571D5">
        <w:rPr>
          <w:rFonts w:ascii="Palatino Linotype" w:hAnsi="Palatino Linotype" w:cs="Garamond"/>
          <w:color w:val="000000" w:themeColor="text1"/>
        </w:rPr>
        <w:t xml:space="preserve">he </w:t>
      </w:r>
      <w:r w:rsidRPr="002931FB">
        <w:rPr>
          <w:rFonts w:ascii="Palatino Linotype" w:hAnsi="Palatino Linotype" w:cs="Garamond"/>
          <w:color w:val="000000" w:themeColor="text1"/>
        </w:rPr>
        <w:t>CHW, CVCAH, HACK, HACSB, Surf, Banneker, NVCH, PSHH and EAH</w:t>
      </w:r>
      <w:r w:rsidRPr="000571D5">
        <w:rPr>
          <w:rFonts w:ascii="Palatino Linotype" w:hAnsi="Palatino Linotype" w:cs="Garamond"/>
          <w:color w:val="000000" w:themeColor="text1"/>
        </w:rPr>
        <w:t xml:space="preserve">’s invoices will </w:t>
      </w:r>
      <w:r>
        <w:rPr>
          <w:rFonts w:ascii="Palatino Linotype" w:hAnsi="Palatino Linotype" w:cs="Garamond"/>
          <w:color w:val="000000" w:themeColor="text1"/>
        </w:rPr>
        <w:t xml:space="preserve">each </w:t>
      </w:r>
      <w:r w:rsidRPr="000571D5">
        <w:rPr>
          <w:rFonts w:ascii="Palatino Linotype" w:hAnsi="Palatino Linotype" w:cs="Garamond"/>
          <w:color w:val="000000" w:themeColor="text1"/>
        </w:rPr>
        <w:t>be subject to a financial audit by the Commission at any time within three years of completion of the project.</w:t>
      </w:r>
    </w:p>
    <w:p w:rsidR="00996A8F" w:rsidRPr="000571D5" w:rsidRDefault="00996A8F" w:rsidP="00996A8F">
      <w:pPr>
        <w:ind w:right="-18"/>
        <w:rPr>
          <w:rFonts w:ascii="Palatino Linotype" w:hAnsi="Palatino Linotype" w:cs="Garamond"/>
          <w:color w:val="000000" w:themeColor="text1"/>
        </w:rPr>
      </w:pPr>
    </w:p>
    <w:p w:rsidR="00996A8F" w:rsidRPr="000571D5" w:rsidRDefault="00996A8F" w:rsidP="00996A8F">
      <w:pPr>
        <w:numPr>
          <w:ilvl w:val="0"/>
          <w:numId w:val="2"/>
        </w:numPr>
        <w:ind w:left="900" w:right="-18"/>
        <w:rPr>
          <w:rFonts w:ascii="Palatino Linotype" w:hAnsi="Palatino Linotype" w:cs="Garamond"/>
          <w:b/>
          <w:color w:val="000000" w:themeColor="text1"/>
        </w:rPr>
      </w:pPr>
      <w:r w:rsidRPr="000571D5">
        <w:rPr>
          <w:rFonts w:ascii="Palatino Linotype" w:hAnsi="Palatino Linotype" w:cs="Garamond"/>
          <w:b/>
          <w:color w:val="000000" w:themeColor="text1"/>
        </w:rPr>
        <w:t xml:space="preserve">Reporting </w:t>
      </w:r>
    </w:p>
    <w:p w:rsidR="00996A8F" w:rsidRPr="000571D5" w:rsidRDefault="00996A8F" w:rsidP="00996A8F">
      <w:pPr>
        <w:ind w:right="-18"/>
        <w:rPr>
          <w:rFonts w:ascii="Palatino Linotype" w:hAnsi="Palatino Linotype" w:cs="Garamond"/>
          <w:color w:val="000000" w:themeColor="text1"/>
        </w:rPr>
      </w:pPr>
    </w:p>
    <w:p w:rsidR="00996A8F" w:rsidRPr="000571D5" w:rsidRDefault="00996A8F" w:rsidP="00996A8F">
      <w:pPr>
        <w:ind w:right="-18"/>
        <w:rPr>
          <w:rFonts w:ascii="Palatino Linotype" w:hAnsi="Palatino Linotype" w:cs="Garamond"/>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must </w:t>
      </w:r>
      <w:r>
        <w:rPr>
          <w:rFonts w:ascii="Palatino Linotype" w:hAnsi="Palatino Linotype" w:cs="Garamond"/>
          <w:color w:val="000000" w:themeColor="text1"/>
        </w:rPr>
        <w:t xml:space="preserve">each </w:t>
      </w:r>
      <w:r w:rsidRPr="000571D5">
        <w:rPr>
          <w:rFonts w:ascii="Palatino Linotype" w:hAnsi="Palatino Linotype" w:cs="Garamond"/>
          <w:color w:val="000000" w:themeColor="text1"/>
        </w:rPr>
        <w:t xml:space="preserve">submit quarterly progress reports on the status of the project irrespective of whether grantees request reimbursement or payment.  Quarterly progress reports should be submitted on January 1, April 1, July 1 and October 1.  </w:t>
      </w:r>
      <w:r>
        <w:rPr>
          <w:rFonts w:ascii="Palatino Linotype" w:hAnsi="Palatino Linotype"/>
          <w:color w:val="000000" w:themeColor="text1"/>
        </w:rPr>
        <w:t>In the quarterly report, CHW, CVCAH, HACK, HACSB, Surf, Banneker, NVCH, PSHH and EAH</w:t>
      </w:r>
      <w:r w:rsidRPr="00B8240F">
        <w:rPr>
          <w:rFonts w:ascii="Palatino Linotype" w:hAnsi="Palatino Linotype"/>
          <w:color w:val="000000" w:themeColor="text1"/>
        </w:rPr>
        <w:t xml:space="preserve"> </w:t>
      </w:r>
      <w:r>
        <w:rPr>
          <w:rFonts w:ascii="Palatino Linotype" w:hAnsi="Palatino Linotype"/>
          <w:color w:val="000000" w:themeColor="text1"/>
        </w:rPr>
        <w:t>must</w:t>
      </w:r>
      <w:r w:rsidRPr="000571D5">
        <w:rPr>
          <w:rFonts w:ascii="Palatino Linotype" w:hAnsi="Palatino Linotype" w:cs="Garamond"/>
          <w:color w:val="000000" w:themeColor="text1"/>
        </w:rPr>
        <w:t xml:space="preserve"> identify foreseeable risks that might prevent it from meeting future milestones.  Before full payment of the project,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must submit a project completion report.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shall also include speed test results in its completion report.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must certify that each progress </w:t>
      </w:r>
      <w:r>
        <w:rPr>
          <w:rFonts w:ascii="Palatino Linotype" w:hAnsi="Palatino Linotype" w:cs="Garamond"/>
          <w:color w:val="000000" w:themeColor="text1"/>
        </w:rPr>
        <w:t xml:space="preserve">and completion </w:t>
      </w:r>
      <w:r w:rsidRPr="000571D5">
        <w:rPr>
          <w:rFonts w:ascii="Palatino Linotype" w:hAnsi="Palatino Linotype" w:cs="Garamond"/>
          <w:color w:val="000000" w:themeColor="text1"/>
        </w:rPr>
        <w:t>report is true and correct under penalty of perjury</w:t>
      </w:r>
    </w:p>
    <w:p w:rsidR="00996A8F" w:rsidRPr="000571D5" w:rsidRDefault="00996A8F" w:rsidP="00996A8F">
      <w:pPr>
        <w:ind w:right="-18"/>
        <w:rPr>
          <w:rFonts w:ascii="Palatino Linotype" w:hAnsi="Palatino Linotype" w:cs="Garamond"/>
          <w:color w:val="000000" w:themeColor="text1"/>
        </w:rPr>
      </w:pPr>
    </w:p>
    <w:p w:rsidR="00996A8F" w:rsidRPr="000571D5" w:rsidRDefault="00996A8F" w:rsidP="00996A8F">
      <w:pPr>
        <w:ind w:right="-18"/>
        <w:rPr>
          <w:rFonts w:ascii="Palatino Linotype" w:hAnsi="Palatino Linotype" w:cs="Garamond"/>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are required to maintain the broadband network for five years after it has been installed.  After installation, for a five year period, they must also submit quarterly reports showing the percentage of up time, the number of unique log-</w:t>
      </w:r>
      <w:proofErr w:type="spellStart"/>
      <w:r w:rsidRPr="000571D5">
        <w:rPr>
          <w:rFonts w:ascii="Palatino Linotype" w:hAnsi="Palatino Linotype" w:cs="Garamond"/>
          <w:color w:val="000000" w:themeColor="text1"/>
        </w:rPr>
        <w:t>ons</w:t>
      </w:r>
      <w:proofErr w:type="spellEnd"/>
      <w:r w:rsidRPr="000571D5">
        <w:rPr>
          <w:rFonts w:ascii="Palatino Linotype" w:hAnsi="Palatino Linotype" w:cs="Garamond"/>
          <w:color w:val="000000" w:themeColor="text1"/>
        </w:rPr>
        <w:t xml:space="preserve"> (either by individuals or by units) and the amount of data used.</w:t>
      </w:r>
      <w:r w:rsidRPr="000571D5">
        <w:rPr>
          <w:rStyle w:val="FootnoteReference"/>
          <w:rFonts w:ascii="Palatino Linotype" w:hAnsi="Palatino Linotype" w:cs="Garamond"/>
          <w:color w:val="000000" w:themeColor="text1"/>
        </w:rPr>
        <w:footnoteReference w:id="21"/>
      </w:r>
    </w:p>
    <w:p w:rsidR="00996A8F" w:rsidRPr="000571D5" w:rsidRDefault="00996A8F" w:rsidP="00996A8F">
      <w:pPr>
        <w:ind w:right="-18"/>
        <w:rPr>
          <w:rFonts w:ascii="Palatino Linotype" w:hAnsi="Palatino Linotype" w:cs="Garamond"/>
          <w:color w:val="000000" w:themeColor="text1"/>
        </w:rPr>
      </w:pPr>
    </w:p>
    <w:p w:rsidR="00996A8F" w:rsidRPr="000571D5" w:rsidRDefault="00996A8F" w:rsidP="00996A8F">
      <w:pPr>
        <w:numPr>
          <w:ilvl w:val="0"/>
          <w:numId w:val="2"/>
        </w:numPr>
        <w:ind w:left="900" w:right="-18"/>
        <w:rPr>
          <w:rFonts w:ascii="Palatino Linotype" w:hAnsi="Palatino Linotype" w:cs="Garamond"/>
          <w:b/>
          <w:color w:val="000000" w:themeColor="text1"/>
        </w:rPr>
      </w:pPr>
      <w:r w:rsidRPr="000571D5">
        <w:rPr>
          <w:rFonts w:ascii="Palatino Linotype" w:hAnsi="Palatino Linotype" w:cs="Garamond"/>
          <w:b/>
          <w:color w:val="000000" w:themeColor="text1"/>
        </w:rPr>
        <w:t>Payments</w:t>
      </w:r>
    </w:p>
    <w:p w:rsidR="00996A8F" w:rsidRPr="000571D5" w:rsidRDefault="00996A8F" w:rsidP="00996A8F">
      <w:pPr>
        <w:ind w:right="-18"/>
        <w:rPr>
          <w:rFonts w:ascii="Palatino Linotype" w:hAnsi="Palatino Linotype" w:cs="Garamond"/>
          <w:color w:val="000000" w:themeColor="text1"/>
        </w:rPr>
      </w:pPr>
    </w:p>
    <w:p w:rsidR="00996A8F" w:rsidRDefault="00996A8F" w:rsidP="00996A8F">
      <w:pPr>
        <w:ind w:right="-18"/>
        <w:rPr>
          <w:rFonts w:ascii="Palatino Linotype" w:hAnsi="Palatino Linotype" w:cs="Garamond"/>
          <w:color w:val="000000" w:themeColor="text1"/>
        </w:rPr>
      </w:pPr>
      <w:r w:rsidRPr="00744FC8">
        <w:rPr>
          <w:rFonts w:ascii="Palatino Linotype" w:hAnsi="Palatino Linotype" w:cs="Garamond"/>
          <w:color w:val="000000" w:themeColor="text1"/>
        </w:rPr>
        <w:t xml:space="preserve">Submission of invoices from and payments to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744FC8">
        <w:rPr>
          <w:rFonts w:ascii="Palatino Linotype" w:hAnsi="Palatino Linotype" w:cs="Garamond"/>
          <w:color w:val="000000" w:themeColor="text1"/>
        </w:rPr>
        <w:t xml:space="preserve">shall be made at completion intervals in accordance with Section X of Appendix B of D.14-12-039 and according to the guidelines and supporting documentation required in D.14-12-039.  As referred to in Section X, payment to </w:t>
      </w:r>
      <w:r>
        <w:rPr>
          <w:rFonts w:ascii="Palatino Linotype" w:hAnsi="Palatino Linotype" w:cs="Garamond"/>
          <w:color w:val="000000" w:themeColor="text1"/>
        </w:rPr>
        <w:t>the recipients</w:t>
      </w:r>
      <w:r w:rsidRPr="00744FC8">
        <w:rPr>
          <w:rFonts w:ascii="Palatino Linotype" w:hAnsi="Palatino Linotype" w:cs="Garamond"/>
          <w:color w:val="000000" w:themeColor="text1"/>
        </w:rPr>
        <w:t xml:space="preserve"> will be on a progress billing basis with the first 25 percent to be made upon the proponent’s submission to the Commission staff of a progress report showing that 25 percent of the total project has been completed.  Subsequent payments shall be made on 25 percent increments showing completion at 50 percent, 75 percent, and 100 percent.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744FC8">
        <w:rPr>
          <w:rFonts w:ascii="Palatino Linotype" w:hAnsi="Palatino Linotype" w:cs="Garamond"/>
          <w:color w:val="000000" w:themeColor="text1"/>
        </w:rPr>
        <w:t>must submit a project completion report before full payment.</w:t>
      </w:r>
    </w:p>
    <w:p w:rsidR="00996A8F" w:rsidRPr="000571D5" w:rsidRDefault="00996A8F" w:rsidP="00996A8F">
      <w:pPr>
        <w:ind w:right="-18"/>
        <w:rPr>
          <w:rFonts w:ascii="Palatino Linotype" w:hAnsi="Palatino Linotype" w:cs="Garamond"/>
          <w:color w:val="000000" w:themeColor="text1"/>
        </w:rPr>
      </w:pPr>
    </w:p>
    <w:p w:rsidR="00996A8F" w:rsidRPr="000571D5" w:rsidRDefault="00996A8F" w:rsidP="00996A8F">
      <w:pPr>
        <w:rPr>
          <w:rFonts w:ascii="Palatino Linotype" w:hAnsi="Palatino Linotype" w:cs="Garamond"/>
          <w:color w:val="000000" w:themeColor="text1"/>
        </w:rPr>
      </w:pPr>
      <w:r w:rsidRPr="000571D5">
        <w:rPr>
          <w:rFonts w:ascii="Palatino Linotype" w:hAnsi="Palatino Linotype" w:cs="Garamond"/>
          <w:color w:val="000000" w:themeColor="text1"/>
        </w:rPr>
        <w:lastRenderedPageBreak/>
        <w:t xml:space="preserve">Payment to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325160">
        <w:rPr>
          <w:rFonts w:ascii="Palatino Linotype" w:hAnsi="Palatino Linotype" w:cs="Garamond"/>
          <w:color w:val="000000" w:themeColor="text1"/>
        </w:rPr>
        <w:t>will be made in accordance with, and within the time specified in California Government</w:t>
      </w:r>
      <w:r>
        <w:rPr>
          <w:rFonts w:ascii="Palatino Linotype" w:hAnsi="Palatino Linotype" w:cs="Garamond"/>
          <w:color w:val="000000" w:themeColor="text1"/>
        </w:rPr>
        <w:t xml:space="preserve"> </w:t>
      </w:r>
      <w:r w:rsidRPr="00325160">
        <w:rPr>
          <w:rFonts w:ascii="Palatino Linotype" w:hAnsi="Palatino Linotype" w:cs="Garamond"/>
          <w:color w:val="000000" w:themeColor="text1"/>
        </w:rPr>
        <w:t xml:space="preserve">Code § 927 </w:t>
      </w:r>
      <w:r w:rsidRPr="00325160">
        <w:rPr>
          <w:rFonts w:ascii="Palatino Linotype" w:hAnsi="Palatino Linotype" w:cs="Garamond"/>
          <w:i/>
          <w:color w:val="000000" w:themeColor="text1"/>
        </w:rPr>
        <w:t>et seq</w:t>
      </w:r>
      <w:r w:rsidRPr="00325160">
        <w:rPr>
          <w:rFonts w:ascii="Palatino Linotype" w:hAnsi="Palatino Linotype" w:cs="Garamond"/>
          <w:color w:val="000000" w:themeColor="text1"/>
        </w:rPr>
        <w:t>.</w:t>
      </w:r>
      <w:r w:rsidRPr="000571D5">
        <w:rPr>
          <w:rFonts w:ascii="Palatino Linotype" w:hAnsi="Palatino Linotype" w:cs="Garamond"/>
          <w:color w:val="000000" w:themeColor="text1"/>
        </w:rPr>
        <w:t xml:space="preserve">  The Commission generally processes payments within 20-25 business days, including CD and Administrative Services review.  The State Controller’s Office (SCO) requires an additional 14-21 days to issue payment from the day that requests are received by SCO from Administrative Services. </w:t>
      </w:r>
    </w:p>
    <w:p w:rsidR="00996A8F" w:rsidRPr="000571D5" w:rsidRDefault="00996A8F" w:rsidP="00996A8F">
      <w:pPr>
        <w:ind w:right="-18"/>
        <w:rPr>
          <w:rFonts w:ascii="Palatino Linotype" w:hAnsi="Palatino Linotype"/>
          <w:color w:val="000000" w:themeColor="text1"/>
        </w:rPr>
      </w:pPr>
    </w:p>
    <w:p w:rsidR="00996A8F" w:rsidRDefault="00996A8F" w:rsidP="00996A8F">
      <w:pPr>
        <w:tabs>
          <w:tab w:val="right" w:pos="180"/>
        </w:tabs>
        <w:jc w:val="both"/>
        <w:rPr>
          <w:rFonts w:ascii="Palatino Linotype" w:hAnsi="Palatino Linotype"/>
          <w:b/>
          <w:color w:val="000000" w:themeColor="text1"/>
        </w:rPr>
      </w:pPr>
      <w:r w:rsidRPr="000571D5">
        <w:rPr>
          <w:rFonts w:ascii="Palatino Linotype" w:hAnsi="Palatino Linotype"/>
          <w:b/>
          <w:color w:val="000000" w:themeColor="text1"/>
        </w:rPr>
        <w:t xml:space="preserve">VI.     </w:t>
      </w:r>
      <w:r>
        <w:rPr>
          <w:rFonts w:ascii="Palatino Linotype" w:hAnsi="Palatino Linotype"/>
          <w:b/>
          <w:color w:val="000000" w:themeColor="text1"/>
        </w:rPr>
        <w:t>SAFETY CONSIDERATIONS</w:t>
      </w:r>
    </w:p>
    <w:p w:rsidR="00996A8F" w:rsidRDefault="00996A8F" w:rsidP="00996A8F">
      <w:pPr>
        <w:tabs>
          <w:tab w:val="right" w:pos="180"/>
        </w:tabs>
        <w:jc w:val="both"/>
        <w:rPr>
          <w:rFonts w:ascii="Palatino Linotype" w:hAnsi="Palatino Linotype"/>
          <w:b/>
          <w:color w:val="000000" w:themeColor="text1"/>
        </w:rPr>
      </w:pPr>
    </w:p>
    <w:p w:rsidR="00996A8F" w:rsidRDefault="00996A8F" w:rsidP="00996A8F">
      <w:pPr>
        <w:tabs>
          <w:tab w:val="right" w:pos="180"/>
        </w:tabs>
        <w:jc w:val="both"/>
        <w:rPr>
          <w:rFonts w:ascii="Palatino Linotype" w:hAnsi="Palatino Linotype"/>
          <w:color w:val="000000" w:themeColor="text1"/>
        </w:rPr>
      </w:pPr>
      <w:r>
        <w:rPr>
          <w:rFonts w:ascii="Palatino Linotype" w:hAnsi="Palatino Linotype"/>
          <w:color w:val="000000" w:themeColor="text1"/>
        </w:rPr>
        <w:t>The deployment of affordable broadband in public housing will improve access to government and e-health services, which improves safety.</w:t>
      </w:r>
    </w:p>
    <w:p w:rsidR="00996A8F" w:rsidRDefault="00996A8F" w:rsidP="00996A8F">
      <w:pPr>
        <w:tabs>
          <w:tab w:val="right" w:pos="180"/>
        </w:tabs>
        <w:jc w:val="both"/>
        <w:rPr>
          <w:rFonts w:ascii="Palatino Linotype" w:hAnsi="Palatino Linotype"/>
          <w:color w:val="000000" w:themeColor="text1"/>
        </w:rPr>
      </w:pPr>
    </w:p>
    <w:p w:rsidR="00996A8F" w:rsidRPr="000571D5" w:rsidRDefault="00996A8F" w:rsidP="00996A8F">
      <w:pPr>
        <w:tabs>
          <w:tab w:val="right" w:pos="180"/>
        </w:tabs>
        <w:jc w:val="both"/>
        <w:rPr>
          <w:rFonts w:ascii="Palatino Linotype" w:hAnsi="Palatino Linotype"/>
          <w:b/>
          <w:color w:val="000000" w:themeColor="text1"/>
        </w:rPr>
      </w:pPr>
      <w:r>
        <w:rPr>
          <w:rFonts w:ascii="Palatino Linotype" w:hAnsi="Palatino Linotype"/>
          <w:b/>
          <w:color w:val="000000" w:themeColor="text1"/>
        </w:rPr>
        <w:t>VII.</w:t>
      </w:r>
      <w:r>
        <w:rPr>
          <w:rFonts w:ascii="Palatino Linotype" w:hAnsi="Palatino Linotype"/>
          <w:b/>
          <w:color w:val="000000" w:themeColor="text1"/>
        </w:rPr>
        <w:tab/>
      </w:r>
      <w:r w:rsidRPr="000571D5">
        <w:rPr>
          <w:rFonts w:ascii="Palatino Linotype" w:hAnsi="Palatino Linotype"/>
          <w:b/>
          <w:color w:val="000000" w:themeColor="text1"/>
        </w:rPr>
        <w:t xml:space="preserve">COMMENTS </w:t>
      </w:r>
    </w:p>
    <w:p w:rsidR="00996A8F" w:rsidRPr="000571D5" w:rsidRDefault="00996A8F" w:rsidP="00996A8F">
      <w:pPr>
        <w:tabs>
          <w:tab w:val="right" w:pos="10080"/>
        </w:tabs>
        <w:jc w:val="both"/>
        <w:rPr>
          <w:rFonts w:ascii="Palatino Linotype" w:hAnsi="Palatino Linotype"/>
          <w:color w:val="000000" w:themeColor="text1"/>
          <w:highlight w:val="yellow"/>
        </w:rPr>
      </w:pPr>
    </w:p>
    <w:p w:rsidR="00996A8F" w:rsidRPr="000571D5" w:rsidRDefault="00996A8F" w:rsidP="00996A8F">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In compliance with </w:t>
      </w:r>
      <w:r>
        <w:rPr>
          <w:rFonts w:ascii="Palatino Linotype" w:hAnsi="Palatino Linotype"/>
          <w:color w:val="000000" w:themeColor="text1"/>
        </w:rPr>
        <w:t>P.U.</w:t>
      </w:r>
      <w:r w:rsidRPr="000571D5">
        <w:rPr>
          <w:rFonts w:ascii="Palatino Linotype" w:hAnsi="Palatino Linotype"/>
          <w:color w:val="000000" w:themeColor="text1"/>
        </w:rPr>
        <w:t xml:space="preserve"> Code </w:t>
      </w:r>
      <w:r>
        <w:rPr>
          <w:rFonts w:ascii="Palatino Linotype" w:hAnsi="Palatino Linotype"/>
          <w:color w:val="000000" w:themeColor="text1"/>
        </w:rPr>
        <w:t>S</w:t>
      </w:r>
      <w:r w:rsidRPr="000571D5">
        <w:rPr>
          <w:rFonts w:ascii="Palatino Linotype" w:hAnsi="Palatino Linotype"/>
          <w:color w:val="000000" w:themeColor="text1"/>
        </w:rPr>
        <w:t xml:space="preserve">ection 311(g)(1), a Notice of Availability was e-mailed on </w:t>
      </w:r>
      <w:r>
        <w:rPr>
          <w:rFonts w:ascii="Palatino Linotype" w:hAnsi="Palatino Linotype"/>
          <w:color w:val="000000" w:themeColor="text1"/>
        </w:rPr>
        <w:t>MM D, 2016</w:t>
      </w:r>
      <w:r w:rsidRPr="000571D5">
        <w:rPr>
          <w:rFonts w:ascii="Palatino Linotype" w:hAnsi="Palatino Linotype"/>
          <w:color w:val="000000" w:themeColor="text1"/>
        </w:rPr>
        <w:t xml:space="preserve">, informing all parties on the CASF Distribution List of the availability of the draft of this </w:t>
      </w:r>
      <w:r>
        <w:rPr>
          <w:rFonts w:ascii="Palatino Linotype" w:hAnsi="Palatino Linotype"/>
          <w:color w:val="000000" w:themeColor="text1"/>
        </w:rPr>
        <w:t>R</w:t>
      </w:r>
      <w:r w:rsidRPr="000571D5">
        <w:rPr>
          <w:rFonts w:ascii="Palatino Linotype" w:hAnsi="Palatino Linotype"/>
          <w:color w:val="000000" w:themeColor="text1"/>
        </w:rPr>
        <w:t xml:space="preserve">esolution for public comments at the Commission’s website at </w:t>
      </w:r>
      <w:hyperlink r:id="rId10" w:history="1">
        <w:r w:rsidRPr="000571D5">
          <w:rPr>
            <w:rStyle w:val="Hyperlink"/>
            <w:rFonts w:ascii="Palatino Linotype" w:hAnsi="Palatino Linotype"/>
            <w:color w:val="000000" w:themeColor="text1"/>
          </w:rPr>
          <w:t>http://www.cpuc.ca.gov/</w:t>
        </w:r>
      </w:hyperlink>
      <w:r w:rsidRPr="000571D5">
        <w:rPr>
          <w:rFonts w:ascii="Palatino Linotype" w:hAnsi="Palatino Linotype"/>
          <w:color w:val="000000" w:themeColor="text1"/>
        </w:rPr>
        <w:t xml:space="preserve"> and is available for public comments.  This letter also informed parties that the final conformed Resolution adopted by the Commission will be posted and available at this same website.  </w:t>
      </w:r>
    </w:p>
    <w:p w:rsidR="00996A8F" w:rsidRPr="000571D5" w:rsidRDefault="00996A8F" w:rsidP="00996A8F">
      <w:pPr>
        <w:tabs>
          <w:tab w:val="right" w:pos="10080"/>
        </w:tabs>
        <w:jc w:val="both"/>
        <w:rPr>
          <w:rFonts w:ascii="Palatino Linotype" w:hAnsi="Palatino Linotype"/>
          <w:color w:val="000000" w:themeColor="text1"/>
        </w:rPr>
      </w:pPr>
    </w:p>
    <w:p w:rsidR="00996A8F" w:rsidRPr="000571D5" w:rsidRDefault="00996A8F" w:rsidP="00996A8F">
      <w:pPr>
        <w:tabs>
          <w:tab w:val="right" w:pos="10080"/>
        </w:tabs>
        <w:jc w:val="both"/>
        <w:rPr>
          <w:rFonts w:ascii="Palatino Linotype" w:hAnsi="Palatino Linotype"/>
          <w:b/>
          <w:color w:val="000000" w:themeColor="text1"/>
        </w:rPr>
      </w:pPr>
      <w:r w:rsidRPr="000571D5">
        <w:rPr>
          <w:rFonts w:ascii="Palatino Linotype" w:hAnsi="Palatino Linotype"/>
          <w:b/>
          <w:color w:val="000000" w:themeColor="text1"/>
        </w:rPr>
        <w:t>VII.    FINDINGS</w:t>
      </w:r>
    </w:p>
    <w:p w:rsidR="00996A8F" w:rsidRPr="000571D5" w:rsidRDefault="00996A8F" w:rsidP="00996A8F">
      <w:pPr>
        <w:autoSpaceDE w:val="0"/>
        <w:autoSpaceDN w:val="0"/>
        <w:adjustRightInd w:val="0"/>
        <w:rPr>
          <w:rFonts w:ascii="Palatino Linotype" w:hAnsi="Palatino Linotype" w:cs="Palatino Linotype"/>
          <w:color w:val="000000" w:themeColor="text1"/>
        </w:rPr>
      </w:pPr>
    </w:p>
    <w:p w:rsidR="00996A8F" w:rsidRPr="00FB7D20" w:rsidRDefault="00996A8F" w:rsidP="00996A8F">
      <w:pPr>
        <w:numPr>
          <w:ilvl w:val="0"/>
          <w:numId w:val="3"/>
        </w:numPr>
        <w:rPr>
          <w:rFonts w:ascii="Palatino Linotype" w:hAnsi="Palatino Linotype"/>
          <w:color w:val="000000" w:themeColor="text1"/>
        </w:rPr>
      </w:pPr>
      <w:r w:rsidRPr="00FB7D20">
        <w:rPr>
          <w:rFonts w:ascii="Palatino Linotype" w:hAnsi="Palatino Linotype" w:cs="Palatino Linotype"/>
          <w:color w:val="000000"/>
        </w:rPr>
        <w:t>On July 1, 2015, CHW</w:t>
      </w:r>
      <w:r>
        <w:rPr>
          <w:rFonts w:ascii="Palatino Linotype" w:hAnsi="Palatino Linotype" w:cs="Palatino Linotype"/>
          <w:color w:val="000000"/>
        </w:rPr>
        <w:t>,</w:t>
      </w:r>
      <w:r w:rsidRPr="00FB7D20">
        <w:rPr>
          <w:rFonts w:ascii="Palatino Linotype" w:hAnsi="Palatino Linotype" w:cs="Palatino Linotype"/>
          <w:color w:val="000000"/>
        </w:rPr>
        <w:t xml:space="preserve"> CVCAH</w:t>
      </w:r>
      <w:r>
        <w:rPr>
          <w:rFonts w:ascii="Palatino Linotype" w:hAnsi="Palatino Linotype" w:cs="Palatino Linotype"/>
          <w:color w:val="000000"/>
        </w:rPr>
        <w:t>,</w:t>
      </w:r>
      <w:r w:rsidRPr="00FB7D20">
        <w:rPr>
          <w:rFonts w:ascii="Palatino Linotype" w:hAnsi="Palatino Linotype" w:cs="Palatino Linotype"/>
          <w:color w:val="000000"/>
        </w:rPr>
        <w:t xml:space="preserve"> HACK, HACSB, Surf and Banneker submitted applications for CASF funding.  On April 1, 2016, NVCH and PSHH submitted applications for CASF funding.  On July 1, 2016, EAH submitted </w:t>
      </w:r>
      <w:r>
        <w:rPr>
          <w:rFonts w:ascii="Palatino Linotype" w:hAnsi="Palatino Linotype" w:cs="Palatino Linotype"/>
          <w:color w:val="000000"/>
        </w:rPr>
        <w:t xml:space="preserve">an </w:t>
      </w:r>
      <w:r w:rsidRPr="00FB7D20">
        <w:rPr>
          <w:rFonts w:ascii="Palatino Linotype" w:hAnsi="Palatino Linotype" w:cs="Palatino Linotype"/>
          <w:color w:val="000000"/>
        </w:rPr>
        <w:t xml:space="preserve">application for CASF funding.  Cox </w:t>
      </w:r>
      <w:r w:rsidRPr="00CE20BD">
        <w:rPr>
          <w:rFonts w:ascii="Palatino Linotype" w:hAnsi="Palatino Linotype" w:cs="Palatino Linotype"/>
          <w:color w:val="000000"/>
        </w:rPr>
        <w:t xml:space="preserve">Communications challenged seven of the nine PSHH projects inclusive to this resolution.  CD denied the challenges </w:t>
      </w:r>
      <w:r w:rsidRPr="00C3411B">
        <w:rPr>
          <w:rFonts w:ascii="Palatino Linotype" w:hAnsi="Palatino Linotype"/>
        </w:rPr>
        <w:t>since the reasons stated in the challenges provided were not supported in D.14-12-039 or in P.U. Code 281(h)</w:t>
      </w:r>
      <w:r w:rsidRPr="00CE20BD">
        <w:rPr>
          <w:rFonts w:ascii="Palatino Linotype" w:hAnsi="Palatino Linotype" w:cs="Palatino Linotype"/>
          <w:color w:val="000000"/>
        </w:rPr>
        <w:t>.  No challenges were received for the remaining project proposals</w:t>
      </w:r>
      <w:r>
        <w:rPr>
          <w:rFonts w:ascii="Palatino Linotype" w:hAnsi="Palatino Linotype" w:cs="Palatino Linotype"/>
          <w:color w:val="000000"/>
        </w:rPr>
        <w:t xml:space="preserve">.  </w:t>
      </w:r>
    </w:p>
    <w:p w:rsidR="00996A8F" w:rsidRPr="00FB7D20" w:rsidRDefault="00996A8F" w:rsidP="00996A8F">
      <w:pPr>
        <w:ind w:left="720"/>
        <w:rPr>
          <w:rFonts w:ascii="Palatino Linotype" w:hAnsi="Palatino Linotype"/>
          <w:color w:val="000000" w:themeColor="text1"/>
        </w:rPr>
      </w:pPr>
    </w:p>
    <w:p w:rsidR="00996A8F" w:rsidRPr="0009716E" w:rsidRDefault="00996A8F" w:rsidP="00996A8F">
      <w:pPr>
        <w:numPr>
          <w:ilvl w:val="0"/>
          <w:numId w:val="3"/>
        </w:numPr>
        <w:rPr>
          <w:rFonts w:ascii="Palatino Linotype" w:hAnsi="Palatino Linotype"/>
          <w:color w:val="000000" w:themeColor="text1"/>
        </w:rPr>
      </w:pPr>
      <w:r>
        <w:rPr>
          <w:rFonts w:ascii="Palatino Linotype" w:hAnsi="Palatino Linotype" w:cs="Palatino Linotype"/>
          <w:color w:val="000000"/>
        </w:rPr>
        <w:t>All 35</w:t>
      </w:r>
      <w:r w:rsidRPr="00FB7D20">
        <w:rPr>
          <w:rFonts w:ascii="Palatino Linotype" w:hAnsi="Palatino Linotype" w:cs="Palatino Linotype"/>
          <w:color w:val="000000"/>
        </w:rPr>
        <w:t xml:space="preserve"> projects </w:t>
      </w:r>
      <w:r>
        <w:rPr>
          <w:rFonts w:ascii="Palatino Linotype" w:hAnsi="Palatino Linotype" w:cs="Palatino Linotype"/>
          <w:color w:val="000000"/>
        </w:rPr>
        <w:t>exceed the cost per unit benchmark established in the expedited review criteria</w:t>
      </w:r>
      <w:r w:rsidRPr="00FB7D20">
        <w:rPr>
          <w:rFonts w:ascii="Palatino Linotype" w:hAnsi="Palatino Linotype" w:cs="Palatino Linotype"/>
          <w:color w:val="000000"/>
        </w:rPr>
        <w:t xml:space="preserve"> and </w:t>
      </w:r>
      <w:r>
        <w:rPr>
          <w:rFonts w:ascii="Palatino Linotype" w:hAnsi="Palatino Linotype" w:cs="Palatino Linotype"/>
          <w:color w:val="000000"/>
        </w:rPr>
        <w:t xml:space="preserve">are </w:t>
      </w:r>
      <w:r w:rsidRPr="00FB7D20">
        <w:rPr>
          <w:rFonts w:ascii="Palatino Linotype" w:hAnsi="Palatino Linotype" w:cs="Palatino Linotype"/>
          <w:color w:val="000000"/>
        </w:rPr>
        <w:t>therefore ineligible for expedited review.</w:t>
      </w:r>
      <w:r>
        <w:rPr>
          <w:rFonts w:ascii="Palatino Linotype" w:hAnsi="Palatino Linotype" w:cs="Palatino Linotype"/>
          <w:color w:val="000000"/>
        </w:rPr>
        <w:t xml:space="preserve">  </w:t>
      </w:r>
      <w:r w:rsidRPr="00DF1408">
        <w:rPr>
          <w:rFonts w:ascii="Palatino Linotype" w:hAnsi="Palatino Linotype" w:cs="Palatino Linotype"/>
          <w:color w:val="000000"/>
        </w:rPr>
        <w:t>Based on interviews with contractors deploying funded projects, review of applicant-provided material and independent research on the technology deployed</w:t>
      </w:r>
      <w:r>
        <w:rPr>
          <w:rFonts w:ascii="Palatino Linotype" w:hAnsi="Palatino Linotype" w:cs="Palatino Linotype"/>
          <w:color w:val="000000"/>
        </w:rPr>
        <w:t xml:space="preserve"> CD finds the reasons for the extra cost per unit reasonable and recommends approval.  </w:t>
      </w:r>
    </w:p>
    <w:p w:rsidR="00996A8F" w:rsidRDefault="00996A8F" w:rsidP="00996A8F">
      <w:pPr>
        <w:pStyle w:val="ListParagraph"/>
        <w:rPr>
          <w:rFonts w:ascii="Palatino Linotype" w:hAnsi="Palatino Linotype"/>
          <w:color w:val="000000" w:themeColor="text1"/>
        </w:rPr>
      </w:pPr>
    </w:p>
    <w:p w:rsidR="00996A8F" w:rsidRPr="0009716E" w:rsidRDefault="00996A8F" w:rsidP="00996A8F">
      <w:pPr>
        <w:pStyle w:val="ListParagraph"/>
        <w:numPr>
          <w:ilvl w:val="0"/>
          <w:numId w:val="3"/>
        </w:numPr>
        <w:rPr>
          <w:rFonts w:ascii="Palatino Linotype" w:eastAsia="Times New Roman" w:hAnsi="Palatino Linotype" w:cs="Palatino Linotype"/>
          <w:color w:val="000000" w:themeColor="text1"/>
        </w:rPr>
      </w:pPr>
      <w:r w:rsidRPr="000571D5">
        <w:rPr>
          <w:rFonts w:ascii="Palatino Linotype" w:eastAsia="Times New Roman" w:hAnsi="Palatino Linotype" w:cs="Palatino Linotype"/>
          <w:color w:val="000000" w:themeColor="text1"/>
        </w:rPr>
        <w:lastRenderedPageBreak/>
        <w:t xml:space="preserve">Based on its review, CD determined that all </w:t>
      </w:r>
      <w:r>
        <w:rPr>
          <w:rFonts w:ascii="Palatino Linotype" w:eastAsia="Times New Roman" w:hAnsi="Palatino Linotype" w:cs="Palatino Linotype"/>
          <w:color w:val="000000" w:themeColor="text1"/>
        </w:rPr>
        <w:t>35</w:t>
      </w:r>
      <w:r w:rsidRPr="000571D5">
        <w:rPr>
          <w:rFonts w:ascii="Palatino Linotype" w:eastAsia="Times New Roman" w:hAnsi="Palatino Linotype" w:cs="Palatino Linotype"/>
          <w:color w:val="000000" w:themeColor="text1"/>
        </w:rPr>
        <w:t xml:space="preserve"> projects meet eligibility requirements.  CD further determined that </w:t>
      </w:r>
      <w:r>
        <w:rPr>
          <w:rFonts w:ascii="Palatino Linotype" w:eastAsia="Times New Roman" w:hAnsi="Palatino Linotype" w:cs="Palatino Linotype"/>
          <w:color w:val="000000" w:themeColor="text1"/>
        </w:rPr>
        <w:t>all 35</w:t>
      </w:r>
      <w:r w:rsidRPr="000571D5">
        <w:rPr>
          <w:rFonts w:ascii="Palatino Linotype" w:eastAsia="Times New Roman" w:hAnsi="Palatino Linotype" w:cs="Palatino Linotype"/>
          <w:color w:val="000000" w:themeColor="text1"/>
        </w:rPr>
        <w:t xml:space="preserve"> projects qualify for funding under D.14-12-039.  </w:t>
      </w:r>
    </w:p>
    <w:p w:rsidR="00996A8F" w:rsidRPr="004C508A" w:rsidRDefault="00996A8F" w:rsidP="00996A8F">
      <w:pPr>
        <w:rPr>
          <w:rFonts w:ascii="Palatino Linotype" w:hAnsi="Palatino Linotype" w:cs="Palatino Linotype"/>
          <w:color w:val="000000" w:themeColor="text1"/>
        </w:rPr>
      </w:pPr>
    </w:p>
    <w:p w:rsidR="00996A8F" w:rsidRDefault="00996A8F" w:rsidP="00996A8F">
      <w:pPr>
        <w:pStyle w:val="ListParagraph"/>
        <w:numPr>
          <w:ilvl w:val="0"/>
          <w:numId w:val="3"/>
        </w:numPr>
        <w:rPr>
          <w:rFonts w:ascii="Palatino Linotype" w:eastAsia="Times New Roman" w:hAnsi="Palatino Linotype" w:cs="Palatino Linotype"/>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Palatino Linotype"/>
          <w:color w:val="000000" w:themeColor="text1"/>
        </w:rPr>
        <w:t>are</w:t>
      </w:r>
      <w:r w:rsidRPr="000571D5">
        <w:rPr>
          <w:rFonts w:ascii="Palatino Linotype" w:eastAsia="Times New Roman" w:hAnsi="Palatino Linotype" w:cs="Palatino Linotype"/>
          <w:color w:val="000000" w:themeColor="text1"/>
        </w:rPr>
        <w:t xml:space="preserve"> required to comply with all guidelines, requirements, and conditions associated with the granting of CASF funds as specified in D.14-12-039. </w:t>
      </w:r>
    </w:p>
    <w:p w:rsidR="00996A8F" w:rsidRPr="00C4510F" w:rsidRDefault="00996A8F" w:rsidP="00996A8F">
      <w:pPr>
        <w:pStyle w:val="ListParagraph"/>
        <w:rPr>
          <w:rFonts w:ascii="Palatino Linotype" w:eastAsia="Times New Roman" w:hAnsi="Palatino Linotype" w:cs="Palatino Linotype"/>
          <w:color w:val="000000" w:themeColor="text1"/>
        </w:rPr>
      </w:pPr>
    </w:p>
    <w:p w:rsidR="00996A8F" w:rsidRPr="00C4510F" w:rsidRDefault="00996A8F" w:rsidP="00996A8F">
      <w:pPr>
        <w:pStyle w:val="ListParagraph"/>
        <w:numPr>
          <w:ilvl w:val="0"/>
          <w:numId w:val="3"/>
        </w:numPr>
        <w:rPr>
          <w:rFonts w:ascii="Palatino Linotype" w:eastAsia="Times New Roman" w:hAnsi="Palatino Linotype" w:cs="Palatino Linotype"/>
          <w:color w:val="000000" w:themeColor="text1"/>
        </w:rPr>
      </w:pPr>
      <w:r w:rsidRPr="00B8240F">
        <w:rPr>
          <w:rFonts w:ascii="Palatino Linotype" w:hAnsi="Palatino Linotype" w:cs="Garamond"/>
          <w:color w:val="000000" w:themeColor="text1"/>
        </w:rPr>
        <w:t xml:space="preserve">The Commission has the right to conduct </w:t>
      </w:r>
      <w:r>
        <w:rPr>
          <w:rFonts w:ascii="Palatino Linotype" w:hAnsi="Palatino Linotype" w:cs="Garamond"/>
          <w:color w:val="000000" w:themeColor="text1"/>
        </w:rPr>
        <w:t xml:space="preserve">and enforce </w:t>
      </w:r>
      <w:r w:rsidRPr="00B8240F">
        <w:rPr>
          <w:rFonts w:ascii="Palatino Linotype" w:hAnsi="Palatino Linotype" w:cs="Garamond"/>
          <w:color w:val="000000" w:themeColor="text1"/>
        </w:rPr>
        <w:t>any necessary audit, verification, and discovery during project implementation/construction to ensure that CASF funds are spent in accordance with Commission approval.</w:t>
      </w:r>
    </w:p>
    <w:p w:rsidR="00996A8F" w:rsidRPr="00C4510F" w:rsidRDefault="00996A8F" w:rsidP="00996A8F">
      <w:pPr>
        <w:rPr>
          <w:rFonts w:ascii="Palatino Linotype" w:hAnsi="Palatino Linotype" w:cs="Palatino Linotype"/>
          <w:color w:val="000000" w:themeColor="text1"/>
        </w:rPr>
      </w:pPr>
    </w:p>
    <w:p w:rsidR="00996A8F" w:rsidRDefault="00996A8F" w:rsidP="00996A8F">
      <w:pPr>
        <w:pStyle w:val="ListParagraph"/>
        <w:numPr>
          <w:ilvl w:val="0"/>
          <w:numId w:val="3"/>
        </w:numPr>
        <w:rPr>
          <w:rFonts w:ascii="Palatino Linotype" w:eastAsia="Times New Roman" w:hAnsi="Palatino Linotype" w:cs="Palatino Linotype"/>
          <w:color w:val="000000" w:themeColor="text1"/>
        </w:rPr>
      </w:pPr>
      <w:r w:rsidRPr="000571D5">
        <w:rPr>
          <w:rFonts w:ascii="Palatino Linotype" w:eastAsia="Times New Roman" w:hAnsi="Palatino Linotype" w:cs="Palatino Linotype"/>
          <w:color w:val="000000" w:themeColor="text1"/>
        </w:rPr>
        <w:t>The Commission has determined that these projects are categorically exempt from CEQA review, under section 15301 regarding exemption for existing facilities and section 15303 regarding minor modifications to existing structures.</w:t>
      </w:r>
    </w:p>
    <w:p w:rsidR="00996A8F" w:rsidRDefault="00996A8F" w:rsidP="00996A8F">
      <w:pPr>
        <w:pStyle w:val="ListParagraph"/>
        <w:rPr>
          <w:rFonts w:ascii="Palatino Linotype" w:eastAsia="Times New Roman" w:hAnsi="Palatino Linotype" w:cs="Palatino Linotype"/>
          <w:color w:val="000000" w:themeColor="text1"/>
        </w:rPr>
      </w:pPr>
    </w:p>
    <w:p w:rsidR="00996A8F" w:rsidRPr="00C4510F" w:rsidRDefault="00996A8F" w:rsidP="00996A8F">
      <w:pPr>
        <w:pStyle w:val="ListParagraph"/>
        <w:numPr>
          <w:ilvl w:val="0"/>
          <w:numId w:val="3"/>
        </w:numPr>
        <w:rPr>
          <w:rFonts w:ascii="Palatino Linotype" w:eastAsia="Times New Roman" w:hAnsi="Palatino Linotype" w:cs="Palatino Linotype"/>
          <w:color w:val="000000" w:themeColor="text1"/>
        </w:rPr>
      </w:pPr>
      <w:r w:rsidRPr="000571D5">
        <w:rPr>
          <w:rFonts w:ascii="Palatino Linotype" w:hAnsi="Palatino Linotype" w:cs="Garamond"/>
          <w:color w:val="000000" w:themeColor="text1"/>
        </w:rPr>
        <w:t xml:space="preserve">Payment to </w:t>
      </w: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325160">
        <w:rPr>
          <w:rFonts w:ascii="Palatino Linotype" w:hAnsi="Palatino Linotype" w:cs="Garamond"/>
          <w:color w:val="000000" w:themeColor="text1"/>
        </w:rPr>
        <w:t>will be made in accordance with, and within the time specified in California Government</w:t>
      </w:r>
      <w:r>
        <w:rPr>
          <w:rFonts w:ascii="Palatino Linotype" w:hAnsi="Palatino Linotype" w:cs="Garamond"/>
          <w:color w:val="000000" w:themeColor="text1"/>
        </w:rPr>
        <w:t xml:space="preserve"> </w:t>
      </w:r>
      <w:r w:rsidRPr="00325160">
        <w:rPr>
          <w:rFonts w:ascii="Palatino Linotype" w:hAnsi="Palatino Linotype" w:cs="Garamond"/>
          <w:color w:val="000000" w:themeColor="text1"/>
        </w:rPr>
        <w:t xml:space="preserve">Code § 927 </w:t>
      </w:r>
      <w:r w:rsidRPr="00325160">
        <w:rPr>
          <w:rFonts w:ascii="Palatino Linotype" w:hAnsi="Palatino Linotype" w:cs="Garamond"/>
          <w:i/>
          <w:color w:val="000000" w:themeColor="text1"/>
        </w:rPr>
        <w:t>et seq</w:t>
      </w:r>
      <w:r w:rsidRPr="00325160">
        <w:rPr>
          <w:rFonts w:ascii="Palatino Linotype" w:hAnsi="Palatino Linotype" w:cs="Garamond"/>
          <w:color w:val="000000" w:themeColor="text1"/>
        </w:rPr>
        <w:t>.</w:t>
      </w:r>
    </w:p>
    <w:p w:rsidR="00996A8F" w:rsidRPr="00C4510F" w:rsidRDefault="00996A8F" w:rsidP="00996A8F">
      <w:pPr>
        <w:rPr>
          <w:rFonts w:ascii="Palatino Linotype" w:hAnsi="Palatino Linotype" w:cs="Palatino Linotype"/>
          <w:color w:val="000000" w:themeColor="text1"/>
        </w:rPr>
      </w:pPr>
    </w:p>
    <w:p w:rsidR="00996A8F" w:rsidRPr="00C4510F" w:rsidRDefault="00996A8F" w:rsidP="00996A8F">
      <w:pPr>
        <w:pStyle w:val="ListParagraph"/>
        <w:numPr>
          <w:ilvl w:val="0"/>
          <w:numId w:val="3"/>
        </w:numPr>
        <w:tabs>
          <w:tab w:val="right" w:pos="180"/>
        </w:tabs>
        <w:jc w:val="both"/>
        <w:rPr>
          <w:rFonts w:ascii="Palatino Linotype" w:hAnsi="Palatino Linotype"/>
          <w:color w:val="000000" w:themeColor="text1"/>
        </w:rPr>
      </w:pPr>
      <w:r w:rsidRPr="008A48C4">
        <w:rPr>
          <w:rFonts w:ascii="Palatino Linotype" w:hAnsi="Palatino Linotype"/>
          <w:color w:val="000000" w:themeColor="text1"/>
        </w:rPr>
        <w:t>The deployment of affordable broadband in public housing will improve access to government and e-health services, which improves safety.</w:t>
      </w:r>
    </w:p>
    <w:p w:rsidR="00996A8F" w:rsidRPr="000571D5" w:rsidRDefault="00996A8F" w:rsidP="00996A8F">
      <w:pPr>
        <w:autoSpaceDE w:val="0"/>
        <w:autoSpaceDN w:val="0"/>
        <w:adjustRightInd w:val="0"/>
        <w:rPr>
          <w:rFonts w:ascii="Palatino Linotype" w:hAnsi="Palatino Linotype" w:cs="Palatino Linotype"/>
          <w:color w:val="000000" w:themeColor="text1"/>
        </w:rPr>
      </w:pPr>
    </w:p>
    <w:p w:rsidR="00996A8F" w:rsidRPr="000571D5" w:rsidRDefault="00996A8F" w:rsidP="00996A8F">
      <w:pPr>
        <w:numPr>
          <w:ilvl w:val="0"/>
          <w:numId w:val="3"/>
        </w:numPr>
        <w:autoSpaceDE w:val="0"/>
        <w:autoSpaceDN w:val="0"/>
        <w:adjustRightInd w:val="0"/>
        <w:rPr>
          <w:rFonts w:ascii="Palatino Linotype" w:hAnsi="Palatino Linotype"/>
          <w:color w:val="000000" w:themeColor="text1"/>
        </w:rPr>
      </w:pPr>
      <w:r w:rsidRPr="000571D5">
        <w:rPr>
          <w:rFonts w:ascii="Palatino Linotype" w:hAnsi="Palatino Linotype"/>
          <w:color w:val="000000" w:themeColor="text1"/>
        </w:rPr>
        <w:t xml:space="preserve">A notice letter was e-mailed on </w:t>
      </w:r>
      <w:r>
        <w:rPr>
          <w:rFonts w:ascii="Palatino Linotype" w:hAnsi="Palatino Linotype"/>
          <w:color w:val="000000" w:themeColor="text1"/>
        </w:rPr>
        <w:t>MM DD, 2016,</w:t>
      </w:r>
      <w:r w:rsidRPr="000571D5">
        <w:rPr>
          <w:rFonts w:ascii="Palatino Linotype" w:hAnsi="Palatino Linotype"/>
          <w:color w:val="000000" w:themeColor="text1"/>
        </w:rPr>
        <w:t xml:space="preserve"> informing all applicants filing for CASF funding, parties on the CASF distribution list of the availability of the draft of this Resolution for public comments at the Commission’s website http://www.cpuc.ca.gov/PUC/documents/.  This letter also informed parties that the final confirmed Resolution adopted by the Commission will be posted and available at this same website. </w:t>
      </w:r>
    </w:p>
    <w:p w:rsidR="00996A8F" w:rsidRDefault="00996A8F" w:rsidP="00996A8F">
      <w:pPr>
        <w:tabs>
          <w:tab w:val="left" w:pos="240"/>
          <w:tab w:val="left" w:pos="720"/>
          <w:tab w:val="right" w:pos="10080"/>
        </w:tabs>
        <w:jc w:val="both"/>
        <w:rPr>
          <w:rFonts w:ascii="Palatino Linotype" w:hAnsi="Palatino Linotype"/>
          <w:b/>
          <w:color w:val="000000" w:themeColor="text1"/>
        </w:rPr>
      </w:pPr>
    </w:p>
    <w:p w:rsidR="00996A8F" w:rsidRPr="000571D5" w:rsidRDefault="00996A8F" w:rsidP="00996A8F">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t>THERFORE, IT IS ORDERED that</w:t>
      </w:r>
      <w:r w:rsidRPr="000571D5">
        <w:rPr>
          <w:rFonts w:ascii="Palatino Linotype" w:hAnsi="Palatino Linotype"/>
          <w:color w:val="000000" w:themeColor="text1"/>
        </w:rPr>
        <w:t>:</w:t>
      </w:r>
    </w:p>
    <w:p w:rsidR="00996A8F" w:rsidRDefault="00996A8F" w:rsidP="00996A8F">
      <w:pPr>
        <w:autoSpaceDE w:val="0"/>
        <w:autoSpaceDN w:val="0"/>
        <w:adjustRightInd w:val="0"/>
        <w:rPr>
          <w:rFonts w:ascii="Palatino Linotype" w:hAnsi="Palatino Linotype" w:cs="Palatino Linotype"/>
          <w:color w:val="000000" w:themeColor="text1"/>
        </w:rPr>
      </w:pPr>
    </w:p>
    <w:p w:rsidR="00996A8F" w:rsidRDefault="00996A8F" w:rsidP="00996A8F">
      <w:pPr>
        <w:numPr>
          <w:ilvl w:val="1"/>
          <w:numId w:val="1"/>
        </w:numPr>
        <w:autoSpaceDE w:val="0"/>
        <w:autoSpaceDN w:val="0"/>
        <w:adjustRightInd w:val="0"/>
        <w:spacing w:after="170"/>
        <w:ind w:left="720"/>
        <w:rPr>
          <w:rFonts w:ascii="Palatino Linotype" w:hAnsi="Palatino Linotype" w:cs="Palatino Linotype"/>
          <w:color w:val="000000" w:themeColor="text1"/>
        </w:rPr>
      </w:pPr>
      <w:r w:rsidRPr="00EF7BEE">
        <w:rPr>
          <w:rFonts w:ascii="Palatino Linotype" w:hAnsi="Palatino Linotype" w:cs="Palatino Linotype"/>
          <w:color w:val="000000" w:themeColor="text1"/>
        </w:rPr>
        <w:t xml:space="preserve">The Commission shall award the </w:t>
      </w:r>
      <w:r>
        <w:rPr>
          <w:rFonts w:ascii="Palatino Linotype" w:hAnsi="Palatino Linotype" w:cs="Palatino Linotype"/>
          <w:color w:val="000000" w:themeColor="text1"/>
        </w:rPr>
        <w:t xml:space="preserve">requested </w:t>
      </w:r>
      <w:r w:rsidRPr="00EF7BEE">
        <w:rPr>
          <w:rFonts w:ascii="Palatino Linotype" w:hAnsi="Palatino Linotype" w:cs="Palatino Linotype"/>
          <w:color w:val="000000" w:themeColor="text1"/>
        </w:rPr>
        <w:t xml:space="preserve">grant amounts requested for the projects listed in Table 1: </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$125,250 to Community Housing Works for two projects</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$85,050 to the Central Valley Coalition for Affordable Housing for one project</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 xml:space="preserve"> $168,908 to the Housing Authority of the County of Kern for four projects</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lastRenderedPageBreak/>
        <w:t>$89,003 to the Housing Authority of the County of Santa Barbara for three projects</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$129,650 to Surf Development Company for four projects</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$45,900 to The Banneker Homes for one project</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$351,405 to Napa Valley Community Housing for nine projects</w:t>
      </w:r>
      <w:r>
        <w:rPr>
          <w:rFonts w:ascii="Palatino Linotype" w:hAnsi="Palatino Linotype" w:cs="Palatino Linotype"/>
          <w:color w:val="000000" w:themeColor="text1"/>
        </w:rPr>
        <w:t>;</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$363,805 to Peoples’ Self-Help Housing for nine projects</w:t>
      </w:r>
      <w:r>
        <w:rPr>
          <w:rFonts w:ascii="Palatino Linotype" w:hAnsi="Palatino Linotype" w:cs="Palatino Linotype"/>
          <w:color w:val="000000" w:themeColor="text1"/>
        </w:rPr>
        <w:t>;</w:t>
      </w:r>
      <w:r w:rsidRPr="00C4510F">
        <w:rPr>
          <w:rFonts w:ascii="Palatino Linotype" w:hAnsi="Palatino Linotype" w:cs="Palatino Linotype"/>
          <w:color w:val="000000" w:themeColor="text1"/>
        </w:rPr>
        <w:t xml:space="preserve"> and </w:t>
      </w:r>
    </w:p>
    <w:p w:rsidR="00996A8F" w:rsidRDefault="00996A8F" w:rsidP="00996A8F">
      <w:pPr>
        <w:pStyle w:val="ListParagraph"/>
        <w:numPr>
          <w:ilvl w:val="0"/>
          <w:numId w:val="8"/>
        </w:numPr>
        <w:autoSpaceDE w:val="0"/>
        <w:autoSpaceDN w:val="0"/>
        <w:adjustRightInd w:val="0"/>
        <w:spacing w:after="170"/>
        <w:rPr>
          <w:rFonts w:ascii="Palatino Linotype" w:hAnsi="Palatino Linotype" w:cs="Palatino Linotype"/>
          <w:color w:val="000000" w:themeColor="text1"/>
        </w:rPr>
      </w:pPr>
      <w:r w:rsidRPr="00C4510F">
        <w:rPr>
          <w:rFonts w:ascii="Palatino Linotype" w:hAnsi="Palatino Linotype" w:cs="Palatino Linotype"/>
          <w:color w:val="000000" w:themeColor="text1"/>
        </w:rPr>
        <w:t>$116,510 to EAH Housing for two projects</w:t>
      </w:r>
      <w:r>
        <w:rPr>
          <w:rFonts w:ascii="Palatino Linotype" w:hAnsi="Palatino Linotype" w:cs="Palatino Linotype"/>
          <w:color w:val="000000" w:themeColor="text1"/>
        </w:rPr>
        <w:t>.</w:t>
      </w:r>
    </w:p>
    <w:p w:rsidR="00996A8F" w:rsidRPr="00C4510F" w:rsidRDefault="00996A8F" w:rsidP="00996A8F">
      <w:pPr>
        <w:autoSpaceDE w:val="0"/>
        <w:autoSpaceDN w:val="0"/>
        <w:adjustRightInd w:val="0"/>
        <w:spacing w:after="170"/>
        <w:ind w:left="360" w:firstLine="60"/>
        <w:rPr>
          <w:rFonts w:ascii="Palatino Linotype" w:hAnsi="Palatino Linotype" w:cs="Palatino Linotype"/>
          <w:color w:val="000000" w:themeColor="text1"/>
        </w:rPr>
      </w:pPr>
      <w:r>
        <w:rPr>
          <w:rFonts w:ascii="Palatino Linotype" w:hAnsi="Palatino Linotype" w:cs="Palatino Linotype"/>
          <w:color w:val="000000" w:themeColor="text1"/>
        </w:rPr>
        <w:t>The</w:t>
      </w:r>
      <w:r w:rsidRPr="00C4510F">
        <w:rPr>
          <w:rFonts w:ascii="Palatino Linotype" w:hAnsi="Palatino Linotype" w:cs="Palatino Linotype"/>
          <w:color w:val="000000" w:themeColor="text1"/>
        </w:rPr>
        <w:t xml:space="preserve"> total </w:t>
      </w:r>
      <w:r>
        <w:rPr>
          <w:rFonts w:ascii="Palatino Linotype" w:hAnsi="Palatino Linotype" w:cs="Palatino Linotype"/>
          <w:color w:val="000000" w:themeColor="text1"/>
        </w:rPr>
        <w:t xml:space="preserve">grant </w:t>
      </w:r>
      <w:r w:rsidRPr="00C4510F">
        <w:rPr>
          <w:rFonts w:ascii="Palatino Linotype" w:hAnsi="Palatino Linotype" w:cs="Palatino Linotype"/>
          <w:color w:val="000000" w:themeColor="text1"/>
        </w:rPr>
        <w:t xml:space="preserve">award </w:t>
      </w:r>
      <w:r>
        <w:rPr>
          <w:rFonts w:ascii="Palatino Linotype" w:hAnsi="Palatino Linotype" w:cs="Palatino Linotype"/>
          <w:color w:val="000000" w:themeColor="text1"/>
        </w:rPr>
        <w:t>is</w:t>
      </w:r>
      <w:r w:rsidRPr="00C4510F">
        <w:rPr>
          <w:rFonts w:ascii="Palatino Linotype" w:hAnsi="Palatino Linotype" w:cs="Palatino Linotype"/>
          <w:color w:val="000000" w:themeColor="text1"/>
        </w:rPr>
        <w:t xml:space="preserve"> </w:t>
      </w:r>
      <w:r w:rsidRPr="00C4510F">
        <w:rPr>
          <w:rFonts w:ascii="Palatino Linotype" w:hAnsi="Palatino Linotype"/>
          <w:color w:val="000000" w:themeColor="text1"/>
        </w:rPr>
        <w:t>$1,475,481</w:t>
      </w:r>
      <w:r w:rsidRPr="00C4510F">
        <w:rPr>
          <w:rFonts w:ascii="Palatino Linotype" w:hAnsi="Palatino Linotype" w:cs="Palatino Linotype"/>
          <w:color w:val="000000" w:themeColor="text1"/>
        </w:rPr>
        <w:t xml:space="preserve">.  All awards are based on the descriptions of the projects as described herein and are predicated on commitments to install and operate broadband infrastructure as expressed in its application and compliance with the requirements in as specified in D.14-12-039.  </w:t>
      </w:r>
    </w:p>
    <w:p w:rsidR="00996A8F" w:rsidRDefault="00996A8F" w:rsidP="00996A8F">
      <w:pPr>
        <w:numPr>
          <w:ilvl w:val="1"/>
          <w:numId w:val="1"/>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Grant payments of up to a total of</w:t>
      </w:r>
      <w:r>
        <w:rPr>
          <w:rFonts w:ascii="Palatino Linotype" w:hAnsi="Palatino Linotype" w:cs="Palatino Linotype"/>
          <w:color w:val="000000" w:themeColor="text1"/>
        </w:rPr>
        <w:t xml:space="preserve"> </w:t>
      </w:r>
      <w:r>
        <w:rPr>
          <w:rFonts w:ascii="Palatino Linotype" w:hAnsi="Palatino Linotype"/>
          <w:color w:val="000000" w:themeColor="text1"/>
        </w:rPr>
        <w:t>$</w:t>
      </w:r>
      <w:r w:rsidRPr="00520092">
        <w:rPr>
          <w:rFonts w:ascii="Palatino Linotype" w:hAnsi="Palatino Linotype"/>
          <w:color w:val="000000" w:themeColor="text1"/>
        </w:rPr>
        <w:t>1,475,481</w:t>
      </w:r>
      <w:r>
        <w:rPr>
          <w:rFonts w:ascii="Palatino Linotype" w:hAnsi="Palatino Linotype"/>
          <w:color w:val="000000" w:themeColor="text1"/>
        </w:rPr>
        <w:t xml:space="preserve"> </w:t>
      </w:r>
      <w:r w:rsidRPr="000571D5">
        <w:rPr>
          <w:rFonts w:ascii="Palatino Linotype" w:hAnsi="Palatino Linotype" w:cs="Palatino Linotype"/>
          <w:color w:val="000000" w:themeColor="text1"/>
        </w:rPr>
        <w:t>for these public housing projects shall be paid out of the CASF Public Housing Account in accordance with the guidelines adopted in D.14-12-039</w:t>
      </w:r>
      <w:r>
        <w:rPr>
          <w:rFonts w:ascii="Palatino Linotype" w:hAnsi="Palatino Linotype" w:cs="Palatino Linotype"/>
          <w:color w:val="000000" w:themeColor="text1"/>
        </w:rPr>
        <w:t>, including compliance with CEQA.</w:t>
      </w:r>
    </w:p>
    <w:p w:rsidR="00996A8F" w:rsidRPr="008A48C4" w:rsidRDefault="00996A8F" w:rsidP="00996A8F">
      <w:pPr>
        <w:numPr>
          <w:ilvl w:val="1"/>
          <w:numId w:val="1"/>
        </w:numPr>
        <w:autoSpaceDE w:val="0"/>
        <w:autoSpaceDN w:val="0"/>
        <w:adjustRightInd w:val="0"/>
        <w:spacing w:after="170"/>
        <w:ind w:left="720"/>
        <w:rPr>
          <w:rFonts w:ascii="Palatino Linotype" w:hAnsi="Palatino Linotype" w:cs="Palatino Linotype"/>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must </w:t>
      </w:r>
      <w:r>
        <w:rPr>
          <w:rFonts w:ascii="Palatino Linotype" w:hAnsi="Palatino Linotype" w:cs="Garamond"/>
          <w:color w:val="000000" w:themeColor="text1"/>
        </w:rPr>
        <w:t xml:space="preserve">each </w:t>
      </w:r>
      <w:r w:rsidRPr="000571D5">
        <w:rPr>
          <w:rFonts w:ascii="Palatino Linotype" w:hAnsi="Palatino Linotype" w:cs="Garamond"/>
          <w:color w:val="000000" w:themeColor="text1"/>
        </w:rPr>
        <w:t>submit quarterly progress reports on the status of the project irrespective of whether grantees request reimbursement or payment.</w:t>
      </w:r>
    </w:p>
    <w:p w:rsidR="00996A8F" w:rsidRPr="000571D5" w:rsidRDefault="00996A8F" w:rsidP="00996A8F">
      <w:pPr>
        <w:numPr>
          <w:ilvl w:val="1"/>
          <w:numId w:val="1"/>
        </w:numPr>
        <w:autoSpaceDE w:val="0"/>
        <w:autoSpaceDN w:val="0"/>
        <w:adjustRightInd w:val="0"/>
        <w:spacing w:after="170"/>
        <w:ind w:left="720"/>
        <w:rPr>
          <w:rFonts w:ascii="Palatino Linotype" w:hAnsi="Palatino Linotype" w:cs="Palatino Linotype"/>
          <w:color w:val="000000" w:themeColor="text1"/>
        </w:rPr>
      </w:pPr>
      <w:r>
        <w:rPr>
          <w:rFonts w:ascii="Palatino Linotype" w:hAnsi="Palatino Linotype"/>
          <w:color w:val="000000" w:themeColor="text1"/>
        </w:rPr>
        <w:t>CHW, CVCAH, HACK, HACSB, Surf, Banneker, NVCH, PSHH and EAH</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are required to maintain the broadband network for five years after it has been installed.  </w:t>
      </w:r>
    </w:p>
    <w:p w:rsidR="00996A8F" w:rsidRDefault="00996A8F" w:rsidP="00996A8F">
      <w:pPr>
        <w:numPr>
          <w:ilvl w:val="1"/>
          <w:numId w:val="1"/>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Payments to </w:t>
      </w:r>
      <w:r w:rsidRPr="005F2A88">
        <w:rPr>
          <w:rFonts w:ascii="Palatino Linotype" w:hAnsi="Palatino Linotype" w:cs="Palatino Linotype"/>
          <w:color w:val="000000" w:themeColor="text1"/>
        </w:rPr>
        <w:t xml:space="preserve">CHW, CVCAH, HACK, HACSB, Surf, Banneker, NVCH, PSHH and EAH </w:t>
      </w:r>
      <w:r w:rsidRPr="000571D5">
        <w:rPr>
          <w:rFonts w:ascii="Palatino Linotype" w:hAnsi="Palatino Linotype" w:cs="Palatino Linotype"/>
          <w:color w:val="000000" w:themeColor="text1"/>
        </w:rPr>
        <w:t xml:space="preserve">shall </w:t>
      </w:r>
      <w:r>
        <w:rPr>
          <w:rFonts w:ascii="Palatino Linotype" w:hAnsi="Palatino Linotype" w:cs="Palatino Linotype"/>
          <w:color w:val="000000" w:themeColor="text1"/>
        </w:rPr>
        <w:t xml:space="preserve">each </w:t>
      </w:r>
      <w:r w:rsidRPr="000571D5">
        <w:rPr>
          <w:rFonts w:ascii="Palatino Linotype" w:hAnsi="Palatino Linotype" w:cs="Palatino Linotype"/>
          <w:color w:val="000000" w:themeColor="text1"/>
        </w:rPr>
        <w:t xml:space="preserve">be in accordance with Section X of Appendix B of D.14-12-039 and in accordance with the process defined in the “Payments” section of this Resolution. </w:t>
      </w:r>
    </w:p>
    <w:p w:rsidR="00996A8F" w:rsidRPr="005F2A88" w:rsidRDefault="00996A8F" w:rsidP="00996A8F">
      <w:pPr>
        <w:numPr>
          <w:ilvl w:val="1"/>
          <w:numId w:val="1"/>
        </w:numPr>
        <w:autoSpaceDE w:val="0"/>
        <w:autoSpaceDN w:val="0"/>
        <w:adjustRightInd w:val="0"/>
        <w:spacing w:after="170"/>
        <w:ind w:left="720"/>
        <w:rPr>
          <w:rFonts w:ascii="Palatino Linotype" w:hAnsi="Palatino Linotype" w:cs="Palatino Linotype"/>
          <w:color w:val="000000" w:themeColor="text1"/>
        </w:rPr>
      </w:pPr>
      <w:r>
        <w:rPr>
          <w:rFonts w:ascii="Palatino Linotype" w:hAnsi="Palatino Linotype"/>
          <w:color w:val="000000" w:themeColor="text1"/>
        </w:rPr>
        <w:t xml:space="preserve">CHW, CVCAH, HACK, HACSB, Surf, Banneker, NVCH, PSHH and EAH must each complete </w:t>
      </w:r>
      <w:r w:rsidRPr="00B8240F">
        <w:rPr>
          <w:rFonts w:ascii="Palatino Linotype" w:hAnsi="Palatino Linotype" w:cs="Garamond"/>
          <w:color w:val="000000" w:themeColor="text1"/>
        </w:rPr>
        <w:t xml:space="preserve">all performance under the award on or before 12 months from the date this </w:t>
      </w:r>
      <w:r>
        <w:rPr>
          <w:rFonts w:ascii="Palatino Linotype" w:hAnsi="Palatino Linotype" w:cs="Garamond"/>
          <w:color w:val="000000" w:themeColor="text1"/>
        </w:rPr>
        <w:t>R</w:t>
      </w:r>
      <w:r w:rsidRPr="00B8240F">
        <w:rPr>
          <w:rFonts w:ascii="Palatino Linotype" w:hAnsi="Palatino Linotype" w:cs="Garamond"/>
          <w:color w:val="000000" w:themeColor="text1"/>
        </w:rPr>
        <w:t xml:space="preserve">esolution is approved.  If </w:t>
      </w:r>
      <w:r>
        <w:rPr>
          <w:rFonts w:ascii="Palatino Linotype" w:hAnsi="Palatino Linotype" w:cs="Garamond"/>
          <w:color w:val="000000" w:themeColor="text1"/>
        </w:rPr>
        <w:t>an applicant is</w:t>
      </w:r>
      <w:r w:rsidRPr="00B8240F">
        <w:rPr>
          <w:rFonts w:ascii="Palatino Linotype" w:hAnsi="Palatino Linotype" w:cs="Garamond"/>
          <w:color w:val="000000" w:themeColor="text1"/>
        </w:rPr>
        <w:t xml:space="preserve"> unable to complete the proposed projects within the 12 month time frame requirement, they must notify the Director of CD as soon as they become aware of this possibility.  If such notice is not provided, the Commission may reduce payment for failure to satisfy this requirement by timely notifying CD’s director.</w:t>
      </w:r>
    </w:p>
    <w:p w:rsidR="00996A8F" w:rsidRDefault="00996A8F" w:rsidP="00996A8F">
      <w:pPr>
        <w:numPr>
          <w:ilvl w:val="1"/>
          <w:numId w:val="1"/>
        </w:numPr>
        <w:autoSpaceDE w:val="0"/>
        <w:autoSpaceDN w:val="0"/>
        <w:adjustRightInd w:val="0"/>
        <w:spacing w:after="170"/>
        <w:ind w:left="720" w:right="187"/>
        <w:rPr>
          <w:rFonts w:ascii="Palatino Linotype" w:hAnsi="Palatino Linotype" w:cs="Palatino Linotype"/>
          <w:color w:val="000000" w:themeColor="text1"/>
        </w:rPr>
      </w:pPr>
      <w:r w:rsidRPr="005F2A88">
        <w:rPr>
          <w:rFonts w:ascii="Palatino Linotype" w:hAnsi="Palatino Linotype" w:cs="Palatino Linotype"/>
          <w:color w:val="000000" w:themeColor="text1"/>
        </w:rPr>
        <w:t>CHW, CVCAH, HACK, HACSB, Surf, Banneker, NVCH, PSHH and EAH</w:t>
      </w:r>
      <w:r w:rsidRPr="000571D5">
        <w:rPr>
          <w:rFonts w:ascii="Palatino Linotype" w:hAnsi="Palatino Linotype" w:cs="Palatino Linotype"/>
          <w:color w:val="000000" w:themeColor="text1"/>
        </w:rPr>
        <w:t xml:space="preserve"> </w:t>
      </w:r>
      <w:r>
        <w:rPr>
          <w:rFonts w:ascii="Palatino Linotype" w:hAnsi="Palatino Linotype" w:cs="Palatino Linotype"/>
          <w:color w:val="000000" w:themeColor="text1"/>
        </w:rPr>
        <w:t>are each required</w:t>
      </w:r>
      <w:r w:rsidRPr="000571D5">
        <w:rPr>
          <w:rFonts w:ascii="Palatino Linotype" w:hAnsi="Palatino Linotype" w:cs="Palatino Linotype"/>
          <w:color w:val="000000" w:themeColor="text1"/>
        </w:rPr>
        <w:t xml:space="preserve"> </w:t>
      </w:r>
      <w:r>
        <w:rPr>
          <w:rFonts w:ascii="Palatino Linotype" w:hAnsi="Palatino Linotype" w:cs="Palatino Linotype"/>
          <w:color w:val="000000" w:themeColor="text1"/>
        </w:rPr>
        <w:t xml:space="preserve">to </w:t>
      </w:r>
      <w:r w:rsidRPr="000571D5">
        <w:rPr>
          <w:rFonts w:ascii="Palatino Linotype" w:hAnsi="Palatino Linotype" w:cs="Palatino Linotype"/>
          <w:color w:val="000000" w:themeColor="text1"/>
        </w:rPr>
        <w:t>comply with all guidelines, requirements and conditions associated with the CASF funds award as specified in D.14-12-039</w:t>
      </w:r>
      <w:r>
        <w:rPr>
          <w:rFonts w:ascii="Palatino Linotype" w:hAnsi="Palatino Linotype" w:cs="Palatino Linotype"/>
          <w:color w:val="000000" w:themeColor="text1"/>
        </w:rPr>
        <w:t>, and in accordance with the terms of the Commission’s approval as set forth in this Resolution</w:t>
      </w:r>
      <w:r w:rsidRPr="000571D5">
        <w:rPr>
          <w:rFonts w:ascii="Palatino Linotype" w:hAnsi="Palatino Linotype" w:cs="Palatino Linotype"/>
          <w:color w:val="000000" w:themeColor="text1"/>
        </w:rPr>
        <w:t xml:space="preserve">. </w:t>
      </w:r>
    </w:p>
    <w:p w:rsidR="00996A8F" w:rsidRPr="00E10E1F" w:rsidRDefault="00996A8F" w:rsidP="00996A8F">
      <w:pPr>
        <w:numPr>
          <w:ilvl w:val="1"/>
          <w:numId w:val="1"/>
        </w:numPr>
        <w:autoSpaceDE w:val="0"/>
        <w:autoSpaceDN w:val="0"/>
        <w:adjustRightInd w:val="0"/>
        <w:spacing w:after="170"/>
        <w:ind w:left="720" w:right="187"/>
        <w:rPr>
          <w:rFonts w:ascii="Palatino Linotype" w:hAnsi="Palatino Linotype" w:cs="Palatino Linotype"/>
          <w:color w:val="000000" w:themeColor="text1"/>
        </w:rPr>
      </w:pPr>
      <w:r>
        <w:rPr>
          <w:rFonts w:ascii="Palatino Linotype" w:hAnsi="Palatino Linotype" w:cs="Palatino Linotype"/>
          <w:color w:val="000000" w:themeColor="text1"/>
        </w:rPr>
        <w:lastRenderedPageBreak/>
        <w:t xml:space="preserve">In the event that </w:t>
      </w:r>
      <w:r w:rsidRPr="005F2A88">
        <w:rPr>
          <w:rFonts w:ascii="Palatino Linotype" w:hAnsi="Palatino Linotype" w:cs="Palatino Linotype"/>
          <w:color w:val="000000" w:themeColor="text1"/>
        </w:rPr>
        <w:t xml:space="preserve">CHW, CVCAH, HACK, HACSB, Surf, Banneker, NVCH, PSHH and EAH </w:t>
      </w:r>
      <w:r>
        <w:rPr>
          <w:rFonts w:ascii="Palatino Linotype" w:hAnsi="Palatino Linotype" w:cs="Palatino Linotype"/>
          <w:color w:val="000000" w:themeColor="text1"/>
        </w:rPr>
        <w:t>fail to complete the project in accordance with the terms outlined in D.14-12-039 and this Resolution, those applicants</w:t>
      </w:r>
      <w:r w:rsidRPr="00822BE0">
        <w:rPr>
          <w:rFonts w:ascii="Palatino Linotype" w:hAnsi="Palatino Linotype" w:cs="Palatino Linotype"/>
          <w:color w:val="000000" w:themeColor="text1"/>
        </w:rPr>
        <w:t xml:space="preserve"> </w:t>
      </w:r>
      <w:r>
        <w:rPr>
          <w:rFonts w:ascii="Palatino Linotype" w:hAnsi="Palatino Linotype" w:cs="Palatino Linotype"/>
          <w:color w:val="000000" w:themeColor="text1"/>
        </w:rPr>
        <w:t xml:space="preserve">must reimburse some or all CASF funds it has received. </w:t>
      </w:r>
    </w:p>
    <w:p w:rsidR="00996A8F" w:rsidRDefault="00996A8F" w:rsidP="00996A8F">
      <w:pPr>
        <w:tabs>
          <w:tab w:val="left" w:pos="240"/>
          <w:tab w:val="left" w:pos="720"/>
          <w:tab w:val="right" w:pos="10080"/>
        </w:tabs>
        <w:spacing w:after="120"/>
        <w:jc w:val="both"/>
        <w:rPr>
          <w:rFonts w:ascii="Palatino Linotype" w:hAnsi="Palatino Linotype"/>
          <w:color w:val="000000" w:themeColor="text1"/>
        </w:rPr>
      </w:pPr>
    </w:p>
    <w:p w:rsidR="00996A8F" w:rsidRPr="000571D5" w:rsidRDefault="00996A8F" w:rsidP="00996A8F">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This Resolution is effective today.</w:t>
      </w:r>
    </w:p>
    <w:p w:rsidR="00996A8F" w:rsidRPr="000571D5" w:rsidRDefault="00996A8F" w:rsidP="00996A8F">
      <w:pPr>
        <w:tabs>
          <w:tab w:val="left" w:pos="240"/>
          <w:tab w:val="left" w:pos="720"/>
          <w:tab w:val="right" w:pos="10080"/>
        </w:tabs>
        <w:jc w:val="both"/>
        <w:rPr>
          <w:rFonts w:ascii="Palatino Linotype" w:hAnsi="Palatino Linotype"/>
          <w:color w:val="000000" w:themeColor="text1"/>
        </w:rPr>
      </w:pPr>
    </w:p>
    <w:p w:rsidR="00996A8F" w:rsidRPr="000571D5" w:rsidRDefault="00996A8F" w:rsidP="00996A8F">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 xml:space="preserve">I hereby certify that this Resolution was adopted by the Public Utilities Commission at its regular meeting on </w:t>
      </w:r>
      <w:r>
        <w:rPr>
          <w:rFonts w:ascii="Palatino Linotype" w:hAnsi="Palatino Linotype"/>
          <w:color w:val="000000" w:themeColor="text1"/>
        </w:rPr>
        <w:t xml:space="preserve">December 1, 2016.  </w:t>
      </w:r>
      <w:r w:rsidRPr="000571D5">
        <w:rPr>
          <w:rFonts w:ascii="Palatino Linotype" w:hAnsi="Palatino Linotype"/>
          <w:color w:val="000000" w:themeColor="text1"/>
        </w:rPr>
        <w:t>The following Commissioners approved it:</w:t>
      </w:r>
    </w:p>
    <w:p w:rsidR="00996A8F" w:rsidRPr="00B8240F" w:rsidRDefault="00996A8F" w:rsidP="00996A8F">
      <w:pPr>
        <w:tabs>
          <w:tab w:val="right" w:pos="10080"/>
        </w:tabs>
        <w:rPr>
          <w:rFonts w:ascii="Palatino Linotype" w:hAnsi="Palatino Linotype"/>
          <w:color w:val="000000" w:themeColor="text1"/>
        </w:rPr>
      </w:pPr>
    </w:p>
    <w:p w:rsidR="00996A8F" w:rsidRPr="00B8240F" w:rsidRDefault="00996A8F" w:rsidP="00996A8F">
      <w:pPr>
        <w:tabs>
          <w:tab w:val="right" w:pos="10080"/>
        </w:tabs>
        <w:rPr>
          <w:rFonts w:ascii="Palatino Linotype" w:hAnsi="Palatino Linotype"/>
          <w:color w:val="000000" w:themeColor="text1"/>
        </w:rPr>
      </w:pPr>
    </w:p>
    <w:p w:rsidR="00996A8F" w:rsidRPr="00B8240F" w:rsidRDefault="00996A8F" w:rsidP="00996A8F">
      <w:pPr>
        <w:tabs>
          <w:tab w:val="right" w:pos="8640"/>
        </w:tabs>
        <w:jc w:val="both"/>
        <w:rPr>
          <w:rFonts w:ascii="Palatino Linotype" w:hAnsi="Palatino Linotype"/>
          <w:color w:val="000000" w:themeColor="text1"/>
        </w:rPr>
      </w:pPr>
      <w:r w:rsidRPr="00B8240F">
        <w:rPr>
          <w:rFonts w:ascii="Palatino Linotype" w:hAnsi="Palatino Linotype"/>
          <w:color w:val="000000" w:themeColor="text1"/>
        </w:rPr>
        <w:tab/>
        <w:t>______________________________</w:t>
      </w:r>
    </w:p>
    <w:p w:rsidR="00996A8F" w:rsidRPr="00B8240F" w:rsidRDefault="00996A8F" w:rsidP="00996A8F">
      <w:pPr>
        <w:tabs>
          <w:tab w:val="left" w:pos="2790"/>
          <w:tab w:val="right" w:pos="7800"/>
        </w:tabs>
        <w:ind w:left="2610" w:firstLine="1980"/>
        <w:jc w:val="center"/>
        <w:rPr>
          <w:rFonts w:ascii="Palatino Linotype" w:hAnsi="Palatino Linotype"/>
          <w:color w:val="000000" w:themeColor="text1"/>
        </w:rPr>
      </w:pPr>
      <w:r w:rsidRPr="00B8240F">
        <w:rPr>
          <w:rFonts w:ascii="Palatino Linotype" w:hAnsi="Palatino Linotype"/>
          <w:color w:val="000000" w:themeColor="text1"/>
        </w:rPr>
        <w:t>TIMOTHY J. SULLIVAN</w:t>
      </w:r>
    </w:p>
    <w:p w:rsidR="00996A8F" w:rsidRPr="00B8240F" w:rsidRDefault="00996A8F" w:rsidP="00996A8F">
      <w:pPr>
        <w:tabs>
          <w:tab w:val="right" w:pos="7920"/>
        </w:tabs>
        <w:jc w:val="both"/>
        <w:rPr>
          <w:rFonts w:ascii="Palatino Linotype" w:hAnsi="Palatino Linotype"/>
          <w:color w:val="000000" w:themeColor="text1"/>
        </w:rPr>
      </w:pPr>
      <w:r w:rsidRPr="00B8240F">
        <w:rPr>
          <w:rFonts w:ascii="Palatino Linotype" w:hAnsi="Palatino Linotype"/>
          <w:color w:val="000000" w:themeColor="text1"/>
        </w:rPr>
        <w:tab/>
        <w:t xml:space="preserve">Executive Director   </w:t>
      </w: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sectPr w:rsidR="00996A8F" w:rsidRPr="00B8240F">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rPr>
          <w:rFonts w:ascii="Palatino Linotype" w:hAnsi="Palatino Linotype"/>
          <w:color w:val="000000" w:themeColor="text1"/>
        </w:rPr>
      </w:pPr>
    </w:p>
    <w:p w:rsidR="00996A8F" w:rsidRPr="00B8240F" w:rsidRDefault="00996A8F" w:rsidP="00996A8F">
      <w:pPr>
        <w:jc w:val="center"/>
        <w:rPr>
          <w:rFonts w:ascii="Palatino Linotype" w:hAnsi="Palatino Linotype"/>
          <w:color w:val="000000" w:themeColor="text1"/>
          <w:sz w:val="28"/>
          <w:szCs w:val="28"/>
        </w:rPr>
      </w:pPr>
      <w:r w:rsidRPr="00B8240F">
        <w:rPr>
          <w:rFonts w:ascii="Palatino Linotype" w:hAnsi="Palatino Linotype"/>
          <w:color w:val="000000" w:themeColor="text1"/>
          <w:sz w:val="28"/>
          <w:szCs w:val="28"/>
        </w:rPr>
        <w:t>APPENDIX</w:t>
      </w:r>
    </w:p>
    <w:p w:rsidR="00996A8F" w:rsidRPr="00B8240F" w:rsidRDefault="00996A8F" w:rsidP="00996A8F">
      <w:pPr>
        <w:jc w:val="center"/>
        <w:rPr>
          <w:rFonts w:ascii="Palatino Linotype" w:hAnsi="Palatino Linotype"/>
          <w:color w:val="000000" w:themeColor="text1"/>
          <w:sz w:val="28"/>
          <w:szCs w:val="28"/>
        </w:rPr>
      </w:pPr>
    </w:p>
    <w:p w:rsidR="00996A8F" w:rsidRPr="00B8240F" w:rsidRDefault="00996A8F" w:rsidP="00996A8F">
      <w:pPr>
        <w:jc w:val="center"/>
        <w:rPr>
          <w:rFonts w:ascii="Palatino Linotype" w:hAnsi="Palatino Linotype"/>
          <w:color w:val="000000" w:themeColor="text1"/>
          <w:sz w:val="28"/>
          <w:szCs w:val="28"/>
        </w:rPr>
      </w:pPr>
    </w:p>
    <w:p w:rsidR="00996A8F" w:rsidRPr="00B8240F" w:rsidRDefault="00996A8F" w:rsidP="00996A8F">
      <w:pPr>
        <w:jc w:val="center"/>
        <w:rPr>
          <w:rFonts w:ascii="Palatino Linotype" w:hAnsi="Palatino Linotype"/>
          <w:color w:val="000000" w:themeColor="text1"/>
        </w:rPr>
        <w:sectPr w:rsidR="00996A8F" w:rsidRPr="00B8240F">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rsidR="00996A8F" w:rsidRPr="00B8240F" w:rsidRDefault="00996A8F" w:rsidP="00996A8F">
      <w:pPr>
        <w:keepNext/>
        <w:keepLines/>
        <w:jc w:val="center"/>
        <w:rPr>
          <w:rFonts w:ascii="Palatino Linotype" w:hAnsi="Palatino Linotype"/>
          <w:b/>
          <w:color w:val="000000" w:themeColor="text1"/>
        </w:rPr>
      </w:pPr>
      <w:r>
        <w:rPr>
          <w:rFonts w:ascii="Palatino Linotype" w:hAnsi="Palatino Linotype"/>
          <w:b/>
          <w:color w:val="000000" w:themeColor="text1"/>
        </w:rPr>
        <w:lastRenderedPageBreak/>
        <w:t>APPENDIX A</w:t>
      </w:r>
    </w:p>
    <w:p w:rsidR="00996A8F" w:rsidRPr="00B8240F" w:rsidRDefault="00996A8F" w:rsidP="00996A8F">
      <w:pPr>
        <w:keepNext/>
        <w:keepLines/>
        <w:jc w:val="center"/>
        <w:rPr>
          <w:rFonts w:ascii="Palatino Linotype" w:hAnsi="Palatino Linotype"/>
          <w:b/>
          <w:color w:val="000000" w:themeColor="text1"/>
        </w:rPr>
      </w:pPr>
      <w:r w:rsidRPr="00B8240F">
        <w:rPr>
          <w:rFonts w:ascii="Palatino Linotype" w:hAnsi="Palatino Linotype"/>
          <w:b/>
          <w:color w:val="000000" w:themeColor="text1"/>
        </w:rPr>
        <w:t>Resolution T-</w:t>
      </w:r>
      <w:r>
        <w:rPr>
          <w:rFonts w:ascii="Palatino Linotype" w:hAnsi="Palatino Linotype"/>
          <w:b/>
          <w:color w:val="000000" w:themeColor="text1"/>
        </w:rPr>
        <w:t>17514</w:t>
      </w:r>
    </w:p>
    <w:p w:rsidR="00996A8F" w:rsidRDefault="00996A8F" w:rsidP="00996A8F">
      <w:pPr>
        <w:keepNext/>
        <w:keepLines/>
        <w:jc w:val="center"/>
        <w:rPr>
          <w:rFonts w:ascii="Palatino Linotype" w:hAnsi="Palatino Linotype"/>
          <w:b/>
          <w:color w:val="000000" w:themeColor="text1"/>
        </w:rPr>
      </w:pPr>
      <w:r>
        <w:rPr>
          <w:rFonts w:ascii="Palatino Linotype" w:hAnsi="Palatino Linotype"/>
          <w:b/>
          <w:color w:val="000000" w:themeColor="text1"/>
        </w:rPr>
        <w:t>Expedited Review per Unit Cost Criteria</w:t>
      </w:r>
    </w:p>
    <w:p w:rsidR="00996A8F" w:rsidRDefault="00996A8F" w:rsidP="00996A8F">
      <w:pPr>
        <w:keepNext/>
        <w:keepLines/>
        <w:jc w:val="center"/>
        <w:rPr>
          <w:rFonts w:ascii="Palatino Linotype" w:hAnsi="Palatino Linotype"/>
          <w:b/>
          <w:color w:val="000000" w:themeColor="text1"/>
        </w:rPr>
      </w:pPr>
    </w:p>
    <w:p w:rsidR="00996A8F" w:rsidRDefault="00996A8F" w:rsidP="00996A8F">
      <w:pPr>
        <w:keepNext/>
        <w:keepLines/>
        <w:rPr>
          <w:rFonts w:ascii="Palatino Linotype" w:hAnsi="Palatino Linotype"/>
          <w:color w:val="000000" w:themeColor="text1"/>
        </w:rPr>
      </w:pPr>
      <w:r>
        <w:rPr>
          <w:rFonts w:ascii="Palatino Linotype" w:hAnsi="Palatino Linotype"/>
          <w:color w:val="000000" w:themeColor="text1"/>
        </w:rPr>
        <w:t xml:space="preserve">The expedited review per unit costs rules (below) were established in </w:t>
      </w:r>
      <w:r w:rsidRPr="00937252">
        <w:rPr>
          <w:rFonts w:ascii="Palatino Linotype" w:hAnsi="Palatino Linotype"/>
          <w:color w:val="000000" w:themeColor="text1"/>
        </w:rPr>
        <w:t>D.14-12-039</w:t>
      </w:r>
      <w:r>
        <w:rPr>
          <w:rFonts w:ascii="Palatino Linotype" w:hAnsi="Palatino Linotype"/>
          <w:color w:val="000000" w:themeColor="text1"/>
        </w:rPr>
        <w:t>:</w:t>
      </w:r>
      <w:r>
        <w:rPr>
          <w:rStyle w:val="FootnoteReference"/>
          <w:rFonts w:ascii="Palatino Linotype" w:hAnsi="Palatino Linotype"/>
          <w:color w:val="000000" w:themeColor="text1"/>
        </w:rPr>
        <w:footnoteReference w:id="22"/>
      </w:r>
    </w:p>
    <w:p w:rsidR="00996A8F" w:rsidRPr="001A6C99" w:rsidRDefault="00996A8F" w:rsidP="00996A8F">
      <w:pPr>
        <w:pStyle w:val="ListParagraph"/>
        <w:keepNext/>
        <w:keepLines/>
        <w:numPr>
          <w:ilvl w:val="0"/>
          <w:numId w:val="7"/>
        </w:numPr>
        <w:rPr>
          <w:rFonts w:ascii="Palatino Linotype" w:hAnsi="Palatino Linotype"/>
          <w:color w:val="000000" w:themeColor="text1"/>
        </w:rPr>
      </w:pPr>
      <w:r w:rsidRPr="001A6C99">
        <w:rPr>
          <w:rFonts w:ascii="Palatino Linotype" w:hAnsi="Palatino Linotype"/>
          <w:color w:val="000000" w:themeColor="text1"/>
        </w:rPr>
        <w:t>For projects connecting 50 PSC units and less, proposed project costs less $600 per unit or less.</w:t>
      </w:r>
    </w:p>
    <w:p w:rsidR="00996A8F" w:rsidRPr="001A6C99" w:rsidRDefault="00996A8F" w:rsidP="00996A8F">
      <w:pPr>
        <w:pStyle w:val="ListParagraph"/>
        <w:keepNext/>
        <w:keepLines/>
        <w:numPr>
          <w:ilvl w:val="0"/>
          <w:numId w:val="7"/>
        </w:numPr>
        <w:rPr>
          <w:rFonts w:ascii="Palatino Linotype" w:hAnsi="Palatino Linotype"/>
          <w:color w:val="000000" w:themeColor="text1"/>
        </w:rPr>
      </w:pPr>
      <w:r w:rsidRPr="001A6C99">
        <w:rPr>
          <w:rFonts w:ascii="Palatino Linotype" w:hAnsi="Palatino Linotype"/>
          <w:color w:val="000000" w:themeColor="text1"/>
        </w:rPr>
        <w:t>For projects connecting 51-100 PSC units, proposed project costs $450 per unit or less.</w:t>
      </w:r>
    </w:p>
    <w:p w:rsidR="00996A8F" w:rsidRDefault="00996A8F" w:rsidP="00996A8F">
      <w:pPr>
        <w:pStyle w:val="ListParagraph"/>
        <w:keepNext/>
        <w:keepLines/>
        <w:numPr>
          <w:ilvl w:val="0"/>
          <w:numId w:val="7"/>
        </w:numPr>
        <w:rPr>
          <w:rFonts w:ascii="Palatino Linotype" w:hAnsi="Palatino Linotype"/>
          <w:color w:val="000000" w:themeColor="text1"/>
        </w:rPr>
      </w:pPr>
      <w:r w:rsidRPr="001A6C99">
        <w:rPr>
          <w:rFonts w:ascii="Palatino Linotype" w:hAnsi="Palatino Linotype"/>
          <w:color w:val="000000" w:themeColor="text1"/>
        </w:rPr>
        <w:t>For projects connecting 101 and more units, proposed project costs $300 per unit or less.</w:t>
      </w:r>
    </w:p>
    <w:p w:rsidR="00996A8F" w:rsidRPr="004447B5" w:rsidRDefault="00996A8F" w:rsidP="00996A8F">
      <w:pPr>
        <w:keepNext/>
        <w:keepLines/>
        <w:jc w:val="center"/>
        <w:rPr>
          <w:rFonts w:ascii="Palatino Linotype" w:hAnsi="Palatino Linotype"/>
          <w:color w:val="000000" w:themeColor="text1"/>
        </w:rPr>
      </w:pPr>
      <w:r w:rsidRPr="00D853FD">
        <w:rPr>
          <w:noProof/>
        </w:rPr>
        <w:drawing>
          <wp:inline distT="0" distB="0" distL="0" distR="0" wp14:anchorId="60DFCD37" wp14:editId="04D0A44E">
            <wp:extent cx="5943600" cy="49569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956949"/>
                    </a:xfrm>
                    <a:prstGeom prst="rect">
                      <a:avLst/>
                    </a:prstGeom>
                    <a:noFill/>
                    <a:ln>
                      <a:noFill/>
                    </a:ln>
                  </pic:spPr>
                </pic:pic>
              </a:graphicData>
            </a:graphic>
          </wp:inline>
        </w:drawing>
      </w:r>
    </w:p>
    <w:p w:rsidR="00996A8F" w:rsidRDefault="00996A8F" w:rsidP="00996A8F">
      <w:pPr>
        <w:keepNext/>
        <w:keepLines/>
        <w:rPr>
          <w:rFonts w:ascii="Palatino Linotype" w:hAnsi="Palatino Linotype"/>
          <w:b/>
          <w:color w:val="000000" w:themeColor="text1"/>
        </w:rPr>
        <w:sectPr w:rsidR="00996A8F">
          <w:headerReference w:type="first" r:id="rId20"/>
          <w:footerReference w:type="first" r:id="rId21"/>
          <w:pgSz w:w="12240" w:h="15840"/>
          <w:pgMar w:top="1440" w:right="1440" w:bottom="1440" w:left="1440" w:header="720" w:footer="720" w:gutter="0"/>
          <w:pgNumType w:start="1"/>
          <w:cols w:space="720"/>
          <w:titlePg/>
          <w:docGrid w:linePitch="360"/>
        </w:sectPr>
      </w:pPr>
    </w:p>
    <w:p w:rsidR="00996A8F" w:rsidRPr="00B8240F" w:rsidRDefault="00996A8F" w:rsidP="00996A8F">
      <w:pPr>
        <w:jc w:val="center"/>
        <w:rPr>
          <w:rFonts w:ascii="Palatino Linotype" w:hAnsi="Palatino Linotype"/>
          <w:b/>
          <w:bCs/>
          <w:color w:val="000000" w:themeColor="text1"/>
          <w:sz w:val="28"/>
          <w:szCs w:val="28"/>
        </w:rPr>
      </w:pPr>
      <w:r>
        <w:rPr>
          <w:rFonts w:ascii="Palatino Linotype" w:hAnsi="Palatino Linotype"/>
          <w:b/>
          <w:bCs/>
          <w:color w:val="000000" w:themeColor="text1"/>
          <w:sz w:val="28"/>
          <w:szCs w:val="28"/>
        </w:rPr>
        <w:lastRenderedPageBreak/>
        <w:t>APPENDIX B</w:t>
      </w:r>
    </w:p>
    <w:p w:rsidR="00996A8F" w:rsidRPr="00B8240F" w:rsidRDefault="00996A8F" w:rsidP="00996A8F">
      <w:pPr>
        <w:ind w:left="7200" w:hanging="7200"/>
        <w:jc w:val="center"/>
        <w:rPr>
          <w:rFonts w:ascii="Palatino Linotype" w:hAnsi="Palatino Linotype"/>
          <w:b/>
          <w:bCs/>
          <w:color w:val="000000" w:themeColor="text1"/>
        </w:rPr>
      </w:pPr>
      <w:r w:rsidRPr="00B8240F">
        <w:rPr>
          <w:rFonts w:ascii="Palatino Linotype" w:hAnsi="Palatino Linotype"/>
          <w:b/>
          <w:bCs/>
          <w:color w:val="000000" w:themeColor="text1"/>
        </w:rPr>
        <w:t>Resolution T-</w:t>
      </w:r>
      <w:r>
        <w:rPr>
          <w:rFonts w:ascii="Palatino Linotype" w:hAnsi="Palatino Linotype"/>
          <w:b/>
          <w:bCs/>
          <w:color w:val="000000" w:themeColor="text1"/>
        </w:rPr>
        <w:t>17514</w:t>
      </w:r>
      <w:r w:rsidRPr="00B8240F">
        <w:rPr>
          <w:rFonts w:ascii="Palatino Linotype" w:hAnsi="Palatino Linotype"/>
          <w:b/>
          <w:bCs/>
          <w:color w:val="000000" w:themeColor="text1"/>
        </w:rPr>
        <w:t xml:space="preserve"> </w:t>
      </w:r>
    </w:p>
    <w:p w:rsidR="00996A8F" w:rsidRPr="00B8240F" w:rsidRDefault="00996A8F" w:rsidP="00996A8F">
      <w:pPr>
        <w:jc w:val="center"/>
        <w:rPr>
          <w:rFonts w:ascii="Palatino Linotype" w:hAnsi="Palatino Linotype"/>
          <w:b/>
          <w:bCs/>
          <w:color w:val="000000" w:themeColor="text1"/>
        </w:rPr>
      </w:pPr>
      <w:r w:rsidRPr="00B8240F">
        <w:rPr>
          <w:rFonts w:ascii="Palatino Linotype" w:hAnsi="Palatino Linotype"/>
          <w:b/>
          <w:bCs/>
          <w:color w:val="000000" w:themeColor="text1"/>
        </w:rPr>
        <w:t>Public Housing Projects Locations</w:t>
      </w:r>
    </w:p>
    <w:p w:rsidR="00944C1D" w:rsidRPr="00996A8F" w:rsidRDefault="00996A8F" w:rsidP="00996A8F">
      <w:pPr>
        <w:tabs>
          <w:tab w:val="right" w:pos="7920"/>
        </w:tabs>
        <w:jc w:val="center"/>
        <w:rPr>
          <w:rFonts w:ascii="Palatino Linotype" w:hAnsi="Palatino Linotype"/>
          <w:color w:val="000000" w:themeColor="text1"/>
        </w:rPr>
      </w:pPr>
      <w:r>
        <w:rPr>
          <w:rFonts w:ascii="Palatino Linotype" w:hAnsi="Palatino Linotype"/>
          <w:noProof/>
          <w:color w:val="000000" w:themeColor="text1"/>
        </w:rPr>
        <w:drawing>
          <wp:inline distT="0" distB="0" distL="0" distR="0" wp14:anchorId="56EA8CD5" wp14:editId="7F29A2DD">
            <wp:extent cx="5758007" cy="745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F Public Housing Grants (2016.09.2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1958" cy="7456688"/>
                    </a:xfrm>
                    <a:prstGeom prst="rect">
                      <a:avLst/>
                    </a:prstGeom>
                  </pic:spPr>
                </pic:pic>
              </a:graphicData>
            </a:graphic>
          </wp:inline>
        </w:drawing>
      </w:r>
    </w:p>
    <w:sectPr w:rsidR="00944C1D" w:rsidRPr="00996A8F" w:rsidSect="00283F7A">
      <w:headerReference w:type="first" r:id="rId23"/>
      <w:footerReference w:type="firs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A4" w:rsidRDefault="00FB36A4">
      <w:r>
        <w:separator/>
      </w:r>
    </w:p>
  </w:endnote>
  <w:endnote w:type="continuationSeparator" w:id="0">
    <w:p w:rsidR="00FB36A4" w:rsidRDefault="00FB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3B1DBD" w:rsidRDefault="00996A8F" w:rsidP="003B1DBD">
    <w:pPr>
      <w:pStyle w:val="Footer"/>
    </w:pPr>
    <w:r>
      <w:tab/>
    </w:r>
    <w:r>
      <w:rPr>
        <w:rStyle w:val="PageNumber"/>
      </w:rPr>
      <w:fldChar w:fldCharType="begin"/>
    </w:r>
    <w:r>
      <w:rPr>
        <w:rStyle w:val="PageNumber"/>
      </w:rPr>
      <w:instrText xml:space="preserve"> PAGE </w:instrText>
    </w:r>
    <w:r>
      <w:rPr>
        <w:rStyle w:val="PageNumber"/>
      </w:rPr>
      <w:fldChar w:fldCharType="separate"/>
    </w:r>
    <w:r w:rsidR="00852FDE">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376EA2" w:rsidRDefault="00996A8F">
    <w:pPr>
      <w:pStyle w:val="Footer"/>
      <w:rPr>
        <w:sz w:val="18"/>
        <w:szCs w:val="18"/>
      </w:rPr>
    </w:pPr>
    <w:r w:rsidRPr="00331E85">
      <w:rPr>
        <w:sz w:val="20"/>
        <w:szCs w:val="20"/>
      </w:rPr>
      <w:t>168725216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Default="00996A8F" w:rsidP="00283F7A">
    <w:pPr>
      <w:pStyle w:val="Footer"/>
      <w:jc w:val="center"/>
    </w:pPr>
    <w:r>
      <w:t xml:space="preserve">A - </w:t>
    </w:r>
    <w:r>
      <w:fldChar w:fldCharType="begin"/>
    </w:r>
    <w:r>
      <w:instrText xml:space="preserve"> PAGE   \* MERGEFORMAT </w:instrText>
    </w:r>
    <w:r>
      <w:fldChar w:fldCharType="separate"/>
    </w:r>
    <w:r>
      <w:rPr>
        <w:noProof/>
      </w:rPr>
      <w:t>2</w:t>
    </w:r>
    <w:r>
      <w:rPr>
        <w:noProof/>
      </w:rPr>
      <w:fldChar w:fldCharType="end"/>
    </w:r>
  </w:p>
  <w:p w:rsidR="00996A8F" w:rsidRPr="003B1DBD" w:rsidRDefault="00996A8F" w:rsidP="00283F7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Default="00996A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Default="00996A8F" w:rsidP="00283F7A">
    <w:pPr>
      <w:pStyle w:val="Footer"/>
      <w:jc w:val="center"/>
    </w:pPr>
    <w:r>
      <w:t xml:space="preserve">A - </w:t>
    </w:r>
    <w:r>
      <w:fldChar w:fldCharType="begin"/>
    </w:r>
    <w:r>
      <w:instrText xml:space="preserve"> PAGE   \* MERGEFORMAT </w:instrText>
    </w:r>
    <w:r>
      <w:fldChar w:fldCharType="separate"/>
    </w:r>
    <w:r w:rsidR="00852FDE">
      <w:rPr>
        <w:noProof/>
      </w:rPr>
      <w:t>1</w:t>
    </w:r>
    <w:r>
      <w:rPr>
        <w:noProof/>
      </w:rPr>
      <w:fldChar w:fldCharType="end"/>
    </w:r>
  </w:p>
  <w:p w:rsidR="00996A8F" w:rsidRDefault="00996A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C7" w:rsidRDefault="00774DC7" w:rsidP="00283F7A">
    <w:pPr>
      <w:pStyle w:val="Footer"/>
      <w:jc w:val="center"/>
    </w:pPr>
    <w:r>
      <w:t xml:space="preserve">B - </w:t>
    </w:r>
    <w:r w:rsidR="004A3ED6">
      <w:fldChar w:fldCharType="begin"/>
    </w:r>
    <w:r w:rsidR="004A3ED6">
      <w:instrText xml:space="preserve"> PAGE   \* MERGEFORMAT </w:instrText>
    </w:r>
    <w:r w:rsidR="004A3ED6">
      <w:fldChar w:fldCharType="separate"/>
    </w:r>
    <w:r w:rsidR="00852FDE">
      <w:rPr>
        <w:noProof/>
      </w:rPr>
      <w:t>1</w:t>
    </w:r>
    <w:r w:rsidR="004A3ED6">
      <w:rPr>
        <w:noProof/>
      </w:rPr>
      <w:fldChar w:fldCharType="end"/>
    </w:r>
  </w:p>
  <w:p w:rsidR="00774DC7" w:rsidRDefault="00774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A4" w:rsidRDefault="00FB36A4">
      <w:r>
        <w:separator/>
      </w:r>
    </w:p>
  </w:footnote>
  <w:footnote w:type="continuationSeparator" w:id="0">
    <w:p w:rsidR="00FB36A4" w:rsidRDefault="00FB36A4">
      <w:r>
        <w:continuationSeparator/>
      </w:r>
    </w:p>
  </w:footnote>
  <w:footnote w:id="1">
    <w:p w:rsidR="00996A8F" w:rsidRDefault="00996A8F" w:rsidP="00996A8F">
      <w:pPr>
        <w:pStyle w:val="FootnoteText"/>
      </w:pPr>
      <w:r>
        <w:rPr>
          <w:rStyle w:val="FootnoteReference"/>
        </w:rPr>
        <w:footnoteRef/>
      </w:r>
      <w:proofErr w:type="gramStart"/>
      <w:r>
        <w:t>D.14-12-039, Appendix B, p. B13.</w:t>
      </w:r>
      <w:proofErr w:type="gramEnd"/>
      <w:r>
        <w:t xml:space="preserve"> </w:t>
      </w:r>
    </w:p>
  </w:footnote>
  <w:footnote w:id="2">
    <w:p w:rsidR="00996A8F" w:rsidRDefault="00996A8F" w:rsidP="00996A8F">
      <w:pPr>
        <w:pStyle w:val="FootnoteText"/>
      </w:pPr>
      <w:r>
        <w:rPr>
          <w:rStyle w:val="FootnoteReference"/>
        </w:rPr>
        <w:footnoteRef/>
      </w:r>
      <w:r>
        <w:t xml:space="preserve"> </w:t>
      </w:r>
      <w:r w:rsidRPr="00204FE1">
        <w:t xml:space="preserve">There is a pending application for rehearing of Resolution T-17515, filed by Charter Communications, which challenges the Commission’s award of CASF funding to publicly supported communities that are already wired and served.  The issuance of today’s Resolution neither prejudges nor disposes of this pending rehearing application.  A subsequent Commission order will issue that will address and disposes of the issues raised in this pending application for rehearing.  </w:t>
      </w:r>
    </w:p>
  </w:footnote>
  <w:footnote w:id="3">
    <w:p w:rsidR="00996A8F" w:rsidRDefault="00996A8F" w:rsidP="00996A8F">
      <w:pPr>
        <w:pStyle w:val="FootnoteText"/>
      </w:pPr>
      <w:r>
        <w:rPr>
          <w:rStyle w:val="FootnoteReference"/>
        </w:rPr>
        <w:footnoteRef/>
      </w:r>
      <w:r>
        <w:t xml:space="preserve"> See Table 1, p. 2.</w:t>
      </w:r>
    </w:p>
  </w:footnote>
  <w:footnote w:id="4">
    <w:p w:rsidR="00996A8F" w:rsidRDefault="00996A8F" w:rsidP="00996A8F">
      <w:pPr>
        <w:pStyle w:val="FootnoteText"/>
      </w:pPr>
      <w:r>
        <w:rPr>
          <w:rStyle w:val="FootnoteReference"/>
        </w:rPr>
        <w:footnoteRef/>
      </w:r>
      <w:r>
        <w:t xml:space="preserve"> </w:t>
      </w:r>
      <w:proofErr w:type="gramStart"/>
      <w:r>
        <w:t>D.14-12-039, Appendix B.</w:t>
      </w:r>
      <w:proofErr w:type="gramEnd"/>
    </w:p>
  </w:footnote>
  <w:footnote w:id="5">
    <w:p w:rsidR="00996A8F" w:rsidRDefault="00996A8F" w:rsidP="00996A8F">
      <w:pPr>
        <w:pStyle w:val="FootnoteText"/>
      </w:pPr>
      <w:r>
        <w:rPr>
          <w:rStyle w:val="FootnoteReference"/>
        </w:rPr>
        <w:footnoteRef/>
      </w:r>
      <w:r>
        <w:t xml:space="preserve"> Wireless LAN standard; for a technical definition of the 802.11 standards please refer to </w:t>
      </w:r>
      <w:hyperlink r:id="rId1" w:history="1">
        <w:r w:rsidRPr="00F03661">
          <w:rPr>
            <w:rStyle w:val="Hyperlink"/>
          </w:rPr>
          <w:t>http://www.webopedia.com/TERM/8/802_11.html</w:t>
        </w:r>
      </w:hyperlink>
      <w:r>
        <w:t xml:space="preserve">. </w:t>
      </w:r>
    </w:p>
  </w:footnote>
  <w:footnote w:id="6">
    <w:p w:rsidR="00996A8F" w:rsidRDefault="00996A8F" w:rsidP="00996A8F">
      <w:pPr>
        <w:pStyle w:val="FootnoteText"/>
      </w:pPr>
      <w:r>
        <w:rPr>
          <w:rStyle w:val="FootnoteReference"/>
        </w:rPr>
        <w:footnoteRef/>
      </w:r>
      <w:r>
        <w:t xml:space="preserve"> </w:t>
      </w:r>
      <w:hyperlink r:id="rId2" w:history="1">
        <w:r w:rsidRPr="003A37C2">
          <w:rPr>
            <w:rStyle w:val="Hyperlink"/>
          </w:rPr>
          <w:t>http://www.open-mesh.com/</w:t>
        </w:r>
      </w:hyperlink>
      <w:r>
        <w:rPr>
          <w:rStyle w:val="Hyperlink"/>
        </w:rPr>
        <w:t>.</w:t>
      </w:r>
      <w:r>
        <w:t xml:space="preserve"> </w:t>
      </w:r>
    </w:p>
  </w:footnote>
  <w:footnote w:id="7">
    <w:p w:rsidR="00996A8F" w:rsidRDefault="00996A8F" w:rsidP="00996A8F">
      <w:pPr>
        <w:pStyle w:val="FootnoteText"/>
      </w:pPr>
      <w:r>
        <w:rPr>
          <w:rStyle w:val="FootnoteReference"/>
        </w:rPr>
        <w:footnoteRef/>
      </w:r>
      <w:r>
        <w:t xml:space="preserve"> </w:t>
      </w:r>
      <w:hyperlink r:id="rId3" w:history="1">
        <w:r w:rsidRPr="003A37C2">
          <w:rPr>
            <w:rStyle w:val="Hyperlink"/>
          </w:rPr>
          <w:t>https://www.ruckuswireless.com/</w:t>
        </w:r>
      </w:hyperlink>
      <w:r>
        <w:rPr>
          <w:rStyle w:val="Hyperlink"/>
        </w:rPr>
        <w:t>.</w:t>
      </w:r>
      <w:r>
        <w:t xml:space="preserve"> </w:t>
      </w:r>
    </w:p>
  </w:footnote>
  <w:footnote w:id="8">
    <w:p w:rsidR="00996A8F" w:rsidRDefault="00996A8F" w:rsidP="00996A8F">
      <w:pPr>
        <w:pStyle w:val="FootnoteText"/>
      </w:pPr>
      <w:r>
        <w:rPr>
          <w:rStyle w:val="FootnoteReference"/>
        </w:rPr>
        <w:footnoteRef/>
      </w:r>
      <w:r>
        <w:t xml:space="preserve"> </w:t>
      </w:r>
      <w:hyperlink r:id="rId4" w:history="1">
        <w:r w:rsidRPr="00F03661">
          <w:rPr>
            <w:rStyle w:val="Hyperlink"/>
          </w:rPr>
          <w:t>http://pocketnow.com/2014/01/23/5ghz-wifi</w:t>
        </w:r>
      </w:hyperlink>
      <w:r>
        <w:t xml:space="preserve"> retrieved 9/22/16.</w:t>
      </w:r>
    </w:p>
  </w:footnote>
  <w:footnote w:id="9">
    <w:p w:rsidR="00996A8F" w:rsidRPr="00904782" w:rsidRDefault="00996A8F" w:rsidP="00996A8F">
      <w:pPr>
        <w:pStyle w:val="FootnoteText"/>
      </w:pPr>
      <w:r w:rsidRPr="00904782">
        <w:rPr>
          <w:rStyle w:val="FootnoteReference"/>
        </w:rPr>
        <w:footnoteRef/>
      </w:r>
      <w:r w:rsidRPr="00904782">
        <w:t xml:space="preserve"> </w:t>
      </w:r>
      <w:hyperlink r:id="rId5" w:history="1">
        <w:r w:rsidRPr="00904782">
          <w:rPr>
            <w:rStyle w:val="Hyperlink"/>
          </w:rPr>
          <w:t>http://www.cpuc.ca.gov/General.aspx?id=908</w:t>
        </w:r>
      </w:hyperlink>
      <w:r>
        <w:rPr>
          <w:rStyle w:val="Hyperlink"/>
        </w:rPr>
        <w:t>.</w:t>
      </w:r>
      <w:r w:rsidRPr="00904782">
        <w:t xml:space="preserve"> </w:t>
      </w:r>
    </w:p>
  </w:footnote>
  <w:footnote w:id="10">
    <w:p w:rsidR="00996A8F" w:rsidRDefault="00996A8F" w:rsidP="00996A8F">
      <w:pPr>
        <w:pStyle w:val="FootnoteText"/>
      </w:pPr>
      <w:r>
        <w:rPr>
          <w:rStyle w:val="FootnoteReference"/>
        </w:rPr>
        <w:footnoteRef/>
      </w:r>
      <w:r>
        <w:t xml:space="preserve"> Pursuant to D.14-12-039, CD posts all applications on its website to give ISP two weeks from the date of posting to challenge applications. (Appendix B, p. B12).  </w:t>
      </w:r>
    </w:p>
  </w:footnote>
  <w:footnote w:id="11">
    <w:p w:rsidR="00996A8F" w:rsidRDefault="00996A8F" w:rsidP="00996A8F">
      <w:pPr>
        <w:pStyle w:val="FootnoteText"/>
      </w:pPr>
      <w:r>
        <w:rPr>
          <w:rStyle w:val="FootnoteReference"/>
        </w:rPr>
        <w:footnoteRef/>
      </w:r>
      <w:r>
        <w:t xml:space="preserve"> </w:t>
      </w:r>
      <w:r w:rsidRPr="00DB2127">
        <w:t xml:space="preserve">PSHH projects challenged by Cox Communications:  Dahlia Court, Dahlia Court II, Isle Vista Apartments, </w:t>
      </w:r>
      <w:proofErr w:type="spellStart"/>
      <w:r w:rsidRPr="00DB2127">
        <w:t>Ladera</w:t>
      </w:r>
      <w:proofErr w:type="spellEnd"/>
      <w:r w:rsidRPr="00DB2127">
        <w:t xml:space="preserve"> Street Apartments, </w:t>
      </w:r>
      <w:proofErr w:type="spellStart"/>
      <w:r w:rsidRPr="00DB2127">
        <w:t>Storke</w:t>
      </w:r>
      <w:proofErr w:type="spellEnd"/>
      <w:r w:rsidRPr="00DB2127">
        <w:t xml:space="preserve"> Ranch Apartments, Victoria Street Bungalows and Villa La Esperanza</w:t>
      </w:r>
      <w:r>
        <w:t>.</w:t>
      </w:r>
    </w:p>
  </w:footnote>
  <w:footnote w:id="12">
    <w:p w:rsidR="00996A8F" w:rsidRDefault="00996A8F" w:rsidP="00996A8F">
      <w:pPr>
        <w:pStyle w:val="FootnoteText"/>
      </w:pPr>
      <w:r>
        <w:rPr>
          <w:rStyle w:val="FootnoteReference"/>
        </w:rPr>
        <w:footnoteRef/>
      </w:r>
      <w:r>
        <w:t xml:space="preserve"> See CD Staff Denial Letter, dated July 1, 2016; see also Resolution T-17515 (</w:t>
      </w:r>
      <w:hyperlink r:id="rId6" w:history="1">
        <w:r w:rsidRPr="00F03661">
          <w:rPr>
            <w:rStyle w:val="Hyperlink"/>
          </w:rPr>
          <w:t>http://docs.cpuc.ca.gov/SearchRes.aspx?docformat=ALL&amp;DocID=163155772</w:t>
        </w:r>
      </w:hyperlink>
      <w:r>
        <w:t xml:space="preserve">).  </w:t>
      </w:r>
      <w:r w:rsidRPr="00BF6644">
        <w:t>CD denied the challenges since the reasons stated in the challenges provided were not supported in D.14-12</w:t>
      </w:r>
      <w:r>
        <w:t>-</w:t>
      </w:r>
      <w:r w:rsidRPr="00BF6644">
        <w:t>039 or in P.U. Code 281(h).</w:t>
      </w:r>
      <w:r>
        <w:t xml:space="preserve"> </w:t>
      </w:r>
      <w:r w:rsidRPr="00BF6644">
        <w:t xml:space="preserve"> </w:t>
      </w:r>
    </w:p>
  </w:footnote>
  <w:footnote w:id="13">
    <w:p w:rsidR="00996A8F" w:rsidRDefault="00996A8F" w:rsidP="00996A8F">
      <w:pPr>
        <w:pStyle w:val="FootnoteText"/>
      </w:pPr>
      <w:r>
        <w:rPr>
          <w:rStyle w:val="FootnoteReference"/>
        </w:rPr>
        <w:footnoteRef/>
      </w:r>
      <w:r>
        <w:t xml:space="preserve"> Resolution T-17515 m</w:t>
      </w:r>
      <w:r w:rsidRPr="006C2F88">
        <w:t xml:space="preserve">odifies D.14-12-039, Appendix B, delegating to CD staff the authority to approve applications through expedited review for properties that are wired.  </w:t>
      </w:r>
      <w:r>
        <w:t>According to D.14-12-039, ‘a</w:t>
      </w:r>
      <w:r w:rsidRPr="006C2F88">
        <w:t xml:space="preserve"> unit is “wired” for broadband Internet if it is possible to subscribe to a commercially available broadband Internet service, such as via Digital Subscriber Line (DSL), cable modem or another protocol, utilizing the existing “wired” facilities.  A unit having such wiring is considered as having broadband service “available.”  An “unwired property” has at least one unit that is not “wired.”</w:t>
      </w:r>
      <w:r>
        <w:t>’</w:t>
      </w:r>
    </w:p>
  </w:footnote>
  <w:footnote w:id="14">
    <w:p w:rsidR="00996A8F" w:rsidRDefault="00996A8F" w:rsidP="00996A8F">
      <w:pPr>
        <w:pStyle w:val="FootnoteText"/>
      </w:pPr>
      <w:r>
        <w:rPr>
          <w:rStyle w:val="FootnoteReference"/>
        </w:rPr>
        <w:footnoteRef/>
      </w:r>
      <w:r>
        <w:t xml:space="preserve"> </w:t>
      </w:r>
      <w:proofErr w:type="gramStart"/>
      <w:r>
        <w:t>D.14-12-039, Appendix B, p. B13.</w:t>
      </w:r>
      <w:proofErr w:type="gramEnd"/>
    </w:p>
  </w:footnote>
  <w:footnote w:id="15">
    <w:p w:rsidR="00996A8F" w:rsidRDefault="00996A8F" w:rsidP="00996A8F">
      <w:pPr>
        <w:pStyle w:val="FootnoteText"/>
      </w:pPr>
      <w:r>
        <w:rPr>
          <w:rStyle w:val="FootnoteReference"/>
        </w:rPr>
        <w:footnoteRef/>
      </w:r>
      <w:r>
        <w:t xml:space="preserve"> Out of the total number of projects not rejected or withdrawn through the July, 2016, application window, 34% are deployed using the Open-Mesh products, 26% are deployed using the Ruckus Wireless products, 18% are deployed using DSL, with the remaining 22% of projects using other deployment methodologies and products.  </w:t>
      </w:r>
    </w:p>
  </w:footnote>
  <w:footnote w:id="16">
    <w:p w:rsidR="00996A8F" w:rsidRDefault="00996A8F" w:rsidP="00996A8F">
      <w:pPr>
        <w:pStyle w:val="FootnoteText"/>
      </w:pPr>
      <w:r>
        <w:rPr>
          <w:rStyle w:val="FootnoteReference"/>
        </w:rPr>
        <w:footnoteRef/>
      </w:r>
      <w:r>
        <w:t xml:space="preserve"> Conclusions are based on interviews with contractors deploying funded projects (John Lim of </w:t>
      </w:r>
      <w:proofErr w:type="spellStart"/>
      <w:r>
        <w:t>InnovativeIT</w:t>
      </w:r>
      <w:proofErr w:type="spellEnd"/>
      <w:r>
        <w:t xml:space="preserve"> and David </w:t>
      </w:r>
      <w:proofErr w:type="spellStart"/>
      <w:r>
        <w:t>Cannard</w:t>
      </w:r>
      <w:proofErr w:type="spellEnd"/>
      <w:r>
        <w:t xml:space="preserve"> of Connected Community Solutions).  Additional research done through review of product specification sheets and applicant-provided material validated these conclusions.  </w:t>
      </w:r>
    </w:p>
  </w:footnote>
  <w:footnote w:id="17">
    <w:p w:rsidR="00996A8F" w:rsidRDefault="00996A8F" w:rsidP="00996A8F">
      <w:pPr>
        <w:pStyle w:val="FootnoteText"/>
      </w:pPr>
      <w:r>
        <w:rPr>
          <w:rStyle w:val="FootnoteReference"/>
        </w:rPr>
        <w:footnoteRef/>
      </w:r>
      <w:r>
        <w:t xml:space="preserve"> </w:t>
      </w:r>
      <w:proofErr w:type="gramStart"/>
      <w:r>
        <w:t>Per interviews with contractors (as noted above).</w:t>
      </w:r>
      <w:proofErr w:type="gramEnd"/>
      <w:r>
        <w:t xml:space="preserve">  The contractor who installs the Open-Mesh equipment provides a 5-year warranty on installed equipment.</w:t>
      </w:r>
    </w:p>
  </w:footnote>
  <w:footnote w:id="18">
    <w:p w:rsidR="00996A8F" w:rsidRDefault="00996A8F" w:rsidP="00996A8F">
      <w:pPr>
        <w:pStyle w:val="FootnoteText"/>
      </w:pPr>
      <w:r>
        <w:rPr>
          <w:rStyle w:val="FootnoteReference"/>
        </w:rPr>
        <w:footnoteRef/>
      </w:r>
      <w:r>
        <w:t xml:space="preserve"> Of the 199 BHPA infrastructure projects approved by expedited review as of October 13, 2016, approximately 45% are installations using Open-Mesh equipment, 24% are installed as DSL and only 6% are installed using Ruckus equipment (with the remaining 26% using other methodologies and/or equipment vendors).  </w:t>
      </w:r>
    </w:p>
  </w:footnote>
  <w:footnote w:id="19">
    <w:p w:rsidR="00996A8F" w:rsidRDefault="00996A8F" w:rsidP="00996A8F">
      <w:pPr>
        <w:pStyle w:val="FootnoteText"/>
      </w:pPr>
      <w:r>
        <w:rPr>
          <w:rStyle w:val="FootnoteReference"/>
        </w:rPr>
        <w:footnoteRef/>
      </w:r>
      <w:r>
        <w:t xml:space="preserve"> </w:t>
      </w:r>
      <w:proofErr w:type="gramStart"/>
      <w:r>
        <w:t>D.14-12-039, Appendix B, p. B7.</w:t>
      </w:r>
      <w:proofErr w:type="gramEnd"/>
    </w:p>
  </w:footnote>
  <w:footnote w:id="20">
    <w:p w:rsidR="00996A8F" w:rsidRPr="00904782" w:rsidRDefault="00996A8F" w:rsidP="00996A8F">
      <w:pPr>
        <w:pStyle w:val="FootnoteText"/>
      </w:pPr>
      <w:r w:rsidRPr="00904782">
        <w:rPr>
          <w:rStyle w:val="FootnoteReference"/>
        </w:rPr>
        <w:footnoteRef/>
      </w:r>
      <w:r w:rsidRPr="00904782">
        <w:t xml:space="preserve"> </w:t>
      </w:r>
      <w:r w:rsidRPr="002931FB">
        <w:t>P.U. Code §§ 274 and 281; see also D.14-12-039, Appendix B.</w:t>
      </w:r>
    </w:p>
  </w:footnote>
  <w:footnote w:id="21">
    <w:p w:rsidR="00996A8F" w:rsidRPr="00904782" w:rsidRDefault="00996A8F" w:rsidP="00996A8F">
      <w:pPr>
        <w:pStyle w:val="FootnoteText"/>
      </w:pPr>
      <w:r w:rsidRPr="00904782">
        <w:rPr>
          <w:rStyle w:val="FootnoteReference"/>
        </w:rPr>
        <w:footnoteRef/>
      </w:r>
      <w:r w:rsidRPr="00904782">
        <w:t xml:space="preserve"> </w:t>
      </w:r>
      <w:proofErr w:type="gramStart"/>
      <w:r w:rsidRPr="00904782">
        <w:t>D.14-12-039, Appendix B, p. B15.</w:t>
      </w:r>
      <w:proofErr w:type="gramEnd"/>
    </w:p>
  </w:footnote>
  <w:footnote w:id="22">
    <w:p w:rsidR="00996A8F" w:rsidRDefault="00996A8F" w:rsidP="00996A8F">
      <w:pPr>
        <w:pStyle w:val="FootnoteText"/>
      </w:pPr>
      <w:r>
        <w:rPr>
          <w:rStyle w:val="FootnoteReference"/>
        </w:rPr>
        <w:footnoteRef/>
      </w:r>
      <w:r>
        <w:t xml:space="preserve"> </w:t>
      </w:r>
      <w:proofErr w:type="gramStart"/>
      <w:r w:rsidRPr="001A6C99">
        <w:t>D.14-12-039, Appendix B, p. B13</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674E84" w:rsidRDefault="00996A8F" w:rsidP="00674E84">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T-17514</w:t>
    </w:r>
    <w:r>
      <w:rPr>
        <w:rFonts w:ascii="Palatino" w:hAnsi="Palatino"/>
      </w:rPr>
      <w:tab/>
      <w:t>DRAFT</w:t>
    </w:r>
    <w:r>
      <w:rPr>
        <w:rFonts w:ascii="Palatino" w:hAnsi="Palatino"/>
      </w:rPr>
      <w:tab/>
    </w:r>
    <w:r>
      <w:rPr>
        <w:rFonts w:ascii="Palatino" w:hAnsi="Palatino"/>
      </w:rPr>
      <w:tab/>
      <w:t xml:space="preserve">      12/01/16  </w:t>
    </w:r>
    <w:r>
      <w:rPr>
        <w:b/>
      </w:rPr>
      <w:tab/>
    </w:r>
  </w:p>
  <w:p w:rsidR="00996A8F" w:rsidRDefault="00996A8F" w:rsidP="003B1DBD">
    <w:pPr>
      <w:pStyle w:val="Header"/>
      <w:tabs>
        <w:tab w:val="clear" w:pos="8640"/>
        <w:tab w:val="right" w:pos="9360"/>
      </w:tabs>
    </w:pPr>
    <w:r>
      <w:t>CD/WG1</w:t>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674E84" w:rsidRDefault="00996A8F" w:rsidP="003C722F">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T-17514</w:t>
    </w:r>
    <w:r>
      <w:rPr>
        <w:rFonts w:ascii="Palatino" w:hAnsi="Palatino"/>
      </w:rPr>
      <w:tab/>
      <w:t>DRAFT</w:t>
    </w:r>
    <w:r>
      <w:rPr>
        <w:rFonts w:ascii="Palatino" w:hAnsi="Palatino"/>
      </w:rPr>
      <w:tab/>
    </w:r>
    <w:r>
      <w:rPr>
        <w:rFonts w:ascii="Palatino" w:hAnsi="Palatino"/>
      </w:rPr>
      <w:tab/>
      <w:t xml:space="preserve">      Agenda ID#</w:t>
    </w:r>
    <w:r w:rsidR="00852FDE">
      <w:rPr>
        <w:rFonts w:ascii="Palatino" w:hAnsi="Palatino"/>
      </w:rPr>
      <w:t xml:space="preserve"> 15279</w:t>
    </w:r>
    <w:r>
      <w:rPr>
        <w:rFonts w:ascii="Palatino" w:hAnsi="Palatino"/>
      </w:rPr>
      <w:t xml:space="preserve">  </w:t>
    </w:r>
    <w:r>
      <w:rPr>
        <w:b/>
      </w:rPr>
      <w:tab/>
    </w:r>
  </w:p>
  <w:p w:rsidR="00996A8F" w:rsidRDefault="00996A8F" w:rsidP="003C722F">
    <w:pPr>
      <w:pStyle w:val="Header"/>
    </w:pPr>
    <w:r>
      <w:t>CD/WG1</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674E84" w:rsidRDefault="00996A8F" w:rsidP="00674E84">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T-17518</w:t>
    </w:r>
    <w:r>
      <w:rPr>
        <w:rFonts w:ascii="Palatino" w:hAnsi="Palatino"/>
      </w:rPr>
      <w:tab/>
    </w:r>
    <w:r>
      <w:rPr>
        <w:rFonts w:ascii="Palatino" w:hAnsi="Palatino"/>
      </w:rPr>
      <w:tab/>
      <w:t xml:space="preserve">      </w:t>
    </w:r>
    <w:r>
      <w:rPr>
        <w:b/>
      </w:rPr>
      <w:tab/>
    </w:r>
  </w:p>
  <w:p w:rsidR="00996A8F" w:rsidRDefault="00996A8F" w:rsidP="003B1DBD">
    <w:pPr>
      <w:pStyle w:val="Header"/>
      <w:tabs>
        <w:tab w:val="clear" w:pos="8640"/>
        <w:tab w:val="right" w:pos="9360"/>
      </w:tabs>
    </w:pPr>
    <w:r>
      <w:t>CD/WG1</w:t>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166DE1" w:rsidRDefault="00996A8F" w:rsidP="00166D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8F" w:rsidRPr="00EA49DC" w:rsidRDefault="00996A8F" w:rsidP="003C58E4">
    <w:pPr>
      <w:pStyle w:val="Header"/>
      <w:rPr>
        <w:sz w:val="22"/>
        <w:szCs w:val="22"/>
      </w:rPr>
    </w:pPr>
    <w:r w:rsidRPr="00EA49DC">
      <w:rPr>
        <w:sz w:val="22"/>
        <w:szCs w:val="22"/>
      </w:rPr>
      <w:t>Resolution T-</w:t>
    </w:r>
    <w:r>
      <w:rPr>
        <w:sz w:val="22"/>
        <w:szCs w:val="22"/>
      </w:rPr>
      <w:t>17514</w:t>
    </w:r>
    <w:r w:rsidRPr="00EA49DC">
      <w:rPr>
        <w:sz w:val="22"/>
        <w:szCs w:val="22"/>
      </w:rPr>
      <w:tab/>
    </w:r>
    <w:r w:rsidRPr="00EA49DC">
      <w:rPr>
        <w:sz w:val="22"/>
        <w:szCs w:val="22"/>
      </w:rPr>
      <w:tab/>
    </w:r>
  </w:p>
  <w:p w:rsidR="00996A8F" w:rsidRDefault="00996A8F" w:rsidP="003C58E4">
    <w:pPr>
      <w:pStyle w:val="Header"/>
    </w:pPr>
    <w:r>
      <w:rPr>
        <w:sz w:val="22"/>
        <w:szCs w:val="22"/>
      </w:rPr>
      <w:t>CD/WG1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C7" w:rsidRPr="00EA49DC" w:rsidRDefault="00774DC7" w:rsidP="003C58E4">
    <w:pPr>
      <w:pStyle w:val="Header"/>
      <w:rPr>
        <w:sz w:val="22"/>
        <w:szCs w:val="22"/>
      </w:rPr>
    </w:pPr>
    <w:r w:rsidRPr="00EA49DC">
      <w:rPr>
        <w:sz w:val="22"/>
        <w:szCs w:val="22"/>
      </w:rPr>
      <w:t>Resolution T-</w:t>
    </w:r>
    <w:r>
      <w:rPr>
        <w:sz w:val="22"/>
        <w:szCs w:val="22"/>
      </w:rPr>
      <w:t>17514</w:t>
    </w:r>
    <w:r w:rsidRPr="00EA49DC">
      <w:rPr>
        <w:sz w:val="22"/>
        <w:szCs w:val="22"/>
      </w:rPr>
      <w:tab/>
    </w:r>
    <w:r w:rsidRPr="00EA49DC">
      <w:rPr>
        <w:sz w:val="22"/>
        <w:szCs w:val="22"/>
      </w:rPr>
      <w:tab/>
    </w:r>
  </w:p>
  <w:p w:rsidR="00774DC7" w:rsidRDefault="00774DC7" w:rsidP="003C58E4">
    <w:pPr>
      <w:pStyle w:val="Header"/>
    </w:pPr>
    <w:r>
      <w:rPr>
        <w:sz w:val="22"/>
        <w:szCs w:val="22"/>
      </w:rPr>
      <w:t>CD/WG1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0B"/>
    <w:multiLevelType w:val="singleLevel"/>
    <w:tmpl w:val="0000000B"/>
    <w:name w:val="WW8Num12"/>
    <w:lvl w:ilvl="0">
      <w:start w:val="1"/>
      <w:numFmt w:val="bullet"/>
      <w:lvlText w:val=""/>
      <w:lvlJc w:val="left"/>
      <w:pPr>
        <w:tabs>
          <w:tab w:val="num" w:pos="180"/>
        </w:tabs>
        <w:ind w:left="1260" w:hanging="360"/>
      </w:pPr>
      <w:rPr>
        <w:rFonts w:ascii="Wingdings" w:hAnsi="Wingdings" w:cs="Wingdings" w:hint="default"/>
        <w:color w:val="auto"/>
        <w:sz w:val="24"/>
        <w:szCs w:val="24"/>
      </w:rPr>
    </w:lvl>
  </w:abstractNum>
  <w:abstractNum w:abstractNumId="2">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3">
    <w:nsid w:val="17A000B2"/>
    <w:multiLevelType w:val="hybridMultilevel"/>
    <w:tmpl w:val="07246672"/>
    <w:lvl w:ilvl="0" w:tplc="7822249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E473A"/>
    <w:multiLevelType w:val="hybridMultilevel"/>
    <w:tmpl w:val="644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B23E9"/>
    <w:multiLevelType w:val="hybridMultilevel"/>
    <w:tmpl w:val="2028F722"/>
    <w:lvl w:ilvl="0" w:tplc="73E8EF3C">
      <w:start w:val="1"/>
      <w:numFmt w:val="upperLetter"/>
      <w:lvlText w:val="%1."/>
      <w:lvlJc w:val="left"/>
      <w:pPr>
        <w:ind w:left="1530" w:hanging="540"/>
      </w:pPr>
      <w:rPr>
        <w:rFonts w:ascii="Palatino Linotype" w:eastAsia="Times New Roman" w:hAnsi="Palatino Linotype" w:cs="Times New Roman"/>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E1B43B7"/>
    <w:multiLevelType w:val="hybridMultilevel"/>
    <w:tmpl w:val="20E2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4"/>
  </w:num>
  <w:num w:numId="5">
    <w:abstractNumId w:val="3"/>
  </w:num>
  <w:num w:numId="6">
    <w:abstractNumId w:val="0"/>
  </w:num>
  <w:num w:numId="7">
    <w:abstractNumId w:val="6"/>
  </w:num>
  <w:num w:numId="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0C56"/>
    <w:rsid w:val="00002676"/>
    <w:rsid w:val="00003997"/>
    <w:rsid w:val="00003B52"/>
    <w:rsid w:val="0000410B"/>
    <w:rsid w:val="00005A55"/>
    <w:rsid w:val="00006AE0"/>
    <w:rsid w:val="0001106F"/>
    <w:rsid w:val="00013029"/>
    <w:rsid w:val="00013DE0"/>
    <w:rsid w:val="00014683"/>
    <w:rsid w:val="000148A8"/>
    <w:rsid w:val="000151E4"/>
    <w:rsid w:val="000156EC"/>
    <w:rsid w:val="00015AD3"/>
    <w:rsid w:val="0001673D"/>
    <w:rsid w:val="0001742D"/>
    <w:rsid w:val="0001798F"/>
    <w:rsid w:val="00021927"/>
    <w:rsid w:val="00021C9C"/>
    <w:rsid w:val="00021D1D"/>
    <w:rsid w:val="00023A7C"/>
    <w:rsid w:val="0002438A"/>
    <w:rsid w:val="00024AFF"/>
    <w:rsid w:val="000259AC"/>
    <w:rsid w:val="0002754E"/>
    <w:rsid w:val="000279D2"/>
    <w:rsid w:val="00027D94"/>
    <w:rsid w:val="0003197C"/>
    <w:rsid w:val="00032552"/>
    <w:rsid w:val="000325A8"/>
    <w:rsid w:val="00033467"/>
    <w:rsid w:val="000369E7"/>
    <w:rsid w:val="00037416"/>
    <w:rsid w:val="00037B71"/>
    <w:rsid w:val="00037DEE"/>
    <w:rsid w:val="000405FD"/>
    <w:rsid w:val="00040B9E"/>
    <w:rsid w:val="0004177E"/>
    <w:rsid w:val="00042335"/>
    <w:rsid w:val="000438D0"/>
    <w:rsid w:val="00045062"/>
    <w:rsid w:val="000454E8"/>
    <w:rsid w:val="00045654"/>
    <w:rsid w:val="000462B4"/>
    <w:rsid w:val="000468A4"/>
    <w:rsid w:val="00052E29"/>
    <w:rsid w:val="0005508C"/>
    <w:rsid w:val="000559CD"/>
    <w:rsid w:val="00055A75"/>
    <w:rsid w:val="00055D6C"/>
    <w:rsid w:val="000571D5"/>
    <w:rsid w:val="0006023A"/>
    <w:rsid w:val="00061C68"/>
    <w:rsid w:val="0006338B"/>
    <w:rsid w:val="00063659"/>
    <w:rsid w:val="000652D7"/>
    <w:rsid w:val="000652EA"/>
    <w:rsid w:val="00065CA3"/>
    <w:rsid w:val="00066B61"/>
    <w:rsid w:val="00067039"/>
    <w:rsid w:val="00072772"/>
    <w:rsid w:val="000733B2"/>
    <w:rsid w:val="0007379A"/>
    <w:rsid w:val="00073EC5"/>
    <w:rsid w:val="00074DC7"/>
    <w:rsid w:val="000751EA"/>
    <w:rsid w:val="00075B1E"/>
    <w:rsid w:val="00075FA1"/>
    <w:rsid w:val="00076162"/>
    <w:rsid w:val="00076B51"/>
    <w:rsid w:val="000772B5"/>
    <w:rsid w:val="00077CEE"/>
    <w:rsid w:val="000800CC"/>
    <w:rsid w:val="00080294"/>
    <w:rsid w:val="00080840"/>
    <w:rsid w:val="00082101"/>
    <w:rsid w:val="000827F0"/>
    <w:rsid w:val="00082FA3"/>
    <w:rsid w:val="00084C73"/>
    <w:rsid w:val="00085712"/>
    <w:rsid w:val="000859EC"/>
    <w:rsid w:val="00085A85"/>
    <w:rsid w:val="00086C09"/>
    <w:rsid w:val="00087431"/>
    <w:rsid w:val="00087AFA"/>
    <w:rsid w:val="00090BDA"/>
    <w:rsid w:val="00092868"/>
    <w:rsid w:val="00092F18"/>
    <w:rsid w:val="00095112"/>
    <w:rsid w:val="00095A4F"/>
    <w:rsid w:val="000960F4"/>
    <w:rsid w:val="0009641A"/>
    <w:rsid w:val="00096DEF"/>
    <w:rsid w:val="0009716E"/>
    <w:rsid w:val="000A059A"/>
    <w:rsid w:val="000A08C2"/>
    <w:rsid w:val="000A1D9F"/>
    <w:rsid w:val="000A250F"/>
    <w:rsid w:val="000A2836"/>
    <w:rsid w:val="000A5A0E"/>
    <w:rsid w:val="000A62D7"/>
    <w:rsid w:val="000A67E7"/>
    <w:rsid w:val="000A7114"/>
    <w:rsid w:val="000A77DF"/>
    <w:rsid w:val="000B02D8"/>
    <w:rsid w:val="000B0987"/>
    <w:rsid w:val="000B1441"/>
    <w:rsid w:val="000B1EDE"/>
    <w:rsid w:val="000B2233"/>
    <w:rsid w:val="000B41DB"/>
    <w:rsid w:val="000B4D28"/>
    <w:rsid w:val="000B57FA"/>
    <w:rsid w:val="000B5A0D"/>
    <w:rsid w:val="000B68A6"/>
    <w:rsid w:val="000B6DD6"/>
    <w:rsid w:val="000B7070"/>
    <w:rsid w:val="000C075C"/>
    <w:rsid w:val="000C0B92"/>
    <w:rsid w:val="000C0BC3"/>
    <w:rsid w:val="000C0FF3"/>
    <w:rsid w:val="000C2EB3"/>
    <w:rsid w:val="000C2FAB"/>
    <w:rsid w:val="000C4346"/>
    <w:rsid w:val="000C4AD3"/>
    <w:rsid w:val="000C6055"/>
    <w:rsid w:val="000C6F95"/>
    <w:rsid w:val="000C70EF"/>
    <w:rsid w:val="000C7C37"/>
    <w:rsid w:val="000D1240"/>
    <w:rsid w:val="000D1C66"/>
    <w:rsid w:val="000D20AF"/>
    <w:rsid w:val="000D2598"/>
    <w:rsid w:val="000D3334"/>
    <w:rsid w:val="000D4060"/>
    <w:rsid w:val="000D4A96"/>
    <w:rsid w:val="000D55C3"/>
    <w:rsid w:val="000D650C"/>
    <w:rsid w:val="000D66D1"/>
    <w:rsid w:val="000D7BED"/>
    <w:rsid w:val="000E02B7"/>
    <w:rsid w:val="000E0402"/>
    <w:rsid w:val="000E0614"/>
    <w:rsid w:val="000E159D"/>
    <w:rsid w:val="000E2FED"/>
    <w:rsid w:val="000E3EDA"/>
    <w:rsid w:val="000E4413"/>
    <w:rsid w:val="000E4644"/>
    <w:rsid w:val="000E4F0D"/>
    <w:rsid w:val="000E6BB0"/>
    <w:rsid w:val="000E75B5"/>
    <w:rsid w:val="000F0161"/>
    <w:rsid w:val="000F11B6"/>
    <w:rsid w:val="000F32F8"/>
    <w:rsid w:val="000F4098"/>
    <w:rsid w:val="000F5608"/>
    <w:rsid w:val="0010055A"/>
    <w:rsid w:val="00100743"/>
    <w:rsid w:val="00100C10"/>
    <w:rsid w:val="00100C5F"/>
    <w:rsid w:val="001010D8"/>
    <w:rsid w:val="00102405"/>
    <w:rsid w:val="00103570"/>
    <w:rsid w:val="0010358E"/>
    <w:rsid w:val="00103642"/>
    <w:rsid w:val="00104186"/>
    <w:rsid w:val="00110237"/>
    <w:rsid w:val="00110655"/>
    <w:rsid w:val="00110B18"/>
    <w:rsid w:val="00110B51"/>
    <w:rsid w:val="0011313E"/>
    <w:rsid w:val="0011387A"/>
    <w:rsid w:val="00113B18"/>
    <w:rsid w:val="00113BD5"/>
    <w:rsid w:val="00116730"/>
    <w:rsid w:val="00116F74"/>
    <w:rsid w:val="00117387"/>
    <w:rsid w:val="00117B3E"/>
    <w:rsid w:val="00117ED0"/>
    <w:rsid w:val="001201C6"/>
    <w:rsid w:val="00121866"/>
    <w:rsid w:val="001222D7"/>
    <w:rsid w:val="001229E3"/>
    <w:rsid w:val="00124A7C"/>
    <w:rsid w:val="001269A2"/>
    <w:rsid w:val="001269D6"/>
    <w:rsid w:val="001273CE"/>
    <w:rsid w:val="001276D7"/>
    <w:rsid w:val="001305B0"/>
    <w:rsid w:val="00131F8D"/>
    <w:rsid w:val="00132E5B"/>
    <w:rsid w:val="00134A94"/>
    <w:rsid w:val="00135FA2"/>
    <w:rsid w:val="00140B72"/>
    <w:rsid w:val="00141AF7"/>
    <w:rsid w:val="00142CAC"/>
    <w:rsid w:val="00142F96"/>
    <w:rsid w:val="00143642"/>
    <w:rsid w:val="00143BFA"/>
    <w:rsid w:val="00145AEE"/>
    <w:rsid w:val="00146F8B"/>
    <w:rsid w:val="00151E5B"/>
    <w:rsid w:val="00153665"/>
    <w:rsid w:val="001566BE"/>
    <w:rsid w:val="0015670C"/>
    <w:rsid w:val="0015762F"/>
    <w:rsid w:val="001618B7"/>
    <w:rsid w:val="00162B96"/>
    <w:rsid w:val="00163250"/>
    <w:rsid w:val="00163600"/>
    <w:rsid w:val="001640E9"/>
    <w:rsid w:val="00164FA3"/>
    <w:rsid w:val="00165068"/>
    <w:rsid w:val="001662FB"/>
    <w:rsid w:val="001663BD"/>
    <w:rsid w:val="00166DE1"/>
    <w:rsid w:val="00167A40"/>
    <w:rsid w:val="00170847"/>
    <w:rsid w:val="001721CD"/>
    <w:rsid w:val="00174A2A"/>
    <w:rsid w:val="001766F3"/>
    <w:rsid w:val="00180F12"/>
    <w:rsid w:val="00181A72"/>
    <w:rsid w:val="00182DB2"/>
    <w:rsid w:val="00182EBA"/>
    <w:rsid w:val="00182F8F"/>
    <w:rsid w:val="00184602"/>
    <w:rsid w:val="00184806"/>
    <w:rsid w:val="00184DCB"/>
    <w:rsid w:val="00185A5C"/>
    <w:rsid w:val="00190B50"/>
    <w:rsid w:val="00190C5E"/>
    <w:rsid w:val="001923DE"/>
    <w:rsid w:val="00192D5B"/>
    <w:rsid w:val="00193202"/>
    <w:rsid w:val="00193DF5"/>
    <w:rsid w:val="0019477C"/>
    <w:rsid w:val="001A1B03"/>
    <w:rsid w:val="001A1E18"/>
    <w:rsid w:val="001A288A"/>
    <w:rsid w:val="001A3951"/>
    <w:rsid w:val="001A3C1B"/>
    <w:rsid w:val="001A3DF0"/>
    <w:rsid w:val="001A57F1"/>
    <w:rsid w:val="001A62D9"/>
    <w:rsid w:val="001A6C99"/>
    <w:rsid w:val="001A6DE6"/>
    <w:rsid w:val="001A7629"/>
    <w:rsid w:val="001A78FD"/>
    <w:rsid w:val="001A7EFF"/>
    <w:rsid w:val="001B0554"/>
    <w:rsid w:val="001B11E8"/>
    <w:rsid w:val="001B121E"/>
    <w:rsid w:val="001B2F83"/>
    <w:rsid w:val="001B3E27"/>
    <w:rsid w:val="001B4BEE"/>
    <w:rsid w:val="001B60C6"/>
    <w:rsid w:val="001B6793"/>
    <w:rsid w:val="001B782D"/>
    <w:rsid w:val="001C2591"/>
    <w:rsid w:val="001C306E"/>
    <w:rsid w:val="001C44DB"/>
    <w:rsid w:val="001C7428"/>
    <w:rsid w:val="001D0707"/>
    <w:rsid w:val="001D0B71"/>
    <w:rsid w:val="001D16C7"/>
    <w:rsid w:val="001D1A3D"/>
    <w:rsid w:val="001D1AFD"/>
    <w:rsid w:val="001D2D8E"/>
    <w:rsid w:val="001D44F7"/>
    <w:rsid w:val="001D4A9D"/>
    <w:rsid w:val="001D4D97"/>
    <w:rsid w:val="001D5232"/>
    <w:rsid w:val="001D68DB"/>
    <w:rsid w:val="001D7C29"/>
    <w:rsid w:val="001E03B0"/>
    <w:rsid w:val="001E48DE"/>
    <w:rsid w:val="001E5083"/>
    <w:rsid w:val="001E6F18"/>
    <w:rsid w:val="001E703C"/>
    <w:rsid w:val="001E7485"/>
    <w:rsid w:val="001F1A0F"/>
    <w:rsid w:val="001F48E8"/>
    <w:rsid w:val="00200640"/>
    <w:rsid w:val="002012B2"/>
    <w:rsid w:val="00201DE8"/>
    <w:rsid w:val="00202B68"/>
    <w:rsid w:val="00202C9D"/>
    <w:rsid w:val="00203986"/>
    <w:rsid w:val="00204FE1"/>
    <w:rsid w:val="0020535F"/>
    <w:rsid w:val="00206249"/>
    <w:rsid w:val="00207690"/>
    <w:rsid w:val="00207E5D"/>
    <w:rsid w:val="002103DF"/>
    <w:rsid w:val="00211DF2"/>
    <w:rsid w:val="0021297A"/>
    <w:rsid w:val="00214D26"/>
    <w:rsid w:val="00214D4D"/>
    <w:rsid w:val="00215665"/>
    <w:rsid w:val="002156E5"/>
    <w:rsid w:val="00215FA9"/>
    <w:rsid w:val="00216FE5"/>
    <w:rsid w:val="00217FDE"/>
    <w:rsid w:val="002207C0"/>
    <w:rsid w:val="002215CC"/>
    <w:rsid w:val="00221D22"/>
    <w:rsid w:val="0022674E"/>
    <w:rsid w:val="00226EED"/>
    <w:rsid w:val="00231765"/>
    <w:rsid w:val="00232130"/>
    <w:rsid w:val="00232764"/>
    <w:rsid w:val="00233272"/>
    <w:rsid w:val="00234926"/>
    <w:rsid w:val="00235E87"/>
    <w:rsid w:val="00237715"/>
    <w:rsid w:val="00237742"/>
    <w:rsid w:val="00242C36"/>
    <w:rsid w:val="002441CD"/>
    <w:rsid w:val="00244364"/>
    <w:rsid w:val="00244581"/>
    <w:rsid w:val="00244AAB"/>
    <w:rsid w:val="00244B94"/>
    <w:rsid w:val="00247D33"/>
    <w:rsid w:val="002506CF"/>
    <w:rsid w:val="002514BD"/>
    <w:rsid w:val="00251BF9"/>
    <w:rsid w:val="00251C41"/>
    <w:rsid w:val="002526A8"/>
    <w:rsid w:val="00253F1A"/>
    <w:rsid w:val="00255A75"/>
    <w:rsid w:val="00256084"/>
    <w:rsid w:val="00261D41"/>
    <w:rsid w:val="0026237F"/>
    <w:rsid w:val="00264221"/>
    <w:rsid w:val="00264E2F"/>
    <w:rsid w:val="0026641C"/>
    <w:rsid w:val="00266D56"/>
    <w:rsid w:val="0026725A"/>
    <w:rsid w:val="002674F7"/>
    <w:rsid w:val="002677E7"/>
    <w:rsid w:val="00270458"/>
    <w:rsid w:val="00270868"/>
    <w:rsid w:val="00270E32"/>
    <w:rsid w:val="002714F4"/>
    <w:rsid w:val="00272CF9"/>
    <w:rsid w:val="00273534"/>
    <w:rsid w:val="00274665"/>
    <w:rsid w:val="0027645A"/>
    <w:rsid w:val="00276E56"/>
    <w:rsid w:val="0028078D"/>
    <w:rsid w:val="002810E1"/>
    <w:rsid w:val="00282263"/>
    <w:rsid w:val="00282D23"/>
    <w:rsid w:val="00283CB9"/>
    <w:rsid w:val="00283F7A"/>
    <w:rsid w:val="00285900"/>
    <w:rsid w:val="00286995"/>
    <w:rsid w:val="00286EA2"/>
    <w:rsid w:val="002870AB"/>
    <w:rsid w:val="002903C1"/>
    <w:rsid w:val="00290A33"/>
    <w:rsid w:val="00291E92"/>
    <w:rsid w:val="002931FB"/>
    <w:rsid w:val="002934FF"/>
    <w:rsid w:val="00294495"/>
    <w:rsid w:val="002954FD"/>
    <w:rsid w:val="002965F6"/>
    <w:rsid w:val="002966D2"/>
    <w:rsid w:val="00296AA4"/>
    <w:rsid w:val="00296B11"/>
    <w:rsid w:val="00297046"/>
    <w:rsid w:val="00297EE0"/>
    <w:rsid w:val="002A2154"/>
    <w:rsid w:val="002A223D"/>
    <w:rsid w:val="002A3E4F"/>
    <w:rsid w:val="002A59E5"/>
    <w:rsid w:val="002A6A19"/>
    <w:rsid w:val="002A77D8"/>
    <w:rsid w:val="002A7D53"/>
    <w:rsid w:val="002B0A85"/>
    <w:rsid w:val="002B0E96"/>
    <w:rsid w:val="002B141F"/>
    <w:rsid w:val="002B1B55"/>
    <w:rsid w:val="002B1EED"/>
    <w:rsid w:val="002B4810"/>
    <w:rsid w:val="002B4978"/>
    <w:rsid w:val="002B6AD7"/>
    <w:rsid w:val="002B6CE4"/>
    <w:rsid w:val="002B7185"/>
    <w:rsid w:val="002B7C5D"/>
    <w:rsid w:val="002C051F"/>
    <w:rsid w:val="002C09C0"/>
    <w:rsid w:val="002C1CB2"/>
    <w:rsid w:val="002C1E17"/>
    <w:rsid w:val="002C2D22"/>
    <w:rsid w:val="002C30BA"/>
    <w:rsid w:val="002C3563"/>
    <w:rsid w:val="002C3EE9"/>
    <w:rsid w:val="002C4017"/>
    <w:rsid w:val="002C553B"/>
    <w:rsid w:val="002C5C4D"/>
    <w:rsid w:val="002C6527"/>
    <w:rsid w:val="002D021D"/>
    <w:rsid w:val="002D10C7"/>
    <w:rsid w:val="002D1F69"/>
    <w:rsid w:val="002D22AE"/>
    <w:rsid w:val="002D3441"/>
    <w:rsid w:val="002D5B98"/>
    <w:rsid w:val="002D6FB4"/>
    <w:rsid w:val="002D7D32"/>
    <w:rsid w:val="002E1C8A"/>
    <w:rsid w:val="002E335F"/>
    <w:rsid w:val="002E3409"/>
    <w:rsid w:val="002E4377"/>
    <w:rsid w:val="002E600A"/>
    <w:rsid w:val="002E63DD"/>
    <w:rsid w:val="002E669B"/>
    <w:rsid w:val="002E76AF"/>
    <w:rsid w:val="002F0E02"/>
    <w:rsid w:val="002F0E17"/>
    <w:rsid w:val="002F0E71"/>
    <w:rsid w:val="002F28FD"/>
    <w:rsid w:val="002F3667"/>
    <w:rsid w:val="002F3985"/>
    <w:rsid w:val="002F4305"/>
    <w:rsid w:val="002F5F89"/>
    <w:rsid w:val="002F6439"/>
    <w:rsid w:val="002F6CEC"/>
    <w:rsid w:val="002F7682"/>
    <w:rsid w:val="0030302B"/>
    <w:rsid w:val="003044BB"/>
    <w:rsid w:val="00305CEA"/>
    <w:rsid w:val="00307160"/>
    <w:rsid w:val="0030733F"/>
    <w:rsid w:val="00307C38"/>
    <w:rsid w:val="0031182A"/>
    <w:rsid w:val="00311D69"/>
    <w:rsid w:val="003135A8"/>
    <w:rsid w:val="003141C7"/>
    <w:rsid w:val="00314A0A"/>
    <w:rsid w:val="00314C76"/>
    <w:rsid w:val="00316D43"/>
    <w:rsid w:val="0032025F"/>
    <w:rsid w:val="00320F01"/>
    <w:rsid w:val="003216F9"/>
    <w:rsid w:val="00321BEB"/>
    <w:rsid w:val="00323B11"/>
    <w:rsid w:val="00324BAE"/>
    <w:rsid w:val="00325160"/>
    <w:rsid w:val="00325D76"/>
    <w:rsid w:val="00325EE1"/>
    <w:rsid w:val="00331F7F"/>
    <w:rsid w:val="00332E3F"/>
    <w:rsid w:val="00333AC3"/>
    <w:rsid w:val="00334473"/>
    <w:rsid w:val="003351B8"/>
    <w:rsid w:val="00335508"/>
    <w:rsid w:val="00337167"/>
    <w:rsid w:val="0033784B"/>
    <w:rsid w:val="00337AAE"/>
    <w:rsid w:val="00340BB0"/>
    <w:rsid w:val="00341766"/>
    <w:rsid w:val="003425B6"/>
    <w:rsid w:val="00343BA7"/>
    <w:rsid w:val="00350504"/>
    <w:rsid w:val="0035176E"/>
    <w:rsid w:val="00351BD8"/>
    <w:rsid w:val="00353776"/>
    <w:rsid w:val="003538F7"/>
    <w:rsid w:val="00356D69"/>
    <w:rsid w:val="003572F4"/>
    <w:rsid w:val="003617FD"/>
    <w:rsid w:val="0036183A"/>
    <w:rsid w:val="003622CA"/>
    <w:rsid w:val="0036307D"/>
    <w:rsid w:val="0036365C"/>
    <w:rsid w:val="00364CDC"/>
    <w:rsid w:val="00365860"/>
    <w:rsid w:val="00365E36"/>
    <w:rsid w:val="003668C1"/>
    <w:rsid w:val="00366CB8"/>
    <w:rsid w:val="00370A8B"/>
    <w:rsid w:val="00370BD8"/>
    <w:rsid w:val="003715B0"/>
    <w:rsid w:val="00371EAF"/>
    <w:rsid w:val="00371F99"/>
    <w:rsid w:val="00372019"/>
    <w:rsid w:val="003727E4"/>
    <w:rsid w:val="0037474D"/>
    <w:rsid w:val="00376A93"/>
    <w:rsid w:val="00376EA2"/>
    <w:rsid w:val="00377A83"/>
    <w:rsid w:val="00377CE8"/>
    <w:rsid w:val="0038027C"/>
    <w:rsid w:val="0038070E"/>
    <w:rsid w:val="00380821"/>
    <w:rsid w:val="00381DF2"/>
    <w:rsid w:val="00381F60"/>
    <w:rsid w:val="0038236E"/>
    <w:rsid w:val="003841F1"/>
    <w:rsid w:val="00384874"/>
    <w:rsid w:val="00384E20"/>
    <w:rsid w:val="0038504D"/>
    <w:rsid w:val="00385735"/>
    <w:rsid w:val="0038649F"/>
    <w:rsid w:val="00387BEB"/>
    <w:rsid w:val="0039083E"/>
    <w:rsid w:val="00392B8A"/>
    <w:rsid w:val="00392F9A"/>
    <w:rsid w:val="00393248"/>
    <w:rsid w:val="00393564"/>
    <w:rsid w:val="00394953"/>
    <w:rsid w:val="00394ACC"/>
    <w:rsid w:val="00394DE3"/>
    <w:rsid w:val="0039669C"/>
    <w:rsid w:val="003A0774"/>
    <w:rsid w:val="003A091C"/>
    <w:rsid w:val="003A0BC6"/>
    <w:rsid w:val="003A1AF8"/>
    <w:rsid w:val="003A30B6"/>
    <w:rsid w:val="003A3CF3"/>
    <w:rsid w:val="003A4A78"/>
    <w:rsid w:val="003A5008"/>
    <w:rsid w:val="003A55F7"/>
    <w:rsid w:val="003A5CB0"/>
    <w:rsid w:val="003A5DE7"/>
    <w:rsid w:val="003A6902"/>
    <w:rsid w:val="003A6C2D"/>
    <w:rsid w:val="003A6D87"/>
    <w:rsid w:val="003B19EF"/>
    <w:rsid w:val="003B1C79"/>
    <w:rsid w:val="003B1DBD"/>
    <w:rsid w:val="003B24B8"/>
    <w:rsid w:val="003B29D5"/>
    <w:rsid w:val="003B2A63"/>
    <w:rsid w:val="003B2B57"/>
    <w:rsid w:val="003B33C6"/>
    <w:rsid w:val="003B4995"/>
    <w:rsid w:val="003B5C1B"/>
    <w:rsid w:val="003B642F"/>
    <w:rsid w:val="003B69FE"/>
    <w:rsid w:val="003C4421"/>
    <w:rsid w:val="003C51AA"/>
    <w:rsid w:val="003C58E4"/>
    <w:rsid w:val="003C5B61"/>
    <w:rsid w:val="003C6DE2"/>
    <w:rsid w:val="003C6FB3"/>
    <w:rsid w:val="003C7207"/>
    <w:rsid w:val="003C722F"/>
    <w:rsid w:val="003D08E5"/>
    <w:rsid w:val="003D16A6"/>
    <w:rsid w:val="003D17C3"/>
    <w:rsid w:val="003D2625"/>
    <w:rsid w:val="003D41D5"/>
    <w:rsid w:val="003D519C"/>
    <w:rsid w:val="003D5AFD"/>
    <w:rsid w:val="003D5BD9"/>
    <w:rsid w:val="003D6CA2"/>
    <w:rsid w:val="003D7151"/>
    <w:rsid w:val="003D7FB4"/>
    <w:rsid w:val="003E0292"/>
    <w:rsid w:val="003E0382"/>
    <w:rsid w:val="003E07AB"/>
    <w:rsid w:val="003E10A7"/>
    <w:rsid w:val="003E17DC"/>
    <w:rsid w:val="003E1831"/>
    <w:rsid w:val="003E3266"/>
    <w:rsid w:val="003E3F4C"/>
    <w:rsid w:val="003E63D3"/>
    <w:rsid w:val="003E7A0E"/>
    <w:rsid w:val="003F0D2E"/>
    <w:rsid w:val="003F32B9"/>
    <w:rsid w:val="003F46B2"/>
    <w:rsid w:val="003F5D2C"/>
    <w:rsid w:val="003F6369"/>
    <w:rsid w:val="003F6483"/>
    <w:rsid w:val="003F726F"/>
    <w:rsid w:val="0040104E"/>
    <w:rsid w:val="00401874"/>
    <w:rsid w:val="00401BE8"/>
    <w:rsid w:val="00401CF4"/>
    <w:rsid w:val="00403EA9"/>
    <w:rsid w:val="004049C6"/>
    <w:rsid w:val="0040641C"/>
    <w:rsid w:val="0040671E"/>
    <w:rsid w:val="0040798B"/>
    <w:rsid w:val="004108EF"/>
    <w:rsid w:val="00410CD8"/>
    <w:rsid w:val="00411470"/>
    <w:rsid w:val="0041213E"/>
    <w:rsid w:val="00412438"/>
    <w:rsid w:val="00412F0C"/>
    <w:rsid w:val="004137CE"/>
    <w:rsid w:val="00413F83"/>
    <w:rsid w:val="00414329"/>
    <w:rsid w:val="00416BCE"/>
    <w:rsid w:val="00416DE6"/>
    <w:rsid w:val="00417D34"/>
    <w:rsid w:val="004208A4"/>
    <w:rsid w:val="004223FA"/>
    <w:rsid w:val="00423013"/>
    <w:rsid w:val="00425092"/>
    <w:rsid w:val="0042582E"/>
    <w:rsid w:val="00430F6B"/>
    <w:rsid w:val="004313BE"/>
    <w:rsid w:val="00431C1C"/>
    <w:rsid w:val="00431E97"/>
    <w:rsid w:val="004322AA"/>
    <w:rsid w:val="00432918"/>
    <w:rsid w:val="00432A7F"/>
    <w:rsid w:val="00432E27"/>
    <w:rsid w:val="00433A5D"/>
    <w:rsid w:val="00434F84"/>
    <w:rsid w:val="00437A54"/>
    <w:rsid w:val="004405C8"/>
    <w:rsid w:val="00441080"/>
    <w:rsid w:val="00441828"/>
    <w:rsid w:val="004447B5"/>
    <w:rsid w:val="00444C84"/>
    <w:rsid w:val="004460F5"/>
    <w:rsid w:val="00447354"/>
    <w:rsid w:val="0044745E"/>
    <w:rsid w:val="00447757"/>
    <w:rsid w:val="00447D9E"/>
    <w:rsid w:val="004506BC"/>
    <w:rsid w:val="004525D5"/>
    <w:rsid w:val="004556BF"/>
    <w:rsid w:val="004565FD"/>
    <w:rsid w:val="004568B8"/>
    <w:rsid w:val="00456C0B"/>
    <w:rsid w:val="00460A96"/>
    <w:rsid w:val="004622A4"/>
    <w:rsid w:val="00462307"/>
    <w:rsid w:val="004644A1"/>
    <w:rsid w:val="00464AA3"/>
    <w:rsid w:val="00465F6F"/>
    <w:rsid w:val="004661C8"/>
    <w:rsid w:val="00466C47"/>
    <w:rsid w:val="00466CC1"/>
    <w:rsid w:val="00470B99"/>
    <w:rsid w:val="00471C19"/>
    <w:rsid w:val="0047228D"/>
    <w:rsid w:val="004733A3"/>
    <w:rsid w:val="00473483"/>
    <w:rsid w:val="00475465"/>
    <w:rsid w:val="004756A6"/>
    <w:rsid w:val="004804B2"/>
    <w:rsid w:val="004807E9"/>
    <w:rsid w:val="00480DAB"/>
    <w:rsid w:val="00481BE0"/>
    <w:rsid w:val="004850E3"/>
    <w:rsid w:val="00486CA5"/>
    <w:rsid w:val="0048741E"/>
    <w:rsid w:val="00487964"/>
    <w:rsid w:val="00487C1A"/>
    <w:rsid w:val="0049085A"/>
    <w:rsid w:val="00491861"/>
    <w:rsid w:val="00491DF0"/>
    <w:rsid w:val="00493F9A"/>
    <w:rsid w:val="004944E5"/>
    <w:rsid w:val="00495139"/>
    <w:rsid w:val="0049572F"/>
    <w:rsid w:val="00495DE8"/>
    <w:rsid w:val="0049613F"/>
    <w:rsid w:val="004967A5"/>
    <w:rsid w:val="00496A96"/>
    <w:rsid w:val="00497803"/>
    <w:rsid w:val="004A3ED6"/>
    <w:rsid w:val="004A47D3"/>
    <w:rsid w:val="004A4A27"/>
    <w:rsid w:val="004A592E"/>
    <w:rsid w:val="004A61AF"/>
    <w:rsid w:val="004A665F"/>
    <w:rsid w:val="004A71EF"/>
    <w:rsid w:val="004B0566"/>
    <w:rsid w:val="004B0D49"/>
    <w:rsid w:val="004B2C64"/>
    <w:rsid w:val="004B301D"/>
    <w:rsid w:val="004B3623"/>
    <w:rsid w:val="004B420A"/>
    <w:rsid w:val="004B4716"/>
    <w:rsid w:val="004B540E"/>
    <w:rsid w:val="004B5DBC"/>
    <w:rsid w:val="004B5F4F"/>
    <w:rsid w:val="004B6762"/>
    <w:rsid w:val="004B73AB"/>
    <w:rsid w:val="004C137D"/>
    <w:rsid w:val="004C1E71"/>
    <w:rsid w:val="004C2098"/>
    <w:rsid w:val="004C2884"/>
    <w:rsid w:val="004C29A8"/>
    <w:rsid w:val="004C38FB"/>
    <w:rsid w:val="004C41F3"/>
    <w:rsid w:val="004C508A"/>
    <w:rsid w:val="004C55AA"/>
    <w:rsid w:val="004C5D85"/>
    <w:rsid w:val="004C6385"/>
    <w:rsid w:val="004C7C27"/>
    <w:rsid w:val="004D0355"/>
    <w:rsid w:val="004D0676"/>
    <w:rsid w:val="004D087F"/>
    <w:rsid w:val="004D0EA2"/>
    <w:rsid w:val="004D179F"/>
    <w:rsid w:val="004D1A2C"/>
    <w:rsid w:val="004D1C04"/>
    <w:rsid w:val="004D4CD4"/>
    <w:rsid w:val="004D5ACD"/>
    <w:rsid w:val="004D5E55"/>
    <w:rsid w:val="004D5FE9"/>
    <w:rsid w:val="004E017C"/>
    <w:rsid w:val="004E11A3"/>
    <w:rsid w:val="004F0B85"/>
    <w:rsid w:val="004F1B47"/>
    <w:rsid w:val="004F4471"/>
    <w:rsid w:val="004F4506"/>
    <w:rsid w:val="004F5439"/>
    <w:rsid w:val="004F5BD8"/>
    <w:rsid w:val="004F63CB"/>
    <w:rsid w:val="004F641C"/>
    <w:rsid w:val="004F7125"/>
    <w:rsid w:val="005019C0"/>
    <w:rsid w:val="00502078"/>
    <w:rsid w:val="005033C6"/>
    <w:rsid w:val="00504A6A"/>
    <w:rsid w:val="00505D99"/>
    <w:rsid w:val="005101E4"/>
    <w:rsid w:val="005105A4"/>
    <w:rsid w:val="005119D4"/>
    <w:rsid w:val="005125F9"/>
    <w:rsid w:val="00514C74"/>
    <w:rsid w:val="00514D87"/>
    <w:rsid w:val="00517D21"/>
    <w:rsid w:val="00520092"/>
    <w:rsid w:val="00520C68"/>
    <w:rsid w:val="005214D8"/>
    <w:rsid w:val="005216E0"/>
    <w:rsid w:val="00521A69"/>
    <w:rsid w:val="00522680"/>
    <w:rsid w:val="00522D2E"/>
    <w:rsid w:val="0052355A"/>
    <w:rsid w:val="00525A45"/>
    <w:rsid w:val="00526A73"/>
    <w:rsid w:val="00530150"/>
    <w:rsid w:val="00530433"/>
    <w:rsid w:val="005307D0"/>
    <w:rsid w:val="00530884"/>
    <w:rsid w:val="00532A5E"/>
    <w:rsid w:val="00532A90"/>
    <w:rsid w:val="00533D7C"/>
    <w:rsid w:val="00536317"/>
    <w:rsid w:val="00536E1B"/>
    <w:rsid w:val="00537DD0"/>
    <w:rsid w:val="0054230D"/>
    <w:rsid w:val="00542D44"/>
    <w:rsid w:val="00542E7F"/>
    <w:rsid w:val="005457A7"/>
    <w:rsid w:val="005457E1"/>
    <w:rsid w:val="005458E0"/>
    <w:rsid w:val="005460FA"/>
    <w:rsid w:val="005465B5"/>
    <w:rsid w:val="00547A19"/>
    <w:rsid w:val="005500D5"/>
    <w:rsid w:val="005508FF"/>
    <w:rsid w:val="005542E8"/>
    <w:rsid w:val="00554779"/>
    <w:rsid w:val="005547B2"/>
    <w:rsid w:val="005557DB"/>
    <w:rsid w:val="00555C5A"/>
    <w:rsid w:val="005562A9"/>
    <w:rsid w:val="0055709B"/>
    <w:rsid w:val="00557C93"/>
    <w:rsid w:val="005602C2"/>
    <w:rsid w:val="00560555"/>
    <w:rsid w:val="00562B7C"/>
    <w:rsid w:val="0056345D"/>
    <w:rsid w:val="005645FA"/>
    <w:rsid w:val="005653A8"/>
    <w:rsid w:val="0056563B"/>
    <w:rsid w:val="005661CB"/>
    <w:rsid w:val="00566A90"/>
    <w:rsid w:val="00566B63"/>
    <w:rsid w:val="0056702C"/>
    <w:rsid w:val="005708C0"/>
    <w:rsid w:val="00570A36"/>
    <w:rsid w:val="00571827"/>
    <w:rsid w:val="0057339F"/>
    <w:rsid w:val="005739F4"/>
    <w:rsid w:val="00573B60"/>
    <w:rsid w:val="00573DAA"/>
    <w:rsid w:val="00575067"/>
    <w:rsid w:val="00575509"/>
    <w:rsid w:val="00575BC4"/>
    <w:rsid w:val="00576A5A"/>
    <w:rsid w:val="0057732C"/>
    <w:rsid w:val="005774EF"/>
    <w:rsid w:val="0058004F"/>
    <w:rsid w:val="005824A4"/>
    <w:rsid w:val="00582907"/>
    <w:rsid w:val="00583768"/>
    <w:rsid w:val="00583885"/>
    <w:rsid w:val="005841B6"/>
    <w:rsid w:val="00586055"/>
    <w:rsid w:val="00586DAD"/>
    <w:rsid w:val="00586EE9"/>
    <w:rsid w:val="00590733"/>
    <w:rsid w:val="005911BA"/>
    <w:rsid w:val="00592EF8"/>
    <w:rsid w:val="00594ECB"/>
    <w:rsid w:val="005953D1"/>
    <w:rsid w:val="00596366"/>
    <w:rsid w:val="005966E8"/>
    <w:rsid w:val="00596A04"/>
    <w:rsid w:val="005A03D8"/>
    <w:rsid w:val="005A04F5"/>
    <w:rsid w:val="005A0672"/>
    <w:rsid w:val="005A11DF"/>
    <w:rsid w:val="005A253B"/>
    <w:rsid w:val="005A2607"/>
    <w:rsid w:val="005A2BB3"/>
    <w:rsid w:val="005A3265"/>
    <w:rsid w:val="005A34C8"/>
    <w:rsid w:val="005A447C"/>
    <w:rsid w:val="005A4649"/>
    <w:rsid w:val="005A480F"/>
    <w:rsid w:val="005A4A84"/>
    <w:rsid w:val="005A54C4"/>
    <w:rsid w:val="005A54F9"/>
    <w:rsid w:val="005A5ED2"/>
    <w:rsid w:val="005B149E"/>
    <w:rsid w:val="005B1DE3"/>
    <w:rsid w:val="005B203F"/>
    <w:rsid w:val="005B356A"/>
    <w:rsid w:val="005B39EA"/>
    <w:rsid w:val="005B3BCE"/>
    <w:rsid w:val="005B429F"/>
    <w:rsid w:val="005B6135"/>
    <w:rsid w:val="005B7B0E"/>
    <w:rsid w:val="005C0244"/>
    <w:rsid w:val="005C0463"/>
    <w:rsid w:val="005C14FC"/>
    <w:rsid w:val="005C21A8"/>
    <w:rsid w:val="005C2F37"/>
    <w:rsid w:val="005C3120"/>
    <w:rsid w:val="005C3C8A"/>
    <w:rsid w:val="005C49D3"/>
    <w:rsid w:val="005C6667"/>
    <w:rsid w:val="005C7FD6"/>
    <w:rsid w:val="005D1112"/>
    <w:rsid w:val="005D16A1"/>
    <w:rsid w:val="005D3AB7"/>
    <w:rsid w:val="005D3F92"/>
    <w:rsid w:val="005D47F6"/>
    <w:rsid w:val="005D5054"/>
    <w:rsid w:val="005D5790"/>
    <w:rsid w:val="005D5D73"/>
    <w:rsid w:val="005D5FBC"/>
    <w:rsid w:val="005D7362"/>
    <w:rsid w:val="005D7462"/>
    <w:rsid w:val="005E18AA"/>
    <w:rsid w:val="005E2630"/>
    <w:rsid w:val="005E28F2"/>
    <w:rsid w:val="005E3427"/>
    <w:rsid w:val="005E3BEA"/>
    <w:rsid w:val="005E47F3"/>
    <w:rsid w:val="005E50EB"/>
    <w:rsid w:val="005E5539"/>
    <w:rsid w:val="005E669A"/>
    <w:rsid w:val="005E74EF"/>
    <w:rsid w:val="005F22A0"/>
    <w:rsid w:val="005F25EF"/>
    <w:rsid w:val="005F2A88"/>
    <w:rsid w:val="005F2C47"/>
    <w:rsid w:val="005F3DD2"/>
    <w:rsid w:val="005F4551"/>
    <w:rsid w:val="005F481B"/>
    <w:rsid w:val="005F4ABD"/>
    <w:rsid w:val="005F53EC"/>
    <w:rsid w:val="005F586A"/>
    <w:rsid w:val="005F72EB"/>
    <w:rsid w:val="005F73CD"/>
    <w:rsid w:val="005F7980"/>
    <w:rsid w:val="006000AA"/>
    <w:rsid w:val="00601112"/>
    <w:rsid w:val="006011D9"/>
    <w:rsid w:val="00601BC1"/>
    <w:rsid w:val="0060266F"/>
    <w:rsid w:val="00602AD5"/>
    <w:rsid w:val="00603105"/>
    <w:rsid w:val="00603C55"/>
    <w:rsid w:val="006045F2"/>
    <w:rsid w:val="006047C8"/>
    <w:rsid w:val="00604FD5"/>
    <w:rsid w:val="006063E0"/>
    <w:rsid w:val="00606C9E"/>
    <w:rsid w:val="00606DEE"/>
    <w:rsid w:val="006102BA"/>
    <w:rsid w:val="00611B10"/>
    <w:rsid w:val="00612C65"/>
    <w:rsid w:val="00613BA2"/>
    <w:rsid w:val="00614E4B"/>
    <w:rsid w:val="006150A9"/>
    <w:rsid w:val="00615B1A"/>
    <w:rsid w:val="00621E48"/>
    <w:rsid w:val="006230BA"/>
    <w:rsid w:val="0062387C"/>
    <w:rsid w:val="00623EA6"/>
    <w:rsid w:val="006258E0"/>
    <w:rsid w:val="00625DB3"/>
    <w:rsid w:val="006264FD"/>
    <w:rsid w:val="006265AF"/>
    <w:rsid w:val="0063092E"/>
    <w:rsid w:val="006313F1"/>
    <w:rsid w:val="00631691"/>
    <w:rsid w:val="006319A8"/>
    <w:rsid w:val="00631BBC"/>
    <w:rsid w:val="00631D2B"/>
    <w:rsid w:val="00631D66"/>
    <w:rsid w:val="00632B48"/>
    <w:rsid w:val="00632D4B"/>
    <w:rsid w:val="00634567"/>
    <w:rsid w:val="0063468F"/>
    <w:rsid w:val="0063634A"/>
    <w:rsid w:val="00641D26"/>
    <w:rsid w:val="006420F3"/>
    <w:rsid w:val="0064661A"/>
    <w:rsid w:val="00651727"/>
    <w:rsid w:val="00652E4F"/>
    <w:rsid w:val="00653211"/>
    <w:rsid w:val="00653237"/>
    <w:rsid w:val="00654010"/>
    <w:rsid w:val="00654CBE"/>
    <w:rsid w:val="00655447"/>
    <w:rsid w:val="00655D56"/>
    <w:rsid w:val="006602E7"/>
    <w:rsid w:val="00661E9E"/>
    <w:rsid w:val="00662D18"/>
    <w:rsid w:val="00662D96"/>
    <w:rsid w:val="00664A24"/>
    <w:rsid w:val="00664E0B"/>
    <w:rsid w:val="006673C0"/>
    <w:rsid w:val="00667C68"/>
    <w:rsid w:val="0067377C"/>
    <w:rsid w:val="00674E84"/>
    <w:rsid w:val="00675476"/>
    <w:rsid w:val="00677FA7"/>
    <w:rsid w:val="0068148A"/>
    <w:rsid w:val="00681FEE"/>
    <w:rsid w:val="0068329C"/>
    <w:rsid w:val="00683B9E"/>
    <w:rsid w:val="00684010"/>
    <w:rsid w:val="00685EA6"/>
    <w:rsid w:val="00686BEF"/>
    <w:rsid w:val="00686C01"/>
    <w:rsid w:val="00686EE7"/>
    <w:rsid w:val="00687489"/>
    <w:rsid w:val="006879A7"/>
    <w:rsid w:val="00690387"/>
    <w:rsid w:val="00690E20"/>
    <w:rsid w:val="00693211"/>
    <w:rsid w:val="00693B4A"/>
    <w:rsid w:val="006940DE"/>
    <w:rsid w:val="00695678"/>
    <w:rsid w:val="00695737"/>
    <w:rsid w:val="00695ECC"/>
    <w:rsid w:val="00695F7D"/>
    <w:rsid w:val="006A1AD2"/>
    <w:rsid w:val="006A1C1B"/>
    <w:rsid w:val="006A21B1"/>
    <w:rsid w:val="006A2DC0"/>
    <w:rsid w:val="006A5046"/>
    <w:rsid w:val="006A57D7"/>
    <w:rsid w:val="006A5A78"/>
    <w:rsid w:val="006A72E0"/>
    <w:rsid w:val="006A755E"/>
    <w:rsid w:val="006A7D90"/>
    <w:rsid w:val="006B07E0"/>
    <w:rsid w:val="006B096B"/>
    <w:rsid w:val="006B0E46"/>
    <w:rsid w:val="006B1BCC"/>
    <w:rsid w:val="006B231F"/>
    <w:rsid w:val="006B2768"/>
    <w:rsid w:val="006B329B"/>
    <w:rsid w:val="006B5441"/>
    <w:rsid w:val="006B74CE"/>
    <w:rsid w:val="006B74FF"/>
    <w:rsid w:val="006B7B58"/>
    <w:rsid w:val="006B7F1E"/>
    <w:rsid w:val="006C03CE"/>
    <w:rsid w:val="006C0DE5"/>
    <w:rsid w:val="006C1A1C"/>
    <w:rsid w:val="006C240B"/>
    <w:rsid w:val="006C2F88"/>
    <w:rsid w:val="006C4293"/>
    <w:rsid w:val="006C442A"/>
    <w:rsid w:val="006C56A9"/>
    <w:rsid w:val="006C730B"/>
    <w:rsid w:val="006C7B18"/>
    <w:rsid w:val="006D1551"/>
    <w:rsid w:val="006D218C"/>
    <w:rsid w:val="006D2264"/>
    <w:rsid w:val="006D3CAE"/>
    <w:rsid w:val="006D52DD"/>
    <w:rsid w:val="006D6B9D"/>
    <w:rsid w:val="006D7C7C"/>
    <w:rsid w:val="006E02B8"/>
    <w:rsid w:val="006E2E6D"/>
    <w:rsid w:val="006E3152"/>
    <w:rsid w:val="006E38C7"/>
    <w:rsid w:val="006E615A"/>
    <w:rsid w:val="006F05C2"/>
    <w:rsid w:val="006F2FE5"/>
    <w:rsid w:val="006F36FE"/>
    <w:rsid w:val="006F49F6"/>
    <w:rsid w:val="006F4D57"/>
    <w:rsid w:val="006F4DD7"/>
    <w:rsid w:val="006F52DD"/>
    <w:rsid w:val="006F52F1"/>
    <w:rsid w:val="006F5337"/>
    <w:rsid w:val="006F6321"/>
    <w:rsid w:val="006F71AF"/>
    <w:rsid w:val="006F73AF"/>
    <w:rsid w:val="006F7AB8"/>
    <w:rsid w:val="0070015F"/>
    <w:rsid w:val="007013D8"/>
    <w:rsid w:val="00702A48"/>
    <w:rsid w:val="00704901"/>
    <w:rsid w:val="00704D17"/>
    <w:rsid w:val="00706A85"/>
    <w:rsid w:val="00706DE3"/>
    <w:rsid w:val="00706FC5"/>
    <w:rsid w:val="0071049A"/>
    <w:rsid w:val="00711245"/>
    <w:rsid w:val="00712161"/>
    <w:rsid w:val="007133B1"/>
    <w:rsid w:val="00713C0F"/>
    <w:rsid w:val="0071465C"/>
    <w:rsid w:val="00714EB2"/>
    <w:rsid w:val="00716AD8"/>
    <w:rsid w:val="007175FE"/>
    <w:rsid w:val="00717889"/>
    <w:rsid w:val="00717E4D"/>
    <w:rsid w:val="00717E86"/>
    <w:rsid w:val="0072074B"/>
    <w:rsid w:val="00720CAE"/>
    <w:rsid w:val="007229F1"/>
    <w:rsid w:val="00722F91"/>
    <w:rsid w:val="00723302"/>
    <w:rsid w:val="00723905"/>
    <w:rsid w:val="00724EB4"/>
    <w:rsid w:val="00725836"/>
    <w:rsid w:val="00726883"/>
    <w:rsid w:val="007306F5"/>
    <w:rsid w:val="00730A90"/>
    <w:rsid w:val="00732EAA"/>
    <w:rsid w:val="0073310E"/>
    <w:rsid w:val="00733F76"/>
    <w:rsid w:val="007349B8"/>
    <w:rsid w:val="00737A79"/>
    <w:rsid w:val="0074116E"/>
    <w:rsid w:val="007446CB"/>
    <w:rsid w:val="00744C38"/>
    <w:rsid w:val="00744FC8"/>
    <w:rsid w:val="0074527A"/>
    <w:rsid w:val="0074556C"/>
    <w:rsid w:val="0074556D"/>
    <w:rsid w:val="00745B57"/>
    <w:rsid w:val="0074602E"/>
    <w:rsid w:val="00746D9D"/>
    <w:rsid w:val="00750DCE"/>
    <w:rsid w:val="0075279F"/>
    <w:rsid w:val="00753400"/>
    <w:rsid w:val="00753C02"/>
    <w:rsid w:val="00755AA1"/>
    <w:rsid w:val="007579BC"/>
    <w:rsid w:val="00761132"/>
    <w:rsid w:val="007618E8"/>
    <w:rsid w:val="00761E3A"/>
    <w:rsid w:val="007627F3"/>
    <w:rsid w:val="00762859"/>
    <w:rsid w:val="00762EE9"/>
    <w:rsid w:val="00763D1D"/>
    <w:rsid w:val="00765334"/>
    <w:rsid w:val="00767241"/>
    <w:rsid w:val="00767CF4"/>
    <w:rsid w:val="00770899"/>
    <w:rsid w:val="00771F09"/>
    <w:rsid w:val="00774145"/>
    <w:rsid w:val="00774DC7"/>
    <w:rsid w:val="00774E0A"/>
    <w:rsid w:val="00776993"/>
    <w:rsid w:val="007778BE"/>
    <w:rsid w:val="007813FC"/>
    <w:rsid w:val="00781C51"/>
    <w:rsid w:val="00783382"/>
    <w:rsid w:val="00783975"/>
    <w:rsid w:val="0078481E"/>
    <w:rsid w:val="00785764"/>
    <w:rsid w:val="00785B06"/>
    <w:rsid w:val="00785D46"/>
    <w:rsid w:val="00787917"/>
    <w:rsid w:val="00790C13"/>
    <w:rsid w:val="007911DA"/>
    <w:rsid w:val="00792928"/>
    <w:rsid w:val="00792BCD"/>
    <w:rsid w:val="0079326B"/>
    <w:rsid w:val="007947D9"/>
    <w:rsid w:val="007972AA"/>
    <w:rsid w:val="00797762"/>
    <w:rsid w:val="00797CBA"/>
    <w:rsid w:val="007A197C"/>
    <w:rsid w:val="007A22B5"/>
    <w:rsid w:val="007A3D24"/>
    <w:rsid w:val="007A4017"/>
    <w:rsid w:val="007A5963"/>
    <w:rsid w:val="007A7030"/>
    <w:rsid w:val="007A71A0"/>
    <w:rsid w:val="007B1142"/>
    <w:rsid w:val="007B170B"/>
    <w:rsid w:val="007B187C"/>
    <w:rsid w:val="007B1CC1"/>
    <w:rsid w:val="007B36F7"/>
    <w:rsid w:val="007B3B73"/>
    <w:rsid w:val="007B41CE"/>
    <w:rsid w:val="007B43E9"/>
    <w:rsid w:val="007B4CCE"/>
    <w:rsid w:val="007B5D39"/>
    <w:rsid w:val="007B697E"/>
    <w:rsid w:val="007C01F3"/>
    <w:rsid w:val="007C0607"/>
    <w:rsid w:val="007C0EBA"/>
    <w:rsid w:val="007C132B"/>
    <w:rsid w:val="007C1C1C"/>
    <w:rsid w:val="007C2985"/>
    <w:rsid w:val="007C29C1"/>
    <w:rsid w:val="007C345C"/>
    <w:rsid w:val="007C3DF9"/>
    <w:rsid w:val="007C4CEC"/>
    <w:rsid w:val="007C5062"/>
    <w:rsid w:val="007C514A"/>
    <w:rsid w:val="007C558F"/>
    <w:rsid w:val="007D0409"/>
    <w:rsid w:val="007D0B1F"/>
    <w:rsid w:val="007D25B5"/>
    <w:rsid w:val="007D2C67"/>
    <w:rsid w:val="007D3920"/>
    <w:rsid w:val="007D3C37"/>
    <w:rsid w:val="007D464D"/>
    <w:rsid w:val="007D62EC"/>
    <w:rsid w:val="007E0E3E"/>
    <w:rsid w:val="007E2C80"/>
    <w:rsid w:val="007E380E"/>
    <w:rsid w:val="007E521E"/>
    <w:rsid w:val="007E5635"/>
    <w:rsid w:val="007F02B3"/>
    <w:rsid w:val="007F1BE4"/>
    <w:rsid w:val="007F3202"/>
    <w:rsid w:val="007F4E64"/>
    <w:rsid w:val="007F5473"/>
    <w:rsid w:val="007F5E6D"/>
    <w:rsid w:val="007F7F69"/>
    <w:rsid w:val="008004CD"/>
    <w:rsid w:val="00800C4B"/>
    <w:rsid w:val="00801313"/>
    <w:rsid w:val="00801471"/>
    <w:rsid w:val="008021DB"/>
    <w:rsid w:val="008038B9"/>
    <w:rsid w:val="00803AD6"/>
    <w:rsid w:val="0080435C"/>
    <w:rsid w:val="00804A0D"/>
    <w:rsid w:val="00804BD7"/>
    <w:rsid w:val="00804D5E"/>
    <w:rsid w:val="00805512"/>
    <w:rsid w:val="00805CDC"/>
    <w:rsid w:val="00806691"/>
    <w:rsid w:val="00812288"/>
    <w:rsid w:val="00812FA8"/>
    <w:rsid w:val="00813705"/>
    <w:rsid w:val="00814701"/>
    <w:rsid w:val="00814E1E"/>
    <w:rsid w:val="00815068"/>
    <w:rsid w:val="00816AAD"/>
    <w:rsid w:val="008228C6"/>
    <w:rsid w:val="00822BE0"/>
    <w:rsid w:val="00823CEC"/>
    <w:rsid w:val="00823D04"/>
    <w:rsid w:val="00824D51"/>
    <w:rsid w:val="008262F6"/>
    <w:rsid w:val="00827D88"/>
    <w:rsid w:val="00827FED"/>
    <w:rsid w:val="00830034"/>
    <w:rsid w:val="00830CEA"/>
    <w:rsid w:val="00830F69"/>
    <w:rsid w:val="00832108"/>
    <w:rsid w:val="00832C9D"/>
    <w:rsid w:val="0083393C"/>
    <w:rsid w:val="00833B95"/>
    <w:rsid w:val="00833E06"/>
    <w:rsid w:val="00834B17"/>
    <w:rsid w:val="00834C44"/>
    <w:rsid w:val="00835641"/>
    <w:rsid w:val="00835A29"/>
    <w:rsid w:val="00836861"/>
    <w:rsid w:val="0083724E"/>
    <w:rsid w:val="00841DC2"/>
    <w:rsid w:val="0084416A"/>
    <w:rsid w:val="008469D5"/>
    <w:rsid w:val="00846D53"/>
    <w:rsid w:val="008470DD"/>
    <w:rsid w:val="008472AE"/>
    <w:rsid w:val="008505A1"/>
    <w:rsid w:val="00850824"/>
    <w:rsid w:val="008523BB"/>
    <w:rsid w:val="00852FDE"/>
    <w:rsid w:val="0085306F"/>
    <w:rsid w:val="008532C4"/>
    <w:rsid w:val="008552B4"/>
    <w:rsid w:val="0085694B"/>
    <w:rsid w:val="008579EA"/>
    <w:rsid w:val="0086045F"/>
    <w:rsid w:val="00862166"/>
    <w:rsid w:val="0086254B"/>
    <w:rsid w:val="00862617"/>
    <w:rsid w:val="00865756"/>
    <w:rsid w:val="008659B5"/>
    <w:rsid w:val="00866C8D"/>
    <w:rsid w:val="00866ED0"/>
    <w:rsid w:val="00867C47"/>
    <w:rsid w:val="008715CF"/>
    <w:rsid w:val="0087174D"/>
    <w:rsid w:val="008722AB"/>
    <w:rsid w:val="00874149"/>
    <w:rsid w:val="0087606D"/>
    <w:rsid w:val="00876619"/>
    <w:rsid w:val="00876C39"/>
    <w:rsid w:val="008774A7"/>
    <w:rsid w:val="00877FB6"/>
    <w:rsid w:val="00880676"/>
    <w:rsid w:val="0088098E"/>
    <w:rsid w:val="008811DC"/>
    <w:rsid w:val="00881567"/>
    <w:rsid w:val="0088163E"/>
    <w:rsid w:val="00881DAD"/>
    <w:rsid w:val="00881EA8"/>
    <w:rsid w:val="00882025"/>
    <w:rsid w:val="008831F5"/>
    <w:rsid w:val="008840D1"/>
    <w:rsid w:val="0088475C"/>
    <w:rsid w:val="00884F26"/>
    <w:rsid w:val="008855FD"/>
    <w:rsid w:val="008861DD"/>
    <w:rsid w:val="00886625"/>
    <w:rsid w:val="00887A5F"/>
    <w:rsid w:val="00890A55"/>
    <w:rsid w:val="00891301"/>
    <w:rsid w:val="00893952"/>
    <w:rsid w:val="00894BFD"/>
    <w:rsid w:val="00895099"/>
    <w:rsid w:val="00895B3C"/>
    <w:rsid w:val="00896237"/>
    <w:rsid w:val="008964F2"/>
    <w:rsid w:val="00897054"/>
    <w:rsid w:val="008A0BE7"/>
    <w:rsid w:val="008A16B2"/>
    <w:rsid w:val="008A1D07"/>
    <w:rsid w:val="008A4A25"/>
    <w:rsid w:val="008A5134"/>
    <w:rsid w:val="008A7670"/>
    <w:rsid w:val="008A77BC"/>
    <w:rsid w:val="008B1240"/>
    <w:rsid w:val="008B2C46"/>
    <w:rsid w:val="008B5956"/>
    <w:rsid w:val="008B7E67"/>
    <w:rsid w:val="008C0254"/>
    <w:rsid w:val="008C2670"/>
    <w:rsid w:val="008C3B07"/>
    <w:rsid w:val="008C4B7F"/>
    <w:rsid w:val="008C5AB7"/>
    <w:rsid w:val="008C7435"/>
    <w:rsid w:val="008C7F70"/>
    <w:rsid w:val="008D016C"/>
    <w:rsid w:val="008D1410"/>
    <w:rsid w:val="008D1E4D"/>
    <w:rsid w:val="008D2F68"/>
    <w:rsid w:val="008D4B69"/>
    <w:rsid w:val="008D4C86"/>
    <w:rsid w:val="008D5A37"/>
    <w:rsid w:val="008D6D9E"/>
    <w:rsid w:val="008D7A56"/>
    <w:rsid w:val="008E170E"/>
    <w:rsid w:val="008E3612"/>
    <w:rsid w:val="008E44B5"/>
    <w:rsid w:val="008E6E9A"/>
    <w:rsid w:val="008F0E2C"/>
    <w:rsid w:val="008F152F"/>
    <w:rsid w:val="008F303C"/>
    <w:rsid w:val="008F3E58"/>
    <w:rsid w:val="008F51FC"/>
    <w:rsid w:val="008F7740"/>
    <w:rsid w:val="008F7AF4"/>
    <w:rsid w:val="0090072E"/>
    <w:rsid w:val="00900FF0"/>
    <w:rsid w:val="00902C4B"/>
    <w:rsid w:val="0090308C"/>
    <w:rsid w:val="009030CB"/>
    <w:rsid w:val="00903187"/>
    <w:rsid w:val="00904782"/>
    <w:rsid w:val="00904831"/>
    <w:rsid w:val="00905594"/>
    <w:rsid w:val="00905F9C"/>
    <w:rsid w:val="00907850"/>
    <w:rsid w:val="00911F41"/>
    <w:rsid w:val="009132F6"/>
    <w:rsid w:val="009145E2"/>
    <w:rsid w:val="00914F1A"/>
    <w:rsid w:val="00917373"/>
    <w:rsid w:val="00917C4D"/>
    <w:rsid w:val="00917CD2"/>
    <w:rsid w:val="00920722"/>
    <w:rsid w:val="00920C35"/>
    <w:rsid w:val="00920E3B"/>
    <w:rsid w:val="00921164"/>
    <w:rsid w:val="00922865"/>
    <w:rsid w:val="00922C60"/>
    <w:rsid w:val="00922C8E"/>
    <w:rsid w:val="00922DD2"/>
    <w:rsid w:val="00922DD4"/>
    <w:rsid w:val="00924FD6"/>
    <w:rsid w:val="0092502F"/>
    <w:rsid w:val="00925D97"/>
    <w:rsid w:val="009262FF"/>
    <w:rsid w:val="00926C83"/>
    <w:rsid w:val="009275F3"/>
    <w:rsid w:val="009279C8"/>
    <w:rsid w:val="00930BA0"/>
    <w:rsid w:val="00930F1C"/>
    <w:rsid w:val="00930F93"/>
    <w:rsid w:val="00931CF4"/>
    <w:rsid w:val="00932C69"/>
    <w:rsid w:val="00932D8C"/>
    <w:rsid w:val="00933608"/>
    <w:rsid w:val="00934C2A"/>
    <w:rsid w:val="009358B4"/>
    <w:rsid w:val="00935E50"/>
    <w:rsid w:val="009360B7"/>
    <w:rsid w:val="00936508"/>
    <w:rsid w:val="009367A2"/>
    <w:rsid w:val="00937252"/>
    <w:rsid w:val="00937B3E"/>
    <w:rsid w:val="00940145"/>
    <w:rsid w:val="00941A31"/>
    <w:rsid w:val="00941B5E"/>
    <w:rsid w:val="00944152"/>
    <w:rsid w:val="0094449E"/>
    <w:rsid w:val="00944609"/>
    <w:rsid w:val="00944C1D"/>
    <w:rsid w:val="00944FEA"/>
    <w:rsid w:val="00945345"/>
    <w:rsid w:val="00947268"/>
    <w:rsid w:val="0095096E"/>
    <w:rsid w:val="00950BBE"/>
    <w:rsid w:val="0095130C"/>
    <w:rsid w:val="00951BC6"/>
    <w:rsid w:val="0095266D"/>
    <w:rsid w:val="009530D6"/>
    <w:rsid w:val="00953E5E"/>
    <w:rsid w:val="00954984"/>
    <w:rsid w:val="00954C9B"/>
    <w:rsid w:val="00954E74"/>
    <w:rsid w:val="00956000"/>
    <w:rsid w:val="00956129"/>
    <w:rsid w:val="009562F1"/>
    <w:rsid w:val="0095677D"/>
    <w:rsid w:val="009567EC"/>
    <w:rsid w:val="00956990"/>
    <w:rsid w:val="00961BEF"/>
    <w:rsid w:val="00962884"/>
    <w:rsid w:val="00962F7C"/>
    <w:rsid w:val="00964812"/>
    <w:rsid w:val="00964D03"/>
    <w:rsid w:val="009650D4"/>
    <w:rsid w:val="00966A5C"/>
    <w:rsid w:val="0096727F"/>
    <w:rsid w:val="0096772C"/>
    <w:rsid w:val="009720C1"/>
    <w:rsid w:val="00972DEE"/>
    <w:rsid w:val="00973311"/>
    <w:rsid w:val="00974999"/>
    <w:rsid w:val="00974ACE"/>
    <w:rsid w:val="0097528D"/>
    <w:rsid w:val="00975ECF"/>
    <w:rsid w:val="0097693A"/>
    <w:rsid w:val="009776B7"/>
    <w:rsid w:val="0097789A"/>
    <w:rsid w:val="0097794B"/>
    <w:rsid w:val="0098337A"/>
    <w:rsid w:val="009836CA"/>
    <w:rsid w:val="0098374E"/>
    <w:rsid w:val="00984713"/>
    <w:rsid w:val="009867CE"/>
    <w:rsid w:val="00987E10"/>
    <w:rsid w:val="00991AD6"/>
    <w:rsid w:val="00991B8F"/>
    <w:rsid w:val="00991BD1"/>
    <w:rsid w:val="00992861"/>
    <w:rsid w:val="00993005"/>
    <w:rsid w:val="00994E11"/>
    <w:rsid w:val="00996A8F"/>
    <w:rsid w:val="009976B6"/>
    <w:rsid w:val="009979BA"/>
    <w:rsid w:val="009A0097"/>
    <w:rsid w:val="009A0643"/>
    <w:rsid w:val="009A0BB2"/>
    <w:rsid w:val="009A19CA"/>
    <w:rsid w:val="009A1D50"/>
    <w:rsid w:val="009A317A"/>
    <w:rsid w:val="009A3D15"/>
    <w:rsid w:val="009A4576"/>
    <w:rsid w:val="009A5706"/>
    <w:rsid w:val="009A5C3A"/>
    <w:rsid w:val="009A68B6"/>
    <w:rsid w:val="009A6A5E"/>
    <w:rsid w:val="009A70E5"/>
    <w:rsid w:val="009A7D04"/>
    <w:rsid w:val="009B1FAF"/>
    <w:rsid w:val="009B2C5D"/>
    <w:rsid w:val="009B3AFF"/>
    <w:rsid w:val="009B3D5E"/>
    <w:rsid w:val="009B40C7"/>
    <w:rsid w:val="009B4AB8"/>
    <w:rsid w:val="009B5522"/>
    <w:rsid w:val="009B68C3"/>
    <w:rsid w:val="009C0068"/>
    <w:rsid w:val="009C1673"/>
    <w:rsid w:val="009C1E88"/>
    <w:rsid w:val="009C1F5C"/>
    <w:rsid w:val="009C2505"/>
    <w:rsid w:val="009C3D7C"/>
    <w:rsid w:val="009C48E3"/>
    <w:rsid w:val="009C7B4C"/>
    <w:rsid w:val="009C7DE0"/>
    <w:rsid w:val="009D1965"/>
    <w:rsid w:val="009D1C51"/>
    <w:rsid w:val="009D1D7D"/>
    <w:rsid w:val="009D2719"/>
    <w:rsid w:val="009D2B72"/>
    <w:rsid w:val="009D2BD0"/>
    <w:rsid w:val="009D359F"/>
    <w:rsid w:val="009D3E24"/>
    <w:rsid w:val="009D440D"/>
    <w:rsid w:val="009D4B34"/>
    <w:rsid w:val="009D573D"/>
    <w:rsid w:val="009D6A1D"/>
    <w:rsid w:val="009E0332"/>
    <w:rsid w:val="009E1427"/>
    <w:rsid w:val="009E174C"/>
    <w:rsid w:val="009E30B4"/>
    <w:rsid w:val="009E4ED9"/>
    <w:rsid w:val="009E5238"/>
    <w:rsid w:val="009E537E"/>
    <w:rsid w:val="009E62D7"/>
    <w:rsid w:val="009E7927"/>
    <w:rsid w:val="009F1C8C"/>
    <w:rsid w:val="009F2CC4"/>
    <w:rsid w:val="009F342E"/>
    <w:rsid w:val="009F3B34"/>
    <w:rsid w:val="009F49B9"/>
    <w:rsid w:val="009F71E4"/>
    <w:rsid w:val="00A022D6"/>
    <w:rsid w:val="00A025B3"/>
    <w:rsid w:val="00A02644"/>
    <w:rsid w:val="00A0313D"/>
    <w:rsid w:val="00A04AD5"/>
    <w:rsid w:val="00A061B3"/>
    <w:rsid w:val="00A06B48"/>
    <w:rsid w:val="00A1030F"/>
    <w:rsid w:val="00A10583"/>
    <w:rsid w:val="00A10687"/>
    <w:rsid w:val="00A10CE1"/>
    <w:rsid w:val="00A112B6"/>
    <w:rsid w:val="00A1134C"/>
    <w:rsid w:val="00A11A44"/>
    <w:rsid w:val="00A1213F"/>
    <w:rsid w:val="00A124E3"/>
    <w:rsid w:val="00A13596"/>
    <w:rsid w:val="00A1392A"/>
    <w:rsid w:val="00A14EA9"/>
    <w:rsid w:val="00A15A88"/>
    <w:rsid w:val="00A15B2A"/>
    <w:rsid w:val="00A1684D"/>
    <w:rsid w:val="00A16C01"/>
    <w:rsid w:val="00A20AD9"/>
    <w:rsid w:val="00A22C86"/>
    <w:rsid w:val="00A22E7E"/>
    <w:rsid w:val="00A2330D"/>
    <w:rsid w:val="00A2416E"/>
    <w:rsid w:val="00A304DB"/>
    <w:rsid w:val="00A308C0"/>
    <w:rsid w:val="00A3099E"/>
    <w:rsid w:val="00A3147E"/>
    <w:rsid w:val="00A31926"/>
    <w:rsid w:val="00A32356"/>
    <w:rsid w:val="00A32550"/>
    <w:rsid w:val="00A326B0"/>
    <w:rsid w:val="00A32754"/>
    <w:rsid w:val="00A334F4"/>
    <w:rsid w:val="00A34799"/>
    <w:rsid w:val="00A35255"/>
    <w:rsid w:val="00A36694"/>
    <w:rsid w:val="00A36F69"/>
    <w:rsid w:val="00A374AD"/>
    <w:rsid w:val="00A37945"/>
    <w:rsid w:val="00A37AFF"/>
    <w:rsid w:val="00A37CDD"/>
    <w:rsid w:val="00A40BDC"/>
    <w:rsid w:val="00A43A84"/>
    <w:rsid w:val="00A5018C"/>
    <w:rsid w:val="00A50961"/>
    <w:rsid w:val="00A5131C"/>
    <w:rsid w:val="00A515AB"/>
    <w:rsid w:val="00A539C9"/>
    <w:rsid w:val="00A547B0"/>
    <w:rsid w:val="00A54F67"/>
    <w:rsid w:val="00A55793"/>
    <w:rsid w:val="00A61631"/>
    <w:rsid w:val="00A616A3"/>
    <w:rsid w:val="00A632DD"/>
    <w:rsid w:val="00A633DD"/>
    <w:rsid w:val="00A63691"/>
    <w:rsid w:val="00A6418F"/>
    <w:rsid w:val="00A644F5"/>
    <w:rsid w:val="00A67E14"/>
    <w:rsid w:val="00A70342"/>
    <w:rsid w:val="00A72618"/>
    <w:rsid w:val="00A72BE4"/>
    <w:rsid w:val="00A743D9"/>
    <w:rsid w:val="00A750C8"/>
    <w:rsid w:val="00A7520A"/>
    <w:rsid w:val="00A75E46"/>
    <w:rsid w:val="00A7656E"/>
    <w:rsid w:val="00A80433"/>
    <w:rsid w:val="00A81390"/>
    <w:rsid w:val="00A8215B"/>
    <w:rsid w:val="00A82B33"/>
    <w:rsid w:val="00A840AE"/>
    <w:rsid w:val="00A843E5"/>
    <w:rsid w:val="00A844DC"/>
    <w:rsid w:val="00A85D0A"/>
    <w:rsid w:val="00A8710A"/>
    <w:rsid w:val="00A87A39"/>
    <w:rsid w:val="00A90318"/>
    <w:rsid w:val="00A90AFA"/>
    <w:rsid w:val="00A910BF"/>
    <w:rsid w:val="00A92131"/>
    <w:rsid w:val="00A92586"/>
    <w:rsid w:val="00A93837"/>
    <w:rsid w:val="00A939A6"/>
    <w:rsid w:val="00A95450"/>
    <w:rsid w:val="00A96502"/>
    <w:rsid w:val="00A9685D"/>
    <w:rsid w:val="00A97916"/>
    <w:rsid w:val="00AA2180"/>
    <w:rsid w:val="00AA40C7"/>
    <w:rsid w:val="00AA57BB"/>
    <w:rsid w:val="00AA60C1"/>
    <w:rsid w:val="00AB02EC"/>
    <w:rsid w:val="00AB1457"/>
    <w:rsid w:val="00AB1B1B"/>
    <w:rsid w:val="00AB2438"/>
    <w:rsid w:val="00AB3838"/>
    <w:rsid w:val="00AB4374"/>
    <w:rsid w:val="00AB6D1D"/>
    <w:rsid w:val="00AB79B3"/>
    <w:rsid w:val="00AC0088"/>
    <w:rsid w:val="00AC022D"/>
    <w:rsid w:val="00AC1090"/>
    <w:rsid w:val="00AC11B1"/>
    <w:rsid w:val="00AC2103"/>
    <w:rsid w:val="00AC42F4"/>
    <w:rsid w:val="00AC5BF1"/>
    <w:rsid w:val="00AC6583"/>
    <w:rsid w:val="00AC6F36"/>
    <w:rsid w:val="00AD0F72"/>
    <w:rsid w:val="00AD10A9"/>
    <w:rsid w:val="00AD10F8"/>
    <w:rsid w:val="00AD29EB"/>
    <w:rsid w:val="00AD2DC9"/>
    <w:rsid w:val="00AD4848"/>
    <w:rsid w:val="00AD62A4"/>
    <w:rsid w:val="00AD689F"/>
    <w:rsid w:val="00AD79F2"/>
    <w:rsid w:val="00AE00DF"/>
    <w:rsid w:val="00AE016F"/>
    <w:rsid w:val="00AE227A"/>
    <w:rsid w:val="00AE301E"/>
    <w:rsid w:val="00AE3313"/>
    <w:rsid w:val="00AE3F78"/>
    <w:rsid w:val="00AE4CC2"/>
    <w:rsid w:val="00AE61FB"/>
    <w:rsid w:val="00AE628A"/>
    <w:rsid w:val="00AE6929"/>
    <w:rsid w:val="00AF171E"/>
    <w:rsid w:val="00AF28D9"/>
    <w:rsid w:val="00AF2B07"/>
    <w:rsid w:val="00AF43DF"/>
    <w:rsid w:val="00AF66A8"/>
    <w:rsid w:val="00AF7429"/>
    <w:rsid w:val="00AF7658"/>
    <w:rsid w:val="00AF7F41"/>
    <w:rsid w:val="00B01586"/>
    <w:rsid w:val="00B02B66"/>
    <w:rsid w:val="00B03420"/>
    <w:rsid w:val="00B0397C"/>
    <w:rsid w:val="00B03E3E"/>
    <w:rsid w:val="00B048CB"/>
    <w:rsid w:val="00B04B78"/>
    <w:rsid w:val="00B05E57"/>
    <w:rsid w:val="00B0638C"/>
    <w:rsid w:val="00B10711"/>
    <w:rsid w:val="00B122D4"/>
    <w:rsid w:val="00B1262C"/>
    <w:rsid w:val="00B14F9E"/>
    <w:rsid w:val="00B1617B"/>
    <w:rsid w:val="00B17D45"/>
    <w:rsid w:val="00B17FE8"/>
    <w:rsid w:val="00B207F1"/>
    <w:rsid w:val="00B21A86"/>
    <w:rsid w:val="00B21B80"/>
    <w:rsid w:val="00B22338"/>
    <w:rsid w:val="00B23BD3"/>
    <w:rsid w:val="00B23CCE"/>
    <w:rsid w:val="00B24BD4"/>
    <w:rsid w:val="00B25A45"/>
    <w:rsid w:val="00B25EFF"/>
    <w:rsid w:val="00B31262"/>
    <w:rsid w:val="00B33F21"/>
    <w:rsid w:val="00B34B5D"/>
    <w:rsid w:val="00B34C03"/>
    <w:rsid w:val="00B35900"/>
    <w:rsid w:val="00B35B3A"/>
    <w:rsid w:val="00B36491"/>
    <w:rsid w:val="00B41384"/>
    <w:rsid w:val="00B41A0A"/>
    <w:rsid w:val="00B43E05"/>
    <w:rsid w:val="00B44C1E"/>
    <w:rsid w:val="00B44CFF"/>
    <w:rsid w:val="00B45172"/>
    <w:rsid w:val="00B45F0B"/>
    <w:rsid w:val="00B4612C"/>
    <w:rsid w:val="00B4627E"/>
    <w:rsid w:val="00B475F5"/>
    <w:rsid w:val="00B47808"/>
    <w:rsid w:val="00B52257"/>
    <w:rsid w:val="00B53483"/>
    <w:rsid w:val="00B54130"/>
    <w:rsid w:val="00B54C47"/>
    <w:rsid w:val="00B5558E"/>
    <w:rsid w:val="00B55FE4"/>
    <w:rsid w:val="00B562CE"/>
    <w:rsid w:val="00B56324"/>
    <w:rsid w:val="00B56C70"/>
    <w:rsid w:val="00B604DA"/>
    <w:rsid w:val="00B6137D"/>
    <w:rsid w:val="00B61C31"/>
    <w:rsid w:val="00B64AF2"/>
    <w:rsid w:val="00B65D45"/>
    <w:rsid w:val="00B66F91"/>
    <w:rsid w:val="00B6739A"/>
    <w:rsid w:val="00B67B0D"/>
    <w:rsid w:val="00B7028F"/>
    <w:rsid w:val="00B703A4"/>
    <w:rsid w:val="00B7084E"/>
    <w:rsid w:val="00B72DE1"/>
    <w:rsid w:val="00B72F1B"/>
    <w:rsid w:val="00B745BD"/>
    <w:rsid w:val="00B75490"/>
    <w:rsid w:val="00B754F8"/>
    <w:rsid w:val="00B7583E"/>
    <w:rsid w:val="00B762B2"/>
    <w:rsid w:val="00B76929"/>
    <w:rsid w:val="00B77B88"/>
    <w:rsid w:val="00B8061C"/>
    <w:rsid w:val="00B8240F"/>
    <w:rsid w:val="00B833B0"/>
    <w:rsid w:val="00B835BE"/>
    <w:rsid w:val="00B836FA"/>
    <w:rsid w:val="00B85F8B"/>
    <w:rsid w:val="00B87FA8"/>
    <w:rsid w:val="00B90CC6"/>
    <w:rsid w:val="00B924E4"/>
    <w:rsid w:val="00B97E53"/>
    <w:rsid w:val="00BA0578"/>
    <w:rsid w:val="00BA0EBF"/>
    <w:rsid w:val="00BA1553"/>
    <w:rsid w:val="00BA2905"/>
    <w:rsid w:val="00BA36D6"/>
    <w:rsid w:val="00BA4417"/>
    <w:rsid w:val="00BA508B"/>
    <w:rsid w:val="00BA62B5"/>
    <w:rsid w:val="00BA6453"/>
    <w:rsid w:val="00BA7502"/>
    <w:rsid w:val="00BA7C6C"/>
    <w:rsid w:val="00BB0AC5"/>
    <w:rsid w:val="00BB0C66"/>
    <w:rsid w:val="00BB317E"/>
    <w:rsid w:val="00BB35AA"/>
    <w:rsid w:val="00BB63CA"/>
    <w:rsid w:val="00BB693F"/>
    <w:rsid w:val="00BB7D91"/>
    <w:rsid w:val="00BC151D"/>
    <w:rsid w:val="00BC19C1"/>
    <w:rsid w:val="00BC1BA6"/>
    <w:rsid w:val="00BC1E3D"/>
    <w:rsid w:val="00BC4ADD"/>
    <w:rsid w:val="00BC4EB8"/>
    <w:rsid w:val="00BC6317"/>
    <w:rsid w:val="00BC7A95"/>
    <w:rsid w:val="00BD0D00"/>
    <w:rsid w:val="00BD10B4"/>
    <w:rsid w:val="00BD3059"/>
    <w:rsid w:val="00BD5B72"/>
    <w:rsid w:val="00BD5D61"/>
    <w:rsid w:val="00BD69A4"/>
    <w:rsid w:val="00BD7211"/>
    <w:rsid w:val="00BD7AE9"/>
    <w:rsid w:val="00BE02D7"/>
    <w:rsid w:val="00BE070D"/>
    <w:rsid w:val="00BE0C29"/>
    <w:rsid w:val="00BE1821"/>
    <w:rsid w:val="00BE20BC"/>
    <w:rsid w:val="00BE29BB"/>
    <w:rsid w:val="00BE2A3F"/>
    <w:rsid w:val="00BE348A"/>
    <w:rsid w:val="00BE36E6"/>
    <w:rsid w:val="00BE4737"/>
    <w:rsid w:val="00BE4846"/>
    <w:rsid w:val="00BE5488"/>
    <w:rsid w:val="00BE64FE"/>
    <w:rsid w:val="00BE6751"/>
    <w:rsid w:val="00BE6D93"/>
    <w:rsid w:val="00BE7908"/>
    <w:rsid w:val="00BF0B45"/>
    <w:rsid w:val="00BF13CB"/>
    <w:rsid w:val="00BF1CE0"/>
    <w:rsid w:val="00BF27C9"/>
    <w:rsid w:val="00BF28A8"/>
    <w:rsid w:val="00BF326B"/>
    <w:rsid w:val="00BF3522"/>
    <w:rsid w:val="00BF4421"/>
    <w:rsid w:val="00BF51B2"/>
    <w:rsid w:val="00BF5275"/>
    <w:rsid w:val="00BF59FD"/>
    <w:rsid w:val="00BF6644"/>
    <w:rsid w:val="00BF677B"/>
    <w:rsid w:val="00BF71E4"/>
    <w:rsid w:val="00BF7BE3"/>
    <w:rsid w:val="00C0032C"/>
    <w:rsid w:val="00C00488"/>
    <w:rsid w:val="00C02987"/>
    <w:rsid w:val="00C03834"/>
    <w:rsid w:val="00C048D3"/>
    <w:rsid w:val="00C04F55"/>
    <w:rsid w:val="00C06848"/>
    <w:rsid w:val="00C074BD"/>
    <w:rsid w:val="00C0763E"/>
    <w:rsid w:val="00C07BE2"/>
    <w:rsid w:val="00C11297"/>
    <w:rsid w:val="00C11734"/>
    <w:rsid w:val="00C125BE"/>
    <w:rsid w:val="00C13190"/>
    <w:rsid w:val="00C14CD7"/>
    <w:rsid w:val="00C15F8D"/>
    <w:rsid w:val="00C172D9"/>
    <w:rsid w:val="00C17559"/>
    <w:rsid w:val="00C17959"/>
    <w:rsid w:val="00C17B57"/>
    <w:rsid w:val="00C202CA"/>
    <w:rsid w:val="00C20C5E"/>
    <w:rsid w:val="00C20D16"/>
    <w:rsid w:val="00C21148"/>
    <w:rsid w:val="00C21B6B"/>
    <w:rsid w:val="00C2281D"/>
    <w:rsid w:val="00C23A69"/>
    <w:rsid w:val="00C24388"/>
    <w:rsid w:val="00C25507"/>
    <w:rsid w:val="00C261DB"/>
    <w:rsid w:val="00C26CF7"/>
    <w:rsid w:val="00C272CA"/>
    <w:rsid w:val="00C27827"/>
    <w:rsid w:val="00C32B8B"/>
    <w:rsid w:val="00C33A25"/>
    <w:rsid w:val="00C3411B"/>
    <w:rsid w:val="00C34B9C"/>
    <w:rsid w:val="00C34C23"/>
    <w:rsid w:val="00C35103"/>
    <w:rsid w:val="00C35104"/>
    <w:rsid w:val="00C352D3"/>
    <w:rsid w:val="00C354B3"/>
    <w:rsid w:val="00C35B3C"/>
    <w:rsid w:val="00C35D87"/>
    <w:rsid w:val="00C402DB"/>
    <w:rsid w:val="00C4047B"/>
    <w:rsid w:val="00C407F4"/>
    <w:rsid w:val="00C40FA2"/>
    <w:rsid w:val="00C441A2"/>
    <w:rsid w:val="00C45B92"/>
    <w:rsid w:val="00C45EAD"/>
    <w:rsid w:val="00C505CD"/>
    <w:rsid w:val="00C5133A"/>
    <w:rsid w:val="00C51CF9"/>
    <w:rsid w:val="00C52037"/>
    <w:rsid w:val="00C53123"/>
    <w:rsid w:val="00C543E9"/>
    <w:rsid w:val="00C54D23"/>
    <w:rsid w:val="00C55D29"/>
    <w:rsid w:val="00C56731"/>
    <w:rsid w:val="00C57230"/>
    <w:rsid w:val="00C61D1D"/>
    <w:rsid w:val="00C62631"/>
    <w:rsid w:val="00C642A6"/>
    <w:rsid w:val="00C653F6"/>
    <w:rsid w:val="00C663D1"/>
    <w:rsid w:val="00C66B06"/>
    <w:rsid w:val="00C70A4E"/>
    <w:rsid w:val="00C70D56"/>
    <w:rsid w:val="00C70DA2"/>
    <w:rsid w:val="00C71333"/>
    <w:rsid w:val="00C714D1"/>
    <w:rsid w:val="00C71D03"/>
    <w:rsid w:val="00C720C2"/>
    <w:rsid w:val="00C75555"/>
    <w:rsid w:val="00C76B58"/>
    <w:rsid w:val="00C77022"/>
    <w:rsid w:val="00C7735E"/>
    <w:rsid w:val="00C77D2E"/>
    <w:rsid w:val="00C80588"/>
    <w:rsid w:val="00C80B66"/>
    <w:rsid w:val="00C80D4A"/>
    <w:rsid w:val="00C8177A"/>
    <w:rsid w:val="00C81A63"/>
    <w:rsid w:val="00C83ABD"/>
    <w:rsid w:val="00C859A5"/>
    <w:rsid w:val="00C85E2B"/>
    <w:rsid w:val="00C8699E"/>
    <w:rsid w:val="00C869CB"/>
    <w:rsid w:val="00C86F49"/>
    <w:rsid w:val="00C87049"/>
    <w:rsid w:val="00C87A8B"/>
    <w:rsid w:val="00C90225"/>
    <w:rsid w:val="00C91C6E"/>
    <w:rsid w:val="00C92A65"/>
    <w:rsid w:val="00C93035"/>
    <w:rsid w:val="00C930EC"/>
    <w:rsid w:val="00C93390"/>
    <w:rsid w:val="00C9358C"/>
    <w:rsid w:val="00C93D78"/>
    <w:rsid w:val="00CA0418"/>
    <w:rsid w:val="00CA0A91"/>
    <w:rsid w:val="00CA0BB0"/>
    <w:rsid w:val="00CA0FEA"/>
    <w:rsid w:val="00CA1DD8"/>
    <w:rsid w:val="00CA2659"/>
    <w:rsid w:val="00CA323B"/>
    <w:rsid w:val="00CA365F"/>
    <w:rsid w:val="00CA3675"/>
    <w:rsid w:val="00CA3A6F"/>
    <w:rsid w:val="00CA40CA"/>
    <w:rsid w:val="00CA43A4"/>
    <w:rsid w:val="00CA63B0"/>
    <w:rsid w:val="00CA6D87"/>
    <w:rsid w:val="00CA7B4F"/>
    <w:rsid w:val="00CA7DE3"/>
    <w:rsid w:val="00CB28CB"/>
    <w:rsid w:val="00CB6550"/>
    <w:rsid w:val="00CB678D"/>
    <w:rsid w:val="00CB6DE1"/>
    <w:rsid w:val="00CB7109"/>
    <w:rsid w:val="00CB7206"/>
    <w:rsid w:val="00CB7813"/>
    <w:rsid w:val="00CC1834"/>
    <w:rsid w:val="00CC1AA1"/>
    <w:rsid w:val="00CC1AE6"/>
    <w:rsid w:val="00CC2DE2"/>
    <w:rsid w:val="00CC3EF6"/>
    <w:rsid w:val="00CC4889"/>
    <w:rsid w:val="00CC4974"/>
    <w:rsid w:val="00CC4C23"/>
    <w:rsid w:val="00CC5F1B"/>
    <w:rsid w:val="00CC7D37"/>
    <w:rsid w:val="00CD0CCE"/>
    <w:rsid w:val="00CD2A77"/>
    <w:rsid w:val="00CD2DF4"/>
    <w:rsid w:val="00CD3399"/>
    <w:rsid w:val="00CD3C65"/>
    <w:rsid w:val="00CD4572"/>
    <w:rsid w:val="00CD464D"/>
    <w:rsid w:val="00CD51DF"/>
    <w:rsid w:val="00CD5558"/>
    <w:rsid w:val="00CD55F9"/>
    <w:rsid w:val="00CD6660"/>
    <w:rsid w:val="00CD7401"/>
    <w:rsid w:val="00CD7E73"/>
    <w:rsid w:val="00CE002D"/>
    <w:rsid w:val="00CE117E"/>
    <w:rsid w:val="00CE20BD"/>
    <w:rsid w:val="00CE2C51"/>
    <w:rsid w:val="00CE322C"/>
    <w:rsid w:val="00CE3283"/>
    <w:rsid w:val="00CE32AC"/>
    <w:rsid w:val="00CE333B"/>
    <w:rsid w:val="00CE39E2"/>
    <w:rsid w:val="00CE4D3A"/>
    <w:rsid w:val="00CE7678"/>
    <w:rsid w:val="00CF008F"/>
    <w:rsid w:val="00CF08FB"/>
    <w:rsid w:val="00CF0C48"/>
    <w:rsid w:val="00CF0ECD"/>
    <w:rsid w:val="00CF1974"/>
    <w:rsid w:val="00CF2430"/>
    <w:rsid w:val="00CF7385"/>
    <w:rsid w:val="00D0027E"/>
    <w:rsid w:val="00D00BC1"/>
    <w:rsid w:val="00D0158A"/>
    <w:rsid w:val="00D0215D"/>
    <w:rsid w:val="00D023E2"/>
    <w:rsid w:val="00D02736"/>
    <w:rsid w:val="00D02F9E"/>
    <w:rsid w:val="00D05035"/>
    <w:rsid w:val="00D05909"/>
    <w:rsid w:val="00D066D8"/>
    <w:rsid w:val="00D07A63"/>
    <w:rsid w:val="00D10110"/>
    <w:rsid w:val="00D11BF6"/>
    <w:rsid w:val="00D1268A"/>
    <w:rsid w:val="00D149D4"/>
    <w:rsid w:val="00D15098"/>
    <w:rsid w:val="00D168AD"/>
    <w:rsid w:val="00D16F23"/>
    <w:rsid w:val="00D1775C"/>
    <w:rsid w:val="00D207ED"/>
    <w:rsid w:val="00D22718"/>
    <w:rsid w:val="00D23A75"/>
    <w:rsid w:val="00D24D67"/>
    <w:rsid w:val="00D25179"/>
    <w:rsid w:val="00D261C3"/>
    <w:rsid w:val="00D26C41"/>
    <w:rsid w:val="00D275F4"/>
    <w:rsid w:val="00D27C9B"/>
    <w:rsid w:val="00D3010C"/>
    <w:rsid w:val="00D320D6"/>
    <w:rsid w:val="00D34DE0"/>
    <w:rsid w:val="00D3639F"/>
    <w:rsid w:val="00D37A4C"/>
    <w:rsid w:val="00D40243"/>
    <w:rsid w:val="00D405AC"/>
    <w:rsid w:val="00D41569"/>
    <w:rsid w:val="00D42315"/>
    <w:rsid w:val="00D4308A"/>
    <w:rsid w:val="00D444E0"/>
    <w:rsid w:val="00D44D41"/>
    <w:rsid w:val="00D45639"/>
    <w:rsid w:val="00D4579A"/>
    <w:rsid w:val="00D45963"/>
    <w:rsid w:val="00D464C9"/>
    <w:rsid w:val="00D477D1"/>
    <w:rsid w:val="00D5091E"/>
    <w:rsid w:val="00D51A00"/>
    <w:rsid w:val="00D525BD"/>
    <w:rsid w:val="00D527E0"/>
    <w:rsid w:val="00D53805"/>
    <w:rsid w:val="00D54FAC"/>
    <w:rsid w:val="00D564BD"/>
    <w:rsid w:val="00D571F6"/>
    <w:rsid w:val="00D578CC"/>
    <w:rsid w:val="00D61153"/>
    <w:rsid w:val="00D6240A"/>
    <w:rsid w:val="00D63652"/>
    <w:rsid w:val="00D64A70"/>
    <w:rsid w:val="00D657C4"/>
    <w:rsid w:val="00D65906"/>
    <w:rsid w:val="00D66957"/>
    <w:rsid w:val="00D67A02"/>
    <w:rsid w:val="00D714C5"/>
    <w:rsid w:val="00D71ABC"/>
    <w:rsid w:val="00D71F27"/>
    <w:rsid w:val="00D7249E"/>
    <w:rsid w:val="00D75C91"/>
    <w:rsid w:val="00D76086"/>
    <w:rsid w:val="00D766C2"/>
    <w:rsid w:val="00D80D62"/>
    <w:rsid w:val="00D80F1C"/>
    <w:rsid w:val="00D840C3"/>
    <w:rsid w:val="00D853FD"/>
    <w:rsid w:val="00D85D69"/>
    <w:rsid w:val="00D863AC"/>
    <w:rsid w:val="00D863D3"/>
    <w:rsid w:val="00D90311"/>
    <w:rsid w:val="00D91F57"/>
    <w:rsid w:val="00D92A09"/>
    <w:rsid w:val="00D93A70"/>
    <w:rsid w:val="00D95354"/>
    <w:rsid w:val="00D96183"/>
    <w:rsid w:val="00D96B5A"/>
    <w:rsid w:val="00D96F63"/>
    <w:rsid w:val="00D97E4A"/>
    <w:rsid w:val="00DA117F"/>
    <w:rsid w:val="00DA13F9"/>
    <w:rsid w:val="00DA2047"/>
    <w:rsid w:val="00DA3051"/>
    <w:rsid w:val="00DA3373"/>
    <w:rsid w:val="00DA47C0"/>
    <w:rsid w:val="00DA4BA3"/>
    <w:rsid w:val="00DA526C"/>
    <w:rsid w:val="00DA53C4"/>
    <w:rsid w:val="00DA6C03"/>
    <w:rsid w:val="00DA7C2A"/>
    <w:rsid w:val="00DA7FCC"/>
    <w:rsid w:val="00DB04DC"/>
    <w:rsid w:val="00DB0C8F"/>
    <w:rsid w:val="00DB128F"/>
    <w:rsid w:val="00DB1469"/>
    <w:rsid w:val="00DB20C3"/>
    <w:rsid w:val="00DB2127"/>
    <w:rsid w:val="00DB303E"/>
    <w:rsid w:val="00DB39CA"/>
    <w:rsid w:val="00DB408E"/>
    <w:rsid w:val="00DB415B"/>
    <w:rsid w:val="00DB4E25"/>
    <w:rsid w:val="00DB6F45"/>
    <w:rsid w:val="00DC081C"/>
    <w:rsid w:val="00DC1CFE"/>
    <w:rsid w:val="00DC219E"/>
    <w:rsid w:val="00DC2B68"/>
    <w:rsid w:val="00DC2CB8"/>
    <w:rsid w:val="00DC2CD1"/>
    <w:rsid w:val="00DC3BBC"/>
    <w:rsid w:val="00DC4011"/>
    <w:rsid w:val="00DC69A1"/>
    <w:rsid w:val="00DD056F"/>
    <w:rsid w:val="00DD0908"/>
    <w:rsid w:val="00DD1171"/>
    <w:rsid w:val="00DD1BDD"/>
    <w:rsid w:val="00DD1E1F"/>
    <w:rsid w:val="00DD277E"/>
    <w:rsid w:val="00DD2956"/>
    <w:rsid w:val="00DD2B50"/>
    <w:rsid w:val="00DD3076"/>
    <w:rsid w:val="00DD315D"/>
    <w:rsid w:val="00DD364A"/>
    <w:rsid w:val="00DD439B"/>
    <w:rsid w:val="00DD481F"/>
    <w:rsid w:val="00DD4CE6"/>
    <w:rsid w:val="00DD56F2"/>
    <w:rsid w:val="00DD6BAA"/>
    <w:rsid w:val="00DE0920"/>
    <w:rsid w:val="00DE1A4E"/>
    <w:rsid w:val="00DE31DE"/>
    <w:rsid w:val="00DE571E"/>
    <w:rsid w:val="00DE5987"/>
    <w:rsid w:val="00DE73D1"/>
    <w:rsid w:val="00DE76AB"/>
    <w:rsid w:val="00DE7CEE"/>
    <w:rsid w:val="00DF074E"/>
    <w:rsid w:val="00DF0AF1"/>
    <w:rsid w:val="00DF1408"/>
    <w:rsid w:val="00DF29F1"/>
    <w:rsid w:val="00DF2B46"/>
    <w:rsid w:val="00DF37D8"/>
    <w:rsid w:val="00DF3D56"/>
    <w:rsid w:val="00DF491C"/>
    <w:rsid w:val="00DF4B96"/>
    <w:rsid w:val="00DF5D41"/>
    <w:rsid w:val="00DF79E1"/>
    <w:rsid w:val="00E019D4"/>
    <w:rsid w:val="00E02CCF"/>
    <w:rsid w:val="00E02EC3"/>
    <w:rsid w:val="00E04F09"/>
    <w:rsid w:val="00E04F77"/>
    <w:rsid w:val="00E05936"/>
    <w:rsid w:val="00E06623"/>
    <w:rsid w:val="00E066B1"/>
    <w:rsid w:val="00E069DC"/>
    <w:rsid w:val="00E06E9D"/>
    <w:rsid w:val="00E07F03"/>
    <w:rsid w:val="00E10E1F"/>
    <w:rsid w:val="00E123B4"/>
    <w:rsid w:val="00E133F8"/>
    <w:rsid w:val="00E14644"/>
    <w:rsid w:val="00E1474E"/>
    <w:rsid w:val="00E154CF"/>
    <w:rsid w:val="00E1598E"/>
    <w:rsid w:val="00E15C66"/>
    <w:rsid w:val="00E16A40"/>
    <w:rsid w:val="00E170FE"/>
    <w:rsid w:val="00E171C4"/>
    <w:rsid w:val="00E174EF"/>
    <w:rsid w:val="00E1764E"/>
    <w:rsid w:val="00E17818"/>
    <w:rsid w:val="00E2059B"/>
    <w:rsid w:val="00E208A8"/>
    <w:rsid w:val="00E209A5"/>
    <w:rsid w:val="00E22213"/>
    <w:rsid w:val="00E22E65"/>
    <w:rsid w:val="00E2551A"/>
    <w:rsid w:val="00E27FE9"/>
    <w:rsid w:val="00E30391"/>
    <w:rsid w:val="00E31FC0"/>
    <w:rsid w:val="00E32273"/>
    <w:rsid w:val="00E33039"/>
    <w:rsid w:val="00E330A5"/>
    <w:rsid w:val="00E34DBA"/>
    <w:rsid w:val="00E3628A"/>
    <w:rsid w:val="00E36EEC"/>
    <w:rsid w:val="00E40524"/>
    <w:rsid w:val="00E432A9"/>
    <w:rsid w:val="00E43879"/>
    <w:rsid w:val="00E44CF6"/>
    <w:rsid w:val="00E457CB"/>
    <w:rsid w:val="00E46CCD"/>
    <w:rsid w:val="00E50C52"/>
    <w:rsid w:val="00E532A0"/>
    <w:rsid w:val="00E5352B"/>
    <w:rsid w:val="00E548A3"/>
    <w:rsid w:val="00E5507C"/>
    <w:rsid w:val="00E561AC"/>
    <w:rsid w:val="00E5689C"/>
    <w:rsid w:val="00E5693B"/>
    <w:rsid w:val="00E57482"/>
    <w:rsid w:val="00E578AD"/>
    <w:rsid w:val="00E57DCB"/>
    <w:rsid w:val="00E61A26"/>
    <w:rsid w:val="00E62AD3"/>
    <w:rsid w:val="00E6363C"/>
    <w:rsid w:val="00E656FC"/>
    <w:rsid w:val="00E66378"/>
    <w:rsid w:val="00E668DB"/>
    <w:rsid w:val="00E67A7D"/>
    <w:rsid w:val="00E70E86"/>
    <w:rsid w:val="00E70EB7"/>
    <w:rsid w:val="00E71BA4"/>
    <w:rsid w:val="00E72157"/>
    <w:rsid w:val="00E73A34"/>
    <w:rsid w:val="00E74AC3"/>
    <w:rsid w:val="00E75305"/>
    <w:rsid w:val="00E75F4F"/>
    <w:rsid w:val="00E768DA"/>
    <w:rsid w:val="00E76F0E"/>
    <w:rsid w:val="00E7777A"/>
    <w:rsid w:val="00E77E37"/>
    <w:rsid w:val="00E826A2"/>
    <w:rsid w:val="00E82A2E"/>
    <w:rsid w:val="00E82B8B"/>
    <w:rsid w:val="00E82EDC"/>
    <w:rsid w:val="00E83CA8"/>
    <w:rsid w:val="00E8416F"/>
    <w:rsid w:val="00E844FF"/>
    <w:rsid w:val="00E8462A"/>
    <w:rsid w:val="00E84B06"/>
    <w:rsid w:val="00E86BB3"/>
    <w:rsid w:val="00E87D00"/>
    <w:rsid w:val="00E87F04"/>
    <w:rsid w:val="00E91C47"/>
    <w:rsid w:val="00E92997"/>
    <w:rsid w:val="00E934E1"/>
    <w:rsid w:val="00E93B63"/>
    <w:rsid w:val="00E95EB4"/>
    <w:rsid w:val="00E96399"/>
    <w:rsid w:val="00E96FA0"/>
    <w:rsid w:val="00EA0225"/>
    <w:rsid w:val="00EA0F20"/>
    <w:rsid w:val="00EA30B6"/>
    <w:rsid w:val="00EA30C5"/>
    <w:rsid w:val="00EA3707"/>
    <w:rsid w:val="00EA50AF"/>
    <w:rsid w:val="00EA5B59"/>
    <w:rsid w:val="00EA76B5"/>
    <w:rsid w:val="00EA7A24"/>
    <w:rsid w:val="00EB02FA"/>
    <w:rsid w:val="00EB1E39"/>
    <w:rsid w:val="00EB2FD9"/>
    <w:rsid w:val="00EB4467"/>
    <w:rsid w:val="00EB49EA"/>
    <w:rsid w:val="00EB5B64"/>
    <w:rsid w:val="00EB68D5"/>
    <w:rsid w:val="00EB7DD4"/>
    <w:rsid w:val="00EB7FEB"/>
    <w:rsid w:val="00EC00BC"/>
    <w:rsid w:val="00EC02C2"/>
    <w:rsid w:val="00EC0DBD"/>
    <w:rsid w:val="00EC0E78"/>
    <w:rsid w:val="00EC119F"/>
    <w:rsid w:val="00EC1BB5"/>
    <w:rsid w:val="00EC27B7"/>
    <w:rsid w:val="00EC66E8"/>
    <w:rsid w:val="00EC6B1D"/>
    <w:rsid w:val="00EC6F2C"/>
    <w:rsid w:val="00ED0159"/>
    <w:rsid w:val="00ED0969"/>
    <w:rsid w:val="00ED2F4C"/>
    <w:rsid w:val="00ED3709"/>
    <w:rsid w:val="00ED4A32"/>
    <w:rsid w:val="00ED5197"/>
    <w:rsid w:val="00ED5324"/>
    <w:rsid w:val="00ED5E0D"/>
    <w:rsid w:val="00ED65D0"/>
    <w:rsid w:val="00EE0383"/>
    <w:rsid w:val="00EE053A"/>
    <w:rsid w:val="00EE27D4"/>
    <w:rsid w:val="00EE38A2"/>
    <w:rsid w:val="00EE4556"/>
    <w:rsid w:val="00EE5E0B"/>
    <w:rsid w:val="00EE613D"/>
    <w:rsid w:val="00EE6185"/>
    <w:rsid w:val="00EE64EC"/>
    <w:rsid w:val="00EE72B9"/>
    <w:rsid w:val="00EE7695"/>
    <w:rsid w:val="00EF0B4F"/>
    <w:rsid w:val="00EF1812"/>
    <w:rsid w:val="00EF206A"/>
    <w:rsid w:val="00EF4640"/>
    <w:rsid w:val="00EF4701"/>
    <w:rsid w:val="00EF564C"/>
    <w:rsid w:val="00EF5812"/>
    <w:rsid w:val="00EF71AC"/>
    <w:rsid w:val="00EF7317"/>
    <w:rsid w:val="00EF7BEE"/>
    <w:rsid w:val="00F004F1"/>
    <w:rsid w:val="00F0157E"/>
    <w:rsid w:val="00F0232C"/>
    <w:rsid w:val="00F03620"/>
    <w:rsid w:val="00F0482D"/>
    <w:rsid w:val="00F0482E"/>
    <w:rsid w:val="00F04BDE"/>
    <w:rsid w:val="00F04CE5"/>
    <w:rsid w:val="00F05079"/>
    <w:rsid w:val="00F06913"/>
    <w:rsid w:val="00F077D9"/>
    <w:rsid w:val="00F07939"/>
    <w:rsid w:val="00F112DA"/>
    <w:rsid w:val="00F11BF2"/>
    <w:rsid w:val="00F130B8"/>
    <w:rsid w:val="00F1364B"/>
    <w:rsid w:val="00F1546E"/>
    <w:rsid w:val="00F16642"/>
    <w:rsid w:val="00F172F9"/>
    <w:rsid w:val="00F176AA"/>
    <w:rsid w:val="00F17ECF"/>
    <w:rsid w:val="00F20835"/>
    <w:rsid w:val="00F21AE1"/>
    <w:rsid w:val="00F223A5"/>
    <w:rsid w:val="00F229D3"/>
    <w:rsid w:val="00F24C66"/>
    <w:rsid w:val="00F25917"/>
    <w:rsid w:val="00F25D8F"/>
    <w:rsid w:val="00F2643A"/>
    <w:rsid w:val="00F26BDC"/>
    <w:rsid w:val="00F3099B"/>
    <w:rsid w:val="00F31D6E"/>
    <w:rsid w:val="00F35665"/>
    <w:rsid w:val="00F360E4"/>
    <w:rsid w:val="00F40843"/>
    <w:rsid w:val="00F415AC"/>
    <w:rsid w:val="00F42234"/>
    <w:rsid w:val="00F43D76"/>
    <w:rsid w:val="00F43DEC"/>
    <w:rsid w:val="00F43EA8"/>
    <w:rsid w:val="00F45638"/>
    <w:rsid w:val="00F45897"/>
    <w:rsid w:val="00F47278"/>
    <w:rsid w:val="00F47A04"/>
    <w:rsid w:val="00F508DF"/>
    <w:rsid w:val="00F54F34"/>
    <w:rsid w:val="00F57454"/>
    <w:rsid w:val="00F60949"/>
    <w:rsid w:val="00F61362"/>
    <w:rsid w:val="00F616A7"/>
    <w:rsid w:val="00F62444"/>
    <w:rsid w:val="00F62F3D"/>
    <w:rsid w:val="00F64587"/>
    <w:rsid w:val="00F64824"/>
    <w:rsid w:val="00F6531E"/>
    <w:rsid w:val="00F667C0"/>
    <w:rsid w:val="00F66A7D"/>
    <w:rsid w:val="00F6773A"/>
    <w:rsid w:val="00F67E95"/>
    <w:rsid w:val="00F72FE1"/>
    <w:rsid w:val="00F73828"/>
    <w:rsid w:val="00F74BB7"/>
    <w:rsid w:val="00F75592"/>
    <w:rsid w:val="00F76BBE"/>
    <w:rsid w:val="00F80633"/>
    <w:rsid w:val="00F811B8"/>
    <w:rsid w:val="00F815E8"/>
    <w:rsid w:val="00F81BB5"/>
    <w:rsid w:val="00F82ADB"/>
    <w:rsid w:val="00F860D8"/>
    <w:rsid w:val="00F864FF"/>
    <w:rsid w:val="00F87AC5"/>
    <w:rsid w:val="00F90362"/>
    <w:rsid w:val="00F90839"/>
    <w:rsid w:val="00F91060"/>
    <w:rsid w:val="00F91676"/>
    <w:rsid w:val="00F96BD9"/>
    <w:rsid w:val="00F97097"/>
    <w:rsid w:val="00F9714B"/>
    <w:rsid w:val="00F97890"/>
    <w:rsid w:val="00FA0A70"/>
    <w:rsid w:val="00FA0C39"/>
    <w:rsid w:val="00FA0DCE"/>
    <w:rsid w:val="00FA2E35"/>
    <w:rsid w:val="00FA3534"/>
    <w:rsid w:val="00FA38EA"/>
    <w:rsid w:val="00FA48EF"/>
    <w:rsid w:val="00FA4A50"/>
    <w:rsid w:val="00FA4B80"/>
    <w:rsid w:val="00FA6646"/>
    <w:rsid w:val="00FB0AAC"/>
    <w:rsid w:val="00FB265E"/>
    <w:rsid w:val="00FB2F1F"/>
    <w:rsid w:val="00FB2F7A"/>
    <w:rsid w:val="00FB2FFC"/>
    <w:rsid w:val="00FB3300"/>
    <w:rsid w:val="00FB36A4"/>
    <w:rsid w:val="00FB4C59"/>
    <w:rsid w:val="00FB4F60"/>
    <w:rsid w:val="00FB6357"/>
    <w:rsid w:val="00FB71EE"/>
    <w:rsid w:val="00FB7D20"/>
    <w:rsid w:val="00FC0FA5"/>
    <w:rsid w:val="00FC25F0"/>
    <w:rsid w:val="00FC2EAB"/>
    <w:rsid w:val="00FC3380"/>
    <w:rsid w:val="00FC3E14"/>
    <w:rsid w:val="00FC474C"/>
    <w:rsid w:val="00FC4A99"/>
    <w:rsid w:val="00FC5AE4"/>
    <w:rsid w:val="00FC6AE0"/>
    <w:rsid w:val="00FD0EB3"/>
    <w:rsid w:val="00FD12D8"/>
    <w:rsid w:val="00FD1552"/>
    <w:rsid w:val="00FD2075"/>
    <w:rsid w:val="00FD6727"/>
    <w:rsid w:val="00FE0ACE"/>
    <w:rsid w:val="00FE3A1B"/>
    <w:rsid w:val="00FE4EF8"/>
    <w:rsid w:val="00FE512A"/>
    <w:rsid w:val="00FE5EC0"/>
    <w:rsid w:val="00FE7712"/>
    <w:rsid w:val="00FF0436"/>
    <w:rsid w:val="00FF10D4"/>
    <w:rsid w:val="00FF18C8"/>
    <w:rsid w:val="00FF1A0F"/>
    <w:rsid w:val="00FF429E"/>
    <w:rsid w:val="00FF4A61"/>
    <w:rsid w:val="00FF5205"/>
    <w:rsid w:val="00FF549B"/>
    <w:rsid w:val="00FF5722"/>
    <w:rsid w:val="00FF63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 w:type="character" w:styleId="FollowedHyperlink">
    <w:name w:val="FollowedHyperlink"/>
    <w:basedOn w:val="DefaultParagraphFont"/>
    <w:rsid w:val="00547A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 w:type="character" w:styleId="FollowedHyperlink">
    <w:name w:val="FollowedHyperlink"/>
    <w:basedOn w:val="DefaultParagraphFont"/>
    <w:rsid w:val="00547A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3439">
      <w:bodyDiv w:val="1"/>
      <w:marLeft w:val="0"/>
      <w:marRight w:val="0"/>
      <w:marTop w:val="0"/>
      <w:marBottom w:val="0"/>
      <w:divBdr>
        <w:top w:val="none" w:sz="0" w:space="0" w:color="auto"/>
        <w:left w:val="none" w:sz="0" w:space="0" w:color="auto"/>
        <w:bottom w:val="none" w:sz="0" w:space="0" w:color="auto"/>
        <w:right w:val="none" w:sz="0" w:space="0" w:color="auto"/>
      </w:divBdr>
    </w:div>
    <w:div w:id="404383024">
      <w:bodyDiv w:val="1"/>
      <w:marLeft w:val="0"/>
      <w:marRight w:val="0"/>
      <w:marTop w:val="0"/>
      <w:marBottom w:val="0"/>
      <w:divBdr>
        <w:top w:val="none" w:sz="0" w:space="0" w:color="auto"/>
        <w:left w:val="none" w:sz="0" w:space="0" w:color="auto"/>
        <w:bottom w:val="none" w:sz="0" w:space="0" w:color="auto"/>
        <w:right w:val="none" w:sz="0" w:space="0" w:color="auto"/>
      </w:divBdr>
    </w:div>
    <w:div w:id="428547192">
      <w:bodyDiv w:val="1"/>
      <w:marLeft w:val="0"/>
      <w:marRight w:val="0"/>
      <w:marTop w:val="0"/>
      <w:marBottom w:val="0"/>
      <w:divBdr>
        <w:top w:val="none" w:sz="0" w:space="0" w:color="auto"/>
        <w:left w:val="none" w:sz="0" w:space="0" w:color="auto"/>
        <w:bottom w:val="none" w:sz="0" w:space="0" w:color="auto"/>
        <w:right w:val="none" w:sz="0" w:space="0" w:color="auto"/>
      </w:divBdr>
    </w:div>
    <w:div w:id="628516020">
      <w:bodyDiv w:val="1"/>
      <w:marLeft w:val="0"/>
      <w:marRight w:val="0"/>
      <w:marTop w:val="0"/>
      <w:marBottom w:val="0"/>
      <w:divBdr>
        <w:top w:val="none" w:sz="0" w:space="0" w:color="auto"/>
        <w:left w:val="none" w:sz="0" w:space="0" w:color="auto"/>
        <w:bottom w:val="none" w:sz="0" w:space="0" w:color="auto"/>
        <w:right w:val="none" w:sz="0" w:space="0" w:color="auto"/>
      </w:divBdr>
    </w:div>
    <w:div w:id="631445691">
      <w:bodyDiv w:val="1"/>
      <w:marLeft w:val="0"/>
      <w:marRight w:val="0"/>
      <w:marTop w:val="0"/>
      <w:marBottom w:val="0"/>
      <w:divBdr>
        <w:top w:val="none" w:sz="0" w:space="0" w:color="auto"/>
        <w:left w:val="none" w:sz="0" w:space="0" w:color="auto"/>
        <w:bottom w:val="none" w:sz="0" w:space="0" w:color="auto"/>
        <w:right w:val="none" w:sz="0" w:space="0" w:color="auto"/>
      </w:divBdr>
      <w:divsChild>
        <w:div w:id="1635401183">
          <w:marLeft w:val="2985"/>
          <w:marRight w:val="0"/>
          <w:marTop w:val="0"/>
          <w:marBottom w:val="0"/>
          <w:divBdr>
            <w:top w:val="none" w:sz="0" w:space="0" w:color="auto"/>
            <w:left w:val="none" w:sz="0" w:space="0" w:color="auto"/>
            <w:bottom w:val="none" w:sz="0" w:space="0" w:color="auto"/>
            <w:right w:val="none" w:sz="0" w:space="0" w:color="auto"/>
          </w:divBdr>
          <w:divsChild>
            <w:div w:id="1356079172">
              <w:marLeft w:val="0"/>
              <w:marRight w:val="0"/>
              <w:marTop w:val="0"/>
              <w:marBottom w:val="0"/>
              <w:divBdr>
                <w:top w:val="none" w:sz="0" w:space="0" w:color="auto"/>
                <w:left w:val="none" w:sz="0" w:space="0" w:color="auto"/>
                <w:bottom w:val="none" w:sz="0" w:space="0" w:color="auto"/>
                <w:right w:val="none" w:sz="0" w:space="0" w:color="auto"/>
              </w:divBdr>
              <w:divsChild>
                <w:div w:id="1548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9634">
      <w:bodyDiv w:val="1"/>
      <w:marLeft w:val="0"/>
      <w:marRight w:val="0"/>
      <w:marTop w:val="0"/>
      <w:marBottom w:val="0"/>
      <w:divBdr>
        <w:top w:val="none" w:sz="0" w:space="0" w:color="auto"/>
        <w:left w:val="none" w:sz="0" w:space="0" w:color="auto"/>
        <w:bottom w:val="none" w:sz="0" w:space="0" w:color="auto"/>
        <w:right w:val="none" w:sz="0" w:space="0" w:color="auto"/>
      </w:divBdr>
    </w:div>
    <w:div w:id="1048072957">
      <w:bodyDiv w:val="1"/>
      <w:marLeft w:val="0"/>
      <w:marRight w:val="0"/>
      <w:marTop w:val="0"/>
      <w:marBottom w:val="0"/>
      <w:divBdr>
        <w:top w:val="none" w:sz="0" w:space="0" w:color="auto"/>
        <w:left w:val="none" w:sz="0" w:space="0" w:color="auto"/>
        <w:bottom w:val="none" w:sz="0" w:space="0" w:color="auto"/>
        <w:right w:val="none" w:sz="0" w:space="0" w:color="auto"/>
      </w:divBdr>
    </w:div>
    <w:div w:id="1143081389">
      <w:bodyDiv w:val="1"/>
      <w:marLeft w:val="0"/>
      <w:marRight w:val="0"/>
      <w:marTop w:val="0"/>
      <w:marBottom w:val="0"/>
      <w:divBdr>
        <w:top w:val="none" w:sz="0" w:space="0" w:color="auto"/>
        <w:left w:val="none" w:sz="0" w:space="0" w:color="auto"/>
        <w:bottom w:val="none" w:sz="0" w:space="0" w:color="auto"/>
        <w:right w:val="none" w:sz="0" w:space="0" w:color="auto"/>
      </w:divBdr>
    </w:div>
    <w:div w:id="1200816998">
      <w:bodyDiv w:val="1"/>
      <w:marLeft w:val="0"/>
      <w:marRight w:val="0"/>
      <w:marTop w:val="0"/>
      <w:marBottom w:val="0"/>
      <w:divBdr>
        <w:top w:val="none" w:sz="0" w:space="0" w:color="auto"/>
        <w:left w:val="none" w:sz="0" w:space="0" w:color="auto"/>
        <w:bottom w:val="none" w:sz="0" w:space="0" w:color="auto"/>
        <w:right w:val="none" w:sz="0" w:space="0" w:color="auto"/>
      </w:divBdr>
    </w:div>
    <w:div w:id="1263298313">
      <w:bodyDiv w:val="1"/>
      <w:marLeft w:val="0"/>
      <w:marRight w:val="0"/>
      <w:marTop w:val="0"/>
      <w:marBottom w:val="0"/>
      <w:divBdr>
        <w:top w:val="none" w:sz="0" w:space="0" w:color="auto"/>
        <w:left w:val="none" w:sz="0" w:space="0" w:color="auto"/>
        <w:bottom w:val="none" w:sz="0" w:space="0" w:color="auto"/>
        <w:right w:val="none" w:sz="0" w:space="0" w:color="auto"/>
      </w:divBdr>
    </w:div>
    <w:div w:id="1305551202">
      <w:bodyDiv w:val="1"/>
      <w:marLeft w:val="0"/>
      <w:marRight w:val="0"/>
      <w:marTop w:val="0"/>
      <w:marBottom w:val="0"/>
      <w:divBdr>
        <w:top w:val="none" w:sz="0" w:space="0" w:color="auto"/>
        <w:left w:val="none" w:sz="0" w:space="0" w:color="auto"/>
        <w:bottom w:val="none" w:sz="0" w:space="0" w:color="auto"/>
        <w:right w:val="none" w:sz="0" w:space="0" w:color="auto"/>
      </w:divBdr>
    </w:div>
    <w:div w:id="1368141522">
      <w:bodyDiv w:val="1"/>
      <w:marLeft w:val="0"/>
      <w:marRight w:val="0"/>
      <w:marTop w:val="0"/>
      <w:marBottom w:val="0"/>
      <w:divBdr>
        <w:top w:val="none" w:sz="0" w:space="0" w:color="auto"/>
        <w:left w:val="none" w:sz="0" w:space="0" w:color="auto"/>
        <w:bottom w:val="none" w:sz="0" w:space="0" w:color="auto"/>
        <w:right w:val="none" w:sz="0" w:space="0" w:color="auto"/>
      </w:divBdr>
    </w:div>
    <w:div w:id="1679769477">
      <w:bodyDiv w:val="1"/>
      <w:marLeft w:val="0"/>
      <w:marRight w:val="0"/>
      <w:marTop w:val="0"/>
      <w:marBottom w:val="0"/>
      <w:divBdr>
        <w:top w:val="none" w:sz="0" w:space="0" w:color="auto"/>
        <w:left w:val="none" w:sz="0" w:space="0" w:color="auto"/>
        <w:bottom w:val="none" w:sz="0" w:space="0" w:color="auto"/>
        <w:right w:val="none" w:sz="0" w:space="0" w:color="auto"/>
      </w:divBdr>
    </w:div>
    <w:div w:id="1785878675">
      <w:bodyDiv w:val="1"/>
      <w:marLeft w:val="0"/>
      <w:marRight w:val="0"/>
      <w:marTop w:val="0"/>
      <w:marBottom w:val="0"/>
      <w:divBdr>
        <w:top w:val="none" w:sz="0" w:space="0" w:color="auto"/>
        <w:left w:val="none" w:sz="0" w:space="0" w:color="auto"/>
        <w:bottom w:val="none" w:sz="0" w:space="0" w:color="auto"/>
        <w:right w:val="none" w:sz="0" w:space="0" w:color="auto"/>
      </w:divBdr>
    </w:div>
    <w:div w:id="1812018442">
      <w:bodyDiv w:val="1"/>
      <w:marLeft w:val="0"/>
      <w:marRight w:val="0"/>
      <w:marTop w:val="0"/>
      <w:marBottom w:val="0"/>
      <w:divBdr>
        <w:top w:val="none" w:sz="0" w:space="0" w:color="auto"/>
        <w:left w:val="none" w:sz="0" w:space="0" w:color="auto"/>
        <w:bottom w:val="none" w:sz="0" w:space="0" w:color="auto"/>
        <w:right w:val="none" w:sz="0" w:space="0" w:color="auto"/>
      </w:divBdr>
    </w:div>
    <w:div w:id="1832063486">
      <w:bodyDiv w:val="1"/>
      <w:marLeft w:val="0"/>
      <w:marRight w:val="0"/>
      <w:marTop w:val="0"/>
      <w:marBottom w:val="0"/>
      <w:divBdr>
        <w:top w:val="none" w:sz="0" w:space="0" w:color="auto"/>
        <w:left w:val="none" w:sz="0" w:space="0" w:color="auto"/>
        <w:bottom w:val="none" w:sz="0" w:space="0" w:color="auto"/>
        <w:right w:val="none" w:sz="0" w:space="0" w:color="auto"/>
      </w:divBdr>
    </w:div>
    <w:div w:id="1877546583">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 w:id="1967858067">
      <w:bodyDiv w:val="1"/>
      <w:marLeft w:val="0"/>
      <w:marRight w:val="0"/>
      <w:marTop w:val="0"/>
      <w:marBottom w:val="0"/>
      <w:divBdr>
        <w:top w:val="none" w:sz="0" w:space="0" w:color="auto"/>
        <w:left w:val="none" w:sz="0" w:space="0" w:color="auto"/>
        <w:bottom w:val="none" w:sz="0" w:space="0" w:color="auto"/>
        <w:right w:val="none" w:sz="0" w:space="0" w:color="auto"/>
      </w:divBdr>
    </w:div>
    <w:div w:id="2051952180">
      <w:bodyDiv w:val="1"/>
      <w:marLeft w:val="0"/>
      <w:marRight w:val="0"/>
      <w:marTop w:val="0"/>
      <w:marBottom w:val="0"/>
      <w:divBdr>
        <w:top w:val="none" w:sz="0" w:space="0" w:color="auto"/>
        <w:left w:val="none" w:sz="0" w:space="0" w:color="auto"/>
        <w:bottom w:val="none" w:sz="0" w:space="0" w:color="auto"/>
        <w:right w:val="none" w:sz="0" w:space="0" w:color="auto"/>
      </w:divBdr>
    </w:div>
    <w:div w:id="2076390815">
      <w:bodyDiv w:val="1"/>
      <w:marLeft w:val="0"/>
      <w:marRight w:val="0"/>
      <w:marTop w:val="0"/>
      <w:marBottom w:val="0"/>
      <w:divBdr>
        <w:top w:val="none" w:sz="0" w:space="0" w:color="auto"/>
        <w:left w:val="none" w:sz="0" w:space="0" w:color="auto"/>
        <w:bottom w:val="none" w:sz="0" w:space="0" w:color="auto"/>
        <w:right w:val="none" w:sz="0" w:space="0" w:color="auto"/>
      </w:divBdr>
    </w:div>
    <w:div w:id="2078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cpuc.ca.gov/"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ruckuswireless.com/" TargetMode="External"/><Relationship Id="rId2" Type="http://schemas.openxmlformats.org/officeDocument/2006/relationships/hyperlink" Target="http://www.open-mesh.com/" TargetMode="External"/><Relationship Id="rId1" Type="http://schemas.openxmlformats.org/officeDocument/2006/relationships/hyperlink" Target="http://www.webopedia.com/TERM/8/802_11.html" TargetMode="External"/><Relationship Id="rId6" Type="http://schemas.openxmlformats.org/officeDocument/2006/relationships/hyperlink" Target="http://docs.cpuc.ca.gov/SearchRes.aspx?docformat=ALL&amp;DocID=163155772" TargetMode="External"/><Relationship Id="rId5" Type="http://schemas.openxmlformats.org/officeDocument/2006/relationships/hyperlink" Target="http://www.cpuc.ca.gov/General.aspx?id=908" TargetMode="External"/><Relationship Id="rId4" Type="http://schemas.openxmlformats.org/officeDocument/2006/relationships/hyperlink" Target="http://pocketnow.com/2014/01/23/5ghz-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57B2-066D-4F70-832B-2B88E661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ResolutionTemplate(Comment)</vt:lpstr>
    </vt:vector>
  </TitlesOfParts>
  <Company>Microsoft</Company>
  <LinksUpToDate>false</LinksUpToDate>
  <CharactersWithSpaces>25668</CharactersWithSpaces>
  <SharedDoc>false</SharedDoc>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ResolutionTemplate(Comment)</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Rebecca Turner</dc:creator>
  <dc:description>&amp;lt;p&amp;gt;    PUBLIC UTILITIES COMMISSION OF THE STATE OF CALIFORNIA          Communications Division RESOLUTION T-XXXXX            RESOLUTION T-17292      (Branch Name) Month XX, 20XX            September 23, 2010        (spell out Comm Mtg. date)       R E S O L U T I O N       RESOLUTION T-XXXXX ______________________________&amp;lt;/p&amp;gt;</dc:description>
  <cp:lastModifiedBy>Cheim, Taylor G.</cp:lastModifiedBy>
  <cp:revision>11</cp:revision>
  <cp:lastPrinted>2016-10-28T17:33:00Z</cp:lastPrinted>
  <dcterms:created xsi:type="dcterms:W3CDTF">2016-10-19T22:24:00Z</dcterms:created>
  <dcterms:modified xsi:type="dcterms:W3CDTF">2016-10-28T17:49:00Z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DownloadAsset.aspx?id=2175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PUBLIC UTILITIES COMMISSION OF THE STATE OF CALIFORNIA          Communications Division RESOLUTION T-XXXXX            RESOLUTION T-17292      (Branch Name) Month XX, 20XX            September 23, 2010        (spell out Comm Mtg. date)       R</vt:lpwstr>
  </property>
  <property fmtid="{D5CDD505-2E9C-101B-9397-08002B2CF9AE}" pid="8" name="EktExpiryType">
    <vt:i4>1</vt:i4>
  </property>
  <property fmtid="{D5CDD505-2E9C-101B-9397-08002B2CF9AE}" pid="9" name="EktDateCreated">
    <vt:filetime>2012-05-07T19:19:32Z</vt:filetime>
  </property>
  <property fmtid="{D5CDD505-2E9C-101B-9397-08002B2CF9AE}" pid="10" name="EktDateModified">
    <vt:filetime>2012-05-07T19:19:32Z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35328</vt:i4>
  </property>
  <property fmtid="{D5CDD505-2E9C-101B-9397-08002B2CF9AE}" pid="14" name="EktSearchable">
    <vt:i4>1</vt:i4>
  </property>
  <property fmtid="{D5CDD505-2E9C-101B-9397-08002B2CF9AE}" pid="15" name="EktEDescription">
    <vt:lpwstr>Summary &amp;lt;p&amp;gt;    PUBLIC UTILITIES COMMISSION OF THE STATE OF CALIFORNIA          Communications Division RESOLUTION T-XXXXX            RESOLUTION T-17292      (Branch Name) Month XX, 20XX            September 23, 2010        (spell out Comm Mtg. date)</vt:lpwstr>
  </property>
  <property fmtid="{D5CDD505-2E9C-101B-9397-08002B2CF9AE}" pid="16" name="MAIL_MSG_ID1">
    <vt:lpwstr>GEAAO+/T9t20xwmuD8o843tiYq2HLDsd/UBREbHPGWLJDBT7MKxsZEErE4gpjS2dDmTqWL51Ac1JBE/J
7xUQt0w+w4w0ctFd+jBeYJwm3Zwz41fQkjY9WS4fBYVO1AH3DuErcayFjPSXVSRDVGA/XuF8/p56
WOhjQsZovXHy7aOI7svZBxZecsjbs5AXwwogXSE70HPfmyTzyDcj8WNyCZEqY09YaoCCYNRk/lrW
IkF6n4JXLCenD5BUT</vt:lpwstr>
  </property>
  <property fmtid="{D5CDD505-2E9C-101B-9397-08002B2CF9AE}" pid="17" name="MAIL_MSG_ID2">
    <vt:lpwstr>fWjquD8stSS</vt:lpwstr>
  </property>
  <property fmtid="{D5CDD505-2E9C-101B-9397-08002B2CF9AE}" pid="18" name="RESPONSE_SENDER_NAME">
    <vt:lpwstr>gAAAdya76B99d4hLGUR1rQ+8TxTv0GGEPdix</vt:lpwstr>
  </property>
  <property fmtid="{D5CDD505-2E9C-101B-9397-08002B2CF9AE}" pid="19" name="EMAIL_OWNER_ADDRESS">
    <vt:lpwstr>ABAAv4tRYjpfjUstag4/l/ZXmJIEKfs4l21u/+tUXJYz5ZDdtbqu7ZQMtm3eWe1kj1TM</vt:lpwstr>
  </property>
</Properties>
</file>